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365" w:rsidRDefault="002C7571">
      <w:pPr>
        <w:spacing w:after="0" w:line="240" w:lineRule="auto"/>
        <w:jc w:val="center"/>
        <w:rPr>
          <w:rFonts w:ascii="Times New Roman" w:hAnsi="Times New Roman"/>
          <w:b/>
          <w:i/>
          <w:sz w:val="36"/>
          <w:szCs w:val="36"/>
        </w:rPr>
      </w:pPr>
      <w:r w:rsidRPr="002C7571">
        <w:rPr>
          <w:rFonts w:ascii="Times New Roman" w:hAnsi="Times New Roman"/>
          <w:b/>
          <w:i/>
          <w:sz w:val="36"/>
          <w:szCs w:val="36"/>
        </w:rPr>
        <w:t xml:space="preserve">Tort, Insurance, and </w:t>
      </w:r>
      <w:r w:rsidR="004B5C93">
        <w:rPr>
          <w:rFonts w:ascii="Times New Roman" w:hAnsi="Times New Roman"/>
          <w:b/>
          <w:i/>
          <w:sz w:val="36"/>
          <w:szCs w:val="36"/>
        </w:rPr>
        <w:t>t</w:t>
      </w:r>
      <w:r w:rsidR="0044772D">
        <w:rPr>
          <w:rFonts w:ascii="Times New Roman" w:hAnsi="Times New Roman"/>
          <w:b/>
          <w:i/>
          <w:sz w:val="36"/>
          <w:szCs w:val="36"/>
        </w:rPr>
        <w:t xml:space="preserve">he </w:t>
      </w:r>
      <w:r w:rsidR="00D80BAA">
        <w:rPr>
          <w:rFonts w:ascii="Times New Roman" w:hAnsi="Times New Roman"/>
          <w:b/>
          <w:i/>
          <w:sz w:val="36"/>
          <w:szCs w:val="36"/>
        </w:rPr>
        <w:t xml:space="preserve">Resources </w:t>
      </w:r>
      <w:r w:rsidR="0044772D">
        <w:rPr>
          <w:rFonts w:ascii="Times New Roman" w:hAnsi="Times New Roman"/>
          <w:b/>
          <w:i/>
          <w:sz w:val="36"/>
          <w:szCs w:val="36"/>
        </w:rPr>
        <w:t xml:space="preserve">of Private </w:t>
      </w:r>
      <w:r w:rsidRPr="002C7571">
        <w:rPr>
          <w:rFonts w:ascii="Times New Roman" w:hAnsi="Times New Roman"/>
          <w:b/>
          <w:i/>
          <w:sz w:val="36"/>
          <w:szCs w:val="36"/>
        </w:rPr>
        <w:t>Law</w:t>
      </w:r>
    </w:p>
    <w:p w:rsidR="00032365" w:rsidRDefault="00032365">
      <w:pPr>
        <w:spacing w:after="0" w:line="240" w:lineRule="auto"/>
        <w:jc w:val="center"/>
        <w:rPr>
          <w:rFonts w:ascii="Times New Roman" w:hAnsi="Times New Roman"/>
          <w:b/>
          <w:i/>
          <w:sz w:val="24"/>
          <w:szCs w:val="24"/>
        </w:rPr>
      </w:pPr>
    </w:p>
    <w:p w:rsidR="00032365" w:rsidRDefault="002C7571">
      <w:pPr>
        <w:spacing w:after="0" w:line="240" w:lineRule="auto"/>
        <w:jc w:val="center"/>
        <w:rPr>
          <w:rStyle w:val="FootnoteReference"/>
          <w:rFonts w:ascii="Times New Roman" w:hAnsi="Times New Roman"/>
        </w:rPr>
      </w:pPr>
      <w:r w:rsidRPr="002C7571">
        <w:rPr>
          <w:rFonts w:ascii="Times New Roman" w:hAnsi="Times New Roman"/>
          <w:smallCaps/>
          <w:sz w:val="36"/>
          <w:szCs w:val="36"/>
        </w:rPr>
        <w:t>Jenny Steele</w:t>
      </w:r>
      <w:r w:rsidRPr="002C7571">
        <w:rPr>
          <w:rStyle w:val="FootnoteReference"/>
          <w:rFonts w:ascii="Times New Roman" w:hAnsi="Times New Roman"/>
        </w:rPr>
        <w:footnoteReference w:customMarkFollows="1" w:id="1"/>
        <w:sym w:font="Symbol" w:char="F02A"/>
      </w:r>
    </w:p>
    <w:p w:rsidR="00032365" w:rsidRDefault="00032365">
      <w:pPr>
        <w:spacing w:after="0" w:line="240" w:lineRule="auto"/>
        <w:jc w:val="center"/>
        <w:rPr>
          <w:rFonts w:ascii="Times New Roman" w:hAnsi="Times New Roman"/>
          <w:sz w:val="24"/>
          <w:szCs w:val="24"/>
        </w:rPr>
      </w:pPr>
    </w:p>
    <w:p w:rsidR="000D2AA7" w:rsidRDefault="002C7571">
      <w:pPr>
        <w:spacing w:after="0" w:line="240" w:lineRule="auto"/>
        <w:jc w:val="both"/>
        <w:rPr>
          <w:rFonts w:ascii="Times New Roman Bold" w:hAnsi="Times New Roman Bold"/>
          <w:b/>
          <w:smallCaps/>
          <w:sz w:val="32"/>
          <w:szCs w:val="32"/>
        </w:rPr>
      </w:pPr>
      <w:r w:rsidRPr="002C7571">
        <w:rPr>
          <w:rFonts w:ascii="Times New Roman Bold" w:hAnsi="Times New Roman Bold"/>
          <w:b/>
          <w:smallCaps/>
          <w:sz w:val="32"/>
          <w:szCs w:val="32"/>
        </w:rPr>
        <w:t>Introduction</w:t>
      </w:r>
    </w:p>
    <w:p w:rsidR="00032365" w:rsidRDefault="00032365">
      <w:pPr>
        <w:spacing w:after="0" w:line="240" w:lineRule="auto"/>
        <w:jc w:val="both"/>
        <w:rPr>
          <w:rFonts w:ascii="Times New Roman" w:hAnsi="Times New Roman"/>
          <w:sz w:val="24"/>
          <w:szCs w:val="24"/>
        </w:rPr>
      </w:pPr>
    </w:p>
    <w:p w:rsidR="005D625C" w:rsidRDefault="00C033D4">
      <w:pPr>
        <w:spacing w:after="0" w:line="240" w:lineRule="auto"/>
        <w:jc w:val="both"/>
        <w:rPr>
          <w:rFonts w:ascii="Times New Roman" w:hAnsi="Times New Roman"/>
          <w:sz w:val="24"/>
          <w:szCs w:val="24"/>
        </w:rPr>
      </w:pPr>
      <w:r>
        <w:rPr>
          <w:rFonts w:ascii="Times New Roman" w:hAnsi="Times New Roman"/>
          <w:sz w:val="24"/>
          <w:szCs w:val="24"/>
        </w:rPr>
        <w:t>Analysis of t</w:t>
      </w:r>
      <w:r w:rsidR="002C7571" w:rsidRPr="002C7571">
        <w:rPr>
          <w:rFonts w:ascii="Times New Roman" w:hAnsi="Times New Roman"/>
          <w:sz w:val="24"/>
          <w:szCs w:val="24"/>
        </w:rPr>
        <w:t xml:space="preserve">he relationship between tort and insurance, and particularly between liability insurance and what might broadly be called the branch of tort law relating to </w:t>
      </w:r>
      <w:r w:rsidR="004C7E67" w:rsidRPr="002E71C6">
        <w:rPr>
          <w:rFonts w:ascii="Times New Roman" w:hAnsi="Times New Roman"/>
          <w:sz w:val="24"/>
          <w:szCs w:val="24"/>
        </w:rPr>
        <w:t>“</w:t>
      </w:r>
      <w:r w:rsidR="002C7571" w:rsidRPr="002C7571">
        <w:rPr>
          <w:rFonts w:ascii="Times New Roman" w:hAnsi="Times New Roman"/>
          <w:sz w:val="24"/>
          <w:szCs w:val="24"/>
        </w:rPr>
        <w:t>accidents</w:t>
      </w:r>
      <w:r w:rsidR="004C7E67" w:rsidRPr="002E71C6">
        <w:rPr>
          <w:rFonts w:ascii="Times New Roman" w:hAnsi="Times New Roman"/>
          <w:sz w:val="24"/>
          <w:szCs w:val="24"/>
        </w:rPr>
        <w:t>”</w:t>
      </w:r>
      <w:r w:rsidR="002C7571" w:rsidRPr="002C7571">
        <w:rPr>
          <w:rFonts w:ascii="Times New Roman" w:hAnsi="Times New Roman"/>
          <w:sz w:val="24"/>
          <w:szCs w:val="24"/>
        </w:rPr>
        <w:t>,</w:t>
      </w:r>
      <w:bookmarkStart w:id="0" w:name="_Ref293762701"/>
      <w:r w:rsidR="004C7E67" w:rsidRPr="002E71C6">
        <w:rPr>
          <w:rStyle w:val="FootnoteReference"/>
          <w:rFonts w:ascii="Times New Roman" w:hAnsi="Times New Roman"/>
          <w:sz w:val="24"/>
          <w:szCs w:val="24"/>
        </w:rPr>
        <w:footnoteReference w:id="2"/>
      </w:r>
      <w:bookmarkEnd w:id="0"/>
      <w:r w:rsidR="002C7571" w:rsidRPr="002C7571">
        <w:rPr>
          <w:rFonts w:ascii="Times New Roman" w:hAnsi="Times New Roman"/>
          <w:sz w:val="24"/>
          <w:szCs w:val="24"/>
        </w:rPr>
        <w:t xml:space="preserve"> is of very long standing.</w:t>
      </w:r>
      <w:bookmarkStart w:id="1" w:name="_Ref293145477"/>
      <w:r w:rsidR="004C7E67" w:rsidRPr="002E71C6">
        <w:rPr>
          <w:rStyle w:val="FootnoteReference"/>
          <w:rFonts w:ascii="Times New Roman" w:hAnsi="Times New Roman"/>
          <w:sz w:val="24"/>
          <w:szCs w:val="24"/>
        </w:rPr>
        <w:footnoteReference w:id="3"/>
      </w:r>
      <w:bookmarkEnd w:id="1"/>
      <w:r w:rsidR="002C7571" w:rsidRPr="002C7571">
        <w:rPr>
          <w:rFonts w:ascii="Times New Roman" w:hAnsi="Times New Roman"/>
          <w:sz w:val="24"/>
          <w:szCs w:val="24"/>
        </w:rPr>
        <w:t xml:space="preserve"> The starting point for this </w:t>
      </w:r>
      <w:r w:rsidR="004C7E67" w:rsidRPr="002E71C6">
        <w:rPr>
          <w:rFonts w:ascii="Times New Roman" w:hAnsi="Times New Roman"/>
          <w:sz w:val="24"/>
          <w:szCs w:val="24"/>
        </w:rPr>
        <w:t xml:space="preserve">chapter </w:t>
      </w:r>
      <w:r w:rsidR="002C7571" w:rsidRPr="002C7571">
        <w:rPr>
          <w:rFonts w:ascii="Times New Roman" w:hAnsi="Times New Roman"/>
          <w:sz w:val="24"/>
          <w:szCs w:val="24"/>
        </w:rPr>
        <w:t xml:space="preserve">is a simple observation about the way that relationship </w:t>
      </w:r>
      <w:r w:rsidR="000D475B">
        <w:rPr>
          <w:rFonts w:ascii="Times New Roman" w:hAnsi="Times New Roman"/>
          <w:sz w:val="24"/>
          <w:szCs w:val="24"/>
        </w:rPr>
        <w:t xml:space="preserve">has </w:t>
      </w:r>
      <w:r w:rsidR="002C7571" w:rsidRPr="002C7571">
        <w:rPr>
          <w:rFonts w:ascii="Times New Roman" w:hAnsi="Times New Roman"/>
          <w:sz w:val="24"/>
          <w:szCs w:val="24"/>
        </w:rPr>
        <w:t xml:space="preserve">generally </w:t>
      </w:r>
      <w:r w:rsidR="000D475B">
        <w:rPr>
          <w:rFonts w:ascii="Times New Roman" w:hAnsi="Times New Roman"/>
          <w:sz w:val="24"/>
          <w:szCs w:val="24"/>
        </w:rPr>
        <w:t xml:space="preserve">been </w:t>
      </w:r>
      <w:r w:rsidR="002C7571" w:rsidRPr="002C7571">
        <w:rPr>
          <w:rFonts w:ascii="Times New Roman" w:hAnsi="Times New Roman"/>
          <w:sz w:val="24"/>
          <w:szCs w:val="24"/>
        </w:rPr>
        <w:t>debated, and what is typically missing from the debate.</w:t>
      </w:r>
      <w:r w:rsidR="004C7E67" w:rsidRPr="002E71C6">
        <w:rPr>
          <w:rFonts w:ascii="Times New Roman" w:hAnsi="Times New Roman"/>
          <w:sz w:val="24"/>
          <w:szCs w:val="24"/>
        </w:rPr>
        <w:t xml:space="preserve"> </w:t>
      </w:r>
      <w:r w:rsidR="002C7571" w:rsidRPr="002C7571">
        <w:rPr>
          <w:rFonts w:ascii="Times New Roman" w:hAnsi="Times New Roman"/>
          <w:sz w:val="24"/>
          <w:szCs w:val="24"/>
        </w:rPr>
        <w:t xml:space="preserve">That is, the tort-insurance relationship has typically been explored without reflection on </w:t>
      </w:r>
      <w:r>
        <w:rPr>
          <w:rFonts w:ascii="Times New Roman" w:hAnsi="Times New Roman"/>
          <w:sz w:val="24"/>
          <w:szCs w:val="24"/>
        </w:rPr>
        <w:t xml:space="preserve">the legal structures associated with </w:t>
      </w:r>
      <w:r w:rsidR="002C7571" w:rsidRPr="002C7571">
        <w:rPr>
          <w:rFonts w:ascii="Times New Roman" w:hAnsi="Times New Roman"/>
          <w:sz w:val="24"/>
          <w:szCs w:val="24"/>
        </w:rPr>
        <w:t>insurance</w:t>
      </w:r>
      <w:r>
        <w:rPr>
          <w:rFonts w:ascii="Times New Roman" w:hAnsi="Times New Roman"/>
          <w:sz w:val="24"/>
          <w:szCs w:val="24"/>
        </w:rPr>
        <w:t xml:space="preserve">, or (in other words) on the sizeable body of insurance </w:t>
      </w:r>
      <w:r>
        <w:rPr>
          <w:rFonts w:ascii="Times New Roman" w:hAnsi="Times New Roman"/>
          <w:i/>
          <w:sz w:val="24"/>
          <w:szCs w:val="24"/>
        </w:rPr>
        <w:t>law</w:t>
      </w:r>
      <w:r w:rsidR="004A6327">
        <w:rPr>
          <w:rFonts w:ascii="Times New Roman" w:hAnsi="Times New Roman"/>
          <w:sz w:val="24"/>
          <w:szCs w:val="24"/>
        </w:rPr>
        <w:t>.</w:t>
      </w:r>
      <w:r w:rsidR="00D80BAA" w:rsidRPr="00D80BAA">
        <w:rPr>
          <w:rFonts w:ascii="Times New Roman" w:hAnsi="Times New Roman"/>
          <w:sz w:val="24"/>
          <w:szCs w:val="24"/>
          <w:vertAlign w:val="superscript"/>
        </w:rPr>
        <w:t xml:space="preserve"> </w:t>
      </w:r>
      <w:r w:rsidR="00D80BAA" w:rsidRPr="002E71C6">
        <w:rPr>
          <w:rFonts w:ascii="Times New Roman" w:hAnsi="Times New Roman"/>
          <w:sz w:val="24"/>
          <w:szCs w:val="24"/>
          <w:vertAlign w:val="superscript"/>
        </w:rPr>
        <w:footnoteReference w:id="4"/>
      </w:r>
      <w:r w:rsidR="002C7571" w:rsidRPr="002C7571">
        <w:rPr>
          <w:rFonts w:ascii="Times New Roman" w:hAnsi="Times New Roman"/>
          <w:sz w:val="24"/>
          <w:szCs w:val="24"/>
        </w:rPr>
        <w:t xml:space="preserve"> </w:t>
      </w:r>
      <w:r w:rsidR="000D475B">
        <w:rPr>
          <w:rFonts w:ascii="Times New Roman" w:hAnsi="Times New Roman"/>
          <w:sz w:val="24"/>
          <w:szCs w:val="24"/>
        </w:rPr>
        <w:t>This could be seen as curious</w:t>
      </w:r>
      <w:r w:rsidR="005D625C">
        <w:rPr>
          <w:rFonts w:ascii="Times New Roman" w:hAnsi="Times New Roman"/>
          <w:sz w:val="24"/>
          <w:szCs w:val="24"/>
        </w:rPr>
        <w:t>,</w:t>
      </w:r>
      <w:r w:rsidR="008E5DA9">
        <w:rPr>
          <w:rFonts w:ascii="Times New Roman" w:hAnsi="Times New Roman"/>
          <w:sz w:val="24"/>
          <w:szCs w:val="24"/>
        </w:rPr>
        <w:t xml:space="preserve"> given the prevalence of contractual principles in the law of insurance, and indeed given the existence of parallel questions about the role of insurance in the interpretation of </w:t>
      </w:r>
      <w:r w:rsidR="00F97884">
        <w:rPr>
          <w:rFonts w:ascii="Times New Roman" w:hAnsi="Times New Roman"/>
          <w:sz w:val="24"/>
          <w:szCs w:val="24"/>
        </w:rPr>
        <w:t>contracts</w:t>
      </w:r>
      <w:r w:rsidR="000D475B">
        <w:rPr>
          <w:rFonts w:ascii="Times New Roman" w:hAnsi="Times New Roman"/>
          <w:sz w:val="24"/>
          <w:szCs w:val="24"/>
        </w:rPr>
        <w:t>.</w:t>
      </w:r>
      <w:r w:rsidR="008E5DA9">
        <w:rPr>
          <w:rFonts w:ascii="Times New Roman" w:hAnsi="Times New Roman"/>
          <w:sz w:val="24"/>
          <w:szCs w:val="24"/>
        </w:rPr>
        <w:t xml:space="preserve"> As in tort, so also in contract, there is a question about the relevance of insurance </w:t>
      </w:r>
      <w:r w:rsidR="00F97884">
        <w:rPr>
          <w:rFonts w:ascii="Times New Roman" w:hAnsi="Times New Roman"/>
          <w:sz w:val="24"/>
          <w:szCs w:val="24"/>
        </w:rPr>
        <w:t xml:space="preserve">and insurability </w:t>
      </w:r>
      <w:r w:rsidR="008E5DA9">
        <w:rPr>
          <w:rFonts w:ascii="Times New Roman" w:hAnsi="Times New Roman"/>
          <w:sz w:val="24"/>
          <w:szCs w:val="24"/>
        </w:rPr>
        <w:t xml:space="preserve">to interpretation of </w:t>
      </w:r>
      <w:r w:rsidR="00F97884">
        <w:rPr>
          <w:rFonts w:ascii="Times New Roman" w:hAnsi="Times New Roman"/>
          <w:sz w:val="24"/>
          <w:szCs w:val="24"/>
        </w:rPr>
        <w:t xml:space="preserve">the </w:t>
      </w:r>
      <w:r w:rsidR="008E5DA9">
        <w:rPr>
          <w:rFonts w:ascii="Times New Roman" w:hAnsi="Times New Roman"/>
          <w:sz w:val="24"/>
          <w:szCs w:val="24"/>
        </w:rPr>
        <w:t>duties</w:t>
      </w:r>
      <w:r w:rsidR="00F97884">
        <w:rPr>
          <w:rFonts w:ascii="Times New Roman" w:hAnsi="Times New Roman"/>
          <w:sz w:val="24"/>
          <w:szCs w:val="24"/>
        </w:rPr>
        <w:t xml:space="preserve"> between parties</w:t>
      </w:r>
      <w:r w:rsidR="008E5DA9">
        <w:rPr>
          <w:rFonts w:ascii="Times New Roman" w:hAnsi="Times New Roman"/>
          <w:sz w:val="24"/>
          <w:szCs w:val="24"/>
        </w:rPr>
        <w:t xml:space="preserve">. </w:t>
      </w:r>
      <w:r w:rsidR="00F97884">
        <w:rPr>
          <w:rFonts w:ascii="Times New Roman" w:hAnsi="Times New Roman"/>
          <w:sz w:val="24"/>
          <w:szCs w:val="24"/>
        </w:rPr>
        <w:t>Equally, t</w:t>
      </w:r>
      <w:r w:rsidR="008E5DA9">
        <w:rPr>
          <w:rFonts w:ascii="Times New Roman" w:hAnsi="Times New Roman"/>
          <w:sz w:val="24"/>
          <w:szCs w:val="24"/>
        </w:rPr>
        <w:t xml:space="preserve">he existence of insurance and extent of cover is itself a product partly of contractual agreement, and partly of </w:t>
      </w:r>
      <w:r w:rsidR="00F97884">
        <w:rPr>
          <w:rFonts w:ascii="Times New Roman" w:hAnsi="Times New Roman"/>
          <w:sz w:val="24"/>
          <w:szCs w:val="24"/>
        </w:rPr>
        <w:t xml:space="preserve">legal </w:t>
      </w:r>
      <w:r w:rsidR="008E5DA9">
        <w:rPr>
          <w:rFonts w:ascii="Times New Roman" w:hAnsi="Times New Roman"/>
          <w:sz w:val="24"/>
          <w:szCs w:val="24"/>
        </w:rPr>
        <w:t xml:space="preserve">regulation. </w:t>
      </w:r>
    </w:p>
    <w:p w:rsidR="00A3418F" w:rsidRDefault="00C033D4" w:rsidP="00CA2822">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 xml:space="preserve">On the whole, </w:t>
      </w:r>
      <w:r w:rsidR="00D80BAA">
        <w:rPr>
          <w:rFonts w:ascii="Times New Roman" w:hAnsi="Times New Roman"/>
          <w:sz w:val="24"/>
          <w:szCs w:val="24"/>
        </w:rPr>
        <w:t>tort lawyers considering</w:t>
      </w:r>
      <w:r w:rsidR="000D475B">
        <w:rPr>
          <w:rFonts w:ascii="Times New Roman" w:hAnsi="Times New Roman"/>
          <w:sz w:val="24"/>
          <w:szCs w:val="24"/>
        </w:rPr>
        <w:t xml:space="preserve"> the relationship between tort and insurance </w:t>
      </w:r>
      <w:r>
        <w:rPr>
          <w:rFonts w:ascii="Times New Roman" w:hAnsi="Times New Roman"/>
          <w:sz w:val="24"/>
          <w:szCs w:val="24"/>
        </w:rPr>
        <w:t xml:space="preserve">have </w:t>
      </w:r>
      <w:r w:rsidR="00F97884">
        <w:rPr>
          <w:rFonts w:ascii="Times New Roman" w:hAnsi="Times New Roman"/>
          <w:sz w:val="24"/>
          <w:szCs w:val="24"/>
        </w:rPr>
        <w:t>glossed over the lega</w:t>
      </w:r>
      <w:r w:rsidR="00C14934">
        <w:rPr>
          <w:rFonts w:ascii="Times New Roman" w:hAnsi="Times New Roman"/>
          <w:sz w:val="24"/>
          <w:szCs w:val="24"/>
        </w:rPr>
        <w:t>l structure of insurance and the</w:t>
      </w:r>
      <w:r w:rsidR="00F97884">
        <w:rPr>
          <w:rFonts w:ascii="Times New Roman" w:hAnsi="Times New Roman"/>
          <w:sz w:val="24"/>
          <w:szCs w:val="24"/>
        </w:rPr>
        <w:t xml:space="preserve"> broader </w:t>
      </w:r>
      <w:r w:rsidR="00C14934">
        <w:rPr>
          <w:rFonts w:ascii="Times New Roman" w:hAnsi="Times New Roman"/>
          <w:sz w:val="24"/>
          <w:szCs w:val="24"/>
        </w:rPr>
        <w:t>connections between insurance and</w:t>
      </w:r>
      <w:r w:rsidR="00F97884">
        <w:rPr>
          <w:rFonts w:ascii="Times New Roman" w:hAnsi="Times New Roman"/>
          <w:sz w:val="24"/>
          <w:szCs w:val="24"/>
        </w:rPr>
        <w:t xml:space="preserve"> private law, and have </w:t>
      </w:r>
      <w:r>
        <w:rPr>
          <w:rFonts w:ascii="Times New Roman" w:hAnsi="Times New Roman"/>
          <w:sz w:val="24"/>
          <w:szCs w:val="24"/>
        </w:rPr>
        <w:t xml:space="preserve">approached ‘insurance’ </w:t>
      </w:r>
      <w:r w:rsidR="000D475B">
        <w:rPr>
          <w:rFonts w:ascii="Times New Roman" w:hAnsi="Times New Roman"/>
          <w:sz w:val="24"/>
          <w:szCs w:val="24"/>
        </w:rPr>
        <w:t xml:space="preserve">not in terms of the legal principles (including contractual principles) that constitute and </w:t>
      </w:r>
      <w:r w:rsidR="008E5DA9">
        <w:rPr>
          <w:rFonts w:ascii="Times New Roman" w:hAnsi="Times New Roman"/>
          <w:sz w:val="24"/>
          <w:szCs w:val="24"/>
        </w:rPr>
        <w:t>regulate insurance in practice</w:t>
      </w:r>
      <w:r w:rsidR="000D475B">
        <w:rPr>
          <w:rFonts w:ascii="Times New Roman" w:hAnsi="Times New Roman"/>
          <w:sz w:val="24"/>
          <w:szCs w:val="24"/>
        </w:rPr>
        <w:t xml:space="preserve">, but </w:t>
      </w:r>
      <w:r>
        <w:rPr>
          <w:rFonts w:ascii="Times New Roman" w:hAnsi="Times New Roman"/>
          <w:sz w:val="24"/>
          <w:szCs w:val="24"/>
        </w:rPr>
        <w:t>as a set of arrangements</w:t>
      </w:r>
      <w:r w:rsidR="00F95766">
        <w:rPr>
          <w:rFonts w:ascii="Times New Roman" w:hAnsi="Times New Roman"/>
          <w:sz w:val="24"/>
          <w:szCs w:val="24"/>
        </w:rPr>
        <w:t>, and potential arrangements,</w:t>
      </w:r>
      <w:r>
        <w:rPr>
          <w:rFonts w:ascii="Times New Roman" w:hAnsi="Times New Roman"/>
          <w:sz w:val="24"/>
          <w:szCs w:val="24"/>
        </w:rPr>
        <w:t xml:space="preserve"> whose importance lies above all in its distributive effects. </w:t>
      </w:r>
      <w:r w:rsidR="000D475B">
        <w:rPr>
          <w:rFonts w:ascii="Times New Roman" w:hAnsi="Times New Roman"/>
          <w:sz w:val="24"/>
          <w:szCs w:val="24"/>
        </w:rPr>
        <w:t xml:space="preserve">This focus </w:t>
      </w:r>
      <w:r w:rsidR="008E5DA9">
        <w:rPr>
          <w:rFonts w:ascii="Times New Roman" w:hAnsi="Times New Roman"/>
          <w:sz w:val="24"/>
          <w:szCs w:val="24"/>
        </w:rPr>
        <w:t xml:space="preserve">on the distributive effects of insurance </w:t>
      </w:r>
      <w:r w:rsidR="005D625C">
        <w:rPr>
          <w:rFonts w:ascii="Times New Roman" w:hAnsi="Times New Roman"/>
          <w:sz w:val="24"/>
          <w:szCs w:val="24"/>
        </w:rPr>
        <w:t xml:space="preserve">is not confined to </w:t>
      </w:r>
      <w:r w:rsidR="004B5C93">
        <w:rPr>
          <w:rFonts w:ascii="Times New Roman" w:hAnsi="Times New Roman"/>
          <w:sz w:val="24"/>
          <w:szCs w:val="24"/>
        </w:rPr>
        <w:t>tort</w:t>
      </w:r>
      <w:r w:rsidR="005D625C">
        <w:rPr>
          <w:rFonts w:ascii="Times New Roman" w:hAnsi="Times New Roman"/>
          <w:sz w:val="24"/>
          <w:szCs w:val="24"/>
        </w:rPr>
        <w:t xml:space="preserve"> scholarship, though it is perhaps surprising to find it </w:t>
      </w:r>
      <w:r w:rsidR="00564F0A">
        <w:rPr>
          <w:rFonts w:ascii="Times New Roman" w:hAnsi="Times New Roman"/>
          <w:sz w:val="24"/>
          <w:szCs w:val="24"/>
        </w:rPr>
        <w:t xml:space="preserve">so strongly represented </w:t>
      </w:r>
      <w:r w:rsidR="005D625C">
        <w:rPr>
          <w:rFonts w:ascii="Times New Roman" w:hAnsi="Times New Roman"/>
          <w:sz w:val="24"/>
          <w:szCs w:val="24"/>
        </w:rPr>
        <w:t xml:space="preserve">in </w:t>
      </w:r>
      <w:r w:rsidR="004B5C93">
        <w:rPr>
          <w:rFonts w:ascii="Times New Roman" w:hAnsi="Times New Roman"/>
          <w:sz w:val="24"/>
          <w:szCs w:val="24"/>
        </w:rPr>
        <w:t>tort</w:t>
      </w:r>
      <w:r w:rsidR="005D625C">
        <w:rPr>
          <w:rFonts w:ascii="Times New Roman" w:hAnsi="Times New Roman"/>
          <w:sz w:val="24"/>
          <w:szCs w:val="24"/>
        </w:rPr>
        <w:t xml:space="preserve"> scholarship since insurance could equally be approached in terms of </w:t>
      </w:r>
      <w:r w:rsidR="00564F0A">
        <w:rPr>
          <w:rFonts w:ascii="Times New Roman" w:hAnsi="Times New Roman"/>
          <w:sz w:val="24"/>
          <w:szCs w:val="24"/>
        </w:rPr>
        <w:t>party transactions and regulation</w:t>
      </w:r>
      <w:r w:rsidR="005D625C">
        <w:rPr>
          <w:rFonts w:ascii="Times New Roman" w:hAnsi="Times New Roman"/>
          <w:sz w:val="24"/>
          <w:szCs w:val="24"/>
        </w:rPr>
        <w:t xml:space="preserve">. The </w:t>
      </w:r>
      <w:r w:rsidR="009564BD">
        <w:rPr>
          <w:rFonts w:ascii="Times New Roman" w:hAnsi="Times New Roman"/>
          <w:sz w:val="24"/>
          <w:szCs w:val="24"/>
        </w:rPr>
        <w:t xml:space="preserve">identification of insurance with distribution </w:t>
      </w:r>
      <w:r w:rsidR="000D475B">
        <w:rPr>
          <w:rFonts w:ascii="Times New Roman" w:hAnsi="Times New Roman"/>
          <w:sz w:val="24"/>
          <w:szCs w:val="24"/>
        </w:rPr>
        <w:t xml:space="preserve">has had a strong influence on the way that the important interface between tort and insurance has been debated. </w:t>
      </w:r>
      <w:r>
        <w:rPr>
          <w:rFonts w:ascii="Times New Roman" w:hAnsi="Times New Roman"/>
          <w:sz w:val="24"/>
          <w:szCs w:val="24"/>
        </w:rPr>
        <w:t>There are those who argue that the interface, in practice, between tort law and insurance</w:t>
      </w:r>
      <w:r w:rsidR="000D475B">
        <w:rPr>
          <w:rFonts w:ascii="Times New Roman" w:hAnsi="Times New Roman"/>
          <w:sz w:val="24"/>
          <w:szCs w:val="24"/>
        </w:rPr>
        <w:t xml:space="preserve"> has </w:t>
      </w:r>
      <w:r w:rsidR="005D625C">
        <w:rPr>
          <w:rFonts w:ascii="Times New Roman" w:hAnsi="Times New Roman"/>
          <w:sz w:val="24"/>
          <w:szCs w:val="24"/>
        </w:rPr>
        <w:t xml:space="preserve">been wholly transformative, even to the extent of rendering </w:t>
      </w:r>
      <w:r w:rsidR="000D475B">
        <w:rPr>
          <w:rFonts w:ascii="Times New Roman" w:hAnsi="Times New Roman"/>
          <w:sz w:val="24"/>
          <w:szCs w:val="24"/>
        </w:rPr>
        <w:t>the doctrinal structure of tort law a mere façade</w:t>
      </w:r>
      <w:r w:rsidR="00CF40DF">
        <w:rPr>
          <w:rFonts w:ascii="Times New Roman" w:hAnsi="Times New Roman"/>
          <w:sz w:val="24"/>
          <w:szCs w:val="24"/>
        </w:rPr>
        <w:t>: tort is scarcely a part of private law any longer</w:t>
      </w:r>
      <w:r w:rsidR="000D475B">
        <w:rPr>
          <w:rFonts w:ascii="Times New Roman" w:hAnsi="Times New Roman"/>
          <w:sz w:val="24"/>
          <w:szCs w:val="24"/>
        </w:rPr>
        <w:t>.</w:t>
      </w:r>
      <w:r w:rsidR="00CF40DF" w:rsidRPr="002E71C6" w:rsidDel="00CF40DF">
        <w:rPr>
          <w:rFonts w:ascii="Times New Roman" w:hAnsi="Times New Roman"/>
          <w:sz w:val="24"/>
          <w:szCs w:val="24"/>
          <w:vertAlign w:val="superscript"/>
        </w:rPr>
        <w:footnoteReference w:id="5"/>
      </w:r>
      <w:r w:rsidR="00CF40DF" w:rsidRPr="002C7571" w:rsidDel="00CF40DF">
        <w:rPr>
          <w:rFonts w:ascii="Times New Roman" w:hAnsi="Times New Roman"/>
          <w:sz w:val="24"/>
          <w:szCs w:val="24"/>
        </w:rPr>
        <w:t xml:space="preserve"> </w:t>
      </w:r>
      <w:r w:rsidR="005D625C">
        <w:rPr>
          <w:rFonts w:ascii="Times New Roman" w:hAnsi="Times New Roman"/>
          <w:sz w:val="24"/>
          <w:szCs w:val="24"/>
        </w:rPr>
        <w:t xml:space="preserve">I do not make this claim, and indeed I am centrally interested in the doctrinal </w:t>
      </w:r>
      <w:r w:rsidR="009564BD">
        <w:rPr>
          <w:rFonts w:ascii="Times New Roman" w:hAnsi="Times New Roman"/>
          <w:sz w:val="24"/>
          <w:szCs w:val="24"/>
        </w:rPr>
        <w:t xml:space="preserve">connections </w:t>
      </w:r>
      <w:r w:rsidR="005D625C">
        <w:rPr>
          <w:rFonts w:ascii="Times New Roman" w:hAnsi="Times New Roman"/>
          <w:sz w:val="24"/>
          <w:szCs w:val="24"/>
        </w:rPr>
        <w:t xml:space="preserve">(and what </w:t>
      </w:r>
      <w:r w:rsidR="009564BD">
        <w:rPr>
          <w:rFonts w:ascii="Times New Roman" w:hAnsi="Times New Roman"/>
          <w:sz w:val="24"/>
          <w:szCs w:val="24"/>
        </w:rPr>
        <w:t>they imply</w:t>
      </w:r>
      <w:r w:rsidR="005D625C">
        <w:rPr>
          <w:rFonts w:ascii="Times New Roman" w:hAnsi="Times New Roman"/>
          <w:sz w:val="24"/>
          <w:szCs w:val="24"/>
        </w:rPr>
        <w:t xml:space="preserve">) between tort and insurance law. </w:t>
      </w:r>
      <w:r w:rsidR="00F2201E">
        <w:rPr>
          <w:rFonts w:ascii="Times New Roman" w:hAnsi="Times New Roman"/>
          <w:sz w:val="24"/>
          <w:szCs w:val="24"/>
        </w:rPr>
        <w:t xml:space="preserve">On the other hand, </w:t>
      </w:r>
      <w:r w:rsidR="005D625C">
        <w:rPr>
          <w:rFonts w:ascii="Times New Roman" w:hAnsi="Times New Roman"/>
          <w:sz w:val="24"/>
          <w:szCs w:val="24"/>
        </w:rPr>
        <w:t>in resisting the</w:t>
      </w:r>
      <w:r w:rsidR="000D475B">
        <w:rPr>
          <w:rFonts w:ascii="Times New Roman" w:hAnsi="Times New Roman"/>
          <w:sz w:val="24"/>
          <w:szCs w:val="24"/>
        </w:rPr>
        <w:t xml:space="preserve"> argument</w:t>
      </w:r>
      <w:r w:rsidR="005D625C">
        <w:rPr>
          <w:rFonts w:ascii="Times New Roman" w:hAnsi="Times New Roman"/>
          <w:sz w:val="24"/>
          <w:szCs w:val="24"/>
        </w:rPr>
        <w:t xml:space="preserve"> that tort has been transformed by its interface with insurance to the extent that its doctrinal structure is a facade</w:t>
      </w:r>
      <w:r w:rsidR="000D475B">
        <w:rPr>
          <w:rFonts w:ascii="Times New Roman" w:hAnsi="Times New Roman"/>
          <w:sz w:val="24"/>
          <w:szCs w:val="24"/>
        </w:rPr>
        <w:t xml:space="preserve">, </w:t>
      </w:r>
      <w:r w:rsidR="005D625C">
        <w:rPr>
          <w:rFonts w:ascii="Times New Roman" w:hAnsi="Times New Roman"/>
          <w:sz w:val="24"/>
          <w:szCs w:val="24"/>
        </w:rPr>
        <w:t xml:space="preserve">scholars who urge the independence of tort from insurance once again take </w:t>
      </w:r>
      <w:r w:rsidR="000D475B">
        <w:rPr>
          <w:rFonts w:ascii="Times New Roman" w:hAnsi="Times New Roman"/>
          <w:sz w:val="24"/>
          <w:szCs w:val="24"/>
        </w:rPr>
        <w:t xml:space="preserve">the distributive character of insurance </w:t>
      </w:r>
      <w:r w:rsidR="005D625C">
        <w:rPr>
          <w:rFonts w:ascii="Times New Roman" w:hAnsi="Times New Roman"/>
          <w:sz w:val="24"/>
          <w:szCs w:val="24"/>
        </w:rPr>
        <w:t>as key. This time,</w:t>
      </w:r>
      <w:r w:rsidR="000D475B">
        <w:rPr>
          <w:rFonts w:ascii="Times New Roman" w:hAnsi="Times New Roman"/>
          <w:sz w:val="24"/>
          <w:szCs w:val="24"/>
        </w:rPr>
        <w:t xml:space="preserve"> scholars </w:t>
      </w:r>
      <w:r w:rsidR="005D625C">
        <w:rPr>
          <w:rFonts w:ascii="Times New Roman" w:hAnsi="Times New Roman"/>
          <w:sz w:val="24"/>
          <w:szCs w:val="24"/>
        </w:rPr>
        <w:t xml:space="preserve">urge that </w:t>
      </w:r>
      <w:r w:rsidR="00D92450">
        <w:rPr>
          <w:rFonts w:ascii="Times New Roman" w:hAnsi="Times New Roman"/>
          <w:sz w:val="24"/>
          <w:szCs w:val="24"/>
        </w:rPr>
        <w:t xml:space="preserve">a </w:t>
      </w:r>
      <w:r w:rsidR="000D475B">
        <w:rPr>
          <w:rFonts w:ascii="Times New Roman" w:hAnsi="Times New Roman"/>
          <w:sz w:val="24"/>
          <w:szCs w:val="24"/>
        </w:rPr>
        <w:t xml:space="preserve">concern with </w:t>
      </w:r>
      <w:r w:rsidR="00D92450">
        <w:rPr>
          <w:rFonts w:ascii="Times New Roman" w:hAnsi="Times New Roman"/>
          <w:sz w:val="24"/>
          <w:szCs w:val="24"/>
        </w:rPr>
        <w:t xml:space="preserve">insurance is generally a concern with </w:t>
      </w:r>
      <w:r w:rsidR="005D625C">
        <w:rPr>
          <w:rFonts w:ascii="Times New Roman" w:hAnsi="Times New Roman"/>
          <w:sz w:val="24"/>
          <w:szCs w:val="24"/>
        </w:rPr>
        <w:t>securing compensation</w:t>
      </w:r>
      <w:r w:rsidR="00F2201E">
        <w:rPr>
          <w:rFonts w:ascii="Times New Roman" w:hAnsi="Times New Roman"/>
          <w:sz w:val="24"/>
          <w:szCs w:val="24"/>
        </w:rPr>
        <w:t xml:space="preserve"> by distributing the costs</w:t>
      </w:r>
      <w:r w:rsidR="00D43F9F">
        <w:rPr>
          <w:rFonts w:ascii="Times New Roman" w:hAnsi="Times New Roman"/>
          <w:sz w:val="24"/>
          <w:szCs w:val="24"/>
        </w:rPr>
        <w:t>. Adopting such a concern</w:t>
      </w:r>
      <w:r w:rsidR="000D475B">
        <w:rPr>
          <w:rFonts w:ascii="Times New Roman" w:hAnsi="Times New Roman"/>
          <w:sz w:val="24"/>
          <w:szCs w:val="24"/>
        </w:rPr>
        <w:t xml:space="preserve"> will be self-defeating for the law of tort,</w:t>
      </w:r>
      <w:r w:rsidR="00D92450">
        <w:rPr>
          <w:rFonts w:ascii="Times New Roman" w:hAnsi="Times New Roman"/>
          <w:sz w:val="24"/>
          <w:szCs w:val="24"/>
        </w:rPr>
        <w:t xml:space="preserve"> since it is the job of the law of tort to determine in which circumstances compensation ought to be payable. T</w:t>
      </w:r>
      <w:r w:rsidR="000D475B">
        <w:rPr>
          <w:rFonts w:ascii="Times New Roman" w:hAnsi="Times New Roman"/>
          <w:sz w:val="24"/>
          <w:szCs w:val="24"/>
        </w:rPr>
        <w:t>ort scholarship ought not to engage with questions</w:t>
      </w:r>
      <w:r w:rsidR="00D92450">
        <w:rPr>
          <w:rFonts w:ascii="Times New Roman" w:hAnsi="Times New Roman"/>
          <w:sz w:val="24"/>
          <w:szCs w:val="24"/>
        </w:rPr>
        <w:t xml:space="preserve"> about the availability of compensation</w:t>
      </w:r>
      <w:r w:rsidR="00CF46E0">
        <w:rPr>
          <w:rFonts w:ascii="Times New Roman" w:hAnsi="Times New Roman"/>
          <w:sz w:val="24"/>
          <w:szCs w:val="24"/>
        </w:rPr>
        <w:t>, and to do so leads to circularity</w:t>
      </w:r>
      <w:r w:rsidR="000D475B">
        <w:rPr>
          <w:rFonts w:ascii="Times New Roman" w:hAnsi="Times New Roman"/>
          <w:sz w:val="24"/>
          <w:szCs w:val="24"/>
        </w:rPr>
        <w:t>.</w:t>
      </w:r>
      <w:r w:rsidR="009C5994">
        <w:rPr>
          <w:rFonts w:ascii="Times New Roman" w:hAnsi="Times New Roman"/>
          <w:sz w:val="24"/>
          <w:szCs w:val="24"/>
        </w:rPr>
        <w:t xml:space="preserve"> </w:t>
      </w:r>
    </w:p>
    <w:p w:rsidR="00A3418F" w:rsidRDefault="009C5994" w:rsidP="00CA2822">
      <w:pPr>
        <w:spacing w:after="0" w:line="240" w:lineRule="auto"/>
        <w:ind w:firstLine="284"/>
        <w:jc w:val="both"/>
      </w:pPr>
      <w:r>
        <w:rPr>
          <w:rFonts w:ascii="Times New Roman" w:hAnsi="Times New Roman"/>
          <w:sz w:val="24"/>
          <w:szCs w:val="24"/>
        </w:rPr>
        <w:t>One of the most celebrated articles in this field, Jane Stapleton’s ‘Tort, Insurance and Ideology’,</w:t>
      </w:r>
      <w:r>
        <w:rPr>
          <w:rStyle w:val="FootnoteReference"/>
          <w:rFonts w:ascii="Times New Roman" w:hAnsi="Times New Roman"/>
          <w:sz w:val="24"/>
          <w:szCs w:val="24"/>
        </w:rPr>
        <w:footnoteReference w:id="6"/>
      </w:r>
      <w:r>
        <w:rPr>
          <w:rFonts w:ascii="Times New Roman" w:hAnsi="Times New Roman"/>
          <w:sz w:val="24"/>
          <w:szCs w:val="24"/>
        </w:rPr>
        <w:t xml:space="preserve"> </w:t>
      </w:r>
      <w:r w:rsidR="00D92450">
        <w:rPr>
          <w:rFonts w:ascii="Times New Roman" w:hAnsi="Times New Roman"/>
          <w:sz w:val="24"/>
          <w:szCs w:val="24"/>
        </w:rPr>
        <w:t xml:space="preserve">is distinctive in that it </w:t>
      </w:r>
      <w:r>
        <w:rPr>
          <w:rFonts w:ascii="Times New Roman" w:hAnsi="Times New Roman"/>
          <w:sz w:val="24"/>
          <w:szCs w:val="24"/>
        </w:rPr>
        <w:t xml:space="preserve">contrasts tort law </w:t>
      </w:r>
      <w:r w:rsidR="009564BD">
        <w:rPr>
          <w:rFonts w:ascii="Times New Roman" w:hAnsi="Times New Roman"/>
          <w:sz w:val="24"/>
          <w:szCs w:val="24"/>
        </w:rPr>
        <w:t xml:space="preserve">(as a form of ‘restoration’ of victims) </w:t>
      </w:r>
      <w:r>
        <w:rPr>
          <w:rFonts w:ascii="Times New Roman" w:hAnsi="Times New Roman"/>
          <w:sz w:val="24"/>
          <w:szCs w:val="24"/>
        </w:rPr>
        <w:t xml:space="preserve">with two other potential approaches to misfortune, namely insurance, and the socialisation of risks. </w:t>
      </w:r>
      <w:r w:rsidR="00D43F9F">
        <w:rPr>
          <w:rFonts w:ascii="Times New Roman" w:hAnsi="Times New Roman"/>
          <w:sz w:val="24"/>
          <w:szCs w:val="24"/>
        </w:rPr>
        <w:t>Given its continuing influence, i</w:t>
      </w:r>
      <w:r w:rsidR="00CF40DF">
        <w:rPr>
          <w:rFonts w:ascii="Times New Roman" w:hAnsi="Times New Roman"/>
          <w:sz w:val="24"/>
          <w:szCs w:val="24"/>
        </w:rPr>
        <w:t>t seems imp</w:t>
      </w:r>
      <w:r w:rsidR="004B5C93">
        <w:rPr>
          <w:rFonts w:ascii="Times New Roman" w:hAnsi="Times New Roman"/>
          <w:sz w:val="24"/>
          <w:szCs w:val="24"/>
        </w:rPr>
        <w:t>ortant to deal briefly with that</w:t>
      </w:r>
      <w:r w:rsidR="00CF40DF">
        <w:rPr>
          <w:rFonts w:ascii="Times New Roman" w:hAnsi="Times New Roman"/>
          <w:sz w:val="24"/>
          <w:szCs w:val="24"/>
        </w:rPr>
        <w:t xml:space="preserve"> article here in order to distinguish the questions I am addressing from those addressed by Stapleton’s article</w:t>
      </w:r>
      <w:r w:rsidR="00D80BAA">
        <w:rPr>
          <w:rFonts w:ascii="Times New Roman" w:hAnsi="Times New Roman"/>
          <w:sz w:val="24"/>
          <w:szCs w:val="24"/>
        </w:rPr>
        <w:t>, and to explain why I am not motivated by the same concerns even though – on the substance of those concerns – I would hold a similar view</w:t>
      </w:r>
      <w:r w:rsidR="00CF40DF">
        <w:rPr>
          <w:rFonts w:ascii="Times New Roman" w:hAnsi="Times New Roman"/>
          <w:sz w:val="24"/>
          <w:szCs w:val="24"/>
        </w:rPr>
        <w:t xml:space="preserve">. </w:t>
      </w:r>
      <w:r w:rsidR="008A7A5E">
        <w:rPr>
          <w:rFonts w:ascii="Times New Roman" w:hAnsi="Times New Roman"/>
          <w:sz w:val="24"/>
          <w:szCs w:val="24"/>
        </w:rPr>
        <w:t xml:space="preserve">According to </w:t>
      </w:r>
      <w:r w:rsidR="00CF40DF">
        <w:rPr>
          <w:rFonts w:ascii="Times New Roman" w:hAnsi="Times New Roman"/>
          <w:sz w:val="24"/>
          <w:szCs w:val="24"/>
        </w:rPr>
        <w:t xml:space="preserve">Jane </w:t>
      </w:r>
      <w:r w:rsidR="008A7A5E">
        <w:rPr>
          <w:rFonts w:ascii="Times New Roman" w:hAnsi="Times New Roman"/>
          <w:sz w:val="24"/>
          <w:szCs w:val="24"/>
        </w:rPr>
        <w:t>Stapleton, b</w:t>
      </w:r>
      <w:r w:rsidR="00564F0A">
        <w:rPr>
          <w:rFonts w:ascii="Times New Roman" w:hAnsi="Times New Roman"/>
          <w:sz w:val="24"/>
          <w:szCs w:val="24"/>
        </w:rPr>
        <w:t>oth insurance and the socialisation of risks, but not the law of tort, require a ‘pooling or ‘collectivisation’ of risk’</w:t>
      </w:r>
      <w:r w:rsidR="00D80BAA">
        <w:rPr>
          <w:rFonts w:ascii="Times New Roman" w:hAnsi="Times New Roman"/>
          <w:sz w:val="24"/>
          <w:szCs w:val="24"/>
        </w:rPr>
        <w:t>, while tort ‘restores’ the victim</w:t>
      </w:r>
      <w:r w:rsidR="00564F0A">
        <w:rPr>
          <w:rFonts w:ascii="Times New Roman" w:hAnsi="Times New Roman"/>
          <w:sz w:val="24"/>
          <w:szCs w:val="24"/>
        </w:rPr>
        <w:t>.</w:t>
      </w:r>
      <w:r w:rsidR="00564F0A">
        <w:rPr>
          <w:rStyle w:val="FootnoteReference"/>
          <w:rFonts w:ascii="Times New Roman" w:hAnsi="Times New Roman"/>
          <w:sz w:val="24"/>
          <w:szCs w:val="24"/>
        </w:rPr>
        <w:footnoteReference w:id="7"/>
      </w:r>
      <w:r w:rsidR="00564F0A">
        <w:rPr>
          <w:rFonts w:ascii="Times New Roman" w:hAnsi="Times New Roman"/>
          <w:sz w:val="24"/>
          <w:szCs w:val="24"/>
        </w:rPr>
        <w:t xml:space="preserve"> </w:t>
      </w:r>
      <w:r>
        <w:rPr>
          <w:rFonts w:ascii="Times New Roman" w:hAnsi="Times New Roman"/>
          <w:sz w:val="24"/>
          <w:szCs w:val="24"/>
        </w:rPr>
        <w:t xml:space="preserve">Because these three </w:t>
      </w:r>
      <w:r w:rsidR="00F2201E">
        <w:rPr>
          <w:rFonts w:ascii="Times New Roman" w:hAnsi="Times New Roman"/>
          <w:sz w:val="24"/>
          <w:szCs w:val="24"/>
        </w:rPr>
        <w:t xml:space="preserve">responses </w:t>
      </w:r>
      <w:r>
        <w:rPr>
          <w:rFonts w:ascii="Times New Roman" w:hAnsi="Times New Roman"/>
          <w:sz w:val="24"/>
          <w:szCs w:val="24"/>
        </w:rPr>
        <w:t xml:space="preserve">are </w:t>
      </w:r>
      <w:r w:rsidR="00F2201E">
        <w:rPr>
          <w:rFonts w:ascii="Times New Roman" w:hAnsi="Times New Roman"/>
          <w:sz w:val="24"/>
          <w:szCs w:val="24"/>
        </w:rPr>
        <w:t>quite different</w:t>
      </w:r>
      <w:r>
        <w:rPr>
          <w:rFonts w:ascii="Times New Roman" w:hAnsi="Times New Roman"/>
          <w:sz w:val="24"/>
          <w:szCs w:val="24"/>
        </w:rPr>
        <w:t xml:space="preserve">, it should not be thought that the factual dependence of tort on insurance makes the </w:t>
      </w:r>
      <w:r w:rsidR="00B94F32">
        <w:rPr>
          <w:rFonts w:ascii="Times New Roman" w:hAnsi="Times New Roman"/>
          <w:sz w:val="24"/>
          <w:szCs w:val="24"/>
        </w:rPr>
        <w:t>need to reform or cut</w:t>
      </w:r>
      <w:r>
        <w:rPr>
          <w:rFonts w:ascii="Times New Roman" w:hAnsi="Times New Roman"/>
          <w:sz w:val="24"/>
          <w:szCs w:val="24"/>
        </w:rPr>
        <w:t xml:space="preserve"> back tort</w:t>
      </w:r>
      <w:r w:rsidR="00B94F32">
        <w:rPr>
          <w:rFonts w:ascii="Times New Roman" w:hAnsi="Times New Roman"/>
          <w:sz w:val="24"/>
          <w:szCs w:val="24"/>
        </w:rPr>
        <w:t xml:space="preserve">, or to replace it with a more effective </w:t>
      </w:r>
      <w:r w:rsidR="00290AE3">
        <w:rPr>
          <w:rFonts w:ascii="Times New Roman" w:hAnsi="Times New Roman"/>
          <w:sz w:val="24"/>
          <w:szCs w:val="24"/>
        </w:rPr>
        <w:t xml:space="preserve">or proportionate </w:t>
      </w:r>
      <w:r w:rsidR="00B94F32">
        <w:rPr>
          <w:rFonts w:ascii="Times New Roman" w:hAnsi="Times New Roman"/>
          <w:sz w:val="24"/>
          <w:szCs w:val="24"/>
        </w:rPr>
        <w:t>compensation system,</w:t>
      </w:r>
      <w:r>
        <w:rPr>
          <w:rFonts w:ascii="Times New Roman" w:hAnsi="Times New Roman"/>
          <w:sz w:val="24"/>
          <w:szCs w:val="24"/>
        </w:rPr>
        <w:t xml:space="preserve"> a</w:t>
      </w:r>
      <w:r w:rsidR="00D43F9F">
        <w:rPr>
          <w:rFonts w:ascii="Times New Roman" w:hAnsi="Times New Roman"/>
          <w:sz w:val="24"/>
          <w:szCs w:val="24"/>
        </w:rPr>
        <w:t xml:space="preserve"> </w:t>
      </w:r>
      <w:r w:rsidR="008A7A5E">
        <w:rPr>
          <w:rFonts w:ascii="Times New Roman" w:hAnsi="Times New Roman"/>
          <w:sz w:val="24"/>
          <w:szCs w:val="24"/>
        </w:rPr>
        <w:t>matter of logic, rather than ideological choice</w:t>
      </w:r>
      <w:r>
        <w:rPr>
          <w:rFonts w:ascii="Times New Roman" w:hAnsi="Times New Roman"/>
          <w:sz w:val="24"/>
          <w:szCs w:val="24"/>
        </w:rPr>
        <w:t>.</w:t>
      </w:r>
      <w:r w:rsidR="00B94F32">
        <w:rPr>
          <w:rFonts w:ascii="Times New Roman" w:hAnsi="Times New Roman"/>
          <w:sz w:val="24"/>
          <w:szCs w:val="24"/>
        </w:rPr>
        <w:t xml:space="preserve"> </w:t>
      </w:r>
      <w:r w:rsidR="008A7A5E">
        <w:rPr>
          <w:rFonts w:ascii="Times New Roman" w:hAnsi="Times New Roman"/>
          <w:sz w:val="24"/>
          <w:szCs w:val="24"/>
        </w:rPr>
        <w:t xml:space="preserve">I </w:t>
      </w:r>
      <w:r w:rsidR="00D43F9F">
        <w:rPr>
          <w:rFonts w:ascii="Times New Roman" w:hAnsi="Times New Roman"/>
          <w:sz w:val="24"/>
          <w:szCs w:val="24"/>
        </w:rPr>
        <w:t xml:space="preserve">firmly </w:t>
      </w:r>
      <w:r w:rsidR="008A7A5E">
        <w:rPr>
          <w:rFonts w:ascii="Times New Roman" w:hAnsi="Times New Roman"/>
          <w:sz w:val="24"/>
          <w:szCs w:val="24"/>
        </w:rPr>
        <w:t xml:space="preserve">agree that </w:t>
      </w:r>
      <w:r w:rsidR="00D42394">
        <w:rPr>
          <w:rFonts w:ascii="Times New Roman" w:hAnsi="Times New Roman"/>
          <w:sz w:val="24"/>
          <w:szCs w:val="24"/>
        </w:rPr>
        <w:t>ideolog</w:t>
      </w:r>
      <w:r w:rsidR="00D92450">
        <w:rPr>
          <w:rFonts w:ascii="Times New Roman" w:hAnsi="Times New Roman"/>
          <w:sz w:val="24"/>
          <w:szCs w:val="24"/>
        </w:rPr>
        <w:t>ical positions are engaged in debates about the reform of tort law, and if anything this has become increasingly evident</w:t>
      </w:r>
      <w:r w:rsidR="00D42394">
        <w:rPr>
          <w:rFonts w:ascii="Times New Roman" w:hAnsi="Times New Roman"/>
          <w:sz w:val="24"/>
          <w:szCs w:val="24"/>
        </w:rPr>
        <w:t>.</w:t>
      </w:r>
      <w:r w:rsidR="00D92450">
        <w:rPr>
          <w:rStyle w:val="FootnoteReference"/>
          <w:rFonts w:ascii="Times New Roman" w:hAnsi="Times New Roman"/>
          <w:sz w:val="24"/>
          <w:szCs w:val="24"/>
        </w:rPr>
        <w:footnoteReference w:id="8"/>
      </w:r>
      <w:r w:rsidR="00D42394">
        <w:rPr>
          <w:rFonts w:ascii="Times New Roman" w:hAnsi="Times New Roman"/>
          <w:sz w:val="24"/>
          <w:szCs w:val="24"/>
        </w:rPr>
        <w:t xml:space="preserve"> </w:t>
      </w:r>
      <w:r w:rsidR="00D92450">
        <w:rPr>
          <w:rFonts w:ascii="Times New Roman" w:hAnsi="Times New Roman"/>
          <w:sz w:val="24"/>
          <w:szCs w:val="24"/>
        </w:rPr>
        <w:t xml:space="preserve">But </w:t>
      </w:r>
      <w:r w:rsidR="00CF40DF">
        <w:rPr>
          <w:rFonts w:ascii="Times New Roman" w:hAnsi="Times New Roman"/>
          <w:sz w:val="24"/>
          <w:szCs w:val="24"/>
        </w:rPr>
        <w:t xml:space="preserve">I argue that </w:t>
      </w:r>
      <w:r w:rsidR="008A7A5E">
        <w:rPr>
          <w:rFonts w:ascii="Times New Roman" w:hAnsi="Times New Roman"/>
          <w:sz w:val="24"/>
          <w:szCs w:val="24"/>
        </w:rPr>
        <w:t xml:space="preserve">if we </w:t>
      </w:r>
      <w:r w:rsidR="00684CBE">
        <w:rPr>
          <w:rFonts w:ascii="Times New Roman" w:hAnsi="Times New Roman"/>
          <w:sz w:val="24"/>
          <w:szCs w:val="24"/>
        </w:rPr>
        <w:t xml:space="preserve">broaden our perspective to include examination of </w:t>
      </w:r>
      <w:r w:rsidR="008A7A5E">
        <w:rPr>
          <w:rFonts w:ascii="Times New Roman" w:hAnsi="Times New Roman"/>
          <w:sz w:val="24"/>
          <w:szCs w:val="24"/>
        </w:rPr>
        <w:t>the precise role of insurance in private law arrangements</w:t>
      </w:r>
      <w:r w:rsidR="00684CBE">
        <w:rPr>
          <w:rFonts w:ascii="Times New Roman" w:hAnsi="Times New Roman"/>
          <w:sz w:val="24"/>
          <w:szCs w:val="24"/>
        </w:rPr>
        <w:t xml:space="preserve"> it will </w:t>
      </w:r>
      <w:r w:rsidR="008A7A5E">
        <w:rPr>
          <w:rFonts w:ascii="Times New Roman" w:hAnsi="Times New Roman"/>
          <w:sz w:val="24"/>
          <w:szCs w:val="24"/>
        </w:rPr>
        <w:t xml:space="preserve">prove </w:t>
      </w:r>
      <w:r w:rsidR="00684CBE">
        <w:rPr>
          <w:rFonts w:ascii="Times New Roman" w:hAnsi="Times New Roman"/>
          <w:sz w:val="24"/>
          <w:szCs w:val="24"/>
        </w:rPr>
        <w:t xml:space="preserve">that there is a mingling of </w:t>
      </w:r>
      <w:r w:rsidR="00F2201E">
        <w:rPr>
          <w:rFonts w:ascii="Times New Roman" w:hAnsi="Times New Roman"/>
          <w:sz w:val="24"/>
          <w:szCs w:val="24"/>
        </w:rPr>
        <w:t xml:space="preserve">ideological </w:t>
      </w:r>
      <w:r w:rsidR="00D42394">
        <w:rPr>
          <w:rFonts w:ascii="Times New Roman" w:hAnsi="Times New Roman"/>
          <w:sz w:val="24"/>
          <w:szCs w:val="24"/>
        </w:rPr>
        <w:t xml:space="preserve">elements </w:t>
      </w:r>
      <w:r w:rsidR="00684CBE">
        <w:rPr>
          <w:rFonts w:ascii="Times New Roman" w:hAnsi="Times New Roman"/>
          <w:sz w:val="24"/>
          <w:szCs w:val="24"/>
        </w:rPr>
        <w:t>and objectives behind</w:t>
      </w:r>
      <w:r w:rsidR="00D42394">
        <w:rPr>
          <w:rFonts w:ascii="Times New Roman" w:hAnsi="Times New Roman"/>
          <w:sz w:val="24"/>
          <w:szCs w:val="24"/>
        </w:rPr>
        <w:t xml:space="preserve"> </w:t>
      </w:r>
      <w:r w:rsidR="00D92450">
        <w:rPr>
          <w:rFonts w:ascii="Times New Roman" w:hAnsi="Times New Roman"/>
          <w:sz w:val="24"/>
          <w:szCs w:val="24"/>
        </w:rPr>
        <w:t xml:space="preserve">the present </w:t>
      </w:r>
      <w:r w:rsidR="00D42394">
        <w:rPr>
          <w:rFonts w:ascii="Times New Roman" w:hAnsi="Times New Roman"/>
          <w:sz w:val="24"/>
          <w:szCs w:val="24"/>
        </w:rPr>
        <w:t>arrangements</w:t>
      </w:r>
      <w:r w:rsidR="008A7A5E">
        <w:rPr>
          <w:rFonts w:ascii="Times New Roman" w:hAnsi="Times New Roman"/>
          <w:sz w:val="24"/>
          <w:szCs w:val="24"/>
        </w:rPr>
        <w:t xml:space="preserve"> </w:t>
      </w:r>
      <w:r w:rsidR="00290AE3">
        <w:rPr>
          <w:rFonts w:ascii="Times New Roman" w:hAnsi="Times New Roman"/>
          <w:sz w:val="24"/>
          <w:szCs w:val="24"/>
        </w:rPr>
        <w:t xml:space="preserve">in </w:t>
      </w:r>
      <w:r w:rsidR="00D42394">
        <w:rPr>
          <w:rFonts w:ascii="Times New Roman" w:hAnsi="Times New Roman"/>
          <w:sz w:val="24"/>
          <w:szCs w:val="24"/>
        </w:rPr>
        <w:t xml:space="preserve">which tort liabilities </w:t>
      </w:r>
      <w:r w:rsidR="00F95766">
        <w:rPr>
          <w:rFonts w:ascii="Times New Roman" w:hAnsi="Times New Roman"/>
          <w:sz w:val="24"/>
          <w:szCs w:val="24"/>
        </w:rPr>
        <w:t xml:space="preserve">themselves </w:t>
      </w:r>
      <w:r w:rsidR="00D42394">
        <w:rPr>
          <w:rFonts w:ascii="Times New Roman" w:hAnsi="Times New Roman"/>
          <w:sz w:val="24"/>
          <w:szCs w:val="24"/>
        </w:rPr>
        <w:t xml:space="preserve">are secured </w:t>
      </w:r>
      <w:r w:rsidR="008A7A5E">
        <w:rPr>
          <w:rFonts w:ascii="Times New Roman" w:hAnsi="Times New Roman"/>
          <w:sz w:val="24"/>
          <w:szCs w:val="24"/>
        </w:rPr>
        <w:t xml:space="preserve">largely </w:t>
      </w:r>
      <w:r w:rsidR="00D42394">
        <w:rPr>
          <w:rFonts w:ascii="Times New Roman" w:hAnsi="Times New Roman"/>
          <w:sz w:val="24"/>
          <w:szCs w:val="24"/>
        </w:rPr>
        <w:t>through commercial insurance.</w:t>
      </w:r>
      <w:r w:rsidR="00F2201E">
        <w:rPr>
          <w:rFonts w:ascii="Times New Roman" w:hAnsi="Times New Roman"/>
          <w:sz w:val="24"/>
          <w:szCs w:val="24"/>
        </w:rPr>
        <w:t xml:space="preserve"> The outcomes achieved by tort involve a combination of common law, statute, and commercial arrangement, and these three sources have mutually </w:t>
      </w:r>
      <w:r w:rsidR="00F2201E">
        <w:rPr>
          <w:rFonts w:ascii="Times New Roman" w:hAnsi="Times New Roman"/>
          <w:sz w:val="24"/>
          <w:szCs w:val="24"/>
        </w:rPr>
        <w:lastRenderedPageBreak/>
        <w:t>influenced each other both in the tort re</w:t>
      </w:r>
      <w:r w:rsidR="00F95766">
        <w:rPr>
          <w:rFonts w:ascii="Times New Roman" w:hAnsi="Times New Roman"/>
          <w:sz w:val="24"/>
          <w:szCs w:val="24"/>
        </w:rPr>
        <w:t>gime, and in various other (including earlier)</w:t>
      </w:r>
      <w:r w:rsidR="00290AE3">
        <w:rPr>
          <w:rFonts w:ascii="Times New Roman" w:hAnsi="Times New Roman"/>
          <w:sz w:val="24"/>
          <w:szCs w:val="24"/>
        </w:rPr>
        <w:t xml:space="preserve"> legal frameworks</w:t>
      </w:r>
      <w:r w:rsidR="00F2201E">
        <w:rPr>
          <w:rFonts w:ascii="Times New Roman" w:hAnsi="Times New Roman"/>
          <w:sz w:val="24"/>
          <w:szCs w:val="24"/>
        </w:rPr>
        <w:t>.</w:t>
      </w:r>
      <w:r w:rsidR="004A0EE3" w:rsidRPr="004A0EE3">
        <w:t xml:space="preserve"> </w:t>
      </w:r>
    </w:p>
    <w:p w:rsidR="00ED7845" w:rsidRDefault="00D80BAA" w:rsidP="00CA2822">
      <w:pPr>
        <w:spacing w:after="0" w:line="240" w:lineRule="auto"/>
        <w:ind w:firstLine="284"/>
        <w:jc w:val="both"/>
        <w:rPr>
          <w:rFonts w:ascii="Times New Roman" w:hAnsi="Times New Roman"/>
          <w:sz w:val="24"/>
          <w:szCs w:val="24"/>
        </w:rPr>
      </w:pPr>
      <w:r>
        <w:rPr>
          <w:rFonts w:ascii="Times New Roman" w:hAnsi="Times New Roman"/>
          <w:sz w:val="24"/>
          <w:szCs w:val="24"/>
        </w:rPr>
        <w:t xml:space="preserve">Stapleton </w:t>
      </w:r>
      <w:r w:rsidR="00F2201E">
        <w:rPr>
          <w:rFonts w:ascii="Times New Roman" w:hAnsi="Times New Roman"/>
          <w:sz w:val="24"/>
          <w:szCs w:val="24"/>
        </w:rPr>
        <w:t>notes</w:t>
      </w:r>
      <w:r>
        <w:rPr>
          <w:rFonts w:ascii="Times New Roman" w:hAnsi="Times New Roman"/>
          <w:sz w:val="24"/>
          <w:szCs w:val="24"/>
        </w:rPr>
        <w:t xml:space="preserve"> the existence of a range of ideological factors operating in the law of tort, cautioning against over-emphasis of certain of them (autonomy and dependency) at the expense of others</w:t>
      </w:r>
      <w:r w:rsidR="00ED7845">
        <w:rPr>
          <w:rFonts w:ascii="Times New Roman" w:hAnsi="Times New Roman"/>
          <w:sz w:val="24"/>
          <w:szCs w:val="24"/>
        </w:rPr>
        <w:t xml:space="preserve">. Nevertheless, </w:t>
      </w:r>
      <w:r>
        <w:rPr>
          <w:rFonts w:ascii="Times New Roman" w:hAnsi="Times New Roman"/>
          <w:sz w:val="24"/>
          <w:szCs w:val="24"/>
        </w:rPr>
        <w:t xml:space="preserve">I think she would </w:t>
      </w:r>
      <w:r w:rsidR="00ED7845">
        <w:rPr>
          <w:rFonts w:ascii="Times New Roman" w:hAnsi="Times New Roman"/>
          <w:sz w:val="24"/>
          <w:szCs w:val="24"/>
        </w:rPr>
        <w:t>reject the</w:t>
      </w:r>
      <w:r w:rsidR="00F2201E">
        <w:rPr>
          <w:rFonts w:ascii="Times New Roman" w:hAnsi="Times New Roman"/>
          <w:sz w:val="24"/>
          <w:szCs w:val="24"/>
        </w:rPr>
        <w:t xml:space="preserve"> </w:t>
      </w:r>
      <w:r w:rsidR="00ED7845">
        <w:rPr>
          <w:rFonts w:ascii="Times New Roman" w:hAnsi="Times New Roman"/>
          <w:sz w:val="24"/>
          <w:szCs w:val="24"/>
        </w:rPr>
        <w:t xml:space="preserve">significance </w:t>
      </w:r>
      <w:r w:rsidR="00DC1CF4">
        <w:rPr>
          <w:rFonts w:ascii="Times New Roman" w:hAnsi="Times New Roman"/>
          <w:sz w:val="24"/>
          <w:szCs w:val="24"/>
        </w:rPr>
        <w:t xml:space="preserve">of </w:t>
      </w:r>
      <w:r w:rsidR="00ED7845">
        <w:rPr>
          <w:rFonts w:ascii="Times New Roman" w:hAnsi="Times New Roman"/>
          <w:sz w:val="24"/>
          <w:szCs w:val="24"/>
        </w:rPr>
        <w:t xml:space="preserve">the mixing of </w:t>
      </w:r>
      <w:r w:rsidR="00F2201E">
        <w:rPr>
          <w:rFonts w:ascii="Times New Roman" w:hAnsi="Times New Roman"/>
          <w:sz w:val="24"/>
          <w:szCs w:val="24"/>
        </w:rPr>
        <w:t>influences</w:t>
      </w:r>
      <w:r w:rsidR="00ED7845">
        <w:rPr>
          <w:rFonts w:ascii="Times New Roman" w:hAnsi="Times New Roman"/>
          <w:sz w:val="24"/>
          <w:szCs w:val="24"/>
        </w:rPr>
        <w:t xml:space="preserve"> just outlined</w:t>
      </w:r>
      <w:r w:rsidR="004A0EE3" w:rsidRPr="004A0EE3">
        <w:rPr>
          <w:rFonts w:ascii="Times New Roman" w:hAnsi="Times New Roman"/>
          <w:sz w:val="24"/>
          <w:szCs w:val="24"/>
        </w:rPr>
        <w:t xml:space="preserve">, </w:t>
      </w:r>
      <w:r w:rsidR="00290AE3">
        <w:rPr>
          <w:rFonts w:ascii="Times New Roman" w:hAnsi="Times New Roman"/>
          <w:sz w:val="24"/>
          <w:szCs w:val="24"/>
        </w:rPr>
        <w:t>since</w:t>
      </w:r>
      <w:r w:rsidR="004A0EE3" w:rsidRPr="004A0EE3">
        <w:rPr>
          <w:rFonts w:ascii="Times New Roman" w:hAnsi="Times New Roman"/>
          <w:sz w:val="24"/>
          <w:szCs w:val="24"/>
        </w:rPr>
        <w:t xml:space="preserve"> she argues </w:t>
      </w:r>
      <w:r w:rsidR="008A7A5E">
        <w:rPr>
          <w:rFonts w:ascii="Times New Roman" w:hAnsi="Times New Roman"/>
          <w:sz w:val="24"/>
          <w:szCs w:val="24"/>
        </w:rPr>
        <w:t xml:space="preserve">strongly </w:t>
      </w:r>
      <w:r w:rsidR="004A0EE3" w:rsidRPr="004A0EE3">
        <w:rPr>
          <w:rFonts w:ascii="Times New Roman" w:hAnsi="Times New Roman"/>
          <w:sz w:val="24"/>
          <w:szCs w:val="24"/>
        </w:rPr>
        <w:t xml:space="preserve">that the three responses </w:t>
      </w:r>
      <w:r w:rsidR="00ED7845">
        <w:rPr>
          <w:rFonts w:ascii="Times New Roman" w:hAnsi="Times New Roman"/>
          <w:sz w:val="24"/>
          <w:szCs w:val="24"/>
        </w:rPr>
        <w:t>she identifies</w:t>
      </w:r>
      <w:r w:rsidR="00DC1CF4">
        <w:rPr>
          <w:rFonts w:ascii="Times New Roman" w:hAnsi="Times New Roman"/>
          <w:sz w:val="24"/>
          <w:szCs w:val="24"/>
        </w:rPr>
        <w:t xml:space="preserve"> </w:t>
      </w:r>
      <w:r w:rsidR="004A0EE3" w:rsidRPr="004A0EE3">
        <w:rPr>
          <w:rFonts w:ascii="Times New Roman" w:hAnsi="Times New Roman"/>
          <w:sz w:val="24"/>
          <w:szCs w:val="24"/>
        </w:rPr>
        <w:t>are distinct</w:t>
      </w:r>
      <w:r w:rsidR="00ED7845">
        <w:rPr>
          <w:rFonts w:ascii="Times New Roman" w:hAnsi="Times New Roman"/>
          <w:sz w:val="24"/>
          <w:szCs w:val="24"/>
        </w:rPr>
        <w:t xml:space="preserve">, and uses the distinct nature of the responses to </w:t>
      </w:r>
      <w:r w:rsidR="00F2201E">
        <w:rPr>
          <w:rFonts w:ascii="Times New Roman" w:hAnsi="Times New Roman"/>
          <w:sz w:val="24"/>
          <w:szCs w:val="24"/>
        </w:rPr>
        <w:t xml:space="preserve">deny </w:t>
      </w:r>
      <w:r w:rsidR="00CF40DF">
        <w:rPr>
          <w:rFonts w:ascii="Times New Roman" w:hAnsi="Times New Roman"/>
          <w:sz w:val="24"/>
          <w:szCs w:val="24"/>
        </w:rPr>
        <w:t>that insurance, or insurability, should be relevant to questions about tort liability</w:t>
      </w:r>
      <w:r w:rsidR="00F95766">
        <w:rPr>
          <w:rFonts w:ascii="Times New Roman" w:hAnsi="Times New Roman"/>
          <w:sz w:val="24"/>
          <w:szCs w:val="24"/>
        </w:rPr>
        <w:t xml:space="preserve"> in general</w:t>
      </w:r>
      <w:r w:rsidR="004A0EE3" w:rsidRPr="004A0EE3">
        <w:rPr>
          <w:rFonts w:ascii="Times New Roman" w:hAnsi="Times New Roman"/>
          <w:sz w:val="24"/>
          <w:szCs w:val="24"/>
        </w:rPr>
        <w:t xml:space="preserve">. So for example </w:t>
      </w:r>
      <w:r w:rsidR="00ED7845">
        <w:rPr>
          <w:rFonts w:ascii="Times New Roman" w:hAnsi="Times New Roman"/>
          <w:sz w:val="24"/>
          <w:szCs w:val="24"/>
        </w:rPr>
        <w:t xml:space="preserve">Stapleton points out that </w:t>
      </w:r>
      <w:r w:rsidR="004A0EE3" w:rsidRPr="004A0EE3">
        <w:rPr>
          <w:rFonts w:ascii="Times New Roman" w:hAnsi="Times New Roman"/>
          <w:sz w:val="24"/>
          <w:szCs w:val="24"/>
        </w:rPr>
        <w:t xml:space="preserve">tort cannot ‘be </w:t>
      </w:r>
      <w:r w:rsidR="00CF46E0">
        <w:rPr>
          <w:rFonts w:ascii="Times New Roman" w:hAnsi="Times New Roman"/>
          <w:sz w:val="24"/>
          <w:szCs w:val="24"/>
        </w:rPr>
        <w:t>seen as insurance to victims</w:t>
      </w:r>
      <w:r w:rsidR="004A0EE3" w:rsidRPr="004A0EE3">
        <w:rPr>
          <w:rFonts w:ascii="Times New Roman" w:hAnsi="Times New Roman"/>
          <w:sz w:val="24"/>
          <w:szCs w:val="24"/>
        </w:rPr>
        <w:t xml:space="preserve">’ because it sets compensation at a restoration level, not at a level </w:t>
      </w:r>
      <w:r w:rsidR="003A7A7A">
        <w:rPr>
          <w:rFonts w:ascii="Times New Roman" w:hAnsi="Times New Roman"/>
          <w:sz w:val="24"/>
          <w:szCs w:val="24"/>
        </w:rPr>
        <w:t xml:space="preserve">chosen </w:t>
      </w:r>
      <w:r w:rsidR="004A0EE3" w:rsidRPr="004A0EE3">
        <w:rPr>
          <w:rFonts w:ascii="Times New Roman" w:hAnsi="Times New Roman"/>
          <w:sz w:val="24"/>
          <w:szCs w:val="24"/>
        </w:rPr>
        <w:t xml:space="preserve">by the injured party </w:t>
      </w:r>
      <w:r w:rsidR="00F95766">
        <w:rPr>
          <w:rFonts w:ascii="Times New Roman" w:hAnsi="Times New Roman"/>
          <w:sz w:val="24"/>
          <w:szCs w:val="24"/>
        </w:rPr>
        <w:t xml:space="preserve">(as she defines the insurance response) </w:t>
      </w:r>
      <w:r w:rsidR="004A0EE3" w:rsidRPr="004A0EE3">
        <w:rPr>
          <w:rFonts w:ascii="Times New Roman" w:hAnsi="Times New Roman"/>
          <w:sz w:val="24"/>
          <w:szCs w:val="24"/>
        </w:rPr>
        <w:t>or determined by a social welfare scheme</w:t>
      </w:r>
      <w:r w:rsidR="00F95766">
        <w:rPr>
          <w:rFonts w:ascii="Times New Roman" w:hAnsi="Times New Roman"/>
          <w:sz w:val="24"/>
          <w:szCs w:val="24"/>
        </w:rPr>
        <w:t xml:space="preserve"> (as she defines socialisation)</w:t>
      </w:r>
      <w:r w:rsidR="004A0EE3" w:rsidRPr="004A0EE3">
        <w:rPr>
          <w:rFonts w:ascii="Times New Roman" w:hAnsi="Times New Roman"/>
          <w:sz w:val="24"/>
          <w:szCs w:val="24"/>
        </w:rPr>
        <w:t>.</w:t>
      </w:r>
      <w:r w:rsidR="004A0EE3" w:rsidRPr="004A0EE3">
        <w:rPr>
          <w:rFonts w:ascii="Times New Roman" w:hAnsi="Times New Roman"/>
          <w:sz w:val="24"/>
          <w:szCs w:val="24"/>
          <w:vertAlign w:val="superscript"/>
        </w:rPr>
        <w:footnoteReference w:id="9"/>
      </w:r>
      <w:r w:rsidR="004A0EE3" w:rsidRPr="004A0EE3">
        <w:rPr>
          <w:rFonts w:ascii="Times New Roman" w:hAnsi="Times New Roman"/>
          <w:sz w:val="24"/>
          <w:szCs w:val="24"/>
        </w:rPr>
        <w:t xml:space="preserve"> </w:t>
      </w:r>
      <w:r w:rsidR="00F95766">
        <w:rPr>
          <w:rFonts w:ascii="Times New Roman" w:hAnsi="Times New Roman"/>
          <w:sz w:val="24"/>
          <w:szCs w:val="24"/>
        </w:rPr>
        <w:t>S</w:t>
      </w:r>
      <w:r w:rsidR="004A0EE3" w:rsidRPr="004A0EE3">
        <w:rPr>
          <w:rFonts w:ascii="Times New Roman" w:hAnsi="Times New Roman"/>
          <w:sz w:val="24"/>
          <w:szCs w:val="24"/>
        </w:rPr>
        <w:t xml:space="preserve">ince Stapleton defines the three approaches in terms of the reparation that they offer it follows that they cannot be a ‘form of’ one another. But </w:t>
      </w:r>
      <w:r w:rsidR="008A7A5E">
        <w:rPr>
          <w:rFonts w:ascii="Times New Roman" w:hAnsi="Times New Roman"/>
          <w:sz w:val="24"/>
          <w:szCs w:val="24"/>
        </w:rPr>
        <w:t xml:space="preserve">to end here </w:t>
      </w:r>
      <w:r w:rsidR="004A0EE3" w:rsidRPr="004A0EE3">
        <w:rPr>
          <w:rFonts w:ascii="Times New Roman" w:hAnsi="Times New Roman"/>
          <w:sz w:val="24"/>
          <w:szCs w:val="24"/>
        </w:rPr>
        <w:t xml:space="preserve">is </w:t>
      </w:r>
      <w:r w:rsidR="004A0EE3">
        <w:rPr>
          <w:rFonts w:ascii="Times New Roman" w:hAnsi="Times New Roman"/>
          <w:sz w:val="24"/>
          <w:szCs w:val="24"/>
        </w:rPr>
        <w:t>both to adopt Stapleton’s definition of the approach she would like to resist (one which argues that tort is a form of insurance</w:t>
      </w:r>
      <w:r w:rsidR="00DC1CF4">
        <w:rPr>
          <w:rFonts w:ascii="Times New Roman" w:hAnsi="Times New Roman"/>
          <w:sz w:val="24"/>
          <w:szCs w:val="24"/>
        </w:rPr>
        <w:t xml:space="preserve">, </w:t>
      </w:r>
      <w:r w:rsidR="008A7A5E">
        <w:rPr>
          <w:rFonts w:ascii="Times New Roman" w:hAnsi="Times New Roman"/>
          <w:sz w:val="24"/>
          <w:szCs w:val="24"/>
        </w:rPr>
        <w:t>or much more loosely is ‘about’ insurance</w:t>
      </w:r>
      <w:r w:rsidR="004A0EE3">
        <w:rPr>
          <w:rFonts w:ascii="Times New Roman" w:hAnsi="Times New Roman"/>
          <w:sz w:val="24"/>
          <w:szCs w:val="24"/>
        </w:rPr>
        <w:t xml:space="preserve">), and also </w:t>
      </w:r>
      <w:r w:rsidR="004A0EE3" w:rsidRPr="004A0EE3">
        <w:rPr>
          <w:rFonts w:ascii="Times New Roman" w:hAnsi="Times New Roman"/>
          <w:sz w:val="24"/>
          <w:szCs w:val="24"/>
        </w:rPr>
        <w:t xml:space="preserve">to </w:t>
      </w:r>
      <w:r w:rsidR="00F2201E">
        <w:rPr>
          <w:rFonts w:ascii="Times New Roman" w:hAnsi="Times New Roman"/>
          <w:sz w:val="24"/>
          <w:szCs w:val="24"/>
        </w:rPr>
        <w:t xml:space="preserve">accept </w:t>
      </w:r>
      <w:r w:rsidR="004A0EE3">
        <w:rPr>
          <w:rFonts w:ascii="Times New Roman" w:hAnsi="Times New Roman"/>
          <w:sz w:val="24"/>
          <w:szCs w:val="24"/>
        </w:rPr>
        <w:t>her identification</w:t>
      </w:r>
      <w:r w:rsidR="004A0EE3" w:rsidRPr="004A0EE3">
        <w:rPr>
          <w:rFonts w:ascii="Times New Roman" w:hAnsi="Times New Roman"/>
          <w:sz w:val="24"/>
          <w:szCs w:val="24"/>
        </w:rPr>
        <w:t xml:space="preserve"> of </w:t>
      </w:r>
      <w:r w:rsidR="004A0EE3">
        <w:rPr>
          <w:rFonts w:ascii="Times New Roman" w:hAnsi="Times New Roman"/>
          <w:sz w:val="24"/>
          <w:szCs w:val="24"/>
        </w:rPr>
        <w:t>three</w:t>
      </w:r>
      <w:r w:rsidR="004A0EE3" w:rsidRPr="004A0EE3">
        <w:rPr>
          <w:rFonts w:ascii="Times New Roman" w:hAnsi="Times New Roman"/>
          <w:sz w:val="24"/>
          <w:szCs w:val="24"/>
        </w:rPr>
        <w:t xml:space="preserve"> relevant </w:t>
      </w:r>
      <w:r w:rsidR="00C11B4E">
        <w:rPr>
          <w:rFonts w:ascii="Times New Roman" w:hAnsi="Times New Roman"/>
          <w:sz w:val="24"/>
          <w:szCs w:val="24"/>
        </w:rPr>
        <w:t xml:space="preserve">responses </w:t>
      </w:r>
      <w:r w:rsidR="004A0EE3">
        <w:rPr>
          <w:rFonts w:ascii="Times New Roman" w:hAnsi="Times New Roman"/>
          <w:sz w:val="24"/>
          <w:szCs w:val="24"/>
        </w:rPr>
        <w:t>in terms of</w:t>
      </w:r>
      <w:r w:rsidR="004A0EE3" w:rsidRPr="004A0EE3">
        <w:rPr>
          <w:rFonts w:ascii="Times New Roman" w:hAnsi="Times New Roman"/>
          <w:sz w:val="24"/>
          <w:szCs w:val="24"/>
        </w:rPr>
        <w:t xml:space="preserve"> the form of reparation made. </w:t>
      </w:r>
      <w:r w:rsidR="00F95766">
        <w:rPr>
          <w:rFonts w:ascii="Times New Roman" w:hAnsi="Times New Roman"/>
          <w:sz w:val="24"/>
          <w:szCs w:val="24"/>
        </w:rPr>
        <w:t xml:space="preserve">One particular feature of Stapleton’s analysis in this respect needs to be underlined. Her article defines the </w:t>
      </w:r>
      <w:r w:rsidR="004C13BD">
        <w:rPr>
          <w:rFonts w:ascii="Times New Roman" w:hAnsi="Times New Roman"/>
          <w:sz w:val="24"/>
          <w:szCs w:val="24"/>
        </w:rPr>
        <w:t>“</w:t>
      </w:r>
      <w:r w:rsidR="00F95766">
        <w:rPr>
          <w:rFonts w:ascii="Times New Roman" w:hAnsi="Times New Roman"/>
          <w:sz w:val="24"/>
          <w:szCs w:val="24"/>
        </w:rPr>
        <w:t>insurance</w:t>
      </w:r>
      <w:r w:rsidR="004C13BD">
        <w:rPr>
          <w:rFonts w:ascii="Times New Roman" w:hAnsi="Times New Roman"/>
          <w:sz w:val="24"/>
          <w:szCs w:val="24"/>
        </w:rPr>
        <w:t xml:space="preserve">” </w:t>
      </w:r>
      <w:r w:rsidR="00F95766">
        <w:rPr>
          <w:rFonts w:ascii="Times New Roman" w:hAnsi="Times New Roman"/>
          <w:sz w:val="24"/>
          <w:szCs w:val="24"/>
        </w:rPr>
        <w:t>response in terms of cover taken out by the victim and at a level the victim chose.</w:t>
      </w:r>
      <w:r w:rsidR="00B5089A">
        <w:rPr>
          <w:rFonts w:ascii="Times New Roman" w:hAnsi="Times New Roman"/>
          <w:sz w:val="24"/>
          <w:szCs w:val="24"/>
        </w:rPr>
        <w:t xml:space="preserve"> The core of her analysis therefore is confined to first party insurance, and to the influence of a first party insurance model in the reform agenda (for example, proposing a modelling of the level of tort damages on the level of cover for which parties would have contracted). </w:t>
      </w:r>
      <w:r w:rsidR="004C13BD">
        <w:rPr>
          <w:rFonts w:ascii="Times New Roman" w:hAnsi="Times New Roman"/>
          <w:sz w:val="24"/>
          <w:szCs w:val="24"/>
        </w:rPr>
        <w:t xml:space="preserve">This was the reform agenda which Stapleton was most concerned to counter, by showing that it </w:t>
      </w:r>
      <w:r w:rsidR="005E3BAF">
        <w:rPr>
          <w:rFonts w:ascii="Times New Roman" w:hAnsi="Times New Roman"/>
          <w:sz w:val="24"/>
          <w:szCs w:val="24"/>
        </w:rPr>
        <w:t xml:space="preserve">raised matters </w:t>
      </w:r>
      <w:r w:rsidR="004C13BD">
        <w:rPr>
          <w:rFonts w:ascii="Times New Roman" w:hAnsi="Times New Roman"/>
          <w:sz w:val="24"/>
          <w:szCs w:val="24"/>
        </w:rPr>
        <w:t>of political and ideological choice, not of logic and rationality. Importantly, t</w:t>
      </w:r>
      <w:r w:rsidR="00B5089A">
        <w:rPr>
          <w:rFonts w:ascii="Times New Roman" w:hAnsi="Times New Roman"/>
          <w:sz w:val="24"/>
          <w:szCs w:val="24"/>
        </w:rPr>
        <w:t>he “insurance” response defined by Stapleton does not describe liability insurance</w:t>
      </w:r>
      <w:r w:rsidR="004C13BD">
        <w:rPr>
          <w:rFonts w:ascii="Times New Roman" w:hAnsi="Times New Roman"/>
          <w:sz w:val="24"/>
          <w:szCs w:val="24"/>
        </w:rPr>
        <w:t>. Here</w:t>
      </w:r>
      <w:r w:rsidR="00B5089A">
        <w:rPr>
          <w:rFonts w:ascii="Times New Roman" w:hAnsi="Times New Roman"/>
          <w:sz w:val="24"/>
          <w:szCs w:val="24"/>
        </w:rPr>
        <w:t xml:space="preserve"> the level of liability </w:t>
      </w:r>
      <w:r w:rsidR="004C13BD">
        <w:rPr>
          <w:rFonts w:ascii="Times New Roman" w:hAnsi="Times New Roman"/>
          <w:sz w:val="24"/>
          <w:szCs w:val="24"/>
        </w:rPr>
        <w:t xml:space="preserve">(the response to harm) </w:t>
      </w:r>
      <w:r w:rsidR="00B5089A">
        <w:rPr>
          <w:rFonts w:ascii="Times New Roman" w:hAnsi="Times New Roman"/>
          <w:sz w:val="24"/>
          <w:szCs w:val="24"/>
        </w:rPr>
        <w:t xml:space="preserve">is set by the law of tort and the level of insurance cover </w:t>
      </w:r>
      <w:r w:rsidR="004C13BD">
        <w:rPr>
          <w:rFonts w:ascii="Times New Roman" w:hAnsi="Times New Roman"/>
          <w:sz w:val="24"/>
          <w:szCs w:val="24"/>
        </w:rPr>
        <w:t xml:space="preserve">(the level of insurance) </w:t>
      </w:r>
      <w:r w:rsidR="00B5089A">
        <w:rPr>
          <w:rFonts w:ascii="Times New Roman" w:hAnsi="Times New Roman"/>
          <w:sz w:val="24"/>
          <w:szCs w:val="24"/>
        </w:rPr>
        <w:t xml:space="preserve">is set by contract, </w:t>
      </w:r>
      <w:r w:rsidR="004C13BD">
        <w:rPr>
          <w:rFonts w:ascii="Times New Roman" w:hAnsi="Times New Roman"/>
          <w:sz w:val="24"/>
          <w:szCs w:val="24"/>
        </w:rPr>
        <w:t xml:space="preserve">but </w:t>
      </w:r>
      <w:r w:rsidR="00B5089A">
        <w:rPr>
          <w:rFonts w:ascii="Times New Roman" w:hAnsi="Times New Roman"/>
          <w:sz w:val="24"/>
          <w:szCs w:val="24"/>
        </w:rPr>
        <w:t>with referenc</w:t>
      </w:r>
      <w:r w:rsidR="004C13BD">
        <w:rPr>
          <w:rFonts w:ascii="Times New Roman" w:hAnsi="Times New Roman"/>
          <w:sz w:val="24"/>
          <w:szCs w:val="24"/>
        </w:rPr>
        <w:t>e to the insured liability. To the extent that it is chosen it is not chosen by the victim. The insurance</w:t>
      </w:r>
      <w:r w:rsidR="00B5089A">
        <w:rPr>
          <w:rFonts w:ascii="Times New Roman" w:hAnsi="Times New Roman"/>
          <w:sz w:val="24"/>
          <w:szCs w:val="24"/>
        </w:rPr>
        <w:t xml:space="preserve"> level may itself be subject to legislative constraints, for example in setting maximum excesses and affecting the legitimacy of exclusions.</w:t>
      </w:r>
      <w:r w:rsidR="004C13BD">
        <w:rPr>
          <w:rFonts w:ascii="Times New Roman" w:hAnsi="Times New Roman"/>
          <w:sz w:val="24"/>
          <w:szCs w:val="24"/>
        </w:rPr>
        <w:t xml:space="preserve"> It is the potential of this present set of arrangements which is the focus of this article, not the choice between these present arrangements, and a first party insurance model.</w:t>
      </w:r>
    </w:p>
    <w:p w:rsidR="00A3418F" w:rsidRDefault="00ED7845" w:rsidP="00CA2822">
      <w:pPr>
        <w:spacing w:after="0" w:line="240" w:lineRule="auto"/>
        <w:ind w:firstLine="284"/>
        <w:jc w:val="both"/>
        <w:rPr>
          <w:rFonts w:ascii="Times New Roman" w:hAnsi="Times New Roman"/>
          <w:sz w:val="24"/>
          <w:szCs w:val="24"/>
        </w:rPr>
      </w:pPr>
      <w:r>
        <w:rPr>
          <w:rFonts w:ascii="Times New Roman" w:hAnsi="Times New Roman"/>
          <w:sz w:val="24"/>
          <w:szCs w:val="24"/>
        </w:rPr>
        <w:t>I suggest that t</w:t>
      </w:r>
      <w:r w:rsidR="00C11B4E">
        <w:rPr>
          <w:rFonts w:ascii="Times New Roman" w:hAnsi="Times New Roman"/>
          <w:sz w:val="24"/>
          <w:szCs w:val="24"/>
        </w:rPr>
        <w:t>he key reason why Stapleton regards attention to insurance</w:t>
      </w:r>
      <w:r w:rsidR="004C13BD">
        <w:rPr>
          <w:rFonts w:ascii="Times New Roman" w:hAnsi="Times New Roman"/>
          <w:sz w:val="24"/>
          <w:szCs w:val="24"/>
        </w:rPr>
        <w:t xml:space="preserve"> in general</w:t>
      </w:r>
      <w:r w:rsidR="00C11B4E">
        <w:rPr>
          <w:rFonts w:ascii="Times New Roman" w:hAnsi="Times New Roman"/>
          <w:sz w:val="24"/>
          <w:szCs w:val="24"/>
        </w:rPr>
        <w:t xml:space="preserve"> to be (as she puts it) “dangerous” is connected to her identification of insurance with pooling or collectivisation of risk. If tort is perceived to be simply a poor attempt at achieving such a pooling or collectivisation of risk, it will </w:t>
      </w:r>
      <w:r>
        <w:rPr>
          <w:rFonts w:ascii="Times New Roman" w:hAnsi="Times New Roman"/>
          <w:sz w:val="24"/>
          <w:szCs w:val="24"/>
        </w:rPr>
        <w:t xml:space="preserve">eventually be argued that it should </w:t>
      </w:r>
      <w:r w:rsidR="00C11B4E">
        <w:rPr>
          <w:rFonts w:ascii="Times New Roman" w:hAnsi="Times New Roman"/>
          <w:sz w:val="24"/>
          <w:szCs w:val="24"/>
        </w:rPr>
        <w:t>be abolished or cut back</w:t>
      </w:r>
      <w:r>
        <w:rPr>
          <w:rFonts w:ascii="Times New Roman" w:hAnsi="Times New Roman"/>
          <w:sz w:val="24"/>
          <w:szCs w:val="24"/>
        </w:rPr>
        <w:t xml:space="preserve"> and replaced with more direct and proportionate forms </w:t>
      </w:r>
      <w:r w:rsidR="004C13BD">
        <w:rPr>
          <w:rFonts w:ascii="Times New Roman" w:hAnsi="Times New Roman"/>
          <w:sz w:val="24"/>
          <w:szCs w:val="24"/>
        </w:rPr>
        <w:t xml:space="preserve">(and levels) </w:t>
      </w:r>
      <w:r>
        <w:rPr>
          <w:rFonts w:ascii="Times New Roman" w:hAnsi="Times New Roman"/>
          <w:sz w:val="24"/>
          <w:szCs w:val="24"/>
        </w:rPr>
        <w:t xml:space="preserve">of loss spreading. This in turn </w:t>
      </w:r>
      <w:r w:rsidR="00C11B4E">
        <w:rPr>
          <w:rFonts w:ascii="Times New Roman" w:hAnsi="Times New Roman"/>
          <w:sz w:val="24"/>
          <w:szCs w:val="24"/>
        </w:rPr>
        <w:t xml:space="preserve">will have distributive effects which Stapleton </w:t>
      </w:r>
      <w:r w:rsidR="00531971">
        <w:rPr>
          <w:rFonts w:ascii="Times New Roman" w:hAnsi="Times New Roman"/>
          <w:sz w:val="24"/>
          <w:szCs w:val="24"/>
        </w:rPr>
        <w:t xml:space="preserve">properly </w:t>
      </w:r>
      <w:r w:rsidR="00C11B4E">
        <w:rPr>
          <w:rFonts w:ascii="Times New Roman" w:hAnsi="Times New Roman"/>
          <w:sz w:val="24"/>
          <w:szCs w:val="24"/>
        </w:rPr>
        <w:t xml:space="preserve">regards as </w:t>
      </w:r>
      <w:r>
        <w:rPr>
          <w:rFonts w:ascii="Times New Roman" w:hAnsi="Times New Roman"/>
          <w:i/>
          <w:sz w:val="24"/>
          <w:szCs w:val="24"/>
        </w:rPr>
        <w:t xml:space="preserve">prima facie </w:t>
      </w:r>
      <w:r w:rsidR="00C11B4E">
        <w:rPr>
          <w:rFonts w:ascii="Times New Roman" w:hAnsi="Times New Roman"/>
          <w:sz w:val="24"/>
          <w:szCs w:val="24"/>
        </w:rPr>
        <w:t>unfortunate: “[t]</w:t>
      </w:r>
      <w:proofErr w:type="gramStart"/>
      <w:r w:rsidR="00C11B4E">
        <w:rPr>
          <w:rFonts w:ascii="Times New Roman" w:hAnsi="Times New Roman"/>
          <w:sz w:val="24"/>
          <w:szCs w:val="24"/>
        </w:rPr>
        <w:t>he</w:t>
      </w:r>
      <w:proofErr w:type="gramEnd"/>
      <w:r w:rsidR="00C11B4E">
        <w:rPr>
          <w:rFonts w:ascii="Times New Roman" w:hAnsi="Times New Roman"/>
          <w:sz w:val="24"/>
          <w:szCs w:val="24"/>
        </w:rPr>
        <w:t xml:space="preserve"> tort-as-insurance argument also generates a reform strategy which is radically </w:t>
      </w:r>
      <w:proofErr w:type="spellStart"/>
      <w:r w:rsidR="00C11B4E">
        <w:rPr>
          <w:rFonts w:ascii="Times New Roman" w:hAnsi="Times New Roman"/>
          <w:sz w:val="24"/>
          <w:szCs w:val="24"/>
        </w:rPr>
        <w:t>redistributional</w:t>
      </w:r>
      <w:proofErr w:type="spellEnd"/>
      <w:r w:rsidR="00C11B4E">
        <w:rPr>
          <w:rFonts w:ascii="Times New Roman" w:hAnsi="Times New Roman"/>
          <w:sz w:val="24"/>
          <w:szCs w:val="24"/>
        </w:rPr>
        <w:t xml:space="preserve"> whereby business is enriched and injured individuals are stripped of protection”.</w:t>
      </w:r>
      <w:r w:rsidR="00C11B4E">
        <w:rPr>
          <w:rStyle w:val="FootnoteReference"/>
          <w:rFonts w:ascii="Times New Roman" w:hAnsi="Times New Roman"/>
          <w:sz w:val="24"/>
          <w:szCs w:val="24"/>
        </w:rPr>
        <w:footnoteReference w:id="10"/>
      </w:r>
      <w:r w:rsidR="004A0EE3" w:rsidRPr="004A0EE3">
        <w:rPr>
          <w:rFonts w:ascii="Times New Roman" w:hAnsi="Times New Roman"/>
          <w:sz w:val="24"/>
          <w:szCs w:val="24"/>
        </w:rPr>
        <w:t xml:space="preserve"> </w:t>
      </w:r>
      <w:r w:rsidR="00E440D3">
        <w:rPr>
          <w:rFonts w:ascii="Times New Roman" w:hAnsi="Times New Roman"/>
          <w:sz w:val="24"/>
          <w:szCs w:val="24"/>
        </w:rPr>
        <w:t xml:space="preserve">It is </w:t>
      </w:r>
      <w:r w:rsidR="004C13BD">
        <w:rPr>
          <w:rFonts w:ascii="Times New Roman" w:hAnsi="Times New Roman"/>
          <w:sz w:val="24"/>
          <w:szCs w:val="24"/>
        </w:rPr>
        <w:t xml:space="preserve">my suggestion that the </w:t>
      </w:r>
      <w:r w:rsidR="009C64E0">
        <w:rPr>
          <w:rFonts w:ascii="Times New Roman" w:hAnsi="Times New Roman"/>
          <w:sz w:val="24"/>
          <w:szCs w:val="24"/>
        </w:rPr>
        <w:t xml:space="preserve">proposal to cut back tort and replace it with a better means of pooling or collectivising risk </w:t>
      </w:r>
      <w:r w:rsidR="00290AE3">
        <w:rPr>
          <w:rFonts w:ascii="Times New Roman" w:hAnsi="Times New Roman"/>
          <w:sz w:val="24"/>
          <w:szCs w:val="24"/>
        </w:rPr>
        <w:t xml:space="preserve">should </w:t>
      </w:r>
      <w:r w:rsidR="005E3BAF">
        <w:rPr>
          <w:rFonts w:ascii="Times New Roman" w:hAnsi="Times New Roman"/>
          <w:sz w:val="24"/>
          <w:szCs w:val="24"/>
        </w:rPr>
        <w:t xml:space="preserve">not be allowed to displace </w:t>
      </w:r>
      <w:r w:rsidR="009C64E0">
        <w:rPr>
          <w:rFonts w:ascii="Times New Roman" w:hAnsi="Times New Roman"/>
          <w:sz w:val="24"/>
          <w:szCs w:val="24"/>
        </w:rPr>
        <w:t>a detailed analysis of insurance as an integrated feature of private law.</w:t>
      </w:r>
      <w:r w:rsidR="00F3791F">
        <w:rPr>
          <w:rFonts w:ascii="Times New Roman" w:hAnsi="Times New Roman"/>
          <w:sz w:val="24"/>
          <w:szCs w:val="24"/>
        </w:rPr>
        <w:t xml:space="preserve"> </w:t>
      </w:r>
      <w:r w:rsidR="008627BC">
        <w:rPr>
          <w:rFonts w:ascii="Times New Roman" w:hAnsi="Times New Roman"/>
          <w:sz w:val="24"/>
          <w:szCs w:val="24"/>
        </w:rPr>
        <w:t xml:space="preserve">Enhanced </w:t>
      </w:r>
      <w:r w:rsidR="00F3791F">
        <w:rPr>
          <w:rFonts w:ascii="Times New Roman" w:hAnsi="Times New Roman"/>
          <w:sz w:val="24"/>
          <w:szCs w:val="24"/>
        </w:rPr>
        <w:t>understanding of the integration of insurance into private law is likely to put that reform agenda in its proper perspective.</w:t>
      </w:r>
      <w:r>
        <w:rPr>
          <w:rFonts w:ascii="Times New Roman" w:hAnsi="Times New Roman"/>
          <w:sz w:val="24"/>
          <w:szCs w:val="24"/>
        </w:rPr>
        <w:t xml:space="preserve"> </w:t>
      </w:r>
    </w:p>
    <w:p w:rsidR="00A3418F" w:rsidRDefault="004A0EE3" w:rsidP="00CA2822">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I</w:t>
      </w:r>
      <w:r w:rsidRPr="004A0EE3">
        <w:rPr>
          <w:rFonts w:ascii="Times New Roman" w:hAnsi="Times New Roman"/>
          <w:sz w:val="24"/>
          <w:szCs w:val="24"/>
        </w:rPr>
        <w:t>nteraction between different approaches to compensation for those suffering accidental harm in employment provides an example</w:t>
      </w:r>
      <w:r w:rsidR="009C64E0">
        <w:rPr>
          <w:rFonts w:ascii="Times New Roman" w:hAnsi="Times New Roman"/>
          <w:sz w:val="24"/>
          <w:szCs w:val="24"/>
        </w:rPr>
        <w:t xml:space="preserve"> of the </w:t>
      </w:r>
      <w:r w:rsidR="00290AE3">
        <w:rPr>
          <w:rFonts w:ascii="Times New Roman" w:hAnsi="Times New Roman"/>
          <w:sz w:val="24"/>
          <w:szCs w:val="24"/>
        </w:rPr>
        <w:t xml:space="preserve">mixing of </w:t>
      </w:r>
      <w:r w:rsidR="009C64E0">
        <w:rPr>
          <w:rFonts w:ascii="Times New Roman" w:hAnsi="Times New Roman"/>
          <w:sz w:val="24"/>
          <w:szCs w:val="24"/>
        </w:rPr>
        <w:t>different approaches to reparation</w:t>
      </w:r>
      <w:r w:rsidR="00684CBE">
        <w:rPr>
          <w:rFonts w:ascii="Times New Roman" w:hAnsi="Times New Roman"/>
          <w:sz w:val="24"/>
          <w:szCs w:val="24"/>
        </w:rPr>
        <w:t xml:space="preserve"> and </w:t>
      </w:r>
      <w:r w:rsidR="00290AE3">
        <w:rPr>
          <w:rFonts w:ascii="Times New Roman" w:hAnsi="Times New Roman"/>
          <w:sz w:val="24"/>
          <w:szCs w:val="24"/>
        </w:rPr>
        <w:t xml:space="preserve">of </w:t>
      </w:r>
      <w:r w:rsidR="00684CBE">
        <w:rPr>
          <w:rFonts w:ascii="Times New Roman" w:hAnsi="Times New Roman"/>
          <w:sz w:val="24"/>
          <w:szCs w:val="24"/>
        </w:rPr>
        <w:t>the way that their objectives have intermingled</w:t>
      </w:r>
      <w:r w:rsidRPr="004A0EE3">
        <w:rPr>
          <w:rFonts w:ascii="Times New Roman" w:hAnsi="Times New Roman"/>
          <w:sz w:val="24"/>
          <w:szCs w:val="24"/>
        </w:rPr>
        <w:t>.</w:t>
      </w:r>
      <w:r w:rsidR="009C64E0">
        <w:rPr>
          <w:rFonts w:ascii="Times New Roman" w:hAnsi="Times New Roman"/>
          <w:sz w:val="24"/>
          <w:szCs w:val="24"/>
        </w:rPr>
        <w:t xml:space="preserve"> This is also important since the latter part of this chapter considers the current arrangements, via tort and contract, for compensating the victims of occupational mesothelioma in the UK, with some reference to Australian law.</w:t>
      </w:r>
      <w:r w:rsidRPr="004A0EE3">
        <w:rPr>
          <w:rFonts w:ascii="Times New Roman" w:hAnsi="Times New Roman"/>
          <w:sz w:val="24"/>
          <w:szCs w:val="24"/>
        </w:rPr>
        <w:t xml:space="preserve"> </w:t>
      </w:r>
      <w:r w:rsidR="00F26CD6">
        <w:rPr>
          <w:rFonts w:ascii="Times New Roman" w:hAnsi="Times New Roman"/>
          <w:sz w:val="24"/>
          <w:szCs w:val="24"/>
        </w:rPr>
        <w:t xml:space="preserve">In the context of occupational injuries, </w:t>
      </w:r>
      <w:r w:rsidRPr="004A0EE3">
        <w:rPr>
          <w:rFonts w:ascii="Times New Roman" w:hAnsi="Times New Roman"/>
          <w:sz w:val="24"/>
          <w:szCs w:val="24"/>
        </w:rPr>
        <w:t xml:space="preserve">there has been considerable cross-fertilisation between workmen’s compensation </w:t>
      </w:r>
      <w:r w:rsidR="00F61831">
        <w:rPr>
          <w:rFonts w:ascii="Times New Roman" w:hAnsi="Times New Roman"/>
          <w:sz w:val="24"/>
          <w:szCs w:val="24"/>
        </w:rPr>
        <w:t xml:space="preserve">schemes, </w:t>
      </w:r>
      <w:r w:rsidRPr="004A0EE3">
        <w:rPr>
          <w:rFonts w:ascii="Times New Roman" w:hAnsi="Times New Roman"/>
          <w:sz w:val="24"/>
          <w:szCs w:val="24"/>
        </w:rPr>
        <w:t xml:space="preserve">and tort liability backed by insurance, even though there are fundamental differences between these approaches and they could </w:t>
      </w:r>
      <w:r w:rsidR="00DC1CF4">
        <w:rPr>
          <w:rFonts w:ascii="Times New Roman" w:hAnsi="Times New Roman"/>
          <w:sz w:val="24"/>
          <w:szCs w:val="24"/>
        </w:rPr>
        <w:t xml:space="preserve">certainly </w:t>
      </w:r>
      <w:r w:rsidRPr="004A0EE3">
        <w:rPr>
          <w:rFonts w:ascii="Times New Roman" w:hAnsi="Times New Roman"/>
          <w:sz w:val="24"/>
          <w:szCs w:val="24"/>
        </w:rPr>
        <w:t xml:space="preserve">be labelled ‘ideologically different’. </w:t>
      </w:r>
      <w:r w:rsidR="00290AE3">
        <w:rPr>
          <w:rFonts w:ascii="Times New Roman" w:hAnsi="Times New Roman"/>
          <w:sz w:val="24"/>
          <w:szCs w:val="24"/>
        </w:rPr>
        <w:t xml:space="preserve">Insurance provides a common thread. </w:t>
      </w:r>
      <w:r w:rsidR="00B668E3">
        <w:rPr>
          <w:rFonts w:ascii="Times New Roman" w:hAnsi="Times New Roman"/>
          <w:sz w:val="24"/>
          <w:szCs w:val="24"/>
        </w:rPr>
        <w:t>In the UK, i</w:t>
      </w:r>
      <w:r w:rsidRPr="004A0EE3">
        <w:rPr>
          <w:rFonts w:ascii="Times New Roman" w:hAnsi="Times New Roman"/>
          <w:sz w:val="24"/>
          <w:szCs w:val="24"/>
        </w:rPr>
        <w:t xml:space="preserve">nsurance was a familiar aspect of workmen’s compensation though it was not compulsory, and insurers were among the significant interest groups involved in the negotiation of its replacement after the Second World War, though insurance toward employees was not made compulsory until the commencement of the Employers’ Liability (Compulsory Insurance) Act 1969. </w:t>
      </w:r>
      <w:r>
        <w:rPr>
          <w:rFonts w:ascii="Times New Roman" w:hAnsi="Times New Roman"/>
          <w:sz w:val="24"/>
          <w:szCs w:val="24"/>
        </w:rPr>
        <w:t xml:space="preserve">Workmen’s </w:t>
      </w:r>
      <w:r w:rsidR="00F61831">
        <w:rPr>
          <w:rFonts w:ascii="Times New Roman" w:hAnsi="Times New Roman"/>
          <w:sz w:val="24"/>
          <w:szCs w:val="24"/>
        </w:rPr>
        <w:t>c</w:t>
      </w:r>
      <w:r>
        <w:rPr>
          <w:rFonts w:ascii="Times New Roman" w:hAnsi="Times New Roman"/>
          <w:sz w:val="24"/>
          <w:szCs w:val="24"/>
        </w:rPr>
        <w:t>ompensation was not based on fault and benefits under the scheme were very low compared to those established by the law of tort.</w:t>
      </w:r>
      <w:r w:rsidR="00DC1CF4">
        <w:rPr>
          <w:rStyle w:val="FootnoteReference"/>
          <w:rFonts w:ascii="Times New Roman" w:hAnsi="Times New Roman"/>
          <w:sz w:val="24"/>
          <w:szCs w:val="24"/>
        </w:rPr>
        <w:footnoteReference w:id="11"/>
      </w:r>
      <w:r>
        <w:rPr>
          <w:rFonts w:ascii="Times New Roman" w:hAnsi="Times New Roman"/>
          <w:sz w:val="24"/>
          <w:szCs w:val="24"/>
        </w:rPr>
        <w:t xml:space="preserve"> Indeed the relative generosity of tort payments for those injured on the roads during the </w:t>
      </w:r>
      <w:r w:rsidR="00DC1CF4">
        <w:rPr>
          <w:rFonts w:ascii="Times New Roman" w:hAnsi="Times New Roman"/>
          <w:sz w:val="24"/>
          <w:szCs w:val="24"/>
        </w:rPr>
        <w:t xml:space="preserve">same period </w:t>
      </w:r>
      <w:r w:rsidR="00290AE3">
        <w:rPr>
          <w:rFonts w:ascii="Times New Roman" w:hAnsi="Times New Roman"/>
          <w:sz w:val="24"/>
          <w:szCs w:val="24"/>
        </w:rPr>
        <w:t xml:space="preserve">(supported by the UK’s first compulsory insurance scheme) </w:t>
      </w:r>
      <w:r>
        <w:rPr>
          <w:rFonts w:ascii="Times New Roman" w:hAnsi="Times New Roman"/>
          <w:sz w:val="24"/>
          <w:szCs w:val="24"/>
        </w:rPr>
        <w:t xml:space="preserve">has been identified as </w:t>
      </w:r>
      <w:r w:rsidR="00B668E3">
        <w:rPr>
          <w:rFonts w:ascii="Times New Roman" w:hAnsi="Times New Roman"/>
          <w:sz w:val="24"/>
          <w:szCs w:val="24"/>
        </w:rPr>
        <w:t xml:space="preserve">contributing to the growing </w:t>
      </w:r>
      <w:r>
        <w:rPr>
          <w:rFonts w:ascii="Times New Roman" w:hAnsi="Times New Roman"/>
          <w:sz w:val="24"/>
          <w:szCs w:val="24"/>
        </w:rPr>
        <w:t>dissatisfaction of workers with the compensation schemes, and the growing interest of organised labour in the common law</w:t>
      </w:r>
      <w:r w:rsidR="00FD6DE5">
        <w:rPr>
          <w:rFonts w:ascii="Times New Roman" w:hAnsi="Times New Roman"/>
          <w:sz w:val="24"/>
          <w:szCs w:val="24"/>
        </w:rPr>
        <w:t xml:space="preserve"> during this period</w:t>
      </w:r>
      <w:r w:rsidR="00F61831">
        <w:rPr>
          <w:rFonts w:ascii="Times New Roman" w:hAnsi="Times New Roman"/>
          <w:sz w:val="24"/>
          <w:szCs w:val="24"/>
        </w:rPr>
        <w:t xml:space="preserve"> – culminating in the Labour Government’s </w:t>
      </w:r>
      <w:r w:rsidR="008F761C">
        <w:rPr>
          <w:rFonts w:ascii="Times New Roman" w:hAnsi="Times New Roman"/>
          <w:sz w:val="24"/>
          <w:szCs w:val="24"/>
        </w:rPr>
        <w:t xml:space="preserve">post-1945 </w:t>
      </w:r>
      <w:r w:rsidR="00F61831">
        <w:rPr>
          <w:rFonts w:ascii="Times New Roman" w:hAnsi="Times New Roman"/>
          <w:sz w:val="24"/>
          <w:szCs w:val="24"/>
        </w:rPr>
        <w:t>repeal of workmen’s compensation statutes and the adoption of a twin track system of tort and social welfare payments</w:t>
      </w:r>
      <w:r>
        <w:rPr>
          <w:rFonts w:ascii="Times New Roman" w:hAnsi="Times New Roman"/>
          <w:sz w:val="24"/>
          <w:szCs w:val="24"/>
        </w:rPr>
        <w:t>.</w:t>
      </w:r>
      <w:r>
        <w:rPr>
          <w:rStyle w:val="FootnoteReference"/>
          <w:rFonts w:ascii="Times New Roman" w:hAnsi="Times New Roman"/>
          <w:sz w:val="24"/>
          <w:szCs w:val="24"/>
        </w:rPr>
        <w:footnoteReference w:id="12"/>
      </w:r>
      <w:r>
        <w:rPr>
          <w:rFonts w:ascii="Times New Roman" w:hAnsi="Times New Roman"/>
          <w:sz w:val="24"/>
          <w:szCs w:val="24"/>
        </w:rPr>
        <w:t xml:space="preserve"> </w:t>
      </w:r>
      <w:r w:rsidR="008F761C">
        <w:rPr>
          <w:rFonts w:ascii="Times New Roman" w:hAnsi="Times New Roman"/>
          <w:sz w:val="24"/>
          <w:szCs w:val="24"/>
        </w:rPr>
        <w:t>Clearly these changes were not free from an ideological – indeed strongly political - dimension. But equally, the various ways of compensating injured employees were not so ideologically distinct that they did not affect, inform, and influence one another.</w:t>
      </w:r>
      <w:r w:rsidR="00E709C6">
        <w:rPr>
          <w:rStyle w:val="FootnoteReference"/>
          <w:rFonts w:ascii="Times New Roman" w:hAnsi="Times New Roman"/>
          <w:sz w:val="24"/>
          <w:szCs w:val="24"/>
        </w:rPr>
        <w:footnoteReference w:id="13"/>
      </w:r>
      <w:r w:rsidR="004B5C93">
        <w:rPr>
          <w:rFonts w:ascii="Times New Roman" w:hAnsi="Times New Roman"/>
          <w:sz w:val="24"/>
          <w:szCs w:val="24"/>
        </w:rPr>
        <w:t xml:space="preserve"> There </w:t>
      </w:r>
      <w:r w:rsidR="00561C44">
        <w:rPr>
          <w:rFonts w:ascii="Times New Roman" w:hAnsi="Times New Roman"/>
          <w:sz w:val="24"/>
          <w:szCs w:val="24"/>
        </w:rPr>
        <w:t xml:space="preserve">has been </w:t>
      </w:r>
      <w:r w:rsidR="004B5C93">
        <w:rPr>
          <w:rFonts w:ascii="Times New Roman" w:hAnsi="Times New Roman"/>
          <w:sz w:val="24"/>
          <w:szCs w:val="24"/>
        </w:rPr>
        <w:t>a mingling of ‘ideologies’</w:t>
      </w:r>
      <w:r w:rsidR="00561C44">
        <w:rPr>
          <w:rFonts w:ascii="Times New Roman" w:hAnsi="Times New Roman"/>
          <w:sz w:val="24"/>
          <w:szCs w:val="24"/>
        </w:rPr>
        <w:t xml:space="preserve"> over the long term</w:t>
      </w:r>
      <w:r w:rsidR="004B5C93">
        <w:rPr>
          <w:rFonts w:ascii="Times New Roman" w:hAnsi="Times New Roman"/>
          <w:sz w:val="24"/>
          <w:szCs w:val="24"/>
        </w:rPr>
        <w:t>.</w:t>
      </w:r>
      <w:r w:rsidR="008F761C">
        <w:rPr>
          <w:rFonts w:ascii="Times New Roman" w:hAnsi="Times New Roman"/>
          <w:sz w:val="24"/>
          <w:szCs w:val="24"/>
        </w:rPr>
        <w:t xml:space="preserve"> </w:t>
      </w:r>
      <w:r w:rsidRPr="004A0EE3">
        <w:rPr>
          <w:rFonts w:ascii="Times New Roman" w:hAnsi="Times New Roman"/>
          <w:sz w:val="24"/>
          <w:szCs w:val="24"/>
        </w:rPr>
        <w:t xml:space="preserve">As a </w:t>
      </w:r>
      <w:r w:rsidR="00F61831">
        <w:rPr>
          <w:rFonts w:ascii="Times New Roman" w:hAnsi="Times New Roman"/>
          <w:sz w:val="24"/>
          <w:szCs w:val="24"/>
        </w:rPr>
        <w:t xml:space="preserve">particular </w:t>
      </w:r>
      <w:r w:rsidRPr="004A0EE3">
        <w:rPr>
          <w:rFonts w:ascii="Times New Roman" w:hAnsi="Times New Roman"/>
          <w:sz w:val="24"/>
          <w:szCs w:val="24"/>
        </w:rPr>
        <w:t>example of cross-fertilisation</w:t>
      </w:r>
      <w:r w:rsidR="004B5C93">
        <w:rPr>
          <w:rFonts w:ascii="Times New Roman" w:hAnsi="Times New Roman"/>
          <w:sz w:val="24"/>
          <w:szCs w:val="24"/>
        </w:rPr>
        <w:t xml:space="preserve"> in both purpose and know-how</w:t>
      </w:r>
      <w:r w:rsidRPr="004A0EE3">
        <w:rPr>
          <w:rFonts w:ascii="Times New Roman" w:hAnsi="Times New Roman"/>
          <w:sz w:val="24"/>
          <w:szCs w:val="24"/>
        </w:rPr>
        <w:t xml:space="preserve">, the provisions to protect injured claimants against insolvency of tortfeasors by providing recourse directly against insurers – which is hard to see as anything other than a clear and deliberate </w:t>
      </w:r>
      <w:r w:rsidR="00F61831">
        <w:rPr>
          <w:rFonts w:ascii="Times New Roman" w:hAnsi="Times New Roman"/>
          <w:sz w:val="24"/>
          <w:szCs w:val="24"/>
        </w:rPr>
        <w:t xml:space="preserve">statutory </w:t>
      </w:r>
      <w:r w:rsidRPr="004A0EE3">
        <w:rPr>
          <w:rFonts w:ascii="Times New Roman" w:hAnsi="Times New Roman"/>
          <w:sz w:val="24"/>
          <w:szCs w:val="24"/>
        </w:rPr>
        <w:t xml:space="preserve">link between tort </w:t>
      </w:r>
      <w:r w:rsidR="0026203F">
        <w:rPr>
          <w:rFonts w:ascii="Times New Roman" w:hAnsi="Times New Roman"/>
          <w:sz w:val="24"/>
          <w:szCs w:val="24"/>
        </w:rPr>
        <w:t xml:space="preserve">claimants </w:t>
      </w:r>
      <w:r w:rsidRPr="004A0EE3">
        <w:rPr>
          <w:rFonts w:ascii="Times New Roman" w:hAnsi="Times New Roman"/>
          <w:sz w:val="24"/>
          <w:szCs w:val="24"/>
        </w:rPr>
        <w:t>and insurance</w:t>
      </w:r>
      <w:r w:rsidR="0026203F">
        <w:rPr>
          <w:rFonts w:ascii="Times New Roman" w:hAnsi="Times New Roman"/>
          <w:sz w:val="24"/>
          <w:szCs w:val="24"/>
        </w:rPr>
        <w:t xml:space="preserve"> funds</w:t>
      </w:r>
      <w:r w:rsidR="0021491B">
        <w:rPr>
          <w:rStyle w:val="FootnoteReference"/>
          <w:rFonts w:ascii="Times New Roman" w:hAnsi="Times New Roman"/>
          <w:sz w:val="24"/>
          <w:szCs w:val="24"/>
        </w:rPr>
        <w:footnoteReference w:id="14"/>
      </w:r>
      <w:r w:rsidRPr="004A0EE3">
        <w:rPr>
          <w:rFonts w:ascii="Times New Roman" w:hAnsi="Times New Roman"/>
          <w:sz w:val="24"/>
          <w:szCs w:val="24"/>
        </w:rPr>
        <w:t xml:space="preserve"> – was initially </w:t>
      </w:r>
      <w:r w:rsidR="00FD6DE5">
        <w:rPr>
          <w:rFonts w:ascii="Times New Roman" w:hAnsi="Times New Roman"/>
          <w:sz w:val="24"/>
          <w:szCs w:val="24"/>
        </w:rPr>
        <w:t>introduced in order to support the newly compulsory third party insurance in relation to road traffic</w:t>
      </w:r>
      <w:r w:rsidR="0026203F">
        <w:rPr>
          <w:rFonts w:ascii="Times New Roman" w:hAnsi="Times New Roman"/>
          <w:sz w:val="24"/>
          <w:szCs w:val="24"/>
        </w:rPr>
        <w:t xml:space="preserve">. But it reflected practice developed in relation to </w:t>
      </w:r>
      <w:r w:rsidRPr="004A0EE3">
        <w:rPr>
          <w:rFonts w:ascii="Times New Roman" w:hAnsi="Times New Roman"/>
          <w:sz w:val="24"/>
          <w:szCs w:val="24"/>
        </w:rPr>
        <w:t xml:space="preserve">non-compulsory insurance in the </w:t>
      </w:r>
      <w:r w:rsidR="00684CBE">
        <w:rPr>
          <w:rFonts w:ascii="Times New Roman" w:hAnsi="Times New Roman"/>
          <w:sz w:val="24"/>
          <w:szCs w:val="24"/>
        </w:rPr>
        <w:lastRenderedPageBreak/>
        <w:t>workmen’s compensation legislation</w:t>
      </w:r>
      <w:r w:rsidRPr="004A0EE3">
        <w:rPr>
          <w:rFonts w:ascii="Times New Roman" w:hAnsi="Times New Roman"/>
          <w:sz w:val="24"/>
          <w:szCs w:val="24"/>
        </w:rPr>
        <w:t>.</w:t>
      </w:r>
      <w:r w:rsidR="0021491B">
        <w:rPr>
          <w:rStyle w:val="FootnoteReference"/>
          <w:rFonts w:ascii="Times New Roman" w:hAnsi="Times New Roman"/>
          <w:sz w:val="24"/>
          <w:szCs w:val="24"/>
        </w:rPr>
        <w:footnoteReference w:id="15"/>
      </w:r>
      <w:r w:rsidR="00FD6DE5">
        <w:rPr>
          <w:rFonts w:ascii="Times New Roman" w:hAnsi="Times New Roman"/>
          <w:sz w:val="24"/>
          <w:szCs w:val="24"/>
        </w:rPr>
        <w:t xml:space="preserve"> </w:t>
      </w:r>
      <w:r w:rsidR="008F761C">
        <w:rPr>
          <w:rFonts w:ascii="Times New Roman" w:hAnsi="Times New Roman"/>
          <w:sz w:val="24"/>
          <w:szCs w:val="24"/>
        </w:rPr>
        <w:t>In other words,</w:t>
      </w:r>
      <w:r w:rsidR="00322DF1">
        <w:rPr>
          <w:rFonts w:ascii="Times New Roman" w:hAnsi="Times New Roman"/>
          <w:sz w:val="24"/>
          <w:szCs w:val="24"/>
        </w:rPr>
        <w:t xml:space="preserve"> there have been</w:t>
      </w:r>
      <w:r w:rsidR="008F761C">
        <w:rPr>
          <w:rFonts w:ascii="Times New Roman" w:hAnsi="Times New Roman"/>
          <w:sz w:val="24"/>
          <w:szCs w:val="24"/>
        </w:rPr>
        <w:t xml:space="preserve"> important </w:t>
      </w:r>
      <w:r w:rsidR="00F61831">
        <w:rPr>
          <w:rFonts w:ascii="Times New Roman" w:hAnsi="Times New Roman"/>
          <w:sz w:val="24"/>
          <w:szCs w:val="24"/>
        </w:rPr>
        <w:t xml:space="preserve">examples of cross-fertilisation both in </w:t>
      </w:r>
      <w:r w:rsidR="00C97B0E">
        <w:rPr>
          <w:rFonts w:ascii="Times New Roman" w:hAnsi="Times New Roman"/>
          <w:sz w:val="24"/>
          <w:szCs w:val="24"/>
        </w:rPr>
        <w:t xml:space="preserve">broad </w:t>
      </w:r>
      <w:r w:rsidR="00F61831">
        <w:rPr>
          <w:rFonts w:ascii="Times New Roman" w:hAnsi="Times New Roman"/>
          <w:sz w:val="24"/>
          <w:szCs w:val="24"/>
        </w:rPr>
        <w:t xml:space="preserve">policy objectives, and in legal techniques applied, </w:t>
      </w:r>
      <w:r w:rsidR="00FD6DE5">
        <w:rPr>
          <w:rFonts w:ascii="Times New Roman" w:hAnsi="Times New Roman"/>
          <w:sz w:val="24"/>
          <w:szCs w:val="24"/>
        </w:rPr>
        <w:t xml:space="preserve">between responses to misfortune which would, on Stapleton’s analysis, be </w:t>
      </w:r>
      <w:r w:rsidR="00684CBE">
        <w:rPr>
          <w:rFonts w:ascii="Times New Roman" w:hAnsi="Times New Roman"/>
          <w:sz w:val="24"/>
          <w:szCs w:val="24"/>
        </w:rPr>
        <w:t xml:space="preserve">regarded </w:t>
      </w:r>
      <w:r w:rsidR="00C624E7">
        <w:rPr>
          <w:rFonts w:ascii="Times New Roman" w:hAnsi="Times New Roman"/>
          <w:sz w:val="24"/>
          <w:szCs w:val="24"/>
        </w:rPr>
        <w:t>as distinct</w:t>
      </w:r>
      <w:r w:rsidR="00684CBE">
        <w:rPr>
          <w:rFonts w:ascii="Times New Roman" w:hAnsi="Times New Roman"/>
          <w:sz w:val="24"/>
          <w:szCs w:val="24"/>
        </w:rPr>
        <w:t xml:space="preserve"> – including the law of tort</w:t>
      </w:r>
      <w:r w:rsidR="00FD6DE5">
        <w:rPr>
          <w:rFonts w:ascii="Times New Roman" w:hAnsi="Times New Roman"/>
          <w:sz w:val="24"/>
          <w:szCs w:val="24"/>
        </w:rPr>
        <w:t>.</w:t>
      </w:r>
    </w:p>
    <w:p w:rsidR="00C97B0E" w:rsidRDefault="00E44817">
      <w:pPr>
        <w:spacing w:after="0" w:line="240" w:lineRule="auto"/>
        <w:ind w:firstLine="284"/>
        <w:jc w:val="both"/>
        <w:rPr>
          <w:rFonts w:ascii="Times New Roman" w:hAnsi="Times New Roman"/>
          <w:sz w:val="24"/>
          <w:szCs w:val="24"/>
        </w:rPr>
      </w:pPr>
      <w:r>
        <w:rPr>
          <w:rFonts w:ascii="Times New Roman" w:hAnsi="Times New Roman"/>
          <w:sz w:val="24"/>
          <w:szCs w:val="24"/>
        </w:rPr>
        <w:t>Despite the importance of</w:t>
      </w:r>
      <w:r w:rsidR="004C13BD">
        <w:rPr>
          <w:rFonts w:ascii="Times New Roman" w:hAnsi="Times New Roman"/>
          <w:sz w:val="24"/>
          <w:szCs w:val="24"/>
        </w:rPr>
        <w:t xml:space="preserve"> occupational injury</w:t>
      </w:r>
      <w:r>
        <w:rPr>
          <w:rFonts w:ascii="Times New Roman" w:hAnsi="Times New Roman"/>
          <w:sz w:val="24"/>
          <w:szCs w:val="24"/>
        </w:rPr>
        <w:t>, m</w:t>
      </w:r>
      <w:r w:rsidR="0026203F">
        <w:rPr>
          <w:rFonts w:ascii="Times New Roman" w:hAnsi="Times New Roman"/>
          <w:sz w:val="24"/>
          <w:szCs w:val="24"/>
        </w:rPr>
        <w:t xml:space="preserve">y </w:t>
      </w:r>
      <w:r w:rsidR="00C97B0E">
        <w:rPr>
          <w:rFonts w:ascii="Times New Roman" w:hAnsi="Times New Roman"/>
          <w:sz w:val="24"/>
          <w:szCs w:val="24"/>
        </w:rPr>
        <w:t xml:space="preserve">core </w:t>
      </w:r>
      <w:r w:rsidR="0026203F">
        <w:rPr>
          <w:rFonts w:ascii="Times New Roman" w:hAnsi="Times New Roman"/>
          <w:sz w:val="24"/>
          <w:szCs w:val="24"/>
        </w:rPr>
        <w:t xml:space="preserve">focus </w:t>
      </w:r>
      <w:r>
        <w:rPr>
          <w:rFonts w:ascii="Times New Roman" w:hAnsi="Times New Roman"/>
          <w:sz w:val="24"/>
          <w:szCs w:val="24"/>
        </w:rPr>
        <w:t xml:space="preserve">in this chapter </w:t>
      </w:r>
      <w:r w:rsidR="0026203F">
        <w:rPr>
          <w:rFonts w:ascii="Times New Roman" w:hAnsi="Times New Roman"/>
          <w:sz w:val="24"/>
          <w:szCs w:val="24"/>
        </w:rPr>
        <w:t xml:space="preserve">is </w:t>
      </w:r>
      <w:r>
        <w:rPr>
          <w:rFonts w:ascii="Times New Roman" w:hAnsi="Times New Roman"/>
          <w:sz w:val="24"/>
          <w:szCs w:val="24"/>
        </w:rPr>
        <w:t xml:space="preserve">not specifically on compensation to employees, but more generally </w:t>
      </w:r>
      <w:r w:rsidR="0026203F">
        <w:rPr>
          <w:rFonts w:ascii="Times New Roman" w:hAnsi="Times New Roman"/>
          <w:sz w:val="24"/>
          <w:szCs w:val="24"/>
        </w:rPr>
        <w:t>on the way in which insurance contracts draw tort liabilities into the domain of commercial law.</w:t>
      </w:r>
      <w:r w:rsidR="00E709C6">
        <w:rPr>
          <w:rFonts w:ascii="Times New Roman" w:hAnsi="Times New Roman"/>
          <w:sz w:val="24"/>
          <w:szCs w:val="24"/>
        </w:rPr>
        <w:t xml:space="preserve"> </w:t>
      </w:r>
      <w:r w:rsidR="00773E59">
        <w:rPr>
          <w:rFonts w:ascii="Times New Roman" w:hAnsi="Times New Roman"/>
          <w:sz w:val="24"/>
          <w:szCs w:val="24"/>
        </w:rPr>
        <w:t xml:space="preserve">I argue that </w:t>
      </w:r>
      <w:r w:rsidR="00E709C6">
        <w:rPr>
          <w:rFonts w:ascii="Times New Roman" w:hAnsi="Times New Roman"/>
          <w:sz w:val="24"/>
          <w:szCs w:val="24"/>
        </w:rPr>
        <w:t>the question</w:t>
      </w:r>
      <w:r w:rsidR="005847FD">
        <w:rPr>
          <w:rFonts w:ascii="Times New Roman" w:hAnsi="Times New Roman"/>
          <w:sz w:val="24"/>
          <w:szCs w:val="24"/>
        </w:rPr>
        <w:t>s which tort lawyers ask themselves about insurance are (or should be)</w:t>
      </w:r>
      <w:r w:rsidR="00E709C6">
        <w:rPr>
          <w:rFonts w:ascii="Times New Roman" w:hAnsi="Times New Roman"/>
          <w:sz w:val="24"/>
          <w:szCs w:val="24"/>
        </w:rPr>
        <w:t xml:space="preserve"> part of a much broader</w:t>
      </w:r>
      <w:r w:rsidR="005847FD">
        <w:rPr>
          <w:rFonts w:ascii="Times New Roman" w:hAnsi="Times New Roman"/>
          <w:sz w:val="24"/>
          <w:szCs w:val="24"/>
        </w:rPr>
        <w:t xml:space="preserve"> set of questions</w:t>
      </w:r>
      <w:r w:rsidR="00E709C6">
        <w:rPr>
          <w:rFonts w:ascii="Times New Roman" w:hAnsi="Times New Roman"/>
          <w:sz w:val="24"/>
          <w:szCs w:val="24"/>
        </w:rPr>
        <w:t xml:space="preserve">, about the resources available to private law in addressing the wide range of questions which are in issue in respect not only of individual party transactions, but also of the operation of markets in general. </w:t>
      </w:r>
      <w:r w:rsidR="00C97B0E">
        <w:rPr>
          <w:rFonts w:ascii="Times New Roman" w:hAnsi="Times New Roman"/>
          <w:sz w:val="24"/>
          <w:szCs w:val="24"/>
        </w:rPr>
        <w:t>To start here is of course to start somewhere quite different from Stapleton’s point of departure, which is to identify different ways of responding to a particular instance of accidental harm</w:t>
      </w:r>
      <w:r w:rsidR="0049626D">
        <w:rPr>
          <w:rFonts w:ascii="Times New Roman" w:hAnsi="Times New Roman"/>
          <w:sz w:val="24"/>
          <w:szCs w:val="24"/>
        </w:rPr>
        <w:t xml:space="preserve"> and to identify the ideological nature of changes to the balance between them</w:t>
      </w:r>
      <w:r w:rsidR="00C97B0E">
        <w:rPr>
          <w:rFonts w:ascii="Times New Roman" w:hAnsi="Times New Roman"/>
          <w:sz w:val="24"/>
          <w:szCs w:val="24"/>
        </w:rPr>
        <w:t xml:space="preserve">. </w:t>
      </w:r>
      <w:r w:rsidR="005847FD">
        <w:rPr>
          <w:rFonts w:ascii="Times New Roman" w:hAnsi="Times New Roman"/>
          <w:sz w:val="24"/>
          <w:szCs w:val="24"/>
        </w:rPr>
        <w:t xml:space="preserve">Treating insurance as a question of ‘distributions’ makes </w:t>
      </w:r>
      <w:r w:rsidR="00C97B0E">
        <w:rPr>
          <w:rFonts w:ascii="Times New Roman" w:hAnsi="Times New Roman"/>
          <w:sz w:val="24"/>
          <w:szCs w:val="24"/>
        </w:rPr>
        <w:t xml:space="preserve">it appear extraneous to the law of tort, and makes it </w:t>
      </w:r>
      <w:r w:rsidR="005847FD">
        <w:rPr>
          <w:rFonts w:ascii="Times New Roman" w:hAnsi="Times New Roman"/>
          <w:sz w:val="24"/>
          <w:szCs w:val="24"/>
        </w:rPr>
        <w:t>easier to justify</w:t>
      </w:r>
      <w:r w:rsidR="00C97B0E">
        <w:rPr>
          <w:rFonts w:ascii="Times New Roman" w:hAnsi="Times New Roman"/>
          <w:sz w:val="24"/>
          <w:szCs w:val="24"/>
        </w:rPr>
        <w:t xml:space="preserve"> disregarding it, in favour of a narrower set of questions</w:t>
      </w:r>
      <w:r w:rsidR="005847FD">
        <w:rPr>
          <w:rFonts w:ascii="Times New Roman" w:hAnsi="Times New Roman"/>
          <w:sz w:val="24"/>
          <w:szCs w:val="24"/>
        </w:rPr>
        <w:t xml:space="preserve">. </w:t>
      </w:r>
      <w:r w:rsidR="004B5C93">
        <w:rPr>
          <w:rFonts w:ascii="Times New Roman" w:hAnsi="Times New Roman"/>
          <w:sz w:val="24"/>
          <w:szCs w:val="24"/>
        </w:rPr>
        <w:t xml:space="preserve">Understanding insurance </w:t>
      </w:r>
      <w:r w:rsidR="00A67075">
        <w:rPr>
          <w:rFonts w:ascii="Times New Roman" w:hAnsi="Times New Roman"/>
          <w:sz w:val="24"/>
          <w:szCs w:val="24"/>
        </w:rPr>
        <w:t xml:space="preserve">in general </w:t>
      </w:r>
      <w:r w:rsidR="004B5C93">
        <w:rPr>
          <w:rFonts w:ascii="Times New Roman" w:hAnsi="Times New Roman"/>
          <w:sz w:val="24"/>
          <w:szCs w:val="24"/>
        </w:rPr>
        <w:t xml:space="preserve">as raising problems of private law changes the picture considerably. </w:t>
      </w:r>
    </w:p>
    <w:p w:rsidR="00032365" w:rsidRDefault="00ED5A98">
      <w:pPr>
        <w:spacing w:after="0" w:line="240" w:lineRule="auto"/>
        <w:ind w:firstLine="284"/>
        <w:jc w:val="both"/>
        <w:rPr>
          <w:rFonts w:ascii="Times New Roman" w:hAnsi="Times New Roman"/>
          <w:sz w:val="24"/>
          <w:szCs w:val="24"/>
        </w:rPr>
      </w:pPr>
      <w:r>
        <w:rPr>
          <w:rFonts w:ascii="Times New Roman" w:hAnsi="Times New Roman"/>
          <w:sz w:val="24"/>
          <w:szCs w:val="24"/>
        </w:rPr>
        <w:t>T</w:t>
      </w:r>
      <w:r w:rsidR="002C7571" w:rsidRPr="002C7571">
        <w:rPr>
          <w:rFonts w:ascii="Times New Roman" w:hAnsi="Times New Roman"/>
          <w:sz w:val="24"/>
          <w:szCs w:val="24"/>
        </w:rPr>
        <w:t xml:space="preserve">he </w:t>
      </w:r>
      <w:r w:rsidR="00A11665">
        <w:rPr>
          <w:rFonts w:ascii="Times New Roman" w:hAnsi="Times New Roman"/>
          <w:sz w:val="24"/>
          <w:szCs w:val="24"/>
        </w:rPr>
        <w:t xml:space="preserve">crucial point </w:t>
      </w:r>
      <w:r w:rsidR="00CF40DF">
        <w:rPr>
          <w:rFonts w:ascii="Times New Roman" w:hAnsi="Times New Roman"/>
          <w:sz w:val="24"/>
          <w:szCs w:val="24"/>
        </w:rPr>
        <w:t xml:space="preserve">for this introduction </w:t>
      </w:r>
      <w:r w:rsidR="00A11665">
        <w:rPr>
          <w:rFonts w:ascii="Times New Roman" w:hAnsi="Times New Roman"/>
          <w:sz w:val="24"/>
          <w:szCs w:val="24"/>
        </w:rPr>
        <w:t xml:space="preserve">is that </w:t>
      </w:r>
      <w:r w:rsidR="00E658FF">
        <w:rPr>
          <w:rFonts w:ascii="Times New Roman" w:hAnsi="Times New Roman"/>
          <w:sz w:val="24"/>
          <w:szCs w:val="24"/>
        </w:rPr>
        <w:t xml:space="preserve">once we understand </w:t>
      </w:r>
      <w:r w:rsidR="00A11665">
        <w:rPr>
          <w:rFonts w:ascii="Times New Roman" w:hAnsi="Times New Roman"/>
          <w:sz w:val="24"/>
          <w:szCs w:val="24"/>
        </w:rPr>
        <w:t xml:space="preserve">insurance in terms of its legal framework, </w:t>
      </w:r>
      <w:r w:rsidR="00E658FF">
        <w:rPr>
          <w:rFonts w:ascii="Times New Roman" w:hAnsi="Times New Roman"/>
          <w:sz w:val="24"/>
          <w:szCs w:val="24"/>
        </w:rPr>
        <w:t xml:space="preserve">it becomes clear that it </w:t>
      </w:r>
      <w:r w:rsidR="00A11665">
        <w:rPr>
          <w:rFonts w:ascii="Times New Roman" w:hAnsi="Times New Roman"/>
          <w:sz w:val="24"/>
          <w:szCs w:val="24"/>
        </w:rPr>
        <w:t xml:space="preserve">is not </w:t>
      </w:r>
      <w:r w:rsidR="00E658FF">
        <w:rPr>
          <w:rFonts w:ascii="Times New Roman" w:hAnsi="Times New Roman"/>
          <w:sz w:val="24"/>
          <w:szCs w:val="24"/>
        </w:rPr>
        <w:t xml:space="preserve">an alien transplant </w:t>
      </w:r>
      <w:r w:rsidR="00F3791F">
        <w:rPr>
          <w:rFonts w:ascii="Times New Roman" w:hAnsi="Times New Roman"/>
          <w:sz w:val="24"/>
          <w:szCs w:val="24"/>
        </w:rPr>
        <w:t xml:space="preserve">into the law of tort </w:t>
      </w:r>
      <w:r w:rsidR="00E658FF">
        <w:rPr>
          <w:rFonts w:ascii="Times New Roman" w:hAnsi="Times New Roman"/>
          <w:sz w:val="24"/>
          <w:szCs w:val="24"/>
        </w:rPr>
        <w:t>with a single monolithic and irresistible influence</w:t>
      </w:r>
      <w:r w:rsidR="00454BC6">
        <w:rPr>
          <w:rFonts w:ascii="Times New Roman" w:hAnsi="Times New Roman"/>
          <w:sz w:val="24"/>
          <w:szCs w:val="24"/>
        </w:rPr>
        <w:t xml:space="preserve"> (toward loss distribution)</w:t>
      </w:r>
      <w:r w:rsidR="00E658FF">
        <w:rPr>
          <w:rFonts w:ascii="Times New Roman" w:hAnsi="Times New Roman"/>
          <w:sz w:val="24"/>
          <w:szCs w:val="24"/>
        </w:rPr>
        <w:t>, and that it can be perceived as part of the core business of private law</w:t>
      </w:r>
      <w:r w:rsidR="00A11665">
        <w:rPr>
          <w:rFonts w:ascii="Times New Roman" w:hAnsi="Times New Roman"/>
          <w:sz w:val="24"/>
          <w:szCs w:val="24"/>
        </w:rPr>
        <w:t>.</w:t>
      </w:r>
      <w:r w:rsidR="00E658FF">
        <w:rPr>
          <w:rFonts w:ascii="Times New Roman" w:hAnsi="Times New Roman"/>
          <w:sz w:val="24"/>
          <w:szCs w:val="24"/>
        </w:rPr>
        <w:t xml:space="preserve"> This is a different way of resisting the idea that tort ‘is’ insurance, by reflecting the multi-faceted influence of insurance and its </w:t>
      </w:r>
      <w:r w:rsidR="00454BC6">
        <w:rPr>
          <w:rFonts w:ascii="Times New Roman" w:hAnsi="Times New Roman"/>
          <w:sz w:val="24"/>
          <w:szCs w:val="24"/>
        </w:rPr>
        <w:t xml:space="preserve">impact upon </w:t>
      </w:r>
      <w:r w:rsidR="00E658FF">
        <w:rPr>
          <w:rFonts w:ascii="Times New Roman" w:hAnsi="Times New Roman"/>
          <w:sz w:val="24"/>
          <w:szCs w:val="24"/>
        </w:rPr>
        <w:t>a range of features of private</w:t>
      </w:r>
      <w:r w:rsidR="00454BC6">
        <w:rPr>
          <w:rFonts w:ascii="Times New Roman" w:hAnsi="Times New Roman"/>
          <w:sz w:val="24"/>
          <w:szCs w:val="24"/>
        </w:rPr>
        <w:t xml:space="preserve"> law</w:t>
      </w:r>
      <w:r w:rsidR="00E658FF">
        <w:rPr>
          <w:rFonts w:ascii="Times New Roman" w:hAnsi="Times New Roman"/>
          <w:sz w:val="24"/>
          <w:szCs w:val="24"/>
        </w:rPr>
        <w:t>.</w:t>
      </w:r>
      <w:r w:rsidR="00A11665">
        <w:rPr>
          <w:rFonts w:ascii="Times New Roman" w:hAnsi="Times New Roman"/>
          <w:sz w:val="24"/>
          <w:szCs w:val="24"/>
        </w:rPr>
        <w:t xml:space="preserve"> </w:t>
      </w:r>
      <w:r w:rsidR="002C7571" w:rsidRPr="002C7571">
        <w:rPr>
          <w:rFonts w:ascii="Times New Roman" w:hAnsi="Times New Roman"/>
          <w:sz w:val="24"/>
          <w:szCs w:val="24"/>
        </w:rPr>
        <w:t xml:space="preserve">In </w:t>
      </w:r>
      <w:r w:rsidR="00454BC6">
        <w:rPr>
          <w:rFonts w:ascii="Times New Roman" w:hAnsi="Times New Roman"/>
          <w:sz w:val="24"/>
          <w:szCs w:val="24"/>
        </w:rPr>
        <w:t xml:space="preserve">particular, in </w:t>
      </w:r>
      <w:r w:rsidR="002C7571" w:rsidRPr="002C7571">
        <w:rPr>
          <w:rFonts w:ascii="Times New Roman" w:hAnsi="Times New Roman"/>
          <w:sz w:val="24"/>
          <w:szCs w:val="24"/>
        </w:rPr>
        <w:t xml:space="preserve">exploring the </w:t>
      </w:r>
      <w:r w:rsidR="00CF40DF">
        <w:rPr>
          <w:rFonts w:ascii="Times New Roman" w:hAnsi="Times New Roman"/>
          <w:sz w:val="24"/>
          <w:szCs w:val="24"/>
        </w:rPr>
        <w:t xml:space="preserve">role </w:t>
      </w:r>
      <w:proofErr w:type="gramStart"/>
      <w:r w:rsidR="00CF40DF">
        <w:rPr>
          <w:rFonts w:ascii="Times New Roman" w:hAnsi="Times New Roman"/>
          <w:sz w:val="24"/>
          <w:szCs w:val="24"/>
        </w:rPr>
        <w:t xml:space="preserve">of </w:t>
      </w:r>
      <w:r w:rsidR="002C7571" w:rsidRPr="002C7571">
        <w:rPr>
          <w:rFonts w:ascii="Times New Roman" w:hAnsi="Times New Roman"/>
          <w:sz w:val="24"/>
          <w:szCs w:val="24"/>
        </w:rPr>
        <w:t xml:space="preserve"> torts</w:t>
      </w:r>
      <w:proofErr w:type="gramEnd"/>
      <w:r w:rsidR="002C7571" w:rsidRPr="002C7571">
        <w:rPr>
          <w:rFonts w:ascii="Times New Roman" w:hAnsi="Times New Roman"/>
          <w:sz w:val="24"/>
          <w:szCs w:val="24"/>
        </w:rPr>
        <w:t xml:space="preserve"> </w:t>
      </w:r>
      <w:r w:rsidR="00CF40DF">
        <w:rPr>
          <w:rFonts w:ascii="Times New Roman" w:hAnsi="Times New Roman"/>
          <w:sz w:val="24"/>
          <w:szCs w:val="24"/>
        </w:rPr>
        <w:t xml:space="preserve">in </w:t>
      </w:r>
      <w:r w:rsidR="002C7571" w:rsidRPr="002C7571">
        <w:rPr>
          <w:rFonts w:ascii="Times New Roman" w:hAnsi="Times New Roman"/>
          <w:sz w:val="24"/>
          <w:szCs w:val="24"/>
        </w:rPr>
        <w:t xml:space="preserve">commercial law, the mutual influence between and shared characteristics of tort liability, and insurance contract law, </w:t>
      </w:r>
      <w:r w:rsidR="00CF40DF">
        <w:rPr>
          <w:rFonts w:ascii="Times New Roman" w:hAnsi="Times New Roman"/>
          <w:sz w:val="24"/>
          <w:szCs w:val="24"/>
        </w:rPr>
        <w:t>are</w:t>
      </w:r>
      <w:r w:rsidR="0026203F">
        <w:rPr>
          <w:rFonts w:ascii="Times New Roman" w:hAnsi="Times New Roman"/>
          <w:sz w:val="24"/>
          <w:szCs w:val="24"/>
        </w:rPr>
        <w:t xml:space="preserve"> well </w:t>
      </w:r>
      <w:r w:rsidR="002C7571" w:rsidRPr="002C7571">
        <w:rPr>
          <w:rFonts w:ascii="Times New Roman" w:hAnsi="Times New Roman"/>
          <w:sz w:val="24"/>
          <w:szCs w:val="24"/>
        </w:rPr>
        <w:t>worth considering. At present, the ongoing debate about tort and insurance has largely skipped over such questions, at least in the U</w:t>
      </w:r>
      <w:r w:rsidR="004C7E67" w:rsidRPr="002E71C6">
        <w:rPr>
          <w:rFonts w:ascii="Times New Roman" w:hAnsi="Times New Roman"/>
          <w:sz w:val="24"/>
          <w:szCs w:val="24"/>
        </w:rPr>
        <w:t xml:space="preserve">nited </w:t>
      </w:r>
      <w:r w:rsidR="002C7571" w:rsidRPr="002C7571">
        <w:rPr>
          <w:rFonts w:ascii="Times New Roman" w:hAnsi="Times New Roman"/>
          <w:sz w:val="24"/>
          <w:szCs w:val="24"/>
        </w:rPr>
        <w:t>K</w:t>
      </w:r>
      <w:r w:rsidR="004C7E67" w:rsidRPr="002E71C6">
        <w:rPr>
          <w:rFonts w:ascii="Times New Roman" w:hAnsi="Times New Roman"/>
          <w:sz w:val="24"/>
          <w:szCs w:val="24"/>
        </w:rPr>
        <w:t>ingdom</w:t>
      </w:r>
      <w:r w:rsidR="002C7571" w:rsidRPr="002C7571">
        <w:rPr>
          <w:rFonts w:ascii="Times New Roman" w:hAnsi="Times New Roman"/>
          <w:sz w:val="24"/>
          <w:szCs w:val="24"/>
        </w:rPr>
        <w:t xml:space="preserve"> and Australia.</w:t>
      </w:r>
      <w:r w:rsidR="002C7571" w:rsidRPr="002C7571">
        <w:rPr>
          <w:rFonts w:ascii="Times New Roman" w:hAnsi="Times New Roman"/>
          <w:sz w:val="24"/>
          <w:szCs w:val="24"/>
          <w:vertAlign w:val="superscript"/>
        </w:rPr>
        <w:t xml:space="preserve"> </w:t>
      </w:r>
      <w:r w:rsidR="002C7571" w:rsidRPr="002C7571" w:rsidDel="00CF40DF">
        <w:rPr>
          <w:rFonts w:ascii="Times New Roman" w:hAnsi="Times New Roman"/>
          <w:sz w:val="24"/>
          <w:szCs w:val="24"/>
        </w:rPr>
        <w:t xml:space="preserve">It has been quite orthodox to interpret negligence law as entirely transformed by its engagement with insurance, to the extent that it is hardly a creature of private law at all any longer. And this </w:t>
      </w:r>
      <w:r w:rsidR="00454BC6">
        <w:rPr>
          <w:rFonts w:ascii="Times New Roman" w:hAnsi="Times New Roman"/>
          <w:sz w:val="24"/>
          <w:szCs w:val="24"/>
        </w:rPr>
        <w:t xml:space="preserve">has been </w:t>
      </w:r>
      <w:r w:rsidR="002C7571" w:rsidRPr="002C7571" w:rsidDel="00CF40DF">
        <w:rPr>
          <w:rFonts w:ascii="Times New Roman" w:hAnsi="Times New Roman"/>
          <w:sz w:val="24"/>
          <w:szCs w:val="24"/>
        </w:rPr>
        <w:t xml:space="preserve"> taken to reflect broader trends toward public interest dominance in all forms of law.</w:t>
      </w:r>
      <w:r w:rsidR="004C7E67" w:rsidRPr="002E71C6" w:rsidDel="00CF40DF">
        <w:rPr>
          <w:rStyle w:val="FootnoteReference"/>
          <w:rFonts w:ascii="Times New Roman" w:hAnsi="Times New Roman"/>
          <w:sz w:val="24"/>
          <w:szCs w:val="24"/>
        </w:rPr>
        <w:footnoteReference w:id="16"/>
      </w:r>
      <w:r w:rsidR="002C7571" w:rsidRPr="002C7571" w:rsidDel="00CF40DF">
        <w:rPr>
          <w:rFonts w:ascii="Times New Roman" w:hAnsi="Times New Roman"/>
          <w:sz w:val="24"/>
          <w:szCs w:val="24"/>
        </w:rPr>
        <w:t xml:space="preserve"> </w:t>
      </w:r>
      <w:r w:rsidR="002C7571" w:rsidRPr="002C7571">
        <w:rPr>
          <w:rFonts w:ascii="Times New Roman" w:hAnsi="Times New Roman"/>
          <w:sz w:val="24"/>
          <w:szCs w:val="24"/>
        </w:rPr>
        <w:t>Given contemporary growth in advocacy of market solutions and private arrangements, it seems particularly important to attempt to redress the balance in this respect, and to consider more closely the interaction between tort and insurance law.</w:t>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 xml:space="preserve">In summary, insurance </w:t>
      </w:r>
      <w:r w:rsidRPr="002C7571">
        <w:rPr>
          <w:rFonts w:ascii="Times New Roman" w:hAnsi="Times New Roman"/>
          <w:i/>
          <w:sz w:val="24"/>
          <w:szCs w:val="24"/>
        </w:rPr>
        <w:t xml:space="preserve">law </w:t>
      </w:r>
      <w:r w:rsidRPr="002C7571">
        <w:rPr>
          <w:rFonts w:ascii="Times New Roman" w:hAnsi="Times New Roman"/>
          <w:sz w:val="24"/>
          <w:szCs w:val="24"/>
        </w:rPr>
        <w:t>has been notably absent from</w:t>
      </w:r>
      <w:r w:rsidR="00F3791F">
        <w:rPr>
          <w:rFonts w:ascii="Times New Roman" w:hAnsi="Times New Roman"/>
          <w:sz w:val="24"/>
          <w:szCs w:val="24"/>
        </w:rPr>
        <w:t xml:space="preserve"> too many</w:t>
      </w:r>
      <w:r w:rsidRPr="002C7571">
        <w:rPr>
          <w:rFonts w:ascii="Times New Roman" w:hAnsi="Times New Roman"/>
          <w:sz w:val="24"/>
          <w:szCs w:val="24"/>
        </w:rPr>
        <w:t xml:space="preserve"> debates about insurance and the law of tort. As already explained, insurance is underpinned by contractual principles, and to a significant extent by commercial contracting. Since tort law and insurance contract law are closely related, one might expect there to be parallels in the core theoretical questions applicable to tort liabilities, and contractual responsibilities, and some debate about their interaction. Yet such parallels hardly seem to be drawn. Instead, the proposed difference made to tort by insurance has gone straight to the root of the public-private distinction, treating insurance as introducing inherently collective elements to the treatment of risk, in contrast to responsibility-centred approaches in private law.</w:t>
      </w:r>
      <w:bookmarkStart w:id="2" w:name="_Ref293614354"/>
      <w:commentRangeStart w:id="3"/>
      <w:r w:rsidR="004C7E67" w:rsidRPr="002E71C6">
        <w:rPr>
          <w:rStyle w:val="FootnoteReference"/>
          <w:rFonts w:ascii="Times New Roman" w:hAnsi="Times New Roman"/>
          <w:sz w:val="24"/>
          <w:szCs w:val="24"/>
        </w:rPr>
        <w:footnoteReference w:id="17"/>
      </w:r>
      <w:bookmarkEnd w:id="2"/>
      <w:commentRangeEnd w:id="3"/>
      <w:r w:rsidRPr="002C7571">
        <w:rPr>
          <w:rStyle w:val="CommentReference"/>
          <w:rFonts w:ascii="Times New Roman" w:hAnsi="Times New Roman"/>
          <w:sz w:val="24"/>
          <w:szCs w:val="24"/>
        </w:rPr>
        <w:commentReference w:id="3"/>
      </w:r>
      <w:r w:rsidRPr="002C7571">
        <w:rPr>
          <w:rFonts w:ascii="Times New Roman" w:hAnsi="Times New Roman"/>
          <w:sz w:val="24"/>
          <w:szCs w:val="24"/>
        </w:rPr>
        <w:t xml:space="preserve"> The key goal of </w:t>
      </w:r>
      <w:r w:rsidR="004C7E67" w:rsidRPr="002E71C6">
        <w:rPr>
          <w:rFonts w:ascii="Times New Roman" w:hAnsi="Times New Roman"/>
          <w:sz w:val="24"/>
          <w:szCs w:val="24"/>
        </w:rPr>
        <w:t xml:space="preserve">this chapter </w:t>
      </w:r>
      <w:r w:rsidRPr="002C7571">
        <w:rPr>
          <w:rFonts w:ascii="Times New Roman" w:hAnsi="Times New Roman"/>
          <w:sz w:val="24"/>
          <w:szCs w:val="24"/>
        </w:rPr>
        <w:t xml:space="preserve">is </w:t>
      </w:r>
      <w:r w:rsidRPr="002C7571">
        <w:rPr>
          <w:rFonts w:ascii="Times New Roman" w:hAnsi="Times New Roman"/>
          <w:sz w:val="24"/>
          <w:szCs w:val="24"/>
        </w:rPr>
        <w:lastRenderedPageBreak/>
        <w:t>to see if we can rebalance discussion of the relationship between tort and insurance to some extent, to reflect the contractual, indeed commercial nature of much insurance law, and to consider what adjustments to our understanding are suggested by this insight into the phenomenon (</w:t>
      </w:r>
      <w:r w:rsidR="004C7E67" w:rsidRPr="002E71C6">
        <w:rPr>
          <w:rFonts w:ascii="Times New Roman" w:hAnsi="Times New Roman"/>
          <w:sz w:val="24"/>
          <w:szCs w:val="24"/>
        </w:rPr>
        <w:t>“</w:t>
      </w:r>
      <w:r w:rsidRPr="002C7571">
        <w:rPr>
          <w:rFonts w:ascii="Times New Roman" w:hAnsi="Times New Roman"/>
          <w:sz w:val="24"/>
          <w:szCs w:val="24"/>
        </w:rPr>
        <w:t>insurance</w:t>
      </w:r>
      <w:r w:rsidR="004C7E67" w:rsidRPr="002E71C6">
        <w:rPr>
          <w:rFonts w:ascii="Times New Roman" w:hAnsi="Times New Roman"/>
          <w:sz w:val="24"/>
          <w:szCs w:val="24"/>
        </w:rPr>
        <w:t>”</w:t>
      </w:r>
      <w:r w:rsidRPr="002C7571">
        <w:rPr>
          <w:rFonts w:ascii="Times New Roman" w:hAnsi="Times New Roman"/>
          <w:sz w:val="24"/>
          <w:szCs w:val="24"/>
        </w:rPr>
        <w:t>) with which the law of tort is thought to be interacting.</w:t>
      </w:r>
      <w:r w:rsidR="00C97B0E">
        <w:rPr>
          <w:rFonts w:ascii="Times New Roman" w:hAnsi="Times New Roman"/>
          <w:sz w:val="24"/>
          <w:szCs w:val="24"/>
        </w:rPr>
        <w:t xml:space="preserve"> This is not to say that questions of distribution and public purpose will thereby go away. But they can be addressed in terms of the resources of the law of obligations in its core role of regulating interactions between parties.</w:t>
      </w:r>
      <w:r w:rsidR="00C90823">
        <w:rPr>
          <w:rStyle w:val="FootnoteReference"/>
          <w:rFonts w:ascii="Times New Roman" w:hAnsi="Times New Roman"/>
          <w:sz w:val="24"/>
          <w:szCs w:val="24"/>
        </w:rPr>
        <w:footnoteReference w:id="18"/>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 xml:space="preserve">In pursuing this goal, the </w:t>
      </w:r>
      <w:r w:rsidR="004C7E67" w:rsidRPr="002E71C6">
        <w:rPr>
          <w:rFonts w:ascii="Times New Roman" w:hAnsi="Times New Roman"/>
          <w:sz w:val="24"/>
          <w:szCs w:val="24"/>
        </w:rPr>
        <w:t xml:space="preserve">chapter </w:t>
      </w:r>
      <w:r w:rsidRPr="002C7571">
        <w:rPr>
          <w:rFonts w:ascii="Times New Roman" w:hAnsi="Times New Roman"/>
          <w:sz w:val="24"/>
          <w:szCs w:val="24"/>
        </w:rPr>
        <w:t xml:space="preserve">first tackles the question of what might lie beneath the failure to think about tort and insurance as engaging two bodies of private law, before moving on to explore whether a more symmetrical approach to tort </w:t>
      </w:r>
      <w:r w:rsidR="0026203F">
        <w:rPr>
          <w:rFonts w:ascii="Times New Roman" w:hAnsi="Times New Roman"/>
          <w:sz w:val="24"/>
          <w:szCs w:val="24"/>
        </w:rPr>
        <w:t xml:space="preserve">law </w:t>
      </w:r>
      <w:r w:rsidRPr="002C7571">
        <w:rPr>
          <w:rFonts w:ascii="Times New Roman" w:hAnsi="Times New Roman"/>
          <w:sz w:val="24"/>
          <w:szCs w:val="24"/>
        </w:rPr>
        <w:t xml:space="preserve">and </w:t>
      </w:r>
      <w:commentRangeStart w:id="4"/>
      <w:r w:rsidRPr="002C7571">
        <w:rPr>
          <w:rFonts w:ascii="Times New Roman" w:hAnsi="Times New Roman"/>
          <w:sz w:val="24"/>
          <w:szCs w:val="24"/>
        </w:rPr>
        <w:t>insurance</w:t>
      </w:r>
      <w:commentRangeEnd w:id="4"/>
      <w:r w:rsidR="002E71C6">
        <w:rPr>
          <w:rStyle w:val="CommentReference"/>
        </w:rPr>
        <w:commentReference w:id="4"/>
      </w:r>
      <w:r w:rsidRPr="002C7571">
        <w:rPr>
          <w:rFonts w:ascii="Times New Roman" w:hAnsi="Times New Roman"/>
          <w:sz w:val="24"/>
          <w:szCs w:val="24"/>
        </w:rPr>
        <w:t xml:space="preserve"> </w:t>
      </w:r>
      <w:r w:rsidR="0026203F">
        <w:rPr>
          <w:rFonts w:ascii="Times New Roman" w:hAnsi="Times New Roman"/>
          <w:sz w:val="24"/>
          <w:szCs w:val="24"/>
        </w:rPr>
        <w:t xml:space="preserve">law </w:t>
      </w:r>
      <w:r w:rsidR="00DB2661">
        <w:rPr>
          <w:rFonts w:ascii="Times New Roman" w:hAnsi="Times New Roman"/>
          <w:sz w:val="24"/>
          <w:szCs w:val="24"/>
        </w:rPr>
        <w:t xml:space="preserve">can </w:t>
      </w:r>
      <w:r w:rsidRPr="002C7571">
        <w:rPr>
          <w:rFonts w:ascii="Times New Roman" w:hAnsi="Times New Roman"/>
          <w:sz w:val="24"/>
          <w:szCs w:val="24"/>
        </w:rPr>
        <w:t xml:space="preserve">be achieved, once both tort and insurance are conceived of in terms of private law. It is suggested that the key is to </w:t>
      </w:r>
      <w:r w:rsidR="004C7E67" w:rsidRPr="002E71C6">
        <w:rPr>
          <w:rFonts w:ascii="Times New Roman" w:hAnsi="Times New Roman"/>
          <w:sz w:val="24"/>
          <w:szCs w:val="24"/>
        </w:rPr>
        <w:t>“</w:t>
      </w:r>
      <w:r w:rsidRPr="002C7571">
        <w:rPr>
          <w:rFonts w:ascii="Times New Roman" w:hAnsi="Times New Roman"/>
          <w:sz w:val="24"/>
          <w:szCs w:val="24"/>
        </w:rPr>
        <w:t>normalise</w:t>
      </w:r>
      <w:r w:rsidR="004C7E67" w:rsidRPr="002E71C6">
        <w:rPr>
          <w:rFonts w:ascii="Times New Roman" w:hAnsi="Times New Roman"/>
          <w:sz w:val="24"/>
          <w:szCs w:val="24"/>
        </w:rPr>
        <w:t>”</w:t>
      </w:r>
      <w:r w:rsidRPr="002C7571">
        <w:rPr>
          <w:rFonts w:ascii="Times New Roman" w:hAnsi="Times New Roman"/>
          <w:sz w:val="24"/>
          <w:szCs w:val="24"/>
        </w:rPr>
        <w:t xml:space="preserve"> insurance, understanding it as </w:t>
      </w:r>
      <w:r w:rsidR="000B153F">
        <w:rPr>
          <w:rFonts w:ascii="Times New Roman" w:hAnsi="Times New Roman"/>
          <w:sz w:val="24"/>
          <w:szCs w:val="24"/>
        </w:rPr>
        <w:t xml:space="preserve">connected </w:t>
      </w:r>
      <w:r w:rsidRPr="002C7571">
        <w:rPr>
          <w:rFonts w:ascii="Times New Roman" w:hAnsi="Times New Roman"/>
          <w:sz w:val="24"/>
          <w:szCs w:val="24"/>
        </w:rPr>
        <w:t>to other elements in party transactions</w:t>
      </w:r>
      <w:r w:rsidR="0026203F">
        <w:rPr>
          <w:rFonts w:ascii="Times New Roman" w:hAnsi="Times New Roman"/>
          <w:sz w:val="24"/>
          <w:szCs w:val="24"/>
        </w:rPr>
        <w:t>, where the location of risk between parties is in issue</w:t>
      </w:r>
      <w:r w:rsidRPr="002C7571">
        <w:rPr>
          <w:rFonts w:ascii="Times New Roman" w:hAnsi="Times New Roman"/>
          <w:sz w:val="24"/>
          <w:szCs w:val="24"/>
        </w:rPr>
        <w:t>.</w:t>
      </w:r>
      <w:r w:rsidR="003046FE">
        <w:rPr>
          <w:rStyle w:val="FootnoteReference"/>
          <w:rFonts w:ascii="Times New Roman" w:hAnsi="Times New Roman"/>
          <w:sz w:val="24"/>
          <w:szCs w:val="24"/>
        </w:rPr>
        <w:footnoteReference w:id="19"/>
      </w:r>
      <w:r w:rsidRPr="002C7571">
        <w:rPr>
          <w:rFonts w:ascii="Times New Roman" w:hAnsi="Times New Roman"/>
          <w:sz w:val="24"/>
          <w:szCs w:val="24"/>
        </w:rPr>
        <w:t xml:space="preserve"> Conceiving of both tort and insurance in terms of private law is in itself a deviation from either of the usual approaches to insurance (the one which holds that it has transformed the law of tort, and the other that it should be ignored), and its implications need spelling out. Finally, the relationship between tort and insurance law, and the difficulties in the way of achieving symmetry, are briefly illustrated with reference to the still unfolding story of asbestos litigation in the </w:t>
      </w:r>
      <w:r w:rsidR="004C7E67" w:rsidRPr="002E71C6">
        <w:rPr>
          <w:rFonts w:ascii="Times New Roman" w:hAnsi="Times New Roman"/>
          <w:sz w:val="24"/>
          <w:szCs w:val="24"/>
        </w:rPr>
        <w:t xml:space="preserve">United Kingdom </w:t>
      </w:r>
      <w:r w:rsidRPr="002C7571">
        <w:rPr>
          <w:rFonts w:ascii="Times New Roman" w:hAnsi="Times New Roman"/>
          <w:sz w:val="24"/>
          <w:szCs w:val="24"/>
        </w:rPr>
        <w:t>in particular.</w:t>
      </w:r>
    </w:p>
    <w:p w:rsidR="00032365" w:rsidRDefault="00032365">
      <w:pPr>
        <w:spacing w:after="0" w:line="240" w:lineRule="auto"/>
        <w:jc w:val="both"/>
        <w:rPr>
          <w:rFonts w:ascii="Times New Roman" w:hAnsi="Times New Roman"/>
          <w:b/>
          <w:sz w:val="24"/>
          <w:szCs w:val="24"/>
        </w:rPr>
      </w:pPr>
    </w:p>
    <w:p w:rsidR="00032365" w:rsidRDefault="002C7571">
      <w:pPr>
        <w:keepNext/>
        <w:spacing w:after="0" w:line="240" w:lineRule="auto"/>
        <w:jc w:val="both"/>
        <w:rPr>
          <w:rFonts w:ascii="Times New Roman Bold" w:hAnsi="Times New Roman Bold"/>
          <w:b/>
          <w:smallCaps/>
          <w:sz w:val="32"/>
          <w:szCs w:val="32"/>
        </w:rPr>
      </w:pPr>
      <w:r w:rsidRPr="002C7571">
        <w:rPr>
          <w:rFonts w:ascii="Times New Roman Bold" w:hAnsi="Times New Roman Bold"/>
          <w:b/>
          <w:smallCaps/>
          <w:sz w:val="32"/>
          <w:szCs w:val="32"/>
        </w:rPr>
        <w:t>neglect</w:t>
      </w:r>
      <w:r w:rsidR="00DB2661">
        <w:rPr>
          <w:rFonts w:ascii="Times New Roman Bold" w:hAnsi="Times New Roman Bold"/>
          <w:b/>
          <w:smallCaps/>
          <w:sz w:val="32"/>
          <w:szCs w:val="32"/>
        </w:rPr>
        <w:t>ing the contractual dimension</w:t>
      </w:r>
    </w:p>
    <w:p w:rsidR="00032365" w:rsidRDefault="00032365">
      <w:pPr>
        <w:keepNext/>
        <w:spacing w:after="0" w:line="240" w:lineRule="auto"/>
        <w:jc w:val="both"/>
        <w:rPr>
          <w:rFonts w:ascii="Times New Roman" w:hAnsi="Times New Roman"/>
          <w:sz w:val="24"/>
          <w:szCs w:val="24"/>
        </w:rPr>
      </w:pPr>
    </w:p>
    <w:p w:rsidR="00032365" w:rsidRDefault="000B153F">
      <w:pPr>
        <w:spacing w:after="0" w:line="240" w:lineRule="auto"/>
        <w:jc w:val="both"/>
        <w:rPr>
          <w:rFonts w:ascii="Times New Roman" w:hAnsi="Times New Roman"/>
          <w:sz w:val="24"/>
          <w:szCs w:val="24"/>
        </w:rPr>
      </w:pPr>
      <w:r>
        <w:rPr>
          <w:rFonts w:ascii="Times New Roman" w:hAnsi="Times New Roman"/>
          <w:sz w:val="24"/>
          <w:szCs w:val="24"/>
        </w:rPr>
        <w:t>A</w:t>
      </w:r>
      <w:r w:rsidR="00E70FBA">
        <w:rPr>
          <w:rFonts w:ascii="Times New Roman" w:hAnsi="Times New Roman"/>
          <w:sz w:val="24"/>
          <w:szCs w:val="24"/>
        </w:rPr>
        <w:t xml:space="preserve"> first task is </w:t>
      </w:r>
      <w:r w:rsidR="002C7571" w:rsidRPr="002C7571">
        <w:rPr>
          <w:rFonts w:ascii="Times New Roman" w:hAnsi="Times New Roman"/>
          <w:sz w:val="24"/>
          <w:szCs w:val="24"/>
        </w:rPr>
        <w:t xml:space="preserve">to </w:t>
      </w:r>
      <w:r>
        <w:rPr>
          <w:rFonts w:ascii="Times New Roman" w:hAnsi="Times New Roman"/>
          <w:sz w:val="24"/>
          <w:szCs w:val="24"/>
        </w:rPr>
        <w:t xml:space="preserve">consider </w:t>
      </w:r>
      <w:r w:rsidR="002C7571" w:rsidRPr="002C7571">
        <w:rPr>
          <w:rFonts w:ascii="Times New Roman" w:hAnsi="Times New Roman"/>
          <w:sz w:val="24"/>
          <w:szCs w:val="24"/>
        </w:rPr>
        <w:t xml:space="preserve"> why the interaction between tort and insurance law (as opposed to the interaction between tort and insurance) has been so neglected.</w:t>
      </w:r>
      <w:r w:rsidR="004C13BD">
        <w:rPr>
          <w:rFonts w:ascii="Times New Roman" w:hAnsi="Times New Roman"/>
          <w:sz w:val="24"/>
          <w:szCs w:val="24"/>
        </w:rPr>
        <w:t xml:space="preserve"> </w:t>
      </w:r>
      <w:r w:rsidR="002C7571" w:rsidRPr="002C7571">
        <w:rPr>
          <w:rFonts w:ascii="Times New Roman" w:hAnsi="Times New Roman"/>
          <w:sz w:val="24"/>
          <w:szCs w:val="24"/>
        </w:rPr>
        <w:t xml:space="preserve">A number of overlapping reasons may be suggested. First, </w:t>
      </w:r>
      <w:r w:rsidR="00A43485">
        <w:rPr>
          <w:rFonts w:ascii="Times New Roman" w:hAnsi="Times New Roman"/>
          <w:sz w:val="24"/>
          <w:szCs w:val="24"/>
        </w:rPr>
        <w:t xml:space="preserve">tort </w:t>
      </w:r>
      <w:r w:rsidR="002C7571" w:rsidRPr="002C7571">
        <w:rPr>
          <w:rFonts w:ascii="Times New Roman" w:hAnsi="Times New Roman"/>
          <w:sz w:val="24"/>
          <w:szCs w:val="24"/>
        </w:rPr>
        <w:t>lawyers</w:t>
      </w:r>
      <w:r w:rsidR="004C7E67" w:rsidRPr="002E71C6">
        <w:rPr>
          <w:rFonts w:ascii="Times New Roman" w:hAnsi="Times New Roman"/>
          <w:sz w:val="24"/>
          <w:szCs w:val="24"/>
        </w:rPr>
        <w:t>’</w:t>
      </w:r>
      <w:r w:rsidR="002C7571" w:rsidRPr="002C7571">
        <w:rPr>
          <w:rFonts w:ascii="Times New Roman" w:hAnsi="Times New Roman"/>
          <w:sz w:val="24"/>
          <w:szCs w:val="24"/>
        </w:rPr>
        <w:t xml:space="preserve"> interest in the role of insurance has predominantly stemmed from empirical and contextual observation, rather than doctrinal analysis. Allied to this is the close connection between insurance and a reformist agenda. If, indeed, attention to insurance tends to shift the focus from liability to compensation, it is understandable that this should spark consideration of preferable mechanisms for achieving such compensation, without the</w:t>
      </w:r>
      <w:r w:rsidR="00E70FBA">
        <w:rPr>
          <w:rFonts w:ascii="Times New Roman" w:hAnsi="Times New Roman"/>
          <w:sz w:val="24"/>
          <w:szCs w:val="24"/>
        </w:rPr>
        <w:t xml:space="preserve"> gaps in cover</w:t>
      </w:r>
      <w:r w:rsidR="002C7571" w:rsidRPr="002C7571">
        <w:rPr>
          <w:rFonts w:ascii="Times New Roman" w:hAnsi="Times New Roman"/>
          <w:sz w:val="24"/>
          <w:szCs w:val="24"/>
        </w:rPr>
        <w:t>, inconsistencies, and expense of the law of tort.</w:t>
      </w:r>
    </w:p>
    <w:p w:rsidR="00032365" w:rsidRDefault="002C7571" w:rsidP="00A43485">
      <w:pPr>
        <w:spacing w:after="0" w:line="240" w:lineRule="auto"/>
        <w:ind w:firstLine="284"/>
        <w:jc w:val="both"/>
        <w:rPr>
          <w:rFonts w:ascii="Times New Roman" w:hAnsi="Times New Roman"/>
          <w:sz w:val="24"/>
          <w:szCs w:val="24"/>
        </w:rPr>
      </w:pPr>
      <w:r w:rsidRPr="002C7571">
        <w:rPr>
          <w:rFonts w:ascii="Times New Roman" w:hAnsi="Times New Roman"/>
          <w:sz w:val="24"/>
          <w:szCs w:val="24"/>
        </w:rPr>
        <w:t xml:space="preserve">A second and rather different reason for </w:t>
      </w:r>
      <w:r w:rsidR="004C7E67" w:rsidRPr="002E71C6">
        <w:rPr>
          <w:rFonts w:ascii="Times New Roman" w:hAnsi="Times New Roman"/>
          <w:sz w:val="24"/>
          <w:szCs w:val="24"/>
        </w:rPr>
        <w:t xml:space="preserve">the </w:t>
      </w:r>
      <w:r w:rsidRPr="002C7571">
        <w:rPr>
          <w:rFonts w:ascii="Times New Roman" w:hAnsi="Times New Roman"/>
          <w:sz w:val="24"/>
          <w:szCs w:val="24"/>
        </w:rPr>
        <w:t xml:space="preserve">lack of focus on insurance law in the relationship between tort and insurance is that studies of contract and tort as closely related have become unfashionable. This might be related to the rise of interest in legal taxonomy and principled rather than functionalist analysis of private law more generally: from this point of view, it is thought important to separate legal categories, not to blur them, and tort and contract are perceived as two separate and distinct routes to the creation of legal </w:t>
      </w:r>
      <w:r w:rsidRPr="002C7571">
        <w:rPr>
          <w:rFonts w:ascii="Times New Roman" w:hAnsi="Times New Roman"/>
          <w:sz w:val="24"/>
          <w:szCs w:val="24"/>
        </w:rPr>
        <w:lastRenderedPageBreak/>
        <w:t>obligations.</w:t>
      </w:r>
      <w:r w:rsidR="004C7E67" w:rsidRPr="002E71C6">
        <w:rPr>
          <w:rStyle w:val="FootnoteReference"/>
          <w:rFonts w:ascii="Times New Roman" w:hAnsi="Times New Roman"/>
          <w:sz w:val="24"/>
          <w:szCs w:val="24"/>
        </w:rPr>
        <w:footnoteReference w:id="20"/>
      </w:r>
      <w:r w:rsidRPr="002C7571">
        <w:rPr>
          <w:rFonts w:ascii="Times New Roman" w:hAnsi="Times New Roman"/>
          <w:sz w:val="24"/>
          <w:szCs w:val="24"/>
        </w:rPr>
        <w:t xml:space="preserve"> It could be argued that there has been a surprising resurgence in defending traditional classifications, particularly against change brought about through the growth in state functions in every avenue of life, including of course economic life.</w:t>
      </w:r>
      <w:r w:rsidR="004C7E67" w:rsidRPr="002E71C6">
        <w:rPr>
          <w:rStyle w:val="FootnoteReference"/>
          <w:rFonts w:ascii="Times New Roman" w:hAnsi="Times New Roman"/>
          <w:sz w:val="24"/>
          <w:szCs w:val="24"/>
        </w:rPr>
        <w:footnoteReference w:id="21"/>
      </w:r>
      <w:r w:rsidRPr="002C7571">
        <w:rPr>
          <w:rFonts w:ascii="Times New Roman" w:hAnsi="Times New Roman"/>
          <w:sz w:val="24"/>
          <w:szCs w:val="24"/>
        </w:rPr>
        <w:t xml:space="preserve"> This is important to the very question of what commercial law, or even private law, </w:t>
      </w:r>
      <w:r w:rsidR="004C7E67" w:rsidRPr="002E71C6">
        <w:rPr>
          <w:rFonts w:ascii="Times New Roman" w:hAnsi="Times New Roman"/>
          <w:sz w:val="24"/>
          <w:szCs w:val="24"/>
        </w:rPr>
        <w:t>is</w:t>
      </w:r>
      <w:r w:rsidR="00A43485">
        <w:rPr>
          <w:rFonts w:ascii="Times New Roman" w:hAnsi="Times New Roman"/>
          <w:sz w:val="24"/>
          <w:szCs w:val="24"/>
        </w:rPr>
        <w:t xml:space="preserve"> </w:t>
      </w:r>
      <w:r w:rsidR="0099496C">
        <w:rPr>
          <w:rFonts w:ascii="Times New Roman" w:hAnsi="Times New Roman"/>
          <w:sz w:val="24"/>
          <w:szCs w:val="24"/>
        </w:rPr>
        <w:t>for</w:t>
      </w:r>
      <w:r w:rsidRPr="002C7571">
        <w:rPr>
          <w:rFonts w:ascii="Times New Roman" w:hAnsi="Times New Roman"/>
          <w:sz w:val="24"/>
          <w:szCs w:val="24"/>
        </w:rPr>
        <w:t>, and whether lawyers</w:t>
      </w:r>
      <w:r w:rsidR="004C7E67" w:rsidRPr="002E71C6">
        <w:rPr>
          <w:rFonts w:ascii="Times New Roman" w:hAnsi="Times New Roman"/>
          <w:sz w:val="24"/>
          <w:szCs w:val="24"/>
        </w:rPr>
        <w:t>’</w:t>
      </w:r>
      <w:r w:rsidRPr="002C7571">
        <w:rPr>
          <w:rFonts w:ascii="Times New Roman" w:hAnsi="Times New Roman"/>
          <w:sz w:val="24"/>
          <w:szCs w:val="24"/>
        </w:rPr>
        <w:t xml:space="preserve"> perception of the nature and role </w:t>
      </w:r>
      <w:r w:rsidR="0099496C">
        <w:rPr>
          <w:rFonts w:ascii="Times New Roman" w:hAnsi="Times New Roman"/>
          <w:sz w:val="24"/>
          <w:szCs w:val="24"/>
        </w:rPr>
        <w:t xml:space="preserve">of these bodies of law </w:t>
      </w:r>
      <w:r w:rsidRPr="002C7571">
        <w:rPr>
          <w:rFonts w:ascii="Times New Roman" w:hAnsi="Times New Roman"/>
          <w:sz w:val="24"/>
          <w:szCs w:val="24"/>
        </w:rPr>
        <w:t xml:space="preserve">in contemporary legal systems is appropriate. </w:t>
      </w:r>
    </w:p>
    <w:p w:rsidR="001F3BF0" w:rsidRDefault="002C7571" w:rsidP="00440668">
      <w:pPr>
        <w:spacing w:after="0" w:line="240" w:lineRule="auto"/>
        <w:ind w:firstLine="284"/>
        <w:jc w:val="both"/>
        <w:rPr>
          <w:rFonts w:ascii="Times New Roman" w:hAnsi="Times New Roman"/>
          <w:sz w:val="24"/>
          <w:szCs w:val="24"/>
        </w:rPr>
      </w:pPr>
      <w:r w:rsidRPr="002C7571">
        <w:rPr>
          <w:rFonts w:ascii="Times New Roman" w:hAnsi="Times New Roman"/>
          <w:sz w:val="24"/>
          <w:szCs w:val="24"/>
        </w:rPr>
        <w:t>A third, and much more basic reason, is the simple fact that in the U</w:t>
      </w:r>
      <w:r w:rsidR="004C7E67" w:rsidRPr="002E71C6">
        <w:rPr>
          <w:rFonts w:ascii="Times New Roman" w:hAnsi="Times New Roman"/>
          <w:sz w:val="24"/>
          <w:szCs w:val="24"/>
        </w:rPr>
        <w:t xml:space="preserve">nited </w:t>
      </w:r>
      <w:r w:rsidRPr="002C7571">
        <w:rPr>
          <w:rFonts w:ascii="Times New Roman" w:hAnsi="Times New Roman"/>
          <w:sz w:val="24"/>
          <w:szCs w:val="24"/>
        </w:rPr>
        <w:t>K</w:t>
      </w:r>
      <w:r w:rsidR="004C7E67" w:rsidRPr="002E71C6">
        <w:rPr>
          <w:rFonts w:ascii="Times New Roman" w:hAnsi="Times New Roman"/>
          <w:sz w:val="24"/>
          <w:szCs w:val="24"/>
        </w:rPr>
        <w:t>ingdom</w:t>
      </w:r>
      <w:r w:rsidRPr="002C7571">
        <w:rPr>
          <w:rFonts w:ascii="Times New Roman" w:hAnsi="Times New Roman"/>
          <w:sz w:val="24"/>
          <w:szCs w:val="24"/>
        </w:rPr>
        <w:t xml:space="preserve"> and other comparable jurisdictions, there are not many academic insurance lawyers </w:t>
      </w:r>
      <w:r w:rsidR="004C7E67" w:rsidRPr="002E71C6">
        <w:rPr>
          <w:rFonts w:ascii="Times New Roman" w:hAnsi="Times New Roman"/>
          <w:sz w:val="24"/>
          <w:szCs w:val="24"/>
        </w:rPr>
        <w:t>–</w:t>
      </w:r>
      <w:r w:rsidRPr="002C7571">
        <w:rPr>
          <w:rFonts w:ascii="Times New Roman" w:hAnsi="Times New Roman"/>
          <w:sz w:val="24"/>
          <w:szCs w:val="24"/>
        </w:rPr>
        <w:t xml:space="preserve"> and considerably more tort lawyers. This is partly because tort is a compulsory subject in legal education, </w:t>
      </w:r>
      <w:commentRangeStart w:id="5"/>
      <w:r w:rsidRPr="002C7571">
        <w:rPr>
          <w:rFonts w:ascii="Times New Roman" w:hAnsi="Times New Roman"/>
          <w:sz w:val="24"/>
          <w:szCs w:val="24"/>
        </w:rPr>
        <w:t xml:space="preserve">and </w:t>
      </w:r>
      <w:commentRangeEnd w:id="5"/>
      <w:r w:rsidRPr="002C7571">
        <w:rPr>
          <w:rStyle w:val="CommentReference"/>
          <w:rFonts w:ascii="Times New Roman" w:hAnsi="Times New Roman"/>
          <w:sz w:val="24"/>
          <w:szCs w:val="24"/>
        </w:rPr>
        <w:commentReference w:id="5"/>
      </w:r>
      <w:r w:rsidRPr="002C7571">
        <w:rPr>
          <w:rFonts w:ascii="Times New Roman" w:hAnsi="Times New Roman"/>
          <w:sz w:val="24"/>
          <w:szCs w:val="24"/>
        </w:rPr>
        <w:t>insurance law is not.</w:t>
      </w:r>
      <w:commentRangeStart w:id="6"/>
      <w:r w:rsidR="004C7E67" w:rsidRPr="002E71C6">
        <w:rPr>
          <w:rStyle w:val="FootnoteReference"/>
          <w:rFonts w:ascii="Times New Roman" w:hAnsi="Times New Roman"/>
          <w:sz w:val="24"/>
          <w:szCs w:val="24"/>
        </w:rPr>
        <w:footnoteReference w:id="22"/>
      </w:r>
      <w:commentRangeEnd w:id="6"/>
      <w:r w:rsidRPr="002C7571">
        <w:rPr>
          <w:rStyle w:val="CommentReference"/>
          <w:rFonts w:ascii="Times New Roman" w:hAnsi="Times New Roman"/>
          <w:sz w:val="24"/>
          <w:szCs w:val="24"/>
        </w:rPr>
        <w:commentReference w:id="6"/>
      </w:r>
      <w:commentRangeStart w:id="7"/>
      <w:r w:rsidRPr="002C7571">
        <w:rPr>
          <w:rFonts w:ascii="Times New Roman" w:hAnsi="Times New Roman"/>
          <w:sz w:val="24"/>
          <w:szCs w:val="24"/>
        </w:rPr>
        <w:t>On the other hand, much insurance law is a matter of contract, and contract</w:t>
      </w:r>
      <w:r w:rsidR="004C7E67" w:rsidRPr="002E71C6">
        <w:rPr>
          <w:rFonts w:ascii="Times New Roman" w:hAnsi="Times New Roman"/>
          <w:sz w:val="24"/>
          <w:szCs w:val="24"/>
        </w:rPr>
        <w:t>,</w:t>
      </w:r>
      <w:r w:rsidRPr="002C7571">
        <w:rPr>
          <w:rFonts w:ascii="Times New Roman" w:hAnsi="Times New Roman"/>
          <w:sz w:val="24"/>
          <w:szCs w:val="24"/>
        </w:rPr>
        <w:t xml:space="preserve"> like tort</w:t>
      </w:r>
      <w:r w:rsidR="004C7E67" w:rsidRPr="002E71C6">
        <w:rPr>
          <w:rFonts w:ascii="Times New Roman" w:hAnsi="Times New Roman"/>
          <w:sz w:val="24"/>
          <w:szCs w:val="24"/>
        </w:rPr>
        <w:t>,</w:t>
      </w:r>
      <w:r w:rsidRPr="002C7571">
        <w:rPr>
          <w:rFonts w:ascii="Times New Roman" w:hAnsi="Times New Roman"/>
          <w:sz w:val="24"/>
          <w:szCs w:val="24"/>
        </w:rPr>
        <w:t xml:space="preserve"> is a compulsory component of legal education in the U</w:t>
      </w:r>
      <w:r w:rsidR="004C7E67" w:rsidRPr="002E71C6">
        <w:rPr>
          <w:rFonts w:ascii="Times New Roman" w:hAnsi="Times New Roman"/>
          <w:sz w:val="24"/>
          <w:szCs w:val="24"/>
        </w:rPr>
        <w:t xml:space="preserve">nited </w:t>
      </w:r>
      <w:r w:rsidRPr="002C7571">
        <w:rPr>
          <w:rFonts w:ascii="Times New Roman" w:hAnsi="Times New Roman"/>
          <w:sz w:val="24"/>
          <w:szCs w:val="24"/>
        </w:rPr>
        <w:t>K</w:t>
      </w:r>
      <w:r w:rsidR="004C7E67" w:rsidRPr="002E71C6">
        <w:rPr>
          <w:rFonts w:ascii="Times New Roman" w:hAnsi="Times New Roman"/>
          <w:sz w:val="24"/>
          <w:szCs w:val="24"/>
        </w:rPr>
        <w:t>ingdom</w:t>
      </w:r>
      <w:r w:rsidRPr="002C7571">
        <w:rPr>
          <w:rFonts w:ascii="Times New Roman" w:hAnsi="Times New Roman"/>
          <w:sz w:val="24"/>
          <w:szCs w:val="24"/>
        </w:rPr>
        <w:t xml:space="preserve"> and analogous jurisdictions.</w:t>
      </w:r>
      <w:r w:rsidR="004C7E67" w:rsidRPr="002E71C6">
        <w:rPr>
          <w:rStyle w:val="FootnoteReference"/>
          <w:rFonts w:ascii="Times New Roman" w:hAnsi="Times New Roman"/>
          <w:sz w:val="24"/>
          <w:szCs w:val="24"/>
        </w:rPr>
        <w:footnoteReference w:id="23"/>
      </w:r>
      <w:r w:rsidRPr="002C7571">
        <w:rPr>
          <w:rFonts w:ascii="Times New Roman" w:hAnsi="Times New Roman"/>
          <w:sz w:val="24"/>
          <w:szCs w:val="24"/>
        </w:rPr>
        <w:t xml:space="preserve"> </w:t>
      </w:r>
      <w:commentRangeEnd w:id="7"/>
      <w:r w:rsidRPr="002C7571">
        <w:rPr>
          <w:rStyle w:val="CommentReference"/>
          <w:rFonts w:ascii="Times New Roman" w:hAnsi="Times New Roman"/>
          <w:sz w:val="24"/>
          <w:szCs w:val="24"/>
        </w:rPr>
        <w:commentReference w:id="7"/>
      </w:r>
    </w:p>
    <w:p w:rsidR="00032365" w:rsidRDefault="002C7571" w:rsidP="001F3BF0">
      <w:pPr>
        <w:spacing w:after="0" w:line="240" w:lineRule="auto"/>
        <w:ind w:firstLine="284"/>
        <w:jc w:val="both"/>
        <w:rPr>
          <w:rFonts w:ascii="Times New Roman" w:hAnsi="Times New Roman"/>
          <w:sz w:val="24"/>
          <w:szCs w:val="24"/>
        </w:rPr>
      </w:pPr>
      <w:r w:rsidRPr="002C7571">
        <w:rPr>
          <w:rFonts w:ascii="Times New Roman" w:hAnsi="Times New Roman"/>
          <w:sz w:val="24"/>
          <w:szCs w:val="24"/>
        </w:rPr>
        <w:t xml:space="preserve">It is </w:t>
      </w:r>
      <w:r w:rsidR="001F3BF0">
        <w:rPr>
          <w:rFonts w:ascii="Times New Roman" w:hAnsi="Times New Roman"/>
          <w:sz w:val="24"/>
          <w:szCs w:val="24"/>
        </w:rPr>
        <w:t>t</w:t>
      </w:r>
      <w:r w:rsidRPr="002C7571">
        <w:rPr>
          <w:rFonts w:ascii="Times New Roman" w:hAnsi="Times New Roman"/>
          <w:sz w:val="24"/>
          <w:szCs w:val="24"/>
        </w:rPr>
        <w:t xml:space="preserve">herefore important to consider a final reason, which has nothing directly to do with tort. That is, although there are many academic contract lawyers, academic study of contract law has not typically extended to particular study of insurance contracts. There has been no very direct pressure to consider insurance in terms of applicable legal principles, rather than technical know-how. This might owe something to the very diversity of insurance contracts and of forms of insurance: general principles are hard to state, as the decisive issues in any given situation may be very much a matter of detail. John Lowry and Philip Rawlings have suggested however that this neglect is due to a </w:t>
      </w:r>
      <w:r w:rsidR="00440668">
        <w:rPr>
          <w:rFonts w:ascii="Times New Roman" w:hAnsi="Times New Roman"/>
          <w:sz w:val="24"/>
          <w:szCs w:val="24"/>
        </w:rPr>
        <w:t xml:space="preserve">more fundamental feature of contract scholarship: a </w:t>
      </w:r>
      <w:r w:rsidRPr="002C7571">
        <w:rPr>
          <w:rFonts w:ascii="Times New Roman" w:hAnsi="Times New Roman"/>
          <w:sz w:val="24"/>
          <w:szCs w:val="24"/>
        </w:rPr>
        <w:t xml:space="preserve">perceived division between the law of </w:t>
      </w:r>
      <w:r w:rsidR="004C7E67" w:rsidRPr="002E71C6">
        <w:rPr>
          <w:rFonts w:ascii="Times New Roman" w:hAnsi="Times New Roman"/>
          <w:sz w:val="24"/>
          <w:szCs w:val="24"/>
        </w:rPr>
        <w:t>“</w:t>
      </w:r>
      <w:r w:rsidRPr="002C7571">
        <w:rPr>
          <w:rFonts w:ascii="Times New Roman" w:hAnsi="Times New Roman"/>
          <w:sz w:val="24"/>
          <w:szCs w:val="24"/>
        </w:rPr>
        <w:t>contract</w:t>
      </w:r>
      <w:r w:rsidR="004C7E67" w:rsidRPr="002E71C6">
        <w:rPr>
          <w:rFonts w:ascii="Times New Roman" w:hAnsi="Times New Roman"/>
          <w:sz w:val="24"/>
          <w:szCs w:val="24"/>
        </w:rPr>
        <w:t>”</w:t>
      </w:r>
      <w:r w:rsidRPr="002C7571">
        <w:rPr>
          <w:rFonts w:ascii="Times New Roman" w:hAnsi="Times New Roman"/>
          <w:sz w:val="24"/>
          <w:szCs w:val="24"/>
        </w:rPr>
        <w:t xml:space="preserve"> (the domain of legal principles), and the law </w:t>
      </w:r>
      <w:proofErr w:type="gramStart"/>
      <w:r w:rsidRPr="002C7571">
        <w:rPr>
          <w:rFonts w:ascii="Times New Roman" w:hAnsi="Times New Roman"/>
          <w:sz w:val="24"/>
          <w:szCs w:val="24"/>
        </w:rPr>
        <w:t xml:space="preserve">of </w:t>
      </w:r>
      <w:r w:rsidR="00A43485">
        <w:rPr>
          <w:rFonts w:ascii="Times New Roman" w:hAnsi="Times New Roman"/>
          <w:sz w:val="24"/>
          <w:szCs w:val="24"/>
        </w:rPr>
        <w:t>”</w:t>
      </w:r>
      <w:proofErr w:type="gramEnd"/>
      <w:r w:rsidRPr="002C7571">
        <w:rPr>
          <w:rFonts w:ascii="Times New Roman" w:hAnsi="Times New Roman"/>
          <w:sz w:val="24"/>
          <w:szCs w:val="24"/>
        </w:rPr>
        <w:t>contracts</w:t>
      </w:r>
      <w:r w:rsidR="004C7E67" w:rsidRPr="002E71C6">
        <w:rPr>
          <w:rFonts w:ascii="Times New Roman" w:hAnsi="Times New Roman"/>
          <w:sz w:val="24"/>
          <w:szCs w:val="24"/>
        </w:rPr>
        <w:t>”</w:t>
      </w:r>
      <w:r w:rsidRPr="002C7571">
        <w:rPr>
          <w:rFonts w:ascii="Times New Roman" w:hAnsi="Times New Roman"/>
          <w:sz w:val="24"/>
          <w:szCs w:val="24"/>
        </w:rPr>
        <w:t>, considered to be the domain of practical lawyering. In terms of private law theory, this has left the study of insurance law relatively isolated.</w:t>
      </w:r>
      <w:r w:rsidR="004C7E67" w:rsidRPr="002E71C6">
        <w:rPr>
          <w:rStyle w:val="FootnoteReference"/>
          <w:rFonts w:ascii="Times New Roman" w:hAnsi="Times New Roman"/>
          <w:sz w:val="24"/>
          <w:szCs w:val="24"/>
        </w:rPr>
        <w:footnoteReference w:id="24"/>
      </w:r>
      <w:r w:rsidRPr="002C7571">
        <w:rPr>
          <w:rFonts w:ascii="Times New Roman" w:hAnsi="Times New Roman"/>
          <w:sz w:val="24"/>
          <w:szCs w:val="24"/>
        </w:rPr>
        <w:t xml:space="preserve"> This in turn can be related to the earlier observations both about </w:t>
      </w:r>
      <w:r w:rsidR="004C7E67" w:rsidRPr="002E71C6">
        <w:rPr>
          <w:rFonts w:ascii="Times New Roman" w:hAnsi="Times New Roman"/>
          <w:sz w:val="24"/>
          <w:szCs w:val="24"/>
        </w:rPr>
        <w:t>“</w:t>
      </w:r>
      <w:r w:rsidRPr="002C7571">
        <w:rPr>
          <w:rFonts w:ascii="Times New Roman" w:hAnsi="Times New Roman"/>
          <w:sz w:val="24"/>
          <w:szCs w:val="24"/>
        </w:rPr>
        <w:t>contextual</w:t>
      </w:r>
      <w:r w:rsidR="004C7E67" w:rsidRPr="002E71C6">
        <w:rPr>
          <w:rFonts w:ascii="Times New Roman" w:hAnsi="Times New Roman"/>
          <w:sz w:val="24"/>
          <w:szCs w:val="24"/>
        </w:rPr>
        <w:t>”</w:t>
      </w:r>
      <w:r w:rsidRPr="002C7571">
        <w:rPr>
          <w:rFonts w:ascii="Times New Roman" w:hAnsi="Times New Roman"/>
          <w:sz w:val="24"/>
          <w:szCs w:val="24"/>
        </w:rPr>
        <w:t xml:space="preserve"> and reform-oriented study and about </w:t>
      </w:r>
      <w:r w:rsidR="004C7E67" w:rsidRPr="002E71C6">
        <w:rPr>
          <w:rFonts w:ascii="Times New Roman" w:hAnsi="Times New Roman"/>
          <w:sz w:val="24"/>
          <w:szCs w:val="24"/>
        </w:rPr>
        <w:t>“</w:t>
      </w:r>
      <w:r w:rsidRPr="002C7571">
        <w:rPr>
          <w:rFonts w:ascii="Times New Roman" w:hAnsi="Times New Roman"/>
          <w:sz w:val="24"/>
          <w:szCs w:val="24"/>
        </w:rPr>
        <w:t>resistance</w:t>
      </w:r>
      <w:r w:rsidR="004C7E67" w:rsidRPr="002E71C6">
        <w:rPr>
          <w:rFonts w:ascii="Times New Roman" w:hAnsi="Times New Roman"/>
          <w:sz w:val="24"/>
          <w:szCs w:val="24"/>
        </w:rPr>
        <w:t>”</w:t>
      </w:r>
      <w:r w:rsidRPr="002C7571">
        <w:rPr>
          <w:rFonts w:ascii="Times New Roman" w:hAnsi="Times New Roman"/>
          <w:sz w:val="24"/>
          <w:szCs w:val="24"/>
        </w:rPr>
        <w:t xml:space="preserve"> to change, to the extent that the latter might also take the form of adherence to general legal principles organised into doctrinal categories. Practitioner-oriented studies of insurance contracts infrequently meet up with the theoretical studies of the field, and (equally importantly) might not share the same concerns when they do. </w:t>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lastRenderedPageBreak/>
        <w:t>There are, of course, existing contextual studies of contracting, but individual contextual studies in their nature tend to be bounded in their range and scope and in that sense these too contrast with studies of broad underlying doctrinal principle. To date, their concerns have taken them to areas other than insurance.</w:t>
      </w:r>
      <w:r w:rsidR="004C7E67" w:rsidRPr="002E71C6">
        <w:rPr>
          <w:rStyle w:val="FootnoteReference"/>
          <w:rFonts w:ascii="Times New Roman" w:hAnsi="Times New Roman"/>
          <w:sz w:val="24"/>
          <w:szCs w:val="24"/>
        </w:rPr>
        <w:footnoteReference w:id="25"/>
      </w:r>
      <w:r w:rsidRPr="002C7571">
        <w:rPr>
          <w:rFonts w:ascii="Times New Roman" w:hAnsi="Times New Roman"/>
          <w:sz w:val="24"/>
          <w:szCs w:val="24"/>
        </w:rPr>
        <w:t xml:space="preserve"> This creates a significant gap, not only from the point of view of understanding the relationship with tort liability, but also because of the much broader significance of insurance to transactions of various sorts (as one source of security)</w:t>
      </w:r>
      <w:r w:rsidR="004C7E67" w:rsidRPr="002E71C6">
        <w:rPr>
          <w:rFonts w:ascii="Times New Roman" w:hAnsi="Times New Roman"/>
          <w:sz w:val="24"/>
          <w:szCs w:val="24"/>
        </w:rPr>
        <w:t xml:space="preserve"> </w:t>
      </w:r>
      <w:r w:rsidRPr="002C7571">
        <w:rPr>
          <w:rFonts w:ascii="Times New Roman" w:hAnsi="Times New Roman"/>
          <w:sz w:val="24"/>
          <w:szCs w:val="24"/>
        </w:rPr>
        <w:t xml:space="preserve">and to modern economies and societies, and therefore one would imagine to the contribution of private law as a whole. </w:t>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 xml:space="preserve">In summary, for the most part, the preoccupations of private law scholarship have between them led to relative silence about the role of insurance contract law. The end result is that tort scholarship is preoccupied with insurance not insurance law, and is divided from contract scholarship; tort scholars in particular are not interested in the transactional or exchange questions surrounding tort liabilities (via the law of insurance contracts), and therefore tend </w:t>
      </w:r>
      <w:r w:rsidR="00C2556C">
        <w:rPr>
          <w:rFonts w:ascii="Times New Roman" w:hAnsi="Times New Roman"/>
          <w:sz w:val="24"/>
          <w:szCs w:val="24"/>
        </w:rPr>
        <w:t xml:space="preserve">either to </w:t>
      </w:r>
      <w:r w:rsidRPr="002C7571">
        <w:rPr>
          <w:rFonts w:ascii="Times New Roman" w:hAnsi="Times New Roman"/>
          <w:sz w:val="24"/>
          <w:szCs w:val="24"/>
        </w:rPr>
        <w:t xml:space="preserve">embrace the </w:t>
      </w:r>
      <w:r w:rsidR="004C7E67" w:rsidRPr="002E71C6">
        <w:rPr>
          <w:rFonts w:ascii="Times New Roman" w:hAnsi="Times New Roman"/>
          <w:sz w:val="24"/>
          <w:szCs w:val="24"/>
        </w:rPr>
        <w:t>“</w:t>
      </w:r>
      <w:r w:rsidRPr="002C7571">
        <w:rPr>
          <w:rFonts w:ascii="Times New Roman" w:hAnsi="Times New Roman"/>
          <w:sz w:val="24"/>
          <w:szCs w:val="24"/>
        </w:rPr>
        <w:t>distributive</w:t>
      </w:r>
      <w:r w:rsidR="004C7E67" w:rsidRPr="002E71C6">
        <w:rPr>
          <w:rFonts w:ascii="Times New Roman" w:hAnsi="Times New Roman"/>
          <w:sz w:val="24"/>
          <w:szCs w:val="24"/>
        </w:rPr>
        <w:t>”</w:t>
      </w:r>
      <w:r w:rsidRPr="002C7571">
        <w:rPr>
          <w:rFonts w:ascii="Times New Roman" w:hAnsi="Times New Roman"/>
          <w:sz w:val="24"/>
          <w:szCs w:val="24"/>
        </w:rPr>
        <w:t xml:space="preserve"> story (through which tort has been transformed), or to reject the relevance of insurance. A general consequence is that there is little analysis of the whole potential contribution, and limits, of private law in this context, taking into account its involvement both </w:t>
      </w:r>
      <w:r w:rsidR="007776C2">
        <w:rPr>
          <w:rFonts w:ascii="Times New Roman" w:hAnsi="Times New Roman"/>
          <w:sz w:val="24"/>
          <w:szCs w:val="24"/>
        </w:rPr>
        <w:t xml:space="preserve">in </w:t>
      </w:r>
      <w:r w:rsidRPr="002C7571">
        <w:rPr>
          <w:rFonts w:ascii="Times New Roman" w:hAnsi="Times New Roman"/>
          <w:sz w:val="24"/>
          <w:szCs w:val="24"/>
        </w:rPr>
        <w:t xml:space="preserve">creating the liabilities, and </w:t>
      </w:r>
      <w:r w:rsidR="007776C2">
        <w:rPr>
          <w:rFonts w:ascii="Times New Roman" w:hAnsi="Times New Roman"/>
          <w:sz w:val="24"/>
          <w:szCs w:val="24"/>
        </w:rPr>
        <w:t xml:space="preserve">in </w:t>
      </w:r>
      <w:r w:rsidRPr="002C7571">
        <w:rPr>
          <w:rFonts w:ascii="Times New Roman" w:hAnsi="Times New Roman"/>
          <w:sz w:val="24"/>
          <w:szCs w:val="24"/>
        </w:rPr>
        <w:t xml:space="preserve">enabling them to be met. </w:t>
      </w:r>
    </w:p>
    <w:p w:rsidR="00032365" w:rsidRDefault="00032365">
      <w:pPr>
        <w:spacing w:after="0" w:line="240" w:lineRule="auto"/>
        <w:jc w:val="both"/>
        <w:rPr>
          <w:rFonts w:ascii="Times New Roman" w:hAnsi="Times New Roman"/>
          <w:b/>
          <w:sz w:val="24"/>
          <w:szCs w:val="24"/>
        </w:rPr>
      </w:pPr>
    </w:p>
    <w:p w:rsidR="00032365" w:rsidRDefault="002C7571">
      <w:pPr>
        <w:keepNext/>
        <w:spacing w:after="0" w:line="240" w:lineRule="auto"/>
        <w:jc w:val="both"/>
        <w:rPr>
          <w:rFonts w:ascii="Times New Roman Bold" w:hAnsi="Times New Roman Bold"/>
          <w:b/>
          <w:smallCaps/>
          <w:sz w:val="32"/>
          <w:szCs w:val="32"/>
        </w:rPr>
      </w:pPr>
      <w:r w:rsidRPr="002C7571">
        <w:rPr>
          <w:rFonts w:ascii="Times New Roman Bold" w:hAnsi="Times New Roman Bold"/>
          <w:b/>
          <w:smallCaps/>
          <w:sz w:val="32"/>
          <w:szCs w:val="32"/>
        </w:rPr>
        <w:t>Illustrating the connection</w:t>
      </w:r>
    </w:p>
    <w:p w:rsidR="00032365" w:rsidRDefault="00032365">
      <w:pPr>
        <w:keepNext/>
        <w:spacing w:after="0" w:line="240" w:lineRule="auto"/>
        <w:jc w:val="both"/>
        <w:rPr>
          <w:rFonts w:ascii="Times New Roman" w:hAnsi="Times New Roman"/>
          <w:sz w:val="24"/>
          <w:szCs w:val="24"/>
        </w:rPr>
      </w:pPr>
    </w:p>
    <w:p w:rsidR="00032365" w:rsidRDefault="002C7571">
      <w:pPr>
        <w:spacing w:after="0" w:line="240" w:lineRule="auto"/>
        <w:jc w:val="both"/>
        <w:rPr>
          <w:rFonts w:ascii="Times New Roman" w:hAnsi="Times New Roman"/>
          <w:sz w:val="24"/>
          <w:szCs w:val="24"/>
        </w:rPr>
      </w:pPr>
      <w:r w:rsidRPr="002C7571">
        <w:rPr>
          <w:rFonts w:ascii="Times New Roman" w:hAnsi="Times New Roman"/>
          <w:sz w:val="24"/>
          <w:szCs w:val="24"/>
        </w:rPr>
        <w:t>Whether or not I am right about these suggested reasons, the interaction of tort liability and insurance contracts is underexplored at the theoretical level.</w:t>
      </w:r>
      <w:r w:rsidR="004C7E67" w:rsidRPr="002E71C6">
        <w:rPr>
          <w:rFonts w:ascii="Times New Roman" w:hAnsi="Times New Roman"/>
          <w:sz w:val="24"/>
          <w:szCs w:val="24"/>
        </w:rPr>
        <w:t xml:space="preserve"> </w:t>
      </w:r>
      <w:r w:rsidRPr="002C7571">
        <w:rPr>
          <w:rFonts w:ascii="Times New Roman" w:hAnsi="Times New Roman"/>
          <w:sz w:val="24"/>
          <w:szCs w:val="24"/>
        </w:rPr>
        <w:t xml:space="preserve">In practice however, the interaction is undeniable, even if its true extent in any particular case is not always obvious. Given that tort liabilities are predominantly met by liability insurers, the satisfaction of tort liabilities is to a large extent underpinned by insurance contract law. But more precisely, a number of tort cases could not only be said to be loosely </w:t>
      </w:r>
      <w:r w:rsidR="004C7E67" w:rsidRPr="002E71C6">
        <w:rPr>
          <w:rFonts w:ascii="Times New Roman" w:hAnsi="Times New Roman"/>
          <w:sz w:val="24"/>
          <w:szCs w:val="24"/>
        </w:rPr>
        <w:t>“</w:t>
      </w:r>
      <w:r w:rsidRPr="002C7571">
        <w:rPr>
          <w:rFonts w:ascii="Times New Roman" w:hAnsi="Times New Roman"/>
          <w:sz w:val="24"/>
          <w:szCs w:val="24"/>
        </w:rPr>
        <w:t>about</w:t>
      </w:r>
      <w:r w:rsidR="004C7E67" w:rsidRPr="002E71C6">
        <w:rPr>
          <w:rFonts w:ascii="Times New Roman" w:hAnsi="Times New Roman"/>
          <w:sz w:val="24"/>
          <w:szCs w:val="24"/>
        </w:rPr>
        <w:t>”</w:t>
      </w:r>
      <w:r w:rsidRPr="002C7571">
        <w:rPr>
          <w:rFonts w:ascii="Times New Roman" w:hAnsi="Times New Roman"/>
          <w:sz w:val="24"/>
          <w:szCs w:val="24"/>
        </w:rPr>
        <w:t xml:space="preserve"> insurance, but could be identified as concerned to test which insurance policy should cover a particular loss.</w:t>
      </w:r>
      <w:bookmarkStart w:id="8" w:name="_Ref293145034"/>
      <w:r w:rsidR="004C7E67" w:rsidRPr="002E71C6">
        <w:rPr>
          <w:rStyle w:val="FootnoteReference"/>
          <w:rFonts w:ascii="Times New Roman" w:hAnsi="Times New Roman"/>
          <w:sz w:val="24"/>
          <w:szCs w:val="24"/>
        </w:rPr>
        <w:footnoteReference w:id="26"/>
      </w:r>
      <w:bookmarkEnd w:id="8"/>
      <w:r w:rsidRPr="002C7571">
        <w:rPr>
          <w:rFonts w:ascii="Times New Roman" w:hAnsi="Times New Roman"/>
          <w:sz w:val="24"/>
          <w:szCs w:val="24"/>
        </w:rPr>
        <w:t xml:space="preserve"> First party insurance, therefore, is also of great importance in helping to determine the boundaries of liability, </w:t>
      </w:r>
      <w:commentRangeStart w:id="9"/>
      <w:r w:rsidRPr="002C7571">
        <w:rPr>
          <w:rFonts w:ascii="Times New Roman" w:hAnsi="Times New Roman"/>
          <w:sz w:val="24"/>
          <w:szCs w:val="24"/>
        </w:rPr>
        <w:t xml:space="preserve">though </w:t>
      </w:r>
      <w:r w:rsidR="00A43485">
        <w:rPr>
          <w:rFonts w:ascii="Times New Roman" w:hAnsi="Times New Roman"/>
          <w:sz w:val="24"/>
          <w:szCs w:val="24"/>
        </w:rPr>
        <w:t>this form of insurance</w:t>
      </w:r>
      <w:r w:rsidR="001F3BF0">
        <w:rPr>
          <w:rFonts w:ascii="Times New Roman" w:hAnsi="Times New Roman"/>
          <w:sz w:val="24"/>
          <w:szCs w:val="24"/>
        </w:rPr>
        <w:t xml:space="preserve"> is </w:t>
      </w:r>
      <w:r w:rsidRPr="002C7571">
        <w:rPr>
          <w:rFonts w:ascii="Times New Roman" w:hAnsi="Times New Roman"/>
          <w:sz w:val="24"/>
          <w:szCs w:val="24"/>
        </w:rPr>
        <w:t xml:space="preserve">less </w:t>
      </w:r>
      <w:r w:rsidR="007776C2">
        <w:rPr>
          <w:rFonts w:ascii="Times New Roman" w:hAnsi="Times New Roman"/>
          <w:sz w:val="24"/>
          <w:szCs w:val="24"/>
        </w:rPr>
        <w:t xml:space="preserve">widespread </w:t>
      </w:r>
      <w:r w:rsidRPr="002C7571">
        <w:rPr>
          <w:rFonts w:ascii="Times New Roman" w:hAnsi="Times New Roman"/>
          <w:sz w:val="24"/>
          <w:szCs w:val="24"/>
        </w:rPr>
        <w:t xml:space="preserve">in personal injury and </w:t>
      </w:r>
      <w:r w:rsidR="004C7E67" w:rsidRPr="002E71C6">
        <w:rPr>
          <w:rFonts w:ascii="Times New Roman" w:hAnsi="Times New Roman"/>
          <w:sz w:val="24"/>
          <w:szCs w:val="24"/>
        </w:rPr>
        <w:t>“</w:t>
      </w:r>
      <w:r w:rsidRPr="002C7571">
        <w:rPr>
          <w:rFonts w:ascii="Times New Roman" w:hAnsi="Times New Roman"/>
          <w:sz w:val="24"/>
          <w:szCs w:val="24"/>
        </w:rPr>
        <w:t>consumer</w:t>
      </w:r>
      <w:r w:rsidR="004C7E67" w:rsidRPr="002E71C6">
        <w:rPr>
          <w:rFonts w:ascii="Times New Roman" w:hAnsi="Times New Roman"/>
          <w:sz w:val="24"/>
          <w:szCs w:val="24"/>
        </w:rPr>
        <w:t>”</w:t>
      </w:r>
      <w:r w:rsidRPr="002C7571">
        <w:rPr>
          <w:rFonts w:ascii="Times New Roman" w:hAnsi="Times New Roman"/>
          <w:sz w:val="24"/>
          <w:szCs w:val="24"/>
        </w:rPr>
        <w:t xml:space="preserve"> cases.</w:t>
      </w:r>
      <w:commentRangeEnd w:id="9"/>
      <w:r w:rsidRPr="002C7571">
        <w:rPr>
          <w:rStyle w:val="CommentReference"/>
          <w:rFonts w:ascii="Times New Roman" w:hAnsi="Times New Roman"/>
          <w:sz w:val="24"/>
          <w:szCs w:val="24"/>
        </w:rPr>
        <w:commentReference w:id="9"/>
      </w:r>
      <w:r w:rsidRPr="002C7571">
        <w:rPr>
          <w:rFonts w:ascii="Times New Roman" w:hAnsi="Times New Roman"/>
          <w:sz w:val="24"/>
          <w:szCs w:val="24"/>
        </w:rPr>
        <w:t xml:space="preserve"> More generally, tort liability may also be used to </w:t>
      </w:r>
      <w:r w:rsidR="004C7E67" w:rsidRPr="002E71C6">
        <w:rPr>
          <w:rFonts w:ascii="Times New Roman" w:hAnsi="Times New Roman"/>
          <w:sz w:val="24"/>
          <w:szCs w:val="24"/>
        </w:rPr>
        <w:t>“</w:t>
      </w:r>
      <w:r w:rsidRPr="002C7571">
        <w:rPr>
          <w:rFonts w:ascii="Times New Roman" w:hAnsi="Times New Roman"/>
          <w:sz w:val="24"/>
          <w:szCs w:val="24"/>
        </w:rPr>
        <w:t>regulate</w:t>
      </w:r>
      <w:r w:rsidR="004C7E67" w:rsidRPr="002E71C6">
        <w:rPr>
          <w:rFonts w:ascii="Times New Roman" w:hAnsi="Times New Roman"/>
          <w:sz w:val="24"/>
          <w:szCs w:val="24"/>
        </w:rPr>
        <w:t>”</w:t>
      </w:r>
      <w:r w:rsidRPr="002C7571">
        <w:rPr>
          <w:rFonts w:ascii="Times New Roman" w:hAnsi="Times New Roman"/>
          <w:sz w:val="24"/>
          <w:szCs w:val="24"/>
        </w:rPr>
        <w:t xml:space="preserve"> certain sorts </w:t>
      </w:r>
      <w:r w:rsidRPr="002C7571">
        <w:rPr>
          <w:rFonts w:ascii="Times New Roman" w:hAnsi="Times New Roman"/>
          <w:sz w:val="24"/>
          <w:szCs w:val="24"/>
        </w:rPr>
        <w:lastRenderedPageBreak/>
        <w:t>of contractual arrangement in circumstances where there is no privity, or in circumstances of concurren</w:t>
      </w:r>
      <w:r w:rsidR="007776C2">
        <w:rPr>
          <w:rFonts w:ascii="Times New Roman" w:hAnsi="Times New Roman"/>
          <w:sz w:val="24"/>
          <w:szCs w:val="24"/>
        </w:rPr>
        <w:t xml:space="preserve">t duties </w:t>
      </w:r>
      <w:r w:rsidRPr="002C7571">
        <w:rPr>
          <w:rFonts w:ascii="Times New Roman" w:hAnsi="Times New Roman"/>
          <w:sz w:val="24"/>
          <w:szCs w:val="24"/>
        </w:rPr>
        <w:t>in tort and contract.</w:t>
      </w:r>
      <w:commentRangeStart w:id="10"/>
      <w:r w:rsidR="004C7E67" w:rsidRPr="002E71C6">
        <w:rPr>
          <w:rStyle w:val="FootnoteReference"/>
          <w:rFonts w:ascii="Times New Roman" w:hAnsi="Times New Roman"/>
          <w:sz w:val="24"/>
          <w:szCs w:val="24"/>
        </w:rPr>
        <w:footnoteReference w:id="27"/>
      </w:r>
      <w:commentRangeEnd w:id="10"/>
      <w:r w:rsidRPr="002C7571">
        <w:rPr>
          <w:rStyle w:val="CommentReference"/>
          <w:rFonts w:ascii="Times New Roman" w:hAnsi="Times New Roman"/>
          <w:sz w:val="24"/>
          <w:szCs w:val="24"/>
        </w:rPr>
        <w:commentReference w:id="10"/>
      </w:r>
      <w:r w:rsidRPr="002C7571">
        <w:rPr>
          <w:rFonts w:ascii="Times New Roman" w:hAnsi="Times New Roman"/>
          <w:sz w:val="24"/>
          <w:szCs w:val="24"/>
        </w:rPr>
        <w:t xml:space="preserve"> </w:t>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 xml:space="preserve">Illustrating the potential influence of tort over contract in certain cases, Hugh Collins has explored </w:t>
      </w:r>
      <w:r w:rsidRPr="002C7571">
        <w:rPr>
          <w:rFonts w:ascii="Times New Roman" w:hAnsi="Times New Roman"/>
          <w:i/>
          <w:sz w:val="24"/>
          <w:szCs w:val="24"/>
        </w:rPr>
        <w:t>Smith v Bush</w:t>
      </w:r>
      <w:bookmarkStart w:id="11" w:name="_Ref293597246"/>
      <w:r w:rsidR="004C7E67" w:rsidRPr="002E71C6">
        <w:rPr>
          <w:rFonts w:ascii="Times New Roman" w:hAnsi="Times New Roman"/>
          <w:sz w:val="24"/>
          <w:szCs w:val="24"/>
          <w:vertAlign w:val="superscript"/>
        </w:rPr>
        <w:footnoteReference w:id="28"/>
      </w:r>
      <w:bookmarkEnd w:id="11"/>
      <w:r w:rsidRPr="002C7571">
        <w:rPr>
          <w:rFonts w:ascii="Times New Roman" w:hAnsi="Times New Roman"/>
          <w:i/>
          <w:sz w:val="24"/>
          <w:szCs w:val="24"/>
        </w:rPr>
        <w:t xml:space="preserve"> </w:t>
      </w:r>
      <w:r w:rsidRPr="002C7571">
        <w:rPr>
          <w:rFonts w:ascii="Times New Roman" w:hAnsi="Times New Roman"/>
          <w:sz w:val="24"/>
          <w:szCs w:val="24"/>
        </w:rPr>
        <w:t>as an example of the regulation of contracts via the law of tort.</w:t>
      </w:r>
      <w:bookmarkStart w:id="12" w:name="_Ref293598194"/>
      <w:r w:rsidR="004C7E67" w:rsidRPr="002E71C6">
        <w:rPr>
          <w:rStyle w:val="FootnoteReference"/>
          <w:rFonts w:ascii="Times New Roman" w:hAnsi="Times New Roman"/>
          <w:sz w:val="24"/>
          <w:szCs w:val="24"/>
        </w:rPr>
        <w:footnoteReference w:id="29"/>
      </w:r>
      <w:bookmarkEnd w:id="12"/>
      <w:r w:rsidRPr="002C7571">
        <w:rPr>
          <w:rFonts w:ascii="Times New Roman" w:hAnsi="Times New Roman"/>
          <w:sz w:val="24"/>
          <w:szCs w:val="24"/>
        </w:rPr>
        <w:t xml:space="preserve"> </w:t>
      </w:r>
      <w:r w:rsidR="002D4DDC">
        <w:rPr>
          <w:rFonts w:ascii="Times New Roman" w:hAnsi="Times New Roman"/>
          <w:sz w:val="24"/>
          <w:szCs w:val="24"/>
        </w:rPr>
        <w:t>Collins uses the case to illustrate some of the shortcomings of private law as a means of regulation, although in the same chapt</w:t>
      </w:r>
      <w:r w:rsidR="00C347A2">
        <w:rPr>
          <w:rFonts w:ascii="Times New Roman" w:hAnsi="Times New Roman"/>
          <w:sz w:val="24"/>
          <w:szCs w:val="24"/>
        </w:rPr>
        <w:t>er he also</w:t>
      </w:r>
      <w:r w:rsidR="002D4DDC">
        <w:rPr>
          <w:rFonts w:ascii="Times New Roman" w:hAnsi="Times New Roman"/>
          <w:sz w:val="24"/>
          <w:szCs w:val="24"/>
        </w:rPr>
        <w:t xml:space="preserve"> acknowledge</w:t>
      </w:r>
      <w:r w:rsidR="00C347A2">
        <w:rPr>
          <w:rFonts w:ascii="Times New Roman" w:hAnsi="Times New Roman"/>
          <w:sz w:val="24"/>
          <w:szCs w:val="24"/>
        </w:rPr>
        <w:t>s</w:t>
      </w:r>
      <w:r w:rsidR="002D4DDC">
        <w:rPr>
          <w:rFonts w:ascii="Times New Roman" w:hAnsi="Times New Roman"/>
          <w:sz w:val="24"/>
          <w:szCs w:val="24"/>
        </w:rPr>
        <w:t xml:space="preserve"> certain potential strengths of private law as a mode of reflexive or responsive regulation (in this instance, of market transactions).</w:t>
      </w:r>
      <w:r w:rsidR="002D4DDC">
        <w:rPr>
          <w:rStyle w:val="FootnoteReference"/>
          <w:rFonts w:ascii="Times New Roman" w:hAnsi="Times New Roman"/>
          <w:sz w:val="24"/>
          <w:szCs w:val="24"/>
        </w:rPr>
        <w:footnoteReference w:id="30"/>
      </w:r>
      <w:r w:rsidR="002D4DDC">
        <w:rPr>
          <w:rFonts w:ascii="Times New Roman" w:hAnsi="Times New Roman"/>
          <w:sz w:val="24"/>
          <w:szCs w:val="24"/>
        </w:rPr>
        <w:t xml:space="preserve"> </w:t>
      </w:r>
      <w:r w:rsidRPr="002C7571">
        <w:rPr>
          <w:rFonts w:ascii="Times New Roman" w:hAnsi="Times New Roman"/>
          <w:sz w:val="24"/>
          <w:szCs w:val="24"/>
        </w:rPr>
        <w:t xml:space="preserve">The example is also particularly worth considering from the point of view of this </w:t>
      </w:r>
      <w:r w:rsidR="004C7E67" w:rsidRPr="002E71C6">
        <w:rPr>
          <w:rFonts w:ascii="Times New Roman" w:hAnsi="Times New Roman"/>
          <w:sz w:val="24"/>
          <w:szCs w:val="24"/>
        </w:rPr>
        <w:t>chapter</w:t>
      </w:r>
      <w:r w:rsidR="00CF517A">
        <w:rPr>
          <w:rFonts w:ascii="Times New Roman" w:hAnsi="Times New Roman"/>
          <w:sz w:val="24"/>
          <w:szCs w:val="24"/>
        </w:rPr>
        <w:t>, not because it involves insurance arrangements (though it does), but</w:t>
      </w:r>
      <w:r w:rsidR="004C7E67" w:rsidRPr="002E71C6">
        <w:rPr>
          <w:rFonts w:ascii="Times New Roman" w:hAnsi="Times New Roman"/>
          <w:sz w:val="24"/>
          <w:szCs w:val="24"/>
        </w:rPr>
        <w:t xml:space="preserve"> </w:t>
      </w:r>
      <w:r w:rsidRPr="002C7571">
        <w:rPr>
          <w:rFonts w:ascii="Times New Roman" w:hAnsi="Times New Roman"/>
          <w:sz w:val="24"/>
          <w:szCs w:val="24"/>
        </w:rPr>
        <w:t xml:space="preserve">because it has some parallels with the questions raised by liability insurance for the law of obligations. Here, it was held by the House of Lords that a surveyor owed a duty of care to a borrower when advising the lender in the course of a sale of domestic property, despite a disclaimer of liability to third parties. </w:t>
      </w:r>
      <w:r w:rsidR="001F3BF0">
        <w:rPr>
          <w:rFonts w:ascii="Times New Roman" w:hAnsi="Times New Roman"/>
          <w:sz w:val="24"/>
          <w:szCs w:val="24"/>
        </w:rPr>
        <w:t xml:space="preserve">Expressing reservations about </w:t>
      </w:r>
      <w:r w:rsidRPr="002C7571">
        <w:rPr>
          <w:rFonts w:ascii="Times New Roman" w:hAnsi="Times New Roman"/>
          <w:sz w:val="24"/>
          <w:szCs w:val="24"/>
        </w:rPr>
        <w:t xml:space="preserve">the decision, Collins takes what could </w:t>
      </w:r>
      <w:r w:rsidR="009B48CC">
        <w:rPr>
          <w:rFonts w:ascii="Times New Roman" w:hAnsi="Times New Roman"/>
          <w:sz w:val="24"/>
          <w:szCs w:val="24"/>
        </w:rPr>
        <w:t xml:space="preserve">appear to be </w:t>
      </w:r>
      <w:r w:rsidRPr="002C7571">
        <w:rPr>
          <w:rFonts w:ascii="Times New Roman" w:hAnsi="Times New Roman"/>
          <w:sz w:val="24"/>
          <w:szCs w:val="24"/>
        </w:rPr>
        <w:t>a traditionalist line, focusing on what courts do not know about the impact of liability on the cost of insurance in a case like this</w:t>
      </w:r>
      <w:r w:rsidR="001F3BF0">
        <w:rPr>
          <w:rFonts w:ascii="Times New Roman" w:hAnsi="Times New Roman"/>
          <w:sz w:val="24"/>
          <w:szCs w:val="24"/>
        </w:rPr>
        <w:t xml:space="preserve">. In the context of Collins’ analysis however, this </w:t>
      </w:r>
      <w:r w:rsidR="009E1F54">
        <w:rPr>
          <w:rFonts w:ascii="Times New Roman" w:hAnsi="Times New Roman"/>
          <w:sz w:val="24"/>
          <w:szCs w:val="24"/>
        </w:rPr>
        <w:t xml:space="preserve">exemplifies </w:t>
      </w:r>
      <w:r w:rsidR="001F3BF0">
        <w:rPr>
          <w:rFonts w:ascii="Times New Roman" w:hAnsi="Times New Roman"/>
          <w:sz w:val="24"/>
          <w:szCs w:val="24"/>
        </w:rPr>
        <w:t xml:space="preserve"> </w:t>
      </w:r>
      <w:r w:rsidRPr="002C7571">
        <w:rPr>
          <w:rFonts w:ascii="Times New Roman" w:hAnsi="Times New Roman"/>
          <w:sz w:val="24"/>
          <w:szCs w:val="24"/>
        </w:rPr>
        <w:t>a</w:t>
      </w:r>
      <w:r w:rsidR="001F3BF0">
        <w:rPr>
          <w:rFonts w:ascii="Times New Roman" w:hAnsi="Times New Roman"/>
          <w:sz w:val="24"/>
          <w:szCs w:val="24"/>
        </w:rPr>
        <w:t>n</w:t>
      </w:r>
      <w:r w:rsidRPr="002C7571">
        <w:rPr>
          <w:rFonts w:ascii="Times New Roman" w:hAnsi="Times New Roman"/>
          <w:sz w:val="24"/>
          <w:szCs w:val="24"/>
        </w:rPr>
        <w:t xml:space="preserve"> outcome-based limitation which in his view undermines the regulatory capacity of private law. I am more interested </w:t>
      </w:r>
      <w:r w:rsidR="001F3BF0">
        <w:rPr>
          <w:rFonts w:ascii="Times New Roman" w:hAnsi="Times New Roman"/>
          <w:sz w:val="24"/>
          <w:szCs w:val="24"/>
        </w:rPr>
        <w:t xml:space="preserve">here </w:t>
      </w:r>
      <w:r w:rsidRPr="002C7571">
        <w:rPr>
          <w:rFonts w:ascii="Times New Roman" w:hAnsi="Times New Roman"/>
          <w:sz w:val="24"/>
          <w:szCs w:val="24"/>
        </w:rPr>
        <w:t xml:space="preserve">in </w:t>
      </w:r>
      <w:r w:rsidR="001F3BF0">
        <w:rPr>
          <w:rFonts w:ascii="Times New Roman" w:hAnsi="Times New Roman"/>
          <w:sz w:val="24"/>
          <w:szCs w:val="24"/>
        </w:rPr>
        <w:t xml:space="preserve">those aspects of the reasoning of </w:t>
      </w:r>
      <w:r w:rsidRPr="002C7571">
        <w:rPr>
          <w:rFonts w:ascii="Times New Roman" w:hAnsi="Times New Roman"/>
          <w:sz w:val="24"/>
          <w:szCs w:val="24"/>
        </w:rPr>
        <w:t xml:space="preserve">the </w:t>
      </w:r>
      <w:r w:rsidR="004C7E67" w:rsidRPr="002E71C6">
        <w:rPr>
          <w:rFonts w:ascii="Times New Roman" w:hAnsi="Times New Roman"/>
          <w:sz w:val="24"/>
          <w:szCs w:val="24"/>
        </w:rPr>
        <w:t xml:space="preserve">House </w:t>
      </w:r>
      <w:r w:rsidRPr="002C7571">
        <w:rPr>
          <w:rFonts w:ascii="Times New Roman" w:hAnsi="Times New Roman"/>
          <w:sz w:val="24"/>
          <w:szCs w:val="24"/>
        </w:rPr>
        <w:t xml:space="preserve">which focus on the transactional structure between the parties as a whole. </w:t>
      </w:r>
      <w:r w:rsidR="001F3BF0">
        <w:rPr>
          <w:rFonts w:ascii="Times New Roman" w:hAnsi="Times New Roman"/>
          <w:sz w:val="24"/>
          <w:szCs w:val="24"/>
        </w:rPr>
        <w:t>Arguably, in focusing on this transactional structure, the Ho</w:t>
      </w:r>
      <w:r w:rsidR="009B48CC">
        <w:rPr>
          <w:rFonts w:ascii="Times New Roman" w:hAnsi="Times New Roman"/>
          <w:sz w:val="24"/>
          <w:szCs w:val="24"/>
        </w:rPr>
        <w:t>use illustrates Collins’ more positive assessment of the potential of private law, and particularly his</w:t>
      </w:r>
      <w:r w:rsidR="001F3BF0">
        <w:rPr>
          <w:rFonts w:ascii="Times New Roman" w:hAnsi="Times New Roman"/>
          <w:sz w:val="24"/>
          <w:szCs w:val="24"/>
        </w:rPr>
        <w:t xml:space="preserve"> contention that </w:t>
      </w:r>
      <w:r w:rsidR="002D4DDC">
        <w:rPr>
          <w:rFonts w:ascii="Times New Roman" w:hAnsi="Times New Roman"/>
          <w:sz w:val="24"/>
          <w:szCs w:val="24"/>
        </w:rPr>
        <w:t xml:space="preserve">consideration of ‘externalities’ </w:t>
      </w:r>
      <w:r w:rsidR="009E1F54">
        <w:rPr>
          <w:rFonts w:ascii="Times New Roman" w:hAnsi="Times New Roman"/>
          <w:sz w:val="24"/>
          <w:szCs w:val="24"/>
        </w:rPr>
        <w:t xml:space="preserve">has the potential to </w:t>
      </w:r>
      <w:r w:rsidR="002D4DDC">
        <w:rPr>
          <w:rFonts w:ascii="Times New Roman" w:hAnsi="Times New Roman"/>
          <w:sz w:val="24"/>
          <w:szCs w:val="24"/>
        </w:rPr>
        <w:t xml:space="preserve">be channelled through the established categories </w:t>
      </w:r>
      <w:r w:rsidR="00CA57D8">
        <w:rPr>
          <w:rFonts w:ascii="Times New Roman" w:hAnsi="Times New Roman"/>
          <w:sz w:val="24"/>
          <w:szCs w:val="24"/>
        </w:rPr>
        <w:t xml:space="preserve">of discourse </w:t>
      </w:r>
      <w:r w:rsidR="002D4DDC">
        <w:rPr>
          <w:rFonts w:ascii="Times New Roman" w:hAnsi="Times New Roman"/>
          <w:sz w:val="24"/>
          <w:szCs w:val="24"/>
        </w:rPr>
        <w:t>employed by judges. Those categories are amenable to absorbing a range of factors given their open-ended nature in many instances.</w:t>
      </w:r>
      <w:r w:rsidR="00526ED9">
        <w:rPr>
          <w:rFonts w:ascii="Times New Roman" w:hAnsi="Times New Roman"/>
          <w:sz w:val="24"/>
          <w:szCs w:val="24"/>
        </w:rPr>
        <w:t xml:space="preserve"> In this way</w:t>
      </w:r>
      <w:r w:rsidR="00CA57D8">
        <w:rPr>
          <w:rFonts w:ascii="Times New Roman" w:hAnsi="Times New Roman"/>
          <w:sz w:val="24"/>
          <w:szCs w:val="24"/>
        </w:rPr>
        <w:t>, judges may be able to enhance the capacity of private law to regulate markets effectively by adjusting the content and interpretation of the categories applied.</w:t>
      </w:r>
      <w:r w:rsidR="009E1F54">
        <w:rPr>
          <w:rStyle w:val="FootnoteReference"/>
          <w:rFonts w:ascii="Times New Roman" w:hAnsi="Times New Roman"/>
          <w:sz w:val="24"/>
          <w:szCs w:val="24"/>
        </w:rPr>
        <w:footnoteReference w:id="31"/>
      </w:r>
    </w:p>
    <w:p w:rsidR="00032365" w:rsidRDefault="00505F97">
      <w:pPr>
        <w:spacing w:after="0" w:line="240" w:lineRule="auto"/>
        <w:ind w:firstLine="284"/>
        <w:jc w:val="both"/>
        <w:rPr>
          <w:rFonts w:ascii="Times New Roman" w:hAnsi="Times New Roman"/>
          <w:sz w:val="24"/>
          <w:szCs w:val="24"/>
        </w:rPr>
      </w:pPr>
      <w:r>
        <w:rPr>
          <w:rFonts w:ascii="Times New Roman" w:hAnsi="Times New Roman"/>
          <w:sz w:val="24"/>
          <w:szCs w:val="24"/>
        </w:rPr>
        <w:t xml:space="preserve">In </w:t>
      </w:r>
      <w:r>
        <w:rPr>
          <w:rFonts w:ascii="Times New Roman" w:hAnsi="Times New Roman"/>
          <w:i/>
          <w:sz w:val="24"/>
          <w:szCs w:val="24"/>
        </w:rPr>
        <w:t xml:space="preserve">Smith v </w:t>
      </w:r>
      <w:r w:rsidRPr="00505F97">
        <w:rPr>
          <w:rFonts w:ascii="Times New Roman" w:hAnsi="Times New Roman"/>
          <w:i/>
          <w:sz w:val="24"/>
          <w:szCs w:val="24"/>
        </w:rPr>
        <w:t>Bush</w:t>
      </w:r>
      <w:r>
        <w:rPr>
          <w:rFonts w:ascii="Times New Roman" w:hAnsi="Times New Roman"/>
          <w:sz w:val="24"/>
          <w:szCs w:val="24"/>
        </w:rPr>
        <w:t xml:space="preserve">, </w:t>
      </w:r>
      <w:r w:rsidR="002C7571" w:rsidRPr="00505F97">
        <w:rPr>
          <w:rFonts w:ascii="Times New Roman" w:hAnsi="Times New Roman"/>
          <w:sz w:val="24"/>
          <w:szCs w:val="24"/>
        </w:rPr>
        <w:t>Lord</w:t>
      </w:r>
      <w:r w:rsidR="002C7571" w:rsidRPr="002C7571">
        <w:rPr>
          <w:rFonts w:ascii="Times New Roman" w:hAnsi="Times New Roman"/>
          <w:sz w:val="24"/>
          <w:szCs w:val="24"/>
        </w:rPr>
        <w:t xml:space="preserve"> Templeman, in particular, explained that lenders and surveyors, as professional and commercial participants in a particular market, were here agreeing to exclusion clauses directed to a vulnerable third party, the borrower. As Lord Templeman put it, “</w:t>
      </w:r>
      <w:r w:rsidR="004C7E67" w:rsidRPr="002E71C6">
        <w:rPr>
          <w:rFonts w:ascii="Times New Roman" w:hAnsi="Times New Roman"/>
          <w:sz w:val="24"/>
          <w:szCs w:val="24"/>
        </w:rPr>
        <w:t>i</w:t>
      </w:r>
      <w:r w:rsidR="002C7571" w:rsidRPr="002C7571">
        <w:rPr>
          <w:rFonts w:ascii="Times New Roman" w:hAnsi="Times New Roman"/>
          <w:sz w:val="24"/>
          <w:szCs w:val="24"/>
        </w:rPr>
        <w:t xml:space="preserve">t is not fair and reasonable for building societies and valuers to agree together to impose on purchasers the risk of loss arising as a result of incompetence or carelessness on the part of </w:t>
      </w:r>
      <w:r w:rsidR="002C7571" w:rsidRPr="002C7571">
        <w:rPr>
          <w:rFonts w:ascii="Times New Roman" w:hAnsi="Times New Roman"/>
          <w:sz w:val="24"/>
          <w:szCs w:val="24"/>
        </w:rPr>
        <w:lastRenderedPageBreak/>
        <w:t>valuers”.</w:t>
      </w:r>
      <w:r w:rsidR="004C7E67" w:rsidRPr="002E71C6">
        <w:rPr>
          <w:rStyle w:val="FootnoteReference"/>
          <w:rFonts w:ascii="Times New Roman" w:hAnsi="Times New Roman"/>
          <w:sz w:val="24"/>
          <w:szCs w:val="24"/>
        </w:rPr>
        <w:footnoteReference w:id="32"/>
      </w:r>
      <w:r w:rsidR="002C7571" w:rsidRPr="002C7571">
        <w:rPr>
          <w:rFonts w:ascii="Times New Roman" w:hAnsi="Times New Roman"/>
          <w:sz w:val="24"/>
          <w:szCs w:val="24"/>
        </w:rPr>
        <w:t xml:space="preserve"> This responds to the different roles of the participants in this market. A parallel can be drawn with liability insurance contracts relating to personal injuries, where the contract between insurer and insured will clearly affect a vulnerable third party (</w:t>
      </w:r>
      <w:commentRangeStart w:id="13"/>
      <w:r w:rsidR="002C7571" w:rsidRPr="002C7571">
        <w:rPr>
          <w:rFonts w:ascii="Times New Roman" w:hAnsi="Times New Roman"/>
          <w:sz w:val="24"/>
          <w:szCs w:val="24"/>
        </w:rPr>
        <w:t>the person to whom the insured is potentially liable</w:t>
      </w:r>
      <w:commentRangeEnd w:id="13"/>
      <w:r w:rsidR="002C7571" w:rsidRPr="002C7571">
        <w:rPr>
          <w:rStyle w:val="CommentReference"/>
          <w:rFonts w:ascii="Times New Roman" w:hAnsi="Times New Roman"/>
          <w:sz w:val="24"/>
          <w:szCs w:val="24"/>
        </w:rPr>
        <w:commentReference w:id="13"/>
      </w:r>
      <w:r w:rsidR="002C7571" w:rsidRPr="002C7571">
        <w:rPr>
          <w:rFonts w:ascii="Times New Roman" w:hAnsi="Times New Roman"/>
          <w:sz w:val="24"/>
          <w:szCs w:val="24"/>
        </w:rPr>
        <w:t xml:space="preserve">). Collins argues that when legal reasoning examines contractual behaviour of individuals </w:t>
      </w:r>
      <w:r w:rsidR="002C7571" w:rsidRPr="002C7571">
        <w:rPr>
          <w:rFonts w:ascii="Times New Roman" w:hAnsi="Times New Roman"/>
          <w:i/>
          <w:sz w:val="24"/>
          <w:szCs w:val="24"/>
        </w:rPr>
        <w:t>within the framework of perceiving them as members of a class</w:t>
      </w:r>
      <w:r w:rsidR="002C7571" w:rsidRPr="002C7571">
        <w:rPr>
          <w:rFonts w:ascii="Times New Roman" w:hAnsi="Times New Roman"/>
          <w:sz w:val="24"/>
          <w:szCs w:val="24"/>
        </w:rPr>
        <w:t xml:space="preserve">, it </w:t>
      </w:r>
      <w:r w:rsidR="004C7E67" w:rsidRPr="002E71C6">
        <w:rPr>
          <w:rFonts w:ascii="Times New Roman" w:hAnsi="Times New Roman"/>
          <w:sz w:val="24"/>
          <w:szCs w:val="24"/>
        </w:rPr>
        <w:t>“</w:t>
      </w:r>
      <w:r w:rsidR="002C7571" w:rsidRPr="002C7571">
        <w:rPr>
          <w:rFonts w:ascii="Times New Roman" w:hAnsi="Times New Roman"/>
          <w:sz w:val="24"/>
          <w:szCs w:val="24"/>
        </w:rPr>
        <w:t>creates a tension within legal discourse</w:t>
      </w:r>
      <w:r w:rsidR="004C7E67" w:rsidRPr="002E71C6">
        <w:rPr>
          <w:rFonts w:ascii="Times New Roman" w:hAnsi="Times New Roman"/>
          <w:sz w:val="24"/>
          <w:szCs w:val="24"/>
        </w:rPr>
        <w:t>”</w:t>
      </w:r>
      <w:r w:rsidR="002C7571" w:rsidRPr="002C7571">
        <w:rPr>
          <w:rFonts w:ascii="Times New Roman" w:hAnsi="Times New Roman"/>
          <w:sz w:val="24"/>
          <w:szCs w:val="24"/>
        </w:rPr>
        <w:t xml:space="preserve">. This tension is created because </w:t>
      </w:r>
      <w:r w:rsidR="004C7E67" w:rsidRPr="002E71C6">
        <w:rPr>
          <w:rFonts w:ascii="Times New Roman" w:hAnsi="Times New Roman"/>
          <w:sz w:val="24"/>
          <w:szCs w:val="24"/>
        </w:rPr>
        <w:t>“</w:t>
      </w:r>
      <w:r w:rsidR="002C7571" w:rsidRPr="002C7571">
        <w:rPr>
          <w:rFonts w:ascii="Times New Roman" w:hAnsi="Times New Roman"/>
          <w:sz w:val="24"/>
          <w:szCs w:val="24"/>
        </w:rPr>
        <w:t>On the one hand, the private law of contract aspires to support the discrete communication system represented by the contract, but on the other, it is tempted to control the operation of the market system in order to reduce the harmful externalities which it produces</w:t>
      </w:r>
      <w:r w:rsidR="004C7E67" w:rsidRPr="002E71C6">
        <w:rPr>
          <w:rFonts w:ascii="Times New Roman" w:hAnsi="Times New Roman"/>
          <w:sz w:val="24"/>
          <w:szCs w:val="24"/>
        </w:rPr>
        <w:t>”</w:t>
      </w:r>
      <w:r w:rsidR="002C7571" w:rsidRPr="002C7571">
        <w:rPr>
          <w:rFonts w:ascii="Times New Roman" w:hAnsi="Times New Roman"/>
          <w:sz w:val="24"/>
          <w:szCs w:val="24"/>
        </w:rPr>
        <w:t>.</w:t>
      </w:r>
      <w:r w:rsidR="004C7E67" w:rsidRPr="002E71C6">
        <w:rPr>
          <w:rStyle w:val="FootnoteReference"/>
          <w:rFonts w:ascii="Times New Roman" w:hAnsi="Times New Roman"/>
          <w:sz w:val="24"/>
          <w:szCs w:val="24"/>
        </w:rPr>
        <w:footnoteReference w:id="33"/>
      </w:r>
      <w:r w:rsidR="002C7571" w:rsidRPr="002C7571">
        <w:rPr>
          <w:rFonts w:ascii="Times New Roman" w:hAnsi="Times New Roman"/>
          <w:sz w:val="24"/>
          <w:szCs w:val="24"/>
        </w:rPr>
        <w:t xml:space="preserve"> </w:t>
      </w:r>
    </w:p>
    <w:p w:rsidR="00032365" w:rsidRPr="00881C8D"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This may indeed capture some of the difficulties of reasoning involved in an important range of insurance cases, including for example the employers</w:t>
      </w:r>
      <w:r w:rsidR="004C7E67" w:rsidRPr="002E71C6">
        <w:rPr>
          <w:rFonts w:ascii="Times New Roman" w:hAnsi="Times New Roman"/>
          <w:sz w:val="24"/>
          <w:szCs w:val="24"/>
        </w:rPr>
        <w:t>’</w:t>
      </w:r>
      <w:r w:rsidRPr="002C7571">
        <w:rPr>
          <w:rFonts w:ascii="Times New Roman" w:hAnsi="Times New Roman"/>
          <w:sz w:val="24"/>
          <w:szCs w:val="24"/>
        </w:rPr>
        <w:t xml:space="preserve"> liability insurance case, </w:t>
      </w:r>
      <w:r w:rsidRPr="002C7571">
        <w:rPr>
          <w:rFonts w:ascii="Times New Roman" w:hAnsi="Times New Roman"/>
          <w:i/>
          <w:sz w:val="24"/>
          <w:szCs w:val="24"/>
        </w:rPr>
        <w:t>Durham v BAI</w:t>
      </w:r>
      <w:r w:rsidRPr="002C7571">
        <w:rPr>
          <w:rFonts w:ascii="Times New Roman" w:hAnsi="Times New Roman"/>
          <w:sz w:val="24"/>
          <w:szCs w:val="24"/>
        </w:rPr>
        <w:t>,</w:t>
      </w:r>
      <w:bookmarkStart w:id="14" w:name="_Ref293704719"/>
      <w:r w:rsidR="004C7E67" w:rsidRPr="002E71C6">
        <w:rPr>
          <w:rStyle w:val="FootnoteReference"/>
          <w:rFonts w:ascii="Times New Roman" w:hAnsi="Times New Roman"/>
          <w:sz w:val="24"/>
          <w:szCs w:val="24"/>
        </w:rPr>
        <w:footnoteReference w:id="34"/>
      </w:r>
      <w:bookmarkEnd w:id="14"/>
      <w:r w:rsidRPr="002C7571">
        <w:rPr>
          <w:rFonts w:ascii="Times New Roman" w:hAnsi="Times New Roman"/>
          <w:sz w:val="24"/>
          <w:szCs w:val="24"/>
        </w:rPr>
        <w:t xml:space="preserve"> where the non-contracting party is not merely a vulnerable consumer, but an injured </w:t>
      </w:r>
      <w:r w:rsidR="0021640A">
        <w:rPr>
          <w:rFonts w:ascii="Times New Roman" w:hAnsi="Times New Roman"/>
          <w:sz w:val="24"/>
          <w:szCs w:val="24"/>
        </w:rPr>
        <w:t xml:space="preserve">former </w:t>
      </w:r>
      <w:r w:rsidRPr="002C7571">
        <w:rPr>
          <w:rFonts w:ascii="Times New Roman" w:hAnsi="Times New Roman"/>
          <w:sz w:val="24"/>
          <w:szCs w:val="24"/>
        </w:rPr>
        <w:t xml:space="preserve">employee of one of the contracting parties. On the other hand, it is not entirely clear that such issues should be regarded as </w:t>
      </w:r>
      <w:r w:rsidR="004C7E67" w:rsidRPr="002E71C6">
        <w:rPr>
          <w:rFonts w:ascii="Times New Roman" w:hAnsi="Times New Roman"/>
          <w:sz w:val="24"/>
          <w:szCs w:val="24"/>
        </w:rPr>
        <w:t>“</w:t>
      </w:r>
      <w:r w:rsidRPr="002C7571">
        <w:rPr>
          <w:rFonts w:ascii="Times New Roman" w:hAnsi="Times New Roman"/>
          <w:sz w:val="24"/>
          <w:szCs w:val="24"/>
        </w:rPr>
        <w:t>externalities</w:t>
      </w:r>
      <w:r w:rsidR="004C7E67" w:rsidRPr="002E71C6">
        <w:rPr>
          <w:rFonts w:ascii="Times New Roman" w:hAnsi="Times New Roman"/>
          <w:sz w:val="24"/>
          <w:szCs w:val="24"/>
        </w:rPr>
        <w:t>”</w:t>
      </w:r>
      <w:r w:rsidRPr="002C7571">
        <w:rPr>
          <w:rFonts w:ascii="Times New Roman" w:hAnsi="Times New Roman"/>
          <w:sz w:val="24"/>
          <w:szCs w:val="24"/>
        </w:rPr>
        <w:t>, different from the core of contractual reasoning. On one interpretation,</w:t>
      </w:r>
      <w:r w:rsidRPr="002C7571">
        <w:rPr>
          <w:rFonts w:ascii="Times New Roman" w:hAnsi="Times New Roman"/>
          <w:i/>
          <w:sz w:val="24"/>
          <w:szCs w:val="24"/>
        </w:rPr>
        <w:t xml:space="preserve"> </w:t>
      </w:r>
      <w:r w:rsidRPr="002C7571">
        <w:rPr>
          <w:rFonts w:ascii="Times New Roman" w:hAnsi="Times New Roman"/>
          <w:sz w:val="24"/>
          <w:szCs w:val="24"/>
        </w:rPr>
        <w:t xml:space="preserve">the nature of the relationship between the various parties is at the core of reasoning in both contract and tort. The question which arises is whether this is less easily recognised in both branches of law than it would be if the inter-relationship of </w:t>
      </w:r>
      <w:r w:rsidR="00881C8D">
        <w:rPr>
          <w:rFonts w:ascii="Times New Roman" w:hAnsi="Times New Roman"/>
          <w:sz w:val="24"/>
          <w:szCs w:val="24"/>
        </w:rPr>
        <w:t xml:space="preserve">tort and contract </w:t>
      </w:r>
      <w:r w:rsidRPr="002C7571">
        <w:rPr>
          <w:rFonts w:ascii="Times New Roman" w:hAnsi="Times New Roman"/>
          <w:sz w:val="24"/>
          <w:szCs w:val="24"/>
        </w:rPr>
        <w:t>was more clearly recognised</w:t>
      </w:r>
      <w:r w:rsidR="00881C8D">
        <w:rPr>
          <w:rFonts w:ascii="Times New Roman" w:hAnsi="Times New Roman"/>
          <w:sz w:val="24"/>
          <w:szCs w:val="24"/>
        </w:rPr>
        <w:t xml:space="preserve"> in the case of liabilities backed by insurance</w:t>
      </w:r>
      <w:r w:rsidRPr="002C7571">
        <w:rPr>
          <w:rFonts w:ascii="Times New Roman" w:hAnsi="Times New Roman"/>
          <w:sz w:val="24"/>
          <w:szCs w:val="24"/>
        </w:rPr>
        <w:t>.</w:t>
      </w:r>
      <w:r w:rsidR="00881C8D">
        <w:rPr>
          <w:rFonts w:ascii="Times New Roman" w:hAnsi="Times New Roman"/>
          <w:sz w:val="24"/>
          <w:szCs w:val="24"/>
        </w:rPr>
        <w:t xml:space="preserve"> </w:t>
      </w:r>
      <w:r w:rsidR="00881C8D">
        <w:rPr>
          <w:rFonts w:ascii="Times New Roman" w:hAnsi="Times New Roman"/>
          <w:i/>
          <w:sz w:val="24"/>
          <w:szCs w:val="24"/>
        </w:rPr>
        <w:t xml:space="preserve">Smith v Bush </w:t>
      </w:r>
      <w:r w:rsidR="00881C8D">
        <w:rPr>
          <w:rFonts w:ascii="Times New Roman" w:hAnsi="Times New Roman"/>
          <w:sz w:val="24"/>
          <w:szCs w:val="24"/>
        </w:rPr>
        <w:t>represented a contractual matrix case and this is clearly recognised in the reasoning of the House of Lords. But lifting the veil that currently shrouds the insurance position would indicate that many more negligence cases also involve contractual matrices.</w:t>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 xml:space="preserve">To the extent that debates about tort liability and its relationship with insurance have overlooked both contractual litigation and the role of insurers in </w:t>
      </w:r>
      <w:r w:rsidR="004C7E67" w:rsidRPr="002E71C6">
        <w:rPr>
          <w:rFonts w:ascii="Times New Roman" w:hAnsi="Times New Roman"/>
          <w:sz w:val="24"/>
          <w:szCs w:val="24"/>
        </w:rPr>
        <w:t>“</w:t>
      </w:r>
      <w:r w:rsidRPr="002C7571">
        <w:rPr>
          <w:rFonts w:ascii="Times New Roman" w:hAnsi="Times New Roman"/>
          <w:sz w:val="24"/>
          <w:szCs w:val="24"/>
        </w:rPr>
        <w:t>tort</w:t>
      </w:r>
      <w:r w:rsidR="004C7E67" w:rsidRPr="002E71C6">
        <w:rPr>
          <w:rFonts w:ascii="Times New Roman" w:hAnsi="Times New Roman"/>
          <w:sz w:val="24"/>
          <w:szCs w:val="24"/>
        </w:rPr>
        <w:t>”</w:t>
      </w:r>
      <w:r w:rsidRPr="002C7571">
        <w:rPr>
          <w:rFonts w:ascii="Times New Roman" w:hAnsi="Times New Roman"/>
          <w:sz w:val="24"/>
          <w:szCs w:val="24"/>
        </w:rPr>
        <w:t xml:space="preserve"> litigation, and treated insurance in terms of public purposes in the form of loss distribution, they have treated tort as </w:t>
      </w:r>
      <w:r w:rsidR="004C7E67" w:rsidRPr="002E71C6">
        <w:rPr>
          <w:rFonts w:ascii="Times New Roman" w:hAnsi="Times New Roman"/>
          <w:sz w:val="24"/>
          <w:szCs w:val="24"/>
        </w:rPr>
        <w:t>“</w:t>
      </w:r>
      <w:r w:rsidRPr="002C7571">
        <w:rPr>
          <w:rFonts w:ascii="Times New Roman" w:hAnsi="Times New Roman"/>
          <w:sz w:val="24"/>
          <w:szCs w:val="24"/>
        </w:rPr>
        <w:t>public law in disguise</w:t>
      </w:r>
      <w:r w:rsidR="004C7E67" w:rsidRPr="002E71C6">
        <w:rPr>
          <w:rFonts w:ascii="Times New Roman" w:hAnsi="Times New Roman"/>
          <w:sz w:val="24"/>
          <w:szCs w:val="24"/>
        </w:rPr>
        <w:t>”</w:t>
      </w:r>
      <w:r w:rsidRPr="002C7571">
        <w:rPr>
          <w:rFonts w:ascii="Times New Roman" w:hAnsi="Times New Roman"/>
          <w:sz w:val="24"/>
          <w:szCs w:val="24"/>
        </w:rPr>
        <w:t xml:space="preserve"> rather than, say, an expedient extension of the law of contract in the regulation of private transactions.</w:t>
      </w:r>
      <w:bookmarkStart w:id="15" w:name="_Ref293745747"/>
      <w:r w:rsidR="004C7E67" w:rsidRPr="002E71C6">
        <w:rPr>
          <w:rStyle w:val="FootnoteReference"/>
          <w:rFonts w:ascii="Times New Roman" w:hAnsi="Times New Roman"/>
          <w:sz w:val="24"/>
          <w:szCs w:val="24"/>
        </w:rPr>
        <w:footnoteReference w:id="35"/>
      </w:r>
      <w:bookmarkEnd w:id="15"/>
      <w:r w:rsidRPr="002C7571">
        <w:rPr>
          <w:rFonts w:ascii="Times New Roman" w:hAnsi="Times New Roman"/>
          <w:sz w:val="24"/>
          <w:szCs w:val="24"/>
        </w:rPr>
        <w:t xml:space="preserve"> </w:t>
      </w:r>
      <w:r w:rsidR="0021640A">
        <w:rPr>
          <w:rFonts w:ascii="Times New Roman" w:hAnsi="Times New Roman"/>
          <w:sz w:val="24"/>
          <w:szCs w:val="24"/>
        </w:rPr>
        <w:t xml:space="preserve">This is precisely the tendency that Stapleton was eager to avoid, because of where it would lead. </w:t>
      </w:r>
      <w:r w:rsidRPr="002C7571">
        <w:rPr>
          <w:rFonts w:ascii="Times New Roman" w:hAnsi="Times New Roman"/>
          <w:sz w:val="24"/>
          <w:szCs w:val="24"/>
        </w:rPr>
        <w:t xml:space="preserve">In doing this, </w:t>
      </w:r>
      <w:r w:rsidR="0021640A">
        <w:rPr>
          <w:rFonts w:ascii="Times New Roman" w:hAnsi="Times New Roman"/>
          <w:sz w:val="24"/>
          <w:szCs w:val="24"/>
        </w:rPr>
        <w:t>debates</w:t>
      </w:r>
      <w:r w:rsidRPr="002C7571">
        <w:rPr>
          <w:rFonts w:ascii="Times New Roman" w:hAnsi="Times New Roman"/>
          <w:sz w:val="24"/>
          <w:szCs w:val="24"/>
        </w:rPr>
        <w:t xml:space="preserve"> have tended to go straight for the broader nature and purpose of insurance itself, understood as a means of distributing risks and losses. The contrast with tort therefore appears very great, and considering insurance appears in and of itself to constitute a threat to the integrity of the law of tort. But I am seeking to approach the problem from a different and more symmetrical angle. I have tried to suggest that that the issues for the law of tort posed by its relationship with insurance are not so unusual, conceptually at least, compared to the general issues faced by private law as a whole in pursuing its various functions. This is not to deny the importance of insurance for </w:t>
      </w:r>
      <w:r w:rsidRPr="002C7571">
        <w:rPr>
          <w:rFonts w:ascii="Times New Roman" w:hAnsi="Times New Roman"/>
          <w:sz w:val="24"/>
          <w:szCs w:val="24"/>
        </w:rPr>
        <w:lastRenderedPageBreak/>
        <w:t xml:space="preserve">the law of tort as a matter of detail. Rather, it is to normalise the sorts of issue raised by insurance and particularly by risk-bearing (including insurability) in the context of particular disputes. In the next sections, I try to press forward the understanding of this potential connection between tort and insurance law. </w:t>
      </w:r>
    </w:p>
    <w:p w:rsidR="00032365" w:rsidRDefault="00032365">
      <w:pPr>
        <w:spacing w:after="0" w:line="240" w:lineRule="auto"/>
        <w:jc w:val="both"/>
        <w:rPr>
          <w:rFonts w:ascii="Times New Roman" w:hAnsi="Times New Roman"/>
          <w:sz w:val="24"/>
          <w:szCs w:val="24"/>
        </w:rPr>
      </w:pPr>
    </w:p>
    <w:p w:rsidR="00032365" w:rsidRDefault="002C7571">
      <w:pPr>
        <w:spacing w:after="0" w:line="240" w:lineRule="auto"/>
        <w:jc w:val="both"/>
        <w:rPr>
          <w:rFonts w:ascii="Times New Roman Bold" w:hAnsi="Times New Roman Bold"/>
          <w:b/>
          <w:smallCaps/>
          <w:sz w:val="32"/>
          <w:szCs w:val="32"/>
        </w:rPr>
      </w:pPr>
      <w:r w:rsidRPr="002C7571">
        <w:rPr>
          <w:rFonts w:ascii="Times New Roman Bold" w:hAnsi="Times New Roman Bold"/>
          <w:b/>
          <w:smallCaps/>
          <w:sz w:val="32"/>
          <w:szCs w:val="32"/>
        </w:rPr>
        <w:t>Understanding the connection</w:t>
      </w:r>
    </w:p>
    <w:p w:rsidR="00032365" w:rsidRDefault="00032365">
      <w:pPr>
        <w:spacing w:after="0" w:line="240" w:lineRule="auto"/>
        <w:jc w:val="both"/>
        <w:rPr>
          <w:rFonts w:ascii="Times New Roman" w:hAnsi="Times New Roman"/>
          <w:sz w:val="24"/>
          <w:szCs w:val="24"/>
        </w:rPr>
      </w:pPr>
    </w:p>
    <w:p w:rsidR="00032365" w:rsidRDefault="002C7571">
      <w:pPr>
        <w:spacing w:after="0" w:line="240" w:lineRule="auto"/>
        <w:jc w:val="both"/>
        <w:rPr>
          <w:rFonts w:ascii="Times New Roman" w:hAnsi="Times New Roman"/>
          <w:sz w:val="24"/>
          <w:szCs w:val="24"/>
        </w:rPr>
      </w:pPr>
      <w:r w:rsidRPr="002C7571">
        <w:rPr>
          <w:rFonts w:ascii="Times New Roman" w:hAnsi="Times New Roman"/>
          <w:sz w:val="24"/>
          <w:szCs w:val="24"/>
        </w:rPr>
        <w:t xml:space="preserve">The </w:t>
      </w:r>
      <w:r w:rsidR="00AF3381">
        <w:rPr>
          <w:rFonts w:ascii="Times New Roman" w:hAnsi="Times New Roman"/>
          <w:sz w:val="24"/>
          <w:szCs w:val="24"/>
        </w:rPr>
        <w:t xml:space="preserve">next </w:t>
      </w:r>
      <w:r w:rsidRPr="002C7571">
        <w:rPr>
          <w:rFonts w:ascii="Times New Roman" w:hAnsi="Times New Roman"/>
          <w:sz w:val="24"/>
          <w:szCs w:val="24"/>
        </w:rPr>
        <w:t xml:space="preserve">problem to deal with is uneasiness at the idea that tort might have </w:t>
      </w:r>
      <w:r w:rsidR="004C7E67" w:rsidRPr="002E71C6">
        <w:rPr>
          <w:rFonts w:ascii="Times New Roman" w:hAnsi="Times New Roman"/>
          <w:sz w:val="24"/>
          <w:szCs w:val="24"/>
        </w:rPr>
        <w:t>“</w:t>
      </w:r>
      <w:r w:rsidRPr="002C7571">
        <w:rPr>
          <w:rFonts w:ascii="Times New Roman" w:hAnsi="Times New Roman"/>
          <w:sz w:val="24"/>
          <w:szCs w:val="24"/>
        </w:rPr>
        <w:t>functions</w:t>
      </w:r>
      <w:r w:rsidR="004C7E67" w:rsidRPr="002E71C6">
        <w:rPr>
          <w:rFonts w:ascii="Times New Roman" w:hAnsi="Times New Roman"/>
          <w:sz w:val="24"/>
          <w:szCs w:val="24"/>
        </w:rPr>
        <w:t>”</w:t>
      </w:r>
      <w:r w:rsidRPr="002C7571">
        <w:rPr>
          <w:rFonts w:ascii="Times New Roman" w:hAnsi="Times New Roman"/>
          <w:sz w:val="24"/>
          <w:szCs w:val="24"/>
        </w:rPr>
        <w:t xml:space="preserve"> beyond the correction of what it defines as </w:t>
      </w:r>
      <w:r w:rsidR="004C7E67" w:rsidRPr="002E71C6">
        <w:rPr>
          <w:rFonts w:ascii="Times New Roman" w:hAnsi="Times New Roman"/>
          <w:sz w:val="24"/>
          <w:szCs w:val="24"/>
        </w:rPr>
        <w:t>“</w:t>
      </w:r>
      <w:r w:rsidRPr="002C7571">
        <w:rPr>
          <w:rFonts w:ascii="Times New Roman" w:hAnsi="Times New Roman"/>
          <w:sz w:val="24"/>
          <w:szCs w:val="24"/>
        </w:rPr>
        <w:t>wrongs</w:t>
      </w:r>
      <w:r w:rsidR="004C7E67" w:rsidRPr="002E71C6">
        <w:rPr>
          <w:rFonts w:ascii="Times New Roman" w:hAnsi="Times New Roman"/>
          <w:sz w:val="24"/>
          <w:szCs w:val="24"/>
        </w:rPr>
        <w:t>”</w:t>
      </w:r>
      <w:r w:rsidRPr="002C7571">
        <w:rPr>
          <w:rFonts w:ascii="Times New Roman" w:hAnsi="Times New Roman"/>
          <w:sz w:val="24"/>
          <w:szCs w:val="24"/>
        </w:rPr>
        <w:t xml:space="preserve">. It is always possible to look at areas of private law either in terms of social and economic policy and function, or in terms of the legal techniques they embody, even if there are scholars who urge that the two have little relevance to one another. Though tort law is not necessarily conceived as being </w:t>
      </w:r>
      <w:r w:rsidR="004C7E67" w:rsidRPr="002E71C6">
        <w:rPr>
          <w:rFonts w:ascii="Times New Roman" w:hAnsi="Times New Roman"/>
          <w:sz w:val="24"/>
          <w:szCs w:val="24"/>
        </w:rPr>
        <w:t>“</w:t>
      </w:r>
      <w:r w:rsidRPr="002C7571">
        <w:rPr>
          <w:rFonts w:ascii="Times New Roman" w:hAnsi="Times New Roman"/>
          <w:sz w:val="24"/>
          <w:szCs w:val="24"/>
        </w:rPr>
        <w:t>about</w:t>
      </w:r>
      <w:r w:rsidR="004C7E67" w:rsidRPr="002E71C6">
        <w:rPr>
          <w:rFonts w:ascii="Times New Roman" w:hAnsi="Times New Roman"/>
          <w:sz w:val="24"/>
          <w:szCs w:val="24"/>
        </w:rPr>
        <w:t>”</w:t>
      </w:r>
      <w:r w:rsidRPr="002C7571">
        <w:rPr>
          <w:rFonts w:ascii="Times New Roman" w:hAnsi="Times New Roman"/>
          <w:sz w:val="24"/>
          <w:szCs w:val="24"/>
        </w:rPr>
        <w:t xml:space="preserve"> compensation (it is more generally thought to be </w:t>
      </w:r>
      <w:r w:rsidR="004C7E67" w:rsidRPr="002E71C6">
        <w:rPr>
          <w:rFonts w:ascii="Times New Roman" w:hAnsi="Times New Roman"/>
          <w:sz w:val="24"/>
          <w:szCs w:val="24"/>
        </w:rPr>
        <w:t>“</w:t>
      </w:r>
      <w:r w:rsidRPr="002C7571">
        <w:rPr>
          <w:rFonts w:ascii="Times New Roman" w:hAnsi="Times New Roman"/>
          <w:sz w:val="24"/>
          <w:szCs w:val="24"/>
        </w:rPr>
        <w:t>about</w:t>
      </w:r>
      <w:r w:rsidR="004C7E67" w:rsidRPr="002E71C6">
        <w:rPr>
          <w:rFonts w:ascii="Times New Roman" w:hAnsi="Times New Roman"/>
          <w:sz w:val="24"/>
          <w:szCs w:val="24"/>
        </w:rPr>
        <w:t>”</w:t>
      </w:r>
      <w:r w:rsidRPr="002C7571">
        <w:rPr>
          <w:rFonts w:ascii="Times New Roman" w:hAnsi="Times New Roman"/>
          <w:sz w:val="24"/>
          <w:szCs w:val="24"/>
        </w:rPr>
        <w:t xml:space="preserve"> liability), there is demonstrably a public purpose, strong or weak, of providing compensation for victims of tortiously caused harm.</w:t>
      </w:r>
      <w:r w:rsidR="004C7E67" w:rsidRPr="002E71C6">
        <w:rPr>
          <w:rStyle w:val="FootnoteReference"/>
          <w:rFonts w:ascii="Times New Roman" w:hAnsi="Times New Roman"/>
          <w:sz w:val="24"/>
          <w:szCs w:val="24"/>
        </w:rPr>
        <w:footnoteReference w:id="36"/>
      </w:r>
      <w:r w:rsidRPr="002C7571">
        <w:rPr>
          <w:rFonts w:ascii="Times New Roman" w:hAnsi="Times New Roman"/>
          <w:sz w:val="24"/>
          <w:szCs w:val="24"/>
        </w:rPr>
        <w:t xml:space="preserve"> That purpose may be less than completely rational (why secure </w:t>
      </w:r>
      <w:r w:rsidR="00AF3381">
        <w:rPr>
          <w:rFonts w:ascii="Times New Roman" w:hAnsi="Times New Roman"/>
          <w:sz w:val="24"/>
          <w:szCs w:val="24"/>
        </w:rPr>
        <w:t xml:space="preserve">full </w:t>
      </w:r>
      <w:r w:rsidRPr="002C7571">
        <w:rPr>
          <w:rFonts w:ascii="Times New Roman" w:hAnsi="Times New Roman"/>
          <w:sz w:val="24"/>
          <w:szCs w:val="24"/>
        </w:rPr>
        <w:t xml:space="preserve">compensation for </w:t>
      </w:r>
      <w:r w:rsidRPr="002C7571">
        <w:rPr>
          <w:rFonts w:ascii="Times New Roman" w:hAnsi="Times New Roman"/>
          <w:i/>
          <w:sz w:val="24"/>
          <w:szCs w:val="24"/>
        </w:rPr>
        <w:t xml:space="preserve">tortious </w:t>
      </w:r>
      <w:r w:rsidRPr="002C7571">
        <w:rPr>
          <w:rFonts w:ascii="Times New Roman" w:hAnsi="Times New Roman"/>
          <w:sz w:val="24"/>
          <w:szCs w:val="24"/>
        </w:rPr>
        <w:t>harm when victims of other harm</w:t>
      </w:r>
      <w:r w:rsidR="00881C8D">
        <w:rPr>
          <w:rFonts w:ascii="Times New Roman" w:hAnsi="Times New Roman"/>
          <w:sz w:val="24"/>
          <w:szCs w:val="24"/>
        </w:rPr>
        <w:t xml:space="preserve"> </w:t>
      </w:r>
      <w:r w:rsidR="00AF3381">
        <w:rPr>
          <w:rFonts w:ascii="Times New Roman" w:hAnsi="Times New Roman"/>
          <w:sz w:val="24"/>
          <w:szCs w:val="24"/>
        </w:rPr>
        <w:t>get a lesser sum, aiming to provide support rather than restoration</w:t>
      </w:r>
      <w:r w:rsidRPr="002C7571">
        <w:rPr>
          <w:rFonts w:ascii="Times New Roman" w:hAnsi="Times New Roman"/>
          <w:sz w:val="24"/>
          <w:szCs w:val="24"/>
        </w:rPr>
        <w:t>?), but as things stand this goal is equally demonstrably met in part by the law of tort, though to a large extent with the assistance of insurance.</w:t>
      </w:r>
      <w:bookmarkStart w:id="16" w:name="_Ref293762483"/>
      <w:r w:rsidR="004C7E67" w:rsidRPr="002E71C6">
        <w:rPr>
          <w:rStyle w:val="FootnoteReference"/>
          <w:rFonts w:ascii="Times New Roman" w:hAnsi="Times New Roman"/>
          <w:sz w:val="24"/>
          <w:szCs w:val="24"/>
        </w:rPr>
        <w:footnoteReference w:id="37"/>
      </w:r>
      <w:bookmarkEnd w:id="16"/>
      <w:r w:rsidRPr="002C7571">
        <w:rPr>
          <w:rFonts w:ascii="Times New Roman" w:hAnsi="Times New Roman"/>
          <w:sz w:val="24"/>
          <w:szCs w:val="24"/>
        </w:rPr>
        <w:t xml:space="preserve"> </w:t>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 xml:space="preserve">Equally, there may be a societal concern with risk distribution. It is however the pricing and transfer of risks which is the most immediate </w:t>
      </w:r>
      <w:r w:rsidR="002E4872">
        <w:rPr>
          <w:rFonts w:ascii="Times New Roman" w:hAnsi="Times New Roman"/>
          <w:sz w:val="24"/>
          <w:szCs w:val="24"/>
        </w:rPr>
        <w:t xml:space="preserve">goal </w:t>
      </w:r>
      <w:r w:rsidRPr="002C7571">
        <w:rPr>
          <w:rFonts w:ascii="Times New Roman" w:hAnsi="Times New Roman"/>
          <w:sz w:val="24"/>
          <w:szCs w:val="24"/>
        </w:rPr>
        <w:t xml:space="preserve">of commercial insurance </w:t>
      </w:r>
      <w:r w:rsidR="002E4872">
        <w:rPr>
          <w:rFonts w:ascii="Times New Roman" w:hAnsi="Times New Roman"/>
          <w:sz w:val="24"/>
          <w:szCs w:val="24"/>
        </w:rPr>
        <w:t xml:space="preserve">contracts </w:t>
      </w:r>
      <w:r w:rsidRPr="002C7571">
        <w:rPr>
          <w:rFonts w:ascii="Times New Roman" w:hAnsi="Times New Roman"/>
          <w:sz w:val="24"/>
          <w:szCs w:val="24"/>
        </w:rPr>
        <w:t xml:space="preserve">in particular instances. Perhaps this is, therefore, </w:t>
      </w:r>
      <w:r w:rsidR="002E4872">
        <w:rPr>
          <w:rFonts w:ascii="Times New Roman" w:hAnsi="Times New Roman"/>
          <w:sz w:val="24"/>
          <w:szCs w:val="24"/>
        </w:rPr>
        <w:t>the</w:t>
      </w:r>
      <w:r w:rsidRPr="002C7571">
        <w:rPr>
          <w:rFonts w:ascii="Times New Roman" w:hAnsi="Times New Roman"/>
          <w:sz w:val="24"/>
          <w:szCs w:val="24"/>
        </w:rPr>
        <w:t xml:space="preserve"> core function</w:t>
      </w:r>
      <w:r w:rsidR="002E4872">
        <w:rPr>
          <w:rFonts w:ascii="Times New Roman" w:hAnsi="Times New Roman"/>
          <w:sz w:val="24"/>
          <w:szCs w:val="24"/>
        </w:rPr>
        <w:t xml:space="preserve"> of insurance</w:t>
      </w:r>
      <w:r w:rsidRPr="002C7571">
        <w:rPr>
          <w:rFonts w:ascii="Times New Roman" w:hAnsi="Times New Roman"/>
          <w:sz w:val="24"/>
          <w:szCs w:val="24"/>
        </w:rPr>
        <w:t>: making acceptable the undertaking of risks by enabling their transfer.</w:t>
      </w:r>
      <w:r w:rsidR="000B0ED5">
        <w:rPr>
          <w:rStyle w:val="FootnoteReference"/>
          <w:rFonts w:ascii="Times New Roman" w:hAnsi="Times New Roman"/>
          <w:sz w:val="24"/>
          <w:szCs w:val="24"/>
        </w:rPr>
        <w:footnoteReference w:id="38"/>
      </w:r>
      <w:r w:rsidRPr="002C7571">
        <w:rPr>
          <w:rFonts w:ascii="Times New Roman" w:hAnsi="Times New Roman"/>
          <w:sz w:val="24"/>
          <w:szCs w:val="24"/>
        </w:rPr>
        <w:t xml:space="preserve"> Insurance is an important underlying feature of transactions for the sale of goods, for example, and could be said to be part of the underpinnings of exchange more generally, though it is but one potential mechanism of security. But potential liabilities also have another life in this respect, through the market in insurance (and reinsurance) contracts themselves. The extent to which insurance has the effect of distributing risks within a like risk pool (the classic model of mutuality), or of displacing them in some other manner, is determined by the eventual location of the liabilities.</w:t>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Putting together not only the effects, but also the concerns of tort and contract law should help us to see more clearly what the issues are for each, and for private law as a whole in this context. The law of negligence, particularly as it relates to personal injury, is not usually thought about as an element of commercial law, whereas insurance contracts are (though typically not presented as occupying a key category of commercial law in their own right).</w:t>
      </w:r>
      <w:r w:rsidR="004C7E67" w:rsidRPr="002E71C6">
        <w:rPr>
          <w:rStyle w:val="FootnoteReference"/>
          <w:rFonts w:ascii="Times New Roman" w:hAnsi="Times New Roman"/>
          <w:sz w:val="24"/>
          <w:szCs w:val="24"/>
        </w:rPr>
        <w:footnoteReference w:id="39"/>
      </w:r>
      <w:r w:rsidRPr="002C7571">
        <w:rPr>
          <w:rFonts w:ascii="Times New Roman" w:hAnsi="Times New Roman"/>
          <w:sz w:val="24"/>
          <w:szCs w:val="24"/>
        </w:rPr>
        <w:t xml:space="preserve"> The role of commercial law is typically thought to be to reflect the needs of commerce, which itself centrally involves transactions in the way of exchange. </w:t>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lastRenderedPageBreak/>
        <w:t xml:space="preserve">In fact, the impact of conceiving of areas of private law in terms of their ability to reflect the needs of commerce is worth considering. Does </w:t>
      </w:r>
      <w:r w:rsidRPr="002C7571">
        <w:rPr>
          <w:rFonts w:ascii="Times New Roman" w:hAnsi="Times New Roman"/>
          <w:i/>
          <w:sz w:val="24"/>
          <w:szCs w:val="24"/>
        </w:rPr>
        <w:t xml:space="preserve">this </w:t>
      </w:r>
      <w:r w:rsidRPr="002C7571">
        <w:rPr>
          <w:rFonts w:ascii="Times New Roman" w:hAnsi="Times New Roman"/>
          <w:sz w:val="24"/>
          <w:szCs w:val="24"/>
        </w:rPr>
        <w:t xml:space="preserve">introduce external and </w:t>
      </w:r>
      <w:r w:rsidR="004C7E67" w:rsidRPr="002E71C6">
        <w:rPr>
          <w:rFonts w:ascii="Times New Roman" w:hAnsi="Times New Roman"/>
          <w:sz w:val="24"/>
          <w:szCs w:val="24"/>
        </w:rPr>
        <w:t>“</w:t>
      </w:r>
      <w:r w:rsidRPr="002C7571">
        <w:rPr>
          <w:rFonts w:ascii="Times New Roman" w:hAnsi="Times New Roman"/>
          <w:sz w:val="24"/>
          <w:szCs w:val="24"/>
        </w:rPr>
        <w:t>contextual</w:t>
      </w:r>
      <w:r w:rsidR="004C7E67" w:rsidRPr="002E71C6">
        <w:rPr>
          <w:rFonts w:ascii="Times New Roman" w:hAnsi="Times New Roman"/>
          <w:sz w:val="24"/>
          <w:szCs w:val="24"/>
        </w:rPr>
        <w:t>”</w:t>
      </w:r>
      <w:r w:rsidRPr="002C7571">
        <w:rPr>
          <w:rFonts w:ascii="Times New Roman" w:hAnsi="Times New Roman"/>
          <w:sz w:val="24"/>
          <w:szCs w:val="24"/>
        </w:rPr>
        <w:t xml:space="preserve"> factors? Or does it reflect the inner structure and reasoning of these areas of law? If the latter, does this mean that </w:t>
      </w:r>
      <w:r w:rsidR="004C7E67" w:rsidRPr="002E71C6">
        <w:rPr>
          <w:rFonts w:ascii="Times New Roman" w:hAnsi="Times New Roman"/>
          <w:sz w:val="24"/>
          <w:szCs w:val="24"/>
        </w:rPr>
        <w:t>“</w:t>
      </w:r>
      <w:r w:rsidRPr="002C7571">
        <w:rPr>
          <w:rFonts w:ascii="Times New Roman" w:hAnsi="Times New Roman"/>
          <w:sz w:val="24"/>
          <w:szCs w:val="24"/>
        </w:rPr>
        <w:t>function</w:t>
      </w:r>
      <w:r w:rsidR="004C7E67" w:rsidRPr="002E71C6">
        <w:rPr>
          <w:rFonts w:ascii="Times New Roman" w:hAnsi="Times New Roman"/>
          <w:sz w:val="24"/>
          <w:szCs w:val="24"/>
        </w:rPr>
        <w:t>”</w:t>
      </w:r>
      <w:r w:rsidRPr="002C7571">
        <w:rPr>
          <w:rFonts w:ascii="Times New Roman" w:hAnsi="Times New Roman"/>
          <w:sz w:val="24"/>
          <w:szCs w:val="24"/>
        </w:rPr>
        <w:t xml:space="preserve"> has always (or at least, since the emergence of commercial law) influenced the principles and that they are not, therefore, purely abstract, philosophical, and indeed general? Is it adequate to test them by their ability to reflect the needs of commerce? Whichever answer is given to these questions, they </w:t>
      </w:r>
      <w:r w:rsidR="007F42E7">
        <w:rPr>
          <w:rFonts w:ascii="Times New Roman" w:hAnsi="Times New Roman"/>
          <w:sz w:val="24"/>
          <w:szCs w:val="24"/>
        </w:rPr>
        <w:t xml:space="preserve">put in issue </w:t>
      </w:r>
      <w:r w:rsidRPr="002C7571">
        <w:rPr>
          <w:rFonts w:ascii="Times New Roman" w:hAnsi="Times New Roman"/>
          <w:sz w:val="24"/>
          <w:szCs w:val="24"/>
        </w:rPr>
        <w:t xml:space="preserve">the relationship between private law, and collective purpose in the sense of properly functioning markets. </w:t>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Commercial practice has, however, been said to have tested the traditional categories of legal thought both historically, and much more recently. In particular, markets have been said to arise independently of (or even despite) law in some instances,</w:t>
      </w:r>
      <w:r w:rsidR="004C7E67" w:rsidRPr="002E71C6">
        <w:rPr>
          <w:rStyle w:val="FootnoteReference"/>
          <w:rFonts w:ascii="Times New Roman" w:hAnsi="Times New Roman"/>
          <w:sz w:val="24"/>
          <w:szCs w:val="24"/>
        </w:rPr>
        <w:footnoteReference w:id="40"/>
      </w:r>
      <w:r w:rsidRPr="002C7571">
        <w:rPr>
          <w:rFonts w:ascii="Times New Roman" w:hAnsi="Times New Roman"/>
          <w:sz w:val="24"/>
          <w:szCs w:val="24"/>
        </w:rPr>
        <w:t xml:space="preserve"> not only because exchange is likely to take place irrespective of law, but also as contracts of novel sorts are devised, escaping the reach of courts and legal regulation (including regulation through private law). Collins has presented futures contracts as a key example of this </w:t>
      </w:r>
      <w:r w:rsidR="004C7E67" w:rsidRPr="002E71C6">
        <w:rPr>
          <w:rFonts w:ascii="Times New Roman" w:hAnsi="Times New Roman"/>
          <w:sz w:val="24"/>
          <w:szCs w:val="24"/>
        </w:rPr>
        <w:t>–</w:t>
      </w:r>
      <w:r w:rsidRPr="002C7571">
        <w:rPr>
          <w:rFonts w:ascii="Times New Roman" w:hAnsi="Times New Roman"/>
          <w:sz w:val="24"/>
          <w:szCs w:val="24"/>
        </w:rPr>
        <w:t xml:space="preserve"> giving rise to a market where contracts themselves (</w:t>
      </w:r>
      <w:r w:rsidR="004C7E67" w:rsidRPr="002E71C6">
        <w:rPr>
          <w:rFonts w:ascii="Times New Roman" w:hAnsi="Times New Roman"/>
          <w:sz w:val="24"/>
          <w:szCs w:val="24"/>
        </w:rPr>
        <w:t>“</w:t>
      </w:r>
      <w:r w:rsidRPr="002C7571">
        <w:rPr>
          <w:rFonts w:ascii="Times New Roman" w:hAnsi="Times New Roman"/>
          <w:sz w:val="24"/>
          <w:szCs w:val="24"/>
        </w:rPr>
        <w:t>contracts as things</w:t>
      </w:r>
      <w:r w:rsidR="004C7E67" w:rsidRPr="002E71C6">
        <w:rPr>
          <w:rFonts w:ascii="Times New Roman" w:hAnsi="Times New Roman"/>
          <w:sz w:val="24"/>
          <w:szCs w:val="24"/>
        </w:rPr>
        <w:t>”</w:t>
      </w:r>
      <w:r w:rsidRPr="002C7571">
        <w:rPr>
          <w:rFonts w:ascii="Times New Roman" w:hAnsi="Times New Roman"/>
          <w:sz w:val="24"/>
          <w:szCs w:val="24"/>
        </w:rPr>
        <w:t xml:space="preserve">) are the subject of trade. However, in a short passage he also draws an analogy with the insurance market and particularly the manner in which contractual risks are sliced and sold: </w:t>
      </w:r>
      <w:r w:rsidR="004C7E67" w:rsidRPr="002E71C6">
        <w:rPr>
          <w:rFonts w:ascii="Times New Roman" w:hAnsi="Times New Roman"/>
          <w:sz w:val="24"/>
          <w:szCs w:val="24"/>
        </w:rPr>
        <w:t>“</w:t>
      </w:r>
      <w:r w:rsidRPr="002C7571">
        <w:rPr>
          <w:rFonts w:ascii="Times New Roman" w:hAnsi="Times New Roman"/>
          <w:sz w:val="24"/>
          <w:szCs w:val="24"/>
        </w:rPr>
        <w:t xml:space="preserve">At Lloyds, the assumption of risk described in an insurance policy is subdivided into smaller parcels of risk that are then sold in the closed market to trustworthy dealers or </w:t>
      </w:r>
      <w:r w:rsidR="004C7E67" w:rsidRPr="002E71C6">
        <w:rPr>
          <w:rFonts w:ascii="Times New Roman" w:hAnsi="Times New Roman"/>
          <w:sz w:val="24"/>
          <w:szCs w:val="24"/>
        </w:rPr>
        <w:t>‘</w:t>
      </w:r>
      <w:r w:rsidRPr="002C7571">
        <w:rPr>
          <w:rFonts w:ascii="Times New Roman" w:hAnsi="Times New Roman"/>
          <w:sz w:val="24"/>
          <w:szCs w:val="24"/>
        </w:rPr>
        <w:t>names</w:t>
      </w:r>
      <w:r w:rsidR="004C7E67" w:rsidRPr="002E71C6">
        <w:rPr>
          <w:rFonts w:ascii="Times New Roman" w:hAnsi="Times New Roman"/>
          <w:sz w:val="24"/>
          <w:szCs w:val="24"/>
        </w:rPr>
        <w:t>’”</w:t>
      </w:r>
      <w:r w:rsidRPr="002C7571">
        <w:rPr>
          <w:rFonts w:ascii="Times New Roman" w:hAnsi="Times New Roman"/>
          <w:sz w:val="24"/>
          <w:szCs w:val="24"/>
        </w:rPr>
        <w:t>.</w:t>
      </w:r>
      <w:r w:rsidR="004C7E67" w:rsidRPr="002E71C6">
        <w:rPr>
          <w:rStyle w:val="FootnoteReference"/>
          <w:rFonts w:ascii="Times New Roman" w:hAnsi="Times New Roman"/>
          <w:sz w:val="24"/>
          <w:szCs w:val="24"/>
        </w:rPr>
        <w:footnoteReference w:id="41"/>
      </w:r>
      <w:r w:rsidRPr="002C7571">
        <w:rPr>
          <w:rFonts w:ascii="Times New Roman" w:hAnsi="Times New Roman"/>
          <w:sz w:val="24"/>
          <w:szCs w:val="24"/>
        </w:rPr>
        <w:t xml:space="preserve"> This is an intriguing and, it is suggested, a useful comparison. A difference between these cases and the futures contracts is that the original </w:t>
      </w:r>
      <w:r w:rsidR="004C7E67" w:rsidRPr="002E71C6">
        <w:rPr>
          <w:rFonts w:ascii="Times New Roman" w:hAnsi="Times New Roman"/>
          <w:sz w:val="24"/>
          <w:szCs w:val="24"/>
        </w:rPr>
        <w:t>“</w:t>
      </w:r>
      <w:r w:rsidRPr="002C7571">
        <w:rPr>
          <w:rFonts w:ascii="Times New Roman" w:hAnsi="Times New Roman"/>
          <w:sz w:val="24"/>
          <w:szCs w:val="24"/>
        </w:rPr>
        <w:t>thing</w:t>
      </w:r>
      <w:r w:rsidR="004C7E67" w:rsidRPr="002E71C6">
        <w:rPr>
          <w:rFonts w:ascii="Times New Roman" w:hAnsi="Times New Roman"/>
          <w:sz w:val="24"/>
          <w:szCs w:val="24"/>
        </w:rPr>
        <w:t>”</w:t>
      </w:r>
      <w:r w:rsidRPr="002C7571">
        <w:rPr>
          <w:rFonts w:ascii="Times New Roman" w:hAnsi="Times New Roman"/>
          <w:sz w:val="24"/>
          <w:szCs w:val="24"/>
        </w:rPr>
        <w:t xml:space="preserve"> </w:t>
      </w:r>
      <w:r w:rsidR="004C7E67" w:rsidRPr="002E71C6">
        <w:rPr>
          <w:rFonts w:ascii="Times New Roman" w:hAnsi="Times New Roman"/>
          <w:sz w:val="24"/>
          <w:szCs w:val="24"/>
        </w:rPr>
        <w:t>–</w:t>
      </w:r>
      <w:r w:rsidRPr="002C7571">
        <w:rPr>
          <w:rFonts w:ascii="Times New Roman" w:hAnsi="Times New Roman"/>
          <w:sz w:val="24"/>
          <w:szCs w:val="24"/>
        </w:rPr>
        <w:t xml:space="preserve"> the contract between insurer and insured </w:t>
      </w:r>
      <w:r w:rsidR="004C7E67" w:rsidRPr="002E71C6">
        <w:rPr>
          <w:rFonts w:ascii="Times New Roman" w:hAnsi="Times New Roman"/>
          <w:sz w:val="24"/>
          <w:szCs w:val="24"/>
        </w:rPr>
        <w:t>–</w:t>
      </w:r>
      <w:r w:rsidRPr="002C7571">
        <w:rPr>
          <w:rFonts w:ascii="Times New Roman" w:hAnsi="Times New Roman"/>
          <w:sz w:val="24"/>
          <w:szCs w:val="24"/>
        </w:rPr>
        <w:t xml:space="preserve"> is made with a party outside the </w:t>
      </w:r>
      <w:r w:rsidR="004C7E67" w:rsidRPr="002E71C6">
        <w:rPr>
          <w:rFonts w:ascii="Times New Roman" w:hAnsi="Times New Roman"/>
          <w:sz w:val="24"/>
          <w:szCs w:val="24"/>
        </w:rPr>
        <w:t>“</w:t>
      </w:r>
      <w:r w:rsidRPr="002C7571">
        <w:rPr>
          <w:rFonts w:ascii="Times New Roman" w:hAnsi="Times New Roman"/>
          <w:sz w:val="24"/>
          <w:szCs w:val="24"/>
        </w:rPr>
        <w:t>club</w:t>
      </w:r>
      <w:r w:rsidR="004C7E67" w:rsidRPr="002E71C6">
        <w:rPr>
          <w:rFonts w:ascii="Times New Roman" w:hAnsi="Times New Roman"/>
          <w:sz w:val="24"/>
          <w:szCs w:val="24"/>
        </w:rPr>
        <w:t>”</w:t>
      </w:r>
      <w:r w:rsidRPr="002C7571">
        <w:rPr>
          <w:rFonts w:ascii="Times New Roman" w:hAnsi="Times New Roman"/>
          <w:sz w:val="24"/>
          <w:szCs w:val="24"/>
        </w:rPr>
        <w:t>.</w:t>
      </w:r>
      <w:r w:rsidR="004C7E67" w:rsidRPr="002E71C6">
        <w:rPr>
          <w:rStyle w:val="FootnoteReference"/>
          <w:rFonts w:ascii="Times New Roman" w:hAnsi="Times New Roman"/>
          <w:sz w:val="24"/>
          <w:szCs w:val="24"/>
        </w:rPr>
        <w:footnoteReference w:id="42"/>
      </w:r>
      <w:r w:rsidRPr="002C7571">
        <w:rPr>
          <w:rFonts w:ascii="Times New Roman" w:hAnsi="Times New Roman"/>
          <w:sz w:val="24"/>
          <w:szCs w:val="24"/>
        </w:rPr>
        <w:t xml:space="preserve"> To the extent that the contract in question is a contract of liability insurance, this raises the question of the relevance of tort liability and its goals to the construction of a contract, which has in itself become the object of further market transactions. Even more vulnerable than the contracting party is the employee whose damages may depend on the value of an insurance policy.</w:t>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A recent decision of the High Court of Australia</w:t>
      </w:r>
      <w:r w:rsidR="00AE6DE2" w:rsidRPr="002E71C6">
        <w:rPr>
          <w:rFonts w:ascii="Times New Roman" w:hAnsi="Times New Roman"/>
          <w:sz w:val="24"/>
          <w:szCs w:val="24"/>
        </w:rPr>
        <w:t xml:space="preserve">, </w:t>
      </w:r>
      <w:r w:rsidRPr="002C7571">
        <w:rPr>
          <w:rFonts w:ascii="Times New Roman" w:hAnsi="Times New Roman"/>
          <w:i/>
          <w:sz w:val="24"/>
          <w:szCs w:val="24"/>
        </w:rPr>
        <w:t>Wallaby Grip Ltd v QBE Insurance</w:t>
      </w:r>
      <w:r w:rsidR="004C7E67" w:rsidRPr="002E71C6">
        <w:rPr>
          <w:rFonts w:ascii="Times New Roman" w:hAnsi="Times New Roman"/>
          <w:i/>
          <w:sz w:val="24"/>
          <w:szCs w:val="24"/>
        </w:rPr>
        <w:t xml:space="preserve"> (Australia) Ltd</w:t>
      </w:r>
      <w:r w:rsidR="004C7E67" w:rsidRPr="002E71C6">
        <w:rPr>
          <w:rFonts w:ascii="Times New Roman" w:hAnsi="Times New Roman"/>
          <w:sz w:val="24"/>
          <w:szCs w:val="24"/>
        </w:rPr>
        <w:t>,</w:t>
      </w:r>
      <w:bookmarkStart w:id="17" w:name="_Ref293600773"/>
      <w:r w:rsidR="004C7E67" w:rsidRPr="002E71C6">
        <w:rPr>
          <w:rStyle w:val="FootnoteReference"/>
          <w:rFonts w:ascii="Times New Roman" w:hAnsi="Times New Roman"/>
          <w:sz w:val="24"/>
          <w:szCs w:val="24"/>
        </w:rPr>
        <w:footnoteReference w:id="43"/>
      </w:r>
      <w:bookmarkEnd w:id="17"/>
      <w:r w:rsidRPr="002C7571">
        <w:rPr>
          <w:rFonts w:ascii="Times New Roman" w:hAnsi="Times New Roman"/>
          <w:sz w:val="24"/>
          <w:szCs w:val="24"/>
        </w:rPr>
        <w:t xml:space="preserve"> illustrates these issues. Though this decision dealt with a relatively narrow question </w:t>
      </w:r>
      <w:r w:rsidR="004C7E67" w:rsidRPr="002E71C6">
        <w:rPr>
          <w:rFonts w:ascii="Times New Roman" w:hAnsi="Times New Roman"/>
          <w:sz w:val="24"/>
          <w:szCs w:val="24"/>
        </w:rPr>
        <w:t>–</w:t>
      </w:r>
      <w:r w:rsidRPr="002C7571">
        <w:rPr>
          <w:rFonts w:ascii="Times New Roman" w:hAnsi="Times New Roman"/>
          <w:sz w:val="24"/>
          <w:szCs w:val="24"/>
        </w:rPr>
        <w:t xml:space="preserve"> who has the burden of establishing the indemnity limit in a contract of liability insurance, and particularly whether it was higher than the statutory limit </w:t>
      </w:r>
      <w:r w:rsidR="004C7E67" w:rsidRPr="002E71C6">
        <w:rPr>
          <w:rFonts w:ascii="Times New Roman" w:hAnsi="Times New Roman"/>
          <w:sz w:val="24"/>
          <w:szCs w:val="24"/>
        </w:rPr>
        <w:t>–</w:t>
      </w:r>
      <w:r w:rsidRPr="002C7571">
        <w:rPr>
          <w:rFonts w:ascii="Times New Roman" w:hAnsi="Times New Roman"/>
          <w:sz w:val="24"/>
          <w:szCs w:val="24"/>
        </w:rPr>
        <w:t xml:space="preserve"> the High Court related its decision (that the insurer bore the burden) to broader issues. As the Court explained</w:t>
      </w:r>
      <w:r w:rsidR="004C7E67" w:rsidRPr="002E71C6">
        <w:rPr>
          <w:rFonts w:ascii="Times New Roman" w:hAnsi="Times New Roman"/>
          <w:sz w:val="24"/>
          <w:szCs w:val="24"/>
        </w:rPr>
        <w:t>:</w:t>
      </w:r>
      <w:r w:rsidR="004C7E67" w:rsidRPr="002E71C6">
        <w:rPr>
          <w:rStyle w:val="FootnoteReference"/>
          <w:rFonts w:ascii="Times New Roman" w:hAnsi="Times New Roman"/>
          <w:sz w:val="24"/>
          <w:szCs w:val="24"/>
        </w:rPr>
        <w:footnoteReference w:id="44"/>
      </w:r>
      <w:r w:rsidRPr="002C7571">
        <w:rPr>
          <w:rFonts w:ascii="Times New Roman" w:hAnsi="Times New Roman"/>
          <w:sz w:val="24"/>
          <w:szCs w:val="24"/>
        </w:rPr>
        <w:t xml:space="preserve"> </w:t>
      </w:r>
    </w:p>
    <w:p w:rsidR="00032365" w:rsidRDefault="00032365">
      <w:pPr>
        <w:spacing w:after="0" w:line="240" w:lineRule="auto"/>
        <w:ind w:firstLine="284"/>
        <w:jc w:val="both"/>
        <w:rPr>
          <w:rFonts w:ascii="Times New Roman" w:hAnsi="Times New Roman"/>
          <w:sz w:val="24"/>
          <w:szCs w:val="24"/>
        </w:rPr>
      </w:pPr>
    </w:p>
    <w:p w:rsidR="00032365" w:rsidRDefault="004C7E67">
      <w:pPr>
        <w:spacing w:after="0" w:line="240" w:lineRule="auto"/>
        <w:ind w:left="720"/>
        <w:jc w:val="both"/>
        <w:rPr>
          <w:rFonts w:ascii="Times New Roman" w:hAnsi="Times New Roman"/>
          <w:sz w:val="24"/>
          <w:szCs w:val="24"/>
        </w:rPr>
      </w:pPr>
      <w:r w:rsidRPr="002E71C6">
        <w:rPr>
          <w:rFonts w:ascii="Times New Roman" w:hAnsi="Times New Roman"/>
          <w:sz w:val="24"/>
          <w:szCs w:val="24"/>
        </w:rPr>
        <w:t>“</w:t>
      </w:r>
      <w:r w:rsidR="002C7571" w:rsidRPr="002C7571">
        <w:rPr>
          <w:rFonts w:ascii="Times New Roman" w:hAnsi="Times New Roman"/>
          <w:sz w:val="24"/>
          <w:szCs w:val="24"/>
        </w:rPr>
        <w:t>Looking to the policy in its statutory setting, it may be observed that conditioning a worker</w:t>
      </w:r>
      <w:r w:rsidRPr="002E71C6">
        <w:rPr>
          <w:rFonts w:ascii="Times New Roman" w:hAnsi="Times New Roman"/>
          <w:sz w:val="24"/>
          <w:szCs w:val="24"/>
        </w:rPr>
        <w:t>’</w:t>
      </w:r>
      <w:r w:rsidR="002C7571" w:rsidRPr="002C7571">
        <w:rPr>
          <w:rFonts w:ascii="Times New Roman" w:hAnsi="Times New Roman"/>
          <w:sz w:val="24"/>
          <w:szCs w:val="24"/>
        </w:rPr>
        <w:t xml:space="preserve">s right to recovery to proof of the level of indemnity agreed between the employer and the insurer does not accord with the general purposes of the </w:t>
      </w:r>
      <w:r w:rsidRPr="002E71C6">
        <w:rPr>
          <w:rFonts w:ascii="Times New Roman" w:hAnsi="Times New Roman"/>
          <w:sz w:val="24"/>
          <w:szCs w:val="24"/>
        </w:rPr>
        <w:t>[</w:t>
      </w:r>
      <w:r w:rsidR="002C7571" w:rsidRPr="002C7571">
        <w:rPr>
          <w:rFonts w:ascii="Times New Roman" w:hAnsi="Times New Roman"/>
          <w:i/>
          <w:sz w:val="24"/>
          <w:szCs w:val="24"/>
        </w:rPr>
        <w:t>Workers’ Compensation Act 1926</w:t>
      </w:r>
      <w:r w:rsidRPr="002E71C6">
        <w:rPr>
          <w:rFonts w:ascii="Times New Roman" w:hAnsi="Times New Roman"/>
          <w:sz w:val="24"/>
          <w:szCs w:val="24"/>
        </w:rPr>
        <w:t xml:space="preserve"> (NSW)]</w:t>
      </w:r>
      <w:r w:rsidR="002C7571" w:rsidRPr="002C7571">
        <w:rPr>
          <w:rFonts w:ascii="Times New Roman" w:hAnsi="Times New Roman"/>
          <w:sz w:val="24"/>
          <w:szCs w:val="24"/>
        </w:rPr>
        <w:t>. It creates an obstacle to recovery, whe</w:t>
      </w:r>
      <w:r w:rsidRPr="002E71C6">
        <w:rPr>
          <w:rFonts w:ascii="Times New Roman" w:hAnsi="Times New Roman"/>
          <w:sz w:val="24"/>
          <w:szCs w:val="24"/>
        </w:rPr>
        <w:t>n</w:t>
      </w:r>
      <w:r w:rsidR="002C7571" w:rsidRPr="002C7571">
        <w:rPr>
          <w:rFonts w:ascii="Times New Roman" w:hAnsi="Times New Roman"/>
          <w:sz w:val="24"/>
          <w:szCs w:val="24"/>
        </w:rPr>
        <w:t xml:space="preserve"> the statutory intention was to facilitate claims against insurers. The Act does not provide a means by which a worker is informed of the arrangements made by the employer. A worker may never have seen the policy.</w:t>
      </w:r>
      <w:r w:rsidRPr="002E71C6">
        <w:rPr>
          <w:rFonts w:ascii="Times New Roman" w:hAnsi="Times New Roman"/>
          <w:sz w:val="24"/>
          <w:szCs w:val="24"/>
        </w:rPr>
        <w:t>”</w:t>
      </w:r>
    </w:p>
    <w:p w:rsidR="00032365" w:rsidRDefault="00032365">
      <w:pPr>
        <w:spacing w:after="0" w:line="240" w:lineRule="auto"/>
        <w:ind w:left="720"/>
        <w:jc w:val="both"/>
        <w:rPr>
          <w:rFonts w:ascii="Times New Roman" w:hAnsi="Times New Roman"/>
          <w:sz w:val="24"/>
          <w:szCs w:val="24"/>
        </w:rPr>
      </w:pPr>
    </w:p>
    <w:p w:rsidR="00032365" w:rsidRDefault="002C7571">
      <w:pPr>
        <w:spacing w:after="0" w:line="240" w:lineRule="auto"/>
        <w:jc w:val="both"/>
        <w:rPr>
          <w:rFonts w:ascii="Times New Roman" w:hAnsi="Times New Roman"/>
          <w:sz w:val="24"/>
          <w:szCs w:val="24"/>
        </w:rPr>
      </w:pPr>
      <w:r w:rsidRPr="002C7571">
        <w:rPr>
          <w:rFonts w:ascii="Times New Roman" w:hAnsi="Times New Roman"/>
          <w:sz w:val="24"/>
          <w:szCs w:val="24"/>
        </w:rPr>
        <w:lastRenderedPageBreak/>
        <w:t>This was a case where there was compulsory insurance to cover liabilities under workers</w:t>
      </w:r>
      <w:r w:rsidR="004C7E67" w:rsidRPr="002E71C6">
        <w:rPr>
          <w:rFonts w:ascii="Times New Roman" w:hAnsi="Times New Roman"/>
          <w:sz w:val="24"/>
          <w:szCs w:val="24"/>
        </w:rPr>
        <w:t>’</w:t>
      </w:r>
      <w:r w:rsidRPr="002C7571">
        <w:rPr>
          <w:rFonts w:ascii="Times New Roman" w:hAnsi="Times New Roman"/>
          <w:sz w:val="24"/>
          <w:szCs w:val="24"/>
        </w:rPr>
        <w:t xml:space="preserve"> compensation legislation. But it is suggested that the parallels with </w:t>
      </w:r>
      <w:r w:rsidRPr="002C7571">
        <w:rPr>
          <w:rFonts w:ascii="Times New Roman" w:hAnsi="Times New Roman"/>
          <w:i/>
          <w:sz w:val="24"/>
          <w:szCs w:val="24"/>
        </w:rPr>
        <w:t>Smith v Bush</w:t>
      </w:r>
      <w:r w:rsidRPr="002C7571">
        <w:rPr>
          <w:rFonts w:ascii="Times New Roman" w:hAnsi="Times New Roman"/>
          <w:sz w:val="24"/>
          <w:szCs w:val="24"/>
        </w:rPr>
        <w:t>, discussed above,</w:t>
      </w:r>
      <w:r w:rsidRPr="002C7571">
        <w:rPr>
          <w:rFonts w:ascii="Times New Roman" w:hAnsi="Times New Roman"/>
          <w:i/>
          <w:sz w:val="24"/>
          <w:szCs w:val="24"/>
        </w:rPr>
        <w:t xml:space="preserve"> </w:t>
      </w:r>
      <w:r w:rsidRPr="002C7571">
        <w:rPr>
          <w:rFonts w:ascii="Times New Roman" w:hAnsi="Times New Roman"/>
          <w:sz w:val="24"/>
          <w:szCs w:val="24"/>
        </w:rPr>
        <w:t xml:space="preserve">are clear. To what extent are questions of the interests of vulnerable third parties, and of public policy, relevant to the interpretation of contractual terms? To what extent do these issues arise where the relevant </w:t>
      </w:r>
      <w:r w:rsidR="004C7E67" w:rsidRPr="002E71C6">
        <w:rPr>
          <w:rFonts w:ascii="Times New Roman" w:hAnsi="Times New Roman"/>
          <w:sz w:val="24"/>
          <w:szCs w:val="24"/>
        </w:rPr>
        <w:t>“</w:t>
      </w:r>
      <w:r w:rsidRPr="002C7571">
        <w:rPr>
          <w:rFonts w:ascii="Times New Roman" w:hAnsi="Times New Roman"/>
          <w:sz w:val="24"/>
          <w:szCs w:val="24"/>
        </w:rPr>
        <w:t>policy</w:t>
      </w:r>
      <w:r w:rsidR="004C7E67" w:rsidRPr="002E71C6">
        <w:rPr>
          <w:rFonts w:ascii="Times New Roman" w:hAnsi="Times New Roman"/>
          <w:sz w:val="24"/>
          <w:szCs w:val="24"/>
        </w:rPr>
        <w:t>”</w:t>
      </w:r>
      <w:r w:rsidRPr="002C7571">
        <w:rPr>
          <w:rFonts w:ascii="Times New Roman" w:hAnsi="Times New Roman"/>
          <w:sz w:val="24"/>
          <w:szCs w:val="24"/>
        </w:rPr>
        <w:t xml:space="preserve"> is embodied in principles of common law, rather than in legislation? The idea that the duty of care might protect certain </w:t>
      </w:r>
      <w:r w:rsidR="004C7E67" w:rsidRPr="002E71C6">
        <w:rPr>
          <w:rFonts w:ascii="Times New Roman" w:hAnsi="Times New Roman"/>
          <w:sz w:val="24"/>
          <w:szCs w:val="24"/>
        </w:rPr>
        <w:t>“</w:t>
      </w:r>
      <w:r w:rsidRPr="002C7571">
        <w:rPr>
          <w:rFonts w:ascii="Times New Roman" w:hAnsi="Times New Roman"/>
          <w:sz w:val="24"/>
          <w:szCs w:val="24"/>
        </w:rPr>
        <w:t>categories</w:t>
      </w:r>
      <w:r w:rsidR="004C7E67" w:rsidRPr="002E71C6">
        <w:rPr>
          <w:rFonts w:ascii="Times New Roman" w:hAnsi="Times New Roman"/>
          <w:sz w:val="24"/>
          <w:szCs w:val="24"/>
        </w:rPr>
        <w:t>”</w:t>
      </w:r>
      <w:r w:rsidRPr="002C7571">
        <w:rPr>
          <w:rFonts w:ascii="Times New Roman" w:hAnsi="Times New Roman"/>
          <w:sz w:val="24"/>
          <w:szCs w:val="24"/>
        </w:rPr>
        <w:t xml:space="preserve"> of people just outside contractual arrangements does not necessarily raise issues external to the tort of negligence, but could be argued to be an inherent aspect of negligence under </w:t>
      </w:r>
      <w:r w:rsidRPr="002C7571">
        <w:rPr>
          <w:rFonts w:ascii="Times New Roman" w:hAnsi="Times New Roman"/>
          <w:i/>
          <w:sz w:val="24"/>
          <w:szCs w:val="24"/>
        </w:rPr>
        <w:t>Donoghue</w:t>
      </w:r>
      <w:r w:rsidR="004C7E67" w:rsidRPr="002E71C6">
        <w:rPr>
          <w:rFonts w:ascii="Times New Roman" w:hAnsi="Times New Roman"/>
          <w:i/>
          <w:sz w:val="24"/>
          <w:szCs w:val="24"/>
        </w:rPr>
        <w:t> </w:t>
      </w:r>
      <w:r w:rsidRPr="002C7571">
        <w:rPr>
          <w:rFonts w:ascii="Times New Roman" w:hAnsi="Times New Roman"/>
          <w:i/>
          <w:sz w:val="24"/>
          <w:szCs w:val="24"/>
        </w:rPr>
        <w:t>v</w:t>
      </w:r>
      <w:r w:rsidR="004C7E67" w:rsidRPr="002E71C6">
        <w:rPr>
          <w:rFonts w:ascii="Times New Roman" w:hAnsi="Times New Roman"/>
          <w:i/>
          <w:sz w:val="24"/>
          <w:szCs w:val="24"/>
        </w:rPr>
        <w:t> </w:t>
      </w:r>
      <w:r w:rsidRPr="002C7571">
        <w:rPr>
          <w:rFonts w:ascii="Times New Roman" w:hAnsi="Times New Roman"/>
          <w:i/>
          <w:sz w:val="24"/>
          <w:szCs w:val="24"/>
        </w:rPr>
        <w:t xml:space="preserve">Stevenson </w:t>
      </w:r>
      <w:r w:rsidRPr="002C7571">
        <w:rPr>
          <w:rFonts w:ascii="Times New Roman" w:hAnsi="Times New Roman"/>
          <w:sz w:val="24"/>
          <w:szCs w:val="24"/>
        </w:rPr>
        <w:t>itself.</w:t>
      </w:r>
    </w:p>
    <w:p w:rsidR="00032365" w:rsidRDefault="00032365">
      <w:pPr>
        <w:spacing w:after="0" w:line="240" w:lineRule="auto"/>
        <w:jc w:val="both"/>
        <w:rPr>
          <w:rFonts w:ascii="Times New Roman" w:hAnsi="Times New Roman"/>
          <w:sz w:val="24"/>
          <w:szCs w:val="24"/>
        </w:rPr>
      </w:pPr>
    </w:p>
    <w:p w:rsidR="00032365" w:rsidRDefault="002C7571">
      <w:pPr>
        <w:keepNext/>
        <w:spacing w:after="0" w:line="240" w:lineRule="auto"/>
        <w:jc w:val="both"/>
        <w:rPr>
          <w:rFonts w:ascii="Times New Roman Bold" w:hAnsi="Times New Roman Bold"/>
          <w:b/>
          <w:smallCaps/>
          <w:sz w:val="32"/>
          <w:szCs w:val="32"/>
        </w:rPr>
      </w:pPr>
      <w:r w:rsidRPr="002C7571">
        <w:rPr>
          <w:rFonts w:ascii="Times New Roman Bold" w:hAnsi="Times New Roman Bold"/>
          <w:b/>
          <w:smallCaps/>
          <w:sz w:val="32"/>
          <w:szCs w:val="32"/>
        </w:rPr>
        <w:t>Applying the discussion</w:t>
      </w:r>
    </w:p>
    <w:p w:rsidR="00032365" w:rsidRDefault="00032365">
      <w:pPr>
        <w:keepNext/>
        <w:spacing w:after="0" w:line="240" w:lineRule="auto"/>
        <w:jc w:val="both"/>
        <w:rPr>
          <w:rFonts w:ascii="Times New Roman" w:hAnsi="Times New Roman"/>
          <w:sz w:val="24"/>
          <w:szCs w:val="24"/>
        </w:rPr>
      </w:pPr>
    </w:p>
    <w:p w:rsidR="00032365" w:rsidRDefault="002C7571">
      <w:pPr>
        <w:spacing w:after="0" w:line="240" w:lineRule="auto"/>
        <w:jc w:val="both"/>
        <w:rPr>
          <w:rFonts w:ascii="Times New Roman" w:hAnsi="Times New Roman"/>
          <w:sz w:val="24"/>
          <w:szCs w:val="24"/>
        </w:rPr>
      </w:pPr>
      <w:r w:rsidRPr="002C7571">
        <w:rPr>
          <w:rFonts w:ascii="Times New Roman" w:hAnsi="Times New Roman"/>
          <w:sz w:val="24"/>
          <w:szCs w:val="24"/>
        </w:rPr>
        <w:t xml:space="preserve">In light of the questions explored above, the remainder of this </w:t>
      </w:r>
      <w:r w:rsidR="004C7E67" w:rsidRPr="002E71C6">
        <w:rPr>
          <w:rFonts w:ascii="Times New Roman" w:hAnsi="Times New Roman"/>
          <w:sz w:val="24"/>
          <w:szCs w:val="24"/>
        </w:rPr>
        <w:t xml:space="preserve">chapter </w:t>
      </w:r>
      <w:r w:rsidRPr="002C7571">
        <w:rPr>
          <w:rFonts w:ascii="Times New Roman" w:hAnsi="Times New Roman"/>
          <w:sz w:val="24"/>
          <w:szCs w:val="24"/>
        </w:rPr>
        <w:t xml:space="preserve">briefly outlines some dimensions of insurance which tend to be missed by tort lawyers given the general concentration on the distributive aspect of insurance. It then introduces the tensions within both tort and contract between what might loosely be called formalist, and contextual (or purposive) interpretation, in order to explore the connection between the two in the particular context of insurance of tort liabilities. How should one think about the context of a case where insurance contracts and tort are so closely inter-related? </w:t>
      </w:r>
    </w:p>
    <w:p w:rsidR="00032365" w:rsidRDefault="00032365">
      <w:pPr>
        <w:spacing w:after="0" w:line="240" w:lineRule="auto"/>
        <w:jc w:val="both"/>
        <w:rPr>
          <w:rFonts w:ascii="Times New Roman" w:hAnsi="Times New Roman"/>
          <w:b/>
          <w:sz w:val="24"/>
          <w:szCs w:val="24"/>
        </w:rPr>
      </w:pPr>
    </w:p>
    <w:p w:rsidR="00032365" w:rsidRDefault="002C7571">
      <w:pPr>
        <w:spacing w:after="0" w:line="240" w:lineRule="auto"/>
        <w:jc w:val="both"/>
        <w:rPr>
          <w:rFonts w:ascii="Times New Roman Bold" w:hAnsi="Times New Roman Bold"/>
          <w:b/>
          <w:smallCaps/>
          <w:sz w:val="32"/>
          <w:szCs w:val="32"/>
        </w:rPr>
      </w:pPr>
      <w:r w:rsidRPr="002C7571">
        <w:rPr>
          <w:rFonts w:ascii="Times New Roman Bold" w:hAnsi="Times New Roman Bold"/>
          <w:b/>
          <w:smallCaps/>
          <w:sz w:val="32"/>
          <w:szCs w:val="32"/>
        </w:rPr>
        <w:t>Insurance as “collective”, or transactional?</w:t>
      </w:r>
    </w:p>
    <w:p w:rsidR="00032365" w:rsidRDefault="00032365">
      <w:pPr>
        <w:spacing w:after="0" w:line="240" w:lineRule="auto"/>
        <w:jc w:val="both"/>
        <w:rPr>
          <w:rFonts w:ascii="Times New Roman" w:hAnsi="Times New Roman"/>
          <w:sz w:val="24"/>
          <w:szCs w:val="24"/>
        </w:rPr>
      </w:pPr>
    </w:p>
    <w:p w:rsidR="00032365" w:rsidRDefault="002C7571">
      <w:pPr>
        <w:spacing w:after="0" w:line="240" w:lineRule="auto"/>
        <w:jc w:val="both"/>
        <w:rPr>
          <w:rFonts w:ascii="Times New Roman" w:hAnsi="Times New Roman"/>
          <w:sz w:val="24"/>
          <w:szCs w:val="24"/>
        </w:rPr>
      </w:pPr>
      <w:r w:rsidRPr="002C7571">
        <w:rPr>
          <w:rFonts w:ascii="Times New Roman" w:hAnsi="Times New Roman"/>
          <w:sz w:val="24"/>
          <w:szCs w:val="24"/>
        </w:rPr>
        <w:t xml:space="preserve">Underlying the pursuit of a more symmetrical approach in this </w:t>
      </w:r>
      <w:r w:rsidR="004C7E67" w:rsidRPr="002E71C6">
        <w:rPr>
          <w:rFonts w:ascii="Times New Roman" w:hAnsi="Times New Roman"/>
          <w:sz w:val="24"/>
          <w:szCs w:val="24"/>
        </w:rPr>
        <w:t xml:space="preserve">chapter </w:t>
      </w:r>
      <w:r w:rsidRPr="002C7571">
        <w:rPr>
          <w:rFonts w:ascii="Times New Roman" w:hAnsi="Times New Roman"/>
          <w:sz w:val="24"/>
          <w:szCs w:val="24"/>
        </w:rPr>
        <w:t xml:space="preserve">is the idea that insurance of risks, while often seen in terms of public purpose, </w:t>
      </w:r>
      <w:commentRangeStart w:id="18"/>
      <w:r w:rsidRPr="002C7571">
        <w:rPr>
          <w:rFonts w:ascii="Times New Roman" w:hAnsi="Times New Roman"/>
          <w:sz w:val="24"/>
          <w:szCs w:val="24"/>
        </w:rPr>
        <w:t xml:space="preserve">in terms of </w:t>
      </w:r>
      <w:commentRangeEnd w:id="18"/>
      <w:r w:rsidRPr="002C7571">
        <w:rPr>
          <w:rStyle w:val="CommentReference"/>
          <w:rFonts w:ascii="Times New Roman" w:hAnsi="Times New Roman"/>
          <w:sz w:val="24"/>
          <w:szCs w:val="24"/>
        </w:rPr>
        <w:commentReference w:id="18"/>
      </w:r>
      <w:r w:rsidRPr="002C7571">
        <w:rPr>
          <w:rFonts w:ascii="Times New Roman" w:hAnsi="Times New Roman"/>
          <w:sz w:val="24"/>
          <w:szCs w:val="24"/>
        </w:rPr>
        <w:t>the applicable legal regime is largely governed through the law of private transactions. This does not mean that public purpose is absent, as we have just seen.</w:t>
      </w:r>
      <w:r w:rsidR="004C7E67" w:rsidRPr="002E71C6">
        <w:rPr>
          <w:rStyle w:val="FootnoteReference"/>
          <w:rFonts w:ascii="Times New Roman" w:hAnsi="Times New Roman"/>
          <w:sz w:val="24"/>
          <w:szCs w:val="24"/>
        </w:rPr>
        <w:footnoteReference w:id="45"/>
      </w:r>
      <w:r w:rsidRPr="002C7571">
        <w:rPr>
          <w:rFonts w:ascii="Times New Roman" w:hAnsi="Times New Roman"/>
          <w:sz w:val="24"/>
          <w:szCs w:val="24"/>
        </w:rPr>
        <w:t xml:space="preserve"> But the predominance of the private law form reflects the fact that commercial insurance is at least as much about buying and selling liability risks as it is about spreading them within a </w:t>
      </w:r>
      <w:r w:rsidR="004C7E67" w:rsidRPr="002E71C6">
        <w:rPr>
          <w:rFonts w:ascii="Times New Roman" w:hAnsi="Times New Roman"/>
          <w:sz w:val="24"/>
          <w:szCs w:val="24"/>
        </w:rPr>
        <w:t>“</w:t>
      </w:r>
      <w:r w:rsidRPr="002C7571">
        <w:rPr>
          <w:rFonts w:ascii="Times New Roman" w:hAnsi="Times New Roman"/>
          <w:sz w:val="24"/>
          <w:szCs w:val="24"/>
        </w:rPr>
        <w:t>mutual pool</w:t>
      </w:r>
      <w:r w:rsidR="004C7E67" w:rsidRPr="002E71C6">
        <w:rPr>
          <w:rFonts w:ascii="Times New Roman" w:hAnsi="Times New Roman"/>
          <w:sz w:val="24"/>
          <w:szCs w:val="24"/>
        </w:rPr>
        <w:t>”</w:t>
      </w:r>
      <w:r w:rsidRPr="002C7571">
        <w:rPr>
          <w:rFonts w:ascii="Times New Roman" w:hAnsi="Times New Roman"/>
          <w:sz w:val="24"/>
          <w:szCs w:val="24"/>
        </w:rPr>
        <w:t>. In this section, I briefly explore the collective and transactional dimensions of insurance.</w:t>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 xml:space="preserve">Most contributors to debates about the relationship between tort and insurance </w:t>
      </w:r>
      <w:r w:rsidR="004C7E67" w:rsidRPr="002E71C6">
        <w:rPr>
          <w:rFonts w:ascii="Times New Roman" w:hAnsi="Times New Roman"/>
          <w:sz w:val="24"/>
          <w:szCs w:val="24"/>
        </w:rPr>
        <w:t>–</w:t>
      </w:r>
      <w:r w:rsidRPr="002C7571">
        <w:rPr>
          <w:rFonts w:ascii="Times New Roman" w:hAnsi="Times New Roman"/>
          <w:sz w:val="24"/>
          <w:szCs w:val="24"/>
        </w:rPr>
        <w:t xml:space="preserve"> and indeed many scholars approaching insurance in its own right </w:t>
      </w:r>
      <w:r w:rsidR="004C7E67" w:rsidRPr="002E71C6">
        <w:rPr>
          <w:rFonts w:ascii="Times New Roman" w:hAnsi="Times New Roman"/>
          <w:sz w:val="24"/>
          <w:szCs w:val="24"/>
        </w:rPr>
        <w:t>–</w:t>
      </w:r>
      <w:r w:rsidRPr="002C7571">
        <w:rPr>
          <w:rFonts w:ascii="Times New Roman" w:hAnsi="Times New Roman"/>
          <w:sz w:val="24"/>
          <w:szCs w:val="24"/>
        </w:rPr>
        <w:t xml:space="preserve"> start with the collectivist, loss-spreading aspects of insurance as a technique or </w:t>
      </w:r>
      <w:r w:rsidR="004C7E67" w:rsidRPr="002E71C6">
        <w:rPr>
          <w:rFonts w:ascii="Times New Roman" w:hAnsi="Times New Roman"/>
          <w:sz w:val="24"/>
          <w:szCs w:val="24"/>
        </w:rPr>
        <w:t>“</w:t>
      </w:r>
      <w:r w:rsidRPr="002C7571">
        <w:rPr>
          <w:rFonts w:ascii="Times New Roman" w:hAnsi="Times New Roman"/>
          <w:sz w:val="24"/>
          <w:szCs w:val="24"/>
        </w:rPr>
        <w:t>technology</w:t>
      </w:r>
      <w:r w:rsidR="004C7E67" w:rsidRPr="002E71C6">
        <w:rPr>
          <w:rFonts w:ascii="Times New Roman" w:hAnsi="Times New Roman"/>
          <w:sz w:val="24"/>
          <w:szCs w:val="24"/>
        </w:rPr>
        <w:t>”</w:t>
      </w:r>
      <w:r w:rsidRPr="002C7571">
        <w:rPr>
          <w:rFonts w:ascii="Times New Roman" w:hAnsi="Times New Roman"/>
          <w:sz w:val="24"/>
          <w:szCs w:val="24"/>
        </w:rPr>
        <w:t>.</w:t>
      </w:r>
      <w:bookmarkStart w:id="19" w:name="_Ref293614827"/>
      <w:r w:rsidR="004C7E67" w:rsidRPr="002E71C6">
        <w:rPr>
          <w:rStyle w:val="FootnoteReference"/>
          <w:rFonts w:ascii="Times New Roman" w:hAnsi="Times New Roman"/>
          <w:sz w:val="24"/>
          <w:szCs w:val="24"/>
        </w:rPr>
        <w:footnoteReference w:id="46"/>
      </w:r>
      <w:bookmarkEnd w:id="19"/>
      <w:r w:rsidRPr="002C7571">
        <w:rPr>
          <w:rFonts w:ascii="Times New Roman" w:hAnsi="Times New Roman"/>
          <w:sz w:val="24"/>
          <w:szCs w:val="24"/>
        </w:rPr>
        <w:t xml:space="preserve"> Yet the core product </w:t>
      </w:r>
      <w:r w:rsidR="004C7E67" w:rsidRPr="002E71C6">
        <w:rPr>
          <w:rFonts w:ascii="Times New Roman" w:hAnsi="Times New Roman"/>
          <w:sz w:val="24"/>
          <w:szCs w:val="24"/>
        </w:rPr>
        <w:t>–</w:t>
      </w:r>
      <w:r w:rsidRPr="002C7571">
        <w:rPr>
          <w:rFonts w:ascii="Times New Roman" w:hAnsi="Times New Roman"/>
          <w:sz w:val="24"/>
          <w:szCs w:val="24"/>
        </w:rPr>
        <w:t xml:space="preserve"> indemnity for the eventuation of adverse risk within the terms of cover sold </w:t>
      </w:r>
      <w:r w:rsidR="004C7E67" w:rsidRPr="002E71C6">
        <w:rPr>
          <w:rFonts w:ascii="Times New Roman" w:hAnsi="Times New Roman"/>
          <w:sz w:val="24"/>
          <w:szCs w:val="24"/>
        </w:rPr>
        <w:t>–</w:t>
      </w:r>
      <w:r w:rsidRPr="002C7571">
        <w:rPr>
          <w:rFonts w:ascii="Times New Roman" w:hAnsi="Times New Roman"/>
          <w:sz w:val="24"/>
          <w:szCs w:val="24"/>
        </w:rPr>
        <w:t xml:space="preserve"> is provided by the insurance industry. As we have also seen, the law of insurance is not a responsibility-free zone, but raises questions of contractual responsibility. Equally, while security is the image promoted of insurance products, the kinds of insurance typically relied upon to underpin the law of tort would appear in practice to be limited in their collectivism </w:t>
      </w:r>
      <w:r w:rsidR="004C7E67" w:rsidRPr="002E71C6">
        <w:rPr>
          <w:rFonts w:ascii="Times New Roman" w:hAnsi="Times New Roman"/>
          <w:sz w:val="24"/>
          <w:szCs w:val="24"/>
        </w:rPr>
        <w:t>–</w:t>
      </w:r>
      <w:r w:rsidRPr="002C7571">
        <w:rPr>
          <w:rFonts w:ascii="Times New Roman" w:hAnsi="Times New Roman"/>
          <w:sz w:val="24"/>
          <w:szCs w:val="24"/>
        </w:rPr>
        <w:t xml:space="preserve"> particularly when it comes to claims.</w:t>
      </w:r>
      <w:bookmarkStart w:id="20" w:name="_Ref293145535"/>
      <w:r w:rsidR="004C7E67" w:rsidRPr="002E71C6">
        <w:rPr>
          <w:rStyle w:val="FootnoteReference"/>
          <w:rFonts w:ascii="Times New Roman" w:hAnsi="Times New Roman"/>
          <w:sz w:val="24"/>
          <w:szCs w:val="24"/>
        </w:rPr>
        <w:footnoteReference w:id="47"/>
      </w:r>
      <w:bookmarkEnd w:id="20"/>
      <w:r w:rsidRPr="002C7571">
        <w:rPr>
          <w:rFonts w:ascii="Times New Roman" w:hAnsi="Times New Roman"/>
          <w:sz w:val="24"/>
          <w:szCs w:val="24"/>
        </w:rPr>
        <w:t xml:space="preserve"> </w:t>
      </w:r>
    </w:p>
    <w:p w:rsidR="00EC72F9"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lastRenderedPageBreak/>
        <w:t xml:space="preserve">It is suggested that the depiction of social welfare and commercial insurance reflected by Jane Stapleton in her classic essay, </w:t>
      </w:r>
      <w:r w:rsidR="004C7E67" w:rsidRPr="002E71C6">
        <w:rPr>
          <w:rFonts w:ascii="Times New Roman" w:hAnsi="Times New Roman"/>
          <w:sz w:val="24"/>
          <w:szCs w:val="24"/>
        </w:rPr>
        <w:t>“</w:t>
      </w:r>
      <w:r w:rsidRPr="002C7571">
        <w:rPr>
          <w:rFonts w:ascii="Times New Roman" w:hAnsi="Times New Roman"/>
          <w:sz w:val="24"/>
          <w:szCs w:val="24"/>
        </w:rPr>
        <w:t>Tort, Insurance and Ideology</w:t>
      </w:r>
      <w:r w:rsidR="004C7E67" w:rsidRPr="002E71C6">
        <w:rPr>
          <w:rFonts w:ascii="Times New Roman" w:hAnsi="Times New Roman"/>
          <w:sz w:val="24"/>
          <w:szCs w:val="24"/>
        </w:rPr>
        <w:t>”</w:t>
      </w:r>
      <w:r w:rsidRPr="002C7571">
        <w:rPr>
          <w:rFonts w:ascii="Times New Roman" w:hAnsi="Times New Roman"/>
          <w:sz w:val="24"/>
          <w:szCs w:val="24"/>
        </w:rPr>
        <w:t>,</w:t>
      </w:r>
      <w:r w:rsidR="004C7E67" w:rsidRPr="002E71C6">
        <w:rPr>
          <w:rStyle w:val="FootnoteReference"/>
          <w:rFonts w:ascii="Times New Roman" w:hAnsi="Times New Roman"/>
          <w:sz w:val="24"/>
          <w:szCs w:val="24"/>
        </w:rPr>
        <w:footnoteReference w:id="48"/>
      </w:r>
      <w:r w:rsidRPr="002C7571">
        <w:rPr>
          <w:rFonts w:ascii="Times New Roman" w:hAnsi="Times New Roman"/>
          <w:sz w:val="24"/>
          <w:szCs w:val="24"/>
        </w:rPr>
        <w:t xml:space="preserve"> may therefore need qualification</w:t>
      </w:r>
      <w:r w:rsidR="00CC1823">
        <w:rPr>
          <w:rFonts w:ascii="Times New Roman" w:hAnsi="Times New Roman"/>
          <w:sz w:val="24"/>
          <w:szCs w:val="24"/>
        </w:rPr>
        <w:t xml:space="preserve"> as ideological balances shift</w:t>
      </w:r>
      <w:r w:rsidRPr="002C7571">
        <w:rPr>
          <w:rFonts w:ascii="Times New Roman" w:hAnsi="Times New Roman"/>
          <w:sz w:val="24"/>
          <w:szCs w:val="24"/>
        </w:rPr>
        <w:t>. Stapleton argued that social welfare schemes (including some based on social insurance) do not pool like risks, because their risk pools are heterogeneous.</w:t>
      </w:r>
      <w:r w:rsidR="004C7E67" w:rsidRPr="002E71C6">
        <w:rPr>
          <w:rStyle w:val="FootnoteReference"/>
          <w:rFonts w:ascii="Times New Roman" w:hAnsi="Times New Roman"/>
          <w:sz w:val="24"/>
          <w:szCs w:val="24"/>
        </w:rPr>
        <w:footnoteReference w:id="49"/>
      </w:r>
      <w:r w:rsidRPr="002C7571">
        <w:rPr>
          <w:rFonts w:ascii="Times New Roman" w:hAnsi="Times New Roman"/>
          <w:sz w:val="24"/>
          <w:szCs w:val="24"/>
        </w:rPr>
        <w:t xml:space="preserve"> By contrast, </w:t>
      </w:r>
      <w:r w:rsidR="004C7E67" w:rsidRPr="002E71C6">
        <w:rPr>
          <w:rFonts w:ascii="Times New Roman" w:hAnsi="Times New Roman"/>
          <w:sz w:val="24"/>
          <w:szCs w:val="24"/>
        </w:rPr>
        <w:t>“</w:t>
      </w:r>
      <w:r w:rsidRPr="002C7571">
        <w:rPr>
          <w:rFonts w:ascii="Times New Roman" w:hAnsi="Times New Roman"/>
          <w:sz w:val="24"/>
          <w:szCs w:val="24"/>
        </w:rPr>
        <w:t>… the most fundamental characteristic of insurance … is its pursuit of homogenous risk pools</w:t>
      </w:r>
      <w:r w:rsidR="004C7E67" w:rsidRPr="002E71C6">
        <w:rPr>
          <w:rFonts w:ascii="Times New Roman" w:hAnsi="Times New Roman"/>
          <w:sz w:val="24"/>
          <w:szCs w:val="24"/>
        </w:rPr>
        <w:t>”</w:t>
      </w:r>
      <w:r w:rsidRPr="002C7571">
        <w:rPr>
          <w:rFonts w:ascii="Times New Roman" w:hAnsi="Times New Roman"/>
          <w:sz w:val="24"/>
          <w:szCs w:val="24"/>
        </w:rPr>
        <w:t>.</w:t>
      </w:r>
      <w:r w:rsidR="004C7E67" w:rsidRPr="002E71C6">
        <w:rPr>
          <w:rStyle w:val="FootnoteReference"/>
          <w:rFonts w:ascii="Times New Roman" w:hAnsi="Times New Roman"/>
          <w:sz w:val="24"/>
          <w:szCs w:val="24"/>
        </w:rPr>
        <w:footnoteReference w:id="50"/>
      </w:r>
      <w:r w:rsidRPr="002C7571">
        <w:rPr>
          <w:rFonts w:ascii="Times New Roman" w:hAnsi="Times New Roman"/>
          <w:sz w:val="24"/>
          <w:szCs w:val="24"/>
        </w:rPr>
        <w:t xml:space="preserve"> Both sides of this can be questioned. </w:t>
      </w:r>
      <w:r w:rsidR="000641A9">
        <w:rPr>
          <w:rFonts w:ascii="Times New Roman" w:hAnsi="Times New Roman"/>
          <w:sz w:val="24"/>
          <w:szCs w:val="24"/>
        </w:rPr>
        <w:t xml:space="preserve">In their important work on </w:t>
      </w:r>
      <w:r w:rsidR="006431B7">
        <w:rPr>
          <w:rFonts w:ascii="Times New Roman" w:hAnsi="Times New Roman"/>
          <w:sz w:val="24"/>
          <w:szCs w:val="24"/>
        </w:rPr>
        <w:t xml:space="preserve">changing </w:t>
      </w:r>
      <w:r w:rsidR="000641A9">
        <w:rPr>
          <w:rFonts w:ascii="Times New Roman" w:hAnsi="Times New Roman"/>
          <w:sz w:val="24"/>
          <w:szCs w:val="24"/>
        </w:rPr>
        <w:t xml:space="preserve">ideas of risk in recent years, Baker and Simon point to a </w:t>
      </w:r>
      <w:r w:rsidR="006431B7">
        <w:rPr>
          <w:rFonts w:ascii="Times New Roman" w:hAnsi="Times New Roman"/>
          <w:sz w:val="24"/>
          <w:szCs w:val="24"/>
        </w:rPr>
        <w:t xml:space="preserve">widespread </w:t>
      </w:r>
      <w:r w:rsidR="000641A9">
        <w:rPr>
          <w:rFonts w:ascii="Times New Roman" w:hAnsi="Times New Roman"/>
          <w:sz w:val="24"/>
          <w:szCs w:val="24"/>
        </w:rPr>
        <w:t xml:space="preserve">shift from ‘spreading risk’ (analogous to Stapleton’s collectivisation) to ‘embracing risk’. The latter is a complex idea but they summarise it as including a cultural trend </w:t>
      </w:r>
      <w:r w:rsidR="00881C8D">
        <w:rPr>
          <w:rFonts w:ascii="Times New Roman" w:hAnsi="Times New Roman"/>
          <w:sz w:val="24"/>
          <w:szCs w:val="24"/>
        </w:rPr>
        <w:t xml:space="preserve">of reaction </w:t>
      </w:r>
      <w:r w:rsidR="000641A9">
        <w:rPr>
          <w:rFonts w:ascii="Times New Roman" w:hAnsi="Times New Roman"/>
          <w:sz w:val="24"/>
          <w:szCs w:val="24"/>
        </w:rPr>
        <w:t xml:space="preserve">against the spreading </w:t>
      </w:r>
      <w:r w:rsidR="006431B7">
        <w:rPr>
          <w:rFonts w:ascii="Times New Roman" w:hAnsi="Times New Roman"/>
          <w:sz w:val="24"/>
          <w:szCs w:val="24"/>
        </w:rPr>
        <w:t xml:space="preserve">of </w:t>
      </w:r>
      <w:r w:rsidR="000641A9">
        <w:rPr>
          <w:rFonts w:ascii="Times New Roman" w:hAnsi="Times New Roman"/>
          <w:sz w:val="24"/>
          <w:szCs w:val="24"/>
        </w:rPr>
        <w:t>risks</w:t>
      </w:r>
      <w:r w:rsidR="00881C8D">
        <w:rPr>
          <w:rFonts w:ascii="Times New Roman" w:hAnsi="Times New Roman"/>
          <w:sz w:val="24"/>
          <w:szCs w:val="24"/>
        </w:rPr>
        <w:t>. This reaction</w:t>
      </w:r>
      <w:r w:rsidR="000641A9">
        <w:rPr>
          <w:rFonts w:ascii="Times New Roman" w:hAnsi="Times New Roman"/>
          <w:sz w:val="24"/>
          <w:szCs w:val="24"/>
        </w:rPr>
        <w:t xml:space="preserve"> ‘consists of various efforts to make people more accountable for risks’. In their analysis, the ‘embrace’ of risk (in this sense) is partly reflected in </w:t>
      </w:r>
      <w:r w:rsidRPr="002C7571">
        <w:rPr>
          <w:rFonts w:ascii="Times New Roman" w:hAnsi="Times New Roman"/>
          <w:sz w:val="24"/>
          <w:szCs w:val="24"/>
        </w:rPr>
        <w:t>ideological changes at the political (governmental) level</w:t>
      </w:r>
      <w:r w:rsidR="000641A9">
        <w:rPr>
          <w:rFonts w:ascii="Times New Roman" w:hAnsi="Times New Roman"/>
          <w:sz w:val="24"/>
          <w:szCs w:val="24"/>
        </w:rPr>
        <w:t>, and it is occurring in both public and private forms of insurance</w:t>
      </w:r>
      <w:r w:rsidR="00881C8D">
        <w:rPr>
          <w:rFonts w:ascii="Times New Roman" w:hAnsi="Times New Roman"/>
          <w:sz w:val="24"/>
          <w:szCs w:val="24"/>
        </w:rPr>
        <w:t>.</w:t>
      </w:r>
      <w:r w:rsidR="004C7E67" w:rsidRPr="002E71C6">
        <w:rPr>
          <w:rStyle w:val="FootnoteReference"/>
          <w:rFonts w:ascii="Times New Roman" w:hAnsi="Times New Roman"/>
          <w:sz w:val="24"/>
          <w:szCs w:val="24"/>
        </w:rPr>
        <w:footnoteReference w:id="51"/>
      </w:r>
      <w:r w:rsidRPr="002C7571">
        <w:rPr>
          <w:rFonts w:ascii="Times New Roman" w:hAnsi="Times New Roman"/>
          <w:sz w:val="24"/>
          <w:szCs w:val="24"/>
        </w:rPr>
        <w:t xml:space="preserve"> </w:t>
      </w:r>
      <w:r w:rsidR="006431B7">
        <w:rPr>
          <w:rFonts w:ascii="Times New Roman" w:hAnsi="Times New Roman"/>
          <w:sz w:val="24"/>
          <w:szCs w:val="24"/>
        </w:rPr>
        <w:t>As an example, Baker and Simon</w:t>
      </w:r>
      <w:r w:rsidR="000641A9">
        <w:rPr>
          <w:rFonts w:ascii="Times New Roman" w:hAnsi="Times New Roman"/>
          <w:sz w:val="24"/>
          <w:szCs w:val="24"/>
        </w:rPr>
        <w:t xml:space="preserve"> suggest that “private pensions, annuities, and life insurance are engaged in an historic shift of investment risk from broad pools (the classic structure of risk spreading through insurance) to individual (middle class) consumers and employees in return for the possibility of a greater return.”</w:t>
      </w:r>
      <w:r w:rsidR="000641A9">
        <w:rPr>
          <w:rStyle w:val="FootnoteReference"/>
          <w:rFonts w:ascii="Times New Roman" w:hAnsi="Times New Roman"/>
          <w:sz w:val="24"/>
          <w:szCs w:val="24"/>
        </w:rPr>
        <w:footnoteReference w:id="52"/>
      </w:r>
      <w:r w:rsidR="000641A9">
        <w:rPr>
          <w:rFonts w:ascii="Times New Roman" w:hAnsi="Times New Roman"/>
          <w:sz w:val="24"/>
          <w:szCs w:val="24"/>
        </w:rPr>
        <w:t xml:space="preserve"> </w:t>
      </w:r>
      <w:r w:rsidR="006431B7">
        <w:rPr>
          <w:rFonts w:ascii="Times New Roman" w:hAnsi="Times New Roman"/>
          <w:sz w:val="24"/>
          <w:szCs w:val="24"/>
        </w:rPr>
        <w:t xml:space="preserve">They </w:t>
      </w:r>
      <w:r w:rsidR="000641A9">
        <w:rPr>
          <w:rFonts w:ascii="Times New Roman" w:hAnsi="Times New Roman"/>
          <w:sz w:val="24"/>
          <w:szCs w:val="24"/>
        </w:rPr>
        <w:t xml:space="preserve">make the very point </w:t>
      </w:r>
      <w:r w:rsidR="00EC72F9">
        <w:rPr>
          <w:rFonts w:ascii="Times New Roman" w:hAnsi="Times New Roman"/>
          <w:sz w:val="24"/>
          <w:szCs w:val="24"/>
        </w:rPr>
        <w:t>that the “implicit background” for mu</w:t>
      </w:r>
      <w:r w:rsidR="006431B7">
        <w:rPr>
          <w:rFonts w:ascii="Times New Roman" w:hAnsi="Times New Roman"/>
          <w:sz w:val="24"/>
          <w:szCs w:val="24"/>
        </w:rPr>
        <w:t>ch sociological work on risk in the past has been</w:t>
      </w:r>
      <w:r w:rsidR="00EC72F9">
        <w:rPr>
          <w:rFonts w:ascii="Times New Roman" w:hAnsi="Times New Roman"/>
          <w:sz w:val="24"/>
          <w:szCs w:val="24"/>
        </w:rPr>
        <w:t xml:space="preserve"> a risk-spreading approach; </w:t>
      </w:r>
      <w:r w:rsidR="008545AA">
        <w:rPr>
          <w:rFonts w:ascii="Times New Roman" w:hAnsi="Times New Roman"/>
          <w:sz w:val="24"/>
          <w:szCs w:val="24"/>
        </w:rPr>
        <w:t xml:space="preserve">while more recently </w:t>
      </w:r>
      <w:r w:rsidR="00EC72F9">
        <w:rPr>
          <w:rFonts w:ascii="Times New Roman" w:hAnsi="Times New Roman"/>
          <w:sz w:val="24"/>
          <w:szCs w:val="24"/>
        </w:rPr>
        <w:t>“Insurance institutions that embrace risk push us to recognise that insurance can be about much more than risk-spreading”. Looking back, they admit, “</w:t>
      </w:r>
      <w:proofErr w:type="gramStart"/>
      <w:r w:rsidR="00EC72F9">
        <w:rPr>
          <w:rFonts w:ascii="Times New Roman" w:hAnsi="Times New Roman"/>
          <w:sz w:val="24"/>
          <w:szCs w:val="24"/>
        </w:rPr>
        <w:t>we</w:t>
      </w:r>
      <w:proofErr w:type="gramEnd"/>
      <w:r w:rsidR="00EC72F9">
        <w:rPr>
          <w:rFonts w:ascii="Times New Roman" w:hAnsi="Times New Roman"/>
          <w:sz w:val="24"/>
          <w:szCs w:val="24"/>
        </w:rPr>
        <w:t xml:space="preserve"> can see that risk was never completely tied up with either harm or probability”.</w:t>
      </w:r>
      <w:r w:rsidR="00EC72F9">
        <w:rPr>
          <w:rStyle w:val="FootnoteReference"/>
          <w:rFonts w:ascii="Times New Roman" w:hAnsi="Times New Roman"/>
          <w:sz w:val="24"/>
          <w:szCs w:val="24"/>
        </w:rPr>
        <w:footnoteReference w:id="53"/>
      </w:r>
      <w:r w:rsidR="00EC72F9">
        <w:rPr>
          <w:rFonts w:ascii="Times New Roman" w:hAnsi="Times New Roman"/>
          <w:sz w:val="24"/>
          <w:szCs w:val="24"/>
        </w:rPr>
        <w:t xml:space="preserve"> </w:t>
      </w:r>
    </w:p>
    <w:p w:rsidR="00032365" w:rsidRDefault="00CC1823">
      <w:pPr>
        <w:spacing w:after="0" w:line="240" w:lineRule="auto"/>
        <w:ind w:firstLine="284"/>
        <w:jc w:val="both"/>
        <w:rPr>
          <w:rFonts w:ascii="Times New Roman" w:hAnsi="Times New Roman"/>
          <w:sz w:val="24"/>
          <w:szCs w:val="24"/>
        </w:rPr>
      </w:pPr>
      <w:r>
        <w:rPr>
          <w:rFonts w:ascii="Times New Roman" w:hAnsi="Times New Roman"/>
          <w:sz w:val="24"/>
          <w:szCs w:val="24"/>
        </w:rPr>
        <w:t xml:space="preserve">This shift away from “heterogeneous” risk pools could be said to be part of the same movement that leads to the “first party” insurance reform agenda addressed by Stapleton. What then of insurance more generally, beyond the immediate “insurance” response with which she was concerned? Arguably, </w:t>
      </w:r>
      <w:r w:rsidR="002C7571" w:rsidRPr="002C7571">
        <w:rPr>
          <w:rFonts w:ascii="Times New Roman" w:hAnsi="Times New Roman"/>
          <w:sz w:val="24"/>
          <w:szCs w:val="24"/>
        </w:rPr>
        <w:t xml:space="preserve">contemporary commercial insurance is not altogether well encapsulated in the idea of risk-pooling within a mutual fund. Indeed it could be argued that this vision is </w:t>
      </w:r>
      <w:r w:rsidR="007A513A">
        <w:rPr>
          <w:rFonts w:ascii="Times New Roman" w:hAnsi="Times New Roman"/>
          <w:sz w:val="24"/>
          <w:szCs w:val="24"/>
        </w:rPr>
        <w:t xml:space="preserve">itself </w:t>
      </w:r>
      <w:r w:rsidR="002C7571" w:rsidRPr="002C7571">
        <w:rPr>
          <w:rFonts w:ascii="Times New Roman" w:hAnsi="Times New Roman"/>
          <w:sz w:val="24"/>
          <w:szCs w:val="24"/>
        </w:rPr>
        <w:t xml:space="preserve">a legacy of an </w:t>
      </w:r>
      <w:r w:rsidR="004961E9" w:rsidRPr="002E71C6">
        <w:rPr>
          <w:rFonts w:ascii="Times New Roman" w:hAnsi="Times New Roman"/>
          <w:sz w:val="24"/>
          <w:szCs w:val="24"/>
        </w:rPr>
        <w:t>“</w:t>
      </w:r>
      <w:r w:rsidR="002C7571" w:rsidRPr="002C7571">
        <w:rPr>
          <w:rFonts w:ascii="Times New Roman" w:hAnsi="Times New Roman"/>
          <w:sz w:val="24"/>
          <w:szCs w:val="24"/>
        </w:rPr>
        <w:t>ideal-type</w:t>
      </w:r>
      <w:r w:rsidR="004961E9" w:rsidRPr="002E71C6">
        <w:rPr>
          <w:rFonts w:ascii="Times New Roman" w:hAnsi="Times New Roman"/>
          <w:sz w:val="24"/>
          <w:szCs w:val="24"/>
        </w:rPr>
        <w:t>”</w:t>
      </w:r>
      <w:r w:rsidR="002C7571" w:rsidRPr="002C7571">
        <w:rPr>
          <w:rFonts w:ascii="Times New Roman" w:hAnsi="Times New Roman"/>
          <w:sz w:val="24"/>
          <w:szCs w:val="24"/>
        </w:rPr>
        <w:t xml:space="preserve"> of insurance</w:t>
      </w:r>
      <w:r w:rsidR="004A0698">
        <w:rPr>
          <w:rFonts w:ascii="Times New Roman" w:hAnsi="Times New Roman"/>
          <w:sz w:val="24"/>
          <w:szCs w:val="24"/>
        </w:rPr>
        <w:t xml:space="preserve"> drawing on the ‘risk spreading’ approach</w:t>
      </w:r>
      <w:r w:rsidR="002C7571" w:rsidRPr="002C7571">
        <w:rPr>
          <w:rFonts w:ascii="Times New Roman" w:hAnsi="Times New Roman"/>
          <w:sz w:val="24"/>
          <w:szCs w:val="24"/>
        </w:rPr>
        <w:t>.</w:t>
      </w:r>
      <w:r w:rsidR="004C7E67" w:rsidRPr="002E71C6">
        <w:rPr>
          <w:rStyle w:val="FootnoteReference"/>
          <w:rFonts w:ascii="Times New Roman" w:hAnsi="Times New Roman"/>
          <w:sz w:val="24"/>
          <w:szCs w:val="24"/>
        </w:rPr>
        <w:footnoteReference w:id="54"/>
      </w:r>
      <w:r w:rsidR="002C7571" w:rsidRPr="002C7571">
        <w:rPr>
          <w:rFonts w:ascii="Times New Roman" w:hAnsi="Times New Roman"/>
          <w:sz w:val="24"/>
          <w:szCs w:val="24"/>
        </w:rPr>
        <w:t xml:space="preserve"> It </w:t>
      </w:r>
      <w:r w:rsidR="007A513A">
        <w:rPr>
          <w:rFonts w:ascii="Times New Roman" w:hAnsi="Times New Roman"/>
          <w:sz w:val="24"/>
          <w:szCs w:val="24"/>
        </w:rPr>
        <w:t>is related to</w:t>
      </w:r>
      <w:r w:rsidR="002C7571" w:rsidRPr="002C7571">
        <w:rPr>
          <w:rFonts w:ascii="Times New Roman" w:hAnsi="Times New Roman"/>
          <w:sz w:val="24"/>
          <w:szCs w:val="24"/>
        </w:rPr>
        <w:t xml:space="preserve"> an </w:t>
      </w:r>
      <w:r w:rsidR="004961E9" w:rsidRPr="002E71C6">
        <w:rPr>
          <w:rFonts w:ascii="Times New Roman" w:hAnsi="Times New Roman"/>
          <w:sz w:val="24"/>
          <w:szCs w:val="24"/>
        </w:rPr>
        <w:t>“</w:t>
      </w:r>
      <w:r w:rsidR="002C7571" w:rsidRPr="002C7571">
        <w:rPr>
          <w:rFonts w:ascii="Times New Roman" w:hAnsi="Times New Roman"/>
          <w:sz w:val="24"/>
          <w:szCs w:val="24"/>
        </w:rPr>
        <w:t>actuarial</w:t>
      </w:r>
      <w:r w:rsidR="004961E9" w:rsidRPr="002E71C6">
        <w:rPr>
          <w:rFonts w:ascii="Times New Roman" w:hAnsi="Times New Roman"/>
          <w:sz w:val="24"/>
          <w:szCs w:val="24"/>
        </w:rPr>
        <w:t>”</w:t>
      </w:r>
      <w:r w:rsidR="002C7571" w:rsidRPr="002C7571">
        <w:rPr>
          <w:rFonts w:ascii="Times New Roman" w:hAnsi="Times New Roman"/>
          <w:sz w:val="24"/>
          <w:szCs w:val="24"/>
        </w:rPr>
        <w:t xml:space="preserve"> model of insurance which rose to prominence in criminology thanks initially to work by Jonathan Simon.</w:t>
      </w:r>
      <w:r w:rsidR="004C7E67" w:rsidRPr="002E71C6">
        <w:rPr>
          <w:rStyle w:val="FootnoteReference"/>
          <w:rFonts w:ascii="Times New Roman" w:hAnsi="Times New Roman"/>
          <w:sz w:val="24"/>
          <w:szCs w:val="24"/>
        </w:rPr>
        <w:footnoteReference w:id="55"/>
      </w:r>
      <w:r w:rsidR="002C7571" w:rsidRPr="002C7571">
        <w:rPr>
          <w:rFonts w:ascii="Times New Roman" w:hAnsi="Times New Roman"/>
          <w:sz w:val="24"/>
          <w:szCs w:val="24"/>
        </w:rPr>
        <w:t xml:space="preserve"> </w:t>
      </w:r>
      <w:r w:rsidR="004A0698">
        <w:rPr>
          <w:rFonts w:ascii="Times New Roman" w:hAnsi="Times New Roman"/>
          <w:sz w:val="24"/>
          <w:szCs w:val="24"/>
        </w:rPr>
        <w:t xml:space="preserve">As we have seen, </w:t>
      </w:r>
      <w:r w:rsidR="002C7571" w:rsidRPr="002C7571">
        <w:rPr>
          <w:rFonts w:ascii="Times New Roman" w:hAnsi="Times New Roman"/>
          <w:sz w:val="24"/>
          <w:szCs w:val="24"/>
        </w:rPr>
        <w:t xml:space="preserve">Simon, together with Tom Baker, has more recently emphasised that this is only one model of insurance, and has even argued that </w:t>
      </w:r>
      <w:r w:rsidR="004961E9" w:rsidRPr="002E71C6">
        <w:rPr>
          <w:rFonts w:ascii="Times New Roman" w:hAnsi="Times New Roman"/>
          <w:sz w:val="24"/>
          <w:szCs w:val="24"/>
        </w:rPr>
        <w:t>“</w:t>
      </w:r>
      <w:r w:rsidR="002C7571" w:rsidRPr="002C7571">
        <w:rPr>
          <w:rFonts w:ascii="Times New Roman" w:hAnsi="Times New Roman"/>
          <w:sz w:val="24"/>
          <w:szCs w:val="24"/>
        </w:rPr>
        <w:t xml:space="preserve">the actuarial model of insurance has been so successful that many well-informed people would deny that it is a vision at all and assert, instead, that it is </w:t>
      </w:r>
      <w:r w:rsidR="002C7571" w:rsidRPr="002C7571">
        <w:rPr>
          <w:rFonts w:ascii="Times New Roman" w:hAnsi="Times New Roman"/>
          <w:i/>
          <w:sz w:val="24"/>
          <w:szCs w:val="24"/>
        </w:rPr>
        <w:t xml:space="preserve">the </w:t>
      </w:r>
      <w:r w:rsidR="002C7571" w:rsidRPr="002C7571">
        <w:rPr>
          <w:rFonts w:ascii="Times New Roman" w:hAnsi="Times New Roman"/>
          <w:sz w:val="24"/>
          <w:szCs w:val="24"/>
        </w:rPr>
        <w:t>model of insurance.</w:t>
      </w:r>
      <w:r w:rsidR="004961E9" w:rsidRPr="002E71C6">
        <w:rPr>
          <w:rFonts w:ascii="Times New Roman" w:hAnsi="Times New Roman"/>
          <w:sz w:val="24"/>
          <w:szCs w:val="24"/>
        </w:rPr>
        <w:t>”</w:t>
      </w:r>
      <w:r w:rsidR="004C7E67" w:rsidRPr="002E71C6">
        <w:rPr>
          <w:rStyle w:val="FootnoteReference"/>
          <w:rFonts w:ascii="Times New Roman" w:hAnsi="Times New Roman"/>
          <w:sz w:val="24"/>
          <w:szCs w:val="24"/>
        </w:rPr>
        <w:footnoteReference w:id="56"/>
      </w:r>
      <w:r w:rsidR="002C7571" w:rsidRPr="002C7571">
        <w:rPr>
          <w:rFonts w:ascii="Times New Roman" w:hAnsi="Times New Roman"/>
          <w:sz w:val="24"/>
          <w:szCs w:val="24"/>
        </w:rPr>
        <w:t xml:space="preserve"> </w:t>
      </w:r>
      <w:r w:rsidR="004A0698">
        <w:rPr>
          <w:rFonts w:ascii="Times New Roman" w:hAnsi="Times New Roman"/>
          <w:sz w:val="24"/>
          <w:szCs w:val="24"/>
        </w:rPr>
        <w:t xml:space="preserve">As we have also seen, </w:t>
      </w:r>
      <w:r w:rsidR="002C7571" w:rsidRPr="002C7571">
        <w:rPr>
          <w:rFonts w:ascii="Times New Roman" w:hAnsi="Times New Roman"/>
          <w:sz w:val="24"/>
          <w:szCs w:val="24"/>
        </w:rPr>
        <w:t xml:space="preserve">Baker and Simon propose </w:t>
      </w:r>
      <w:r w:rsidR="002C7571" w:rsidRPr="002C7571">
        <w:rPr>
          <w:rFonts w:ascii="Times New Roman" w:hAnsi="Times New Roman"/>
          <w:sz w:val="24"/>
          <w:szCs w:val="24"/>
        </w:rPr>
        <w:lastRenderedPageBreak/>
        <w:t>that recent evolution in the role played by insurance has begun to leave the collective risk pooling model behind.</w:t>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 xml:space="preserve">In what way is the actuarial model, taken as the only model, misleading? In </w:t>
      </w:r>
      <w:r w:rsidR="007A513A">
        <w:rPr>
          <w:rFonts w:ascii="Times New Roman" w:hAnsi="Times New Roman"/>
          <w:sz w:val="24"/>
          <w:szCs w:val="24"/>
        </w:rPr>
        <w:t xml:space="preserve">the </w:t>
      </w:r>
      <w:r w:rsidRPr="002C7571">
        <w:rPr>
          <w:rFonts w:ascii="Times New Roman" w:hAnsi="Times New Roman"/>
          <w:sz w:val="24"/>
          <w:szCs w:val="24"/>
        </w:rPr>
        <w:t>commercial insurance market, risks are underwritten, sold, and resold, and premiums are invested, reflecting the acknowledged uncertainty of pricing of risks and the increased role in the insurers</w:t>
      </w:r>
      <w:r w:rsidR="004C7E67" w:rsidRPr="002E71C6">
        <w:rPr>
          <w:rFonts w:ascii="Times New Roman" w:hAnsi="Times New Roman"/>
          <w:sz w:val="24"/>
          <w:szCs w:val="24"/>
        </w:rPr>
        <w:t>’</w:t>
      </w:r>
      <w:r w:rsidRPr="002C7571">
        <w:rPr>
          <w:rFonts w:ascii="Times New Roman" w:hAnsi="Times New Roman"/>
          <w:sz w:val="24"/>
          <w:szCs w:val="24"/>
        </w:rPr>
        <w:t xml:space="preserve"> diverse portfolio of </w:t>
      </w:r>
      <w:r w:rsidR="004961E9" w:rsidRPr="002E71C6">
        <w:rPr>
          <w:rFonts w:ascii="Times New Roman" w:hAnsi="Times New Roman"/>
          <w:sz w:val="24"/>
          <w:szCs w:val="24"/>
        </w:rPr>
        <w:t>“</w:t>
      </w:r>
      <w:r w:rsidRPr="002C7571">
        <w:rPr>
          <w:rFonts w:ascii="Times New Roman" w:hAnsi="Times New Roman"/>
          <w:sz w:val="24"/>
          <w:szCs w:val="24"/>
        </w:rPr>
        <w:t>riskier</w:t>
      </w:r>
      <w:r w:rsidR="004961E9" w:rsidRPr="002E71C6">
        <w:rPr>
          <w:rFonts w:ascii="Times New Roman" w:hAnsi="Times New Roman"/>
          <w:sz w:val="24"/>
          <w:szCs w:val="24"/>
        </w:rPr>
        <w:t>”</w:t>
      </w:r>
      <w:r w:rsidRPr="002C7571">
        <w:rPr>
          <w:rFonts w:ascii="Times New Roman" w:hAnsi="Times New Roman"/>
          <w:sz w:val="24"/>
          <w:szCs w:val="24"/>
        </w:rPr>
        <w:t xml:space="preserve"> (less predictable) risks. This is in turn reflected by the prevalence of reinsurance and of retrocession (reinsurance by reinsurers), where there is little of the homogeneity that is said to characterise insurance. As</w:t>
      </w:r>
      <w:r w:rsidR="00BF0283">
        <w:rPr>
          <w:rFonts w:ascii="Times New Roman" w:hAnsi="Times New Roman"/>
          <w:sz w:val="24"/>
          <w:szCs w:val="24"/>
        </w:rPr>
        <w:t xml:space="preserve"> one example</w:t>
      </w:r>
      <w:r w:rsidRPr="002C7571">
        <w:rPr>
          <w:rFonts w:ascii="Times New Roman" w:hAnsi="Times New Roman"/>
          <w:sz w:val="24"/>
          <w:szCs w:val="24"/>
        </w:rPr>
        <w:t xml:space="preserve">, the </w:t>
      </w:r>
      <w:r w:rsidR="00282611">
        <w:rPr>
          <w:rFonts w:ascii="Times New Roman" w:hAnsi="Times New Roman"/>
          <w:sz w:val="24"/>
          <w:szCs w:val="24"/>
        </w:rPr>
        <w:t xml:space="preserve">relatively </w:t>
      </w:r>
      <w:r w:rsidRPr="002C7571">
        <w:rPr>
          <w:rFonts w:ascii="Times New Roman" w:hAnsi="Times New Roman"/>
          <w:sz w:val="24"/>
          <w:szCs w:val="24"/>
        </w:rPr>
        <w:t xml:space="preserve">high price of </w:t>
      </w:r>
      <w:r w:rsidR="004961E9" w:rsidRPr="002E71C6">
        <w:rPr>
          <w:rFonts w:ascii="Times New Roman" w:hAnsi="Times New Roman"/>
          <w:sz w:val="24"/>
          <w:szCs w:val="24"/>
        </w:rPr>
        <w:t>“</w:t>
      </w:r>
      <w:r w:rsidRPr="002C7571">
        <w:rPr>
          <w:rFonts w:ascii="Times New Roman" w:hAnsi="Times New Roman"/>
          <w:sz w:val="24"/>
          <w:szCs w:val="24"/>
        </w:rPr>
        <w:t>ATE</w:t>
      </w:r>
      <w:r w:rsidR="004961E9" w:rsidRPr="002E71C6">
        <w:rPr>
          <w:rFonts w:ascii="Times New Roman" w:hAnsi="Times New Roman"/>
          <w:sz w:val="24"/>
          <w:szCs w:val="24"/>
        </w:rPr>
        <w:t>”</w:t>
      </w:r>
      <w:r w:rsidRPr="002C7571">
        <w:rPr>
          <w:rFonts w:ascii="Times New Roman" w:hAnsi="Times New Roman"/>
          <w:sz w:val="24"/>
          <w:szCs w:val="24"/>
        </w:rPr>
        <w:t xml:space="preserve"> (after the event) insurance partly reflects </w:t>
      </w:r>
      <w:proofErr w:type="gramStart"/>
      <w:r w:rsidRPr="002C7571">
        <w:rPr>
          <w:rFonts w:ascii="Times New Roman" w:hAnsi="Times New Roman"/>
          <w:sz w:val="24"/>
          <w:szCs w:val="24"/>
        </w:rPr>
        <w:t>its</w:t>
      </w:r>
      <w:proofErr w:type="gramEnd"/>
      <w:r w:rsidRPr="002C7571">
        <w:rPr>
          <w:rFonts w:ascii="Times New Roman" w:hAnsi="Times New Roman"/>
          <w:sz w:val="24"/>
          <w:szCs w:val="24"/>
        </w:rPr>
        <w:t xml:space="preserve"> </w:t>
      </w:r>
      <w:r w:rsidRPr="002C7571">
        <w:rPr>
          <w:rFonts w:ascii="Times New Roman" w:hAnsi="Times New Roman"/>
          <w:i/>
          <w:sz w:val="24"/>
          <w:szCs w:val="24"/>
        </w:rPr>
        <w:t>ex post</w:t>
      </w:r>
      <w:r w:rsidRPr="002C7571">
        <w:rPr>
          <w:rFonts w:ascii="Times New Roman" w:hAnsi="Times New Roman"/>
          <w:sz w:val="24"/>
          <w:szCs w:val="24"/>
        </w:rPr>
        <w:t xml:space="preserve"> character;</w:t>
      </w:r>
      <w:r w:rsidR="004C7E67" w:rsidRPr="002E71C6">
        <w:rPr>
          <w:rStyle w:val="FootnoteReference"/>
          <w:rFonts w:ascii="Times New Roman" w:hAnsi="Times New Roman"/>
          <w:sz w:val="24"/>
          <w:szCs w:val="24"/>
        </w:rPr>
        <w:footnoteReference w:id="57"/>
      </w:r>
      <w:r w:rsidRPr="002C7571">
        <w:rPr>
          <w:rFonts w:ascii="Times New Roman" w:hAnsi="Times New Roman"/>
          <w:sz w:val="24"/>
          <w:szCs w:val="24"/>
        </w:rPr>
        <w:t xml:space="preserve"> and partly also its commercial unattractiveness, since there is no opportunity to invest the premium pending a claim. </w:t>
      </w:r>
      <w:r w:rsidR="00BF0283">
        <w:rPr>
          <w:rFonts w:ascii="Times New Roman" w:hAnsi="Times New Roman"/>
          <w:sz w:val="24"/>
          <w:szCs w:val="24"/>
        </w:rPr>
        <w:t>As a very different example, m</w:t>
      </w:r>
      <w:r w:rsidRPr="002C7571">
        <w:rPr>
          <w:rFonts w:ascii="Times New Roman" w:hAnsi="Times New Roman"/>
          <w:sz w:val="24"/>
          <w:szCs w:val="24"/>
        </w:rPr>
        <w:t>ajor ongoing litigation seeks to identify the location of important liability risks implicated in the extensive losses at Lloyd</w:t>
      </w:r>
      <w:r w:rsidR="004C7E67" w:rsidRPr="002E71C6">
        <w:rPr>
          <w:rFonts w:ascii="Times New Roman" w:hAnsi="Times New Roman"/>
          <w:sz w:val="24"/>
          <w:szCs w:val="24"/>
        </w:rPr>
        <w:t>’</w:t>
      </w:r>
      <w:r w:rsidRPr="002C7571">
        <w:rPr>
          <w:rFonts w:ascii="Times New Roman" w:hAnsi="Times New Roman"/>
          <w:sz w:val="24"/>
          <w:szCs w:val="24"/>
        </w:rPr>
        <w:t xml:space="preserve">s in the 1980s, given that no entirely sound technique can be agreed upon for distinguishing properly paid sums from erroneously paid sums through the London Market Excess of Loss reinsurance </w:t>
      </w:r>
      <w:r w:rsidR="004961E9" w:rsidRPr="002E71C6">
        <w:rPr>
          <w:rFonts w:ascii="Times New Roman" w:hAnsi="Times New Roman"/>
          <w:sz w:val="24"/>
          <w:szCs w:val="24"/>
        </w:rPr>
        <w:t>“</w:t>
      </w:r>
      <w:r w:rsidRPr="002C7571">
        <w:rPr>
          <w:rFonts w:ascii="Times New Roman" w:hAnsi="Times New Roman"/>
          <w:sz w:val="24"/>
          <w:szCs w:val="24"/>
        </w:rPr>
        <w:t>spiral</w:t>
      </w:r>
      <w:r w:rsidR="004961E9" w:rsidRPr="002E71C6">
        <w:rPr>
          <w:rFonts w:ascii="Times New Roman" w:hAnsi="Times New Roman"/>
          <w:sz w:val="24"/>
          <w:szCs w:val="24"/>
        </w:rPr>
        <w:t>”</w:t>
      </w:r>
      <w:r w:rsidRPr="002C7571">
        <w:rPr>
          <w:rFonts w:ascii="Times New Roman" w:hAnsi="Times New Roman"/>
          <w:sz w:val="24"/>
          <w:szCs w:val="24"/>
        </w:rPr>
        <w:t xml:space="preserve">, illustrating how far liabilities will travel from the idea of </w:t>
      </w:r>
      <w:r w:rsidR="004961E9" w:rsidRPr="002E71C6">
        <w:rPr>
          <w:rFonts w:ascii="Times New Roman" w:hAnsi="Times New Roman"/>
          <w:sz w:val="24"/>
          <w:szCs w:val="24"/>
        </w:rPr>
        <w:t>“</w:t>
      </w:r>
      <w:r w:rsidR="005D3E1D">
        <w:rPr>
          <w:rFonts w:ascii="Times New Roman" w:hAnsi="Times New Roman"/>
          <w:sz w:val="24"/>
          <w:szCs w:val="24"/>
        </w:rPr>
        <w:t>like risks</w:t>
      </w:r>
      <w:r w:rsidR="004961E9" w:rsidRPr="002E71C6">
        <w:rPr>
          <w:rFonts w:ascii="Times New Roman" w:hAnsi="Times New Roman"/>
          <w:sz w:val="24"/>
          <w:szCs w:val="24"/>
        </w:rPr>
        <w:t>”</w:t>
      </w:r>
      <w:r w:rsidRPr="002C7571">
        <w:rPr>
          <w:rFonts w:ascii="Times New Roman" w:hAnsi="Times New Roman"/>
          <w:sz w:val="24"/>
          <w:szCs w:val="24"/>
        </w:rPr>
        <w:t>.</w:t>
      </w:r>
      <w:r w:rsidR="004C7E67" w:rsidRPr="002E71C6">
        <w:rPr>
          <w:rStyle w:val="FootnoteReference"/>
          <w:rFonts w:ascii="Times New Roman" w:hAnsi="Times New Roman"/>
          <w:sz w:val="24"/>
          <w:szCs w:val="24"/>
        </w:rPr>
        <w:footnoteReference w:id="58"/>
      </w:r>
      <w:r w:rsidRPr="002C7571">
        <w:rPr>
          <w:rFonts w:ascii="Times New Roman" w:hAnsi="Times New Roman"/>
          <w:sz w:val="24"/>
          <w:szCs w:val="24"/>
        </w:rPr>
        <w:t xml:space="preserve"> Employers</w:t>
      </w:r>
      <w:r w:rsidR="004C7E67" w:rsidRPr="002E71C6">
        <w:rPr>
          <w:rFonts w:ascii="Times New Roman" w:hAnsi="Times New Roman"/>
          <w:sz w:val="24"/>
          <w:szCs w:val="24"/>
        </w:rPr>
        <w:t>’</w:t>
      </w:r>
      <w:r w:rsidRPr="002C7571">
        <w:rPr>
          <w:rFonts w:ascii="Times New Roman" w:hAnsi="Times New Roman"/>
          <w:sz w:val="24"/>
          <w:szCs w:val="24"/>
        </w:rPr>
        <w:t xml:space="preserve"> liability insurance brings us close to these aspects of insurance, since we are dealing with the potential for long-tail risks of uncertain size, and with little </w:t>
      </w:r>
      <w:r w:rsidR="004961E9" w:rsidRPr="002E71C6">
        <w:rPr>
          <w:rFonts w:ascii="Times New Roman" w:hAnsi="Times New Roman"/>
          <w:sz w:val="24"/>
          <w:szCs w:val="24"/>
        </w:rPr>
        <w:t>“</w:t>
      </w:r>
      <w:r w:rsidRPr="002C7571">
        <w:rPr>
          <w:rFonts w:ascii="Times New Roman" w:hAnsi="Times New Roman"/>
          <w:sz w:val="24"/>
          <w:szCs w:val="24"/>
        </w:rPr>
        <w:t>reciprocity</w:t>
      </w:r>
      <w:r w:rsidR="004961E9" w:rsidRPr="002E71C6">
        <w:rPr>
          <w:rFonts w:ascii="Times New Roman" w:hAnsi="Times New Roman"/>
          <w:sz w:val="24"/>
          <w:szCs w:val="24"/>
        </w:rPr>
        <w:t>”</w:t>
      </w:r>
      <w:r w:rsidRPr="002C7571">
        <w:rPr>
          <w:rFonts w:ascii="Times New Roman" w:hAnsi="Times New Roman"/>
          <w:sz w:val="24"/>
          <w:szCs w:val="24"/>
        </w:rPr>
        <w:t xml:space="preserve"> of risks.</w:t>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 xml:space="preserve">In summary, </w:t>
      </w:r>
      <w:r w:rsidR="007A513A">
        <w:rPr>
          <w:rFonts w:ascii="Times New Roman" w:hAnsi="Times New Roman"/>
          <w:sz w:val="24"/>
          <w:szCs w:val="24"/>
        </w:rPr>
        <w:t>in addition to the use made of insurance by the parties</w:t>
      </w:r>
      <w:r w:rsidR="00F90548">
        <w:rPr>
          <w:rFonts w:ascii="Times New Roman" w:hAnsi="Times New Roman"/>
          <w:sz w:val="24"/>
          <w:szCs w:val="24"/>
        </w:rPr>
        <w:t xml:space="preserve"> (which is generally, to shift or moderate risks)</w:t>
      </w:r>
      <w:r w:rsidR="007A513A">
        <w:rPr>
          <w:rFonts w:ascii="Times New Roman" w:hAnsi="Times New Roman"/>
          <w:sz w:val="24"/>
          <w:szCs w:val="24"/>
        </w:rPr>
        <w:t xml:space="preserve">, </w:t>
      </w:r>
      <w:r w:rsidRPr="002C7571">
        <w:rPr>
          <w:rFonts w:ascii="Times New Roman" w:hAnsi="Times New Roman"/>
          <w:sz w:val="24"/>
          <w:szCs w:val="24"/>
        </w:rPr>
        <w:t xml:space="preserve">the actuarial, mutual model </w:t>
      </w:r>
      <w:r w:rsidR="007A513A">
        <w:rPr>
          <w:rFonts w:ascii="Times New Roman" w:hAnsi="Times New Roman"/>
          <w:sz w:val="24"/>
          <w:szCs w:val="24"/>
        </w:rPr>
        <w:t xml:space="preserve">also </w:t>
      </w:r>
      <w:r w:rsidRPr="002C7571">
        <w:rPr>
          <w:rFonts w:ascii="Times New Roman" w:hAnsi="Times New Roman"/>
          <w:sz w:val="24"/>
          <w:szCs w:val="24"/>
        </w:rPr>
        <w:t>does not fully reflect the economic role played by insurance.</w:t>
      </w:r>
      <w:bookmarkStart w:id="21" w:name="_Ref293145544"/>
      <w:r w:rsidR="004C7E67" w:rsidRPr="002E71C6">
        <w:rPr>
          <w:rStyle w:val="FootnoteReference"/>
          <w:rFonts w:ascii="Times New Roman" w:hAnsi="Times New Roman"/>
          <w:sz w:val="24"/>
          <w:szCs w:val="24"/>
        </w:rPr>
        <w:footnoteReference w:id="59"/>
      </w:r>
      <w:bookmarkEnd w:id="21"/>
      <w:r w:rsidRPr="002C7571">
        <w:rPr>
          <w:rFonts w:ascii="Times New Roman" w:hAnsi="Times New Roman"/>
          <w:sz w:val="24"/>
          <w:szCs w:val="24"/>
        </w:rPr>
        <w:t xml:space="preserve"> This is because of the complex structure of the insurance market; the absence of homogeneity in agglomeration of risks; and the fact that the insurer too is increasingly exposed to risk.</w:t>
      </w:r>
      <w:r w:rsidR="004C7E67" w:rsidRPr="002E71C6">
        <w:rPr>
          <w:rFonts w:ascii="Times New Roman" w:hAnsi="Times New Roman"/>
          <w:sz w:val="24"/>
          <w:szCs w:val="24"/>
        </w:rPr>
        <w:t xml:space="preserve"> </w:t>
      </w:r>
      <w:r w:rsidRPr="002C7571">
        <w:rPr>
          <w:rFonts w:ascii="Times New Roman" w:hAnsi="Times New Roman"/>
          <w:sz w:val="24"/>
          <w:szCs w:val="24"/>
        </w:rPr>
        <w:t xml:space="preserve">Insurers are major financial institutions and although not as exposed to credit risk as banks, their exposure to </w:t>
      </w:r>
      <w:r w:rsidR="004961E9" w:rsidRPr="002E71C6">
        <w:rPr>
          <w:rFonts w:ascii="Times New Roman" w:hAnsi="Times New Roman"/>
          <w:sz w:val="24"/>
          <w:szCs w:val="24"/>
        </w:rPr>
        <w:t>“</w:t>
      </w:r>
      <w:r w:rsidRPr="002C7571">
        <w:rPr>
          <w:rFonts w:ascii="Times New Roman" w:hAnsi="Times New Roman"/>
          <w:sz w:val="24"/>
          <w:szCs w:val="24"/>
        </w:rPr>
        <w:t>systemic risk</w:t>
      </w:r>
      <w:r w:rsidR="004961E9" w:rsidRPr="002E71C6">
        <w:rPr>
          <w:rFonts w:ascii="Times New Roman" w:hAnsi="Times New Roman"/>
          <w:sz w:val="24"/>
          <w:szCs w:val="24"/>
        </w:rPr>
        <w:t>”</w:t>
      </w:r>
      <w:r w:rsidRPr="002C7571">
        <w:rPr>
          <w:rFonts w:ascii="Times New Roman" w:hAnsi="Times New Roman"/>
          <w:sz w:val="24"/>
          <w:szCs w:val="24"/>
        </w:rPr>
        <w:t xml:space="preserve"> from involvement in credit risks and the banking sector is increasing. This form of risk has been estimated to far outweigh the impact of rises in legal liability.</w:t>
      </w:r>
      <w:r w:rsidR="004C7E67" w:rsidRPr="002E71C6">
        <w:rPr>
          <w:rStyle w:val="FootnoteReference"/>
          <w:rFonts w:ascii="Times New Roman" w:hAnsi="Times New Roman"/>
          <w:sz w:val="24"/>
          <w:szCs w:val="24"/>
        </w:rPr>
        <w:footnoteReference w:id="60"/>
      </w:r>
      <w:r w:rsidRPr="002C7571">
        <w:rPr>
          <w:rFonts w:ascii="Times New Roman" w:hAnsi="Times New Roman"/>
          <w:sz w:val="24"/>
          <w:szCs w:val="24"/>
        </w:rPr>
        <w:t xml:space="preserve"> Regulation of the market and its participants, securing appropriate response to all risks, rather than simply liability risks, might therefore be considered a more significant response than tinkering with liabilities. </w:t>
      </w:r>
      <w:r w:rsidR="008D6589">
        <w:rPr>
          <w:rFonts w:ascii="Times New Roman" w:hAnsi="Times New Roman"/>
          <w:sz w:val="24"/>
          <w:szCs w:val="24"/>
        </w:rPr>
        <w:t xml:space="preserve">And indeed the insurance market is subject to significant regulation. </w:t>
      </w:r>
      <w:r w:rsidRPr="002C7571">
        <w:rPr>
          <w:rFonts w:ascii="Times New Roman" w:hAnsi="Times New Roman"/>
          <w:sz w:val="24"/>
          <w:szCs w:val="24"/>
        </w:rPr>
        <w:t xml:space="preserve">Why has this sort of response had so little emphasis in legal studies of the area? For lawyers, it is equally far removed from the traditional concerns of commercial law as focused on exchange and commercial practice, and from the received view of insurance as a potential solution to the </w:t>
      </w:r>
      <w:r w:rsidR="00D83EFF" w:rsidRPr="002E71C6">
        <w:rPr>
          <w:rFonts w:ascii="Times New Roman" w:hAnsi="Times New Roman"/>
          <w:sz w:val="24"/>
          <w:szCs w:val="24"/>
        </w:rPr>
        <w:t>“</w:t>
      </w:r>
      <w:r w:rsidRPr="002C7571">
        <w:rPr>
          <w:rFonts w:ascii="Times New Roman" w:hAnsi="Times New Roman"/>
          <w:sz w:val="24"/>
          <w:szCs w:val="24"/>
        </w:rPr>
        <w:t>problem</w:t>
      </w:r>
      <w:r w:rsidR="00D83EFF" w:rsidRPr="002E71C6">
        <w:rPr>
          <w:rFonts w:ascii="Times New Roman" w:hAnsi="Times New Roman"/>
          <w:sz w:val="24"/>
          <w:szCs w:val="24"/>
        </w:rPr>
        <w:t>”</w:t>
      </w:r>
      <w:r w:rsidRPr="002C7571">
        <w:rPr>
          <w:rFonts w:ascii="Times New Roman" w:hAnsi="Times New Roman"/>
          <w:sz w:val="24"/>
          <w:szCs w:val="24"/>
        </w:rPr>
        <w:t xml:space="preserve"> of risks, rather than playing a part in their creation. For some governments, it perhaps does not suit their </w:t>
      </w:r>
      <w:r w:rsidRPr="002C7571">
        <w:rPr>
          <w:rFonts w:ascii="Times New Roman" w:hAnsi="Times New Roman"/>
          <w:sz w:val="24"/>
          <w:szCs w:val="24"/>
        </w:rPr>
        <w:lastRenderedPageBreak/>
        <w:t xml:space="preserve">purposes to focus on regulatory questions </w:t>
      </w:r>
      <w:r w:rsidR="004C7E67" w:rsidRPr="002E71C6">
        <w:rPr>
          <w:rFonts w:ascii="Times New Roman" w:hAnsi="Times New Roman"/>
          <w:sz w:val="24"/>
          <w:szCs w:val="24"/>
        </w:rPr>
        <w:t>–</w:t>
      </w:r>
      <w:r w:rsidRPr="002C7571">
        <w:rPr>
          <w:rFonts w:ascii="Times New Roman" w:hAnsi="Times New Roman"/>
          <w:sz w:val="24"/>
          <w:szCs w:val="24"/>
        </w:rPr>
        <w:t xml:space="preserve"> or perhaps these questions are simply less easily comprehended or managed. We return to this in the last section.</w:t>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In principle, the questions raised for tort law by insurance are not so different from other questions surrounding responsibility for risk</w:t>
      </w:r>
      <w:r w:rsidR="008D6589">
        <w:rPr>
          <w:rFonts w:ascii="Times New Roman" w:hAnsi="Times New Roman"/>
          <w:sz w:val="24"/>
          <w:szCs w:val="24"/>
        </w:rPr>
        <w:t>, and displacement of risk</w:t>
      </w:r>
      <w:r w:rsidRPr="002C7571">
        <w:rPr>
          <w:rFonts w:ascii="Times New Roman" w:hAnsi="Times New Roman"/>
          <w:sz w:val="24"/>
          <w:szCs w:val="24"/>
        </w:rPr>
        <w:t xml:space="preserve">. This is all the clearer when it is realised that, as just argued, insurance is as much about the selling or transfer of risks as it is about their distribution across a collective risk pool. </w:t>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 xml:space="preserve">Before illustrating the connection, we can show the parallel nature of the issues for contract and tort by considering the role of liability insurance in each of them, and their interaction, in terms of competition between formalism and contextualism, or legal principle and awareness of legal function. Indeed, one of the key questions is to what extent the contractual or tortious position features as part of the context of decision-making in the </w:t>
      </w:r>
      <w:r w:rsidR="00D83EFF" w:rsidRPr="002E71C6">
        <w:rPr>
          <w:rFonts w:ascii="Times New Roman" w:hAnsi="Times New Roman"/>
          <w:sz w:val="24"/>
          <w:szCs w:val="24"/>
        </w:rPr>
        <w:t>“</w:t>
      </w:r>
      <w:r w:rsidRPr="002C7571">
        <w:rPr>
          <w:rFonts w:ascii="Times New Roman" w:hAnsi="Times New Roman"/>
          <w:sz w:val="24"/>
          <w:szCs w:val="24"/>
        </w:rPr>
        <w:t>other</w:t>
      </w:r>
      <w:r w:rsidR="00D83EFF" w:rsidRPr="002E71C6">
        <w:rPr>
          <w:rFonts w:ascii="Times New Roman" w:hAnsi="Times New Roman"/>
          <w:sz w:val="24"/>
          <w:szCs w:val="24"/>
        </w:rPr>
        <w:t>”</w:t>
      </w:r>
      <w:r w:rsidRPr="002C7571">
        <w:rPr>
          <w:rFonts w:ascii="Times New Roman" w:hAnsi="Times New Roman"/>
          <w:sz w:val="24"/>
          <w:szCs w:val="24"/>
        </w:rPr>
        <w:t xml:space="preserve"> branch of obligations, and what the other influences on each may be (such as compensation, or commercial security).</w:t>
      </w:r>
    </w:p>
    <w:p w:rsidR="00032365" w:rsidRDefault="00032365">
      <w:pPr>
        <w:spacing w:after="0" w:line="240" w:lineRule="auto"/>
        <w:jc w:val="both"/>
        <w:rPr>
          <w:rFonts w:ascii="Times New Roman" w:hAnsi="Times New Roman"/>
          <w:b/>
          <w:sz w:val="24"/>
          <w:szCs w:val="24"/>
        </w:rPr>
      </w:pPr>
    </w:p>
    <w:p w:rsidR="00032365" w:rsidRDefault="002C7571">
      <w:pPr>
        <w:spacing w:after="0" w:line="240" w:lineRule="auto"/>
        <w:jc w:val="both"/>
        <w:rPr>
          <w:rFonts w:ascii="Times New Roman Bold" w:hAnsi="Times New Roman Bold"/>
          <w:b/>
          <w:smallCaps/>
          <w:sz w:val="32"/>
          <w:szCs w:val="32"/>
        </w:rPr>
      </w:pPr>
      <w:r w:rsidRPr="002C7571">
        <w:rPr>
          <w:rFonts w:ascii="Times New Roman Bold" w:hAnsi="Times New Roman Bold"/>
          <w:b/>
          <w:smallCaps/>
          <w:sz w:val="32"/>
          <w:szCs w:val="32"/>
        </w:rPr>
        <w:t>Formalism and contextualism in contract and tort: the case of liability insurance</w:t>
      </w:r>
    </w:p>
    <w:p w:rsidR="00032365" w:rsidRDefault="00032365">
      <w:pPr>
        <w:spacing w:after="0" w:line="240" w:lineRule="auto"/>
        <w:jc w:val="both"/>
        <w:rPr>
          <w:rFonts w:ascii="Times New Roman" w:hAnsi="Times New Roman"/>
          <w:sz w:val="24"/>
          <w:szCs w:val="24"/>
        </w:rPr>
      </w:pPr>
    </w:p>
    <w:p w:rsidR="00032365" w:rsidRDefault="002C7571">
      <w:pPr>
        <w:pStyle w:val="ListParagraph"/>
        <w:spacing w:after="0" w:line="240" w:lineRule="auto"/>
        <w:ind w:left="0"/>
        <w:jc w:val="both"/>
        <w:rPr>
          <w:rFonts w:ascii="Times New Roman" w:hAnsi="Times New Roman"/>
          <w:b/>
          <w:i/>
          <w:sz w:val="28"/>
          <w:szCs w:val="28"/>
        </w:rPr>
      </w:pPr>
      <w:r w:rsidRPr="002C7571">
        <w:rPr>
          <w:rFonts w:ascii="Times New Roman" w:hAnsi="Times New Roman"/>
          <w:b/>
          <w:i/>
          <w:sz w:val="28"/>
          <w:szCs w:val="28"/>
        </w:rPr>
        <w:t>Tort</w:t>
      </w:r>
    </w:p>
    <w:p w:rsidR="00032365" w:rsidRDefault="00032365">
      <w:pPr>
        <w:spacing w:after="0" w:line="240" w:lineRule="auto"/>
        <w:jc w:val="both"/>
        <w:rPr>
          <w:rFonts w:ascii="Times New Roman" w:hAnsi="Times New Roman"/>
          <w:sz w:val="24"/>
          <w:szCs w:val="24"/>
        </w:rPr>
      </w:pPr>
    </w:p>
    <w:p w:rsidR="00032365" w:rsidRDefault="002C7571">
      <w:pPr>
        <w:spacing w:after="0" w:line="240" w:lineRule="auto"/>
        <w:jc w:val="both"/>
        <w:rPr>
          <w:rFonts w:ascii="Times New Roman" w:hAnsi="Times New Roman"/>
          <w:sz w:val="24"/>
          <w:szCs w:val="24"/>
        </w:rPr>
      </w:pPr>
      <w:r w:rsidRPr="002C7571">
        <w:rPr>
          <w:rFonts w:ascii="Times New Roman" w:hAnsi="Times New Roman"/>
          <w:sz w:val="24"/>
          <w:szCs w:val="24"/>
        </w:rPr>
        <w:t xml:space="preserve">In tort law, as we know, a recurrent question has been perceived to be how far insurability (or insurance) is or should be a relevant concern. </w:t>
      </w:r>
      <w:r w:rsidR="008D6589">
        <w:rPr>
          <w:rFonts w:ascii="Times New Roman" w:hAnsi="Times New Roman"/>
          <w:sz w:val="24"/>
          <w:szCs w:val="24"/>
        </w:rPr>
        <w:t xml:space="preserve">Such factors were touched on in the Introduction. </w:t>
      </w:r>
      <w:r w:rsidRPr="002C7571">
        <w:rPr>
          <w:rFonts w:ascii="Times New Roman" w:hAnsi="Times New Roman"/>
          <w:sz w:val="24"/>
          <w:szCs w:val="24"/>
        </w:rPr>
        <w:t>I have suggested that insurability is relevant in broadly the same way that other questions about responsibility for risks are relevant. Whether it is fairly D</w:t>
      </w:r>
      <w:r w:rsidR="004C7E67" w:rsidRPr="002E71C6">
        <w:rPr>
          <w:rFonts w:ascii="Times New Roman" w:hAnsi="Times New Roman"/>
          <w:sz w:val="24"/>
          <w:szCs w:val="24"/>
        </w:rPr>
        <w:t>’</w:t>
      </w:r>
      <w:r w:rsidRPr="002C7571">
        <w:rPr>
          <w:rFonts w:ascii="Times New Roman" w:hAnsi="Times New Roman"/>
          <w:sz w:val="24"/>
          <w:szCs w:val="24"/>
        </w:rPr>
        <w:t xml:space="preserve">s duty to prevent the harm is to some extent a question of whether </w:t>
      </w:r>
      <w:r w:rsidR="006108BF" w:rsidRPr="002E71C6">
        <w:rPr>
          <w:rFonts w:ascii="Times New Roman" w:hAnsi="Times New Roman"/>
          <w:sz w:val="24"/>
          <w:szCs w:val="24"/>
        </w:rPr>
        <w:t>P</w:t>
      </w:r>
      <w:r w:rsidRPr="002C7571">
        <w:rPr>
          <w:rFonts w:ascii="Times New Roman" w:hAnsi="Times New Roman"/>
          <w:sz w:val="24"/>
          <w:szCs w:val="24"/>
        </w:rPr>
        <w:t xml:space="preserve"> is able to deal with the risk aptly him or herself,</w:t>
      </w:r>
      <w:r w:rsidR="004C7E67" w:rsidRPr="002E71C6">
        <w:rPr>
          <w:rStyle w:val="FootnoteReference"/>
          <w:rFonts w:ascii="Times New Roman" w:hAnsi="Times New Roman"/>
          <w:sz w:val="24"/>
          <w:szCs w:val="24"/>
        </w:rPr>
        <w:footnoteReference w:id="61"/>
      </w:r>
      <w:r w:rsidRPr="002C7571">
        <w:rPr>
          <w:rFonts w:ascii="Times New Roman" w:hAnsi="Times New Roman"/>
          <w:sz w:val="24"/>
          <w:szCs w:val="24"/>
        </w:rPr>
        <w:t xml:space="preserve"> and/or of whether D is the right person to pick out as owing the legal duty to take care for </w:t>
      </w:r>
      <w:r w:rsidR="006108BF" w:rsidRPr="002E71C6">
        <w:rPr>
          <w:rFonts w:ascii="Times New Roman" w:hAnsi="Times New Roman"/>
          <w:sz w:val="24"/>
          <w:szCs w:val="24"/>
        </w:rPr>
        <w:t>P</w:t>
      </w:r>
      <w:r w:rsidRPr="002C7571">
        <w:rPr>
          <w:rFonts w:ascii="Times New Roman" w:hAnsi="Times New Roman"/>
          <w:sz w:val="24"/>
          <w:szCs w:val="24"/>
        </w:rPr>
        <w:t xml:space="preserve"> (for example in omissions cases, particularly against police authorities, local authorities, occupiers, or people thought to have </w:t>
      </w:r>
      <w:r w:rsidR="006108BF" w:rsidRPr="002E71C6">
        <w:rPr>
          <w:rFonts w:ascii="Times New Roman" w:hAnsi="Times New Roman"/>
          <w:sz w:val="24"/>
          <w:szCs w:val="24"/>
        </w:rPr>
        <w:t>“</w:t>
      </w:r>
      <w:r w:rsidRPr="002C7571">
        <w:rPr>
          <w:rFonts w:ascii="Times New Roman" w:hAnsi="Times New Roman"/>
          <w:sz w:val="24"/>
          <w:szCs w:val="24"/>
        </w:rPr>
        <w:t>non-delegable duties</w:t>
      </w:r>
      <w:r w:rsidR="006108BF" w:rsidRPr="002E71C6">
        <w:rPr>
          <w:rFonts w:ascii="Times New Roman" w:hAnsi="Times New Roman"/>
          <w:sz w:val="24"/>
          <w:szCs w:val="24"/>
        </w:rPr>
        <w:t>”</w:t>
      </w:r>
      <w:r w:rsidRPr="002C7571">
        <w:rPr>
          <w:rFonts w:ascii="Times New Roman" w:hAnsi="Times New Roman"/>
          <w:sz w:val="24"/>
          <w:szCs w:val="24"/>
        </w:rPr>
        <w:t xml:space="preserve"> to particular </w:t>
      </w:r>
      <w:r w:rsidR="006108BF" w:rsidRPr="002E71C6">
        <w:rPr>
          <w:rFonts w:ascii="Times New Roman" w:hAnsi="Times New Roman"/>
          <w:sz w:val="24"/>
          <w:szCs w:val="24"/>
        </w:rPr>
        <w:t>plaintiffs</w:t>
      </w:r>
      <w:r w:rsidRPr="002C7571">
        <w:rPr>
          <w:rFonts w:ascii="Times New Roman" w:hAnsi="Times New Roman"/>
          <w:sz w:val="24"/>
          <w:szCs w:val="24"/>
        </w:rPr>
        <w:t>). These are questions whose answers can be expected to be dependent on the context of a particular relationship. The ability to deal with risks, and responsibility for risks, are therefore relevant to the law of tort, but insurability is only one feature of these considerations.</w:t>
      </w:r>
      <w:r w:rsidR="008D6589">
        <w:rPr>
          <w:rFonts w:ascii="Times New Roman" w:hAnsi="Times New Roman"/>
          <w:sz w:val="24"/>
          <w:szCs w:val="24"/>
        </w:rPr>
        <w:t xml:space="preserve"> The existence of “no duty” situations in circumstances where insurance is available does not disprove the influence of insurance, and is consistent with the complexity of that influence.</w:t>
      </w:r>
      <w:r w:rsidRPr="002C7571">
        <w:rPr>
          <w:rFonts w:ascii="Times New Roman" w:hAnsi="Times New Roman"/>
          <w:sz w:val="24"/>
          <w:szCs w:val="24"/>
        </w:rPr>
        <w:t xml:space="preserve"> </w:t>
      </w:r>
    </w:p>
    <w:p w:rsidR="00032365" w:rsidRDefault="00032365">
      <w:pPr>
        <w:spacing w:after="0" w:line="240" w:lineRule="auto"/>
        <w:jc w:val="both"/>
        <w:rPr>
          <w:rFonts w:ascii="Times New Roman" w:hAnsi="Times New Roman"/>
          <w:sz w:val="24"/>
          <w:szCs w:val="24"/>
        </w:rPr>
      </w:pPr>
    </w:p>
    <w:p w:rsidR="00032365" w:rsidRDefault="002C7571">
      <w:pPr>
        <w:pStyle w:val="ListParagraph"/>
        <w:spacing w:after="0" w:line="240" w:lineRule="auto"/>
        <w:ind w:left="0"/>
        <w:jc w:val="both"/>
        <w:rPr>
          <w:rFonts w:ascii="Times New Roman" w:hAnsi="Times New Roman"/>
          <w:b/>
          <w:i/>
          <w:sz w:val="28"/>
          <w:szCs w:val="28"/>
        </w:rPr>
      </w:pPr>
      <w:r w:rsidRPr="002C7571">
        <w:rPr>
          <w:rFonts w:ascii="Times New Roman" w:hAnsi="Times New Roman"/>
          <w:b/>
          <w:i/>
          <w:sz w:val="28"/>
          <w:szCs w:val="28"/>
        </w:rPr>
        <w:t>Contract</w:t>
      </w:r>
    </w:p>
    <w:p w:rsidR="004C7E67" w:rsidRPr="002E71C6" w:rsidRDefault="004C7E67" w:rsidP="002E71C6">
      <w:pPr>
        <w:pStyle w:val="ListParagraph"/>
        <w:spacing w:after="0" w:line="240" w:lineRule="auto"/>
        <w:jc w:val="both"/>
        <w:rPr>
          <w:rFonts w:ascii="Times New Roman" w:hAnsi="Times New Roman"/>
          <w:sz w:val="24"/>
          <w:szCs w:val="24"/>
        </w:rPr>
      </w:pPr>
    </w:p>
    <w:p w:rsidR="00032365" w:rsidRDefault="002C7571">
      <w:pPr>
        <w:spacing w:after="0" w:line="240" w:lineRule="auto"/>
        <w:jc w:val="both"/>
        <w:rPr>
          <w:rFonts w:ascii="Times New Roman" w:hAnsi="Times New Roman"/>
          <w:sz w:val="24"/>
          <w:szCs w:val="24"/>
        </w:rPr>
      </w:pPr>
      <w:r w:rsidRPr="002C7571">
        <w:rPr>
          <w:rFonts w:ascii="Times New Roman" w:hAnsi="Times New Roman"/>
          <w:sz w:val="24"/>
          <w:szCs w:val="24"/>
        </w:rPr>
        <w:t xml:space="preserve">I have said that the approach here is intended to be more </w:t>
      </w:r>
      <w:r w:rsidR="006108BF" w:rsidRPr="002E71C6">
        <w:rPr>
          <w:rFonts w:ascii="Times New Roman" w:hAnsi="Times New Roman"/>
          <w:sz w:val="24"/>
          <w:szCs w:val="24"/>
        </w:rPr>
        <w:t>“</w:t>
      </w:r>
      <w:r w:rsidRPr="002C7571">
        <w:rPr>
          <w:rFonts w:ascii="Times New Roman" w:hAnsi="Times New Roman"/>
          <w:sz w:val="24"/>
          <w:szCs w:val="24"/>
        </w:rPr>
        <w:t>symmetrical</w:t>
      </w:r>
      <w:r w:rsidR="006108BF" w:rsidRPr="002E71C6">
        <w:rPr>
          <w:rFonts w:ascii="Times New Roman" w:hAnsi="Times New Roman"/>
          <w:sz w:val="24"/>
          <w:szCs w:val="24"/>
        </w:rPr>
        <w:t>”</w:t>
      </w:r>
      <w:r w:rsidRPr="002C7571">
        <w:rPr>
          <w:rFonts w:ascii="Times New Roman" w:hAnsi="Times New Roman"/>
          <w:sz w:val="24"/>
          <w:szCs w:val="24"/>
        </w:rPr>
        <w:t xml:space="preserve">. If </w:t>
      </w:r>
      <w:r w:rsidR="008D6589">
        <w:rPr>
          <w:rFonts w:ascii="Times New Roman" w:hAnsi="Times New Roman"/>
          <w:sz w:val="24"/>
          <w:szCs w:val="24"/>
        </w:rPr>
        <w:t xml:space="preserve">the status of </w:t>
      </w:r>
      <w:r w:rsidRPr="002C7571">
        <w:rPr>
          <w:rFonts w:ascii="Times New Roman" w:hAnsi="Times New Roman"/>
          <w:sz w:val="24"/>
          <w:szCs w:val="24"/>
        </w:rPr>
        <w:t xml:space="preserve">insurability and the impact of liability are </w:t>
      </w:r>
      <w:commentRangeStart w:id="22"/>
      <w:r w:rsidRPr="002C7571">
        <w:rPr>
          <w:rFonts w:ascii="Times New Roman" w:hAnsi="Times New Roman"/>
          <w:sz w:val="24"/>
          <w:szCs w:val="24"/>
        </w:rPr>
        <w:t xml:space="preserve">debated as </w:t>
      </w:r>
      <w:commentRangeEnd w:id="22"/>
      <w:r w:rsidRPr="002C7571">
        <w:rPr>
          <w:rStyle w:val="CommentReference"/>
          <w:rFonts w:ascii="Times New Roman" w:hAnsi="Times New Roman"/>
          <w:sz w:val="24"/>
          <w:szCs w:val="24"/>
        </w:rPr>
        <w:commentReference w:id="22"/>
      </w:r>
      <w:r w:rsidRPr="002C7571">
        <w:rPr>
          <w:rFonts w:ascii="Times New Roman" w:hAnsi="Times New Roman"/>
          <w:sz w:val="24"/>
          <w:szCs w:val="24"/>
        </w:rPr>
        <w:t xml:space="preserve">relevant factors (or not) in respect of tort, what is the status of tort liabilities (their role and purpose) when it comes to interpreting insurance contracts? Since the relationship between tort and insurance </w:t>
      </w:r>
      <w:r w:rsidRPr="002C7571">
        <w:rPr>
          <w:rFonts w:ascii="Times New Roman" w:hAnsi="Times New Roman"/>
          <w:i/>
          <w:sz w:val="24"/>
          <w:szCs w:val="24"/>
        </w:rPr>
        <w:t xml:space="preserve">law </w:t>
      </w:r>
      <w:r w:rsidRPr="002C7571">
        <w:rPr>
          <w:rFonts w:ascii="Times New Roman" w:hAnsi="Times New Roman"/>
          <w:sz w:val="24"/>
          <w:szCs w:val="24"/>
        </w:rPr>
        <w:t xml:space="preserve">is not generally the subject of analysis, this question has not been much discussed. In interpreting insurance contracts, is it relevant to consider the purpose of the liabilities covered, in the same way that tort may be affected by availability of the cover itself? </w:t>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 xml:space="preserve">If there is to be any chance of achieving symmetry rather than futility in this regard, this will be because the ability to handle risk, relevant to many features of tort, is much broader </w:t>
      </w:r>
      <w:r w:rsidRPr="002C7571">
        <w:rPr>
          <w:rFonts w:ascii="Times New Roman" w:hAnsi="Times New Roman"/>
          <w:sz w:val="24"/>
          <w:szCs w:val="24"/>
        </w:rPr>
        <w:lastRenderedPageBreak/>
        <w:t xml:space="preserve">than the </w:t>
      </w:r>
      <w:r w:rsidR="00125D1D" w:rsidRPr="002E71C6">
        <w:rPr>
          <w:rFonts w:ascii="Times New Roman" w:hAnsi="Times New Roman"/>
          <w:sz w:val="24"/>
          <w:szCs w:val="24"/>
        </w:rPr>
        <w:t>“</w:t>
      </w:r>
      <w:r w:rsidRPr="002C7571">
        <w:rPr>
          <w:rFonts w:ascii="Times New Roman" w:hAnsi="Times New Roman"/>
          <w:sz w:val="24"/>
          <w:szCs w:val="24"/>
        </w:rPr>
        <w:t>insurance</w:t>
      </w:r>
      <w:r w:rsidR="00125D1D" w:rsidRPr="002E71C6">
        <w:rPr>
          <w:rFonts w:ascii="Times New Roman" w:hAnsi="Times New Roman"/>
          <w:sz w:val="24"/>
          <w:szCs w:val="24"/>
        </w:rPr>
        <w:t>”</w:t>
      </w:r>
      <w:r w:rsidRPr="002C7571">
        <w:rPr>
          <w:rFonts w:ascii="Times New Roman" w:hAnsi="Times New Roman"/>
          <w:sz w:val="24"/>
          <w:szCs w:val="24"/>
        </w:rPr>
        <w:t xml:space="preserve"> question. But it is by no means clear that the nature and function of the liabilities covered by a contract are recognised to be relevant in this way to the law</w:t>
      </w:r>
      <w:r w:rsidR="004C7E67" w:rsidRPr="002E71C6">
        <w:rPr>
          <w:rFonts w:ascii="Times New Roman" w:hAnsi="Times New Roman"/>
          <w:sz w:val="24"/>
          <w:szCs w:val="24"/>
        </w:rPr>
        <w:t>’</w:t>
      </w:r>
      <w:r w:rsidRPr="002C7571">
        <w:rPr>
          <w:rFonts w:ascii="Times New Roman" w:hAnsi="Times New Roman"/>
          <w:sz w:val="24"/>
          <w:szCs w:val="24"/>
        </w:rPr>
        <w:t>s response to insurance disputes. This state of affairs is at its most unattractive where there is a statutory duty to insure. Even a tort action for breach of a statutory duty to insure has been held not to be actionable on the part of the injured party in an employers</w:t>
      </w:r>
      <w:r w:rsidR="004C7E67" w:rsidRPr="002E71C6">
        <w:rPr>
          <w:rFonts w:ascii="Times New Roman" w:hAnsi="Times New Roman"/>
          <w:sz w:val="24"/>
          <w:szCs w:val="24"/>
        </w:rPr>
        <w:t>’</w:t>
      </w:r>
      <w:r w:rsidRPr="002C7571">
        <w:rPr>
          <w:rFonts w:ascii="Times New Roman" w:hAnsi="Times New Roman"/>
          <w:sz w:val="24"/>
          <w:szCs w:val="24"/>
        </w:rPr>
        <w:t xml:space="preserve"> liability context.</w:t>
      </w:r>
      <w:r w:rsidR="004C7E67" w:rsidRPr="002E71C6">
        <w:rPr>
          <w:rStyle w:val="FootnoteReference"/>
          <w:rFonts w:ascii="Times New Roman" w:hAnsi="Times New Roman"/>
          <w:sz w:val="24"/>
          <w:szCs w:val="24"/>
        </w:rPr>
        <w:footnoteReference w:id="62"/>
      </w:r>
      <w:r w:rsidRPr="002C7571">
        <w:rPr>
          <w:rFonts w:ascii="Times New Roman" w:hAnsi="Times New Roman"/>
          <w:sz w:val="24"/>
          <w:szCs w:val="24"/>
        </w:rPr>
        <w:t xml:space="preserve"> If even </w:t>
      </w:r>
      <w:r w:rsidRPr="002C7571">
        <w:rPr>
          <w:rFonts w:ascii="Times New Roman" w:hAnsi="Times New Roman"/>
          <w:i/>
          <w:sz w:val="24"/>
          <w:szCs w:val="24"/>
        </w:rPr>
        <w:t xml:space="preserve">statutory </w:t>
      </w:r>
      <w:r w:rsidRPr="002C7571">
        <w:rPr>
          <w:rFonts w:ascii="Times New Roman" w:hAnsi="Times New Roman"/>
          <w:sz w:val="24"/>
          <w:szCs w:val="24"/>
        </w:rPr>
        <w:t xml:space="preserve">duties on the part of the insured (accompanied by requirements as to the terms of the cover) are considered irrelevant to interpretation of the purpose of the insurance contract, is insurance law likely to be interpreted in such a way that it remains more closed to tort than tort is to insurance? </w:t>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A further possibility is that a purposive approach to contractual</w:t>
      </w:r>
      <w:r w:rsidRPr="002C7571">
        <w:rPr>
          <w:rFonts w:ascii="Times New Roman" w:hAnsi="Times New Roman"/>
          <w:i/>
          <w:sz w:val="24"/>
          <w:szCs w:val="24"/>
        </w:rPr>
        <w:t xml:space="preserve"> interpretation</w:t>
      </w:r>
      <w:r w:rsidRPr="002C7571">
        <w:rPr>
          <w:rFonts w:ascii="Times New Roman" w:hAnsi="Times New Roman"/>
          <w:sz w:val="24"/>
          <w:szCs w:val="24"/>
        </w:rPr>
        <w:t xml:space="preserve"> may be adopted. Here, the question is not (ostensibly) about legal policy or goals, but about the commercial purpose of the initial insurance </w:t>
      </w:r>
      <w:r w:rsidRPr="002C7571">
        <w:rPr>
          <w:rFonts w:ascii="Times New Roman" w:hAnsi="Times New Roman"/>
          <w:i/>
          <w:sz w:val="24"/>
          <w:szCs w:val="24"/>
        </w:rPr>
        <w:t xml:space="preserve">contract. </w:t>
      </w:r>
      <w:r w:rsidRPr="002C7571">
        <w:rPr>
          <w:rFonts w:ascii="Times New Roman" w:hAnsi="Times New Roman"/>
          <w:sz w:val="24"/>
          <w:szCs w:val="24"/>
        </w:rPr>
        <w:t xml:space="preserve">In this route, more clearly than in the first, no stark binary divide between cases of compulsory insurance and other cases can be drawn; and as the present position in </w:t>
      </w:r>
      <w:r w:rsidRPr="002C7571">
        <w:rPr>
          <w:rFonts w:ascii="Times New Roman" w:hAnsi="Times New Roman"/>
          <w:i/>
          <w:sz w:val="24"/>
          <w:szCs w:val="24"/>
        </w:rPr>
        <w:t xml:space="preserve">Durham </w:t>
      </w:r>
      <w:r w:rsidRPr="002C7571">
        <w:rPr>
          <w:rFonts w:ascii="Times New Roman" w:hAnsi="Times New Roman"/>
          <w:sz w:val="24"/>
          <w:szCs w:val="24"/>
        </w:rPr>
        <w:t>shows,</w:t>
      </w:r>
      <w:r w:rsidR="004C7E67" w:rsidRPr="002E71C6">
        <w:rPr>
          <w:rStyle w:val="FootnoteReference"/>
          <w:rFonts w:ascii="Times New Roman" w:hAnsi="Times New Roman"/>
          <w:sz w:val="24"/>
          <w:szCs w:val="24"/>
        </w:rPr>
        <w:footnoteReference w:id="63"/>
      </w:r>
      <w:r w:rsidRPr="002C7571">
        <w:rPr>
          <w:rFonts w:ascii="Times New Roman" w:hAnsi="Times New Roman"/>
          <w:sz w:val="24"/>
          <w:szCs w:val="24"/>
        </w:rPr>
        <w:t xml:space="preserve"> the idea that in areas of compulsory insurance, cover is necessarily thereby </w:t>
      </w:r>
      <w:r w:rsidR="00125D1D" w:rsidRPr="002E71C6">
        <w:rPr>
          <w:rFonts w:ascii="Times New Roman" w:hAnsi="Times New Roman"/>
          <w:sz w:val="24"/>
          <w:szCs w:val="24"/>
        </w:rPr>
        <w:t>“</w:t>
      </w:r>
      <w:r w:rsidRPr="002C7571">
        <w:rPr>
          <w:rFonts w:ascii="Times New Roman" w:hAnsi="Times New Roman"/>
          <w:sz w:val="24"/>
          <w:szCs w:val="24"/>
        </w:rPr>
        <w:t>guaranteed</w:t>
      </w:r>
      <w:r w:rsidR="00125D1D" w:rsidRPr="002E71C6">
        <w:rPr>
          <w:rFonts w:ascii="Times New Roman" w:hAnsi="Times New Roman"/>
          <w:sz w:val="24"/>
          <w:szCs w:val="24"/>
        </w:rPr>
        <w:t>”</w:t>
      </w:r>
      <w:r w:rsidRPr="002C7571">
        <w:rPr>
          <w:rFonts w:ascii="Times New Roman" w:hAnsi="Times New Roman"/>
          <w:sz w:val="24"/>
          <w:szCs w:val="24"/>
        </w:rPr>
        <w:t xml:space="preserve"> is not correct. It is </w:t>
      </w:r>
      <w:r w:rsidR="00125D1D" w:rsidRPr="002E71C6">
        <w:rPr>
          <w:rFonts w:ascii="Times New Roman" w:hAnsi="Times New Roman"/>
          <w:sz w:val="24"/>
          <w:szCs w:val="24"/>
        </w:rPr>
        <w:t>“</w:t>
      </w:r>
      <w:r w:rsidRPr="002C7571">
        <w:rPr>
          <w:rFonts w:ascii="Times New Roman" w:hAnsi="Times New Roman"/>
          <w:sz w:val="24"/>
          <w:szCs w:val="24"/>
        </w:rPr>
        <w:t>required</w:t>
      </w:r>
      <w:r w:rsidR="00125D1D" w:rsidRPr="002E71C6">
        <w:rPr>
          <w:rFonts w:ascii="Times New Roman" w:hAnsi="Times New Roman"/>
          <w:sz w:val="24"/>
          <w:szCs w:val="24"/>
        </w:rPr>
        <w:t>”</w:t>
      </w:r>
      <w:r w:rsidRPr="002C7571">
        <w:rPr>
          <w:rFonts w:ascii="Times New Roman" w:hAnsi="Times New Roman"/>
          <w:sz w:val="24"/>
          <w:szCs w:val="24"/>
        </w:rPr>
        <w:t>, but this is a different matter.</w:t>
      </w:r>
      <w:r w:rsidR="004C7E67" w:rsidRPr="002E71C6">
        <w:rPr>
          <w:rStyle w:val="FootnoteReference"/>
          <w:rFonts w:ascii="Times New Roman" w:hAnsi="Times New Roman"/>
          <w:sz w:val="24"/>
          <w:szCs w:val="24"/>
        </w:rPr>
        <w:footnoteReference w:id="64"/>
      </w:r>
      <w:r w:rsidRPr="002C7571">
        <w:rPr>
          <w:rFonts w:ascii="Times New Roman" w:hAnsi="Times New Roman"/>
          <w:sz w:val="24"/>
          <w:szCs w:val="24"/>
        </w:rPr>
        <w:t xml:space="preserve"> As Gleeson CJ has put it, </w:t>
      </w:r>
      <w:r w:rsidR="00125D1D" w:rsidRPr="002E71C6">
        <w:rPr>
          <w:rFonts w:ascii="Times New Roman" w:hAnsi="Times New Roman"/>
          <w:sz w:val="24"/>
          <w:szCs w:val="24"/>
        </w:rPr>
        <w:t>“</w:t>
      </w:r>
      <w:r w:rsidRPr="002C7571">
        <w:rPr>
          <w:rFonts w:ascii="Times New Roman" w:hAnsi="Times New Roman"/>
          <w:sz w:val="24"/>
          <w:szCs w:val="24"/>
        </w:rPr>
        <w:t>insurance is not cover</w:t>
      </w:r>
      <w:r w:rsidR="00125D1D" w:rsidRPr="002E71C6">
        <w:rPr>
          <w:rFonts w:ascii="Times New Roman" w:hAnsi="Times New Roman"/>
          <w:sz w:val="24"/>
          <w:szCs w:val="24"/>
        </w:rPr>
        <w:t>”</w:t>
      </w:r>
      <w:r w:rsidRPr="002C7571">
        <w:rPr>
          <w:rFonts w:ascii="Times New Roman" w:hAnsi="Times New Roman"/>
          <w:sz w:val="24"/>
          <w:szCs w:val="24"/>
        </w:rPr>
        <w:t>: insurance cannot simply be presumed to supply a rational solution to problems of responsibility for risk, even where it is compulsory.</w:t>
      </w:r>
      <w:r w:rsidR="004C7E67" w:rsidRPr="002E71C6">
        <w:rPr>
          <w:rStyle w:val="FootnoteReference"/>
          <w:rFonts w:ascii="Times New Roman" w:hAnsi="Times New Roman"/>
          <w:sz w:val="24"/>
          <w:szCs w:val="24"/>
        </w:rPr>
        <w:footnoteReference w:id="65"/>
      </w:r>
      <w:r w:rsidRPr="002C7571">
        <w:rPr>
          <w:rFonts w:ascii="Times New Roman" w:hAnsi="Times New Roman"/>
          <w:sz w:val="24"/>
          <w:szCs w:val="24"/>
        </w:rPr>
        <w:t xml:space="preserve"> The question is how far private law has the resources to complete the purpose of such insurance </w:t>
      </w:r>
      <w:r w:rsidR="004C7E67" w:rsidRPr="002E71C6">
        <w:rPr>
          <w:rFonts w:ascii="Times New Roman" w:hAnsi="Times New Roman"/>
          <w:sz w:val="24"/>
          <w:szCs w:val="24"/>
        </w:rPr>
        <w:t>–</w:t>
      </w:r>
      <w:r w:rsidRPr="002C7571">
        <w:rPr>
          <w:rFonts w:ascii="Times New Roman" w:hAnsi="Times New Roman"/>
          <w:sz w:val="24"/>
          <w:szCs w:val="24"/>
        </w:rPr>
        <w:t xml:space="preserve"> or is apt to do so. </w:t>
      </w:r>
    </w:p>
    <w:p w:rsidR="00032365" w:rsidRDefault="00032365">
      <w:pPr>
        <w:spacing w:after="0" w:line="240" w:lineRule="auto"/>
        <w:jc w:val="both"/>
        <w:rPr>
          <w:rFonts w:ascii="Times New Roman" w:hAnsi="Times New Roman"/>
          <w:b/>
          <w:sz w:val="24"/>
          <w:szCs w:val="24"/>
        </w:rPr>
      </w:pPr>
    </w:p>
    <w:p w:rsidR="00032365" w:rsidRDefault="002C7571">
      <w:pPr>
        <w:keepNext/>
        <w:spacing w:after="0" w:line="240" w:lineRule="auto"/>
        <w:jc w:val="both"/>
        <w:rPr>
          <w:rFonts w:ascii="Times New Roman Bold" w:hAnsi="Times New Roman Bold"/>
          <w:smallCaps/>
          <w:sz w:val="32"/>
          <w:szCs w:val="32"/>
        </w:rPr>
      </w:pPr>
      <w:r w:rsidRPr="002C7571">
        <w:rPr>
          <w:rFonts w:ascii="Times New Roman Bold" w:hAnsi="Times New Roman Bold"/>
          <w:b/>
          <w:smallCaps/>
          <w:sz w:val="32"/>
          <w:szCs w:val="32"/>
        </w:rPr>
        <w:t>Exploring tort and contract interaction: asbestos litigation</w:t>
      </w:r>
    </w:p>
    <w:p w:rsidR="00032365" w:rsidRDefault="00032365">
      <w:pPr>
        <w:keepNext/>
        <w:spacing w:after="0" w:line="240" w:lineRule="auto"/>
        <w:jc w:val="both"/>
        <w:rPr>
          <w:rFonts w:ascii="Times New Roman" w:hAnsi="Times New Roman"/>
          <w:sz w:val="24"/>
          <w:szCs w:val="24"/>
        </w:rPr>
      </w:pPr>
    </w:p>
    <w:p w:rsidR="00032365" w:rsidRDefault="002C7571">
      <w:pPr>
        <w:spacing w:after="0" w:line="240" w:lineRule="auto"/>
        <w:jc w:val="both"/>
        <w:rPr>
          <w:rFonts w:ascii="Times New Roman" w:hAnsi="Times New Roman"/>
          <w:sz w:val="24"/>
          <w:szCs w:val="24"/>
        </w:rPr>
      </w:pPr>
      <w:r w:rsidRPr="002C7571">
        <w:rPr>
          <w:rFonts w:ascii="Times New Roman" w:hAnsi="Times New Roman"/>
          <w:sz w:val="24"/>
          <w:szCs w:val="24"/>
        </w:rPr>
        <w:t xml:space="preserve">This section seeks to illustrate the interconnection of tort and contract claims concerning liability and insurance, and to explore their nature a little further. It should also help us to consider contextualism in tort and contract in the sense just outlined, the role of insurers, and the limits of private law. </w:t>
      </w:r>
      <w:r w:rsidR="007767D3" w:rsidRPr="002E71C6">
        <w:rPr>
          <w:rFonts w:ascii="Times New Roman" w:hAnsi="Times New Roman"/>
          <w:sz w:val="24"/>
          <w:szCs w:val="24"/>
        </w:rPr>
        <w:t>“</w:t>
      </w:r>
      <w:r w:rsidRPr="002C7571">
        <w:rPr>
          <w:rFonts w:ascii="Times New Roman" w:hAnsi="Times New Roman"/>
          <w:sz w:val="24"/>
          <w:szCs w:val="24"/>
        </w:rPr>
        <w:t>Limits</w:t>
      </w:r>
      <w:r w:rsidR="007767D3" w:rsidRPr="002E71C6">
        <w:rPr>
          <w:rFonts w:ascii="Times New Roman" w:hAnsi="Times New Roman"/>
          <w:sz w:val="24"/>
          <w:szCs w:val="24"/>
        </w:rPr>
        <w:t>”</w:t>
      </w:r>
      <w:r w:rsidRPr="002C7571">
        <w:rPr>
          <w:rFonts w:ascii="Times New Roman" w:hAnsi="Times New Roman"/>
          <w:sz w:val="24"/>
          <w:szCs w:val="24"/>
        </w:rPr>
        <w:t xml:space="preserve"> is not necessarily a pejorative term here. In this particular saga, we can observe a litigation strategy on the part of insurers, underlining their status as the key repeat players in both the law of insurance contracts, and the law of tort generally.</w:t>
      </w:r>
      <w:r w:rsidR="004C7E67" w:rsidRPr="002E71C6">
        <w:rPr>
          <w:rStyle w:val="FootnoteReference"/>
          <w:rFonts w:ascii="Times New Roman" w:hAnsi="Times New Roman"/>
          <w:sz w:val="24"/>
          <w:szCs w:val="24"/>
        </w:rPr>
        <w:footnoteReference w:id="66"/>
      </w:r>
      <w:r w:rsidRPr="002C7571">
        <w:rPr>
          <w:rFonts w:ascii="Times New Roman" w:hAnsi="Times New Roman"/>
          <w:sz w:val="24"/>
          <w:szCs w:val="24"/>
        </w:rPr>
        <w:t xml:space="preserve"> </w:t>
      </w:r>
      <w:r w:rsidR="006108BF" w:rsidRPr="002E71C6">
        <w:rPr>
          <w:rFonts w:ascii="Times New Roman" w:hAnsi="Times New Roman"/>
          <w:sz w:val="24"/>
          <w:szCs w:val="24"/>
        </w:rPr>
        <w:t xml:space="preserve">Plaintiff </w:t>
      </w:r>
      <w:r w:rsidRPr="002C7571">
        <w:rPr>
          <w:rFonts w:ascii="Times New Roman" w:hAnsi="Times New Roman"/>
          <w:sz w:val="24"/>
          <w:szCs w:val="24"/>
        </w:rPr>
        <w:t xml:space="preserve">lawyers may themselves be repeat players in the tort cases, but it does not always follow that the same </w:t>
      </w:r>
      <w:r w:rsidR="006108BF" w:rsidRPr="002E71C6">
        <w:rPr>
          <w:rFonts w:ascii="Times New Roman" w:hAnsi="Times New Roman"/>
          <w:sz w:val="24"/>
          <w:szCs w:val="24"/>
        </w:rPr>
        <w:t xml:space="preserve">plaintiff </w:t>
      </w:r>
      <w:r w:rsidRPr="002C7571">
        <w:rPr>
          <w:rFonts w:ascii="Times New Roman" w:hAnsi="Times New Roman"/>
          <w:sz w:val="24"/>
          <w:szCs w:val="24"/>
        </w:rPr>
        <w:t xml:space="preserve">legal advisors will appear in the contractual cover cases, because these are brought by insured parties (namely former employers, in this instance). The unifying theme is the insurer, who controls both tort and contract litigation through the ability </w:t>
      </w:r>
      <w:r w:rsidRPr="002C7571">
        <w:rPr>
          <w:rFonts w:ascii="Times New Roman" w:hAnsi="Times New Roman"/>
          <w:sz w:val="24"/>
          <w:szCs w:val="24"/>
        </w:rPr>
        <w:lastRenderedPageBreak/>
        <w:t xml:space="preserve">to contest cover. Indeed the source of law in either contract or tort is probably immaterial to the insurer much of the time. </w:t>
      </w:r>
    </w:p>
    <w:p w:rsidR="00032365" w:rsidRDefault="00032365">
      <w:pPr>
        <w:spacing w:after="0" w:line="240" w:lineRule="auto"/>
        <w:jc w:val="both"/>
        <w:rPr>
          <w:rFonts w:ascii="Times New Roman" w:hAnsi="Times New Roman"/>
          <w:i/>
          <w:sz w:val="24"/>
          <w:szCs w:val="24"/>
        </w:rPr>
      </w:pPr>
    </w:p>
    <w:p w:rsidR="00032365" w:rsidRDefault="002C7571">
      <w:pPr>
        <w:spacing w:after="0" w:line="240" w:lineRule="auto"/>
        <w:jc w:val="both"/>
        <w:rPr>
          <w:rFonts w:ascii="Times New Roman" w:hAnsi="Times New Roman"/>
          <w:b/>
          <w:i/>
          <w:sz w:val="28"/>
          <w:szCs w:val="28"/>
        </w:rPr>
      </w:pPr>
      <w:r w:rsidRPr="002C7571">
        <w:rPr>
          <w:rFonts w:ascii="Times New Roman" w:hAnsi="Times New Roman"/>
          <w:b/>
          <w:i/>
          <w:sz w:val="28"/>
          <w:szCs w:val="28"/>
        </w:rPr>
        <w:t>Tort cases</w:t>
      </w:r>
    </w:p>
    <w:p w:rsidR="00032365" w:rsidRDefault="00032365">
      <w:pPr>
        <w:spacing w:after="0" w:line="240" w:lineRule="auto"/>
        <w:jc w:val="both"/>
        <w:rPr>
          <w:rFonts w:ascii="Times New Roman" w:hAnsi="Times New Roman"/>
          <w:sz w:val="24"/>
          <w:szCs w:val="24"/>
        </w:rPr>
      </w:pPr>
    </w:p>
    <w:p w:rsidR="00032365" w:rsidRDefault="002C7571">
      <w:pPr>
        <w:spacing w:after="0" w:line="240" w:lineRule="auto"/>
        <w:jc w:val="both"/>
        <w:rPr>
          <w:rFonts w:ascii="Times New Roman" w:hAnsi="Times New Roman"/>
          <w:sz w:val="24"/>
          <w:szCs w:val="24"/>
        </w:rPr>
      </w:pPr>
      <w:r w:rsidRPr="002C7571">
        <w:rPr>
          <w:rFonts w:ascii="Times New Roman" w:hAnsi="Times New Roman"/>
          <w:sz w:val="24"/>
          <w:szCs w:val="24"/>
        </w:rPr>
        <w:t xml:space="preserve">Much has been written about the leading cases, interpreting tort principles applicable to </w:t>
      </w:r>
      <w:commentRangeStart w:id="23"/>
      <w:r w:rsidRPr="002C7571">
        <w:rPr>
          <w:rFonts w:ascii="Times New Roman" w:hAnsi="Times New Roman"/>
          <w:sz w:val="24"/>
          <w:szCs w:val="24"/>
        </w:rPr>
        <w:t xml:space="preserve">historic </w:t>
      </w:r>
      <w:commentRangeEnd w:id="23"/>
      <w:r w:rsidRPr="002C7571">
        <w:rPr>
          <w:rStyle w:val="CommentReference"/>
          <w:rFonts w:ascii="Times New Roman" w:hAnsi="Times New Roman"/>
          <w:sz w:val="24"/>
          <w:szCs w:val="24"/>
        </w:rPr>
        <w:commentReference w:id="23"/>
      </w:r>
      <w:r w:rsidRPr="002C7571">
        <w:rPr>
          <w:rFonts w:ascii="Times New Roman" w:hAnsi="Times New Roman"/>
          <w:sz w:val="24"/>
          <w:szCs w:val="24"/>
        </w:rPr>
        <w:t xml:space="preserve">asbestos exposure and liability for mesothelioma. For present purposes, they are largely background material. The House of Lords in </w:t>
      </w:r>
      <w:r w:rsidRPr="002C7571">
        <w:rPr>
          <w:rFonts w:ascii="Times New Roman" w:hAnsi="Times New Roman"/>
          <w:i/>
          <w:sz w:val="24"/>
          <w:szCs w:val="24"/>
        </w:rPr>
        <w:t>Fairchild v Glenhaven</w:t>
      </w:r>
      <w:r w:rsidR="00A76613" w:rsidRPr="002E71C6">
        <w:rPr>
          <w:rFonts w:ascii="Times New Roman" w:hAnsi="Times New Roman"/>
          <w:i/>
          <w:sz w:val="24"/>
          <w:szCs w:val="24"/>
        </w:rPr>
        <w:t xml:space="preserve"> Funeral Services Ltd</w:t>
      </w:r>
      <w:r w:rsidRPr="002C7571">
        <w:rPr>
          <w:rFonts w:ascii="Times New Roman" w:hAnsi="Times New Roman"/>
          <w:i/>
          <w:sz w:val="24"/>
          <w:szCs w:val="24"/>
        </w:rPr>
        <w:t xml:space="preserve"> </w:t>
      </w:r>
      <w:r w:rsidRPr="002C7571">
        <w:rPr>
          <w:rFonts w:ascii="Times New Roman" w:hAnsi="Times New Roman"/>
          <w:sz w:val="24"/>
          <w:szCs w:val="24"/>
        </w:rPr>
        <w:t xml:space="preserve">was willing to </w:t>
      </w:r>
      <w:r w:rsidR="004C2D83" w:rsidRPr="002E71C6">
        <w:rPr>
          <w:rFonts w:ascii="Times New Roman" w:hAnsi="Times New Roman"/>
          <w:sz w:val="24"/>
          <w:szCs w:val="24"/>
        </w:rPr>
        <w:t xml:space="preserve">extend </w:t>
      </w:r>
      <w:r w:rsidRPr="002C7571">
        <w:rPr>
          <w:rFonts w:ascii="Times New Roman" w:hAnsi="Times New Roman"/>
          <w:sz w:val="24"/>
          <w:szCs w:val="24"/>
        </w:rPr>
        <w:t xml:space="preserve">the </w:t>
      </w:r>
      <w:r w:rsidR="007767D3" w:rsidRPr="002E71C6">
        <w:rPr>
          <w:rFonts w:ascii="Times New Roman" w:hAnsi="Times New Roman"/>
          <w:sz w:val="24"/>
          <w:szCs w:val="24"/>
        </w:rPr>
        <w:t>“</w:t>
      </w:r>
      <w:r w:rsidRPr="002C7571">
        <w:rPr>
          <w:rFonts w:ascii="Times New Roman" w:hAnsi="Times New Roman"/>
          <w:sz w:val="24"/>
          <w:szCs w:val="24"/>
        </w:rPr>
        <w:t>material contribution</w:t>
      </w:r>
      <w:r w:rsidR="007767D3" w:rsidRPr="002E71C6">
        <w:rPr>
          <w:rFonts w:ascii="Times New Roman" w:hAnsi="Times New Roman"/>
          <w:sz w:val="24"/>
          <w:szCs w:val="24"/>
        </w:rPr>
        <w:t>”</w:t>
      </w:r>
      <w:r w:rsidRPr="002C7571">
        <w:rPr>
          <w:rFonts w:ascii="Times New Roman" w:hAnsi="Times New Roman"/>
          <w:sz w:val="24"/>
          <w:szCs w:val="24"/>
        </w:rPr>
        <w:t xml:space="preserve"> test to overcome a problem of </w:t>
      </w:r>
      <w:r w:rsidR="00400D3C">
        <w:rPr>
          <w:rFonts w:ascii="Times New Roman" w:hAnsi="Times New Roman"/>
          <w:sz w:val="24"/>
          <w:szCs w:val="24"/>
        </w:rPr>
        <w:t xml:space="preserve">lack of </w:t>
      </w:r>
      <w:commentRangeStart w:id="24"/>
      <w:proofErr w:type="spellStart"/>
      <w:r w:rsidRPr="002C7571">
        <w:rPr>
          <w:rFonts w:ascii="Times New Roman" w:hAnsi="Times New Roman"/>
          <w:sz w:val="24"/>
          <w:szCs w:val="24"/>
        </w:rPr>
        <w:t>of</w:t>
      </w:r>
      <w:proofErr w:type="spellEnd"/>
      <w:r w:rsidRPr="002C7571">
        <w:rPr>
          <w:rFonts w:ascii="Times New Roman" w:hAnsi="Times New Roman"/>
          <w:sz w:val="24"/>
          <w:szCs w:val="24"/>
        </w:rPr>
        <w:t xml:space="preserve"> evidence</w:t>
      </w:r>
      <w:commentRangeEnd w:id="24"/>
      <w:r w:rsidRPr="002C7571">
        <w:rPr>
          <w:rStyle w:val="CommentReference"/>
          <w:rFonts w:ascii="Times New Roman" w:hAnsi="Times New Roman"/>
          <w:sz w:val="24"/>
          <w:szCs w:val="24"/>
        </w:rPr>
        <w:commentReference w:id="24"/>
      </w:r>
      <w:r w:rsidRPr="002C7571">
        <w:rPr>
          <w:rFonts w:ascii="Times New Roman" w:hAnsi="Times New Roman"/>
          <w:sz w:val="24"/>
          <w:szCs w:val="24"/>
        </w:rPr>
        <w:t>.</w:t>
      </w:r>
      <w:r w:rsidR="004C7E67" w:rsidRPr="002E71C6">
        <w:rPr>
          <w:rStyle w:val="FootnoteReference"/>
          <w:rFonts w:ascii="Times New Roman" w:hAnsi="Times New Roman"/>
          <w:sz w:val="24"/>
          <w:szCs w:val="24"/>
        </w:rPr>
        <w:footnoteReference w:id="67"/>
      </w:r>
      <w:r w:rsidRPr="002C7571">
        <w:rPr>
          <w:rFonts w:ascii="Times New Roman" w:hAnsi="Times New Roman"/>
          <w:sz w:val="24"/>
          <w:szCs w:val="24"/>
        </w:rPr>
        <w:t xml:space="preserve"> Whilst insurers had tried to settle the case at a very late stage, the industry response to the judgment was for organised settlements between insurers which, in effect, delivered a rough and ready division of responsibility between those on risk without impairing the likelihood of settlements.</w:t>
      </w:r>
      <w:r w:rsidR="004C7E67" w:rsidRPr="002E71C6">
        <w:rPr>
          <w:rStyle w:val="FootnoteReference"/>
          <w:rFonts w:ascii="Times New Roman" w:hAnsi="Times New Roman"/>
          <w:sz w:val="24"/>
          <w:szCs w:val="24"/>
        </w:rPr>
        <w:footnoteReference w:id="68"/>
      </w:r>
      <w:r w:rsidRPr="002C7571">
        <w:rPr>
          <w:rFonts w:ascii="Times New Roman" w:hAnsi="Times New Roman"/>
          <w:sz w:val="24"/>
          <w:szCs w:val="24"/>
        </w:rPr>
        <w:t xml:space="preserve"> </w:t>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 xml:space="preserve">After </w:t>
      </w:r>
      <w:r w:rsidRPr="002C7571">
        <w:rPr>
          <w:rFonts w:ascii="Times New Roman" w:hAnsi="Times New Roman"/>
          <w:i/>
          <w:sz w:val="24"/>
          <w:szCs w:val="24"/>
        </w:rPr>
        <w:t>Fairchild</w:t>
      </w:r>
      <w:r w:rsidRPr="002C7571">
        <w:rPr>
          <w:rFonts w:ascii="Times New Roman" w:hAnsi="Times New Roman"/>
          <w:sz w:val="24"/>
          <w:szCs w:val="24"/>
        </w:rPr>
        <w:t xml:space="preserve"> came </w:t>
      </w:r>
      <w:r w:rsidRPr="002C7571">
        <w:rPr>
          <w:rFonts w:ascii="Times New Roman" w:hAnsi="Times New Roman"/>
          <w:i/>
          <w:sz w:val="24"/>
          <w:szCs w:val="24"/>
        </w:rPr>
        <w:t>Barker v Corus</w:t>
      </w:r>
      <w:r w:rsidR="004C2D83" w:rsidRPr="002E71C6">
        <w:rPr>
          <w:rFonts w:ascii="Times New Roman" w:hAnsi="Times New Roman"/>
          <w:i/>
          <w:sz w:val="24"/>
          <w:szCs w:val="24"/>
        </w:rPr>
        <w:t xml:space="preserve"> (UK) Ltd</w:t>
      </w:r>
      <w:r w:rsidRPr="002C7571">
        <w:rPr>
          <w:rFonts w:ascii="Times New Roman" w:hAnsi="Times New Roman"/>
          <w:sz w:val="24"/>
          <w:szCs w:val="24"/>
        </w:rPr>
        <w:t>.</w:t>
      </w:r>
      <w:bookmarkStart w:id="25" w:name="_Ref293748531"/>
      <w:r w:rsidR="004C7E67" w:rsidRPr="002E71C6">
        <w:rPr>
          <w:rStyle w:val="FootnoteReference"/>
          <w:rFonts w:ascii="Times New Roman" w:hAnsi="Times New Roman"/>
          <w:sz w:val="24"/>
          <w:szCs w:val="24"/>
        </w:rPr>
        <w:footnoteReference w:id="69"/>
      </w:r>
      <w:bookmarkEnd w:id="25"/>
      <w:r w:rsidRPr="002C7571">
        <w:rPr>
          <w:rFonts w:ascii="Times New Roman" w:hAnsi="Times New Roman"/>
          <w:sz w:val="24"/>
          <w:szCs w:val="24"/>
        </w:rPr>
        <w:t xml:space="preserve"> On the one hand, this decision interpreted the impact of </w:t>
      </w:r>
      <w:r w:rsidRPr="002C7571">
        <w:rPr>
          <w:rFonts w:ascii="Times New Roman" w:hAnsi="Times New Roman"/>
          <w:i/>
          <w:sz w:val="24"/>
          <w:szCs w:val="24"/>
        </w:rPr>
        <w:t>Fairchild</w:t>
      </w:r>
      <w:r w:rsidRPr="002C7571">
        <w:rPr>
          <w:rFonts w:ascii="Times New Roman" w:hAnsi="Times New Roman"/>
          <w:sz w:val="24"/>
          <w:szCs w:val="24"/>
        </w:rPr>
        <w:t xml:space="preserve"> broadly, so that it applied where there was a potential cause of the harm which was non-tortious.</w:t>
      </w:r>
      <w:r w:rsidR="004C7E67" w:rsidRPr="002E71C6">
        <w:rPr>
          <w:rStyle w:val="FootnoteReference"/>
          <w:rFonts w:ascii="Times New Roman" w:hAnsi="Times New Roman"/>
          <w:sz w:val="24"/>
          <w:szCs w:val="24"/>
        </w:rPr>
        <w:footnoteReference w:id="70"/>
      </w:r>
      <w:r w:rsidRPr="002C7571">
        <w:rPr>
          <w:rFonts w:ascii="Times New Roman" w:hAnsi="Times New Roman"/>
          <w:sz w:val="24"/>
          <w:szCs w:val="24"/>
        </w:rPr>
        <w:t xml:space="preserve"> On the other, it restricted the amount recoverable by a </w:t>
      </w:r>
      <w:r w:rsidR="006108BF" w:rsidRPr="002E71C6">
        <w:rPr>
          <w:rFonts w:ascii="Times New Roman" w:hAnsi="Times New Roman"/>
          <w:sz w:val="24"/>
          <w:szCs w:val="24"/>
        </w:rPr>
        <w:t xml:space="preserve">plaintiff </w:t>
      </w:r>
      <w:r w:rsidRPr="002C7571">
        <w:rPr>
          <w:rFonts w:ascii="Times New Roman" w:hAnsi="Times New Roman"/>
          <w:sz w:val="24"/>
          <w:szCs w:val="24"/>
        </w:rPr>
        <w:t>against any particular defendant to reflect their contribution to the risk. The means of doing this was to suggest that if causation could be shown only in the sense of contribution to risk, so also the liability must be for that risk.</w:t>
      </w:r>
      <w:r w:rsidR="004C7E67" w:rsidRPr="002E71C6">
        <w:rPr>
          <w:rStyle w:val="FootnoteReference"/>
          <w:rFonts w:ascii="Times New Roman" w:hAnsi="Times New Roman"/>
          <w:sz w:val="24"/>
          <w:szCs w:val="24"/>
        </w:rPr>
        <w:footnoteReference w:id="71"/>
      </w:r>
      <w:r w:rsidRPr="002C7571">
        <w:rPr>
          <w:rFonts w:ascii="Times New Roman" w:hAnsi="Times New Roman"/>
          <w:sz w:val="24"/>
          <w:szCs w:val="24"/>
        </w:rPr>
        <w:t xml:space="preserve"> Thus the liability principles now seemed on the surface to put into effect, as a matter of fairness, what had happened previously through an inter-insurer understanding.</w:t>
      </w:r>
      <w:commentRangeStart w:id="26"/>
      <w:r w:rsidR="004C7E67" w:rsidRPr="002E71C6">
        <w:rPr>
          <w:rStyle w:val="FootnoteReference"/>
          <w:rFonts w:ascii="Times New Roman" w:hAnsi="Times New Roman"/>
          <w:sz w:val="24"/>
          <w:szCs w:val="24"/>
        </w:rPr>
        <w:footnoteReference w:id="72"/>
      </w:r>
      <w:commentRangeEnd w:id="26"/>
      <w:r w:rsidRPr="002C7571">
        <w:rPr>
          <w:rStyle w:val="CommentReference"/>
          <w:rFonts w:ascii="Times New Roman" w:hAnsi="Times New Roman"/>
          <w:sz w:val="24"/>
          <w:szCs w:val="24"/>
        </w:rPr>
        <w:commentReference w:id="26"/>
      </w:r>
      <w:r w:rsidRPr="002C7571">
        <w:rPr>
          <w:rFonts w:ascii="Times New Roman" w:hAnsi="Times New Roman"/>
          <w:sz w:val="24"/>
          <w:szCs w:val="24"/>
        </w:rPr>
        <w:t xml:space="preserve"> The real impact was to switch the location of risk (in particular, of insolvency, or of gaps in the traceable employment history). The impact on </w:t>
      </w:r>
      <w:r w:rsidR="006108BF" w:rsidRPr="002E71C6">
        <w:rPr>
          <w:rFonts w:ascii="Times New Roman" w:hAnsi="Times New Roman"/>
          <w:sz w:val="24"/>
          <w:szCs w:val="24"/>
        </w:rPr>
        <w:t>plaintiff</w:t>
      </w:r>
      <w:r w:rsidRPr="002C7571">
        <w:rPr>
          <w:rFonts w:ascii="Times New Roman" w:hAnsi="Times New Roman"/>
          <w:sz w:val="24"/>
          <w:szCs w:val="24"/>
        </w:rPr>
        <w:t xml:space="preserve">s was however considerable because they now had to pursue </w:t>
      </w:r>
      <w:r w:rsidR="00B316A2" w:rsidRPr="002E71C6">
        <w:rPr>
          <w:rFonts w:ascii="Times New Roman" w:hAnsi="Times New Roman"/>
          <w:sz w:val="24"/>
          <w:szCs w:val="24"/>
        </w:rPr>
        <w:t xml:space="preserve">all </w:t>
      </w:r>
      <w:r w:rsidRPr="002C7571">
        <w:rPr>
          <w:rFonts w:ascii="Times New Roman" w:hAnsi="Times New Roman"/>
          <w:sz w:val="24"/>
          <w:szCs w:val="24"/>
        </w:rPr>
        <w:t xml:space="preserve">of their </w:t>
      </w:r>
      <w:r w:rsidR="00B316A2" w:rsidRPr="002E71C6">
        <w:rPr>
          <w:rFonts w:ascii="Times New Roman" w:hAnsi="Times New Roman"/>
          <w:sz w:val="24"/>
          <w:szCs w:val="24"/>
        </w:rPr>
        <w:t xml:space="preserve">relevant </w:t>
      </w:r>
      <w:r w:rsidRPr="002C7571">
        <w:rPr>
          <w:rFonts w:ascii="Times New Roman" w:hAnsi="Times New Roman"/>
          <w:sz w:val="24"/>
          <w:szCs w:val="24"/>
        </w:rPr>
        <w:t xml:space="preserve">former employers in order to obtain full compensation. The attempt to be more precise with the justice of the response led to less likelihood that the </w:t>
      </w:r>
      <w:r w:rsidRPr="002C7571">
        <w:rPr>
          <w:rFonts w:ascii="Times New Roman" w:hAnsi="Times New Roman"/>
          <w:i/>
          <w:sz w:val="24"/>
          <w:szCs w:val="24"/>
        </w:rPr>
        <w:t>end result</w:t>
      </w:r>
      <w:r w:rsidRPr="002C7571">
        <w:rPr>
          <w:rFonts w:ascii="Times New Roman" w:hAnsi="Times New Roman"/>
          <w:sz w:val="24"/>
          <w:szCs w:val="24"/>
        </w:rPr>
        <w:t xml:space="preserve"> would reflect a fair division, in the sense that the </w:t>
      </w:r>
      <w:r w:rsidR="006108BF" w:rsidRPr="002E71C6">
        <w:rPr>
          <w:rFonts w:ascii="Times New Roman" w:hAnsi="Times New Roman"/>
          <w:sz w:val="24"/>
          <w:szCs w:val="24"/>
        </w:rPr>
        <w:t>plaintiff</w:t>
      </w:r>
      <w:r w:rsidRPr="002C7571">
        <w:rPr>
          <w:rFonts w:ascii="Times New Roman" w:hAnsi="Times New Roman"/>
          <w:sz w:val="24"/>
          <w:szCs w:val="24"/>
        </w:rPr>
        <w:t xml:space="preserve"> could not hope to pursue all </w:t>
      </w:r>
      <w:r w:rsidR="00B316A2" w:rsidRPr="002E71C6">
        <w:rPr>
          <w:rFonts w:ascii="Times New Roman" w:hAnsi="Times New Roman"/>
          <w:sz w:val="24"/>
          <w:szCs w:val="24"/>
        </w:rPr>
        <w:t xml:space="preserve">relevant </w:t>
      </w:r>
      <w:r w:rsidRPr="002C7571">
        <w:rPr>
          <w:rFonts w:ascii="Times New Roman" w:hAnsi="Times New Roman"/>
          <w:sz w:val="24"/>
          <w:szCs w:val="24"/>
        </w:rPr>
        <w:t xml:space="preserve">former employers and would therefore not recover </w:t>
      </w:r>
      <w:r w:rsidR="00B316A2" w:rsidRPr="002E71C6">
        <w:rPr>
          <w:rFonts w:ascii="Times New Roman" w:hAnsi="Times New Roman"/>
          <w:sz w:val="24"/>
          <w:szCs w:val="24"/>
        </w:rPr>
        <w:t>in full</w:t>
      </w:r>
      <w:r w:rsidRPr="002C7571">
        <w:rPr>
          <w:rFonts w:ascii="Times New Roman" w:hAnsi="Times New Roman"/>
          <w:sz w:val="24"/>
          <w:szCs w:val="24"/>
        </w:rPr>
        <w:t>.</w:t>
      </w:r>
      <w:r w:rsidR="004C7E67" w:rsidRPr="002E71C6">
        <w:rPr>
          <w:rStyle w:val="FootnoteReference"/>
          <w:rFonts w:ascii="Times New Roman" w:hAnsi="Times New Roman"/>
          <w:sz w:val="24"/>
          <w:szCs w:val="24"/>
        </w:rPr>
        <w:footnoteReference w:id="73"/>
      </w:r>
      <w:r w:rsidRPr="002C7571">
        <w:rPr>
          <w:rFonts w:ascii="Times New Roman" w:hAnsi="Times New Roman"/>
          <w:sz w:val="24"/>
          <w:szCs w:val="24"/>
        </w:rPr>
        <w:t xml:space="preserve"> This was very different from the position in the United States and Australia. The legislative response in s</w:t>
      </w:r>
      <w:r w:rsidR="004961E9" w:rsidRPr="002E71C6">
        <w:rPr>
          <w:rFonts w:ascii="Times New Roman" w:hAnsi="Times New Roman"/>
          <w:sz w:val="24"/>
          <w:szCs w:val="24"/>
        </w:rPr>
        <w:t xml:space="preserve"> </w:t>
      </w:r>
      <w:r w:rsidRPr="002C7571">
        <w:rPr>
          <w:rFonts w:ascii="Times New Roman" w:hAnsi="Times New Roman"/>
          <w:sz w:val="24"/>
          <w:szCs w:val="24"/>
        </w:rPr>
        <w:t xml:space="preserve">3 </w:t>
      </w:r>
      <w:r w:rsidRPr="002C7571">
        <w:rPr>
          <w:rFonts w:ascii="Times New Roman" w:hAnsi="Times New Roman"/>
          <w:i/>
          <w:sz w:val="24"/>
          <w:szCs w:val="24"/>
        </w:rPr>
        <w:t>Compensation Act 2006</w:t>
      </w:r>
      <w:r w:rsidR="00B316A2" w:rsidRPr="002E71C6">
        <w:rPr>
          <w:rFonts w:ascii="Times New Roman" w:hAnsi="Times New Roman"/>
          <w:sz w:val="24"/>
          <w:szCs w:val="24"/>
        </w:rPr>
        <w:t> </w:t>
      </w:r>
      <w:r w:rsidR="004961E9" w:rsidRPr="002E71C6">
        <w:rPr>
          <w:rFonts w:ascii="Times New Roman" w:hAnsi="Times New Roman"/>
          <w:sz w:val="24"/>
          <w:szCs w:val="24"/>
        </w:rPr>
        <w:t xml:space="preserve">(UK) </w:t>
      </w:r>
      <w:r w:rsidRPr="002C7571">
        <w:rPr>
          <w:rFonts w:ascii="Times New Roman" w:hAnsi="Times New Roman"/>
          <w:sz w:val="24"/>
          <w:szCs w:val="24"/>
        </w:rPr>
        <w:t xml:space="preserve">has been criticised, but could be said to reflect a desire to reinstate a practical </w:t>
      </w:r>
      <w:r w:rsidRPr="002C7571">
        <w:rPr>
          <w:rFonts w:ascii="Times New Roman" w:hAnsi="Times New Roman"/>
          <w:sz w:val="24"/>
          <w:szCs w:val="24"/>
        </w:rPr>
        <w:lastRenderedPageBreak/>
        <w:t xml:space="preserve">means of being fair to all parties, beneath the surface even if not on the surface, while placing the risk of unmet liabilities with insurers, rather than </w:t>
      </w:r>
      <w:r w:rsidR="006108BF" w:rsidRPr="002E71C6">
        <w:rPr>
          <w:rFonts w:ascii="Times New Roman" w:hAnsi="Times New Roman"/>
          <w:sz w:val="24"/>
          <w:szCs w:val="24"/>
        </w:rPr>
        <w:t>plaintiff</w:t>
      </w:r>
      <w:r w:rsidRPr="002C7571">
        <w:rPr>
          <w:rFonts w:ascii="Times New Roman" w:hAnsi="Times New Roman"/>
          <w:sz w:val="24"/>
          <w:szCs w:val="24"/>
        </w:rPr>
        <w:t>s.</w:t>
      </w:r>
      <w:r w:rsidR="004C7E67" w:rsidRPr="002E71C6">
        <w:rPr>
          <w:rStyle w:val="FootnoteReference"/>
          <w:rFonts w:ascii="Times New Roman" w:hAnsi="Times New Roman"/>
          <w:sz w:val="24"/>
          <w:szCs w:val="24"/>
        </w:rPr>
        <w:footnoteReference w:id="74"/>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 xml:space="preserve">In </w:t>
      </w:r>
      <w:r w:rsidRPr="002C7571">
        <w:rPr>
          <w:rFonts w:ascii="Times New Roman" w:hAnsi="Times New Roman"/>
          <w:i/>
          <w:sz w:val="24"/>
          <w:szCs w:val="24"/>
        </w:rPr>
        <w:t>Barker</w:t>
      </w:r>
      <w:r w:rsidRPr="002C7571">
        <w:rPr>
          <w:rFonts w:ascii="Times New Roman" w:hAnsi="Times New Roman"/>
          <w:sz w:val="24"/>
          <w:szCs w:val="24"/>
        </w:rPr>
        <w:t>, the defendants</w:t>
      </w:r>
      <w:r w:rsidR="004C7E67" w:rsidRPr="002E71C6">
        <w:rPr>
          <w:rFonts w:ascii="Times New Roman" w:hAnsi="Times New Roman"/>
          <w:sz w:val="24"/>
          <w:szCs w:val="24"/>
        </w:rPr>
        <w:t>’</w:t>
      </w:r>
      <w:r w:rsidRPr="002C7571">
        <w:rPr>
          <w:rFonts w:ascii="Times New Roman" w:hAnsi="Times New Roman"/>
          <w:sz w:val="24"/>
          <w:szCs w:val="24"/>
        </w:rPr>
        <w:t xml:space="preserve"> legal advisors had not argued for the risk-based division. The reason why not is presumably that some of the same defendants would need to resist risk-based reasoning in the forthcoming appeal in </w:t>
      </w:r>
      <w:r w:rsidRPr="002C7571">
        <w:rPr>
          <w:rFonts w:ascii="Times New Roman" w:hAnsi="Times New Roman"/>
          <w:i/>
          <w:sz w:val="24"/>
          <w:szCs w:val="24"/>
        </w:rPr>
        <w:t>Rothwell v Chemical &amp; Insulating Co Ltd</w:t>
      </w:r>
      <w:r w:rsidRPr="002C7571">
        <w:rPr>
          <w:rFonts w:ascii="Times New Roman" w:hAnsi="Times New Roman"/>
          <w:sz w:val="24"/>
          <w:szCs w:val="24"/>
        </w:rPr>
        <w:t>.</w:t>
      </w:r>
      <w:r w:rsidR="004C7E67" w:rsidRPr="002E71C6">
        <w:rPr>
          <w:rStyle w:val="FootnoteReference"/>
          <w:rFonts w:ascii="Times New Roman" w:hAnsi="Times New Roman"/>
          <w:sz w:val="24"/>
          <w:szCs w:val="24"/>
        </w:rPr>
        <w:footnoteReference w:id="75"/>
      </w:r>
      <w:r w:rsidRPr="002C7571">
        <w:rPr>
          <w:rFonts w:ascii="Times New Roman" w:hAnsi="Times New Roman"/>
          <w:sz w:val="24"/>
          <w:szCs w:val="24"/>
        </w:rPr>
        <w:t xml:space="preserve"> It must have appeared difficult to win both of these cases, once </w:t>
      </w:r>
      <w:r w:rsidRPr="002C7571">
        <w:rPr>
          <w:rFonts w:ascii="Times New Roman" w:hAnsi="Times New Roman"/>
          <w:i/>
          <w:sz w:val="24"/>
          <w:szCs w:val="24"/>
        </w:rPr>
        <w:t xml:space="preserve">Fairchild </w:t>
      </w:r>
      <w:r w:rsidRPr="002C7571">
        <w:rPr>
          <w:rFonts w:ascii="Times New Roman" w:hAnsi="Times New Roman"/>
          <w:sz w:val="24"/>
          <w:szCs w:val="24"/>
        </w:rPr>
        <w:t xml:space="preserve">had been decided to apply despite a period of non-tortious exposure. But in the event, </w:t>
      </w:r>
      <w:r w:rsidRPr="002C7571">
        <w:rPr>
          <w:rFonts w:ascii="Times New Roman" w:hAnsi="Times New Roman"/>
          <w:i/>
          <w:sz w:val="24"/>
          <w:szCs w:val="24"/>
        </w:rPr>
        <w:t xml:space="preserve">Rothwell </w:t>
      </w:r>
      <w:r w:rsidRPr="002C7571">
        <w:rPr>
          <w:rFonts w:ascii="Times New Roman" w:hAnsi="Times New Roman"/>
          <w:sz w:val="24"/>
          <w:szCs w:val="24"/>
        </w:rPr>
        <w:t xml:space="preserve">was decided by the House of Lords in formalist style. A condition which merely signified an increased future risk of disease is not itself material damage for the purposes of an action in negligence. Causing risk is not actionable in negligence, except within the bounds of the </w:t>
      </w:r>
      <w:r w:rsidRPr="002C7571">
        <w:rPr>
          <w:rFonts w:ascii="Times New Roman" w:hAnsi="Times New Roman"/>
          <w:i/>
          <w:sz w:val="24"/>
          <w:szCs w:val="24"/>
        </w:rPr>
        <w:t xml:space="preserve">Fairchild </w:t>
      </w:r>
      <w:r w:rsidRPr="002C7571">
        <w:rPr>
          <w:rFonts w:ascii="Times New Roman" w:hAnsi="Times New Roman"/>
          <w:sz w:val="24"/>
          <w:szCs w:val="24"/>
        </w:rPr>
        <w:t xml:space="preserve">exception, and there it is actionable only if the harm itself has occurred. This is (at least apparently) a reassertion of orthodoxy. To some extent, this might cheer the purposive lawyer </w:t>
      </w:r>
      <w:r w:rsidR="004C7E67" w:rsidRPr="002E71C6">
        <w:rPr>
          <w:rFonts w:ascii="Times New Roman" w:hAnsi="Times New Roman"/>
          <w:sz w:val="24"/>
          <w:szCs w:val="24"/>
        </w:rPr>
        <w:t>–</w:t>
      </w:r>
      <w:r w:rsidRPr="002C7571">
        <w:rPr>
          <w:rFonts w:ascii="Times New Roman" w:hAnsi="Times New Roman"/>
          <w:sz w:val="24"/>
          <w:szCs w:val="24"/>
        </w:rPr>
        <w:t xml:space="preserve"> not because the orthodoxy is necessarily what it seems, but because it is always possible after a purposive decision </w:t>
      </w:r>
      <w:r w:rsidR="00325F62">
        <w:rPr>
          <w:rFonts w:ascii="Times New Roman" w:hAnsi="Times New Roman"/>
          <w:sz w:val="24"/>
          <w:szCs w:val="24"/>
        </w:rPr>
        <w:t xml:space="preserve">with uncertain or potentially unwelcome consequences </w:t>
      </w:r>
      <w:r w:rsidRPr="002C7571">
        <w:rPr>
          <w:rFonts w:ascii="Times New Roman" w:hAnsi="Times New Roman"/>
          <w:sz w:val="24"/>
          <w:szCs w:val="24"/>
        </w:rPr>
        <w:t xml:space="preserve">to reassert orthodoxy elsewhere. </w:t>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 xml:space="preserve">Which, though, is the more troublesome case, the </w:t>
      </w:r>
      <w:r w:rsidR="00CB5A53" w:rsidRPr="002E71C6">
        <w:rPr>
          <w:rFonts w:ascii="Times New Roman" w:hAnsi="Times New Roman"/>
          <w:sz w:val="24"/>
          <w:szCs w:val="24"/>
        </w:rPr>
        <w:t>“</w:t>
      </w:r>
      <w:r w:rsidRPr="002C7571">
        <w:rPr>
          <w:rFonts w:ascii="Times New Roman" w:hAnsi="Times New Roman"/>
          <w:sz w:val="24"/>
          <w:szCs w:val="24"/>
        </w:rPr>
        <w:t>rough justice</w:t>
      </w:r>
      <w:r w:rsidR="00CB5A53" w:rsidRPr="002E71C6">
        <w:rPr>
          <w:rFonts w:ascii="Times New Roman" w:hAnsi="Times New Roman"/>
          <w:sz w:val="24"/>
          <w:szCs w:val="24"/>
        </w:rPr>
        <w:t>”</w:t>
      </w:r>
      <w:r w:rsidRPr="002C7571">
        <w:rPr>
          <w:rFonts w:ascii="Times New Roman" w:hAnsi="Times New Roman"/>
          <w:sz w:val="24"/>
          <w:szCs w:val="24"/>
        </w:rPr>
        <w:t xml:space="preserve"> of </w:t>
      </w:r>
      <w:r w:rsidRPr="002C7571">
        <w:rPr>
          <w:rFonts w:ascii="Times New Roman" w:hAnsi="Times New Roman"/>
          <w:i/>
          <w:sz w:val="24"/>
          <w:szCs w:val="24"/>
        </w:rPr>
        <w:t>Fairchild</w:t>
      </w:r>
      <w:r w:rsidRPr="002C7571">
        <w:rPr>
          <w:rFonts w:ascii="Times New Roman" w:hAnsi="Times New Roman"/>
          <w:sz w:val="24"/>
          <w:szCs w:val="24"/>
        </w:rPr>
        <w:t xml:space="preserve">, or the attempted rationalisation in </w:t>
      </w:r>
      <w:r w:rsidRPr="002C7571">
        <w:rPr>
          <w:rFonts w:ascii="Times New Roman" w:hAnsi="Times New Roman"/>
          <w:i/>
          <w:sz w:val="24"/>
          <w:szCs w:val="24"/>
        </w:rPr>
        <w:t>Barker</w:t>
      </w:r>
      <w:r w:rsidRPr="002C7571">
        <w:rPr>
          <w:rFonts w:ascii="Times New Roman" w:hAnsi="Times New Roman"/>
          <w:sz w:val="24"/>
          <w:szCs w:val="24"/>
        </w:rPr>
        <w:t xml:space="preserve">? There is reason to think that the attempt in </w:t>
      </w:r>
      <w:r w:rsidRPr="002C7571">
        <w:rPr>
          <w:rFonts w:ascii="Times New Roman" w:hAnsi="Times New Roman"/>
          <w:i/>
          <w:sz w:val="24"/>
          <w:szCs w:val="24"/>
        </w:rPr>
        <w:t xml:space="preserve">Barker </w:t>
      </w:r>
      <w:r w:rsidRPr="002C7571">
        <w:rPr>
          <w:rFonts w:ascii="Times New Roman" w:hAnsi="Times New Roman"/>
          <w:sz w:val="24"/>
          <w:szCs w:val="24"/>
        </w:rPr>
        <w:t xml:space="preserve">to arrive at a more forensic attribution of responsibility has caused the greater difficulty. Courts have subsequently found it hard to be sure what </w:t>
      </w:r>
      <w:r w:rsidR="00EB764F" w:rsidRPr="002E71C6">
        <w:rPr>
          <w:rFonts w:ascii="Times New Roman" w:hAnsi="Times New Roman"/>
          <w:sz w:val="24"/>
          <w:szCs w:val="24"/>
        </w:rPr>
        <w:t>“</w:t>
      </w:r>
      <w:r w:rsidRPr="002C7571">
        <w:rPr>
          <w:rFonts w:ascii="Times New Roman" w:hAnsi="Times New Roman"/>
          <w:sz w:val="24"/>
          <w:szCs w:val="24"/>
        </w:rPr>
        <w:t>injury</w:t>
      </w:r>
      <w:r w:rsidR="00EB764F" w:rsidRPr="002E71C6">
        <w:rPr>
          <w:rFonts w:ascii="Times New Roman" w:hAnsi="Times New Roman"/>
          <w:sz w:val="24"/>
          <w:szCs w:val="24"/>
        </w:rPr>
        <w:t>”</w:t>
      </w:r>
      <w:r w:rsidRPr="002C7571">
        <w:rPr>
          <w:rFonts w:ascii="Times New Roman" w:hAnsi="Times New Roman"/>
          <w:sz w:val="24"/>
          <w:szCs w:val="24"/>
        </w:rPr>
        <w:t xml:space="preserve"> is for the purposes of insurance cover, as </w:t>
      </w:r>
      <w:r w:rsidRPr="002C7571">
        <w:rPr>
          <w:rFonts w:ascii="Times New Roman" w:hAnsi="Times New Roman"/>
          <w:i/>
          <w:sz w:val="24"/>
          <w:szCs w:val="24"/>
        </w:rPr>
        <w:t>Durham</w:t>
      </w:r>
      <w:r w:rsidR="00EB764F" w:rsidRPr="002E71C6">
        <w:rPr>
          <w:rStyle w:val="FootnoteReference"/>
          <w:rFonts w:ascii="Times New Roman" w:hAnsi="Times New Roman"/>
          <w:sz w:val="24"/>
          <w:szCs w:val="24"/>
        </w:rPr>
        <w:footnoteReference w:id="76"/>
      </w:r>
      <w:r w:rsidRPr="002C7571">
        <w:rPr>
          <w:rFonts w:ascii="Times New Roman" w:hAnsi="Times New Roman"/>
          <w:i/>
          <w:sz w:val="24"/>
          <w:szCs w:val="24"/>
        </w:rPr>
        <w:t xml:space="preserve"> </w:t>
      </w:r>
      <w:r w:rsidRPr="002C7571">
        <w:rPr>
          <w:rFonts w:ascii="Times New Roman" w:hAnsi="Times New Roman"/>
          <w:sz w:val="24"/>
          <w:szCs w:val="24"/>
        </w:rPr>
        <w:t xml:space="preserve">attests. Here, Rix LJ would have treated the time of exposure as the time of injury (in the form of increased risk) had it not been for the binding authority to the contrary of </w:t>
      </w:r>
      <w:r w:rsidRPr="002C7571">
        <w:rPr>
          <w:rFonts w:ascii="Times New Roman" w:hAnsi="Times New Roman"/>
          <w:i/>
          <w:sz w:val="24"/>
          <w:szCs w:val="24"/>
        </w:rPr>
        <w:t xml:space="preserve">Bolton </w:t>
      </w:r>
      <w:r w:rsidR="00EB764F" w:rsidRPr="002E71C6">
        <w:rPr>
          <w:rFonts w:ascii="Times New Roman" w:hAnsi="Times New Roman"/>
          <w:i/>
          <w:sz w:val="24"/>
          <w:szCs w:val="24"/>
        </w:rPr>
        <w:t xml:space="preserve">Metropolitan Borough Council </w:t>
      </w:r>
      <w:r w:rsidRPr="002C7571">
        <w:rPr>
          <w:rFonts w:ascii="Times New Roman" w:hAnsi="Times New Roman"/>
          <w:i/>
          <w:sz w:val="24"/>
          <w:szCs w:val="24"/>
        </w:rPr>
        <w:t xml:space="preserve">v </w:t>
      </w:r>
      <w:r w:rsidR="00EB764F" w:rsidRPr="002E71C6">
        <w:rPr>
          <w:rFonts w:ascii="Times New Roman" w:hAnsi="Times New Roman"/>
          <w:i/>
          <w:sz w:val="24"/>
          <w:szCs w:val="24"/>
        </w:rPr>
        <w:t>Municipal Mutual Insurance Ltd</w:t>
      </w:r>
      <w:r w:rsidRPr="002C7571">
        <w:rPr>
          <w:rFonts w:ascii="Times New Roman" w:hAnsi="Times New Roman"/>
          <w:sz w:val="24"/>
          <w:szCs w:val="24"/>
        </w:rPr>
        <w:t>,</w:t>
      </w:r>
      <w:bookmarkStart w:id="27" w:name="_Ref293751158"/>
      <w:r w:rsidR="004C7E67" w:rsidRPr="002E71C6">
        <w:rPr>
          <w:rStyle w:val="FootnoteReference"/>
          <w:rFonts w:ascii="Times New Roman" w:hAnsi="Times New Roman"/>
          <w:sz w:val="24"/>
          <w:szCs w:val="24"/>
        </w:rPr>
        <w:footnoteReference w:id="77"/>
      </w:r>
      <w:bookmarkEnd w:id="27"/>
      <w:r w:rsidRPr="002C7571">
        <w:rPr>
          <w:rFonts w:ascii="Times New Roman" w:hAnsi="Times New Roman"/>
          <w:sz w:val="24"/>
          <w:szCs w:val="24"/>
        </w:rPr>
        <w:t xml:space="preserve"> decided after </w:t>
      </w:r>
      <w:r w:rsidRPr="002C7571">
        <w:rPr>
          <w:rFonts w:ascii="Times New Roman" w:hAnsi="Times New Roman"/>
          <w:i/>
          <w:sz w:val="24"/>
          <w:szCs w:val="24"/>
        </w:rPr>
        <w:t>Fairchild</w:t>
      </w:r>
      <w:r w:rsidRPr="002C7571">
        <w:rPr>
          <w:rFonts w:ascii="Times New Roman" w:hAnsi="Times New Roman"/>
          <w:sz w:val="24"/>
          <w:szCs w:val="24"/>
        </w:rPr>
        <w:t xml:space="preserve">, but before </w:t>
      </w:r>
      <w:r w:rsidRPr="002C7571">
        <w:rPr>
          <w:rFonts w:ascii="Times New Roman" w:hAnsi="Times New Roman"/>
          <w:i/>
          <w:sz w:val="24"/>
          <w:szCs w:val="24"/>
        </w:rPr>
        <w:t>Barker</w:t>
      </w:r>
      <w:r w:rsidRPr="002C7571">
        <w:rPr>
          <w:rFonts w:ascii="Times New Roman" w:hAnsi="Times New Roman"/>
          <w:sz w:val="24"/>
          <w:szCs w:val="24"/>
        </w:rPr>
        <w:t xml:space="preserve">. In </w:t>
      </w:r>
      <w:r w:rsidRPr="002C7571">
        <w:rPr>
          <w:rFonts w:ascii="Times New Roman" w:hAnsi="Times New Roman"/>
          <w:i/>
          <w:sz w:val="24"/>
          <w:szCs w:val="24"/>
        </w:rPr>
        <w:t>Sienkiewicz</w:t>
      </w:r>
      <w:r w:rsidRPr="002C7571">
        <w:rPr>
          <w:rFonts w:ascii="Times New Roman" w:hAnsi="Times New Roman"/>
          <w:sz w:val="24"/>
          <w:szCs w:val="24"/>
        </w:rPr>
        <w:t xml:space="preserve">, there are signs that at least some members of the Supreme Court would not seek to rationalise </w:t>
      </w:r>
      <w:r w:rsidRPr="002C7571">
        <w:rPr>
          <w:rFonts w:ascii="Times New Roman" w:hAnsi="Times New Roman"/>
          <w:i/>
          <w:sz w:val="24"/>
          <w:szCs w:val="24"/>
        </w:rPr>
        <w:t>Fairchild</w:t>
      </w:r>
      <w:r w:rsidRPr="002C7571">
        <w:rPr>
          <w:rFonts w:ascii="Times New Roman" w:hAnsi="Times New Roman"/>
          <w:sz w:val="24"/>
          <w:szCs w:val="24"/>
        </w:rPr>
        <w:t xml:space="preserve">, as </w:t>
      </w:r>
      <w:r w:rsidRPr="002C7571">
        <w:rPr>
          <w:rFonts w:ascii="Times New Roman" w:hAnsi="Times New Roman"/>
          <w:i/>
          <w:sz w:val="24"/>
          <w:szCs w:val="24"/>
        </w:rPr>
        <w:t xml:space="preserve">Barker </w:t>
      </w:r>
      <w:r w:rsidRPr="002C7571">
        <w:rPr>
          <w:rFonts w:ascii="Times New Roman" w:hAnsi="Times New Roman"/>
          <w:sz w:val="24"/>
          <w:szCs w:val="24"/>
        </w:rPr>
        <w:t xml:space="preserve">did, but would confine it to mesothelioma and </w:t>
      </w:r>
      <w:r w:rsidR="004C7E67" w:rsidRPr="002E71C6">
        <w:rPr>
          <w:rFonts w:ascii="Times New Roman" w:hAnsi="Times New Roman"/>
          <w:sz w:val="24"/>
          <w:szCs w:val="24"/>
        </w:rPr>
        <w:t>–</w:t>
      </w:r>
      <w:r w:rsidRPr="002C7571">
        <w:rPr>
          <w:rFonts w:ascii="Times New Roman" w:hAnsi="Times New Roman"/>
          <w:sz w:val="24"/>
          <w:szCs w:val="24"/>
        </w:rPr>
        <w:t xml:space="preserve"> within this context - apply it to its full, irrespective of doubts about the justice of the effects. Arguably though, the most important feature of </w:t>
      </w:r>
      <w:r w:rsidRPr="002C7571">
        <w:rPr>
          <w:rFonts w:ascii="Times New Roman" w:hAnsi="Times New Roman"/>
          <w:i/>
          <w:sz w:val="24"/>
          <w:szCs w:val="24"/>
        </w:rPr>
        <w:t xml:space="preserve">Barker </w:t>
      </w:r>
      <w:r w:rsidRPr="002C7571">
        <w:rPr>
          <w:rFonts w:ascii="Times New Roman" w:hAnsi="Times New Roman"/>
          <w:sz w:val="24"/>
          <w:szCs w:val="24"/>
        </w:rPr>
        <w:t xml:space="preserve">and (to a lesser extent) </w:t>
      </w:r>
      <w:r w:rsidRPr="002C7571">
        <w:rPr>
          <w:rFonts w:ascii="Times New Roman" w:hAnsi="Times New Roman"/>
          <w:i/>
          <w:sz w:val="24"/>
          <w:szCs w:val="24"/>
        </w:rPr>
        <w:t xml:space="preserve">Rothwell </w:t>
      </w:r>
      <w:r w:rsidRPr="002C7571">
        <w:rPr>
          <w:rFonts w:ascii="Times New Roman" w:hAnsi="Times New Roman"/>
          <w:sz w:val="24"/>
          <w:szCs w:val="24"/>
        </w:rPr>
        <w:t xml:space="preserve">is not their attempt to articulate general principles, but their policy dimension: they appeared to give weight to a new policy concern in the context of personal injury, namely the need to restrict the size of the liabilities being brought home to insurers. Even so, it is highly relevant that this change in concern was expressed in terms of legal principle. Is it necessarily helpful to qualify </w:t>
      </w:r>
      <w:r w:rsidR="00CB5A53" w:rsidRPr="002E71C6">
        <w:rPr>
          <w:rFonts w:ascii="Times New Roman" w:hAnsi="Times New Roman"/>
          <w:sz w:val="24"/>
          <w:szCs w:val="24"/>
        </w:rPr>
        <w:t>“</w:t>
      </w:r>
      <w:r w:rsidRPr="002C7571">
        <w:rPr>
          <w:rFonts w:ascii="Times New Roman" w:hAnsi="Times New Roman"/>
          <w:sz w:val="24"/>
          <w:szCs w:val="24"/>
        </w:rPr>
        <w:t>rough justice</w:t>
      </w:r>
      <w:r w:rsidR="00CB5A53" w:rsidRPr="002E71C6">
        <w:rPr>
          <w:rFonts w:ascii="Times New Roman" w:hAnsi="Times New Roman"/>
          <w:sz w:val="24"/>
          <w:szCs w:val="24"/>
        </w:rPr>
        <w:t>”</w:t>
      </w:r>
      <w:r w:rsidRPr="002C7571">
        <w:rPr>
          <w:rFonts w:ascii="Times New Roman" w:hAnsi="Times New Roman"/>
          <w:sz w:val="24"/>
          <w:szCs w:val="24"/>
        </w:rPr>
        <w:t xml:space="preserve"> with new attempts at precision? </w:t>
      </w:r>
    </w:p>
    <w:p w:rsidR="00032365" w:rsidRDefault="00032365">
      <w:pPr>
        <w:spacing w:after="0" w:line="240" w:lineRule="auto"/>
        <w:jc w:val="both"/>
        <w:rPr>
          <w:rFonts w:ascii="Times New Roman" w:hAnsi="Times New Roman"/>
          <w:i/>
          <w:sz w:val="24"/>
          <w:szCs w:val="24"/>
        </w:rPr>
      </w:pPr>
    </w:p>
    <w:p w:rsidR="00032365" w:rsidRDefault="002C7571">
      <w:pPr>
        <w:spacing w:after="0" w:line="240" w:lineRule="auto"/>
        <w:jc w:val="both"/>
        <w:rPr>
          <w:rFonts w:ascii="Times New Roman" w:hAnsi="Times New Roman"/>
          <w:b/>
          <w:i/>
          <w:sz w:val="28"/>
          <w:szCs w:val="28"/>
        </w:rPr>
      </w:pPr>
      <w:r w:rsidRPr="002C7571">
        <w:rPr>
          <w:rFonts w:ascii="Times New Roman" w:hAnsi="Times New Roman"/>
          <w:b/>
          <w:i/>
          <w:sz w:val="28"/>
          <w:szCs w:val="28"/>
        </w:rPr>
        <w:t>Subsequent litigation strategies</w:t>
      </w:r>
    </w:p>
    <w:p w:rsidR="00032365" w:rsidRDefault="00032365">
      <w:pPr>
        <w:spacing w:after="0" w:line="240" w:lineRule="auto"/>
        <w:jc w:val="both"/>
        <w:rPr>
          <w:rFonts w:ascii="Times New Roman" w:hAnsi="Times New Roman"/>
          <w:sz w:val="24"/>
          <w:szCs w:val="24"/>
        </w:rPr>
      </w:pPr>
    </w:p>
    <w:p w:rsidR="00032365" w:rsidRDefault="002C7571">
      <w:pPr>
        <w:spacing w:after="0" w:line="240" w:lineRule="auto"/>
        <w:jc w:val="both"/>
        <w:rPr>
          <w:rFonts w:ascii="Times New Roman" w:hAnsi="Times New Roman"/>
          <w:sz w:val="24"/>
          <w:szCs w:val="24"/>
        </w:rPr>
      </w:pPr>
      <w:r w:rsidRPr="002C7571">
        <w:rPr>
          <w:rFonts w:ascii="Times New Roman" w:hAnsi="Times New Roman"/>
          <w:sz w:val="24"/>
          <w:szCs w:val="24"/>
        </w:rPr>
        <w:t xml:space="preserve">The tort cases have been swiftly dealt with because they are the most familiar to tort lawyers, and are among the most discussed private law cases of the last few decades. Even so, their principles have been debated more than their actual impact in practice. Some insurers responded to their success in </w:t>
      </w:r>
      <w:r w:rsidRPr="002C7571">
        <w:rPr>
          <w:rFonts w:ascii="Times New Roman" w:hAnsi="Times New Roman"/>
          <w:i/>
          <w:sz w:val="24"/>
          <w:szCs w:val="24"/>
        </w:rPr>
        <w:t xml:space="preserve">Rothwell </w:t>
      </w:r>
      <w:r w:rsidRPr="002C7571">
        <w:rPr>
          <w:rFonts w:ascii="Times New Roman" w:hAnsi="Times New Roman"/>
          <w:sz w:val="24"/>
          <w:szCs w:val="24"/>
        </w:rPr>
        <w:t xml:space="preserve">and their partial success in </w:t>
      </w:r>
      <w:r w:rsidRPr="002C7571">
        <w:rPr>
          <w:rFonts w:ascii="Times New Roman" w:hAnsi="Times New Roman"/>
          <w:i/>
          <w:sz w:val="24"/>
          <w:szCs w:val="24"/>
        </w:rPr>
        <w:t xml:space="preserve">Barker </w:t>
      </w:r>
      <w:r w:rsidRPr="002C7571">
        <w:rPr>
          <w:rFonts w:ascii="Times New Roman" w:hAnsi="Times New Roman"/>
          <w:sz w:val="24"/>
          <w:szCs w:val="24"/>
        </w:rPr>
        <w:t xml:space="preserve">with a challenge to Scottish legislation reversing the effects of </w:t>
      </w:r>
      <w:r w:rsidRPr="002C7571">
        <w:rPr>
          <w:rFonts w:ascii="Times New Roman" w:hAnsi="Times New Roman"/>
          <w:i/>
          <w:sz w:val="24"/>
          <w:szCs w:val="24"/>
        </w:rPr>
        <w:t xml:space="preserve">Rothwell </w:t>
      </w:r>
      <w:r w:rsidRPr="002C7571">
        <w:rPr>
          <w:rFonts w:ascii="Times New Roman" w:hAnsi="Times New Roman"/>
          <w:sz w:val="24"/>
          <w:szCs w:val="24"/>
        </w:rPr>
        <w:t>in that jurisdiction.</w:t>
      </w:r>
      <w:r w:rsidR="004C7E67" w:rsidRPr="002E71C6">
        <w:rPr>
          <w:rStyle w:val="FootnoteReference"/>
          <w:rFonts w:ascii="Times New Roman" w:hAnsi="Times New Roman"/>
          <w:sz w:val="24"/>
          <w:szCs w:val="24"/>
        </w:rPr>
        <w:footnoteReference w:id="78"/>
      </w:r>
      <w:r w:rsidRPr="002C7571">
        <w:rPr>
          <w:rFonts w:ascii="Times New Roman" w:hAnsi="Times New Roman"/>
          <w:sz w:val="24"/>
          <w:szCs w:val="24"/>
        </w:rPr>
        <w:t xml:space="preserve"> The very formalism of the House of Lords</w:t>
      </w:r>
      <w:r w:rsidR="004C7E67" w:rsidRPr="002E71C6">
        <w:rPr>
          <w:rFonts w:ascii="Times New Roman" w:hAnsi="Times New Roman"/>
          <w:sz w:val="24"/>
          <w:szCs w:val="24"/>
        </w:rPr>
        <w:t>’</w:t>
      </w:r>
      <w:r w:rsidRPr="002C7571">
        <w:rPr>
          <w:rFonts w:ascii="Times New Roman" w:hAnsi="Times New Roman"/>
          <w:sz w:val="24"/>
          <w:szCs w:val="24"/>
        </w:rPr>
        <w:t xml:space="preserve"> judgment in </w:t>
      </w:r>
      <w:r w:rsidRPr="002C7571">
        <w:rPr>
          <w:rFonts w:ascii="Times New Roman" w:hAnsi="Times New Roman"/>
          <w:i/>
          <w:sz w:val="24"/>
          <w:szCs w:val="24"/>
        </w:rPr>
        <w:t xml:space="preserve">Rothwell </w:t>
      </w:r>
      <w:r w:rsidR="004C7E67" w:rsidRPr="002E71C6">
        <w:rPr>
          <w:rFonts w:ascii="Times New Roman" w:hAnsi="Times New Roman"/>
          <w:sz w:val="24"/>
          <w:szCs w:val="24"/>
        </w:rPr>
        <w:t>–</w:t>
      </w:r>
      <w:r w:rsidRPr="002C7571">
        <w:rPr>
          <w:rFonts w:ascii="Times New Roman" w:hAnsi="Times New Roman"/>
          <w:sz w:val="24"/>
          <w:szCs w:val="24"/>
        </w:rPr>
        <w:t xml:space="preserve"> its presentation as a matter of the most basic common law principle </w:t>
      </w:r>
      <w:r w:rsidR="004C7E67" w:rsidRPr="002E71C6">
        <w:rPr>
          <w:rFonts w:ascii="Times New Roman" w:hAnsi="Times New Roman"/>
          <w:sz w:val="24"/>
          <w:szCs w:val="24"/>
        </w:rPr>
        <w:t>–</w:t>
      </w:r>
      <w:r w:rsidRPr="002C7571">
        <w:rPr>
          <w:rFonts w:ascii="Times New Roman" w:hAnsi="Times New Roman"/>
          <w:sz w:val="24"/>
          <w:szCs w:val="24"/>
        </w:rPr>
        <w:t xml:space="preserve"> was a key aspect of the insurers</w:t>
      </w:r>
      <w:r w:rsidR="004C7E67" w:rsidRPr="002E71C6">
        <w:rPr>
          <w:rFonts w:ascii="Times New Roman" w:hAnsi="Times New Roman"/>
          <w:sz w:val="24"/>
          <w:szCs w:val="24"/>
        </w:rPr>
        <w:t>’</w:t>
      </w:r>
      <w:r w:rsidRPr="002C7571">
        <w:rPr>
          <w:rFonts w:ascii="Times New Roman" w:hAnsi="Times New Roman"/>
          <w:sz w:val="24"/>
          <w:szCs w:val="24"/>
        </w:rPr>
        <w:t xml:space="preserve"> arguments. Similarly, the existence </w:t>
      </w:r>
      <w:r w:rsidRPr="002C7571">
        <w:rPr>
          <w:rFonts w:ascii="Times New Roman" w:hAnsi="Times New Roman"/>
          <w:sz w:val="24"/>
          <w:szCs w:val="24"/>
        </w:rPr>
        <w:lastRenderedPageBreak/>
        <w:t xml:space="preserve">of a detailed dissent </w:t>
      </w:r>
      <w:r w:rsidR="00400D3C">
        <w:rPr>
          <w:rFonts w:ascii="Times New Roman" w:hAnsi="Times New Roman"/>
          <w:sz w:val="24"/>
          <w:szCs w:val="24"/>
        </w:rPr>
        <w:t xml:space="preserve">from </w:t>
      </w:r>
      <w:commentRangeStart w:id="28"/>
      <w:r w:rsidRPr="002C7571">
        <w:rPr>
          <w:rFonts w:ascii="Times New Roman" w:hAnsi="Times New Roman"/>
          <w:sz w:val="24"/>
          <w:szCs w:val="24"/>
        </w:rPr>
        <w:t>Smith LJ</w:t>
      </w:r>
      <w:commentRangeEnd w:id="28"/>
      <w:r w:rsidRPr="002C7571">
        <w:rPr>
          <w:rStyle w:val="CommentReference"/>
          <w:rFonts w:ascii="Times New Roman" w:hAnsi="Times New Roman"/>
          <w:sz w:val="24"/>
          <w:szCs w:val="24"/>
        </w:rPr>
        <w:commentReference w:id="28"/>
      </w:r>
      <w:r w:rsidRPr="002C7571">
        <w:rPr>
          <w:rFonts w:ascii="Times New Roman" w:hAnsi="Times New Roman"/>
          <w:sz w:val="24"/>
          <w:szCs w:val="24"/>
        </w:rPr>
        <w:t xml:space="preserve"> </w:t>
      </w:r>
      <w:r w:rsidR="00400D3C">
        <w:rPr>
          <w:rFonts w:ascii="Times New Roman" w:hAnsi="Times New Roman"/>
          <w:sz w:val="24"/>
          <w:szCs w:val="24"/>
        </w:rPr>
        <w:t xml:space="preserve">when the Court of Appeal decided </w:t>
      </w:r>
      <w:proofErr w:type="spellStart"/>
      <w:r w:rsidR="00400D3C">
        <w:rPr>
          <w:rFonts w:ascii="Times New Roman" w:hAnsi="Times New Roman"/>
          <w:i/>
          <w:sz w:val="24"/>
          <w:szCs w:val="24"/>
        </w:rPr>
        <w:t>Rothwell</w:t>
      </w:r>
      <w:proofErr w:type="spellEnd"/>
      <w:r w:rsidR="00400D3C">
        <w:rPr>
          <w:rFonts w:ascii="Times New Roman" w:hAnsi="Times New Roman"/>
          <w:i/>
          <w:sz w:val="24"/>
          <w:szCs w:val="24"/>
        </w:rPr>
        <w:t xml:space="preserve"> </w:t>
      </w:r>
      <w:r w:rsidRPr="002C7571">
        <w:rPr>
          <w:rFonts w:ascii="Times New Roman" w:hAnsi="Times New Roman"/>
          <w:sz w:val="24"/>
          <w:szCs w:val="24"/>
        </w:rPr>
        <w:t>was in turn a reason why an attempt to prevent the legislation from entering into force eventually failed.</w:t>
      </w:r>
      <w:r w:rsidR="00400D3C">
        <w:rPr>
          <w:rStyle w:val="FootnoteReference"/>
          <w:rFonts w:ascii="Times New Roman" w:hAnsi="Times New Roman"/>
          <w:sz w:val="24"/>
          <w:szCs w:val="24"/>
        </w:rPr>
        <w:footnoteReference w:id="79"/>
      </w:r>
      <w:r w:rsidRPr="002C7571">
        <w:rPr>
          <w:rFonts w:ascii="Times New Roman" w:hAnsi="Times New Roman"/>
          <w:sz w:val="24"/>
          <w:szCs w:val="24"/>
        </w:rPr>
        <w:t xml:space="preserve"> One may speculate however that the doctrinal detail of </w:t>
      </w:r>
      <w:r w:rsidRPr="002C7571">
        <w:rPr>
          <w:rFonts w:ascii="Times New Roman" w:hAnsi="Times New Roman"/>
          <w:i/>
          <w:sz w:val="24"/>
          <w:szCs w:val="24"/>
        </w:rPr>
        <w:t xml:space="preserve">Rothwell </w:t>
      </w:r>
      <w:r w:rsidRPr="002C7571">
        <w:rPr>
          <w:rFonts w:ascii="Times New Roman" w:hAnsi="Times New Roman"/>
          <w:sz w:val="24"/>
          <w:szCs w:val="24"/>
        </w:rPr>
        <w:t xml:space="preserve">is only one factor influencing this rather bold strategy of judicial review. Could it be that the insurers were responding also to signs of sympathy for their position, not just from courts, but also from public, government, and media discussion of </w:t>
      </w:r>
      <w:r w:rsidR="00EB764F" w:rsidRPr="002E71C6">
        <w:rPr>
          <w:rFonts w:ascii="Times New Roman" w:hAnsi="Times New Roman"/>
          <w:sz w:val="24"/>
          <w:szCs w:val="24"/>
        </w:rPr>
        <w:t>“</w:t>
      </w:r>
      <w:r w:rsidRPr="002C7571">
        <w:rPr>
          <w:rFonts w:ascii="Times New Roman" w:hAnsi="Times New Roman"/>
          <w:sz w:val="24"/>
          <w:szCs w:val="24"/>
        </w:rPr>
        <w:t>compensation culture</w:t>
      </w:r>
      <w:r w:rsidR="00EB764F" w:rsidRPr="002E71C6">
        <w:rPr>
          <w:rFonts w:ascii="Times New Roman" w:hAnsi="Times New Roman"/>
          <w:sz w:val="24"/>
          <w:szCs w:val="24"/>
        </w:rPr>
        <w:t>”</w:t>
      </w:r>
      <w:r w:rsidRPr="002C7571">
        <w:rPr>
          <w:rFonts w:ascii="Times New Roman" w:hAnsi="Times New Roman"/>
          <w:sz w:val="24"/>
          <w:szCs w:val="24"/>
        </w:rPr>
        <w:t>?</w:t>
      </w:r>
      <w:r w:rsidR="004C7E67" w:rsidRPr="002E71C6">
        <w:rPr>
          <w:rStyle w:val="FootnoteReference"/>
          <w:rFonts w:ascii="Times New Roman" w:hAnsi="Times New Roman"/>
          <w:sz w:val="24"/>
          <w:szCs w:val="24"/>
        </w:rPr>
        <w:footnoteReference w:id="80"/>
      </w:r>
      <w:r w:rsidR="004C7E67" w:rsidRPr="002E71C6">
        <w:rPr>
          <w:rFonts w:ascii="Times New Roman" w:hAnsi="Times New Roman"/>
          <w:sz w:val="24"/>
          <w:szCs w:val="24"/>
        </w:rPr>
        <w:t xml:space="preserve"> </w:t>
      </w:r>
    </w:p>
    <w:p w:rsidR="00032365" w:rsidRDefault="00032365">
      <w:pPr>
        <w:spacing w:after="0" w:line="240" w:lineRule="auto"/>
        <w:jc w:val="both"/>
        <w:rPr>
          <w:rFonts w:ascii="Times New Roman" w:hAnsi="Times New Roman"/>
          <w:i/>
          <w:sz w:val="24"/>
          <w:szCs w:val="24"/>
        </w:rPr>
      </w:pPr>
    </w:p>
    <w:p w:rsidR="00032365" w:rsidRDefault="002C7571">
      <w:pPr>
        <w:spacing w:after="0" w:line="240" w:lineRule="auto"/>
        <w:jc w:val="both"/>
        <w:rPr>
          <w:rFonts w:ascii="Times New Roman" w:hAnsi="Times New Roman"/>
          <w:b/>
          <w:i/>
          <w:sz w:val="28"/>
          <w:szCs w:val="28"/>
        </w:rPr>
      </w:pPr>
      <w:r w:rsidRPr="002C7571">
        <w:rPr>
          <w:rFonts w:ascii="Times New Roman" w:hAnsi="Times New Roman"/>
          <w:b/>
          <w:i/>
          <w:sz w:val="28"/>
          <w:szCs w:val="28"/>
        </w:rPr>
        <w:t>Contractual developments</w:t>
      </w:r>
    </w:p>
    <w:p w:rsidR="00032365" w:rsidRDefault="00032365">
      <w:pPr>
        <w:spacing w:after="0" w:line="240" w:lineRule="auto"/>
        <w:jc w:val="both"/>
        <w:rPr>
          <w:rFonts w:ascii="Times New Roman" w:hAnsi="Times New Roman"/>
          <w:sz w:val="24"/>
          <w:szCs w:val="24"/>
        </w:rPr>
      </w:pPr>
    </w:p>
    <w:p w:rsidR="00032365" w:rsidRDefault="002C7571">
      <w:pPr>
        <w:spacing w:after="0" w:line="240" w:lineRule="auto"/>
        <w:jc w:val="both"/>
        <w:rPr>
          <w:rFonts w:ascii="Times New Roman" w:hAnsi="Times New Roman"/>
          <w:sz w:val="24"/>
          <w:szCs w:val="24"/>
        </w:rPr>
      </w:pPr>
      <w:r w:rsidRPr="002C7571">
        <w:rPr>
          <w:rFonts w:ascii="Times New Roman" w:hAnsi="Times New Roman"/>
          <w:sz w:val="24"/>
          <w:szCs w:val="24"/>
        </w:rPr>
        <w:t>Being repeat players, insurers were able to exploit the material provided by the House of Lords</w:t>
      </w:r>
      <w:r w:rsidR="004C7E67" w:rsidRPr="002E71C6">
        <w:rPr>
          <w:rFonts w:ascii="Times New Roman" w:hAnsi="Times New Roman"/>
          <w:sz w:val="24"/>
          <w:szCs w:val="24"/>
        </w:rPr>
        <w:t>’</w:t>
      </w:r>
      <w:r w:rsidRPr="002C7571">
        <w:rPr>
          <w:rFonts w:ascii="Times New Roman" w:hAnsi="Times New Roman"/>
          <w:sz w:val="24"/>
          <w:szCs w:val="24"/>
        </w:rPr>
        <w:t xml:space="preserve"> decisions. Just as insurers began to resist claims in respect of pleural plaques which they had previously consistently settled (resulting in victory in </w:t>
      </w:r>
      <w:r w:rsidRPr="002C7571">
        <w:rPr>
          <w:rFonts w:ascii="Times New Roman" w:hAnsi="Times New Roman"/>
          <w:i/>
          <w:sz w:val="24"/>
          <w:szCs w:val="24"/>
        </w:rPr>
        <w:t>Rothwell</w:t>
      </w:r>
      <w:r w:rsidRPr="002C7571">
        <w:rPr>
          <w:rFonts w:ascii="Times New Roman" w:hAnsi="Times New Roman"/>
          <w:sz w:val="24"/>
          <w:szCs w:val="24"/>
        </w:rPr>
        <w:t xml:space="preserve"> and maintained through the judicial review proceedings in Scotland), so they also began to deny cover to insured parties in other circumstances, including eventually the very circumstances of </w:t>
      </w:r>
      <w:r w:rsidRPr="002C7571">
        <w:rPr>
          <w:rFonts w:ascii="Times New Roman" w:hAnsi="Times New Roman"/>
          <w:i/>
          <w:sz w:val="24"/>
          <w:szCs w:val="24"/>
        </w:rPr>
        <w:t xml:space="preserve">Fairchild </w:t>
      </w:r>
      <w:r w:rsidRPr="002C7571">
        <w:rPr>
          <w:rFonts w:ascii="Times New Roman" w:hAnsi="Times New Roman"/>
          <w:sz w:val="24"/>
          <w:szCs w:val="24"/>
        </w:rPr>
        <w:t xml:space="preserve">and </w:t>
      </w:r>
      <w:r w:rsidRPr="002C7571">
        <w:rPr>
          <w:rFonts w:ascii="Times New Roman" w:hAnsi="Times New Roman"/>
          <w:i/>
          <w:sz w:val="24"/>
          <w:szCs w:val="24"/>
        </w:rPr>
        <w:t xml:space="preserve">Barker </w:t>
      </w:r>
      <w:r w:rsidRPr="002C7571">
        <w:rPr>
          <w:rFonts w:ascii="Times New Roman" w:hAnsi="Times New Roman"/>
          <w:sz w:val="24"/>
          <w:szCs w:val="24"/>
        </w:rPr>
        <w:t xml:space="preserve">themselves. Was it conceivable that where the House of Lords had laboured to create liabilities despite insufficient evidence of causation, and Parliament had intervened to ensure those liabilities remained joint and several for the protection of defendants, the same courts would deny cover of the liabilities through a much more formalist approach to contractual interpretation? Neither the Court of Appeal nor the Supreme Court was </w:t>
      </w:r>
      <w:r w:rsidR="00325F62">
        <w:rPr>
          <w:rFonts w:ascii="Times New Roman" w:hAnsi="Times New Roman"/>
          <w:sz w:val="24"/>
          <w:szCs w:val="24"/>
        </w:rPr>
        <w:t xml:space="preserve">sufficiently </w:t>
      </w:r>
      <w:r w:rsidRPr="002C7571">
        <w:rPr>
          <w:rFonts w:ascii="Times New Roman" w:hAnsi="Times New Roman"/>
          <w:sz w:val="24"/>
          <w:szCs w:val="24"/>
        </w:rPr>
        <w:t xml:space="preserve">tempted to take </w:t>
      </w:r>
      <w:r w:rsidR="00325F62">
        <w:rPr>
          <w:rFonts w:ascii="Times New Roman" w:hAnsi="Times New Roman"/>
          <w:sz w:val="24"/>
          <w:szCs w:val="24"/>
        </w:rPr>
        <w:t>a similar</w:t>
      </w:r>
      <w:r w:rsidRPr="002C7571">
        <w:rPr>
          <w:rFonts w:ascii="Times New Roman" w:hAnsi="Times New Roman"/>
          <w:sz w:val="24"/>
          <w:szCs w:val="24"/>
        </w:rPr>
        <w:t xml:space="preserve"> step </w:t>
      </w:r>
      <w:r w:rsidR="00325F62">
        <w:rPr>
          <w:rFonts w:ascii="Times New Roman" w:hAnsi="Times New Roman"/>
          <w:sz w:val="24"/>
          <w:szCs w:val="24"/>
        </w:rPr>
        <w:t xml:space="preserve">and apply a formalist approach </w:t>
      </w:r>
      <w:r w:rsidRPr="002C7571">
        <w:rPr>
          <w:rFonts w:ascii="Times New Roman" w:hAnsi="Times New Roman"/>
          <w:sz w:val="24"/>
          <w:szCs w:val="24"/>
        </w:rPr>
        <w:t xml:space="preserve">in </w:t>
      </w:r>
      <w:r w:rsidRPr="002C7571">
        <w:rPr>
          <w:rFonts w:ascii="Times New Roman" w:hAnsi="Times New Roman"/>
          <w:i/>
          <w:sz w:val="24"/>
          <w:szCs w:val="24"/>
        </w:rPr>
        <w:t>Sienk</w:t>
      </w:r>
      <w:r w:rsidR="00ED35E2" w:rsidRPr="002E71C6">
        <w:rPr>
          <w:rFonts w:ascii="Times New Roman" w:hAnsi="Times New Roman"/>
          <w:i/>
          <w:sz w:val="24"/>
          <w:szCs w:val="24"/>
        </w:rPr>
        <w:t>i</w:t>
      </w:r>
      <w:r w:rsidRPr="002C7571">
        <w:rPr>
          <w:rFonts w:ascii="Times New Roman" w:hAnsi="Times New Roman"/>
          <w:i/>
          <w:sz w:val="24"/>
          <w:szCs w:val="24"/>
        </w:rPr>
        <w:t>ewicz</w:t>
      </w:r>
      <w:r w:rsidRPr="002C7571">
        <w:rPr>
          <w:rFonts w:ascii="Times New Roman" w:hAnsi="Times New Roman"/>
          <w:sz w:val="24"/>
          <w:szCs w:val="24"/>
        </w:rPr>
        <w:t xml:space="preserve">, a tort case. But in </w:t>
      </w:r>
      <w:r w:rsidRPr="002C7571">
        <w:rPr>
          <w:rFonts w:ascii="Times New Roman" w:hAnsi="Times New Roman"/>
          <w:i/>
          <w:sz w:val="24"/>
          <w:szCs w:val="24"/>
        </w:rPr>
        <w:t>Durham</w:t>
      </w:r>
      <w:r w:rsidRPr="002C7571">
        <w:rPr>
          <w:rFonts w:ascii="Times New Roman" w:hAnsi="Times New Roman"/>
          <w:sz w:val="24"/>
          <w:szCs w:val="24"/>
        </w:rPr>
        <w:t>, a contract case concerning insurance cover, this is what occurred.</w:t>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 xml:space="preserve">An important step on the way to the interpretation of relevant </w:t>
      </w:r>
      <w:r w:rsidR="00582673" w:rsidRPr="002E71C6">
        <w:rPr>
          <w:rFonts w:ascii="Times New Roman" w:hAnsi="Times New Roman"/>
          <w:sz w:val="24"/>
          <w:szCs w:val="24"/>
        </w:rPr>
        <w:t>e</w:t>
      </w:r>
      <w:r w:rsidRPr="002C7571">
        <w:rPr>
          <w:rFonts w:ascii="Times New Roman" w:hAnsi="Times New Roman"/>
          <w:sz w:val="24"/>
          <w:szCs w:val="24"/>
        </w:rPr>
        <w:t>mployers</w:t>
      </w:r>
      <w:r w:rsidR="004C7E67" w:rsidRPr="002E71C6">
        <w:rPr>
          <w:rFonts w:ascii="Times New Roman" w:hAnsi="Times New Roman"/>
          <w:sz w:val="24"/>
          <w:szCs w:val="24"/>
        </w:rPr>
        <w:t>’</w:t>
      </w:r>
      <w:r w:rsidRPr="002C7571">
        <w:rPr>
          <w:rFonts w:ascii="Times New Roman" w:hAnsi="Times New Roman"/>
          <w:sz w:val="24"/>
          <w:szCs w:val="24"/>
        </w:rPr>
        <w:t xml:space="preserve"> </w:t>
      </w:r>
      <w:r w:rsidR="00582673" w:rsidRPr="002E71C6">
        <w:rPr>
          <w:rFonts w:ascii="Times New Roman" w:hAnsi="Times New Roman"/>
          <w:sz w:val="24"/>
          <w:szCs w:val="24"/>
        </w:rPr>
        <w:t>l</w:t>
      </w:r>
      <w:r w:rsidRPr="002C7571">
        <w:rPr>
          <w:rFonts w:ascii="Times New Roman" w:hAnsi="Times New Roman"/>
          <w:sz w:val="24"/>
          <w:szCs w:val="24"/>
        </w:rPr>
        <w:t xml:space="preserve">iability policies so as to exclude cover for some of the </w:t>
      </w:r>
      <w:r w:rsidRPr="002C7571">
        <w:rPr>
          <w:rFonts w:ascii="Times New Roman" w:hAnsi="Times New Roman"/>
          <w:i/>
          <w:sz w:val="24"/>
          <w:szCs w:val="24"/>
        </w:rPr>
        <w:t xml:space="preserve">Fairchild </w:t>
      </w:r>
      <w:r w:rsidRPr="002C7571">
        <w:rPr>
          <w:rFonts w:ascii="Times New Roman" w:hAnsi="Times New Roman"/>
          <w:sz w:val="24"/>
          <w:szCs w:val="24"/>
        </w:rPr>
        <w:t xml:space="preserve">liabilities was </w:t>
      </w:r>
      <w:r w:rsidRPr="002C7571">
        <w:rPr>
          <w:rFonts w:ascii="Times New Roman" w:hAnsi="Times New Roman"/>
          <w:i/>
          <w:sz w:val="24"/>
          <w:szCs w:val="24"/>
        </w:rPr>
        <w:t>Bolton</w:t>
      </w:r>
      <w:r w:rsidRPr="002C7571">
        <w:rPr>
          <w:rFonts w:ascii="Times New Roman" w:hAnsi="Times New Roman"/>
          <w:sz w:val="24"/>
          <w:szCs w:val="24"/>
        </w:rPr>
        <w:t>.</w:t>
      </w:r>
      <w:r w:rsidR="004C7E67" w:rsidRPr="002E71C6">
        <w:rPr>
          <w:rStyle w:val="FootnoteReference"/>
          <w:rFonts w:ascii="Times New Roman" w:hAnsi="Times New Roman"/>
          <w:sz w:val="24"/>
          <w:szCs w:val="24"/>
        </w:rPr>
        <w:footnoteReference w:id="81"/>
      </w:r>
      <w:r w:rsidRPr="002C7571">
        <w:rPr>
          <w:rFonts w:ascii="Times New Roman" w:hAnsi="Times New Roman"/>
          <w:sz w:val="24"/>
          <w:szCs w:val="24"/>
        </w:rPr>
        <w:t xml:space="preserve"> This case concerned </w:t>
      </w:r>
      <w:r w:rsidR="00582673" w:rsidRPr="002E71C6">
        <w:rPr>
          <w:rFonts w:ascii="Times New Roman" w:hAnsi="Times New Roman"/>
          <w:sz w:val="24"/>
          <w:szCs w:val="24"/>
        </w:rPr>
        <w:t>p</w:t>
      </w:r>
      <w:r w:rsidRPr="002C7571">
        <w:rPr>
          <w:rFonts w:ascii="Times New Roman" w:hAnsi="Times New Roman"/>
          <w:sz w:val="24"/>
          <w:szCs w:val="24"/>
        </w:rPr>
        <w:t xml:space="preserve">ublic </w:t>
      </w:r>
      <w:r w:rsidR="00582673" w:rsidRPr="002E71C6">
        <w:rPr>
          <w:rFonts w:ascii="Times New Roman" w:hAnsi="Times New Roman"/>
          <w:sz w:val="24"/>
          <w:szCs w:val="24"/>
        </w:rPr>
        <w:t>li</w:t>
      </w:r>
      <w:r w:rsidRPr="002C7571">
        <w:rPr>
          <w:rFonts w:ascii="Times New Roman" w:hAnsi="Times New Roman"/>
          <w:sz w:val="24"/>
          <w:szCs w:val="24"/>
        </w:rPr>
        <w:t>ability (</w:t>
      </w:r>
      <w:r w:rsidR="00582673" w:rsidRPr="002E71C6">
        <w:rPr>
          <w:rFonts w:ascii="Times New Roman" w:hAnsi="Times New Roman"/>
          <w:sz w:val="24"/>
          <w:szCs w:val="24"/>
        </w:rPr>
        <w:t>“</w:t>
      </w:r>
      <w:r w:rsidRPr="002C7571">
        <w:rPr>
          <w:rFonts w:ascii="Times New Roman" w:hAnsi="Times New Roman"/>
          <w:sz w:val="24"/>
          <w:szCs w:val="24"/>
        </w:rPr>
        <w:t>PL</w:t>
      </w:r>
      <w:r w:rsidR="00582673" w:rsidRPr="002E71C6">
        <w:rPr>
          <w:rFonts w:ascii="Times New Roman" w:hAnsi="Times New Roman"/>
          <w:sz w:val="24"/>
          <w:szCs w:val="24"/>
        </w:rPr>
        <w:t>”</w:t>
      </w:r>
      <w:r w:rsidRPr="002C7571">
        <w:rPr>
          <w:rFonts w:ascii="Times New Roman" w:hAnsi="Times New Roman"/>
          <w:sz w:val="24"/>
          <w:szCs w:val="24"/>
        </w:rPr>
        <w:t xml:space="preserve">) policies, rather than </w:t>
      </w:r>
      <w:r w:rsidR="00582673" w:rsidRPr="002E71C6">
        <w:rPr>
          <w:rFonts w:ascii="Times New Roman" w:hAnsi="Times New Roman"/>
          <w:sz w:val="24"/>
          <w:szCs w:val="24"/>
        </w:rPr>
        <w:t>e</w:t>
      </w:r>
      <w:r w:rsidRPr="002C7571">
        <w:rPr>
          <w:rFonts w:ascii="Times New Roman" w:hAnsi="Times New Roman"/>
          <w:sz w:val="24"/>
          <w:szCs w:val="24"/>
        </w:rPr>
        <w:t>mployers</w:t>
      </w:r>
      <w:r w:rsidR="004C7E67" w:rsidRPr="002E71C6">
        <w:rPr>
          <w:rFonts w:ascii="Times New Roman" w:hAnsi="Times New Roman"/>
          <w:sz w:val="24"/>
          <w:szCs w:val="24"/>
        </w:rPr>
        <w:t>’</w:t>
      </w:r>
      <w:r w:rsidRPr="002C7571">
        <w:rPr>
          <w:rFonts w:ascii="Times New Roman" w:hAnsi="Times New Roman"/>
          <w:sz w:val="24"/>
          <w:szCs w:val="24"/>
        </w:rPr>
        <w:t xml:space="preserve"> </w:t>
      </w:r>
      <w:r w:rsidR="00582673" w:rsidRPr="002E71C6">
        <w:rPr>
          <w:rFonts w:ascii="Times New Roman" w:hAnsi="Times New Roman"/>
          <w:sz w:val="24"/>
          <w:szCs w:val="24"/>
        </w:rPr>
        <w:t>l</w:t>
      </w:r>
      <w:r w:rsidRPr="002C7571">
        <w:rPr>
          <w:rFonts w:ascii="Times New Roman" w:hAnsi="Times New Roman"/>
          <w:sz w:val="24"/>
          <w:szCs w:val="24"/>
        </w:rPr>
        <w:t>iability (</w:t>
      </w:r>
      <w:r w:rsidR="00582673" w:rsidRPr="002E71C6">
        <w:rPr>
          <w:rFonts w:ascii="Times New Roman" w:hAnsi="Times New Roman"/>
          <w:sz w:val="24"/>
          <w:szCs w:val="24"/>
        </w:rPr>
        <w:t>“</w:t>
      </w:r>
      <w:r w:rsidRPr="002C7571">
        <w:rPr>
          <w:rFonts w:ascii="Times New Roman" w:hAnsi="Times New Roman"/>
          <w:sz w:val="24"/>
          <w:szCs w:val="24"/>
        </w:rPr>
        <w:t>EL</w:t>
      </w:r>
      <w:r w:rsidR="00582673" w:rsidRPr="002E71C6">
        <w:rPr>
          <w:rFonts w:ascii="Times New Roman" w:hAnsi="Times New Roman"/>
          <w:sz w:val="24"/>
          <w:szCs w:val="24"/>
        </w:rPr>
        <w:t>”</w:t>
      </w:r>
      <w:r w:rsidRPr="002C7571">
        <w:rPr>
          <w:rFonts w:ascii="Times New Roman" w:hAnsi="Times New Roman"/>
          <w:sz w:val="24"/>
          <w:szCs w:val="24"/>
        </w:rPr>
        <w:t xml:space="preserve">) policies, and the underlying issue was not whether the claim was covered at all, but which insurance policy should respond </w:t>
      </w:r>
      <w:r w:rsidR="004C7E67" w:rsidRPr="002E71C6">
        <w:rPr>
          <w:rFonts w:ascii="Times New Roman" w:hAnsi="Times New Roman"/>
          <w:sz w:val="24"/>
          <w:szCs w:val="24"/>
        </w:rPr>
        <w:t>–</w:t>
      </w:r>
      <w:r w:rsidRPr="002C7571">
        <w:rPr>
          <w:rFonts w:ascii="Times New Roman" w:hAnsi="Times New Roman"/>
          <w:sz w:val="24"/>
          <w:szCs w:val="24"/>
        </w:rPr>
        <w:t xml:space="preserve"> a familiar question in insurance cover disputes</w:t>
      </w:r>
      <w:r w:rsidR="00325F62">
        <w:rPr>
          <w:rFonts w:ascii="Times New Roman" w:hAnsi="Times New Roman"/>
          <w:sz w:val="24"/>
          <w:szCs w:val="24"/>
        </w:rPr>
        <w:t xml:space="preserve"> (and, less obviously, some tort cases)</w:t>
      </w:r>
      <w:r w:rsidRPr="002C7571">
        <w:rPr>
          <w:rFonts w:ascii="Times New Roman" w:hAnsi="Times New Roman"/>
          <w:sz w:val="24"/>
          <w:szCs w:val="24"/>
        </w:rPr>
        <w:t xml:space="preserve">. The Court of Appeal may well have been concerned that its decision would have implications for EL policies, since the parties in turn appear to have persuaded the court that this was not the case. The policies were written on the basis that they covered liability for injuries which </w:t>
      </w:r>
      <w:r w:rsidR="00582673" w:rsidRPr="002E71C6">
        <w:rPr>
          <w:rFonts w:ascii="Times New Roman" w:hAnsi="Times New Roman"/>
          <w:sz w:val="24"/>
          <w:szCs w:val="24"/>
        </w:rPr>
        <w:t>“</w:t>
      </w:r>
      <w:r w:rsidRPr="002C7571">
        <w:rPr>
          <w:rFonts w:ascii="Times New Roman" w:hAnsi="Times New Roman"/>
          <w:sz w:val="24"/>
          <w:szCs w:val="24"/>
        </w:rPr>
        <w:t>occurred</w:t>
      </w:r>
      <w:r w:rsidR="00582673" w:rsidRPr="002E71C6">
        <w:rPr>
          <w:rFonts w:ascii="Times New Roman" w:hAnsi="Times New Roman"/>
          <w:sz w:val="24"/>
          <w:szCs w:val="24"/>
        </w:rPr>
        <w:t>”</w:t>
      </w:r>
      <w:r w:rsidRPr="002C7571">
        <w:rPr>
          <w:rFonts w:ascii="Times New Roman" w:hAnsi="Times New Roman"/>
          <w:sz w:val="24"/>
          <w:szCs w:val="24"/>
        </w:rPr>
        <w:t xml:space="preserve"> during the period of cover. Longmore LJ observed that employers</w:t>
      </w:r>
      <w:r w:rsidR="004C7E67" w:rsidRPr="002E71C6">
        <w:rPr>
          <w:rFonts w:ascii="Times New Roman" w:hAnsi="Times New Roman"/>
          <w:sz w:val="24"/>
          <w:szCs w:val="24"/>
        </w:rPr>
        <w:t>’</w:t>
      </w:r>
      <w:r w:rsidRPr="002C7571">
        <w:rPr>
          <w:rFonts w:ascii="Times New Roman" w:hAnsi="Times New Roman"/>
          <w:sz w:val="24"/>
          <w:szCs w:val="24"/>
        </w:rPr>
        <w:t xml:space="preserve"> liability insurers </w:t>
      </w:r>
      <w:r w:rsidR="00582673" w:rsidRPr="002E71C6">
        <w:rPr>
          <w:rFonts w:ascii="Times New Roman" w:hAnsi="Times New Roman"/>
          <w:sz w:val="24"/>
          <w:szCs w:val="24"/>
        </w:rPr>
        <w:t>“</w:t>
      </w:r>
      <w:r w:rsidRPr="002C7571">
        <w:rPr>
          <w:rFonts w:ascii="Times New Roman" w:hAnsi="Times New Roman"/>
          <w:sz w:val="24"/>
          <w:szCs w:val="24"/>
        </w:rPr>
        <w:t xml:space="preserve">usually offered cover in respect of </w:t>
      </w:r>
      <w:r w:rsidR="00582673" w:rsidRPr="002E71C6">
        <w:rPr>
          <w:rFonts w:ascii="Times New Roman" w:hAnsi="Times New Roman"/>
          <w:sz w:val="24"/>
          <w:szCs w:val="24"/>
        </w:rPr>
        <w:t>‘</w:t>
      </w:r>
      <w:r w:rsidRPr="002C7571">
        <w:rPr>
          <w:rFonts w:ascii="Times New Roman" w:hAnsi="Times New Roman"/>
          <w:sz w:val="24"/>
          <w:szCs w:val="24"/>
        </w:rPr>
        <w:t>injuries caused during the period of insurance</w:t>
      </w:r>
      <w:r w:rsidR="00582673" w:rsidRPr="002E71C6">
        <w:rPr>
          <w:rFonts w:ascii="Times New Roman" w:hAnsi="Times New Roman"/>
          <w:sz w:val="24"/>
          <w:szCs w:val="24"/>
        </w:rPr>
        <w:t>’”</w:t>
      </w:r>
      <w:r w:rsidRPr="002C7571">
        <w:rPr>
          <w:rFonts w:ascii="Times New Roman" w:hAnsi="Times New Roman"/>
          <w:sz w:val="24"/>
          <w:szCs w:val="24"/>
        </w:rPr>
        <w:t>, and it would therefore (</w:t>
      </w:r>
      <w:r w:rsidR="00582673" w:rsidRPr="002E71C6">
        <w:rPr>
          <w:rFonts w:ascii="Times New Roman" w:hAnsi="Times New Roman"/>
          <w:sz w:val="24"/>
          <w:szCs w:val="24"/>
        </w:rPr>
        <w:t>“</w:t>
      </w:r>
      <w:r w:rsidRPr="002C7571">
        <w:rPr>
          <w:rFonts w:ascii="Times New Roman" w:hAnsi="Times New Roman"/>
          <w:sz w:val="24"/>
          <w:szCs w:val="24"/>
        </w:rPr>
        <w:t>at least arguably</w:t>
      </w:r>
      <w:r w:rsidR="00582673" w:rsidRPr="002E71C6">
        <w:rPr>
          <w:rFonts w:ascii="Times New Roman" w:hAnsi="Times New Roman"/>
          <w:sz w:val="24"/>
          <w:szCs w:val="24"/>
        </w:rPr>
        <w:t>”</w:t>
      </w:r>
      <w:r w:rsidRPr="002C7571">
        <w:rPr>
          <w:rFonts w:ascii="Times New Roman" w:hAnsi="Times New Roman"/>
          <w:sz w:val="24"/>
          <w:szCs w:val="24"/>
        </w:rPr>
        <w:t>) cover the time when employees were exposed to asbestos.</w:t>
      </w:r>
      <w:r w:rsidR="004C7E67" w:rsidRPr="002E71C6">
        <w:rPr>
          <w:rStyle w:val="FootnoteReference"/>
          <w:rFonts w:ascii="Times New Roman" w:hAnsi="Times New Roman"/>
          <w:sz w:val="24"/>
          <w:szCs w:val="24"/>
        </w:rPr>
        <w:footnoteReference w:id="82"/>
      </w:r>
      <w:r w:rsidRPr="002C7571">
        <w:rPr>
          <w:rFonts w:ascii="Times New Roman" w:hAnsi="Times New Roman"/>
          <w:sz w:val="24"/>
          <w:szCs w:val="24"/>
        </w:rPr>
        <w:t xml:space="preserve"> Thanks to </w:t>
      </w:r>
      <w:r w:rsidRPr="002C7571">
        <w:rPr>
          <w:rFonts w:ascii="Times New Roman" w:hAnsi="Times New Roman"/>
          <w:i/>
          <w:sz w:val="24"/>
          <w:szCs w:val="24"/>
        </w:rPr>
        <w:t>Fairchild</w:t>
      </w:r>
      <w:r w:rsidRPr="002C7571">
        <w:rPr>
          <w:rFonts w:ascii="Times New Roman" w:hAnsi="Times New Roman"/>
          <w:sz w:val="24"/>
          <w:szCs w:val="24"/>
        </w:rPr>
        <w:t xml:space="preserve">, each such exposure can be regarded as a cause of the injury. The Court decided that the policy which would respond was the policy in place at the time that injury was suffered in the sense that it would be actionable, and where the </w:t>
      </w:r>
      <w:r w:rsidR="006108BF" w:rsidRPr="002E71C6">
        <w:rPr>
          <w:rFonts w:ascii="Times New Roman" w:hAnsi="Times New Roman"/>
          <w:sz w:val="24"/>
          <w:szCs w:val="24"/>
        </w:rPr>
        <w:t>plaintiff</w:t>
      </w:r>
      <w:r w:rsidRPr="002C7571">
        <w:rPr>
          <w:rFonts w:ascii="Times New Roman" w:hAnsi="Times New Roman"/>
          <w:sz w:val="24"/>
          <w:szCs w:val="24"/>
        </w:rPr>
        <w:t xml:space="preserve"> would have been able to secure substantial damages. </w:t>
      </w:r>
    </w:p>
    <w:p w:rsidR="00032365" w:rsidRDefault="002C7571">
      <w:pPr>
        <w:spacing w:after="0" w:line="240" w:lineRule="auto"/>
        <w:ind w:firstLine="284"/>
        <w:jc w:val="both"/>
        <w:rPr>
          <w:rFonts w:ascii="Times New Roman" w:hAnsi="Times New Roman"/>
          <w:sz w:val="24"/>
          <w:szCs w:val="24"/>
        </w:rPr>
      </w:pPr>
      <w:commentRangeStart w:id="29"/>
      <w:r w:rsidRPr="002C7571">
        <w:rPr>
          <w:rFonts w:ascii="Times New Roman" w:hAnsi="Times New Roman"/>
          <w:sz w:val="24"/>
          <w:szCs w:val="24"/>
        </w:rPr>
        <w:t xml:space="preserve">The successful arguments in </w:t>
      </w:r>
      <w:r w:rsidRPr="002C7571">
        <w:rPr>
          <w:rFonts w:ascii="Times New Roman" w:hAnsi="Times New Roman"/>
          <w:i/>
          <w:sz w:val="24"/>
          <w:szCs w:val="24"/>
        </w:rPr>
        <w:t>Bolton</w:t>
      </w:r>
      <w:r w:rsidRPr="002C7571">
        <w:rPr>
          <w:rFonts w:ascii="Times New Roman" w:hAnsi="Times New Roman"/>
          <w:sz w:val="24"/>
          <w:szCs w:val="24"/>
        </w:rPr>
        <w:t xml:space="preserve"> have </w:t>
      </w:r>
      <w:r w:rsidR="00BC5113">
        <w:rPr>
          <w:rFonts w:ascii="Times New Roman" w:hAnsi="Times New Roman"/>
          <w:sz w:val="24"/>
          <w:szCs w:val="24"/>
        </w:rPr>
        <w:t xml:space="preserve">turned out to </w:t>
      </w:r>
      <w:r w:rsidRPr="002C7571">
        <w:rPr>
          <w:rFonts w:ascii="Times New Roman" w:hAnsi="Times New Roman"/>
          <w:sz w:val="24"/>
          <w:szCs w:val="24"/>
        </w:rPr>
        <w:t>be very useful to the losing insurers in that case</w:t>
      </w:r>
      <w:r w:rsidR="00BC5113">
        <w:rPr>
          <w:rFonts w:ascii="Times New Roman" w:hAnsi="Times New Roman"/>
          <w:sz w:val="24"/>
          <w:szCs w:val="24"/>
        </w:rPr>
        <w:t xml:space="preserve"> in the more significant context of EL</w:t>
      </w:r>
      <w:r w:rsidR="00325F62">
        <w:rPr>
          <w:rFonts w:ascii="Times New Roman" w:hAnsi="Times New Roman"/>
          <w:sz w:val="24"/>
          <w:szCs w:val="24"/>
        </w:rPr>
        <w:t xml:space="preserve">. Reflecting the fact that insurers are classic </w:t>
      </w:r>
      <w:r w:rsidR="00BC5113">
        <w:rPr>
          <w:rFonts w:ascii="Times New Roman" w:hAnsi="Times New Roman"/>
          <w:sz w:val="24"/>
          <w:szCs w:val="24"/>
        </w:rPr>
        <w:t>repeat players whose interests may vary from cases to case</w:t>
      </w:r>
      <w:r w:rsidRPr="002C7571">
        <w:rPr>
          <w:rFonts w:ascii="Times New Roman" w:hAnsi="Times New Roman"/>
          <w:sz w:val="24"/>
          <w:szCs w:val="24"/>
        </w:rPr>
        <w:t xml:space="preserve">, </w:t>
      </w:r>
      <w:r w:rsidR="00BC5113">
        <w:rPr>
          <w:rFonts w:ascii="Times New Roman" w:hAnsi="Times New Roman"/>
          <w:sz w:val="24"/>
          <w:szCs w:val="24"/>
        </w:rPr>
        <w:t xml:space="preserve">the losing insurers in </w:t>
      </w:r>
      <w:r w:rsidR="00BC5113">
        <w:rPr>
          <w:rFonts w:ascii="Times New Roman" w:hAnsi="Times New Roman"/>
          <w:i/>
          <w:sz w:val="24"/>
          <w:szCs w:val="24"/>
        </w:rPr>
        <w:t xml:space="preserve">Bolton </w:t>
      </w:r>
      <w:r w:rsidRPr="002C7571">
        <w:rPr>
          <w:rFonts w:ascii="Times New Roman" w:hAnsi="Times New Roman"/>
          <w:sz w:val="24"/>
          <w:szCs w:val="24"/>
        </w:rPr>
        <w:t xml:space="preserve"> </w:t>
      </w:r>
      <w:r w:rsidR="00BC5113">
        <w:rPr>
          <w:rFonts w:ascii="Times New Roman" w:hAnsi="Times New Roman"/>
          <w:sz w:val="24"/>
          <w:szCs w:val="24"/>
        </w:rPr>
        <w:t xml:space="preserve">began to decline cover in certain EL cases and prepared </w:t>
      </w:r>
      <w:r w:rsidRPr="002C7571">
        <w:rPr>
          <w:rFonts w:ascii="Times New Roman" w:hAnsi="Times New Roman"/>
          <w:sz w:val="24"/>
          <w:szCs w:val="24"/>
        </w:rPr>
        <w:t xml:space="preserve">to use the same arguments </w:t>
      </w:r>
      <w:r w:rsidR="00BC5113">
        <w:rPr>
          <w:rFonts w:ascii="Times New Roman" w:hAnsi="Times New Roman"/>
          <w:sz w:val="24"/>
          <w:szCs w:val="24"/>
        </w:rPr>
        <w:t>to resist liability. This was</w:t>
      </w:r>
      <w:r w:rsidRPr="002C7571">
        <w:rPr>
          <w:rFonts w:ascii="Times New Roman" w:hAnsi="Times New Roman"/>
          <w:sz w:val="24"/>
          <w:szCs w:val="24"/>
        </w:rPr>
        <w:t xml:space="preserve"> despite the </w:t>
      </w:r>
      <w:r w:rsidR="00BC5113">
        <w:rPr>
          <w:rFonts w:ascii="Times New Roman" w:hAnsi="Times New Roman"/>
          <w:sz w:val="24"/>
          <w:szCs w:val="24"/>
        </w:rPr>
        <w:t xml:space="preserve">fact that the </w:t>
      </w:r>
      <w:r w:rsidRPr="002C7571">
        <w:rPr>
          <w:rFonts w:ascii="Times New Roman" w:hAnsi="Times New Roman"/>
          <w:sz w:val="24"/>
          <w:szCs w:val="24"/>
        </w:rPr>
        <w:t xml:space="preserve">Court of Appeal in </w:t>
      </w:r>
      <w:r w:rsidRPr="002C7571">
        <w:rPr>
          <w:rFonts w:ascii="Times New Roman" w:hAnsi="Times New Roman"/>
          <w:i/>
          <w:sz w:val="24"/>
          <w:szCs w:val="24"/>
        </w:rPr>
        <w:t>Bolton</w:t>
      </w:r>
      <w:commentRangeEnd w:id="29"/>
      <w:r w:rsidRPr="002C7571">
        <w:rPr>
          <w:rStyle w:val="CommentReference"/>
          <w:rFonts w:ascii="Times New Roman" w:hAnsi="Times New Roman"/>
          <w:sz w:val="24"/>
          <w:szCs w:val="24"/>
        </w:rPr>
        <w:commentReference w:id="29"/>
      </w:r>
      <w:r w:rsidR="00BC5113">
        <w:rPr>
          <w:rFonts w:ascii="Times New Roman" w:hAnsi="Times New Roman"/>
          <w:i/>
          <w:sz w:val="24"/>
          <w:szCs w:val="24"/>
        </w:rPr>
        <w:t xml:space="preserve"> </w:t>
      </w:r>
      <w:r w:rsidR="00BC5113">
        <w:rPr>
          <w:rFonts w:ascii="Times New Roman" w:hAnsi="Times New Roman"/>
          <w:sz w:val="24"/>
          <w:szCs w:val="24"/>
        </w:rPr>
        <w:t>had been persuaded by Counsel for the same insurer that the issues arising in EL insurance would be quite different</w:t>
      </w:r>
      <w:r w:rsidRPr="002C7571">
        <w:rPr>
          <w:rFonts w:ascii="Times New Roman" w:hAnsi="Times New Roman"/>
          <w:sz w:val="24"/>
          <w:szCs w:val="24"/>
        </w:rPr>
        <w:t xml:space="preserve">. </w:t>
      </w:r>
      <w:r w:rsidRPr="002C7571">
        <w:rPr>
          <w:rFonts w:ascii="Times New Roman" w:hAnsi="Times New Roman"/>
          <w:sz w:val="24"/>
          <w:szCs w:val="24"/>
        </w:rPr>
        <w:lastRenderedPageBreak/>
        <w:t xml:space="preserve">The result was the unsatisfactory decision in </w:t>
      </w:r>
      <w:r w:rsidRPr="002C7571">
        <w:rPr>
          <w:rFonts w:ascii="Times New Roman" w:hAnsi="Times New Roman"/>
          <w:i/>
          <w:sz w:val="24"/>
          <w:szCs w:val="24"/>
        </w:rPr>
        <w:t>Durham</w:t>
      </w:r>
      <w:r w:rsidRPr="002C7571">
        <w:rPr>
          <w:rFonts w:ascii="Times New Roman" w:hAnsi="Times New Roman"/>
          <w:sz w:val="24"/>
          <w:szCs w:val="24"/>
        </w:rPr>
        <w:t>.</w:t>
      </w:r>
      <w:commentRangeStart w:id="30"/>
      <w:r w:rsidR="004C7E67" w:rsidRPr="002E71C6">
        <w:rPr>
          <w:rStyle w:val="FootnoteReference"/>
          <w:rFonts w:ascii="Times New Roman" w:hAnsi="Times New Roman"/>
          <w:sz w:val="24"/>
          <w:szCs w:val="24"/>
        </w:rPr>
        <w:footnoteReference w:id="83"/>
      </w:r>
      <w:commentRangeEnd w:id="30"/>
      <w:r w:rsidRPr="002C7571">
        <w:rPr>
          <w:rStyle w:val="CommentReference"/>
          <w:rFonts w:ascii="Times New Roman" w:hAnsi="Times New Roman"/>
          <w:sz w:val="24"/>
          <w:szCs w:val="24"/>
        </w:rPr>
        <w:commentReference w:id="30"/>
      </w:r>
      <w:r w:rsidRPr="002C7571">
        <w:rPr>
          <w:rFonts w:ascii="Times New Roman" w:hAnsi="Times New Roman"/>
          <w:sz w:val="24"/>
          <w:szCs w:val="24"/>
        </w:rPr>
        <w:t xml:space="preserve"> The startling result of this decision (</w:t>
      </w:r>
      <w:r w:rsidR="00F55002" w:rsidRPr="002E71C6">
        <w:rPr>
          <w:rFonts w:ascii="Times New Roman" w:hAnsi="Times New Roman"/>
          <w:sz w:val="24"/>
          <w:szCs w:val="24"/>
        </w:rPr>
        <w:t>an appeal against which to the United Kingdom Supreme Court is pending</w:t>
      </w:r>
      <w:r w:rsidRPr="002C7571">
        <w:rPr>
          <w:rFonts w:ascii="Times New Roman" w:hAnsi="Times New Roman"/>
          <w:sz w:val="24"/>
          <w:szCs w:val="24"/>
        </w:rPr>
        <w:t xml:space="preserve">) is that there is no insurance policy that will respond to a significant number of the </w:t>
      </w:r>
      <w:r w:rsidRPr="002C7571">
        <w:rPr>
          <w:rFonts w:ascii="Times New Roman" w:hAnsi="Times New Roman"/>
          <w:i/>
          <w:sz w:val="24"/>
          <w:szCs w:val="24"/>
        </w:rPr>
        <w:t xml:space="preserve">Fairchild </w:t>
      </w:r>
      <w:r w:rsidRPr="002C7571">
        <w:rPr>
          <w:rFonts w:ascii="Times New Roman" w:hAnsi="Times New Roman"/>
          <w:sz w:val="24"/>
          <w:szCs w:val="24"/>
        </w:rPr>
        <w:t>liabilities,</w:t>
      </w:r>
      <w:r w:rsidR="004C7E67" w:rsidRPr="002E71C6">
        <w:rPr>
          <w:rStyle w:val="FootnoteReference"/>
          <w:rFonts w:ascii="Times New Roman" w:hAnsi="Times New Roman"/>
          <w:sz w:val="24"/>
          <w:szCs w:val="24"/>
        </w:rPr>
        <w:footnoteReference w:id="84"/>
      </w:r>
      <w:r w:rsidRPr="002C7571">
        <w:rPr>
          <w:rFonts w:ascii="Times New Roman" w:hAnsi="Times New Roman"/>
          <w:sz w:val="24"/>
          <w:szCs w:val="24"/>
        </w:rPr>
        <w:t xml:space="preserve"> despite the widespread practice and, in some instances, requirement of liability insurance in the employment context. </w:t>
      </w:r>
    </w:p>
    <w:p w:rsidR="00032365" w:rsidRDefault="002C7571">
      <w:pPr>
        <w:spacing w:after="0" w:line="240" w:lineRule="auto"/>
        <w:ind w:firstLine="284"/>
        <w:jc w:val="both"/>
        <w:rPr>
          <w:rFonts w:ascii="Times New Roman" w:hAnsi="Times New Roman"/>
          <w:sz w:val="24"/>
          <w:szCs w:val="24"/>
        </w:rPr>
      </w:pPr>
      <w:commentRangeStart w:id="31"/>
      <w:r w:rsidRPr="002C7571">
        <w:rPr>
          <w:rFonts w:ascii="Times New Roman" w:hAnsi="Times New Roman"/>
          <w:sz w:val="24"/>
          <w:szCs w:val="24"/>
        </w:rPr>
        <w:t xml:space="preserve">A quite separate problem </w:t>
      </w:r>
      <w:r w:rsidR="006E20B3">
        <w:rPr>
          <w:rFonts w:ascii="Times New Roman" w:hAnsi="Times New Roman"/>
          <w:sz w:val="24"/>
          <w:szCs w:val="24"/>
        </w:rPr>
        <w:t xml:space="preserve">acknowledged </w:t>
      </w:r>
      <w:proofErr w:type="spellStart"/>
      <w:r w:rsidR="006E20B3">
        <w:rPr>
          <w:rFonts w:ascii="Times New Roman" w:hAnsi="Times New Roman"/>
          <w:sz w:val="24"/>
          <w:szCs w:val="24"/>
        </w:rPr>
        <w:t>by</w:t>
      </w:r>
      <w:r w:rsidRPr="002C7571">
        <w:rPr>
          <w:rFonts w:ascii="Times New Roman" w:hAnsi="Times New Roman"/>
          <w:sz w:val="24"/>
          <w:szCs w:val="24"/>
        </w:rPr>
        <w:t>Rix</w:t>
      </w:r>
      <w:proofErr w:type="spellEnd"/>
      <w:r w:rsidRPr="002C7571">
        <w:rPr>
          <w:rFonts w:ascii="Times New Roman" w:hAnsi="Times New Roman"/>
          <w:sz w:val="24"/>
          <w:szCs w:val="24"/>
        </w:rPr>
        <w:t xml:space="preserve"> LJ</w:t>
      </w:r>
      <w:commentRangeEnd w:id="31"/>
      <w:r w:rsidR="006E20B3">
        <w:rPr>
          <w:rFonts w:ascii="Times New Roman" w:hAnsi="Times New Roman"/>
          <w:sz w:val="24"/>
          <w:szCs w:val="24"/>
        </w:rPr>
        <w:t xml:space="preserve"> to stand in the way of his conclusion</w:t>
      </w:r>
      <w:r w:rsidRPr="002C7571">
        <w:rPr>
          <w:rStyle w:val="CommentReference"/>
          <w:rFonts w:ascii="Times New Roman" w:hAnsi="Times New Roman"/>
          <w:sz w:val="24"/>
          <w:szCs w:val="24"/>
        </w:rPr>
        <w:commentReference w:id="31"/>
      </w:r>
      <w:r w:rsidRPr="002C7571">
        <w:rPr>
          <w:rFonts w:ascii="Times New Roman" w:hAnsi="Times New Roman"/>
          <w:sz w:val="24"/>
          <w:szCs w:val="24"/>
        </w:rPr>
        <w:t>, in addition to his view that the conclusion was both unfortunate, and uncommercial,</w:t>
      </w:r>
      <w:r w:rsidR="004C7E67" w:rsidRPr="002E71C6">
        <w:rPr>
          <w:rStyle w:val="FootnoteReference"/>
          <w:rFonts w:ascii="Times New Roman" w:hAnsi="Times New Roman"/>
          <w:sz w:val="24"/>
          <w:szCs w:val="24"/>
        </w:rPr>
        <w:footnoteReference w:id="85"/>
      </w:r>
      <w:r w:rsidRPr="002C7571">
        <w:rPr>
          <w:rFonts w:ascii="Times New Roman" w:hAnsi="Times New Roman"/>
          <w:sz w:val="24"/>
          <w:szCs w:val="24"/>
        </w:rPr>
        <w:t xml:space="preserve"> surrounded the definition of </w:t>
      </w:r>
      <w:r w:rsidR="00582673" w:rsidRPr="002E71C6">
        <w:rPr>
          <w:rFonts w:ascii="Times New Roman" w:hAnsi="Times New Roman"/>
          <w:sz w:val="24"/>
          <w:szCs w:val="24"/>
        </w:rPr>
        <w:t>“</w:t>
      </w:r>
      <w:r w:rsidRPr="002C7571">
        <w:rPr>
          <w:rFonts w:ascii="Times New Roman" w:hAnsi="Times New Roman"/>
          <w:sz w:val="24"/>
          <w:szCs w:val="24"/>
        </w:rPr>
        <w:t>injury</w:t>
      </w:r>
      <w:r w:rsidR="00582673" w:rsidRPr="002E71C6">
        <w:rPr>
          <w:rFonts w:ascii="Times New Roman" w:hAnsi="Times New Roman"/>
          <w:sz w:val="24"/>
          <w:szCs w:val="24"/>
        </w:rPr>
        <w:t>”</w:t>
      </w:r>
      <w:r w:rsidRPr="002C7571">
        <w:rPr>
          <w:rFonts w:ascii="Times New Roman" w:hAnsi="Times New Roman"/>
          <w:sz w:val="24"/>
          <w:szCs w:val="24"/>
        </w:rPr>
        <w:t xml:space="preserve">. He considered himself bound by </w:t>
      </w:r>
      <w:r w:rsidRPr="002C7571">
        <w:rPr>
          <w:rFonts w:ascii="Times New Roman" w:hAnsi="Times New Roman"/>
          <w:i/>
          <w:sz w:val="24"/>
          <w:szCs w:val="24"/>
        </w:rPr>
        <w:t xml:space="preserve">Bolton </w:t>
      </w:r>
      <w:r w:rsidRPr="002C7571">
        <w:rPr>
          <w:rFonts w:ascii="Times New Roman" w:hAnsi="Times New Roman"/>
          <w:sz w:val="24"/>
          <w:szCs w:val="24"/>
        </w:rPr>
        <w:t xml:space="preserve">to hold that </w:t>
      </w:r>
      <w:r w:rsidR="00582673" w:rsidRPr="002E71C6">
        <w:rPr>
          <w:rFonts w:ascii="Times New Roman" w:hAnsi="Times New Roman"/>
          <w:sz w:val="24"/>
          <w:szCs w:val="24"/>
        </w:rPr>
        <w:t>“</w:t>
      </w:r>
      <w:r w:rsidRPr="002C7571">
        <w:rPr>
          <w:rFonts w:ascii="Times New Roman" w:hAnsi="Times New Roman"/>
          <w:sz w:val="24"/>
          <w:szCs w:val="24"/>
        </w:rPr>
        <w:t>injury</w:t>
      </w:r>
      <w:r w:rsidR="00582673" w:rsidRPr="002E71C6">
        <w:rPr>
          <w:rFonts w:ascii="Times New Roman" w:hAnsi="Times New Roman"/>
          <w:sz w:val="24"/>
          <w:szCs w:val="24"/>
        </w:rPr>
        <w:t>”</w:t>
      </w:r>
      <w:r w:rsidRPr="002C7571">
        <w:rPr>
          <w:rFonts w:ascii="Times New Roman" w:hAnsi="Times New Roman"/>
          <w:sz w:val="24"/>
          <w:szCs w:val="24"/>
        </w:rPr>
        <w:t xml:space="preserve"> meant actionable injury. But he did not agree with this view, preferring to think that </w:t>
      </w:r>
      <w:r w:rsidR="00582673" w:rsidRPr="002E71C6">
        <w:rPr>
          <w:rFonts w:ascii="Times New Roman" w:hAnsi="Times New Roman"/>
          <w:sz w:val="24"/>
          <w:szCs w:val="24"/>
        </w:rPr>
        <w:t>“</w:t>
      </w:r>
      <w:r w:rsidRPr="002C7571">
        <w:rPr>
          <w:rFonts w:ascii="Times New Roman" w:hAnsi="Times New Roman"/>
          <w:sz w:val="24"/>
          <w:szCs w:val="24"/>
        </w:rPr>
        <w:t>injury</w:t>
      </w:r>
      <w:r w:rsidR="00582673" w:rsidRPr="002E71C6">
        <w:rPr>
          <w:rFonts w:ascii="Times New Roman" w:hAnsi="Times New Roman"/>
          <w:sz w:val="24"/>
          <w:szCs w:val="24"/>
        </w:rPr>
        <w:t>”</w:t>
      </w:r>
      <w:r w:rsidRPr="002C7571">
        <w:rPr>
          <w:rFonts w:ascii="Times New Roman" w:hAnsi="Times New Roman"/>
          <w:sz w:val="24"/>
          <w:szCs w:val="24"/>
        </w:rPr>
        <w:t xml:space="preserve"> within </w:t>
      </w:r>
      <w:r w:rsidRPr="002C7571">
        <w:rPr>
          <w:rFonts w:ascii="Times New Roman" w:hAnsi="Times New Roman"/>
          <w:i/>
          <w:sz w:val="24"/>
          <w:szCs w:val="24"/>
        </w:rPr>
        <w:t xml:space="preserve">Barker </w:t>
      </w:r>
      <w:r w:rsidRPr="002C7571">
        <w:rPr>
          <w:rFonts w:ascii="Times New Roman" w:hAnsi="Times New Roman"/>
          <w:sz w:val="24"/>
          <w:szCs w:val="24"/>
        </w:rPr>
        <w:t xml:space="preserve">should be taken to be caused when the risk of injury was created </w:t>
      </w:r>
      <w:r w:rsidR="004C7E67" w:rsidRPr="002E71C6">
        <w:rPr>
          <w:rFonts w:ascii="Times New Roman" w:hAnsi="Times New Roman"/>
          <w:sz w:val="24"/>
          <w:szCs w:val="24"/>
        </w:rPr>
        <w:t>–</w:t>
      </w:r>
      <w:r w:rsidRPr="002C7571">
        <w:rPr>
          <w:rFonts w:ascii="Times New Roman" w:hAnsi="Times New Roman"/>
          <w:sz w:val="24"/>
          <w:szCs w:val="24"/>
        </w:rPr>
        <w:t xml:space="preserve"> in other words, at the time of exposure. </w:t>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 xml:space="preserve">A similar solution to policies written with </w:t>
      </w:r>
      <w:r w:rsidR="00F55002" w:rsidRPr="002E71C6">
        <w:rPr>
          <w:rFonts w:ascii="Times New Roman" w:hAnsi="Times New Roman"/>
          <w:sz w:val="24"/>
          <w:szCs w:val="24"/>
        </w:rPr>
        <w:t>“</w:t>
      </w:r>
      <w:r w:rsidRPr="002C7571">
        <w:rPr>
          <w:rFonts w:ascii="Times New Roman" w:hAnsi="Times New Roman"/>
          <w:sz w:val="24"/>
          <w:szCs w:val="24"/>
        </w:rPr>
        <w:t>injury sustained</w:t>
      </w:r>
      <w:r w:rsidR="00F55002" w:rsidRPr="002E71C6">
        <w:rPr>
          <w:rFonts w:ascii="Times New Roman" w:hAnsi="Times New Roman"/>
          <w:sz w:val="24"/>
          <w:szCs w:val="24"/>
        </w:rPr>
        <w:t>”</w:t>
      </w:r>
      <w:r w:rsidRPr="002C7571">
        <w:rPr>
          <w:rFonts w:ascii="Times New Roman" w:hAnsi="Times New Roman"/>
          <w:sz w:val="24"/>
          <w:szCs w:val="24"/>
        </w:rPr>
        <w:t xml:space="preserve"> wording has been adopted in New South Wales, but here there is no recourse to the idea that the harm caused by a defendant is the increase of risk. Rather, the idea of </w:t>
      </w:r>
      <w:r w:rsidR="00F55002" w:rsidRPr="002E71C6">
        <w:rPr>
          <w:rFonts w:ascii="Times New Roman" w:hAnsi="Times New Roman"/>
          <w:sz w:val="24"/>
          <w:szCs w:val="24"/>
        </w:rPr>
        <w:t>“</w:t>
      </w:r>
      <w:r w:rsidRPr="002C7571">
        <w:rPr>
          <w:rFonts w:ascii="Times New Roman" w:hAnsi="Times New Roman"/>
          <w:sz w:val="24"/>
          <w:szCs w:val="24"/>
        </w:rPr>
        <w:t>injury</w:t>
      </w:r>
      <w:r w:rsidR="00F55002" w:rsidRPr="002E71C6">
        <w:rPr>
          <w:rFonts w:ascii="Times New Roman" w:hAnsi="Times New Roman"/>
          <w:sz w:val="24"/>
          <w:szCs w:val="24"/>
        </w:rPr>
        <w:t>”</w:t>
      </w:r>
      <w:r w:rsidRPr="002C7571">
        <w:rPr>
          <w:rFonts w:ascii="Times New Roman" w:hAnsi="Times New Roman"/>
          <w:sz w:val="24"/>
          <w:szCs w:val="24"/>
        </w:rPr>
        <w:t xml:space="preserve"> is </w:t>
      </w:r>
      <w:r w:rsidR="006E20B3">
        <w:rPr>
          <w:rFonts w:ascii="Times New Roman" w:hAnsi="Times New Roman"/>
          <w:sz w:val="24"/>
          <w:szCs w:val="24"/>
        </w:rPr>
        <w:t xml:space="preserve">treated as distinct </w:t>
      </w:r>
      <w:r w:rsidRPr="002C7571">
        <w:rPr>
          <w:rFonts w:ascii="Times New Roman" w:hAnsi="Times New Roman"/>
          <w:sz w:val="24"/>
          <w:szCs w:val="24"/>
        </w:rPr>
        <w:t xml:space="preserve">from the idea of actionable harm </w:t>
      </w:r>
      <w:r w:rsidR="004C7E67" w:rsidRPr="002E71C6">
        <w:rPr>
          <w:rFonts w:ascii="Times New Roman" w:hAnsi="Times New Roman"/>
          <w:sz w:val="24"/>
          <w:szCs w:val="24"/>
        </w:rPr>
        <w:t>–</w:t>
      </w:r>
      <w:r w:rsidRPr="002C7571">
        <w:rPr>
          <w:rFonts w:ascii="Times New Roman" w:hAnsi="Times New Roman"/>
          <w:sz w:val="24"/>
          <w:szCs w:val="24"/>
        </w:rPr>
        <w:t xml:space="preserve"> quite consistently, one might add, with </w:t>
      </w:r>
      <w:r w:rsidRPr="002C7571">
        <w:rPr>
          <w:rFonts w:ascii="Times New Roman" w:hAnsi="Times New Roman"/>
          <w:i/>
          <w:sz w:val="24"/>
          <w:szCs w:val="24"/>
        </w:rPr>
        <w:t>Rothwell</w:t>
      </w:r>
      <w:r w:rsidRPr="002C7571">
        <w:rPr>
          <w:rFonts w:ascii="Times New Roman" w:hAnsi="Times New Roman"/>
          <w:sz w:val="24"/>
          <w:szCs w:val="24"/>
        </w:rPr>
        <w:t xml:space="preserve">, but potentially causing a problem over the definition of </w:t>
      </w:r>
      <w:r w:rsidRPr="002C7571">
        <w:rPr>
          <w:rFonts w:ascii="Times New Roman" w:hAnsi="Times New Roman"/>
          <w:i/>
          <w:sz w:val="24"/>
          <w:szCs w:val="24"/>
        </w:rPr>
        <w:t xml:space="preserve">which </w:t>
      </w:r>
      <w:r w:rsidRPr="002C7571">
        <w:rPr>
          <w:rFonts w:ascii="Times New Roman" w:hAnsi="Times New Roman"/>
          <w:sz w:val="24"/>
          <w:szCs w:val="24"/>
        </w:rPr>
        <w:t>“injury</w:t>
      </w:r>
      <w:r w:rsidR="00F55002" w:rsidRPr="002E71C6">
        <w:rPr>
          <w:rFonts w:ascii="Times New Roman" w:hAnsi="Times New Roman"/>
          <w:sz w:val="24"/>
          <w:szCs w:val="24"/>
        </w:rPr>
        <w:t>”</w:t>
      </w:r>
      <w:r w:rsidRPr="002C7571">
        <w:rPr>
          <w:rFonts w:ascii="Times New Roman" w:hAnsi="Times New Roman"/>
          <w:sz w:val="24"/>
          <w:szCs w:val="24"/>
        </w:rPr>
        <w:t xml:space="preserve"> is covered by the indemnity in the policy. In the recent decision in </w:t>
      </w:r>
      <w:r w:rsidRPr="002C7571">
        <w:rPr>
          <w:rFonts w:ascii="Times New Roman" w:hAnsi="Times New Roman"/>
          <w:i/>
          <w:sz w:val="24"/>
          <w:szCs w:val="24"/>
        </w:rPr>
        <w:t>Commonwealth Steel Company</w:t>
      </w:r>
      <w:r w:rsidR="00A154C0" w:rsidRPr="002E71C6">
        <w:rPr>
          <w:rFonts w:ascii="Times New Roman" w:hAnsi="Times New Roman"/>
          <w:i/>
          <w:sz w:val="24"/>
          <w:szCs w:val="24"/>
        </w:rPr>
        <w:t xml:space="preserve"> Ltd</w:t>
      </w:r>
      <w:r w:rsidRPr="002C7571">
        <w:rPr>
          <w:rFonts w:ascii="Times New Roman" w:hAnsi="Times New Roman"/>
          <w:i/>
          <w:sz w:val="24"/>
          <w:szCs w:val="24"/>
        </w:rPr>
        <w:t xml:space="preserve"> v Certain Underwriters at Lloyds</w:t>
      </w:r>
      <w:r w:rsidRPr="002C7571">
        <w:rPr>
          <w:rFonts w:ascii="Times New Roman" w:hAnsi="Times New Roman"/>
          <w:sz w:val="24"/>
          <w:szCs w:val="24"/>
        </w:rPr>
        <w:t>,</w:t>
      </w:r>
      <w:r w:rsidR="004C7E67" w:rsidRPr="002E71C6">
        <w:rPr>
          <w:rStyle w:val="FootnoteReference"/>
          <w:rFonts w:ascii="Times New Roman" w:hAnsi="Times New Roman"/>
          <w:sz w:val="24"/>
          <w:szCs w:val="24"/>
        </w:rPr>
        <w:footnoteReference w:id="86"/>
      </w:r>
      <w:r w:rsidRPr="002C7571">
        <w:rPr>
          <w:rFonts w:ascii="Times New Roman" w:hAnsi="Times New Roman"/>
          <w:sz w:val="24"/>
          <w:szCs w:val="24"/>
        </w:rPr>
        <w:t xml:space="preserve"> it was accepted by the parties that the inhalation of asbestos dust </w:t>
      </w:r>
      <w:r w:rsidR="00F55002" w:rsidRPr="002E71C6">
        <w:rPr>
          <w:rFonts w:ascii="Times New Roman" w:hAnsi="Times New Roman"/>
          <w:sz w:val="24"/>
          <w:szCs w:val="24"/>
        </w:rPr>
        <w:t>“</w:t>
      </w:r>
      <w:r w:rsidRPr="002C7571">
        <w:rPr>
          <w:rFonts w:ascii="Times New Roman" w:hAnsi="Times New Roman"/>
          <w:sz w:val="24"/>
          <w:szCs w:val="24"/>
        </w:rPr>
        <w:t>was personal injury</w:t>
      </w:r>
      <w:r w:rsidR="00F55002" w:rsidRPr="002E71C6">
        <w:rPr>
          <w:rFonts w:ascii="Times New Roman" w:hAnsi="Times New Roman"/>
          <w:sz w:val="24"/>
          <w:szCs w:val="24"/>
        </w:rPr>
        <w:t>”</w:t>
      </w:r>
      <w:r w:rsidRPr="002C7571">
        <w:rPr>
          <w:rFonts w:ascii="Times New Roman" w:hAnsi="Times New Roman"/>
          <w:sz w:val="24"/>
          <w:szCs w:val="24"/>
        </w:rPr>
        <w:t xml:space="preserve">, and that the personal injury (in this sense) </w:t>
      </w:r>
      <w:r w:rsidR="00F55002" w:rsidRPr="002E71C6">
        <w:rPr>
          <w:rFonts w:ascii="Times New Roman" w:hAnsi="Times New Roman"/>
          <w:sz w:val="24"/>
          <w:szCs w:val="24"/>
        </w:rPr>
        <w:t>“</w:t>
      </w:r>
      <w:r w:rsidRPr="002C7571">
        <w:rPr>
          <w:rFonts w:ascii="Times New Roman" w:hAnsi="Times New Roman"/>
          <w:sz w:val="24"/>
          <w:szCs w:val="24"/>
        </w:rPr>
        <w:t>materially caused or contributed to</w:t>
      </w:r>
      <w:r w:rsidR="00F55002" w:rsidRPr="002E71C6">
        <w:rPr>
          <w:rFonts w:ascii="Times New Roman" w:hAnsi="Times New Roman"/>
          <w:sz w:val="24"/>
          <w:szCs w:val="24"/>
        </w:rPr>
        <w:t>”</w:t>
      </w:r>
      <w:r w:rsidRPr="002C7571">
        <w:rPr>
          <w:rFonts w:ascii="Times New Roman" w:hAnsi="Times New Roman"/>
          <w:sz w:val="24"/>
          <w:szCs w:val="24"/>
        </w:rPr>
        <w:t xml:space="preserve"> the contraction of mesothelioma. The version of this approach preferred by Rix LJ (but barred by </w:t>
      </w:r>
      <w:r w:rsidRPr="002C7571">
        <w:rPr>
          <w:rFonts w:ascii="Times New Roman" w:hAnsi="Times New Roman"/>
          <w:i/>
          <w:sz w:val="24"/>
          <w:szCs w:val="24"/>
        </w:rPr>
        <w:t>Bolton</w:t>
      </w:r>
      <w:r w:rsidRPr="002C7571">
        <w:rPr>
          <w:rFonts w:ascii="Times New Roman" w:hAnsi="Times New Roman"/>
          <w:sz w:val="24"/>
          <w:szCs w:val="24"/>
        </w:rPr>
        <w:t xml:space="preserve">) adopts the interpolation of </w:t>
      </w:r>
      <w:r w:rsidR="00582673" w:rsidRPr="002E71C6">
        <w:rPr>
          <w:rFonts w:ascii="Times New Roman" w:hAnsi="Times New Roman"/>
          <w:sz w:val="24"/>
          <w:szCs w:val="24"/>
        </w:rPr>
        <w:t>“</w:t>
      </w:r>
      <w:r w:rsidRPr="002C7571">
        <w:rPr>
          <w:rFonts w:ascii="Times New Roman" w:hAnsi="Times New Roman"/>
          <w:sz w:val="24"/>
          <w:szCs w:val="24"/>
        </w:rPr>
        <w:t>risk as damage</w:t>
      </w:r>
      <w:r w:rsidR="00582673" w:rsidRPr="002E71C6">
        <w:rPr>
          <w:rFonts w:ascii="Times New Roman" w:hAnsi="Times New Roman"/>
          <w:sz w:val="24"/>
          <w:szCs w:val="24"/>
        </w:rPr>
        <w:t>”</w:t>
      </w:r>
      <w:r w:rsidRPr="002C7571">
        <w:rPr>
          <w:rFonts w:ascii="Times New Roman" w:hAnsi="Times New Roman"/>
          <w:sz w:val="24"/>
          <w:szCs w:val="24"/>
        </w:rPr>
        <w:t xml:space="preserve"> in </w:t>
      </w:r>
      <w:r w:rsidRPr="002C7571">
        <w:rPr>
          <w:rFonts w:ascii="Times New Roman" w:hAnsi="Times New Roman"/>
          <w:i/>
          <w:sz w:val="24"/>
          <w:szCs w:val="24"/>
        </w:rPr>
        <w:t>Barker</w:t>
      </w:r>
      <w:r w:rsidRPr="002C7571">
        <w:rPr>
          <w:rFonts w:ascii="Times New Roman" w:hAnsi="Times New Roman"/>
          <w:sz w:val="24"/>
          <w:szCs w:val="24"/>
        </w:rPr>
        <w:t xml:space="preserve">: if the risk of harm is the relevant damage, then the injury arises at the time of exposure, not later. </w:t>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 xml:space="preserve">Either of two alternative routes </w:t>
      </w:r>
      <w:r w:rsidR="004C7E67" w:rsidRPr="002E71C6">
        <w:rPr>
          <w:rFonts w:ascii="Times New Roman" w:hAnsi="Times New Roman"/>
          <w:sz w:val="24"/>
          <w:szCs w:val="24"/>
        </w:rPr>
        <w:t>–</w:t>
      </w:r>
      <w:r w:rsidRPr="002C7571">
        <w:rPr>
          <w:rFonts w:ascii="Times New Roman" w:hAnsi="Times New Roman"/>
          <w:sz w:val="24"/>
          <w:szCs w:val="24"/>
        </w:rPr>
        <w:t xml:space="preserve"> a purposive commercial interpretation of the contracts, or a rethinking of </w:t>
      </w:r>
      <w:r w:rsidR="00A154C0" w:rsidRPr="002E71C6">
        <w:rPr>
          <w:rFonts w:ascii="Times New Roman" w:hAnsi="Times New Roman"/>
          <w:sz w:val="24"/>
          <w:szCs w:val="24"/>
        </w:rPr>
        <w:t>“</w:t>
      </w:r>
      <w:r w:rsidRPr="002C7571">
        <w:rPr>
          <w:rFonts w:ascii="Times New Roman" w:hAnsi="Times New Roman"/>
          <w:sz w:val="24"/>
          <w:szCs w:val="24"/>
        </w:rPr>
        <w:t>injury</w:t>
      </w:r>
      <w:r w:rsidR="00A154C0" w:rsidRPr="002E71C6">
        <w:rPr>
          <w:rFonts w:ascii="Times New Roman" w:hAnsi="Times New Roman"/>
          <w:sz w:val="24"/>
          <w:szCs w:val="24"/>
        </w:rPr>
        <w:t>”</w:t>
      </w:r>
      <w:r w:rsidRPr="002C7571">
        <w:rPr>
          <w:rFonts w:ascii="Times New Roman" w:hAnsi="Times New Roman"/>
          <w:sz w:val="24"/>
          <w:szCs w:val="24"/>
        </w:rPr>
        <w:t xml:space="preserve"> in terms of risk creation </w:t>
      </w:r>
      <w:r w:rsidR="004C7E67" w:rsidRPr="002E71C6">
        <w:rPr>
          <w:rFonts w:ascii="Times New Roman" w:hAnsi="Times New Roman"/>
          <w:sz w:val="24"/>
          <w:szCs w:val="24"/>
        </w:rPr>
        <w:t>–</w:t>
      </w:r>
      <w:r w:rsidRPr="002C7571">
        <w:rPr>
          <w:rFonts w:ascii="Times New Roman" w:hAnsi="Times New Roman"/>
          <w:sz w:val="24"/>
          <w:szCs w:val="24"/>
        </w:rPr>
        <w:t xml:space="preserve"> would suffice to reverse the outcome in the Supreme Court.</w:t>
      </w:r>
      <w:r w:rsidR="004C7E67" w:rsidRPr="002E71C6">
        <w:rPr>
          <w:rFonts w:ascii="Times New Roman" w:hAnsi="Times New Roman"/>
          <w:sz w:val="24"/>
          <w:szCs w:val="24"/>
        </w:rPr>
        <w:t xml:space="preserve"> </w:t>
      </w:r>
      <w:r w:rsidRPr="002C7571">
        <w:rPr>
          <w:rFonts w:ascii="Times New Roman" w:hAnsi="Times New Roman"/>
          <w:sz w:val="24"/>
          <w:szCs w:val="24"/>
        </w:rPr>
        <w:t xml:space="preserve">So too would the path provided by the New South Wales jurisprudence, which is to recognise that injury for one purpose need not be the same as injury for another. If anything, </w:t>
      </w:r>
      <w:r w:rsidRPr="002C7571">
        <w:rPr>
          <w:rFonts w:ascii="Times New Roman" w:hAnsi="Times New Roman"/>
          <w:i/>
          <w:sz w:val="24"/>
          <w:szCs w:val="24"/>
        </w:rPr>
        <w:t xml:space="preserve">Rothwell </w:t>
      </w:r>
      <w:r w:rsidR="004C7E67" w:rsidRPr="002E71C6">
        <w:rPr>
          <w:rFonts w:ascii="Times New Roman" w:hAnsi="Times New Roman"/>
          <w:sz w:val="24"/>
          <w:szCs w:val="24"/>
        </w:rPr>
        <w:t>–</w:t>
      </w:r>
      <w:r w:rsidRPr="002C7571">
        <w:rPr>
          <w:rFonts w:ascii="Times New Roman" w:hAnsi="Times New Roman"/>
          <w:sz w:val="24"/>
          <w:szCs w:val="24"/>
        </w:rPr>
        <w:t xml:space="preserve">which emphasises the need for actionable damage </w:t>
      </w:r>
      <w:r w:rsidR="004C7E67" w:rsidRPr="002E71C6">
        <w:rPr>
          <w:rFonts w:ascii="Times New Roman" w:hAnsi="Times New Roman"/>
          <w:sz w:val="24"/>
          <w:szCs w:val="24"/>
        </w:rPr>
        <w:t>–</w:t>
      </w:r>
      <w:r w:rsidRPr="002C7571">
        <w:rPr>
          <w:rFonts w:ascii="Times New Roman" w:hAnsi="Times New Roman"/>
          <w:sz w:val="24"/>
          <w:szCs w:val="24"/>
        </w:rPr>
        <w:t xml:space="preserve"> can be used to emphasise that </w:t>
      </w:r>
      <w:r w:rsidR="00582673" w:rsidRPr="002E71C6">
        <w:rPr>
          <w:rFonts w:ascii="Times New Roman" w:hAnsi="Times New Roman"/>
          <w:sz w:val="24"/>
          <w:szCs w:val="24"/>
        </w:rPr>
        <w:t>“</w:t>
      </w:r>
      <w:r w:rsidRPr="002C7571">
        <w:rPr>
          <w:rFonts w:ascii="Times New Roman" w:hAnsi="Times New Roman"/>
          <w:sz w:val="24"/>
          <w:szCs w:val="24"/>
        </w:rPr>
        <w:t>injury</w:t>
      </w:r>
      <w:r w:rsidR="00582673" w:rsidRPr="002E71C6">
        <w:rPr>
          <w:rFonts w:ascii="Times New Roman" w:hAnsi="Times New Roman"/>
          <w:sz w:val="24"/>
          <w:szCs w:val="24"/>
        </w:rPr>
        <w:t>”</w:t>
      </w:r>
      <w:r w:rsidRPr="002C7571">
        <w:rPr>
          <w:rFonts w:ascii="Times New Roman" w:hAnsi="Times New Roman"/>
          <w:sz w:val="24"/>
          <w:szCs w:val="24"/>
        </w:rPr>
        <w:t xml:space="preserve"> is </w:t>
      </w:r>
      <w:r w:rsidRPr="002C7571">
        <w:rPr>
          <w:rFonts w:ascii="Times New Roman" w:hAnsi="Times New Roman"/>
          <w:i/>
          <w:sz w:val="24"/>
          <w:szCs w:val="24"/>
        </w:rPr>
        <w:t xml:space="preserve">not </w:t>
      </w:r>
      <w:r w:rsidRPr="002C7571">
        <w:rPr>
          <w:rFonts w:ascii="Times New Roman" w:hAnsi="Times New Roman"/>
          <w:sz w:val="24"/>
          <w:szCs w:val="24"/>
        </w:rPr>
        <w:t xml:space="preserve">the basis of actionability in negligence. The broader difficulties of concern to this </w:t>
      </w:r>
      <w:r w:rsidR="00A154C0" w:rsidRPr="002E71C6">
        <w:rPr>
          <w:rFonts w:ascii="Times New Roman" w:hAnsi="Times New Roman"/>
          <w:sz w:val="24"/>
          <w:szCs w:val="24"/>
        </w:rPr>
        <w:t xml:space="preserve">chapter </w:t>
      </w:r>
      <w:r w:rsidRPr="002C7571">
        <w:rPr>
          <w:rFonts w:ascii="Times New Roman" w:hAnsi="Times New Roman"/>
          <w:sz w:val="24"/>
          <w:szCs w:val="24"/>
        </w:rPr>
        <w:t xml:space="preserve">are illustrated however by the step from the conclusion in </w:t>
      </w:r>
      <w:r w:rsidRPr="002C7571">
        <w:rPr>
          <w:rFonts w:ascii="Times New Roman" w:hAnsi="Times New Roman"/>
          <w:i/>
          <w:sz w:val="24"/>
          <w:szCs w:val="24"/>
        </w:rPr>
        <w:t>Bolton</w:t>
      </w:r>
      <w:r w:rsidRPr="002C7571">
        <w:rPr>
          <w:rFonts w:ascii="Times New Roman" w:hAnsi="Times New Roman"/>
          <w:sz w:val="24"/>
          <w:szCs w:val="24"/>
        </w:rPr>
        <w:t xml:space="preserve">, to the litigation in </w:t>
      </w:r>
      <w:r w:rsidRPr="002C7571">
        <w:rPr>
          <w:rFonts w:ascii="Times New Roman" w:hAnsi="Times New Roman"/>
          <w:i/>
          <w:sz w:val="24"/>
          <w:szCs w:val="24"/>
        </w:rPr>
        <w:t>Durham</w:t>
      </w:r>
      <w:r w:rsidRPr="002C7571">
        <w:rPr>
          <w:rFonts w:ascii="Times New Roman" w:hAnsi="Times New Roman"/>
          <w:sz w:val="24"/>
          <w:szCs w:val="24"/>
        </w:rPr>
        <w:t xml:space="preserve">. In </w:t>
      </w:r>
      <w:r w:rsidRPr="002C7571">
        <w:rPr>
          <w:rFonts w:ascii="Times New Roman" w:hAnsi="Times New Roman"/>
          <w:i/>
          <w:sz w:val="24"/>
          <w:szCs w:val="24"/>
        </w:rPr>
        <w:t>Bolton</w:t>
      </w:r>
      <w:r w:rsidRPr="002C7571">
        <w:rPr>
          <w:rFonts w:ascii="Times New Roman" w:hAnsi="Times New Roman"/>
          <w:sz w:val="24"/>
          <w:szCs w:val="24"/>
        </w:rPr>
        <w:t xml:space="preserve">, the Court of Appeal may have convinced itself that no significant policy issues were in play other than those already resolved by </w:t>
      </w:r>
      <w:r w:rsidRPr="002C7571">
        <w:rPr>
          <w:rFonts w:ascii="Times New Roman" w:hAnsi="Times New Roman"/>
          <w:i/>
          <w:sz w:val="24"/>
          <w:szCs w:val="24"/>
        </w:rPr>
        <w:t xml:space="preserve">Fairchild. </w:t>
      </w:r>
      <w:r w:rsidRPr="002C7571">
        <w:rPr>
          <w:rFonts w:ascii="Times New Roman" w:hAnsi="Times New Roman"/>
          <w:sz w:val="24"/>
          <w:szCs w:val="24"/>
        </w:rPr>
        <w:t>But elsewhere, rationalisations of policy in terms of legal principle can lead to renewed difficulties, as the principles (not the policies behind them) are used in different contexts. It seems that delivering the promise even of compulsory insurance requires far more legal resources than might be expected; and that the fissure between contract and tort in this instance is not easily bridged.</w:t>
      </w:r>
    </w:p>
    <w:p w:rsidR="00032365" w:rsidRDefault="002C7571">
      <w:pPr>
        <w:spacing w:after="0" w:line="240" w:lineRule="auto"/>
        <w:jc w:val="both"/>
        <w:rPr>
          <w:rFonts w:ascii="Times New Roman" w:hAnsi="Times New Roman"/>
          <w:sz w:val="24"/>
          <w:szCs w:val="24"/>
        </w:rPr>
      </w:pPr>
      <w:r w:rsidRPr="002C7571">
        <w:rPr>
          <w:rFonts w:ascii="Times New Roman" w:hAnsi="Times New Roman"/>
          <w:sz w:val="24"/>
          <w:szCs w:val="24"/>
        </w:rPr>
        <w:t xml:space="preserve"> </w:t>
      </w:r>
    </w:p>
    <w:p w:rsidR="00032365" w:rsidRDefault="002C7571">
      <w:pPr>
        <w:keepNext/>
        <w:spacing w:after="0" w:line="240" w:lineRule="auto"/>
        <w:jc w:val="both"/>
        <w:rPr>
          <w:rFonts w:ascii="Times New Roman Bold" w:hAnsi="Times New Roman Bold"/>
          <w:smallCaps/>
          <w:sz w:val="32"/>
          <w:szCs w:val="32"/>
        </w:rPr>
      </w:pPr>
      <w:r w:rsidRPr="002C7571">
        <w:rPr>
          <w:rFonts w:ascii="Times New Roman Bold" w:hAnsi="Times New Roman Bold"/>
          <w:b/>
          <w:smallCaps/>
          <w:sz w:val="32"/>
          <w:szCs w:val="32"/>
        </w:rPr>
        <w:t>Finally: tort and insurance ideologies in their context</w:t>
      </w:r>
    </w:p>
    <w:p w:rsidR="00032365" w:rsidRDefault="00032365">
      <w:pPr>
        <w:keepNext/>
        <w:spacing w:after="0" w:line="240" w:lineRule="auto"/>
        <w:jc w:val="both"/>
        <w:rPr>
          <w:rFonts w:ascii="Times New Roman" w:hAnsi="Times New Roman"/>
          <w:sz w:val="24"/>
          <w:szCs w:val="24"/>
        </w:rPr>
      </w:pPr>
    </w:p>
    <w:p w:rsidR="00032365" w:rsidRDefault="002C7571">
      <w:pPr>
        <w:spacing w:after="0" w:line="240" w:lineRule="auto"/>
        <w:jc w:val="both"/>
        <w:rPr>
          <w:rFonts w:ascii="Times New Roman" w:hAnsi="Times New Roman"/>
          <w:sz w:val="24"/>
          <w:szCs w:val="24"/>
        </w:rPr>
      </w:pPr>
      <w:r w:rsidRPr="002C7571">
        <w:rPr>
          <w:rFonts w:ascii="Times New Roman" w:hAnsi="Times New Roman"/>
          <w:sz w:val="24"/>
          <w:szCs w:val="24"/>
        </w:rPr>
        <w:t xml:space="preserve">In the litigation timeline explored above, insurers seem to have taken heart from the fact that they may even be attracting political support. How can this be explained? Although Stapleton referred pejoratively to </w:t>
      </w:r>
      <w:r w:rsidR="001611E5">
        <w:rPr>
          <w:rFonts w:ascii="Times New Roman" w:hAnsi="Times New Roman"/>
          <w:sz w:val="24"/>
          <w:szCs w:val="24"/>
        </w:rPr>
        <w:t xml:space="preserve">certain </w:t>
      </w:r>
      <w:r w:rsidR="006E20B3">
        <w:rPr>
          <w:rFonts w:ascii="Times New Roman" w:hAnsi="Times New Roman"/>
          <w:sz w:val="24"/>
          <w:szCs w:val="24"/>
        </w:rPr>
        <w:t xml:space="preserve">welfare-based distributive solutions as exemplifying </w:t>
      </w:r>
      <w:r w:rsidR="00582673" w:rsidRPr="002E71C6">
        <w:rPr>
          <w:rFonts w:ascii="Times New Roman" w:hAnsi="Times New Roman"/>
          <w:sz w:val="24"/>
          <w:szCs w:val="24"/>
        </w:rPr>
        <w:t>“</w:t>
      </w:r>
      <w:r w:rsidRPr="002C7571">
        <w:rPr>
          <w:rFonts w:ascii="Times New Roman" w:hAnsi="Times New Roman"/>
          <w:sz w:val="24"/>
          <w:szCs w:val="24"/>
        </w:rPr>
        <w:t xml:space="preserve">extreme </w:t>
      </w:r>
      <w:r w:rsidRPr="002C7571">
        <w:rPr>
          <w:rFonts w:ascii="Times New Roman" w:hAnsi="Times New Roman"/>
          <w:sz w:val="24"/>
          <w:szCs w:val="24"/>
        </w:rPr>
        <w:lastRenderedPageBreak/>
        <w:t>versions of a communitarian idea of economic interdependence</w:t>
      </w:r>
      <w:r w:rsidR="00582673" w:rsidRPr="002E71C6">
        <w:rPr>
          <w:rFonts w:ascii="Times New Roman" w:hAnsi="Times New Roman"/>
          <w:sz w:val="24"/>
          <w:szCs w:val="24"/>
        </w:rPr>
        <w:t>”</w:t>
      </w:r>
      <w:r w:rsidRPr="002C7571">
        <w:rPr>
          <w:rFonts w:ascii="Times New Roman" w:hAnsi="Times New Roman"/>
          <w:sz w:val="24"/>
          <w:szCs w:val="24"/>
        </w:rPr>
        <w:t>,</w:t>
      </w:r>
      <w:r w:rsidR="004C7E67" w:rsidRPr="002E71C6">
        <w:rPr>
          <w:rStyle w:val="FootnoteReference"/>
          <w:rFonts w:ascii="Times New Roman" w:hAnsi="Times New Roman"/>
          <w:sz w:val="24"/>
          <w:szCs w:val="24"/>
        </w:rPr>
        <w:footnoteReference w:id="87"/>
      </w:r>
      <w:r w:rsidRPr="002C7571">
        <w:rPr>
          <w:rFonts w:ascii="Times New Roman" w:hAnsi="Times New Roman"/>
          <w:sz w:val="24"/>
          <w:szCs w:val="24"/>
        </w:rPr>
        <w:t xml:space="preserve"> </w:t>
      </w:r>
      <w:r w:rsidRPr="002C7571">
        <w:rPr>
          <w:rStyle w:val="CommentReference"/>
          <w:rFonts w:ascii="Times New Roman" w:hAnsi="Times New Roman"/>
          <w:sz w:val="24"/>
          <w:szCs w:val="24"/>
        </w:rPr>
        <w:commentReference w:id="32"/>
      </w:r>
      <w:r w:rsidR="006E20B3">
        <w:rPr>
          <w:rFonts w:ascii="Times New Roman" w:hAnsi="Times New Roman"/>
          <w:sz w:val="24"/>
          <w:szCs w:val="24"/>
        </w:rPr>
        <w:t xml:space="preserve"> </w:t>
      </w:r>
      <w:r w:rsidRPr="002C7571">
        <w:rPr>
          <w:rFonts w:ascii="Times New Roman" w:hAnsi="Times New Roman"/>
          <w:sz w:val="24"/>
          <w:szCs w:val="24"/>
        </w:rPr>
        <w:t xml:space="preserve">economic interdependence seems to be common wisdom in times of financial crisis. In these circumstances, it seems to be accepted that risks covered by insurance are risks shared </w:t>
      </w:r>
      <w:r w:rsidR="004C7E67" w:rsidRPr="002E71C6">
        <w:rPr>
          <w:rFonts w:ascii="Times New Roman" w:hAnsi="Times New Roman"/>
          <w:sz w:val="24"/>
          <w:szCs w:val="24"/>
        </w:rPr>
        <w:t>–</w:t>
      </w:r>
      <w:r w:rsidRPr="002C7571">
        <w:rPr>
          <w:rFonts w:ascii="Times New Roman" w:hAnsi="Times New Roman"/>
          <w:sz w:val="24"/>
          <w:szCs w:val="24"/>
        </w:rPr>
        <w:t xml:space="preserve"> and seems to be thought that this may ultimately mean risks magnified. The potential vulnerability of insurers themselves (perhaps)</w:t>
      </w:r>
      <w:commentRangeStart w:id="33"/>
      <w:r w:rsidR="004C7E67" w:rsidRPr="002E71C6">
        <w:rPr>
          <w:rStyle w:val="FootnoteReference"/>
          <w:rFonts w:ascii="Times New Roman" w:hAnsi="Times New Roman"/>
          <w:sz w:val="24"/>
          <w:szCs w:val="24"/>
        </w:rPr>
        <w:footnoteReference w:id="88"/>
      </w:r>
      <w:commentRangeEnd w:id="33"/>
      <w:r w:rsidRPr="002C7571">
        <w:rPr>
          <w:rStyle w:val="CommentReference"/>
          <w:rFonts w:ascii="Times New Roman" w:hAnsi="Times New Roman"/>
          <w:sz w:val="24"/>
          <w:szCs w:val="24"/>
        </w:rPr>
        <w:commentReference w:id="33"/>
      </w:r>
      <w:r w:rsidRPr="002C7571">
        <w:rPr>
          <w:rFonts w:ascii="Times New Roman" w:hAnsi="Times New Roman"/>
          <w:sz w:val="24"/>
          <w:szCs w:val="24"/>
        </w:rPr>
        <w:t xml:space="preserve"> is taken to indicate that insurance can sometimes increase the size of liabilities and concentrate risks. This is, however, a form of observed </w:t>
      </w:r>
      <w:r w:rsidR="00582673" w:rsidRPr="002E71C6">
        <w:rPr>
          <w:rFonts w:ascii="Times New Roman" w:hAnsi="Times New Roman"/>
          <w:sz w:val="24"/>
          <w:szCs w:val="24"/>
        </w:rPr>
        <w:t>“</w:t>
      </w:r>
      <w:r w:rsidRPr="002C7571">
        <w:rPr>
          <w:rFonts w:ascii="Times New Roman" w:hAnsi="Times New Roman"/>
          <w:sz w:val="24"/>
          <w:szCs w:val="24"/>
        </w:rPr>
        <w:t>collectivism</w:t>
      </w:r>
      <w:r w:rsidR="00582673" w:rsidRPr="002E71C6">
        <w:rPr>
          <w:rFonts w:ascii="Times New Roman" w:hAnsi="Times New Roman"/>
          <w:sz w:val="24"/>
          <w:szCs w:val="24"/>
        </w:rPr>
        <w:t>”</w:t>
      </w:r>
      <w:r w:rsidRPr="002C7571">
        <w:rPr>
          <w:rFonts w:ascii="Times New Roman" w:hAnsi="Times New Roman"/>
          <w:sz w:val="24"/>
          <w:szCs w:val="24"/>
        </w:rPr>
        <w:t>, which is deployed more readily to restrict liabilities than to enhance collective solutions to individual problems: a collective demand for individual responsibility, in fact, even if this means leaving vulnerable parties uncompensated.</w:t>
      </w:r>
      <w:r w:rsidR="004C7E67" w:rsidRPr="002E71C6">
        <w:rPr>
          <w:rStyle w:val="FootnoteReference"/>
          <w:rFonts w:ascii="Times New Roman" w:hAnsi="Times New Roman"/>
          <w:sz w:val="24"/>
          <w:szCs w:val="24"/>
        </w:rPr>
        <w:footnoteReference w:id="89"/>
      </w:r>
      <w:r w:rsidRPr="002C7571">
        <w:rPr>
          <w:rFonts w:ascii="Times New Roman" w:hAnsi="Times New Roman"/>
          <w:sz w:val="24"/>
          <w:szCs w:val="24"/>
        </w:rPr>
        <w:t xml:space="preserve"> Imposing limits on tort liability is a more attractive option tha</w:t>
      </w:r>
      <w:r w:rsidR="00A154C0" w:rsidRPr="002E71C6">
        <w:rPr>
          <w:rFonts w:ascii="Times New Roman" w:hAnsi="Times New Roman"/>
          <w:sz w:val="24"/>
          <w:szCs w:val="24"/>
        </w:rPr>
        <w:t>n</w:t>
      </w:r>
      <w:r w:rsidRPr="002C7571">
        <w:rPr>
          <w:rFonts w:ascii="Times New Roman" w:hAnsi="Times New Roman"/>
          <w:sz w:val="24"/>
          <w:szCs w:val="24"/>
        </w:rPr>
        <w:t xml:space="preserve"> increasing the work of government to regulate financial institutions </w:t>
      </w:r>
      <w:r w:rsidR="004C7E67" w:rsidRPr="002E71C6">
        <w:rPr>
          <w:rFonts w:ascii="Times New Roman" w:hAnsi="Times New Roman"/>
          <w:sz w:val="24"/>
          <w:szCs w:val="24"/>
        </w:rPr>
        <w:t>–</w:t>
      </w:r>
      <w:r w:rsidRPr="002C7571">
        <w:rPr>
          <w:rFonts w:ascii="Times New Roman" w:hAnsi="Times New Roman"/>
          <w:sz w:val="24"/>
          <w:szCs w:val="24"/>
        </w:rPr>
        <w:t xml:space="preserve"> even if the impact is puny. It is of course far more popular with financial institutions, but it also sells better on a popular level, playing to ideas of </w:t>
      </w:r>
      <w:r w:rsidR="00582673" w:rsidRPr="002E71C6">
        <w:rPr>
          <w:rFonts w:ascii="Times New Roman" w:hAnsi="Times New Roman"/>
          <w:sz w:val="24"/>
          <w:szCs w:val="24"/>
        </w:rPr>
        <w:t>“</w:t>
      </w:r>
      <w:r w:rsidRPr="002C7571">
        <w:rPr>
          <w:rFonts w:ascii="Times New Roman" w:hAnsi="Times New Roman"/>
          <w:sz w:val="24"/>
          <w:szCs w:val="24"/>
        </w:rPr>
        <w:t>individualism and common sense</w:t>
      </w:r>
      <w:r w:rsidR="00582673" w:rsidRPr="002E71C6">
        <w:rPr>
          <w:rFonts w:ascii="Times New Roman" w:hAnsi="Times New Roman"/>
          <w:sz w:val="24"/>
          <w:szCs w:val="24"/>
        </w:rPr>
        <w:t>”</w:t>
      </w:r>
      <w:r w:rsidRPr="002C7571">
        <w:rPr>
          <w:rFonts w:ascii="Times New Roman" w:hAnsi="Times New Roman"/>
          <w:sz w:val="24"/>
          <w:szCs w:val="24"/>
        </w:rPr>
        <w:t xml:space="preserve">, as opposed to </w:t>
      </w:r>
      <w:r w:rsidR="00582673" w:rsidRPr="002E71C6">
        <w:rPr>
          <w:rFonts w:ascii="Times New Roman" w:hAnsi="Times New Roman"/>
          <w:sz w:val="24"/>
          <w:szCs w:val="24"/>
        </w:rPr>
        <w:t>“</w:t>
      </w:r>
      <w:r w:rsidRPr="002C7571">
        <w:rPr>
          <w:rFonts w:ascii="Times New Roman" w:hAnsi="Times New Roman"/>
          <w:sz w:val="24"/>
          <w:szCs w:val="24"/>
        </w:rPr>
        <w:t>red tape</w:t>
      </w:r>
      <w:r w:rsidR="00582673" w:rsidRPr="002E71C6">
        <w:rPr>
          <w:rFonts w:ascii="Times New Roman" w:hAnsi="Times New Roman"/>
          <w:sz w:val="24"/>
          <w:szCs w:val="24"/>
        </w:rPr>
        <w:t>”</w:t>
      </w:r>
      <w:r w:rsidRPr="002C7571">
        <w:rPr>
          <w:rFonts w:ascii="Times New Roman" w:hAnsi="Times New Roman"/>
          <w:sz w:val="24"/>
          <w:szCs w:val="24"/>
        </w:rPr>
        <w:t>.</w:t>
      </w:r>
      <w:r w:rsidR="004C7E67" w:rsidRPr="002E71C6">
        <w:rPr>
          <w:rStyle w:val="FootnoteReference"/>
          <w:rFonts w:ascii="Times New Roman" w:hAnsi="Times New Roman"/>
          <w:sz w:val="24"/>
          <w:szCs w:val="24"/>
        </w:rPr>
        <w:footnoteReference w:id="90"/>
      </w:r>
      <w:r w:rsidRPr="002C7571">
        <w:rPr>
          <w:rFonts w:ascii="Times New Roman" w:hAnsi="Times New Roman"/>
          <w:sz w:val="24"/>
          <w:szCs w:val="24"/>
        </w:rPr>
        <w:t xml:space="preserve"> So a link is made between over-extensive liability, and excessive bureaucracy. </w:t>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Underlying the cases just reviewed is the question of responsibility for errors and their effects. These errors include not just under-estimation of the dangers of exposure to asbestos, but also under-estimation of the scale of the risks in financial terms. As presently conceived, the location of these unexpectedly high financial risks is a matter of contractual responsibility. This is not the denial of societal responsibility, but the chosen (or perhaps the default) mechanism of transferring risks, requiring considerable legal resources.</w:t>
      </w:r>
    </w:p>
    <w:p w:rsidR="00032365" w:rsidRDefault="002C7571">
      <w:pPr>
        <w:spacing w:after="0" w:line="240" w:lineRule="auto"/>
        <w:ind w:firstLine="284"/>
        <w:jc w:val="both"/>
        <w:rPr>
          <w:rFonts w:ascii="Times New Roman" w:hAnsi="Times New Roman"/>
          <w:sz w:val="24"/>
          <w:szCs w:val="24"/>
        </w:rPr>
      </w:pPr>
      <w:r w:rsidRPr="002C7571">
        <w:rPr>
          <w:rFonts w:ascii="Times New Roman" w:hAnsi="Times New Roman"/>
          <w:sz w:val="24"/>
          <w:szCs w:val="24"/>
        </w:rPr>
        <w:t xml:space="preserve">My preferred solution to the </w:t>
      </w:r>
      <w:r w:rsidRPr="002C7571">
        <w:rPr>
          <w:rFonts w:ascii="Times New Roman" w:hAnsi="Times New Roman"/>
          <w:i/>
          <w:sz w:val="24"/>
          <w:szCs w:val="24"/>
        </w:rPr>
        <w:t xml:space="preserve">Durham </w:t>
      </w:r>
      <w:r w:rsidRPr="002C7571">
        <w:rPr>
          <w:rFonts w:ascii="Times New Roman" w:hAnsi="Times New Roman"/>
          <w:sz w:val="24"/>
          <w:szCs w:val="24"/>
        </w:rPr>
        <w:t xml:space="preserve">appeal is for a more </w:t>
      </w:r>
      <w:r w:rsidR="00582673" w:rsidRPr="002E71C6">
        <w:rPr>
          <w:rFonts w:ascii="Times New Roman" w:hAnsi="Times New Roman"/>
          <w:sz w:val="24"/>
          <w:szCs w:val="24"/>
        </w:rPr>
        <w:t>“</w:t>
      </w:r>
      <w:r w:rsidRPr="002C7571">
        <w:rPr>
          <w:rFonts w:ascii="Times New Roman" w:hAnsi="Times New Roman"/>
          <w:sz w:val="24"/>
          <w:szCs w:val="24"/>
        </w:rPr>
        <w:t>commercial</w:t>
      </w:r>
      <w:r w:rsidR="00582673" w:rsidRPr="002E71C6">
        <w:rPr>
          <w:rFonts w:ascii="Times New Roman" w:hAnsi="Times New Roman"/>
          <w:sz w:val="24"/>
          <w:szCs w:val="24"/>
        </w:rPr>
        <w:t>”</w:t>
      </w:r>
      <w:r w:rsidRPr="002C7571">
        <w:rPr>
          <w:rFonts w:ascii="Times New Roman" w:hAnsi="Times New Roman"/>
          <w:sz w:val="24"/>
          <w:szCs w:val="24"/>
        </w:rPr>
        <w:t xml:space="preserve"> interpretation of the contracts, which could itself be expected to achieve some consistency with the purpose of the tort liabilities themselves, while also (via the need to comply with statutory obligations) reflecting legislative purpose indirectly. Tort and contract could operate more harmoniously, but are also capable of being exploited through accidents (or strategies) of litigation. But more broadly, I wonder if the high profile of this case will succeed in bringing to the attention of tort lawyers the closeness of their subject not just to </w:t>
      </w:r>
      <w:r w:rsidR="00582673" w:rsidRPr="002E71C6">
        <w:rPr>
          <w:rFonts w:ascii="Times New Roman" w:hAnsi="Times New Roman"/>
          <w:sz w:val="24"/>
          <w:szCs w:val="24"/>
        </w:rPr>
        <w:t>“</w:t>
      </w:r>
      <w:r w:rsidRPr="002C7571">
        <w:rPr>
          <w:rFonts w:ascii="Times New Roman" w:hAnsi="Times New Roman"/>
          <w:sz w:val="24"/>
          <w:szCs w:val="24"/>
        </w:rPr>
        <w:t>insurance</w:t>
      </w:r>
      <w:r w:rsidR="00582673" w:rsidRPr="002E71C6">
        <w:rPr>
          <w:rFonts w:ascii="Times New Roman" w:hAnsi="Times New Roman"/>
          <w:sz w:val="24"/>
          <w:szCs w:val="24"/>
        </w:rPr>
        <w:t>”</w:t>
      </w:r>
      <w:r w:rsidRPr="002C7571">
        <w:rPr>
          <w:rFonts w:ascii="Times New Roman" w:hAnsi="Times New Roman"/>
          <w:sz w:val="24"/>
          <w:szCs w:val="24"/>
        </w:rPr>
        <w:t xml:space="preserve"> as a non-legal institution, but to insurance contracts as a close private law relation, equally focused on transactions, and sometimes on the very same transactions as tort. Noting this particular, more pervasive feature of the </w:t>
      </w:r>
      <w:r w:rsidR="00582673" w:rsidRPr="002E71C6">
        <w:rPr>
          <w:rFonts w:ascii="Times New Roman" w:hAnsi="Times New Roman"/>
          <w:sz w:val="24"/>
          <w:szCs w:val="24"/>
        </w:rPr>
        <w:t>“</w:t>
      </w:r>
      <w:r w:rsidRPr="002C7571">
        <w:rPr>
          <w:rFonts w:ascii="Times New Roman" w:hAnsi="Times New Roman"/>
          <w:sz w:val="24"/>
          <w:szCs w:val="24"/>
        </w:rPr>
        <w:t>tort-insurance</w:t>
      </w:r>
      <w:r w:rsidR="00582673" w:rsidRPr="002E71C6">
        <w:rPr>
          <w:rFonts w:ascii="Times New Roman" w:hAnsi="Times New Roman"/>
          <w:sz w:val="24"/>
          <w:szCs w:val="24"/>
        </w:rPr>
        <w:t>”</w:t>
      </w:r>
      <w:r w:rsidRPr="002C7571">
        <w:rPr>
          <w:rFonts w:ascii="Times New Roman" w:hAnsi="Times New Roman"/>
          <w:sz w:val="24"/>
          <w:szCs w:val="24"/>
        </w:rPr>
        <w:t xml:space="preserve"> kinship does not necessarily lead to the thought that tort should be transformed or cut back. What it does suggest though is that both tort and contract here should be interpreted in light of their context (which is not to say that insurance should lead to liability, nor that tort should be abolished and replaced by insurance, since insurance is already perceived as transactional), and then in turn evaluated in terms of what </w:t>
      </w:r>
      <w:r w:rsidR="001611E5">
        <w:rPr>
          <w:rFonts w:ascii="Times New Roman" w:hAnsi="Times New Roman"/>
          <w:sz w:val="24"/>
          <w:szCs w:val="24"/>
        </w:rPr>
        <w:t xml:space="preserve">they </w:t>
      </w:r>
      <w:r w:rsidRPr="002C7571">
        <w:rPr>
          <w:rFonts w:ascii="Times New Roman" w:hAnsi="Times New Roman"/>
          <w:sz w:val="24"/>
          <w:szCs w:val="24"/>
        </w:rPr>
        <w:t xml:space="preserve">can and cannot achieve. </w:t>
      </w:r>
    </w:p>
    <w:p w:rsidR="002F310B" w:rsidRDefault="002F310B">
      <w:pPr>
        <w:spacing w:after="0" w:line="240" w:lineRule="auto"/>
        <w:ind w:firstLine="284"/>
        <w:jc w:val="both"/>
        <w:rPr>
          <w:rFonts w:ascii="Times New Roman" w:hAnsi="Times New Roman"/>
          <w:sz w:val="24"/>
          <w:szCs w:val="24"/>
        </w:rPr>
      </w:pPr>
      <w:r>
        <w:rPr>
          <w:rFonts w:ascii="Times New Roman" w:hAnsi="Times New Roman"/>
          <w:sz w:val="24"/>
          <w:szCs w:val="24"/>
        </w:rPr>
        <w:t>I have suggested that a distributive, loss-spreading paradigm of insurance has dominated investigation of</w:t>
      </w:r>
      <w:r w:rsidR="001611E5">
        <w:rPr>
          <w:rFonts w:ascii="Times New Roman" w:hAnsi="Times New Roman"/>
          <w:sz w:val="24"/>
          <w:szCs w:val="24"/>
        </w:rPr>
        <w:t xml:space="preserve"> its interaction with the law of</w:t>
      </w:r>
      <w:r>
        <w:rPr>
          <w:rFonts w:ascii="Times New Roman" w:hAnsi="Times New Roman"/>
          <w:sz w:val="24"/>
          <w:szCs w:val="24"/>
        </w:rPr>
        <w:t xml:space="preserve"> tort. This has led to the creation of embedded positions, and </w:t>
      </w:r>
      <w:r w:rsidR="005D3E1D">
        <w:rPr>
          <w:rFonts w:ascii="Times New Roman" w:hAnsi="Times New Roman"/>
          <w:sz w:val="24"/>
          <w:szCs w:val="24"/>
        </w:rPr>
        <w:t xml:space="preserve">contributed to </w:t>
      </w:r>
      <w:r>
        <w:rPr>
          <w:rFonts w:ascii="Times New Roman" w:hAnsi="Times New Roman"/>
          <w:sz w:val="24"/>
          <w:szCs w:val="24"/>
        </w:rPr>
        <w:t xml:space="preserve">a widely held belief that insurance is not a relevant factor in tort </w:t>
      </w:r>
      <w:r>
        <w:rPr>
          <w:rFonts w:ascii="Times New Roman" w:hAnsi="Times New Roman"/>
          <w:sz w:val="24"/>
          <w:szCs w:val="24"/>
        </w:rPr>
        <w:lastRenderedPageBreak/>
        <w:t xml:space="preserve">reasoning. I have argued that this is unfortunate and that insurance in any case rarely </w:t>
      </w:r>
      <w:r w:rsidR="005D3E1D">
        <w:rPr>
          <w:rFonts w:ascii="Times New Roman" w:hAnsi="Times New Roman"/>
          <w:sz w:val="24"/>
          <w:szCs w:val="24"/>
        </w:rPr>
        <w:t xml:space="preserve">presents </w:t>
      </w:r>
      <w:r>
        <w:rPr>
          <w:rFonts w:ascii="Times New Roman" w:hAnsi="Times New Roman"/>
          <w:sz w:val="24"/>
          <w:szCs w:val="24"/>
        </w:rPr>
        <w:t xml:space="preserve">a single factor. </w:t>
      </w:r>
      <w:r w:rsidR="00AC5122">
        <w:rPr>
          <w:rFonts w:ascii="Times New Roman" w:hAnsi="Times New Roman"/>
          <w:sz w:val="24"/>
          <w:szCs w:val="24"/>
        </w:rPr>
        <w:t>Given t</w:t>
      </w:r>
      <w:r>
        <w:rPr>
          <w:rFonts w:ascii="Times New Roman" w:hAnsi="Times New Roman"/>
          <w:sz w:val="24"/>
          <w:szCs w:val="24"/>
        </w:rPr>
        <w:t xml:space="preserve">he </w:t>
      </w:r>
      <w:r w:rsidR="00AC5122">
        <w:rPr>
          <w:rFonts w:ascii="Times New Roman" w:hAnsi="Times New Roman"/>
          <w:sz w:val="24"/>
          <w:szCs w:val="24"/>
        </w:rPr>
        <w:t xml:space="preserve">contemporary </w:t>
      </w:r>
      <w:r>
        <w:rPr>
          <w:rFonts w:ascii="Times New Roman" w:hAnsi="Times New Roman"/>
          <w:sz w:val="24"/>
          <w:szCs w:val="24"/>
        </w:rPr>
        <w:t xml:space="preserve">decline in </w:t>
      </w:r>
      <w:r w:rsidR="00AC5122">
        <w:rPr>
          <w:rFonts w:ascii="Times New Roman" w:hAnsi="Times New Roman"/>
          <w:sz w:val="24"/>
          <w:szCs w:val="24"/>
        </w:rPr>
        <w:t>a</w:t>
      </w:r>
      <w:r>
        <w:rPr>
          <w:rFonts w:ascii="Times New Roman" w:hAnsi="Times New Roman"/>
          <w:sz w:val="24"/>
          <w:szCs w:val="24"/>
        </w:rPr>
        <w:t xml:space="preserve"> loss-spreading paradigm of insurance and the increasing emphasis on markets and private arrangements</w:t>
      </w:r>
      <w:r w:rsidR="00AC5122">
        <w:rPr>
          <w:rFonts w:ascii="Times New Roman" w:hAnsi="Times New Roman"/>
          <w:sz w:val="24"/>
          <w:szCs w:val="24"/>
        </w:rPr>
        <w:t>,</w:t>
      </w:r>
      <w:r w:rsidR="001611E5">
        <w:rPr>
          <w:rFonts w:ascii="Times New Roman" w:hAnsi="Times New Roman"/>
          <w:sz w:val="24"/>
          <w:szCs w:val="24"/>
        </w:rPr>
        <w:t xml:space="preserve"> it </w:t>
      </w:r>
      <w:r w:rsidR="00AC5122">
        <w:rPr>
          <w:rFonts w:ascii="Times New Roman" w:hAnsi="Times New Roman"/>
          <w:sz w:val="24"/>
          <w:szCs w:val="24"/>
        </w:rPr>
        <w:t xml:space="preserve">is particularly </w:t>
      </w:r>
      <w:r>
        <w:rPr>
          <w:rFonts w:ascii="Times New Roman" w:hAnsi="Times New Roman"/>
          <w:sz w:val="24"/>
          <w:szCs w:val="24"/>
        </w:rPr>
        <w:t xml:space="preserve">important to </w:t>
      </w:r>
      <w:r w:rsidR="001611E5">
        <w:rPr>
          <w:rFonts w:ascii="Times New Roman" w:hAnsi="Times New Roman"/>
          <w:sz w:val="24"/>
          <w:szCs w:val="24"/>
        </w:rPr>
        <w:t>attempt a fuller</w:t>
      </w:r>
      <w:r>
        <w:rPr>
          <w:rFonts w:ascii="Times New Roman" w:hAnsi="Times New Roman"/>
          <w:sz w:val="24"/>
          <w:szCs w:val="24"/>
        </w:rPr>
        <w:t xml:space="preserve"> examination of the</w:t>
      </w:r>
      <w:r w:rsidR="00AC5122">
        <w:rPr>
          <w:rFonts w:ascii="Times New Roman" w:hAnsi="Times New Roman"/>
          <w:sz w:val="24"/>
          <w:szCs w:val="24"/>
        </w:rPr>
        <w:t xml:space="preserve"> scope for interaction between tort law and insurance law</w:t>
      </w:r>
      <w:r>
        <w:rPr>
          <w:rFonts w:ascii="Times New Roman" w:hAnsi="Times New Roman"/>
          <w:sz w:val="24"/>
          <w:szCs w:val="24"/>
        </w:rPr>
        <w:t>.</w:t>
      </w:r>
    </w:p>
    <w:p w:rsidR="00032365" w:rsidRDefault="00032365">
      <w:pPr>
        <w:spacing w:after="0" w:line="240" w:lineRule="auto"/>
        <w:jc w:val="both"/>
        <w:rPr>
          <w:rFonts w:ascii="Times New Roman" w:hAnsi="Times New Roman"/>
          <w:sz w:val="24"/>
          <w:szCs w:val="24"/>
        </w:rPr>
      </w:pPr>
      <w:bookmarkStart w:id="34" w:name="_GoBack"/>
      <w:bookmarkEnd w:id="34"/>
    </w:p>
    <w:p w:rsidR="002F0221" w:rsidRDefault="002F0221">
      <w:pPr>
        <w:spacing w:after="0" w:line="240" w:lineRule="auto"/>
        <w:jc w:val="both"/>
        <w:rPr>
          <w:rFonts w:ascii="Times New Roman" w:hAnsi="Times New Roman"/>
          <w:sz w:val="24"/>
          <w:szCs w:val="24"/>
        </w:rPr>
      </w:pPr>
    </w:p>
    <w:sectPr w:rsidR="002F0221" w:rsidSect="009C62AF">
      <w:footerReference w:type="default" r:id="rId9"/>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James Goudkamp" w:date="2011-06-15T14:46:00Z" w:initials="JLG">
    <w:p w:rsidR="00400D3C" w:rsidRDefault="00400D3C">
      <w:pPr>
        <w:pStyle w:val="CommentText"/>
      </w:pPr>
      <w:r>
        <w:rPr>
          <w:rStyle w:val="CommentReference"/>
        </w:rPr>
        <w:annotationRef/>
      </w:r>
      <w:r>
        <w:t xml:space="preserve">Do you have a reference for </w:t>
      </w:r>
      <w:r w:rsidRPr="00EA3D9F">
        <w:rPr>
          <w:rFonts w:ascii="Times New Roman" w:hAnsi="Times New Roman"/>
        </w:rPr>
        <w:t xml:space="preserve">Francois </w:t>
      </w:r>
      <w:proofErr w:type="spellStart"/>
      <w:r w:rsidRPr="00EA3D9F">
        <w:rPr>
          <w:rFonts w:ascii="Times New Roman" w:hAnsi="Times New Roman"/>
        </w:rPr>
        <w:t>Ewald</w:t>
      </w:r>
      <w:proofErr w:type="spellEnd"/>
      <w:r>
        <w:rPr>
          <w:rFonts w:ascii="Times New Roman" w:hAnsi="Times New Roman"/>
        </w:rPr>
        <w:t xml:space="preserve"> to add to this footnote? ADDED</w:t>
      </w:r>
    </w:p>
  </w:comment>
  <w:comment w:id="4" w:author="James Goudkamp" w:date="2011-06-15T14:48:00Z" w:initials="JLG">
    <w:p w:rsidR="00400D3C" w:rsidRDefault="00400D3C">
      <w:pPr>
        <w:pStyle w:val="CommentText"/>
      </w:pPr>
      <w:r>
        <w:rPr>
          <w:rStyle w:val="CommentReference"/>
        </w:rPr>
        <w:annotationRef/>
      </w:r>
      <w:r>
        <w:t>I presume you mean to refer here to insurance law rather than the phenomenon of insurance. Perhaps it would be worth saying this expressly.  DONE</w:t>
      </w:r>
    </w:p>
  </w:comment>
  <w:comment w:id="5" w:author="James Goudkamp" w:date="1982-00-25T22:04:00Z" w:initials="JLG">
    <w:p w:rsidR="00400D3C" w:rsidRDefault="00400D3C">
      <w:pPr>
        <w:pStyle w:val="CommentText"/>
      </w:pPr>
      <w:r>
        <w:rPr>
          <w:rStyle w:val="CommentReference"/>
        </w:rPr>
        <w:annotationRef/>
      </w:r>
      <w:r>
        <w:t xml:space="preserve">Replace with "whereas"? If this suggestion is adopted, I would remove the comma preceding this word. </w:t>
      </w:r>
    </w:p>
  </w:comment>
  <w:comment w:id="6" w:author="The Home Bursar" w:date="2011-06-15T17:04:00Z" w:initials="THB">
    <w:p w:rsidR="00400D3C" w:rsidRDefault="00400D3C">
      <w:pPr>
        <w:pStyle w:val="CommentText"/>
      </w:pPr>
      <w:r>
        <w:rPr>
          <w:rStyle w:val="CommentReference"/>
        </w:rPr>
        <w:annotationRef/>
      </w:r>
      <w:r>
        <w:t>Do you have a pinpoint citation for the reference to Abraham? DONE Also, perhaps change “… understanding of the impact on liability” to “… understanding of the impact on liability”.  NOT SURE WHAT YOU HAD IN MIND BUT TWEAKED SLIGHTLY</w:t>
      </w:r>
    </w:p>
  </w:comment>
  <w:comment w:id="7" w:author="The Home Bursar" w:date="2011-06-15T17:05:00Z" w:initials="THB">
    <w:p w:rsidR="00400D3C" w:rsidRDefault="00400D3C">
      <w:pPr>
        <w:pStyle w:val="CommentText"/>
      </w:pPr>
      <w:r>
        <w:rPr>
          <w:rStyle w:val="CommentReference"/>
        </w:rPr>
        <w:annotationRef/>
      </w:r>
      <w:r>
        <w:t>I would move this sentence so that it is part of the previous paragraph. HAVE TRIED – MAYBE IT WILL WORK WHEN TRACK CHANGES TURNED OFF</w:t>
      </w:r>
    </w:p>
    <w:p w:rsidR="00400D3C" w:rsidRDefault="00400D3C">
      <w:pPr>
        <w:pStyle w:val="CommentText"/>
      </w:pPr>
      <w:r>
        <w:t xml:space="preserve">I would then make consequential amendments to the next sentence. </w:t>
      </w:r>
    </w:p>
  </w:comment>
  <w:comment w:id="9" w:author="The Home Bursar" w:date="2011-06-16T12:55:00Z" w:initials="THB">
    <w:p w:rsidR="00400D3C" w:rsidRDefault="00400D3C">
      <w:pPr>
        <w:pStyle w:val="CommentText"/>
      </w:pPr>
      <w:r>
        <w:rPr>
          <w:rStyle w:val="CommentReference"/>
        </w:rPr>
        <w:annotationRef/>
      </w:r>
      <w:r>
        <w:t>What evidence do you have in mind? HOPEFULLY NOW CLARIFIED</w:t>
      </w:r>
    </w:p>
  </w:comment>
  <w:comment w:id="10" w:author="The Home Bursar" w:date="2011-06-15T17:08:00Z" w:initials="THB">
    <w:p w:rsidR="00400D3C" w:rsidRDefault="00400D3C">
      <w:pPr>
        <w:pStyle w:val="CommentText"/>
      </w:pPr>
      <w:r>
        <w:rPr>
          <w:rStyle w:val="CommentReference"/>
        </w:rPr>
        <w:annotationRef/>
      </w:r>
      <w:r>
        <w:t>Might it be worth referring to some of the writers you allude to in this footnote? I have to admit that I’m not quite sure what you are saying in this footnote. How can concurrent liability possibly be attributed to limitation rules? I can see that limitation bars often make it significant that concurrent actions are available. But this doesn’t quite seem to be the view that you are describing.  DONE</w:t>
      </w:r>
    </w:p>
  </w:comment>
  <w:comment w:id="13" w:author="The Home Bursar" w:date="2011-06-15T17:35:00Z" w:initials="THB">
    <w:p w:rsidR="00400D3C" w:rsidRDefault="00400D3C">
      <w:pPr>
        <w:pStyle w:val="CommentText"/>
      </w:pPr>
      <w:r>
        <w:rPr>
          <w:rStyle w:val="CommentReference"/>
        </w:rPr>
        <w:annotationRef/>
      </w:r>
      <w:r>
        <w:t>I wonder whether this shouldn’t be tweaked slightly. Technically, the insurer is liable not to the third party but to the insured. I THINK I HAVE THIS RIGHT – THE INSURED (NOT INSURER) IS POTENTIALLY LIABLE TO THE P3.</w:t>
      </w:r>
    </w:p>
  </w:comment>
  <w:comment w:id="18" w:author="The Home Bursar" w:date="2011-06-16T13:03:00Z" w:initials="THB">
    <w:p w:rsidR="00400D3C" w:rsidRDefault="00400D3C">
      <w:pPr>
        <w:pStyle w:val="CommentText"/>
      </w:pPr>
      <w:r>
        <w:rPr>
          <w:rStyle w:val="CommentReference"/>
        </w:rPr>
        <w:annotationRef/>
      </w:r>
      <w:r>
        <w:t>Note repetition of “in terms of” in this sentence. Rephrase? IT’S DELIBERATE IN THIS INSTANCE</w:t>
      </w:r>
    </w:p>
  </w:comment>
  <w:comment w:id="22" w:author="James Goudkamp" w:date="2011-06-16T13:45:00Z" w:initials="JLG">
    <w:p w:rsidR="00400D3C" w:rsidRDefault="00400D3C">
      <w:pPr>
        <w:pStyle w:val="CommentText"/>
      </w:pPr>
      <w:r>
        <w:rPr>
          <w:rStyle w:val="CommentReference"/>
        </w:rPr>
        <w:annotationRef/>
      </w:r>
      <w:r>
        <w:t>Are these words necessary? I THINK SO BECAUSE THEIR RELEVANCE IS DEBATED BUT THE STATUS OF TORT LIABILITIES IN INTERPRETING CONTRACTS DOESN’T APPEAR TO BE</w:t>
      </w:r>
    </w:p>
  </w:comment>
  <w:comment w:id="23" w:author="James Goudkamp" w:date="2011-06-16T14:06:00Z" w:initials="JLG">
    <w:p w:rsidR="00400D3C" w:rsidRDefault="00400D3C">
      <w:pPr>
        <w:pStyle w:val="CommentText"/>
      </w:pPr>
      <w:r>
        <w:rPr>
          <w:rStyle w:val="CommentReference"/>
        </w:rPr>
        <w:annotationRef/>
      </w:r>
      <w:r>
        <w:t xml:space="preserve">I'm not sure if this word serves any useful purpose. I THINK IT MIGHT AS IT REFLECTS HOW LONG AGO THE EXPOSURE HAPPENED, AND THEREFORE THE PROBLEMS OF KNOWLEDGE </w:t>
      </w:r>
      <w:proofErr w:type="gramStart"/>
      <w:r>
        <w:t>AND  MULTIPLE</w:t>
      </w:r>
      <w:proofErr w:type="gramEnd"/>
      <w:r>
        <w:t xml:space="preserve"> EXPOSURE – QUICKER THAN SPELLING IT ALL OUT?</w:t>
      </w:r>
    </w:p>
  </w:comment>
  <w:comment w:id="24" w:author="James Goudkamp" w:date="2011-06-16T14:05:00Z" w:initials="JLG">
    <w:p w:rsidR="00400D3C" w:rsidRDefault="00400D3C">
      <w:pPr>
        <w:pStyle w:val="CommentText"/>
      </w:pPr>
      <w:r>
        <w:rPr>
          <w:rStyle w:val="CommentReference"/>
        </w:rPr>
        <w:annotationRef/>
      </w:r>
      <w:r>
        <w:t>Perhaps this should be reworded slightly. I'm not sure if there can be such a thing as uncertainty "of evidence". Maybe you should say: "... problem of uncertainty as to the causative agent." DEALT WITH</w:t>
      </w:r>
    </w:p>
  </w:comment>
  <w:comment w:id="26" w:author="James Goudkamp" w:date="2011-06-16T14:06:00Z" w:initials="JLG">
    <w:p w:rsidR="00400D3C" w:rsidRDefault="00400D3C">
      <w:pPr>
        <w:pStyle w:val="CommentText"/>
      </w:pPr>
      <w:r>
        <w:rPr>
          <w:rStyle w:val="CommentReference"/>
        </w:rPr>
        <w:annotationRef/>
      </w:r>
      <w:r>
        <w:t>What is the code to which you refer in this footnote. This is the only reference to it in your chapter. SHOULD HAVE SAID GUIDELINES – DEALT WITH AND CROSS REFERENCED</w:t>
      </w:r>
    </w:p>
  </w:comment>
  <w:comment w:id="28" w:author="James Goudkamp" w:date="2011-05-21T14:15:00Z" w:initials="JLG">
    <w:p w:rsidR="00400D3C" w:rsidRDefault="00400D3C">
      <w:pPr>
        <w:pStyle w:val="CommentText"/>
      </w:pPr>
      <w:r>
        <w:rPr>
          <w:rStyle w:val="CommentReference"/>
        </w:rPr>
        <w:annotationRef/>
      </w:r>
      <w:r>
        <w:t xml:space="preserve">In which case? </w:t>
      </w:r>
      <w:proofErr w:type="spellStart"/>
      <w:r>
        <w:t>Rothwell</w:t>
      </w:r>
      <w:proofErr w:type="spellEnd"/>
      <w:r>
        <w:t>?</w:t>
      </w:r>
    </w:p>
  </w:comment>
  <w:comment w:id="29" w:author="James Goudkamp" w:date="2011-06-16T14:23:00Z" w:initials="JLG">
    <w:p w:rsidR="00400D3C" w:rsidRDefault="00400D3C">
      <w:pPr>
        <w:pStyle w:val="CommentText"/>
      </w:pPr>
      <w:r>
        <w:rPr>
          <w:rStyle w:val="CommentReference"/>
        </w:rPr>
        <w:annotationRef/>
      </w:r>
      <w:r>
        <w:t>I think this sentence could be made a little clearer. It is a little confusing how you say that arguments that were successful were of use to the loser. Something is wrong with the grammar in the second half of the sentence.  It doesn't indicate what persuaded the Court of Appeal.</w:t>
      </w:r>
      <w:r w:rsidR="00BC5113">
        <w:t xml:space="preserve"> DONE</w:t>
      </w:r>
    </w:p>
  </w:comment>
  <w:comment w:id="30" w:author="James Goudkamp" w:date="2011-06-16T14:24:00Z" w:initials="JLG">
    <w:p w:rsidR="00400D3C" w:rsidRDefault="00400D3C">
      <w:pPr>
        <w:pStyle w:val="CommentText"/>
      </w:pPr>
      <w:r>
        <w:rPr>
          <w:rStyle w:val="CommentReference"/>
        </w:rPr>
        <w:annotationRef/>
      </w:r>
      <w:r>
        <w:t xml:space="preserve">Whose conclusions does Smith LJ disagree with (in this footnote) </w:t>
      </w:r>
      <w:r w:rsidR="006E20B3">
        <w:t>DONE</w:t>
      </w:r>
    </w:p>
  </w:comment>
  <w:comment w:id="31" w:author="James Goudkamp" w:date="2011-06-16T14:24:00Z" w:initials="JLG">
    <w:p w:rsidR="00400D3C" w:rsidRDefault="00400D3C">
      <w:pPr>
        <w:pStyle w:val="CommentText"/>
      </w:pPr>
      <w:r>
        <w:rPr>
          <w:rStyle w:val="CommentReference"/>
        </w:rPr>
        <w:annotationRef/>
      </w:r>
      <w:r>
        <w:t xml:space="preserve">It isn't quite crystal clear whether you mean to refer to a problem with </w:t>
      </w:r>
      <w:proofErr w:type="spellStart"/>
      <w:r>
        <w:t>Rix</w:t>
      </w:r>
      <w:proofErr w:type="spellEnd"/>
      <w:r>
        <w:t xml:space="preserve"> LJ's reasons or a difficulty with which </w:t>
      </w:r>
      <w:proofErr w:type="spellStart"/>
      <w:r>
        <w:t>Rix</w:t>
      </w:r>
      <w:proofErr w:type="spellEnd"/>
      <w:r>
        <w:t xml:space="preserve"> LJ wrestled.</w:t>
      </w:r>
      <w:r w:rsidR="006E20B3">
        <w:t xml:space="preserve"> DONE</w:t>
      </w:r>
    </w:p>
  </w:comment>
  <w:comment w:id="32" w:author="James Goudkamp" w:date="2011-06-16T14:28:00Z" w:initials="JLG">
    <w:p w:rsidR="00400D3C" w:rsidRDefault="00400D3C">
      <w:pPr>
        <w:pStyle w:val="CommentText"/>
      </w:pPr>
      <w:r>
        <w:rPr>
          <w:rStyle w:val="CommentReference"/>
        </w:rPr>
        <w:annotationRef/>
      </w:r>
      <w:r>
        <w:t>Note repetitive use of the word "refer" in this sentence.</w:t>
      </w:r>
      <w:r w:rsidR="006E20B3">
        <w:t xml:space="preserve"> DONE</w:t>
      </w:r>
    </w:p>
  </w:comment>
  <w:comment w:id="33" w:author="James Goudkamp" w:date="2011-05-21T20:30:00Z" w:initials="JLG">
    <w:p w:rsidR="00400D3C" w:rsidRDefault="00400D3C">
      <w:pPr>
        <w:pStyle w:val="CommentText"/>
      </w:pPr>
      <w:r>
        <w:rPr>
          <w:rStyle w:val="CommentReference"/>
        </w:rPr>
        <w:annotationRef/>
      </w:r>
      <w:r>
        <w:t>This footnote doesn't really make sense to someone who is not familiar with HIH and its collapse. I think you need to do a little bit more to explain what HIH was and the circumstances in which it failed.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2DD" w:rsidRDefault="009422DD" w:rsidP="0035354E">
      <w:pPr>
        <w:spacing w:after="0" w:line="240" w:lineRule="auto"/>
      </w:pPr>
      <w:r>
        <w:separator/>
      </w:r>
    </w:p>
  </w:endnote>
  <w:endnote w:type="continuationSeparator" w:id="0">
    <w:p w:rsidR="009422DD" w:rsidRDefault="009422DD" w:rsidP="00353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D3C" w:rsidRDefault="009E5650">
    <w:pPr>
      <w:pStyle w:val="Footer"/>
      <w:jc w:val="right"/>
    </w:pPr>
    <w:r>
      <w:fldChar w:fldCharType="begin"/>
    </w:r>
    <w:r w:rsidR="00351B88">
      <w:instrText xml:space="preserve"> PAGE   \* MERGEFORMAT </w:instrText>
    </w:r>
    <w:r>
      <w:fldChar w:fldCharType="separate"/>
    </w:r>
    <w:r w:rsidR="002E1C93">
      <w:rPr>
        <w:noProof/>
      </w:rPr>
      <w:t>1</w:t>
    </w:r>
    <w:r>
      <w:rPr>
        <w:noProof/>
      </w:rPr>
      <w:fldChar w:fldCharType="end"/>
    </w:r>
  </w:p>
  <w:p w:rsidR="00400D3C" w:rsidRDefault="00400D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2DD" w:rsidRDefault="009422DD" w:rsidP="0035354E">
      <w:pPr>
        <w:spacing w:after="0" w:line="240" w:lineRule="auto"/>
      </w:pPr>
      <w:r>
        <w:separator/>
      </w:r>
    </w:p>
  </w:footnote>
  <w:footnote w:type="continuationSeparator" w:id="0">
    <w:p w:rsidR="009422DD" w:rsidRDefault="009422DD" w:rsidP="0035354E">
      <w:pPr>
        <w:spacing w:after="0" w:line="240" w:lineRule="auto"/>
      </w:pPr>
      <w:r>
        <w:continuationSeparator/>
      </w:r>
    </w:p>
  </w:footnote>
  <w:footnote w:id="1">
    <w:p w:rsidR="00400D3C" w:rsidRPr="00AF0231" w:rsidRDefault="00400D3C">
      <w:pPr>
        <w:pStyle w:val="FootnoteText"/>
        <w:ind w:left="284" w:hanging="284"/>
        <w:jc w:val="both"/>
      </w:pPr>
      <w:r w:rsidRPr="009C4152">
        <w:rPr>
          <w:rStyle w:val="FootnoteReference"/>
          <w:rFonts w:ascii="Times New Roman" w:hAnsi="Times New Roman"/>
        </w:rPr>
        <w:sym w:font="Symbol" w:char="F02A"/>
      </w:r>
      <w:r w:rsidRPr="002C7571">
        <w:rPr>
          <w:rFonts w:ascii="Times New Roman" w:hAnsi="Times New Roman"/>
        </w:rPr>
        <w:t xml:space="preserve"> </w:t>
      </w:r>
      <w:r>
        <w:rPr>
          <w:rFonts w:ascii="Times New Roman" w:hAnsi="Times New Roman"/>
        </w:rPr>
        <w:tab/>
      </w:r>
      <w:r w:rsidRPr="002C7571">
        <w:rPr>
          <w:rFonts w:ascii="Times New Roman" w:hAnsi="Times New Roman"/>
        </w:rPr>
        <w:t xml:space="preserve">I would like to acknowledge the generous assistance of the </w:t>
      </w:r>
      <w:smartTag w:uri="urn:schemas-microsoft-com:office:smarttags" w:element="place">
        <w:smartTag w:uri="urn:schemas-microsoft-com:office:smarttags" w:element="PlaceName">
          <w:r w:rsidRPr="002C7571">
            <w:rPr>
              <w:rFonts w:ascii="Times New Roman" w:hAnsi="Times New Roman"/>
            </w:rPr>
            <w:t>British</w:t>
          </w:r>
        </w:smartTag>
        <w:r w:rsidRPr="002C7571">
          <w:rPr>
            <w:rFonts w:ascii="Times New Roman" w:hAnsi="Times New Roman"/>
          </w:rPr>
          <w:t xml:space="preserve"> </w:t>
        </w:r>
        <w:smartTag w:uri="urn:schemas-microsoft-com:office:smarttags" w:element="PlaceType">
          <w:r w:rsidRPr="002C7571">
            <w:rPr>
              <w:rFonts w:ascii="Times New Roman" w:hAnsi="Times New Roman"/>
            </w:rPr>
            <w:t>Academy</w:t>
          </w:r>
        </w:smartTag>
      </w:smartTag>
      <w:r w:rsidRPr="002C7571">
        <w:rPr>
          <w:rFonts w:ascii="Times New Roman" w:hAnsi="Times New Roman"/>
        </w:rPr>
        <w:t xml:space="preserve"> in supporting my attendance at </w:t>
      </w:r>
      <w:r>
        <w:rPr>
          <w:rFonts w:ascii="Times New Roman" w:hAnsi="Times New Roman"/>
        </w:rPr>
        <w:t xml:space="preserve">the </w:t>
      </w:r>
      <w:r w:rsidRPr="002C7571">
        <w:rPr>
          <w:rFonts w:ascii="Times New Roman" w:hAnsi="Times New Roman"/>
          <w:i/>
        </w:rPr>
        <w:t>Torts in Commercial Law</w:t>
      </w:r>
      <w:r>
        <w:rPr>
          <w:rFonts w:ascii="Times New Roman" w:hAnsi="Times New Roman"/>
        </w:rPr>
        <w:t xml:space="preserve"> conference</w:t>
      </w:r>
      <w:r w:rsidRPr="002C7571">
        <w:rPr>
          <w:rFonts w:ascii="Times New Roman" w:hAnsi="Times New Roman"/>
        </w:rPr>
        <w:t xml:space="preserve">. I would also like to thank </w:t>
      </w:r>
      <w:r>
        <w:rPr>
          <w:rFonts w:ascii="Times New Roman" w:hAnsi="Times New Roman"/>
        </w:rPr>
        <w:t xml:space="preserve">Harold </w:t>
      </w:r>
      <w:proofErr w:type="spellStart"/>
      <w:r>
        <w:rPr>
          <w:rFonts w:ascii="Times New Roman" w:hAnsi="Times New Roman"/>
        </w:rPr>
        <w:t>Luntz</w:t>
      </w:r>
      <w:proofErr w:type="spellEnd"/>
      <w:r>
        <w:rPr>
          <w:rFonts w:ascii="Times New Roman" w:hAnsi="Times New Roman"/>
        </w:rPr>
        <w:t xml:space="preserve"> and </w:t>
      </w:r>
      <w:r w:rsidRPr="002C7571">
        <w:rPr>
          <w:rFonts w:ascii="Times New Roman" w:hAnsi="Times New Roman"/>
        </w:rPr>
        <w:t>TT</w:t>
      </w:r>
      <w:r>
        <w:rPr>
          <w:rFonts w:ascii="Times New Roman" w:hAnsi="Times New Roman"/>
        </w:rPr>
        <w:t> </w:t>
      </w:r>
      <w:r w:rsidRPr="002C7571">
        <w:rPr>
          <w:rFonts w:ascii="Times New Roman" w:hAnsi="Times New Roman"/>
        </w:rPr>
        <w:t>Arvind for comments on an early draft</w:t>
      </w:r>
      <w:r>
        <w:rPr>
          <w:rFonts w:ascii="Times New Roman" w:hAnsi="Times New Roman"/>
        </w:rPr>
        <w:t>, and Rob Merkin for advice and support</w:t>
      </w:r>
      <w:r w:rsidRPr="002C7571">
        <w:rPr>
          <w:rFonts w:ascii="Times New Roman" w:hAnsi="Times New Roman"/>
        </w:rPr>
        <w:t>.</w:t>
      </w:r>
      <w:r>
        <w:rPr>
          <w:rFonts w:ascii="Times New Roman" w:hAnsi="Times New Roman"/>
        </w:rPr>
        <w:t xml:space="preserve"> </w:t>
      </w:r>
      <w:r w:rsidR="00AF0231">
        <w:rPr>
          <w:rFonts w:ascii="Times New Roman" w:hAnsi="Times New Roman"/>
        </w:rPr>
        <w:t xml:space="preserve">It is particularly difficult to identify the boundaries of </w:t>
      </w:r>
      <w:r w:rsidR="005E3BAF">
        <w:rPr>
          <w:rFonts w:ascii="Times New Roman" w:hAnsi="Times New Roman"/>
        </w:rPr>
        <w:t xml:space="preserve">the latter’s </w:t>
      </w:r>
      <w:r w:rsidR="00AF0231">
        <w:rPr>
          <w:rFonts w:ascii="Times New Roman" w:hAnsi="Times New Roman"/>
        </w:rPr>
        <w:t xml:space="preserve">influence on this piece given that we have recently embarked on work towards a much more detailed exploration of the integration of insurance into private law: R. Merkin and J. Steele, </w:t>
      </w:r>
      <w:r w:rsidR="00AF0231">
        <w:rPr>
          <w:rFonts w:ascii="Times New Roman" w:hAnsi="Times New Roman"/>
          <w:i/>
        </w:rPr>
        <w:t xml:space="preserve">Insurance and the Law of Obligations </w:t>
      </w:r>
      <w:r w:rsidR="00AF0231">
        <w:rPr>
          <w:rFonts w:ascii="Times New Roman" w:hAnsi="Times New Roman"/>
        </w:rPr>
        <w:t>(Oxford University Press, in preparation). Errors however remain my own.</w:t>
      </w:r>
    </w:p>
  </w:footnote>
  <w:footnote w:id="2">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Although liabilities for accidental harm provide the core instance, there is much more to the relationship than this. For example, insurance is also at work in relation to intentional harm, particularly where there is vicarious liability. At the same time, liability insurance is not the only form of insurance involved. First party insurance is often an alternative source of funds in a particular case: see the discussion below around n </w:t>
      </w:r>
      <w:fldSimple w:instr=" NOTEREF _Ref293145034 \h  \* MERGEFORMAT ">
        <w:r w:rsidR="0065662B" w:rsidRPr="00CA2822">
          <w:rPr>
            <w:rFonts w:ascii="Times New Roman" w:hAnsi="Times New Roman"/>
          </w:rPr>
          <w:t>23</w:t>
        </w:r>
      </w:fldSimple>
      <w:r w:rsidRPr="002C7571">
        <w:rPr>
          <w:rFonts w:ascii="Times New Roman" w:hAnsi="Times New Roman"/>
        </w:rPr>
        <w:t xml:space="preserve"> below. The role of insurance in litigation </w:t>
      </w:r>
      <w:r w:rsidRPr="002C7571">
        <w:rPr>
          <w:rFonts w:ascii="Times New Roman" w:hAnsi="Times New Roman"/>
          <w:i/>
        </w:rPr>
        <w:t>funding</w:t>
      </w:r>
      <w:r w:rsidRPr="002C7571">
        <w:rPr>
          <w:rFonts w:ascii="Times New Roman" w:hAnsi="Times New Roman"/>
        </w:rPr>
        <w:t xml:space="preserve">, rather than only in providing a source of compensation or indemnity, has also come to the forefront of recent policy discussions in the </w:t>
      </w:r>
      <w:smartTag w:uri="urn:schemas-microsoft-com:office:smarttags" w:element="country-region">
        <w:r w:rsidRPr="002C7571">
          <w:rPr>
            <w:rFonts w:ascii="Times New Roman" w:hAnsi="Times New Roman"/>
          </w:rPr>
          <w:t>United Kingdom</w:t>
        </w:r>
      </w:smartTag>
      <w:r w:rsidRPr="002C7571">
        <w:rPr>
          <w:rFonts w:ascii="Times New Roman" w:hAnsi="Times New Roman"/>
        </w:rPr>
        <w:t xml:space="preserve">, particularly through the </w:t>
      </w:r>
      <w:r w:rsidRPr="002C7571">
        <w:rPr>
          <w:rFonts w:ascii="Times New Roman" w:hAnsi="Times New Roman"/>
          <w:i/>
        </w:rPr>
        <w:t>Jackson Review</w:t>
      </w:r>
      <w:r w:rsidRPr="002C7571">
        <w:rPr>
          <w:rFonts w:ascii="Times New Roman" w:hAnsi="Times New Roman"/>
        </w:rPr>
        <w:t xml:space="preserve">: Sir Rupert Jackson, </w:t>
      </w:r>
      <w:r w:rsidRPr="002C7571">
        <w:rPr>
          <w:rFonts w:ascii="Times New Roman" w:hAnsi="Times New Roman"/>
          <w:i/>
        </w:rPr>
        <w:t>Review of Civil Litigation Costs: Final Report</w:t>
      </w:r>
      <w:r w:rsidRPr="002C7571">
        <w:rPr>
          <w:rFonts w:ascii="Times New Roman" w:hAnsi="Times New Roman"/>
        </w:rPr>
        <w:t xml:space="preserve"> (The Stationary Office, </w:t>
      </w:r>
      <w:smartTag w:uri="urn:schemas-microsoft-com:office:smarttags" w:element="place">
        <w:smartTag w:uri="urn:schemas-microsoft-com:office:smarttags" w:element="City">
          <w:r w:rsidRPr="002C7571">
            <w:rPr>
              <w:rFonts w:ascii="Times New Roman" w:hAnsi="Times New Roman"/>
            </w:rPr>
            <w:t>London</w:t>
          </w:r>
        </w:smartTag>
      </w:smartTag>
      <w:r w:rsidRPr="002C7571">
        <w:rPr>
          <w:rFonts w:ascii="Times New Roman" w:hAnsi="Times New Roman"/>
        </w:rPr>
        <w:t xml:space="preserve">, 2009). The present Government has signalled support for the </w:t>
      </w:r>
      <w:smartTag w:uri="urn:schemas-microsoft-com:office:smarttags" w:element="City">
        <w:r w:rsidRPr="002C7571">
          <w:rPr>
            <w:rFonts w:ascii="Times New Roman" w:hAnsi="Times New Roman"/>
          </w:rPr>
          <w:t>Jackson</w:t>
        </w:r>
      </w:smartTag>
      <w:r w:rsidRPr="002C7571">
        <w:rPr>
          <w:rFonts w:ascii="Times New Roman" w:hAnsi="Times New Roman"/>
        </w:rPr>
        <w:t xml:space="preserve"> proposals, instigating a consultation, and commissioning the </w:t>
      </w:r>
      <w:r w:rsidRPr="002C7571">
        <w:rPr>
          <w:rFonts w:ascii="Times New Roman" w:hAnsi="Times New Roman"/>
          <w:i/>
        </w:rPr>
        <w:t>Young Review</w:t>
      </w:r>
      <w:r w:rsidRPr="002C7571">
        <w:rPr>
          <w:rFonts w:ascii="Times New Roman" w:hAnsi="Times New Roman"/>
        </w:rPr>
        <w:t xml:space="preserve">: Lord Young, </w:t>
      </w:r>
      <w:r w:rsidRPr="002C7571">
        <w:rPr>
          <w:rFonts w:ascii="Times New Roman" w:hAnsi="Times New Roman"/>
          <w:i/>
        </w:rPr>
        <w:t xml:space="preserve">Common Sense, Common Safety </w:t>
      </w:r>
      <w:r w:rsidRPr="002C7571">
        <w:rPr>
          <w:rFonts w:ascii="Times New Roman" w:hAnsi="Times New Roman"/>
        </w:rPr>
        <w:t xml:space="preserve">(HM Government, </w:t>
      </w:r>
      <w:smartTag w:uri="urn:schemas-microsoft-com:office:smarttags" w:element="place">
        <w:smartTag w:uri="urn:schemas-microsoft-com:office:smarttags" w:element="City">
          <w:r w:rsidRPr="002C7571">
            <w:rPr>
              <w:rFonts w:ascii="Times New Roman" w:hAnsi="Times New Roman"/>
            </w:rPr>
            <w:t>London</w:t>
          </w:r>
        </w:smartTag>
      </w:smartTag>
      <w:r w:rsidRPr="002C7571">
        <w:rPr>
          <w:rFonts w:ascii="Times New Roman" w:hAnsi="Times New Roman"/>
        </w:rPr>
        <w:t>, 2010). This stated a “firm belief” that those proposals should be implemented (at 22). Through its role in litigation funding, insurance has a very broad impact on the development of civil law, including areas such as invasion of privacy (and defamation) which are far removed from “accidents”.</w:t>
      </w:r>
    </w:p>
  </w:footnote>
  <w:footnote w:id="3">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Fleming James, writing about the relationship in 1948, could draw upon decades of practice: F James, “Accident Liability Reconsidered: The Impact of Liability Insurance” (1948) 57 </w:t>
      </w:r>
      <w:r w:rsidRPr="002C7571">
        <w:rPr>
          <w:rFonts w:ascii="Times New Roman" w:hAnsi="Times New Roman"/>
          <w:i/>
        </w:rPr>
        <w:t>Yale Law Journal</w:t>
      </w:r>
      <w:r w:rsidRPr="002C7571">
        <w:rPr>
          <w:rFonts w:ascii="Times New Roman" w:hAnsi="Times New Roman"/>
        </w:rPr>
        <w:t xml:space="preserve"> 549. Kenneth Abraham, </w:t>
      </w:r>
      <w:r w:rsidRPr="002C7571">
        <w:rPr>
          <w:rFonts w:ascii="Times New Roman" w:hAnsi="Times New Roman"/>
          <w:i/>
        </w:rPr>
        <w:t>The Liability Century: Insurance and Tort Law Reform from the Progressive Era to 9/11</w:t>
      </w:r>
      <w:r w:rsidRPr="002C7571">
        <w:rPr>
          <w:rFonts w:ascii="Times New Roman" w:hAnsi="Times New Roman"/>
        </w:rPr>
        <w:t xml:space="preserve"> (Harvard University Press, Cambridge, 2008) traces the relationship to the reform of employer liability in both the United Kingdom and the United States in the 1880s, prompting the emergence of a market in employers’ liability insurance. </w:t>
      </w:r>
    </w:p>
  </w:footnote>
  <w:footnote w:id="4">
    <w:p w:rsidR="00400D3C" w:rsidRDefault="00400D3C" w:rsidP="00D80BAA">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Significant counter-examples in the </w:t>
      </w:r>
      <w:smartTag w:uri="urn:schemas-microsoft-com:office:smarttags" w:element="place">
        <w:smartTag w:uri="urn:schemas-microsoft-com:office:smarttags" w:element="country-region">
          <w:r w:rsidRPr="002C7571">
            <w:rPr>
              <w:rFonts w:ascii="Times New Roman" w:hAnsi="Times New Roman"/>
            </w:rPr>
            <w:t>United States</w:t>
          </w:r>
        </w:smartTag>
      </w:smartTag>
      <w:r w:rsidRPr="002C7571">
        <w:rPr>
          <w:rFonts w:ascii="Times New Roman" w:hAnsi="Times New Roman"/>
        </w:rPr>
        <w:t xml:space="preserve"> are the work of Kenneth Abraham (above n </w:t>
      </w:r>
      <w:fldSimple w:instr=" NOTEREF _Ref293145477 \h  \* MERGEFORMAT ">
        <w:r>
          <w:t>2</w:t>
        </w:r>
      </w:fldSimple>
      <w:r w:rsidRPr="002C7571">
        <w:rPr>
          <w:rFonts w:ascii="Times New Roman" w:hAnsi="Times New Roman"/>
        </w:rPr>
        <w:t xml:space="preserve">) and Tom Baker (below </w:t>
      </w:r>
      <w:proofErr w:type="spellStart"/>
      <w:r w:rsidRPr="002C7571">
        <w:rPr>
          <w:rFonts w:ascii="Times New Roman" w:hAnsi="Times New Roman"/>
        </w:rPr>
        <w:t>nn</w:t>
      </w:r>
      <w:proofErr w:type="spellEnd"/>
      <w:r w:rsidRPr="002C7571">
        <w:rPr>
          <w:rFonts w:ascii="Times New Roman" w:hAnsi="Times New Roman"/>
        </w:rPr>
        <w:t xml:space="preserve"> </w:t>
      </w:r>
      <w:fldSimple w:instr=" NOTEREF _Ref293145535 \h  \* MERGEFORMAT ">
        <w:r w:rsidRPr="00F753E2">
          <w:rPr>
            <w:rFonts w:ascii="Times New Roman" w:hAnsi="Times New Roman"/>
          </w:rPr>
          <w:t>41</w:t>
        </w:r>
      </w:fldSimple>
      <w:r w:rsidRPr="002C7571">
        <w:rPr>
          <w:rFonts w:ascii="Times New Roman" w:hAnsi="Times New Roman"/>
        </w:rPr>
        <w:t xml:space="preserve">, </w:t>
      </w:r>
      <w:fldSimple w:instr=" NOTEREF _Ref293145544 \h  \* MERGEFORMAT ">
        <w:r w:rsidRPr="00F753E2">
          <w:rPr>
            <w:rFonts w:ascii="Times New Roman" w:hAnsi="Times New Roman"/>
          </w:rPr>
          <w:t>51</w:t>
        </w:r>
      </w:fldSimple>
      <w:r w:rsidRPr="002C7571">
        <w:rPr>
          <w:rFonts w:ascii="Times New Roman" w:hAnsi="Times New Roman"/>
        </w:rPr>
        <w:t>). These works include detailed consideration of insurance cover and insurance practice. Among the possible reasons for greater detailed attention in recent United States scholarship to the link between tort, contract, and insurance, are the significance of class action mechanisms and mass claiming, in which the availability and distribution of funds is a key issue; and (perhaps less obviously), the relative weakness of state welfare and earlier acceptance that private mechanisms (especially insurance) have a key role in delivering important goals such as loss distribution. As to the former, see the contributions to J Steele and W van Boom (</w:t>
      </w:r>
      <w:proofErr w:type="spellStart"/>
      <w:proofErr w:type="gramStart"/>
      <w:r w:rsidRPr="002C7571">
        <w:rPr>
          <w:rFonts w:ascii="Times New Roman" w:hAnsi="Times New Roman"/>
        </w:rPr>
        <w:t>eds</w:t>
      </w:r>
      <w:proofErr w:type="spellEnd"/>
      <w:proofErr w:type="gramEnd"/>
      <w:r w:rsidRPr="002C7571">
        <w:rPr>
          <w:rFonts w:ascii="Times New Roman" w:hAnsi="Times New Roman"/>
        </w:rPr>
        <w:t xml:space="preserve">), </w:t>
      </w:r>
      <w:r w:rsidRPr="002C7571">
        <w:rPr>
          <w:rFonts w:ascii="Times New Roman" w:hAnsi="Times New Roman"/>
          <w:i/>
        </w:rPr>
        <w:t xml:space="preserve">Mass Justice: Challenges of Representation and Distribution </w:t>
      </w:r>
      <w:r w:rsidRPr="002C7571">
        <w:rPr>
          <w:rFonts w:ascii="Times New Roman" w:hAnsi="Times New Roman"/>
        </w:rPr>
        <w:t>(Edward Elgar, Aldershot, 2011).</w:t>
      </w:r>
    </w:p>
  </w:footnote>
  <w:footnote w:id="5">
    <w:p w:rsidR="00400D3C" w:rsidRDefault="00400D3C" w:rsidP="00CF40DF">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This is, for example, the line of argument developed by Pat O’Malley, </w:t>
      </w:r>
      <w:r w:rsidRPr="002C7571">
        <w:rPr>
          <w:rFonts w:ascii="Times New Roman" w:hAnsi="Times New Roman"/>
          <w:i/>
        </w:rPr>
        <w:t>The Currency of Justice: Fines</w:t>
      </w:r>
      <w:r>
        <w:rPr>
          <w:rFonts w:ascii="Times New Roman" w:hAnsi="Times New Roman"/>
          <w:i/>
        </w:rPr>
        <w:t xml:space="preserve"> and Damages in Consumer Societies</w:t>
      </w:r>
      <w:r w:rsidRPr="002C7571">
        <w:rPr>
          <w:rFonts w:ascii="Times New Roman" w:hAnsi="Times New Roman"/>
          <w:i/>
        </w:rPr>
        <w:t xml:space="preserve"> </w:t>
      </w:r>
      <w:r w:rsidRPr="002C7571">
        <w:rPr>
          <w:rFonts w:ascii="Times New Roman" w:hAnsi="Times New Roman"/>
        </w:rPr>
        <w:t>(</w:t>
      </w:r>
      <w:proofErr w:type="spellStart"/>
      <w:r w:rsidRPr="002C7571">
        <w:rPr>
          <w:rFonts w:ascii="Times New Roman" w:hAnsi="Times New Roman"/>
        </w:rPr>
        <w:t>Routledge</w:t>
      </w:r>
      <w:proofErr w:type="spellEnd"/>
      <w:r w:rsidRPr="002C7571">
        <w:rPr>
          <w:rFonts w:ascii="Times New Roman" w:hAnsi="Times New Roman"/>
        </w:rPr>
        <w:t>, Abingdon, 2009), and O’Malley is able to draw from a deep well of tort scholarship. It is particularly notable that he regards contract as still concerned with individual responsibility, and indeed he describes individualised social arrangements – in contrast to the arrangements now typified by the law of tort – as essentially “contractual”. Tort on the other hand, he suggests, has become a matter of distributions through its liaison with insurance.</w:t>
      </w:r>
    </w:p>
  </w:footnote>
  <w:footnote w:id="6">
    <w:p w:rsidR="00400D3C" w:rsidRDefault="00400D3C">
      <w:pPr>
        <w:pStyle w:val="FootnoteText"/>
      </w:pPr>
      <w:r>
        <w:rPr>
          <w:rStyle w:val="FootnoteReference"/>
        </w:rPr>
        <w:footnoteRef/>
      </w:r>
      <w:r>
        <w:t xml:space="preserve">(1995) 58 </w:t>
      </w:r>
      <w:proofErr w:type="gramStart"/>
      <w:r>
        <w:rPr>
          <w:i/>
        </w:rPr>
        <w:t>Modern  Law</w:t>
      </w:r>
      <w:proofErr w:type="gramEnd"/>
      <w:r>
        <w:rPr>
          <w:i/>
        </w:rPr>
        <w:t xml:space="preserve"> Review </w:t>
      </w:r>
      <w:r>
        <w:t>820.</w:t>
      </w:r>
    </w:p>
  </w:footnote>
  <w:footnote w:id="7">
    <w:p w:rsidR="00400D3C" w:rsidRDefault="00400D3C">
      <w:pPr>
        <w:pStyle w:val="FootnoteText"/>
      </w:pPr>
      <w:r>
        <w:rPr>
          <w:rStyle w:val="FootnoteReference"/>
        </w:rPr>
        <w:footnoteRef/>
      </w:r>
      <w:r>
        <w:t xml:space="preserve"> </w:t>
      </w:r>
      <w:proofErr w:type="gramStart"/>
      <w:r>
        <w:t>Ibid at 823.</w:t>
      </w:r>
      <w:proofErr w:type="gramEnd"/>
    </w:p>
  </w:footnote>
  <w:footnote w:id="8">
    <w:p w:rsidR="00400D3C" w:rsidRDefault="00400D3C">
      <w:pPr>
        <w:pStyle w:val="FootnoteText"/>
      </w:pPr>
      <w:r>
        <w:rPr>
          <w:rStyle w:val="FootnoteReference"/>
        </w:rPr>
        <w:footnoteRef/>
      </w:r>
      <w:r>
        <w:t xml:space="preserve"> See the discussion in the final section of this chapter.</w:t>
      </w:r>
    </w:p>
  </w:footnote>
  <w:footnote w:id="9">
    <w:p w:rsidR="00400D3C" w:rsidRDefault="00400D3C" w:rsidP="004A0EE3">
      <w:pPr>
        <w:pStyle w:val="FootnoteText"/>
      </w:pPr>
      <w:r>
        <w:rPr>
          <w:rStyle w:val="FootnoteReference"/>
        </w:rPr>
        <w:footnoteRef/>
      </w:r>
      <w:r>
        <w:t xml:space="preserve"> Stapleton, n.</w:t>
      </w:r>
      <w:r w:rsidR="00290AE3">
        <w:t xml:space="preserve"> 5</w:t>
      </w:r>
      <w:r>
        <w:t>, at 823</w:t>
      </w:r>
      <w:r w:rsidR="00355E33">
        <w:t>; also at 843-</w:t>
      </w:r>
      <w:r w:rsidR="005E3BAF">
        <w:t xml:space="preserve">4: </w:t>
      </w:r>
      <w:r w:rsidR="00355E33">
        <w:t>tort liability is not a stand-in for insurance</w:t>
      </w:r>
      <w:r w:rsidR="005E3BAF">
        <w:t xml:space="preserve">. We can see this since </w:t>
      </w:r>
      <w:r w:rsidR="00355E33">
        <w:t xml:space="preserve">insurance is </w:t>
      </w:r>
      <w:r w:rsidR="005E3BAF">
        <w:t xml:space="preserve">not a necessary response </w:t>
      </w:r>
      <w:r w:rsidR="00355E33">
        <w:t xml:space="preserve">where there is </w:t>
      </w:r>
      <w:r w:rsidR="005E3BAF">
        <w:t xml:space="preserve">tort </w:t>
      </w:r>
      <w:r w:rsidR="00355E33">
        <w:t>liability</w:t>
      </w:r>
      <w:r w:rsidR="005E3BAF">
        <w:t>;</w:t>
      </w:r>
      <w:r w:rsidR="00355E33">
        <w:t xml:space="preserve"> and “the measure of damages is restorative”</w:t>
      </w:r>
      <w:r w:rsidR="005E3BAF">
        <w:t>, not at the insurance level</w:t>
      </w:r>
      <w:r>
        <w:t>.</w:t>
      </w:r>
      <w:r w:rsidR="005E3BAF">
        <w:t xml:space="preserve"> Though not suggesting that tort is a stand-in for insurance, I do suggest that this adopts a narrow definition of insurance and leaves no scope for exploring liability insurance as part of the underlying legal structure of the restoration response. </w:t>
      </w:r>
      <w:r>
        <w:t xml:space="preserve"> </w:t>
      </w:r>
    </w:p>
  </w:footnote>
  <w:footnote w:id="10">
    <w:p w:rsidR="00400D3C" w:rsidRDefault="00400D3C">
      <w:pPr>
        <w:pStyle w:val="FootnoteText"/>
      </w:pPr>
      <w:r>
        <w:rPr>
          <w:rStyle w:val="FootnoteReference"/>
        </w:rPr>
        <w:footnoteRef/>
      </w:r>
      <w:proofErr w:type="gramStart"/>
      <w:r w:rsidR="00F95766">
        <w:t>n.5</w:t>
      </w:r>
      <w:r>
        <w:t>, at 847.</w:t>
      </w:r>
      <w:proofErr w:type="gramEnd"/>
      <w:r w:rsidR="00355E33">
        <w:t xml:space="preserve"> Proposals to shift to first party insurance, in particular,</w:t>
      </w:r>
      <w:r w:rsidR="00044D03">
        <w:t xml:space="preserve"> were the focus of this criticism</w:t>
      </w:r>
      <w:r w:rsidR="00355E33">
        <w:t>.</w:t>
      </w:r>
    </w:p>
  </w:footnote>
  <w:footnote w:id="11">
    <w:p w:rsidR="00400D3C" w:rsidRDefault="00400D3C">
      <w:pPr>
        <w:pStyle w:val="FootnoteText"/>
      </w:pPr>
      <w:r>
        <w:rPr>
          <w:rStyle w:val="FootnoteReference"/>
        </w:rPr>
        <w:footnoteRef/>
      </w:r>
      <w:r>
        <w:t xml:space="preserve"> </w:t>
      </w:r>
      <w:r w:rsidR="00290AE3">
        <w:t>T</w:t>
      </w:r>
      <w:r>
        <w:t xml:space="preserve">he </w:t>
      </w:r>
      <w:r w:rsidR="007267DE">
        <w:t xml:space="preserve">Departmental </w:t>
      </w:r>
      <w:r>
        <w:t xml:space="preserve">Committee </w:t>
      </w:r>
      <w:r w:rsidR="007267DE">
        <w:t xml:space="preserve">on Alternative Remedies (Chaired by </w:t>
      </w:r>
      <w:r w:rsidR="00561C44">
        <w:t xml:space="preserve">Sir </w:t>
      </w:r>
      <w:r w:rsidR="007267DE">
        <w:t xml:space="preserve">Walter Monckton) </w:t>
      </w:r>
      <w:r>
        <w:t xml:space="preserve">received impassioned evidence from Mr </w:t>
      </w:r>
      <w:r w:rsidR="007267DE">
        <w:t xml:space="preserve">W. H. </w:t>
      </w:r>
      <w:r>
        <w:t xml:space="preserve">Thompson, </w:t>
      </w:r>
      <w:r w:rsidR="007267DE">
        <w:t>who had “acted for many years as solicitor for injured workmen”</w:t>
      </w:r>
      <w:r>
        <w:t>,</w:t>
      </w:r>
      <w:r w:rsidR="007267DE">
        <w:t xml:space="preserve"> and</w:t>
      </w:r>
      <w:r>
        <w:t xml:space="preserve"> who </w:t>
      </w:r>
      <w:r w:rsidR="007267DE">
        <w:t>pointed to the “misery and injustice inflicted upon the workman by the grossly inadequate weekly payments”</w:t>
      </w:r>
      <w:r>
        <w:t xml:space="preserve">: </w:t>
      </w:r>
      <w:r w:rsidR="007267DE">
        <w:t xml:space="preserve">Memorandum dated 12 March 1945, </w:t>
      </w:r>
      <w:r>
        <w:t>The National Archives</w:t>
      </w:r>
      <w:r w:rsidR="007267DE">
        <w:t>, 3779 LCO 2</w:t>
      </w:r>
      <w:r>
        <w:t>.</w:t>
      </w:r>
    </w:p>
  </w:footnote>
  <w:footnote w:id="12">
    <w:p w:rsidR="00400D3C" w:rsidRPr="004A0EE3" w:rsidRDefault="00400D3C">
      <w:pPr>
        <w:pStyle w:val="FootnoteText"/>
      </w:pPr>
      <w:r>
        <w:rPr>
          <w:rStyle w:val="FootnoteReference"/>
        </w:rPr>
        <w:footnoteRef/>
      </w:r>
      <w:r>
        <w:t xml:space="preserve"> P. </w:t>
      </w:r>
      <w:proofErr w:type="spellStart"/>
      <w:r>
        <w:t>Bartrip</w:t>
      </w:r>
      <w:proofErr w:type="spellEnd"/>
      <w:r>
        <w:t xml:space="preserve">, </w:t>
      </w:r>
      <w:r>
        <w:rPr>
          <w:i/>
        </w:rPr>
        <w:t xml:space="preserve">Workmen’s Compensation in the Twentieth Century Britain </w:t>
      </w:r>
      <w:r>
        <w:t xml:space="preserve">(Aldershot: </w:t>
      </w:r>
      <w:proofErr w:type="spellStart"/>
      <w:r>
        <w:t>Avebury</w:t>
      </w:r>
      <w:proofErr w:type="spellEnd"/>
      <w:r>
        <w:t xml:space="preserve">, 1987), at 223, explains the Unions’ rising interest in common law (the ‘alternative remedy’, in the language of workmen’s compensation) as being partly </w:t>
      </w:r>
      <w:r w:rsidR="00290AE3">
        <w:t>due to</w:t>
      </w:r>
      <w:r>
        <w:t xml:space="preserve"> progressive relaxation in the barriers to common law claims (including the important decision in </w:t>
      </w:r>
      <w:r>
        <w:rPr>
          <w:i/>
        </w:rPr>
        <w:t xml:space="preserve">Wilsons &amp; Clyde Coal Ltd v English </w:t>
      </w:r>
      <w:r>
        <w:t xml:space="preserve">[1938] A.C. 57), </w:t>
      </w:r>
      <w:r w:rsidR="00290AE3">
        <w:t xml:space="preserve">but </w:t>
      </w:r>
      <w:r>
        <w:t xml:space="preserve">‘perhaps, also because of the publicity given to a number of road accident cases, in which awards far in excess of those obtainable under the Workmen’s Compensation Acts, were made’ . </w:t>
      </w:r>
    </w:p>
  </w:footnote>
  <w:footnote w:id="13">
    <w:p w:rsidR="00400D3C" w:rsidRPr="00F61831" w:rsidRDefault="00400D3C" w:rsidP="00E709C6">
      <w:pPr>
        <w:pStyle w:val="FootnoteText"/>
      </w:pPr>
      <w:r>
        <w:rPr>
          <w:rStyle w:val="FootnoteReference"/>
        </w:rPr>
        <w:footnoteRef/>
      </w:r>
      <w:r>
        <w:t xml:space="preserve"> A much broader discussion of cross-fertilisation between workmen’s compensation legislation, and the common law of tort, is to be found in S. </w:t>
      </w:r>
      <w:proofErr w:type="spellStart"/>
      <w:r>
        <w:t>Deakin</w:t>
      </w:r>
      <w:proofErr w:type="spellEnd"/>
      <w:r>
        <w:t>, ‘Tort Law and Workmen’s Compensation Legislation: Competing Models?’, in TT Arvind and J. Steele (</w:t>
      </w:r>
      <w:proofErr w:type="spellStart"/>
      <w:r>
        <w:t>eds</w:t>
      </w:r>
      <w:proofErr w:type="spellEnd"/>
      <w:r>
        <w:t xml:space="preserve">), </w:t>
      </w:r>
      <w:r>
        <w:rPr>
          <w:i/>
        </w:rPr>
        <w:t>Tort Law and the Legislature: Common Law, Statute, and the Dynamics of Legal Change</w:t>
      </w:r>
      <w:r>
        <w:t xml:space="preserve"> (Hart Publishing, 2012, forthcoming). In particular, </w:t>
      </w:r>
      <w:proofErr w:type="spellStart"/>
      <w:r>
        <w:t>Deakin</w:t>
      </w:r>
      <w:proofErr w:type="spellEnd"/>
      <w:r>
        <w:t xml:space="preserve"> identifies the idea of ‘enterprise risk’ later adopted in common law as having been developed through workmen’s compensation under statute, and identifies the role of widespread insurance in making this workable. </w:t>
      </w:r>
      <w:proofErr w:type="spellStart"/>
      <w:r w:rsidR="00454BC6">
        <w:t>Deakin</w:t>
      </w:r>
      <w:proofErr w:type="spellEnd"/>
      <w:r w:rsidR="00454BC6">
        <w:t xml:space="preserve"> </w:t>
      </w:r>
      <w:proofErr w:type="gramStart"/>
      <w:r w:rsidR="00454BC6">
        <w:t xml:space="preserve">proposes </w:t>
      </w:r>
      <w:r>
        <w:t xml:space="preserve"> an</w:t>
      </w:r>
      <w:proofErr w:type="gramEnd"/>
      <w:r>
        <w:t xml:space="preserve"> influence on the doctrinal development of the law of tort, particularly through </w:t>
      </w:r>
      <w:r w:rsidR="00454BC6">
        <w:t xml:space="preserve">the idea of enterprise risk in </w:t>
      </w:r>
      <w:r>
        <w:t>vicarious liability.</w:t>
      </w:r>
    </w:p>
  </w:footnote>
  <w:footnote w:id="14">
    <w:p w:rsidR="00400D3C" w:rsidRDefault="00400D3C">
      <w:pPr>
        <w:pStyle w:val="FootnoteText"/>
      </w:pPr>
      <w:r>
        <w:rPr>
          <w:rStyle w:val="FootnoteReference"/>
        </w:rPr>
        <w:footnoteRef/>
      </w:r>
      <w:r>
        <w:t xml:space="preserve"> Third Parties (Rights Against Insurers) Act 1930. Neither is this purely a matter of history. Parliament in 2010 enacted an improved version of the 1930 Act, following Law Commission recommendations: Third Parties (Rights </w:t>
      </w:r>
      <w:proofErr w:type="gramStart"/>
      <w:r>
        <w:t>Against</w:t>
      </w:r>
      <w:proofErr w:type="gramEnd"/>
      <w:r>
        <w:t xml:space="preserve"> Insurers) Act 2010.</w:t>
      </w:r>
    </w:p>
  </w:footnote>
  <w:footnote w:id="15">
    <w:p w:rsidR="00400D3C" w:rsidRDefault="00400D3C">
      <w:pPr>
        <w:pStyle w:val="FootnoteText"/>
      </w:pPr>
      <w:r>
        <w:rPr>
          <w:rStyle w:val="FootnoteReference"/>
        </w:rPr>
        <w:footnoteRef/>
      </w:r>
      <w:r>
        <w:t xml:space="preserve"> </w:t>
      </w:r>
      <w:r w:rsidR="00290AE3">
        <w:t xml:space="preserve">The provision was proposed by the </w:t>
      </w:r>
      <w:r w:rsidR="00C624E7">
        <w:t xml:space="preserve">Royal Commission on Transport </w:t>
      </w:r>
      <w:r w:rsidR="00290AE3">
        <w:t xml:space="preserve">in its </w:t>
      </w:r>
      <w:r w:rsidR="00C624E7">
        <w:t xml:space="preserve">First Report, </w:t>
      </w:r>
      <w:r w:rsidR="00C624E7" w:rsidRPr="00CA2822">
        <w:rPr>
          <w:i/>
        </w:rPr>
        <w:t>The Control of Traffic on Roads</w:t>
      </w:r>
      <w:r w:rsidR="00C624E7">
        <w:t>, 19</w:t>
      </w:r>
      <w:r w:rsidR="00290AE3">
        <w:t>29-30 [Cmd. 3365], 1929 at [39], with the observation that:</w:t>
      </w:r>
      <w:r w:rsidR="00C624E7">
        <w:t xml:space="preserve"> “The principle that the insurance money should be earmarked for the sufferer is not a new one, as the principle has been accepted in respect of insurance under the Workmen’s Compensation Act, 1925”.</w:t>
      </w:r>
    </w:p>
  </w:footnote>
  <w:footnote w:id="16">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For an interesting argument that the law of obligations ought not to bend too readily to the “public interest”, whilst still positioning the law of obligations within the context of the rise of the regulatory state, see D Campbell, “Gathering the Water: Abuse of Rights After the Recognition of Government Failure” (2010) </w:t>
      </w:r>
      <w:r w:rsidRPr="002C7571">
        <w:rPr>
          <w:rFonts w:ascii="Times New Roman" w:hAnsi="Times New Roman"/>
          <w:i/>
        </w:rPr>
        <w:t xml:space="preserve">The Journal Jurisprudence </w:t>
      </w:r>
      <w:r w:rsidRPr="002C7571">
        <w:rPr>
          <w:rFonts w:ascii="Times New Roman" w:hAnsi="Times New Roman"/>
        </w:rPr>
        <w:t>487.</w:t>
      </w:r>
    </w:p>
  </w:footnote>
  <w:footnote w:id="17">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As </w:t>
      </w:r>
      <w:r>
        <w:rPr>
          <w:rFonts w:ascii="Times New Roman" w:hAnsi="Times New Roman"/>
        </w:rPr>
        <w:t xml:space="preserve">we have seen, </w:t>
      </w:r>
      <w:r w:rsidRPr="002C7571">
        <w:rPr>
          <w:rFonts w:ascii="Times New Roman" w:hAnsi="Times New Roman"/>
        </w:rPr>
        <w:t xml:space="preserve">Jane Stapleton </w:t>
      </w:r>
      <w:r>
        <w:rPr>
          <w:rFonts w:ascii="Times New Roman" w:hAnsi="Times New Roman"/>
        </w:rPr>
        <w:t xml:space="preserve">has argued that </w:t>
      </w:r>
      <w:r w:rsidRPr="002C7571">
        <w:rPr>
          <w:rFonts w:ascii="Times New Roman" w:hAnsi="Times New Roman"/>
        </w:rPr>
        <w:t>insurance requires “a pooling or ‘collectivisation’ of risk”</w:t>
      </w:r>
      <w:r>
        <w:rPr>
          <w:rFonts w:ascii="Times New Roman" w:hAnsi="Times New Roman"/>
        </w:rPr>
        <w:t xml:space="preserve"> (n. </w:t>
      </w:r>
      <w:r w:rsidR="00454BC6">
        <w:rPr>
          <w:rFonts w:ascii="Times New Roman" w:hAnsi="Times New Roman"/>
        </w:rPr>
        <w:t>5</w:t>
      </w:r>
      <w:r>
        <w:rPr>
          <w:rFonts w:ascii="Times New Roman" w:hAnsi="Times New Roman"/>
        </w:rPr>
        <w:t>, at 821)</w:t>
      </w:r>
      <w:r w:rsidRPr="002C7571">
        <w:rPr>
          <w:rFonts w:ascii="Times New Roman" w:hAnsi="Times New Roman"/>
        </w:rPr>
        <w:t>. Indeed this is a central thread in scholarship more generally relating to insurance. Francois Ewald, inspired by Foucault, famously discussed insurance “technology” (irrespective of its mode of delivery) as challenging the existing juridical framework and reducing the emphasis on blame and responsibility, and this has influenced socio-legal studies of risk and insurance</w:t>
      </w:r>
      <w:r>
        <w:rPr>
          <w:rFonts w:ascii="Times New Roman" w:hAnsi="Times New Roman"/>
        </w:rPr>
        <w:t xml:space="preserve">: F. </w:t>
      </w:r>
      <w:proofErr w:type="spellStart"/>
      <w:r>
        <w:rPr>
          <w:rFonts w:ascii="Times New Roman" w:hAnsi="Times New Roman"/>
        </w:rPr>
        <w:t>Ewald</w:t>
      </w:r>
      <w:proofErr w:type="spellEnd"/>
      <w:r>
        <w:rPr>
          <w:rFonts w:ascii="Times New Roman" w:hAnsi="Times New Roman"/>
        </w:rPr>
        <w:t xml:space="preserve">, </w:t>
      </w:r>
      <w:proofErr w:type="spellStart"/>
      <w:r>
        <w:rPr>
          <w:rFonts w:ascii="Times New Roman" w:hAnsi="Times New Roman"/>
          <w:i/>
        </w:rPr>
        <w:t>L’Etat</w:t>
      </w:r>
      <w:proofErr w:type="spellEnd"/>
      <w:r>
        <w:rPr>
          <w:rFonts w:ascii="Times New Roman" w:hAnsi="Times New Roman"/>
          <w:i/>
        </w:rPr>
        <w:t xml:space="preserve"> Providence </w:t>
      </w:r>
      <w:r>
        <w:rPr>
          <w:rFonts w:ascii="Times New Roman" w:hAnsi="Times New Roman"/>
        </w:rPr>
        <w:t xml:space="preserve">(Paris, </w:t>
      </w:r>
      <w:proofErr w:type="spellStart"/>
      <w:r>
        <w:rPr>
          <w:rFonts w:ascii="Times New Roman" w:hAnsi="Times New Roman"/>
        </w:rPr>
        <w:t>Grasset</w:t>
      </w:r>
      <w:proofErr w:type="spellEnd"/>
      <w:r>
        <w:rPr>
          <w:rFonts w:ascii="Times New Roman" w:hAnsi="Times New Roman"/>
        </w:rPr>
        <w:t>, 1986)</w:t>
      </w:r>
      <w:r w:rsidRPr="002C7571">
        <w:rPr>
          <w:rFonts w:ascii="Times New Roman" w:hAnsi="Times New Roman"/>
        </w:rPr>
        <w:t xml:space="preserve">. </w:t>
      </w:r>
    </w:p>
  </w:footnote>
  <w:footnote w:id="18">
    <w:p w:rsidR="00400D3C" w:rsidRPr="00C90823" w:rsidRDefault="00400D3C">
      <w:pPr>
        <w:pStyle w:val="FootnoteText"/>
      </w:pPr>
      <w:r>
        <w:rPr>
          <w:rStyle w:val="FootnoteReference"/>
        </w:rPr>
        <w:footnoteRef/>
      </w:r>
      <w:r>
        <w:t xml:space="preserve"> </w:t>
      </w:r>
      <w:r>
        <w:tab/>
        <w:t xml:space="preserve">In developing this theme, I draw on the work of Hugh Collins in </w:t>
      </w:r>
      <w:r>
        <w:rPr>
          <w:i/>
        </w:rPr>
        <w:t xml:space="preserve">Regulating Contracts </w:t>
      </w:r>
      <w:r>
        <w:t>(Oxford</w:t>
      </w:r>
      <w:r w:rsidR="005E3BAF">
        <w:t xml:space="preserve"> University Press</w:t>
      </w:r>
      <w:r>
        <w:t>,</w:t>
      </w:r>
      <w:r w:rsidR="005E3BAF">
        <w:t xml:space="preserve"> Oxford,</w:t>
      </w:r>
      <w:r>
        <w:t xml:space="preserve"> 1999): see particularly the section on ‘Illustrating the Connection’, below.</w:t>
      </w:r>
    </w:p>
  </w:footnote>
  <w:footnote w:id="19">
    <w:p w:rsidR="00400D3C" w:rsidRDefault="00400D3C">
      <w:pPr>
        <w:pStyle w:val="FootnoteText"/>
      </w:pPr>
      <w:r>
        <w:rPr>
          <w:rStyle w:val="FootnoteReference"/>
        </w:rPr>
        <w:footnoteRef/>
      </w:r>
      <w:r>
        <w:t xml:space="preserve"> </w:t>
      </w:r>
      <w:r>
        <w:tab/>
        <w:t>Hugh Collins, op cit. at 4, uses the idea of ‘insurance’ very loosely to refer to mechanisms by which (on one view of the role of the law of contract) parties can be confident that their interests are protected and which will therefore build the ‘trust’ that markets require: ‘On this view, it is not so much trust that enables transactions between strangers to occur, but rather an extensive system of sanctions that can be imposed against those who breach the rules of the game. Trust is built upon insurance.’</w:t>
      </w:r>
      <w:r w:rsidR="000B153F">
        <w:t xml:space="preserve"> Insurance here is a wide enough idea to capture the availability of legal remedies.</w:t>
      </w:r>
      <w:r>
        <w:t xml:space="preserve"> This </w:t>
      </w:r>
      <w:r w:rsidR="00CF517A">
        <w:t xml:space="preserve">emphasises </w:t>
      </w:r>
      <w:r>
        <w:t xml:space="preserve">both the idea that commercial insurance is part of a continuum of factors which will ‘assure’ the parties that their interests are adequately protected; and the important idea that this sense of security is fundamental to market activities.  </w:t>
      </w:r>
    </w:p>
  </w:footnote>
  <w:footnote w:id="20">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It has been suggested that this is partly a means of making space for an autonomous law of ‘restitution’ (or more likely now, unjust enrichment): S Hedley, “Contract, Tort and Restitution: Or, On Cutting the Legal System Down to Size” (1988) 8 </w:t>
      </w:r>
      <w:r w:rsidRPr="002C7571">
        <w:rPr>
          <w:rFonts w:ascii="Times New Roman" w:hAnsi="Times New Roman"/>
          <w:i/>
        </w:rPr>
        <w:t>Legal Studies</w:t>
      </w:r>
      <w:r w:rsidRPr="002C7571">
        <w:rPr>
          <w:rFonts w:ascii="Times New Roman" w:hAnsi="Times New Roman"/>
        </w:rPr>
        <w:t xml:space="preserve"> 137. </w:t>
      </w:r>
    </w:p>
  </w:footnote>
  <w:footnote w:id="21">
    <w:p w:rsidR="00400D3C" w:rsidRDefault="00400D3C">
      <w:pPr>
        <w:pStyle w:val="FootnoteText"/>
        <w:ind w:left="284" w:hanging="284"/>
        <w:jc w:val="both"/>
        <w:rPr>
          <w:rFonts w:ascii="Times New Roman" w:hAnsi="Times New Roman"/>
        </w:rPr>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In the terminology used some time ago by Nigel Simmonds, this would be a strategy of “resistance” to fundamental change in the character of modern law in response, in particular, to the growth of the regulatory state: NE Simmonds, “The Changing Face of Private Law: Doctrinal Categories and the Regulatory State” (1982) 2 </w:t>
      </w:r>
      <w:r w:rsidRPr="002C7571">
        <w:rPr>
          <w:rFonts w:ascii="Times New Roman" w:hAnsi="Times New Roman"/>
          <w:i/>
        </w:rPr>
        <w:t>Legal Studies</w:t>
      </w:r>
      <w:r w:rsidRPr="002C7571">
        <w:rPr>
          <w:rFonts w:ascii="Times New Roman" w:hAnsi="Times New Roman"/>
        </w:rPr>
        <w:t xml:space="preserve"> 257. As Simmonds </w:t>
      </w:r>
      <w:r>
        <w:rPr>
          <w:rFonts w:ascii="Times New Roman" w:hAnsi="Times New Roman"/>
        </w:rPr>
        <w:t xml:space="preserve">argues </w:t>
      </w:r>
      <w:r w:rsidRPr="002C7571">
        <w:rPr>
          <w:rFonts w:ascii="Times New Roman" w:hAnsi="Times New Roman"/>
        </w:rPr>
        <w:t>(at 259 (footnote omitted)):</w:t>
      </w:r>
    </w:p>
    <w:p w:rsidR="00400D3C" w:rsidRDefault="00400D3C">
      <w:pPr>
        <w:pStyle w:val="FootnoteText"/>
        <w:ind w:left="568"/>
        <w:jc w:val="both"/>
      </w:pPr>
      <w:r w:rsidRPr="002C7571">
        <w:rPr>
          <w:rFonts w:ascii="Times New Roman" w:hAnsi="Times New Roman"/>
        </w:rPr>
        <w:t xml:space="preserve">“[T]he majority of legal scholars continue to work within a framework that took shape between the seventeenth and nineteenth centuries and received its most coherent expression in the works of the Victorian treatise writers. Indeed, it is precisely the existence of a firm doctrinal base provided by this tradition that has enabled most English lawyers to proceed in their work without deliberately confronting problems of legal theory.” </w:t>
      </w:r>
    </w:p>
  </w:footnote>
  <w:footnote w:id="22">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Abraham, above n </w:t>
      </w:r>
      <w:fldSimple w:instr=" NOTEREF _Ref293145477 \h  \* MERGEFORMAT ">
        <w:r>
          <w:t>2</w:t>
        </w:r>
      </w:fldSimple>
      <w:r>
        <w:t xml:space="preserve"> at 6</w:t>
      </w:r>
      <w:r w:rsidRPr="002C7571">
        <w:rPr>
          <w:rFonts w:ascii="Times New Roman" w:hAnsi="Times New Roman"/>
        </w:rPr>
        <w:t xml:space="preserve">, explains that he spent 30 years learning insurance law in order to develop his understanding of </w:t>
      </w:r>
      <w:r>
        <w:rPr>
          <w:rFonts w:ascii="Times New Roman" w:hAnsi="Times New Roman"/>
        </w:rPr>
        <w:t>its precise</w:t>
      </w:r>
      <w:r w:rsidR="00CF517A">
        <w:rPr>
          <w:rFonts w:ascii="Times New Roman" w:hAnsi="Times New Roman"/>
        </w:rPr>
        <w:t xml:space="preserve"> </w:t>
      </w:r>
      <w:r w:rsidRPr="002C7571">
        <w:rPr>
          <w:rFonts w:ascii="Times New Roman" w:hAnsi="Times New Roman"/>
        </w:rPr>
        <w:t>impact on liability. The difficulty lies in the same detailed character of insurance law, and its diversity, which is identified immediately below.</w:t>
      </w:r>
    </w:p>
  </w:footnote>
  <w:footnote w:id="23">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In light of the point about the regulatory state just made, it is important to note that not all of insurance law is contract law, and that the </w:t>
      </w:r>
      <w:r w:rsidR="009E1F54">
        <w:rPr>
          <w:rFonts w:ascii="Times New Roman" w:hAnsi="Times New Roman"/>
        </w:rPr>
        <w:t xml:space="preserve">dominance </w:t>
      </w:r>
      <w:r w:rsidRPr="002C7571">
        <w:rPr>
          <w:rFonts w:ascii="Times New Roman" w:hAnsi="Times New Roman"/>
        </w:rPr>
        <w:t xml:space="preserve">of a transactional model of commercial law is in any case one of the themes touched on by this paper. Both J Lowry and P Rawlings, </w:t>
      </w:r>
      <w:r w:rsidRPr="002C7571">
        <w:rPr>
          <w:rFonts w:ascii="Times New Roman" w:hAnsi="Times New Roman"/>
          <w:i/>
        </w:rPr>
        <w:t xml:space="preserve">Insurance Law: Doctrines and Principles </w:t>
      </w:r>
      <w:r w:rsidRPr="002C7571">
        <w:rPr>
          <w:rFonts w:ascii="Times New Roman" w:hAnsi="Times New Roman"/>
        </w:rPr>
        <w:t xml:space="preserve">(2nd ed, Hart Publishing, </w:t>
      </w:r>
      <w:smartTag w:uri="urn:schemas-microsoft-com:office:smarttags" w:element="City">
        <w:r w:rsidRPr="002C7571">
          <w:rPr>
            <w:rFonts w:ascii="Times New Roman" w:hAnsi="Times New Roman"/>
          </w:rPr>
          <w:t>Oxford</w:t>
        </w:r>
      </w:smartTag>
      <w:r w:rsidRPr="002C7571">
        <w:rPr>
          <w:rFonts w:ascii="Times New Roman" w:hAnsi="Times New Roman"/>
        </w:rPr>
        <w:t xml:space="preserve">, 2005), and J Birds, </w:t>
      </w:r>
      <w:r w:rsidRPr="002C7571">
        <w:rPr>
          <w:rFonts w:ascii="Times New Roman" w:hAnsi="Times New Roman"/>
          <w:i/>
        </w:rPr>
        <w:t xml:space="preserve">Birds’ Modern Insurance Law </w:t>
      </w:r>
      <w:r w:rsidRPr="002C7571">
        <w:rPr>
          <w:rFonts w:ascii="Times New Roman" w:hAnsi="Times New Roman"/>
        </w:rPr>
        <w:t xml:space="preserve">(8th ed, Sweet &amp; Maxwell, London, 2010), introduce regulation of insurance business in their second chapter. The title of M Clarke, </w:t>
      </w:r>
      <w:r w:rsidRPr="002C7571">
        <w:rPr>
          <w:rFonts w:ascii="Times New Roman" w:hAnsi="Times New Roman"/>
          <w:i/>
        </w:rPr>
        <w:t xml:space="preserve">Policies and Perceptions of Insurance Law in the Twenty-First Century </w:t>
      </w:r>
      <w:r w:rsidRPr="002C7571">
        <w:rPr>
          <w:rFonts w:ascii="Times New Roman" w:hAnsi="Times New Roman"/>
        </w:rPr>
        <w:t xml:space="preserve">(Oxford University Press, </w:t>
      </w:r>
      <w:smartTag w:uri="urn:schemas-microsoft-com:office:smarttags" w:element="place">
        <w:smartTag w:uri="urn:schemas-microsoft-com:office:smarttags" w:element="City">
          <w:r w:rsidRPr="002C7571">
            <w:rPr>
              <w:rFonts w:ascii="Times New Roman" w:hAnsi="Times New Roman"/>
            </w:rPr>
            <w:t>Oxford</w:t>
          </w:r>
        </w:smartTag>
      </w:smartTag>
      <w:r w:rsidRPr="002C7571">
        <w:rPr>
          <w:rFonts w:ascii="Times New Roman" w:hAnsi="Times New Roman"/>
        </w:rPr>
        <w:t>, 2005), includes a punning reference to the role of policy in insurance law.</w:t>
      </w:r>
    </w:p>
  </w:footnote>
  <w:footnote w:id="24">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r>
      <w:proofErr w:type="gramStart"/>
      <w:r w:rsidRPr="002C7571">
        <w:rPr>
          <w:rFonts w:ascii="Times New Roman" w:hAnsi="Times New Roman"/>
        </w:rPr>
        <w:t xml:space="preserve">J Lowry and P Rawlings, “Insurers, Claims and the Boundaries of Good Faith” (2005) 68 </w:t>
      </w:r>
      <w:r w:rsidRPr="002C7571">
        <w:rPr>
          <w:rFonts w:ascii="Times New Roman" w:hAnsi="Times New Roman"/>
          <w:i/>
        </w:rPr>
        <w:t>Modern Law Review</w:t>
      </w:r>
      <w:r w:rsidRPr="002C7571">
        <w:rPr>
          <w:rFonts w:ascii="Times New Roman" w:hAnsi="Times New Roman"/>
        </w:rPr>
        <w:t xml:space="preserve"> 82.</w:t>
      </w:r>
      <w:proofErr w:type="gramEnd"/>
      <w:r w:rsidRPr="002C7571">
        <w:rPr>
          <w:rFonts w:ascii="Times New Roman" w:hAnsi="Times New Roman"/>
        </w:rPr>
        <w:t xml:space="preserve"> They cite J Beatson, </w:t>
      </w:r>
      <w:r w:rsidRPr="002C7571">
        <w:rPr>
          <w:rFonts w:ascii="Times New Roman" w:hAnsi="Times New Roman"/>
          <w:i/>
        </w:rPr>
        <w:t xml:space="preserve">Anson’s Law of Contract </w:t>
      </w:r>
      <w:r w:rsidRPr="002C7571">
        <w:rPr>
          <w:rFonts w:ascii="Times New Roman" w:hAnsi="Times New Roman"/>
        </w:rPr>
        <w:t xml:space="preserve">(28th ed, Oxford University Press, </w:t>
      </w:r>
      <w:smartTag w:uri="urn:schemas-microsoft-com:office:smarttags" w:element="place">
        <w:smartTag w:uri="urn:schemas-microsoft-com:office:smarttags" w:element="City">
          <w:r w:rsidRPr="002C7571">
            <w:rPr>
              <w:rFonts w:ascii="Times New Roman" w:hAnsi="Times New Roman"/>
            </w:rPr>
            <w:t>Oxford</w:t>
          </w:r>
        </w:smartTag>
      </w:smartTag>
      <w:r w:rsidRPr="002C7571">
        <w:rPr>
          <w:rFonts w:ascii="Times New Roman" w:hAnsi="Times New Roman"/>
        </w:rPr>
        <w:t>, 2002) at 20 as symptomatic of a general view in this regard.</w:t>
      </w:r>
    </w:p>
  </w:footnote>
  <w:footnote w:id="25">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For example “relational contracting” studies have tended to focus on issues of trust and to emphasise the relative unimportance, within continuing relationships, of reliance on express contractual terms. A widely cited early study is H Beale and T Dugdale, “Contracts Between Businessmen: Planning and the Use of Contractual Remedies” (1975) 2 </w:t>
      </w:r>
      <w:r w:rsidRPr="002C7571">
        <w:rPr>
          <w:rFonts w:ascii="Times New Roman" w:hAnsi="Times New Roman"/>
          <w:i/>
        </w:rPr>
        <w:t xml:space="preserve">British Journal of Law and Society </w:t>
      </w:r>
      <w:r w:rsidRPr="002C7571">
        <w:rPr>
          <w:rFonts w:ascii="Times New Roman" w:hAnsi="Times New Roman"/>
        </w:rPr>
        <w:t xml:space="preserve">45. For emphasis of the point that “relational contract theory” is a means of analysing relationships and that there is no one type of relationship that is assumed by this school of analysis, see IR Macneil, “Reflections on Relational Contract Theory After a Neo-classical Seminar” in D Campbell, H Collins and J Wightman (eds), </w:t>
      </w:r>
      <w:r w:rsidRPr="002C7571">
        <w:rPr>
          <w:rFonts w:ascii="Times New Roman" w:hAnsi="Times New Roman"/>
          <w:i/>
        </w:rPr>
        <w:t xml:space="preserve">Implicit Dimensions of Contract: Discrete, Relational, and Network Contracts </w:t>
      </w:r>
      <w:r w:rsidRPr="002C7571">
        <w:rPr>
          <w:rFonts w:ascii="Times New Roman" w:hAnsi="Times New Roman"/>
        </w:rPr>
        <w:t xml:space="preserve">(Hart Publishing, Oxford, 2003) at ch 7. </w:t>
      </w:r>
    </w:p>
  </w:footnote>
  <w:footnote w:id="26">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It is not always possible to state clearly whether this is the case. A probable example is </w:t>
      </w:r>
      <w:r w:rsidRPr="002C7571">
        <w:rPr>
          <w:rFonts w:ascii="Times New Roman" w:hAnsi="Times New Roman"/>
          <w:i/>
        </w:rPr>
        <w:t xml:space="preserve">Stone &amp; Rolls Ltd v Moore Stephens </w:t>
      </w:r>
      <w:r w:rsidRPr="002C7571">
        <w:rPr>
          <w:rFonts w:ascii="Times New Roman" w:hAnsi="Times New Roman"/>
        </w:rPr>
        <w:t>[2009] UKHL 39; [2009] 3 WLR 455; [2009] 4 All ER 431. Here, the two relevant insurance policies are likely to have been the professional indemnity insurance of the defendant auditors (covering negligence liability), and the bank’s “Banker’s Blanket Bond” insurance, concerned with protecting the bank against first party losses in respect of loss of property or fraud. If the bank did have such insurance (as is likely), then the action may well have been instigated by its insurers exercising subrogation rights. This is not reflected in the reasoning of the House, but the question of who is exposed to loss in the event of liability or no liability might be considered highly relevant to an area of law (</w:t>
      </w:r>
      <w:r w:rsidRPr="002C7571">
        <w:rPr>
          <w:rFonts w:ascii="Times New Roman" w:hAnsi="Times New Roman"/>
          <w:i/>
        </w:rPr>
        <w:t>ex turpi causa non oritur actio</w:t>
      </w:r>
      <w:r w:rsidRPr="002C7571">
        <w:rPr>
          <w:rFonts w:ascii="Times New Roman" w:hAnsi="Times New Roman"/>
        </w:rPr>
        <w:t xml:space="preserve">) in which public policy and unconscionability are thought to be engaged. Or, if it is not considered relevant, some of the reasoning to which tort law can incline is rendered “fictional” (a point made by Kirby J in </w:t>
      </w:r>
      <w:r w:rsidRPr="002C7571">
        <w:rPr>
          <w:rFonts w:ascii="Times New Roman" w:hAnsi="Times New Roman"/>
          <w:i/>
        </w:rPr>
        <w:t xml:space="preserve">Imbree v McNeilly </w:t>
      </w:r>
      <w:r w:rsidRPr="002C7571">
        <w:rPr>
          <w:rFonts w:ascii="Times New Roman" w:hAnsi="Times New Roman"/>
        </w:rPr>
        <w:t xml:space="preserve">[2008] HCA 40; (2008) 236 CLR 510 at 554 [112]. </w:t>
      </w:r>
    </w:p>
  </w:footnote>
  <w:footnote w:id="27">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Some writers dislike </w:t>
      </w:r>
      <w:r>
        <w:rPr>
          <w:rFonts w:ascii="Times New Roman" w:hAnsi="Times New Roman"/>
        </w:rPr>
        <w:t xml:space="preserve">the existence of </w:t>
      </w:r>
      <w:r w:rsidRPr="002C7571">
        <w:rPr>
          <w:rFonts w:ascii="Times New Roman" w:hAnsi="Times New Roman"/>
        </w:rPr>
        <w:t>concurrent liability and see it as unprincipled.</w:t>
      </w:r>
      <w:r>
        <w:rPr>
          <w:rFonts w:ascii="Times New Roman" w:hAnsi="Times New Roman"/>
        </w:rPr>
        <w:t xml:space="preserve"> Peter Cane for example has argued that “Concurrency of causes of action, to the extent that it allows different remedial regimes to apply to identical ensembles of protected interest and sanctioned conduct, should be abolished”: P. Cane, </w:t>
      </w:r>
      <w:r>
        <w:rPr>
          <w:rFonts w:ascii="Times New Roman" w:hAnsi="Times New Roman"/>
          <w:i/>
        </w:rPr>
        <w:t xml:space="preserve">The Anatomy of Tort Law </w:t>
      </w:r>
      <w:r>
        <w:rPr>
          <w:rFonts w:ascii="Times New Roman" w:hAnsi="Times New Roman"/>
        </w:rPr>
        <w:t>(1997, Hart Publishing), at 200.</w:t>
      </w:r>
      <w:r w:rsidRPr="002C7571">
        <w:rPr>
          <w:rFonts w:ascii="Times New Roman" w:hAnsi="Times New Roman"/>
        </w:rPr>
        <w:t xml:space="preserve"> It is important to note that </w:t>
      </w:r>
      <w:r>
        <w:rPr>
          <w:rFonts w:ascii="Times New Roman" w:hAnsi="Times New Roman"/>
        </w:rPr>
        <w:t>the incentive for concurrent duties to develop, and for claimants to seek to establish</w:t>
      </w:r>
      <w:r w:rsidRPr="002C7571">
        <w:rPr>
          <w:rFonts w:ascii="Times New Roman" w:hAnsi="Times New Roman"/>
        </w:rPr>
        <w:t xml:space="preserve"> tort liabilit</w:t>
      </w:r>
      <w:r>
        <w:rPr>
          <w:rFonts w:ascii="Times New Roman" w:hAnsi="Times New Roman"/>
        </w:rPr>
        <w:t>ies</w:t>
      </w:r>
      <w:r w:rsidRPr="002C7571">
        <w:rPr>
          <w:rFonts w:ascii="Times New Roman" w:hAnsi="Times New Roman"/>
        </w:rPr>
        <w:t xml:space="preserve"> in what appears to be a contractual context, </w:t>
      </w:r>
      <w:r>
        <w:rPr>
          <w:rFonts w:ascii="Times New Roman" w:hAnsi="Times New Roman"/>
        </w:rPr>
        <w:t xml:space="preserve">is sometimes to be found in </w:t>
      </w:r>
      <w:r w:rsidRPr="002C7571">
        <w:rPr>
          <w:rFonts w:ascii="Times New Roman" w:hAnsi="Times New Roman"/>
        </w:rPr>
        <w:t>insurance</w:t>
      </w:r>
      <w:r>
        <w:rPr>
          <w:rFonts w:ascii="Times New Roman" w:hAnsi="Times New Roman"/>
        </w:rPr>
        <w:t xml:space="preserve"> structures</w:t>
      </w:r>
      <w:r w:rsidRPr="002C7571">
        <w:rPr>
          <w:rFonts w:ascii="Times New Roman" w:hAnsi="Times New Roman"/>
        </w:rPr>
        <w:t xml:space="preserve"> </w:t>
      </w:r>
      <w:r>
        <w:rPr>
          <w:rFonts w:ascii="Times New Roman" w:hAnsi="Times New Roman"/>
        </w:rPr>
        <w:t xml:space="preserve">and not solely in technical legal factors such as </w:t>
      </w:r>
      <w:r w:rsidRPr="002C7571">
        <w:rPr>
          <w:rFonts w:ascii="Times New Roman" w:hAnsi="Times New Roman"/>
        </w:rPr>
        <w:t>the rules of limitation</w:t>
      </w:r>
      <w:r>
        <w:rPr>
          <w:rFonts w:ascii="Times New Roman" w:hAnsi="Times New Roman"/>
        </w:rPr>
        <w:t xml:space="preserve"> (as, for example, in </w:t>
      </w:r>
      <w:r>
        <w:rPr>
          <w:rFonts w:ascii="Times New Roman" w:hAnsi="Times New Roman"/>
          <w:i/>
        </w:rPr>
        <w:t xml:space="preserve">Henderson v </w:t>
      </w:r>
      <w:proofErr w:type="spellStart"/>
      <w:r>
        <w:rPr>
          <w:rFonts w:ascii="Times New Roman" w:hAnsi="Times New Roman"/>
          <w:i/>
        </w:rPr>
        <w:t>Merrett</w:t>
      </w:r>
      <w:proofErr w:type="spellEnd"/>
      <w:r>
        <w:rPr>
          <w:rFonts w:ascii="Times New Roman" w:hAnsi="Times New Roman"/>
          <w:i/>
        </w:rPr>
        <w:t xml:space="preserve"> </w:t>
      </w:r>
      <w:r>
        <w:rPr>
          <w:rFonts w:ascii="Times New Roman" w:hAnsi="Times New Roman"/>
        </w:rPr>
        <w:t>[1995] 2 A.C. 145)</w:t>
      </w:r>
      <w:r w:rsidRPr="002C7571">
        <w:rPr>
          <w:rFonts w:ascii="Times New Roman" w:hAnsi="Times New Roman"/>
        </w:rPr>
        <w:t>. In particular, professional liability insurance contracts typically exclude cover for breach of contract, but include cover for tortious liability for negligence. This is an important reason why negligence duties in the context of professional negligence are so significant</w:t>
      </w:r>
      <w:r w:rsidR="00CF517A">
        <w:rPr>
          <w:rFonts w:ascii="Times New Roman" w:hAnsi="Times New Roman"/>
        </w:rPr>
        <w:t>, and shows the influence of contractual structures between insurer and insured on claims brought by a tort claimant, against the insured</w:t>
      </w:r>
      <w:r w:rsidRPr="002C7571">
        <w:rPr>
          <w:rFonts w:ascii="Times New Roman" w:hAnsi="Times New Roman"/>
        </w:rPr>
        <w:t>.</w:t>
      </w:r>
    </w:p>
  </w:footnote>
  <w:footnote w:id="28">
    <w:p w:rsidR="00400D3C" w:rsidRDefault="00400D3C" w:rsidP="00DA34B6">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[1990] 1 AC 831 (HL). </w:t>
      </w:r>
    </w:p>
  </w:footnote>
  <w:footnote w:id="29">
    <w:p w:rsidR="00400D3C" w:rsidRDefault="00400D3C">
      <w:pPr>
        <w:pStyle w:val="FootnoteText"/>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r>
      <w:proofErr w:type="gramStart"/>
      <w:r w:rsidR="005E3BAF">
        <w:rPr>
          <w:rFonts w:ascii="Times New Roman" w:hAnsi="Times New Roman"/>
        </w:rPr>
        <w:t>n.17</w:t>
      </w:r>
      <w:proofErr w:type="gramEnd"/>
      <w:r w:rsidR="005E3BAF">
        <w:rPr>
          <w:rFonts w:ascii="Times New Roman" w:hAnsi="Times New Roman"/>
        </w:rPr>
        <w:t xml:space="preserve"> </w:t>
      </w:r>
      <w:r w:rsidRPr="002C7571">
        <w:rPr>
          <w:rFonts w:ascii="Times New Roman" w:hAnsi="Times New Roman"/>
        </w:rPr>
        <w:t>at 73-74.</w:t>
      </w:r>
    </w:p>
  </w:footnote>
  <w:footnote w:id="30">
    <w:p w:rsidR="00400D3C" w:rsidRDefault="00400D3C">
      <w:pPr>
        <w:pStyle w:val="FootnoteText"/>
      </w:pPr>
      <w:r>
        <w:rPr>
          <w:rStyle w:val="FootnoteReference"/>
        </w:rPr>
        <w:footnoteRef/>
      </w:r>
      <w:r>
        <w:t xml:space="preserve"> </w:t>
      </w:r>
      <w:r>
        <w:tab/>
      </w:r>
      <w:proofErr w:type="gramStart"/>
      <w:r w:rsidR="005E3BAF">
        <w:t>n. 17</w:t>
      </w:r>
      <w:r>
        <w:t xml:space="preserve"> Chapter</w:t>
      </w:r>
      <w:proofErr w:type="gramEnd"/>
      <w:r>
        <w:t xml:space="preserve"> 4, ‘The Capacity of Private Law’.</w:t>
      </w:r>
    </w:p>
  </w:footnote>
  <w:footnote w:id="31">
    <w:p w:rsidR="009E1F54" w:rsidRPr="009E1F54" w:rsidRDefault="009E1F54">
      <w:pPr>
        <w:pStyle w:val="FootnoteText"/>
      </w:pPr>
      <w:r>
        <w:rPr>
          <w:rStyle w:val="FootnoteReference"/>
        </w:rPr>
        <w:footnoteRef/>
      </w:r>
      <w:r>
        <w:t xml:space="preserve"> Stapleton, n.5, also discusses </w:t>
      </w:r>
      <w:r>
        <w:rPr>
          <w:i/>
        </w:rPr>
        <w:t>Smith v Bush</w:t>
      </w:r>
      <w:r>
        <w:t xml:space="preserve">. </w:t>
      </w:r>
      <w:r w:rsidR="00BE62D0">
        <w:t xml:space="preserve">She is not concerned with </w:t>
      </w:r>
      <w:r>
        <w:t xml:space="preserve">the potential of private law for regulating transactions, </w:t>
      </w:r>
      <w:r w:rsidR="00BE62D0">
        <w:t>but</w:t>
      </w:r>
      <w:r>
        <w:t xml:space="preserve"> suggests that the presentation of </w:t>
      </w:r>
      <w:r w:rsidR="00BE62D0">
        <w:t xml:space="preserve">inflexible </w:t>
      </w:r>
      <w:r>
        <w:t>standard terms to the claimant removes a policy reason against liability (broadly</w:t>
      </w:r>
      <w:r w:rsidR="00BE62D0">
        <w:t>,</w:t>
      </w:r>
      <w:r>
        <w:t xml:space="preserve"> ‘free-riding’)</w:t>
      </w:r>
      <w:r w:rsidR="00ED0E7F">
        <w:t xml:space="preserve">: at 840. This exemplifies her core concern with first party insurance and associated ideologies. It is worth mentioning that realistically, alternative routes to security for the claimant here would take </w:t>
      </w:r>
      <w:proofErr w:type="spellStart"/>
      <w:r w:rsidR="00ED0E7F">
        <w:t>take</w:t>
      </w:r>
      <w:proofErr w:type="spellEnd"/>
      <w:r w:rsidR="00ED0E7F">
        <w:t xml:space="preserve"> the form of independent advice and therefore potential access to another source of liability insurance.</w:t>
      </w:r>
    </w:p>
  </w:footnote>
  <w:footnote w:id="32">
    <w:p w:rsidR="00400D3C" w:rsidRPr="00C347A2" w:rsidRDefault="00400D3C">
      <w:pPr>
        <w:pStyle w:val="FootnoteText"/>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r>
      <w:proofErr w:type="gramStart"/>
      <w:r w:rsidRPr="002C7571">
        <w:rPr>
          <w:rFonts w:ascii="Times New Roman" w:hAnsi="Times New Roman"/>
        </w:rPr>
        <w:t xml:space="preserve">Above n </w:t>
      </w:r>
      <w:fldSimple w:instr=" NOTEREF _Ref293597246 \h  \* MERGEFORMAT ">
        <w:r w:rsidR="0065662B" w:rsidRPr="00CA2822">
          <w:rPr>
            <w:rFonts w:ascii="Times New Roman" w:hAnsi="Times New Roman"/>
          </w:rPr>
          <w:t>25</w:t>
        </w:r>
      </w:fldSimple>
      <w:r w:rsidRPr="002C7571">
        <w:rPr>
          <w:rFonts w:ascii="Times New Roman" w:hAnsi="Times New Roman"/>
        </w:rPr>
        <w:t xml:space="preserve"> at 854.</w:t>
      </w:r>
      <w:proofErr w:type="gramEnd"/>
      <w:r>
        <w:rPr>
          <w:rFonts w:ascii="Times New Roman" w:hAnsi="Times New Roman"/>
        </w:rPr>
        <w:t xml:space="preserve"> It might be noted that </w:t>
      </w:r>
      <w:r>
        <w:rPr>
          <w:rFonts w:ascii="Times New Roman" w:hAnsi="Times New Roman"/>
          <w:i/>
        </w:rPr>
        <w:t xml:space="preserve">Smith v Bush </w:t>
      </w:r>
      <w:r>
        <w:rPr>
          <w:rFonts w:ascii="Times New Roman" w:hAnsi="Times New Roman"/>
        </w:rPr>
        <w:t xml:space="preserve">slightly predates the introduction of the </w:t>
      </w:r>
      <w:proofErr w:type="spellStart"/>
      <w:r>
        <w:rPr>
          <w:rFonts w:ascii="Times New Roman" w:hAnsi="Times New Roman"/>
          <w:i/>
        </w:rPr>
        <w:t>Caparo</w:t>
      </w:r>
      <w:proofErr w:type="spellEnd"/>
      <w:r>
        <w:rPr>
          <w:rFonts w:ascii="Times New Roman" w:hAnsi="Times New Roman"/>
          <w:i/>
        </w:rPr>
        <w:t xml:space="preserve"> </w:t>
      </w:r>
      <w:r>
        <w:rPr>
          <w:rFonts w:ascii="Times New Roman" w:hAnsi="Times New Roman"/>
        </w:rPr>
        <w:t xml:space="preserve">test with its adoption of a ‘fair, just and reasonable’ criterion: </w:t>
      </w:r>
      <w:proofErr w:type="spellStart"/>
      <w:r>
        <w:rPr>
          <w:rFonts w:ascii="Times New Roman" w:hAnsi="Times New Roman"/>
          <w:i/>
        </w:rPr>
        <w:t>Caparo</w:t>
      </w:r>
      <w:proofErr w:type="spellEnd"/>
      <w:r>
        <w:rPr>
          <w:rFonts w:ascii="Times New Roman" w:hAnsi="Times New Roman"/>
          <w:i/>
        </w:rPr>
        <w:t xml:space="preserve"> v </w:t>
      </w:r>
      <w:proofErr w:type="spellStart"/>
      <w:r>
        <w:rPr>
          <w:rFonts w:ascii="Times New Roman" w:hAnsi="Times New Roman"/>
          <w:i/>
        </w:rPr>
        <w:t>Dickman</w:t>
      </w:r>
      <w:proofErr w:type="spellEnd"/>
      <w:r>
        <w:rPr>
          <w:rFonts w:ascii="Times New Roman" w:hAnsi="Times New Roman"/>
          <w:i/>
        </w:rPr>
        <w:t xml:space="preserve"> </w:t>
      </w:r>
      <w:r>
        <w:rPr>
          <w:rFonts w:ascii="Times New Roman" w:hAnsi="Times New Roman"/>
        </w:rPr>
        <w:t xml:space="preserve">[1990] 2 A.C. 605. Fairness and reasonableness are however key terms in the Unfair Contract Terms Act 1977, which was also in issue in </w:t>
      </w:r>
      <w:r>
        <w:rPr>
          <w:rFonts w:ascii="Times New Roman" w:hAnsi="Times New Roman"/>
          <w:i/>
        </w:rPr>
        <w:t>Smith v Bush</w:t>
      </w:r>
      <w:r>
        <w:rPr>
          <w:rFonts w:ascii="Times New Roman" w:hAnsi="Times New Roman"/>
        </w:rPr>
        <w:t>.</w:t>
      </w:r>
      <w:r w:rsidR="009E1F54">
        <w:rPr>
          <w:rFonts w:ascii="Times New Roman" w:hAnsi="Times New Roman"/>
        </w:rPr>
        <w:t xml:space="preserve"> Even in this case, where the idea of ‘assumption of responsibility’ was treated as irrelevant, the link between duty of care concepts, and contractual concepts, is close.</w:t>
      </w:r>
    </w:p>
  </w:footnote>
  <w:footnote w:id="33">
    <w:p w:rsidR="00400D3C" w:rsidRDefault="00400D3C">
      <w:pPr>
        <w:pStyle w:val="FootnoteText"/>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Collins, above n </w:t>
      </w:r>
      <w:r w:rsidR="005E3BAF">
        <w:rPr>
          <w:rFonts w:ascii="Times New Roman" w:hAnsi="Times New Roman"/>
        </w:rPr>
        <w:t>17</w:t>
      </w:r>
      <w:fldSimple w:instr=" NOTEREF _Ref293598194 \h  \* MERGEFORMAT ">
        <w:r w:rsidR="0065662B" w:rsidRPr="00CA2822">
          <w:rPr>
            <w:rFonts w:ascii="Times New Roman" w:hAnsi="Times New Roman"/>
          </w:rPr>
          <w:t>26</w:t>
        </w:r>
      </w:fldSimple>
      <w:r w:rsidRPr="002C7571">
        <w:rPr>
          <w:rFonts w:ascii="Times New Roman" w:hAnsi="Times New Roman"/>
        </w:rPr>
        <w:t xml:space="preserve"> at 23-24. </w:t>
      </w:r>
    </w:p>
  </w:footnote>
  <w:footnote w:id="34">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[2010] EWCA Civ 1096; [2011] 1 All ER 605. This litigation concerns the date at which such policies are “triggered” in respect of </w:t>
      </w:r>
      <w:r w:rsidRPr="002C7571">
        <w:rPr>
          <w:rFonts w:ascii="Times New Roman" w:hAnsi="Times New Roman"/>
          <w:i/>
        </w:rPr>
        <w:t xml:space="preserve">Fairchild </w:t>
      </w:r>
      <w:r w:rsidRPr="002C7571">
        <w:rPr>
          <w:rFonts w:ascii="Times New Roman" w:hAnsi="Times New Roman"/>
        </w:rPr>
        <w:t>liabilities, and will be heard by the United Kingdom Supreme Court in December 2011.</w:t>
      </w:r>
    </w:p>
  </w:footnote>
  <w:footnote w:id="35">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The expression “public law in disguise” is taken of course from L Green, “Tort Law Public Law in Disguise?” (1959) 38 </w:t>
      </w:r>
      <w:r w:rsidRPr="002C7571">
        <w:rPr>
          <w:rFonts w:ascii="Times New Roman" w:hAnsi="Times New Roman"/>
          <w:i/>
        </w:rPr>
        <w:t xml:space="preserve">Texas Law Review </w:t>
      </w:r>
      <w:r w:rsidRPr="002C7571">
        <w:rPr>
          <w:rFonts w:ascii="Times New Roman" w:hAnsi="Times New Roman"/>
        </w:rPr>
        <w:t>1. Green however was not uniquely or even centrally concerned with insurance, and certainly not with the idea that tort “is” insurance, though he did incorporate a wide-ranging discussion of risks and responsibility for them. Cases raising insurance issues were among these, but the focus of his attack was pure doctrinal exposition.</w:t>
      </w:r>
      <w:r>
        <w:rPr>
          <w:rFonts w:ascii="Times New Roman" w:hAnsi="Times New Roman"/>
        </w:rPr>
        <w:t xml:space="preserve"> The difference between Green’s approach, and Collins’ consideration of private law as a means of regulation, could be said to lie in Collins’ acceptance that private law discourse must have closure rules; but that these closure rules may be developed so that they are sufficiently flexible to allow the absorption of much outcome-focused reasoning.</w:t>
      </w:r>
    </w:p>
  </w:footnote>
  <w:footnote w:id="36">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This purpose can be demonstrated by the sequence of legislative interventions aimed at securing or extending compensation for </w:t>
      </w:r>
      <w:proofErr w:type="spellStart"/>
      <w:r w:rsidRPr="002C7571">
        <w:rPr>
          <w:rFonts w:ascii="Times New Roman" w:hAnsi="Times New Roman"/>
        </w:rPr>
        <w:t>tortiously</w:t>
      </w:r>
      <w:proofErr w:type="spellEnd"/>
      <w:r w:rsidRPr="002C7571">
        <w:rPr>
          <w:rFonts w:ascii="Times New Roman" w:hAnsi="Times New Roman"/>
        </w:rPr>
        <w:t xml:space="preserve"> caused harms.</w:t>
      </w:r>
    </w:p>
  </w:footnote>
  <w:footnote w:id="37">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I notice the terms of reference of the Australian </w:t>
      </w:r>
      <w:r w:rsidRPr="002C7571">
        <w:rPr>
          <w:rFonts w:ascii="Times New Roman" w:hAnsi="Times New Roman"/>
          <w:i/>
        </w:rPr>
        <w:t xml:space="preserve">Ipp Report </w:t>
      </w:r>
      <w:r w:rsidRPr="002C7571">
        <w:rPr>
          <w:rFonts w:ascii="Times New Roman" w:hAnsi="Times New Roman"/>
        </w:rPr>
        <w:t xml:space="preserve">(Commonwealth of Australia, </w:t>
      </w:r>
      <w:r w:rsidRPr="002C7571">
        <w:rPr>
          <w:rFonts w:ascii="Times New Roman" w:hAnsi="Times New Roman"/>
          <w:i/>
        </w:rPr>
        <w:t>Review of the Law of Negligence: Final Report</w:t>
      </w:r>
      <w:r w:rsidRPr="002C7571">
        <w:rPr>
          <w:rFonts w:ascii="Times New Roman" w:hAnsi="Times New Roman"/>
        </w:rPr>
        <w:t xml:space="preserve"> (Canprint Communications, Canberra, 2002), which were set by a Committee of Ministers: these begin with a statement that “The award of damages for personal injury has become unaffordable and unsustainable as the principal source of compensation for those injured through the fault of another”</w:t>
      </w:r>
      <w:r>
        <w:rPr>
          <w:rFonts w:ascii="Times New Roman" w:hAnsi="Times New Roman"/>
        </w:rPr>
        <w:t xml:space="preserve"> (at ix)</w:t>
      </w:r>
      <w:r w:rsidRPr="002C7571">
        <w:rPr>
          <w:rFonts w:ascii="Times New Roman" w:hAnsi="Times New Roman"/>
        </w:rPr>
        <w:t xml:space="preserve">. Apart from starting with a conclusion (a feature shared with the </w:t>
      </w:r>
      <w:r w:rsidRPr="002C7571">
        <w:rPr>
          <w:rFonts w:ascii="Times New Roman" w:hAnsi="Times New Roman"/>
          <w:i/>
        </w:rPr>
        <w:t>Young Review</w:t>
      </w:r>
      <w:r w:rsidRPr="002C7571">
        <w:rPr>
          <w:rFonts w:ascii="Times New Roman" w:hAnsi="Times New Roman"/>
        </w:rPr>
        <w:t xml:space="preserve"> in the United Kingdom (above n </w:t>
      </w:r>
      <w:fldSimple w:instr=" NOTEREF _Ref293145477 \h  \* MERGEFORMAT ">
        <w:r>
          <w:t>2</w:t>
        </w:r>
      </w:fldSimple>
      <w:r w:rsidRPr="002C7571">
        <w:rPr>
          <w:rFonts w:ascii="Times New Roman" w:hAnsi="Times New Roman"/>
        </w:rPr>
        <w:t xml:space="preserve">), judging from the Prime Minister’s </w:t>
      </w:r>
      <w:r>
        <w:rPr>
          <w:rFonts w:ascii="Times New Roman" w:hAnsi="Times New Roman"/>
        </w:rPr>
        <w:t>Foreword</w:t>
      </w:r>
      <w:r w:rsidRPr="002C7571">
        <w:rPr>
          <w:rFonts w:ascii="Times New Roman" w:hAnsi="Times New Roman"/>
        </w:rPr>
        <w:t xml:space="preserve">), this also illustrates acceptance, at a political level, of the goal of compensation. </w:t>
      </w:r>
    </w:p>
  </w:footnote>
  <w:footnote w:id="38">
    <w:p w:rsidR="00400D3C" w:rsidRDefault="00400D3C">
      <w:pPr>
        <w:pStyle w:val="FootnoteText"/>
      </w:pPr>
      <w:r>
        <w:rPr>
          <w:rStyle w:val="FootnoteReference"/>
        </w:rPr>
        <w:footnoteRef/>
      </w:r>
      <w:r>
        <w:t xml:space="preserve"> Note the loose use of “insurance” as underpinning trust by Collins, n. </w:t>
      </w:r>
      <w:r w:rsidR="005E3BAF">
        <w:t>17</w:t>
      </w:r>
      <w:r>
        <w:t>.</w:t>
      </w:r>
    </w:p>
  </w:footnote>
  <w:footnote w:id="39">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Although insurance is discussed as playing an important role in the support of sales contracts and international sales, insurance contracts are not dealt with as a separate category in </w:t>
      </w:r>
      <w:r>
        <w:rPr>
          <w:rFonts w:ascii="Times New Roman" w:hAnsi="Times New Roman"/>
        </w:rPr>
        <w:t xml:space="preserve">E </w:t>
      </w:r>
      <w:r w:rsidRPr="002C7571">
        <w:rPr>
          <w:rFonts w:ascii="Times New Roman" w:hAnsi="Times New Roman"/>
        </w:rPr>
        <w:t>McKendrick</w:t>
      </w:r>
      <w:r>
        <w:rPr>
          <w:rFonts w:ascii="Times New Roman" w:hAnsi="Times New Roman"/>
        </w:rPr>
        <w:t xml:space="preserve"> (ed)</w:t>
      </w:r>
      <w:r w:rsidRPr="002C7571">
        <w:rPr>
          <w:rFonts w:ascii="Times New Roman" w:hAnsi="Times New Roman"/>
        </w:rPr>
        <w:t xml:space="preserve">, </w:t>
      </w:r>
      <w:r w:rsidRPr="002C7571">
        <w:rPr>
          <w:rFonts w:ascii="Times New Roman" w:hAnsi="Times New Roman"/>
          <w:i/>
        </w:rPr>
        <w:t xml:space="preserve">Goode on Commercial Law </w:t>
      </w:r>
      <w:r w:rsidRPr="002C7571">
        <w:rPr>
          <w:rFonts w:ascii="Times New Roman" w:hAnsi="Times New Roman"/>
        </w:rPr>
        <w:t>(4</w:t>
      </w:r>
      <w:r>
        <w:rPr>
          <w:rFonts w:ascii="Times New Roman" w:hAnsi="Times New Roman"/>
        </w:rPr>
        <w:t xml:space="preserve">th </w:t>
      </w:r>
      <w:r w:rsidRPr="002C7571">
        <w:rPr>
          <w:rFonts w:ascii="Times New Roman" w:hAnsi="Times New Roman"/>
        </w:rPr>
        <w:t xml:space="preserve">ed, </w:t>
      </w:r>
      <w:r>
        <w:rPr>
          <w:rFonts w:ascii="Times New Roman" w:hAnsi="Times New Roman"/>
        </w:rPr>
        <w:t xml:space="preserve">Penguin, London, </w:t>
      </w:r>
      <w:r w:rsidRPr="002C7571">
        <w:rPr>
          <w:rFonts w:ascii="Times New Roman" w:hAnsi="Times New Roman"/>
        </w:rPr>
        <w:t>2010). Insurance appears in the interstices of commercial law, and thus as a practice rather than a set of principles.</w:t>
      </w:r>
    </w:p>
  </w:footnote>
  <w:footnote w:id="40">
    <w:p w:rsidR="00400D3C" w:rsidRDefault="00400D3C">
      <w:pPr>
        <w:pStyle w:val="FootnoteText"/>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r>
      <w:proofErr w:type="gramStart"/>
      <w:r w:rsidRPr="002C7571">
        <w:rPr>
          <w:rFonts w:ascii="Times New Roman" w:hAnsi="Times New Roman"/>
        </w:rPr>
        <w:t xml:space="preserve">Collins, </w:t>
      </w:r>
      <w:r>
        <w:rPr>
          <w:rFonts w:ascii="Times New Roman" w:hAnsi="Times New Roman"/>
        </w:rPr>
        <w:t xml:space="preserve">above n </w:t>
      </w:r>
      <w:r w:rsidR="009E5650">
        <w:rPr>
          <w:rFonts w:ascii="Times New Roman" w:hAnsi="Times New Roman"/>
        </w:rPr>
        <w:fldChar w:fldCharType="begin"/>
      </w:r>
      <w:r>
        <w:rPr>
          <w:rFonts w:ascii="Times New Roman" w:hAnsi="Times New Roman"/>
        </w:rPr>
        <w:instrText xml:space="preserve"> NOTEREF _Ref293598194 \h </w:instrText>
      </w:r>
      <w:r w:rsidR="009E5650">
        <w:rPr>
          <w:rFonts w:ascii="Times New Roman" w:hAnsi="Times New Roman"/>
        </w:rPr>
      </w:r>
      <w:r w:rsidR="009E5650">
        <w:rPr>
          <w:rFonts w:ascii="Times New Roman" w:hAnsi="Times New Roman"/>
        </w:rPr>
        <w:fldChar w:fldCharType="separate"/>
      </w:r>
      <w:r w:rsidR="005E3BAF">
        <w:rPr>
          <w:rFonts w:ascii="Times New Roman" w:hAnsi="Times New Roman"/>
        </w:rPr>
        <w:t>17</w:t>
      </w:r>
      <w:r w:rsidR="009E5650">
        <w:rPr>
          <w:rFonts w:ascii="Times New Roman" w:hAnsi="Times New Roman"/>
        </w:rPr>
        <w:fldChar w:fldCharType="end"/>
      </w:r>
      <w:r w:rsidRPr="002C7571">
        <w:rPr>
          <w:rFonts w:ascii="Times New Roman" w:hAnsi="Times New Roman"/>
        </w:rPr>
        <w:t xml:space="preserve"> </w:t>
      </w:r>
      <w:r>
        <w:rPr>
          <w:rFonts w:ascii="Times New Roman" w:hAnsi="Times New Roman"/>
        </w:rPr>
        <w:t xml:space="preserve">at </w:t>
      </w:r>
      <w:proofErr w:type="spellStart"/>
      <w:r>
        <w:rPr>
          <w:rFonts w:ascii="Times New Roman" w:hAnsi="Times New Roman"/>
        </w:rPr>
        <w:t>ch</w:t>
      </w:r>
      <w:proofErr w:type="spellEnd"/>
      <w:r w:rsidRPr="002C7571">
        <w:rPr>
          <w:rFonts w:ascii="Times New Roman" w:hAnsi="Times New Roman"/>
        </w:rPr>
        <w:t xml:space="preserve"> 9.</w:t>
      </w:r>
      <w:proofErr w:type="gramEnd"/>
      <w:r w:rsidRPr="002C7571">
        <w:rPr>
          <w:rFonts w:ascii="Times New Roman" w:hAnsi="Times New Roman"/>
        </w:rPr>
        <w:t xml:space="preserve"> </w:t>
      </w:r>
    </w:p>
  </w:footnote>
  <w:footnote w:id="41">
    <w:p w:rsidR="00400D3C" w:rsidRDefault="00400D3C">
      <w:pPr>
        <w:pStyle w:val="FootnoteText"/>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r>
      <w:proofErr w:type="gramStart"/>
      <w:r w:rsidRPr="009C4152">
        <w:rPr>
          <w:rFonts w:ascii="Times New Roman" w:hAnsi="Times New Roman"/>
        </w:rPr>
        <w:t xml:space="preserve">Collins, </w:t>
      </w:r>
      <w:r>
        <w:rPr>
          <w:rFonts w:ascii="Times New Roman" w:hAnsi="Times New Roman"/>
        </w:rPr>
        <w:t xml:space="preserve">above n </w:t>
      </w:r>
      <w:r w:rsidR="009E5650">
        <w:rPr>
          <w:rFonts w:ascii="Times New Roman" w:hAnsi="Times New Roman"/>
        </w:rPr>
        <w:fldChar w:fldCharType="begin"/>
      </w:r>
      <w:r>
        <w:rPr>
          <w:rFonts w:ascii="Times New Roman" w:hAnsi="Times New Roman"/>
        </w:rPr>
        <w:instrText xml:space="preserve"> NOTEREF _Ref293598194 \h </w:instrText>
      </w:r>
      <w:r w:rsidR="009E5650">
        <w:rPr>
          <w:rFonts w:ascii="Times New Roman" w:hAnsi="Times New Roman"/>
        </w:rPr>
      </w:r>
      <w:r w:rsidR="009E5650">
        <w:rPr>
          <w:rFonts w:ascii="Times New Roman" w:hAnsi="Times New Roman"/>
        </w:rPr>
        <w:fldChar w:fldCharType="separate"/>
      </w:r>
      <w:r w:rsidR="005E3BAF">
        <w:rPr>
          <w:rFonts w:ascii="Times New Roman" w:hAnsi="Times New Roman"/>
        </w:rPr>
        <w:t>17</w:t>
      </w:r>
      <w:r w:rsidR="009E5650">
        <w:rPr>
          <w:rFonts w:ascii="Times New Roman" w:hAnsi="Times New Roman"/>
        </w:rPr>
        <w:fldChar w:fldCharType="end"/>
      </w:r>
      <w:r w:rsidRPr="009C4152">
        <w:rPr>
          <w:rFonts w:ascii="Times New Roman" w:hAnsi="Times New Roman"/>
        </w:rPr>
        <w:t xml:space="preserve"> </w:t>
      </w:r>
      <w:r>
        <w:rPr>
          <w:rFonts w:ascii="Times New Roman" w:hAnsi="Times New Roman"/>
        </w:rPr>
        <w:t>at</w:t>
      </w:r>
      <w:r w:rsidRPr="002C7571">
        <w:rPr>
          <w:rFonts w:ascii="Times New Roman" w:hAnsi="Times New Roman"/>
        </w:rPr>
        <w:t xml:space="preserve"> 217.</w:t>
      </w:r>
      <w:proofErr w:type="gramEnd"/>
    </w:p>
  </w:footnote>
  <w:footnote w:id="42">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Even within the club, there is potential for duties of care: a number of the risk-bearers at Lloyds in the 1980s were themselves inexperienced investors – leading to well-known over-exposure of individuals, and allegations of professional negligence (most conspicuously litigated in </w:t>
      </w:r>
      <w:r w:rsidRPr="002C7571">
        <w:rPr>
          <w:rFonts w:ascii="Times New Roman" w:hAnsi="Times New Roman"/>
          <w:i/>
        </w:rPr>
        <w:t>Henderson v Merrett</w:t>
      </w:r>
      <w:r>
        <w:rPr>
          <w:rFonts w:ascii="Times New Roman" w:hAnsi="Times New Roman"/>
          <w:i/>
        </w:rPr>
        <w:t xml:space="preserve"> Syndicates</w:t>
      </w:r>
      <w:r w:rsidRPr="002C7571">
        <w:rPr>
          <w:rFonts w:ascii="Times New Roman" w:hAnsi="Times New Roman"/>
          <w:i/>
        </w:rPr>
        <w:t xml:space="preserve"> </w:t>
      </w:r>
      <w:r w:rsidRPr="002C7571">
        <w:rPr>
          <w:rFonts w:ascii="Times New Roman" w:hAnsi="Times New Roman"/>
        </w:rPr>
        <w:t>[1995] 2 AC 145</w:t>
      </w:r>
      <w:r>
        <w:rPr>
          <w:rFonts w:ascii="Times New Roman" w:hAnsi="Times New Roman"/>
        </w:rPr>
        <w:t xml:space="preserve"> (HL)</w:t>
      </w:r>
      <w:r w:rsidRPr="002C7571">
        <w:rPr>
          <w:rFonts w:ascii="Times New Roman" w:hAnsi="Times New Roman"/>
        </w:rPr>
        <w:t>).</w:t>
      </w:r>
    </w:p>
  </w:footnote>
  <w:footnote w:id="43">
    <w:p w:rsidR="00400D3C" w:rsidRDefault="00400D3C" w:rsidP="00C46738">
      <w:pPr>
        <w:pStyle w:val="FootnoteText"/>
        <w:jc w:val="both"/>
      </w:pPr>
      <w:r w:rsidRPr="009C4152">
        <w:rPr>
          <w:rStyle w:val="FootnoteReference"/>
          <w:rFonts w:ascii="Times New Roman" w:hAnsi="Times New Roman"/>
        </w:rPr>
        <w:footnoteRef/>
      </w:r>
      <w:r w:rsidRPr="009C4152">
        <w:rPr>
          <w:rFonts w:ascii="Times New Roman" w:hAnsi="Times New Roman"/>
        </w:rPr>
        <w:t xml:space="preserve"> </w:t>
      </w:r>
      <w:r w:rsidRPr="009C4152">
        <w:rPr>
          <w:rFonts w:ascii="Times New Roman" w:hAnsi="Times New Roman"/>
        </w:rPr>
        <w:tab/>
      </w:r>
      <w:r w:rsidRPr="009C4152">
        <w:rPr>
          <w:rFonts w:ascii="Times New Roman" w:hAnsi="Times New Roman"/>
          <w:i/>
        </w:rPr>
        <w:t xml:space="preserve">Wallaby Grip Ltd v QBE Insurance </w:t>
      </w:r>
      <w:r w:rsidRPr="009C4152">
        <w:rPr>
          <w:rFonts w:ascii="Times New Roman" w:hAnsi="Times New Roman"/>
        </w:rPr>
        <w:t>[2010] HCA 9</w:t>
      </w:r>
      <w:r>
        <w:rPr>
          <w:rFonts w:ascii="Times New Roman" w:hAnsi="Times New Roman"/>
        </w:rPr>
        <w:t>; (2010) 240 CLR 444.</w:t>
      </w:r>
    </w:p>
  </w:footnote>
  <w:footnote w:id="44">
    <w:p w:rsidR="00400D3C" w:rsidRDefault="00400D3C" w:rsidP="009C4152">
      <w:pPr>
        <w:pStyle w:val="FootnoteText"/>
        <w:jc w:val="both"/>
      </w:pPr>
      <w:r w:rsidRPr="009C4152">
        <w:rPr>
          <w:rStyle w:val="FootnoteReference"/>
          <w:rFonts w:ascii="Times New Roman" w:hAnsi="Times New Roman"/>
        </w:rPr>
        <w:footnoteRef/>
      </w:r>
      <w:r w:rsidRPr="009C4152">
        <w:rPr>
          <w:rFonts w:ascii="Times New Roman" w:hAnsi="Times New Roman"/>
        </w:rPr>
        <w:t xml:space="preserve"> </w:t>
      </w:r>
      <w:r w:rsidRPr="009C4152">
        <w:rPr>
          <w:rFonts w:ascii="Times New Roman" w:hAnsi="Times New Roman"/>
        </w:rPr>
        <w:tab/>
      </w:r>
      <w:proofErr w:type="gramStart"/>
      <w:r>
        <w:rPr>
          <w:rFonts w:ascii="Times New Roman" w:hAnsi="Times New Roman"/>
        </w:rPr>
        <w:t xml:space="preserve">Above n </w:t>
      </w:r>
      <w:r w:rsidR="009E5650">
        <w:rPr>
          <w:rFonts w:ascii="Times New Roman" w:hAnsi="Times New Roman"/>
        </w:rPr>
        <w:fldChar w:fldCharType="begin"/>
      </w:r>
      <w:r>
        <w:rPr>
          <w:rFonts w:ascii="Times New Roman" w:hAnsi="Times New Roman"/>
        </w:rPr>
        <w:instrText xml:space="preserve"> NOTEREF _Ref293600773 \h </w:instrText>
      </w:r>
      <w:r w:rsidR="009E5650">
        <w:rPr>
          <w:rFonts w:ascii="Times New Roman" w:hAnsi="Times New Roman"/>
        </w:rPr>
      </w:r>
      <w:r w:rsidR="009E5650">
        <w:rPr>
          <w:rFonts w:ascii="Times New Roman" w:hAnsi="Times New Roman"/>
        </w:rPr>
        <w:fldChar w:fldCharType="separate"/>
      </w:r>
      <w:r>
        <w:rPr>
          <w:rFonts w:ascii="Times New Roman" w:hAnsi="Times New Roman"/>
        </w:rPr>
        <w:t>37</w:t>
      </w:r>
      <w:r w:rsidR="009E5650">
        <w:rPr>
          <w:rFonts w:ascii="Times New Roman" w:hAnsi="Times New Roman"/>
        </w:rPr>
        <w:fldChar w:fldCharType="end"/>
      </w:r>
      <w:r>
        <w:rPr>
          <w:rFonts w:ascii="Times New Roman" w:hAnsi="Times New Roman"/>
        </w:rPr>
        <w:t xml:space="preserve"> at</w:t>
      </w:r>
      <w:r w:rsidRPr="009C4152">
        <w:rPr>
          <w:rFonts w:ascii="Times New Roman" w:hAnsi="Times New Roman"/>
        </w:rPr>
        <w:t xml:space="preserve"> </w:t>
      </w:r>
      <w:r>
        <w:rPr>
          <w:rFonts w:ascii="Times New Roman" w:hAnsi="Times New Roman"/>
        </w:rPr>
        <w:t xml:space="preserve">459 </w:t>
      </w:r>
      <w:r w:rsidRPr="009C4152">
        <w:rPr>
          <w:rFonts w:ascii="Times New Roman" w:hAnsi="Times New Roman"/>
        </w:rPr>
        <w:t>[37].</w:t>
      </w:r>
      <w:proofErr w:type="gramEnd"/>
    </w:p>
  </w:footnote>
  <w:footnote w:id="45">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For a suggestion that regulatory concerns explain the interpretation of contractual terms in </w:t>
      </w:r>
      <w:r w:rsidRPr="002C7571">
        <w:rPr>
          <w:rFonts w:ascii="Times New Roman" w:hAnsi="Times New Roman"/>
          <w:i/>
        </w:rPr>
        <w:t xml:space="preserve">Wasa </w:t>
      </w:r>
      <w:r>
        <w:rPr>
          <w:rFonts w:ascii="Times New Roman" w:hAnsi="Times New Roman"/>
          <w:i/>
        </w:rPr>
        <w:t xml:space="preserve">International Ltd </w:t>
      </w:r>
      <w:r w:rsidRPr="002C7571">
        <w:rPr>
          <w:rFonts w:ascii="Times New Roman" w:hAnsi="Times New Roman"/>
          <w:i/>
        </w:rPr>
        <w:t>v Lexington Insurance</w:t>
      </w:r>
      <w:r>
        <w:rPr>
          <w:rFonts w:ascii="Times New Roman" w:hAnsi="Times New Roman"/>
          <w:i/>
        </w:rPr>
        <w:t xml:space="preserve"> Co</w:t>
      </w:r>
      <w:r w:rsidRPr="002C7571">
        <w:rPr>
          <w:rFonts w:ascii="Times New Roman" w:hAnsi="Times New Roman"/>
          <w:i/>
        </w:rPr>
        <w:t xml:space="preserve"> </w:t>
      </w:r>
      <w:r w:rsidRPr="002C7571">
        <w:rPr>
          <w:rFonts w:ascii="Times New Roman" w:hAnsi="Times New Roman"/>
        </w:rPr>
        <w:t xml:space="preserve">[2009] UKHL 40; [2010] 1 AC 180 (though not satisfactorily), see R Merkin, </w:t>
      </w:r>
      <w:r>
        <w:rPr>
          <w:rFonts w:ascii="Times New Roman" w:hAnsi="Times New Roman"/>
        </w:rPr>
        <w:t>“</w:t>
      </w:r>
      <w:r w:rsidRPr="002C7571">
        <w:rPr>
          <w:rFonts w:ascii="Times New Roman" w:hAnsi="Times New Roman"/>
        </w:rPr>
        <w:t>Wasa International Insurance Co Ltd v Lexington Insurance Co: Commercial Certainty in the Reinsurance Market</w:t>
      </w:r>
      <w:r>
        <w:rPr>
          <w:rFonts w:ascii="Times New Roman" w:hAnsi="Times New Roman"/>
        </w:rPr>
        <w:t>”</w:t>
      </w:r>
      <w:r w:rsidRPr="002C7571">
        <w:rPr>
          <w:rFonts w:ascii="Times New Roman" w:hAnsi="Times New Roman"/>
        </w:rPr>
        <w:t xml:space="preserve"> (2010) 126 </w:t>
      </w:r>
      <w:r w:rsidRPr="002C7571">
        <w:rPr>
          <w:rFonts w:ascii="Times New Roman" w:hAnsi="Times New Roman"/>
          <w:i/>
        </w:rPr>
        <w:t>Law Quarterly Review</w:t>
      </w:r>
      <w:r>
        <w:rPr>
          <w:rFonts w:ascii="Times New Roman" w:hAnsi="Times New Roman"/>
        </w:rPr>
        <w:t xml:space="preserve"> </w:t>
      </w:r>
      <w:r w:rsidRPr="002C7571">
        <w:rPr>
          <w:rFonts w:ascii="Times New Roman" w:hAnsi="Times New Roman"/>
        </w:rPr>
        <w:t>24.</w:t>
      </w:r>
    </w:p>
  </w:footnote>
  <w:footnote w:id="46">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The idea of insurance as a </w:t>
      </w:r>
      <w:r>
        <w:rPr>
          <w:rFonts w:ascii="Times New Roman" w:hAnsi="Times New Roman"/>
        </w:rPr>
        <w:t>“</w:t>
      </w:r>
      <w:r w:rsidRPr="002C7571">
        <w:rPr>
          <w:rFonts w:ascii="Times New Roman" w:hAnsi="Times New Roman"/>
        </w:rPr>
        <w:t>technology</w:t>
      </w:r>
      <w:r>
        <w:rPr>
          <w:rFonts w:ascii="Times New Roman" w:hAnsi="Times New Roman"/>
        </w:rPr>
        <w:t>”</w:t>
      </w:r>
      <w:r w:rsidRPr="002C7571">
        <w:rPr>
          <w:rFonts w:ascii="Times New Roman" w:hAnsi="Times New Roman"/>
        </w:rPr>
        <w:t xml:space="preserve"> is derived from the work of Francois </w:t>
      </w:r>
      <w:proofErr w:type="spellStart"/>
      <w:r w:rsidRPr="002C7571">
        <w:rPr>
          <w:rFonts w:ascii="Times New Roman" w:hAnsi="Times New Roman"/>
        </w:rPr>
        <w:t>Ewald</w:t>
      </w:r>
      <w:proofErr w:type="spellEnd"/>
      <w:r>
        <w:rPr>
          <w:rFonts w:ascii="Times New Roman" w:hAnsi="Times New Roman"/>
        </w:rPr>
        <w:t>, n 1</w:t>
      </w:r>
      <w:r w:rsidR="005E3BAF">
        <w:rPr>
          <w:rFonts w:ascii="Times New Roman" w:hAnsi="Times New Roman"/>
        </w:rPr>
        <w:t>6</w:t>
      </w:r>
      <w:r w:rsidRPr="002C7571">
        <w:rPr>
          <w:rFonts w:ascii="Times New Roman" w:hAnsi="Times New Roman"/>
        </w:rPr>
        <w:t xml:space="preserve">. This is one aspect of the influence of insurance derived from Ewald’s work and discussed by </w:t>
      </w:r>
      <w:r>
        <w:rPr>
          <w:rFonts w:ascii="Times New Roman" w:hAnsi="Times New Roman"/>
        </w:rPr>
        <w:t xml:space="preserve">T Baker and J Simon, “Embracing Risk” in </w:t>
      </w:r>
      <w:r w:rsidRPr="002C7571">
        <w:rPr>
          <w:rFonts w:ascii="Times New Roman" w:hAnsi="Times New Roman"/>
        </w:rPr>
        <w:t>T Baker and J Simon</w:t>
      </w:r>
      <w:r>
        <w:rPr>
          <w:rFonts w:ascii="Times New Roman" w:hAnsi="Times New Roman"/>
        </w:rPr>
        <w:t xml:space="preserve"> (eds)</w:t>
      </w:r>
      <w:r w:rsidRPr="002C7571">
        <w:rPr>
          <w:rFonts w:ascii="Times New Roman" w:hAnsi="Times New Roman"/>
        </w:rPr>
        <w:t xml:space="preserve">, </w:t>
      </w:r>
      <w:r w:rsidRPr="002C7571">
        <w:rPr>
          <w:rFonts w:ascii="Times New Roman" w:hAnsi="Times New Roman"/>
          <w:i/>
        </w:rPr>
        <w:t>Embracing Risk</w:t>
      </w:r>
      <w:r>
        <w:rPr>
          <w:rFonts w:ascii="Times New Roman" w:hAnsi="Times New Roman"/>
          <w:i/>
        </w:rPr>
        <w:t xml:space="preserve">: The Changing Culture of Insurance and Responsibility </w:t>
      </w:r>
      <w:r>
        <w:rPr>
          <w:rFonts w:ascii="Times New Roman" w:hAnsi="Times New Roman"/>
        </w:rPr>
        <w:t xml:space="preserve">(University of Chicago Press, Chicago, 2002) 1, </w:t>
      </w:r>
      <w:r w:rsidRPr="002C7571">
        <w:rPr>
          <w:rFonts w:ascii="Times New Roman" w:hAnsi="Times New Roman"/>
        </w:rPr>
        <w:t xml:space="preserve">in their attempt to initiate a sociology of risk and insurance. The other dimensions are institutions, forms, and visions: at 7. </w:t>
      </w:r>
    </w:p>
  </w:footnote>
  <w:footnote w:id="47">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See T Baker, </w:t>
      </w:r>
      <w:r>
        <w:rPr>
          <w:rFonts w:ascii="Times New Roman" w:hAnsi="Times New Roman"/>
        </w:rPr>
        <w:t>“</w:t>
      </w:r>
      <w:r w:rsidRPr="002C7571">
        <w:rPr>
          <w:rFonts w:ascii="Times New Roman" w:hAnsi="Times New Roman"/>
        </w:rPr>
        <w:t>Risk, Insurance</w:t>
      </w:r>
      <w:r>
        <w:rPr>
          <w:rFonts w:ascii="Times New Roman" w:hAnsi="Times New Roman"/>
        </w:rPr>
        <w:t>,</w:t>
      </w:r>
      <w:r w:rsidRPr="002C7571">
        <w:rPr>
          <w:rFonts w:ascii="Times New Roman" w:hAnsi="Times New Roman"/>
        </w:rPr>
        <w:t xml:space="preserve"> and the Social Construction of Responsibility</w:t>
      </w:r>
      <w:r>
        <w:rPr>
          <w:rFonts w:ascii="Times New Roman" w:hAnsi="Times New Roman"/>
        </w:rPr>
        <w:t>”</w:t>
      </w:r>
      <w:r w:rsidRPr="002C7571">
        <w:rPr>
          <w:rFonts w:ascii="Times New Roman" w:hAnsi="Times New Roman"/>
        </w:rPr>
        <w:t xml:space="preserve"> </w:t>
      </w:r>
      <w:r>
        <w:rPr>
          <w:rFonts w:ascii="Times New Roman" w:hAnsi="Times New Roman"/>
        </w:rPr>
        <w:t xml:space="preserve">in </w:t>
      </w:r>
      <w:r w:rsidRPr="00AE6DE2">
        <w:rPr>
          <w:rFonts w:ascii="Times New Roman" w:hAnsi="Times New Roman"/>
        </w:rPr>
        <w:t>T Baker and J Simon</w:t>
      </w:r>
      <w:r>
        <w:rPr>
          <w:rFonts w:ascii="Times New Roman" w:hAnsi="Times New Roman"/>
        </w:rPr>
        <w:t xml:space="preserve"> (eds)</w:t>
      </w:r>
      <w:r w:rsidRPr="00AE6DE2">
        <w:rPr>
          <w:rFonts w:ascii="Times New Roman" w:hAnsi="Times New Roman"/>
        </w:rPr>
        <w:t xml:space="preserve">, </w:t>
      </w:r>
      <w:r w:rsidRPr="00AE6DE2">
        <w:rPr>
          <w:rFonts w:ascii="Times New Roman" w:hAnsi="Times New Roman"/>
          <w:i/>
        </w:rPr>
        <w:t>Embracing Risk</w:t>
      </w:r>
      <w:r>
        <w:rPr>
          <w:rFonts w:ascii="Times New Roman" w:hAnsi="Times New Roman"/>
          <w:i/>
        </w:rPr>
        <w:t xml:space="preserve">: The Changing Culture of Insurance and Responsibility </w:t>
      </w:r>
      <w:r>
        <w:rPr>
          <w:rFonts w:ascii="Times New Roman" w:hAnsi="Times New Roman"/>
        </w:rPr>
        <w:t>(University of Chicago Press, Chicago, 2002) 33</w:t>
      </w:r>
      <w:r w:rsidRPr="002C7571">
        <w:rPr>
          <w:rFonts w:ascii="Times New Roman" w:hAnsi="Times New Roman"/>
        </w:rPr>
        <w:t>, contrasting the imagery of insurance advertising with disputes over insurance cover. The insurer can argue to be protecting the fund (collectivity) by disputing cover in a particular case.</w:t>
      </w:r>
    </w:p>
  </w:footnote>
  <w:footnote w:id="48">
    <w:p w:rsidR="00400D3C" w:rsidRDefault="00400D3C">
      <w:pPr>
        <w:pStyle w:val="FootnoteText"/>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r>
      <w:proofErr w:type="gramStart"/>
      <w:r>
        <w:rPr>
          <w:rFonts w:ascii="Times New Roman" w:hAnsi="Times New Roman"/>
        </w:rPr>
        <w:t xml:space="preserve">Above n </w:t>
      </w:r>
      <w:r w:rsidR="009E5650">
        <w:rPr>
          <w:rFonts w:ascii="Times New Roman" w:hAnsi="Times New Roman"/>
        </w:rPr>
        <w:fldChar w:fldCharType="begin"/>
      </w:r>
      <w:r>
        <w:rPr>
          <w:rFonts w:ascii="Times New Roman" w:hAnsi="Times New Roman"/>
        </w:rPr>
        <w:instrText xml:space="preserve"> NOTEREF _Ref293614354 \h </w:instrText>
      </w:r>
      <w:r w:rsidR="009E5650">
        <w:rPr>
          <w:rFonts w:ascii="Times New Roman" w:hAnsi="Times New Roman"/>
        </w:rPr>
      </w:r>
      <w:r w:rsidR="009E5650">
        <w:rPr>
          <w:rFonts w:ascii="Times New Roman" w:hAnsi="Times New Roman"/>
        </w:rPr>
        <w:fldChar w:fldCharType="separate"/>
      </w:r>
      <w:r w:rsidR="00873A85">
        <w:rPr>
          <w:rFonts w:ascii="Times New Roman" w:hAnsi="Times New Roman"/>
        </w:rPr>
        <w:t>5</w:t>
      </w:r>
      <w:r w:rsidR="009E5650">
        <w:rPr>
          <w:rFonts w:ascii="Times New Roman" w:hAnsi="Times New Roman"/>
        </w:rPr>
        <w:fldChar w:fldCharType="end"/>
      </w:r>
      <w:r w:rsidRPr="002C7571">
        <w:rPr>
          <w:rFonts w:ascii="Times New Roman" w:hAnsi="Times New Roman"/>
        </w:rPr>
        <w:t>.</w:t>
      </w:r>
      <w:proofErr w:type="gramEnd"/>
    </w:p>
  </w:footnote>
  <w:footnote w:id="49">
    <w:p w:rsidR="00400D3C" w:rsidRDefault="00400D3C">
      <w:pPr>
        <w:pStyle w:val="FootnoteText"/>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r>
      <w:proofErr w:type="gramStart"/>
      <w:r>
        <w:rPr>
          <w:rFonts w:ascii="Times New Roman" w:hAnsi="Times New Roman"/>
        </w:rPr>
        <w:t xml:space="preserve">Above n </w:t>
      </w:r>
      <w:r w:rsidR="009E5650">
        <w:rPr>
          <w:rFonts w:ascii="Times New Roman" w:hAnsi="Times New Roman"/>
        </w:rPr>
        <w:fldChar w:fldCharType="begin"/>
      </w:r>
      <w:r>
        <w:rPr>
          <w:rFonts w:ascii="Times New Roman" w:hAnsi="Times New Roman"/>
        </w:rPr>
        <w:instrText xml:space="preserve"> NOTEREF _Ref293614354 \h </w:instrText>
      </w:r>
      <w:r w:rsidR="009E5650">
        <w:rPr>
          <w:rFonts w:ascii="Times New Roman" w:hAnsi="Times New Roman"/>
        </w:rPr>
      </w:r>
      <w:r w:rsidR="009E5650">
        <w:rPr>
          <w:rFonts w:ascii="Times New Roman" w:hAnsi="Times New Roman"/>
        </w:rPr>
        <w:fldChar w:fldCharType="separate"/>
      </w:r>
      <w:r w:rsidR="00873A85">
        <w:rPr>
          <w:rFonts w:ascii="Times New Roman" w:hAnsi="Times New Roman"/>
        </w:rPr>
        <w:t>5</w:t>
      </w:r>
      <w:r w:rsidR="009E5650">
        <w:rPr>
          <w:rFonts w:ascii="Times New Roman" w:hAnsi="Times New Roman"/>
        </w:rPr>
        <w:fldChar w:fldCharType="end"/>
      </w:r>
      <w:r>
        <w:rPr>
          <w:rFonts w:ascii="Times New Roman" w:hAnsi="Times New Roman"/>
        </w:rPr>
        <w:t xml:space="preserve"> a</w:t>
      </w:r>
      <w:r w:rsidRPr="002C7571">
        <w:rPr>
          <w:rFonts w:ascii="Times New Roman" w:hAnsi="Times New Roman"/>
        </w:rPr>
        <w:t>t 821.</w:t>
      </w:r>
      <w:proofErr w:type="gramEnd"/>
    </w:p>
  </w:footnote>
  <w:footnote w:id="50">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r>
      <w:r>
        <w:rPr>
          <w:rFonts w:ascii="Times New Roman" w:hAnsi="Times New Roman"/>
        </w:rPr>
        <w:t xml:space="preserve">Above n </w:t>
      </w:r>
      <w:r w:rsidR="009E5650">
        <w:rPr>
          <w:rFonts w:ascii="Times New Roman" w:hAnsi="Times New Roman"/>
        </w:rPr>
        <w:fldChar w:fldCharType="begin"/>
      </w:r>
      <w:r>
        <w:rPr>
          <w:rFonts w:ascii="Times New Roman" w:hAnsi="Times New Roman"/>
        </w:rPr>
        <w:instrText xml:space="preserve"> NOTEREF _Ref293614354 \h </w:instrText>
      </w:r>
      <w:r w:rsidR="009E5650">
        <w:rPr>
          <w:rFonts w:ascii="Times New Roman" w:hAnsi="Times New Roman"/>
        </w:rPr>
      </w:r>
      <w:r w:rsidR="009E5650">
        <w:rPr>
          <w:rFonts w:ascii="Times New Roman" w:hAnsi="Times New Roman"/>
        </w:rPr>
        <w:fldChar w:fldCharType="separate"/>
      </w:r>
      <w:r w:rsidR="00873A85">
        <w:rPr>
          <w:rFonts w:ascii="Times New Roman" w:hAnsi="Times New Roman"/>
        </w:rPr>
        <w:t>5</w:t>
      </w:r>
      <w:r w:rsidR="009E5650">
        <w:rPr>
          <w:rFonts w:ascii="Times New Roman" w:hAnsi="Times New Roman"/>
        </w:rPr>
        <w:fldChar w:fldCharType="end"/>
      </w:r>
      <w:r w:rsidRPr="002C7571">
        <w:rPr>
          <w:rFonts w:ascii="Times New Roman" w:hAnsi="Times New Roman"/>
        </w:rPr>
        <w:t xml:space="preserve"> </w:t>
      </w:r>
      <w:r>
        <w:rPr>
          <w:rFonts w:ascii="Times New Roman" w:hAnsi="Times New Roman"/>
        </w:rPr>
        <w:t xml:space="preserve">at 821 </w:t>
      </w:r>
      <w:r w:rsidRPr="002C7571">
        <w:rPr>
          <w:rFonts w:ascii="Times New Roman" w:hAnsi="Times New Roman"/>
        </w:rPr>
        <w:t xml:space="preserve">quoting </w:t>
      </w:r>
      <w:r>
        <w:rPr>
          <w:rFonts w:ascii="Times New Roman" w:hAnsi="Times New Roman"/>
        </w:rPr>
        <w:t xml:space="preserve">K </w:t>
      </w:r>
      <w:r w:rsidRPr="002C7571">
        <w:rPr>
          <w:rFonts w:ascii="Times New Roman" w:hAnsi="Times New Roman"/>
        </w:rPr>
        <w:t xml:space="preserve">Abraham, </w:t>
      </w:r>
      <w:r w:rsidRPr="002C7571">
        <w:rPr>
          <w:rFonts w:ascii="Times New Roman" w:hAnsi="Times New Roman"/>
          <w:i/>
        </w:rPr>
        <w:t xml:space="preserve">Distributing Risk: Insurance, Legal Theory and Public Policy </w:t>
      </w:r>
      <w:r w:rsidRPr="002C7571">
        <w:rPr>
          <w:rFonts w:ascii="Times New Roman" w:hAnsi="Times New Roman"/>
        </w:rPr>
        <w:t xml:space="preserve">(Yale University Press, </w:t>
      </w:r>
      <w:r>
        <w:rPr>
          <w:rFonts w:ascii="Times New Roman" w:hAnsi="Times New Roman"/>
        </w:rPr>
        <w:t xml:space="preserve">New Haven, </w:t>
      </w:r>
      <w:r w:rsidRPr="002C7571">
        <w:rPr>
          <w:rFonts w:ascii="Times New Roman" w:hAnsi="Times New Roman"/>
        </w:rPr>
        <w:t>1986)</w:t>
      </w:r>
      <w:r>
        <w:rPr>
          <w:rFonts w:ascii="Times New Roman" w:hAnsi="Times New Roman"/>
        </w:rPr>
        <w:t xml:space="preserve"> at 64</w:t>
      </w:r>
      <w:r w:rsidRPr="002C7571">
        <w:rPr>
          <w:rFonts w:ascii="Times New Roman" w:hAnsi="Times New Roman"/>
        </w:rPr>
        <w:t>.</w:t>
      </w:r>
    </w:p>
  </w:footnote>
  <w:footnote w:id="51">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Baker and Simon, </w:t>
      </w:r>
      <w:r>
        <w:rPr>
          <w:rFonts w:ascii="Times New Roman" w:hAnsi="Times New Roman"/>
        </w:rPr>
        <w:t xml:space="preserve">above n </w:t>
      </w:r>
      <w:r w:rsidR="009E5650">
        <w:rPr>
          <w:rFonts w:ascii="Times New Roman" w:hAnsi="Times New Roman"/>
        </w:rPr>
        <w:fldChar w:fldCharType="begin"/>
      </w:r>
      <w:r>
        <w:rPr>
          <w:rFonts w:ascii="Times New Roman" w:hAnsi="Times New Roman"/>
        </w:rPr>
        <w:instrText xml:space="preserve"> NOTEREF _Ref293614827 \h </w:instrText>
      </w:r>
      <w:r w:rsidR="009E5650">
        <w:rPr>
          <w:rFonts w:ascii="Times New Roman" w:hAnsi="Times New Roman"/>
        </w:rPr>
      </w:r>
      <w:r w:rsidR="009E5650">
        <w:rPr>
          <w:rFonts w:ascii="Times New Roman" w:hAnsi="Times New Roman"/>
        </w:rPr>
        <w:fldChar w:fldCharType="separate"/>
      </w:r>
      <w:r>
        <w:rPr>
          <w:rFonts w:ascii="Times New Roman" w:hAnsi="Times New Roman"/>
        </w:rPr>
        <w:t>4</w:t>
      </w:r>
      <w:r w:rsidR="00873A85">
        <w:rPr>
          <w:rFonts w:ascii="Times New Roman" w:hAnsi="Times New Roman"/>
        </w:rPr>
        <w:t>7</w:t>
      </w:r>
      <w:r w:rsidR="009E5650">
        <w:rPr>
          <w:rFonts w:ascii="Times New Roman" w:hAnsi="Times New Roman"/>
        </w:rPr>
        <w:fldChar w:fldCharType="end"/>
      </w:r>
      <w:r>
        <w:rPr>
          <w:rFonts w:ascii="Times New Roman" w:hAnsi="Times New Roman"/>
        </w:rPr>
        <w:t xml:space="preserve"> </w:t>
      </w:r>
      <w:r w:rsidRPr="002C7571">
        <w:rPr>
          <w:rFonts w:ascii="Times New Roman" w:hAnsi="Times New Roman"/>
        </w:rPr>
        <w:t xml:space="preserve">especially at </w:t>
      </w:r>
      <w:r>
        <w:rPr>
          <w:rFonts w:ascii="Times New Roman" w:hAnsi="Times New Roman"/>
        </w:rPr>
        <w:t>1</w:t>
      </w:r>
      <w:r w:rsidRPr="002C7571">
        <w:rPr>
          <w:rFonts w:ascii="Times New Roman" w:hAnsi="Times New Roman"/>
        </w:rPr>
        <w:t xml:space="preserve">-4, describing </w:t>
      </w:r>
      <w:r>
        <w:rPr>
          <w:rFonts w:ascii="Times New Roman" w:hAnsi="Times New Roman"/>
        </w:rPr>
        <w:t xml:space="preserve">exploring aspects of the </w:t>
      </w:r>
      <w:r w:rsidRPr="002C7571">
        <w:rPr>
          <w:rFonts w:ascii="Times New Roman" w:hAnsi="Times New Roman"/>
        </w:rPr>
        <w:t xml:space="preserve">shift from </w:t>
      </w:r>
      <w:r>
        <w:rPr>
          <w:rFonts w:ascii="Times New Roman" w:hAnsi="Times New Roman"/>
        </w:rPr>
        <w:t>“</w:t>
      </w:r>
      <w:r w:rsidRPr="002C7571">
        <w:rPr>
          <w:rFonts w:ascii="Times New Roman" w:hAnsi="Times New Roman"/>
        </w:rPr>
        <w:t>spreading risk</w:t>
      </w:r>
      <w:r>
        <w:rPr>
          <w:rFonts w:ascii="Times New Roman" w:hAnsi="Times New Roman"/>
        </w:rPr>
        <w:t>”</w:t>
      </w:r>
      <w:r w:rsidRPr="002C7571">
        <w:rPr>
          <w:rFonts w:ascii="Times New Roman" w:hAnsi="Times New Roman"/>
        </w:rPr>
        <w:t xml:space="preserve"> to </w:t>
      </w:r>
      <w:r>
        <w:rPr>
          <w:rFonts w:ascii="Times New Roman" w:hAnsi="Times New Roman"/>
        </w:rPr>
        <w:t>“</w:t>
      </w:r>
      <w:r w:rsidRPr="002C7571">
        <w:rPr>
          <w:rFonts w:ascii="Times New Roman" w:hAnsi="Times New Roman"/>
        </w:rPr>
        <w:t>embracing risk</w:t>
      </w:r>
      <w:r>
        <w:rPr>
          <w:rFonts w:ascii="Times New Roman" w:hAnsi="Times New Roman"/>
        </w:rPr>
        <w:t>” in a number of fields including social insurance programmes, workers’ compensation (in the US), and public welfare programmes.</w:t>
      </w:r>
      <w:r w:rsidRPr="002C7571">
        <w:rPr>
          <w:rFonts w:ascii="Times New Roman" w:hAnsi="Times New Roman"/>
        </w:rPr>
        <w:t xml:space="preserve"> </w:t>
      </w:r>
      <w:r>
        <w:rPr>
          <w:rFonts w:ascii="Times New Roman" w:hAnsi="Times New Roman"/>
        </w:rPr>
        <w:t>S</w:t>
      </w:r>
      <w:r w:rsidRPr="002C7571">
        <w:rPr>
          <w:rFonts w:ascii="Times New Roman" w:hAnsi="Times New Roman"/>
        </w:rPr>
        <w:t xml:space="preserve">ee also A Giddens, </w:t>
      </w:r>
      <w:r w:rsidRPr="002C7571">
        <w:rPr>
          <w:rFonts w:ascii="Times New Roman" w:hAnsi="Times New Roman"/>
          <w:i/>
        </w:rPr>
        <w:t>The Third Way</w:t>
      </w:r>
      <w:r>
        <w:rPr>
          <w:rFonts w:ascii="Times New Roman" w:hAnsi="Times New Roman"/>
          <w:i/>
        </w:rPr>
        <w:t xml:space="preserve">: The Renewal of Social Democracy </w:t>
      </w:r>
      <w:r>
        <w:rPr>
          <w:rFonts w:ascii="Times New Roman" w:hAnsi="Times New Roman"/>
        </w:rPr>
        <w:t>(Polity Press, Cambridge, 1998)</w:t>
      </w:r>
      <w:r w:rsidRPr="002C7571">
        <w:rPr>
          <w:rFonts w:ascii="Times New Roman" w:hAnsi="Times New Roman"/>
        </w:rPr>
        <w:t>, extolling the positive virtues of risk, more highly than security derived from spreading it</w:t>
      </w:r>
      <w:r w:rsidRPr="002C7571">
        <w:rPr>
          <w:rFonts w:ascii="Times New Roman" w:hAnsi="Times New Roman"/>
          <w:i/>
        </w:rPr>
        <w:t>.</w:t>
      </w:r>
    </w:p>
  </w:footnote>
  <w:footnote w:id="52">
    <w:p w:rsidR="00400D3C" w:rsidRDefault="00400D3C">
      <w:pPr>
        <w:pStyle w:val="FootnoteText"/>
      </w:pPr>
      <w:r>
        <w:rPr>
          <w:rStyle w:val="FootnoteReference"/>
        </w:rPr>
        <w:footnoteRef/>
      </w:r>
      <w:r>
        <w:t xml:space="preserve"> </w:t>
      </w:r>
      <w:proofErr w:type="gramStart"/>
      <w:r w:rsidR="005E3BAF">
        <w:t>n.45</w:t>
      </w:r>
      <w:r>
        <w:t>at 4.</w:t>
      </w:r>
      <w:proofErr w:type="gramEnd"/>
    </w:p>
  </w:footnote>
  <w:footnote w:id="53">
    <w:p w:rsidR="00400D3C" w:rsidRDefault="00400D3C">
      <w:pPr>
        <w:pStyle w:val="FootnoteText"/>
      </w:pPr>
      <w:r>
        <w:rPr>
          <w:rStyle w:val="FootnoteReference"/>
        </w:rPr>
        <w:footnoteRef/>
      </w:r>
      <w:r>
        <w:t xml:space="preserve"> </w:t>
      </w:r>
      <w:proofErr w:type="gramStart"/>
      <w:r w:rsidR="005E3BAF">
        <w:t>N.45</w:t>
      </w:r>
      <w:r>
        <w:t xml:space="preserve"> at 2.</w:t>
      </w:r>
      <w:proofErr w:type="gramEnd"/>
    </w:p>
  </w:footnote>
  <w:footnote w:id="54">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Baker and Simon </w:t>
      </w:r>
      <w:r>
        <w:rPr>
          <w:rFonts w:ascii="Times New Roman" w:hAnsi="Times New Roman"/>
        </w:rPr>
        <w:t xml:space="preserve">above n </w:t>
      </w:r>
      <w:r w:rsidR="009E5650">
        <w:rPr>
          <w:rFonts w:ascii="Times New Roman" w:hAnsi="Times New Roman"/>
        </w:rPr>
        <w:fldChar w:fldCharType="begin"/>
      </w:r>
      <w:r>
        <w:rPr>
          <w:rFonts w:ascii="Times New Roman" w:hAnsi="Times New Roman"/>
        </w:rPr>
        <w:instrText xml:space="preserve"> NOTEREF _Ref293614827 \h </w:instrText>
      </w:r>
      <w:r w:rsidR="009E5650">
        <w:rPr>
          <w:rFonts w:ascii="Times New Roman" w:hAnsi="Times New Roman"/>
        </w:rPr>
      </w:r>
      <w:r w:rsidR="009E5650">
        <w:rPr>
          <w:rFonts w:ascii="Times New Roman" w:hAnsi="Times New Roman"/>
        </w:rPr>
        <w:fldChar w:fldCharType="separate"/>
      </w:r>
      <w:r w:rsidR="005E3BAF">
        <w:rPr>
          <w:rFonts w:ascii="Times New Roman" w:hAnsi="Times New Roman"/>
        </w:rPr>
        <w:t>45</w:t>
      </w:r>
      <w:r w:rsidR="00873A85">
        <w:rPr>
          <w:rFonts w:ascii="Times New Roman" w:hAnsi="Times New Roman"/>
        </w:rPr>
        <w:t xml:space="preserve"> </w:t>
      </w:r>
      <w:r w:rsidR="009E5650">
        <w:rPr>
          <w:rFonts w:ascii="Times New Roman" w:hAnsi="Times New Roman"/>
        </w:rPr>
        <w:fldChar w:fldCharType="end"/>
      </w:r>
      <w:r>
        <w:rPr>
          <w:rFonts w:ascii="Times New Roman" w:hAnsi="Times New Roman"/>
        </w:rPr>
        <w:t xml:space="preserve"> at 10 </w:t>
      </w:r>
      <w:r w:rsidRPr="002C7571">
        <w:rPr>
          <w:rFonts w:ascii="Times New Roman" w:hAnsi="Times New Roman"/>
        </w:rPr>
        <w:t xml:space="preserve">describe this </w:t>
      </w:r>
      <w:r>
        <w:rPr>
          <w:rFonts w:ascii="Times New Roman" w:hAnsi="Times New Roman"/>
        </w:rPr>
        <w:t>“</w:t>
      </w:r>
      <w:r w:rsidRPr="002C7571">
        <w:rPr>
          <w:rFonts w:ascii="Times New Roman" w:hAnsi="Times New Roman"/>
        </w:rPr>
        <w:t>ideal type</w:t>
      </w:r>
      <w:r>
        <w:rPr>
          <w:rFonts w:ascii="Times New Roman" w:hAnsi="Times New Roman"/>
        </w:rPr>
        <w:t>”</w:t>
      </w:r>
      <w:r w:rsidRPr="002C7571">
        <w:rPr>
          <w:rFonts w:ascii="Times New Roman" w:hAnsi="Times New Roman"/>
        </w:rPr>
        <w:t xml:space="preserve"> in terms of </w:t>
      </w:r>
      <w:r>
        <w:rPr>
          <w:rFonts w:ascii="Times New Roman" w:hAnsi="Times New Roman"/>
        </w:rPr>
        <w:t>“</w:t>
      </w:r>
      <w:r w:rsidRPr="002C7571">
        <w:rPr>
          <w:rFonts w:ascii="Times New Roman" w:hAnsi="Times New Roman"/>
        </w:rPr>
        <w:t>premiums paid in advance, guaranteed indemnity in the event of a covered loss, and risk-based premiums based on the best available information regarding the expected losses of the individual insured</w:t>
      </w:r>
      <w:r>
        <w:rPr>
          <w:rFonts w:ascii="Times New Roman" w:hAnsi="Times New Roman"/>
        </w:rPr>
        <w:t>”.</w:t>
      </w:r>
    </w:p>
  </w:footnote>
  <w:footnote w:id="55">
    <w:p w:rsidR="00400D3C" w:rsidRDefault="00400D3C">
      <w:pPr>
        <w:pStyle w:val="FootnoteText"/>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J Simon, </w:t>
      </w:r>
      <w:r>
        <w:rPr>
          <w:rFonts w:ascii="Times New Roman" w:hAnsi="Times New Roman"/>
        </w:rPr>
        <w:t xml:space="preserve">“The </w:t>
      </w:r>
      <w:r w:rsidRPr="002C7571">
        <w:rPr>
          <w:rFonts w:ascii="Times New Roman" w:hAnsi="Times New Roman"/>
        </w:rPr>
        <w:t>Ideological Effects of Actuarial Practices</w:t>
      </w:r>
      <w:r>
        <w:rPr>
          <w:rFonts w:ascii="Times New Roman" w:hAnsi="Times New Roman"/>
        </w:rPr>
        <w:t>”</w:t>
      </w:r>
      <w:r w:rsidRPr="002C7571">
        <w:rPr>
          <w:rFonts w:ascii="Times New Roman" w:hAnsi="Times New Roman"/>
        </w:rPr>
        <w:t xml:space="preserve"> (1988) 22 </w:t>
      </w:r>
      <w:r w:rsidRPr="002C7571">
        <w:rPr>
          <w:rFonts w:ascii="Times New Roman" w:hAnsi="Times New Roman"/>
          <w:i/>
        </w:rPr>
        <w:t xml:space="preserve">Law and Society Review </w:t>
      </w:r>
      <w:r w:rsidRPr="002C7571">
        <w:rPr>
          <w:rFonts w:ascii="Times New Roman" w:hAnsi="Times New Roman"/>
        </w:rPr>
        <w:t>771.</w:t>
      </w:r>
      <w:r>
        <w:rPr>
          <w:rFonts w:ascii="Times New Roman" w:hAnsi="Times New Roman"/>
        </w:rPr>
        <w:t xml:space="preserve"> This article made express connections between tort and criminology.</w:t>
      </w:r>
    </w:p>
  </w:footnote>
  <w:footnote w:id="56">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r>
      <w:proofErr w:type="gramStart"/>
      <w:r w:rsidRPr="002C7571">
        <w:rPr>
          <w:rFonts w:ascii="Times New Roman" w:hAnsi="Times New Roman"/>
        </w:rPr>
        <w:t xml:space="preserve">Baker and Simon, above, </w:t>
      </w:r>
      <w:r w:rsidR="009E5650">
        <w:rPr>
          <w:rFonts w:ascii="Times New Roman" w:hAnsi="Times New Roman"/>
        </w:rPr>
        <w:fldChar w:fldCharType="begin"/>
      </w:r>
      <w:r>
        <w:rPr>
          <w:rFonts w:ascii="Times New Roman" w:hAnsi="Times New Roman"/>
        </w:rPr>
        <w:instrText xml:space="preserve"> NOTEREF _Ref293614827 \h </w:instrText>
      </w:r>
      <w:r w:rsidR="009E5650">
        <w:rPr>
          <w:rFonts w:ascii="Times New Roman" w:hAnsi="Times New Roman"/>
        </w:rPr>
      </w:r>
      <w:r w:rsidR="009E5650">
        <w:rPr>
          <w:rFonts w:ascii="Times New Roman" w:hAnsi="Times New Roman"/>
        </w:rPr>
        <w:fldChar w:fldCharType="separate"/>
      </w:r>
      <w:r>
        <w:rPr>
          <w:rFonts w:ascii="Times New Roman" w:hAnsi="Times New Roman"/>
        </w:rPr>
        <w:t>4</w:t>
      </w:r>
      <w:r w:rsidR="005E3BAF">
        <w:rPr>
          <w:rFonts w:ascii="Times New Roman" w:hAnsi="Times New Roman"/>
        </w:rPr>
        <w:t>5</w:t>
      </w:r>
      <w:r w:rsidR="009E5650">
        <w:rPr>
          <w:rFonts w:ascii="Times New Roman" w:hAnsi="Times New Roman"/>
        </w:rPr>
        <w:fldChar w:fldCharType="end"/>
      </w:r>
      <w:r w:rsidRPr="002C7571">
        <w:rPr>
          <w:rFonts w:ascii="Times New Roman" w:hAnsi="Times New Roman"/>
        </w:rPr>
        <w:t>.</w:t>
      </w:r>
      <w:proofErr w:type="gramEnd"/>
      <w:r w:rsidRPr="002C7571">
        <w:rPr>
          <w:rFonts w:ascii="Times New Roman" w:hAnsi="Times New Roman"/>
        </w:rPr>
        <w:t xml:space="preserve"> Interestingly, Simon (in earlier work) has described workers’ compensation as the “blueprint for the </w:t>
      </w:r>
      <w:r>
        <w:rPr>
          <w:rFonts w:ascii="Times New Roman" w:hAnsi="Times New Roman"/>
        </w:rPr>
        <w:t>government of maturing industrial society</w:t>
      </w:r>
      <w:r w:rsidRPr="002C7571">
        <w:rPr>
          <w:rFonts w:ascii="Times New Roman" w:hAnsi="Times New Roman"/>
        </w:rPr>
        <w:t xml:space="preserve">”: J Simon, </w:t>
      </w:r>
      <w:r>
        <w:rPr>
          <w:rFonts w:ascii="Times New Roman" w:hAnsi="Times New Roman"/>
        </w:rPr>
        <w:t>“</w:t>
      </w:r>
      <w:r w:rsidRPr="002C7571">
        <w:rPr>
          <w:rFonts w:ascii="Times New Roman" w:hAnsi="Times New Roman"/>
        </w:rPr>
        <w:t xml:space="preserve">Driving Governmentality: Automobile Accidents, Insurance, and the Challenge </w:t>
      </w:r>
      <w:r>
        <w:rPr>
          <w:rFonts w:ascii="Times New Roman" w:hAnsi="Times New Roman"/>
        </w:rPr>
        <w:t>t</w:t>
      </w:r>
      <w:r w:rsidRPr="002C7571">
        <w:rPr>
          <w:rFonts w:ascii="Times New Roman" w:hAnsi="Times New Roman"/>
        </w:rPr>
        <w:t>o Social Order in the Inter-war Years, 1919</w:t>
      </w:r>
      <w:r>
        <w:rPr>
          <w:rFonts w:ascii="Times New Roman" w:hAnsi="Times New Roman"/>
        </w:rPr>
        <w:t xml:space="preserve"> to </w:t>
      </w:r>
      <w:r w:rsidRPr="002C7571">
        <w:rPr>
          <w:rFonts w:ascii="Times New Roman" w:hAnsi="Times New Roman"/>
        </w:rPr>
        <w:t>1941</w:t>
      </w:r>
      <w:r>
        <w:rPr>
          <w:rFonts w:ascii="Times New Roman" w:hAnsi="Times New Roman"/>
        </w:rPr>
        <w:t>”</w:t>
      </w:r>
      <w:r w:rsidRPr="002C7571">
        <w:rPr>
          <w:rFonts w:ascii="Times New Roman" w:hAnsi="Times New Roman"/>
        </w:rPr>
        <w:t xml:space="preserve"> (</w:t>
      </w:r>
      <w:r>
        <w:rPr>
          <w:rFonts w:ascii="Times New Roman" w:hAnsi="Times New Roman"/>
        </w:rPr>
        <w:t>19</w:t>
      </w:r>
      <w:r w:rsidRPr="002C7571">
        <w:rPr>
          <w:rFonts w:ascii="Times New Roman" w:hAnsi="Times New Roman"/>
        </w:rPr>
        <w:t xml:space="preserve">98) 4 </w:t>
      </w:r>
      <w:r w:rsidRPr="002C7571">
        <w:rPr>
          <w:rFonts w:ascii="Times New Roman" w:hAnsi="Times New Roman"/>
          <w:i/>
        </w:rPr>
        <w:t xml:space="preserve">Connecticut Insurance Law Journal </w:t>
      </w:r>
      <w:r w:rsidRPr="002C7571">
        <w:rPr>
          <w:rFonts w:ascii="Times New Roman" w:hAnsi="Times New Roman"/>
        </w:rPr>
        <w:t>521</w:t>
      </w:r>
      <w:r>
        <w:rPr>
          <w:rFonts w:ascii="Times New Roman" w:hAnsi="Times New Roman"/>
        </w:rPr>
        <w:t xml:space="preserve"> at 524</w:t>
      </w:r>
      <w:r w:rsidRPr="002C7571">
        <w:rPr>
          <w:rFonts w:ascii="Times New Roman" w:hAnsi="Times New Roman"/>
        </w:rPr>
        <w:t>.</w:t>
      </w:r>
    </w:p>
  </w:footnote>
  <w:footnote w:id="57">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ATE insurance is bought when litigation is commenced and covers the chance that a </w:t>
      </w:r>
      <w:r>
        <w:rPr>
          <w:rFonts w:ascii="Times New Roman" w:hAnsi="Times New Roman"/>
        </w:rPr>
        <w:t xml:space="preserve">plaintiff </w:t>
      </w:r>
      <w:r w:rsidRPr="002C7571">
        <w:rPr>
          <w:rFonts w:ascii="Times New Roman" w:hAnsi="Times New Roman"/>
        </w:rPr>
        <w:t xml:space="preserve">will become liable for a defendant’s </w:t>
      </w:r>
      <w:r>
        <w:rPr>
          <w:rFonts w:ascii="Times New Roman" w:hAnsi="Times New Roman"/>
        </w:rPr>
        <w:t>costs</w:t>
      </w:r>
      <w:r w:rsidRPr="002C7571">
        <w:rPr>
          <w:rFonts w:ascii="Times New Roman" w:hAnsi="Times New Roman"/>
        </w:rPr>
        <w:t>.</w:t>
      </w:r>
    </w:p>
  </w:footnote>
  <w:footnote w:id="58">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r>
      <w:r w:rsidRPr="002C7571">
        <w:rPr>
          <w:rFonts w:ascii="Times New Roman" w:hAnsi="Times New Roman"/>
          <w:i/>
        </w:rPr>
        <w:t xml:space="preserve">Equitas </w:t>
      </w:r>
      <w:r>
        <w:rPr>
          <w:rFonts w:ascii="Times New Roman" w:hAnsi="Times New Roman"/>
          <w:i/>
        </w:rPr>
        <w:t xml:space="preserve">Ltd </w:t>
      </w:r>
      <w:r w:rsidRPr="002C7571">
        <w:rPr>
          <w:rFonts w:ascii="Times New Roman" w:hAnsi="Times New Roman"/>
          <w:i/>
        </w:rPr>
        <w:t>v R</w:t>
      </w:r>
      <w:r>
        <w:rPr>
          <w:rFonts w:ascii="Times New Roman" w:hAnsi="Times New Roman"/>
          <w:i/>
        </w:rPr>
        <w:t xml:space="preserve"> </w:t>
      </w:r>
      <w:r w:rsidRPr="002C7571">
        <w:rPr>
          <w:rFonts w:ascii="Times New Roman" w:hAnsi="Times New Roman"/>
          <w:i/>
        </w:rPr>
        <w:t>&amp;</w:t>
      </w:r>
      <w:r>
        <w:rPr>
          <w:rFonts w:ascii="Times New Roman" w:hAnsi="Times New Roman"/>
          <w:i/>
        </w:rPr>
        <w:t xml:space="preserve"> </w:t>
      </w:r>
      <w:r w:rsidRPr="002C7571">
        <w:rPr>
          <w:rFonts w:ascii="Times New Roman" w:hAnsi="Times New Roman"/>
          <w:i/>
        </w:rPr>
        <w:t xml:space="preserve">Q Reinsurance </w:t>
      </w:r>
      <w:r>
        <w:rPr>
          <w:rFonts w:ascii="Times New Roman" w:hAnsi="Times New Roman"/>
          <w:i/>
        </w:rPr>
        <w:t xml:space="preserve">Co </w:t>
      </w:r>
      <w:r w:rsidRPr="002C7571">
        <w:rPr>
          <w:rFonts w:ascii="Times New Roman" w:hAnsi="Times New Roman"/>
          <w:i/>
        </w:rPr>
        <w:t xml:space="preserve">(UK) Ltd </w:t>
      </w:r>
      <w:r w:rsidRPr="002C7571">
        <w:rPr>
          <w:rFonts w:ascii="Times New Roman" w:hAnsi="Times New Roman"/>
        </w:rPr>
        <w:t xml:space="preserve">[2009] EWHC 2787 (Comm), holding that actuarial modelling would provide a </w:t>
      </w:r>
      <w:r>
        <w:rPr>
          <w:rFonts w:ascii="Times New Roman" w:hAnsi="Times New Roman"/>
        </w:rPr>
        <w:t>“</w:t>
      </w:r>
      <w:r w:rsidRPr="002C7571">
        <w:rPr>
          <w:rFonts w:ascii="Times New Roman" w:hAnsi="Times New Roman"/>
        </w:rPr>
        <w:t>reasonable representation of reality</w:t>
      </w:r>
      <w:r>
        <w:rPr>
          <w:rFonts w:ascii="Times New Roman" w:hAnsi="Times New Roman"/>
        </w:rPr>
        <w:t>”</w:t>
      </w:r>
      <w:r w:rsidRPr="002C7571">
        <w:rPr>
          <w:rFonts w:ascii="Times New Roman" w:hAnsi="Times New Roman"/>
        </w:rPr>
        <w:t xml:space="preserve"> in order to trace these liabilities. The losses concerned arose from the Exxon Valdez oil spill, and the damage to Kuwaiti aircraft during the Iraqi invasion.</w:t>
      </w:r>
    </w:p>
  </w:footnote>
  <w:footnote w:id="59">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See the description by </w:t>
      </w:r>
      <w:r>
        <w:rPr>
          <w:rFonts w:ascii="Times New Roman" w:hAnsi="Times New Roman"/>
        </w:rPr>
        <w:t xml:space="preserve">T </w:t>
      </w:r>
      <w:r w:rsidRPr="002C7571">
        <w:rPr>
          <w:rFonts w:ascii="Times New Roman" w:hAnsi="Times New Roman"/>
        </w:rPr>
        <w:t xml:space="preserve">Baker, </w:t>
      </w:r>
      <w:r>
        <w:rPr>
          <w:rFonts w:ascii="Times New Roman" w:hAnsi="Times New Roman"/>
        </w:rPr>
        <w:t>“</w:t>
      </w:r>
      <w:r w:rsidRPr="002C7571">
        <w:rPr>
          <w:rFonts w:ascii="Times New Roman" w:hAnsi="Times New Roman"/>
        </w:rPr>
        <w:t>Liability Insurance as Tort Regulation: Six Ways that Liability Insurance Shapes Tort Law in Action</w:t>
      </w:r>
      <w:r>
        <w:rPr>
          <w:rFonts w:ascii="Times New Roman" w:hAnsi="Times New Roman"/>
        </w:rPr>
        <w:t>”</w:t>
      </w:r>
      <w:r w:rsidRPr="002C7571">
        <w:rPr>
          <w:rFonts w:ascii="Times New Roman" w:hAnsi="Times New Roman"/>
        </w:rPr>
        <w:t xml:space="preserve"> (2005) 12 </w:t>
      </w:r>
      <w:r w:rsidRPr="002C7571">
        <w:rPr>
          <w:rFonts w:ascii="Times New Roman" w:hAnsi="Times New Roman"/>
          <w:i/>
        </w:rPr>
        <w:t xml:space="preserve">Connecticut Insurance Law Journal </w:t>
      </w:r>
      <w:r w:rsidRPr="002C7571">
        <w:rPr>
          <w:rFonts w:ascii="Times New Roman" w:hAnsi="Times New Roman"/>
        </w:rPr>
        <w:t>1</w:t>
      </w:r>
      <w:r>
        <w:rPr>
          <w:rFonts w:ascii="Times New Roman" w:hAnsi="Times New Roman"/>
        </w:rPr>
        <w:t xml:space="preserve"> at</w:t>
      </w:r>
      <w:r w:rsidRPr="002C7571">
        <w:rPr>
          <w:rFonts w:ascii="Times New Roman" w:hAnsi="Times New Roman"/>
        </w:rPr>
        <w:t xml:space="preserve"> 9: </w:t>
      </w:r>
      <w:r>
        <w:rPr>
          <w:rFonts w:ascii="Times New Roman" w:hAnsi="Times New Roman"/>
        </w:rPr>
        <w:t>“</w:t>
      </w:r>
      <w:r w:rsidRPr="002C7571">
        <w:rPr>
          <w:rFonts w:ascii="Times New Roman" w:hAnsi="Times New Roman"/>
        </w:rPr>
        <w:t>Liability insurance shifts the liability of the particular defendant to an entity for which that liability is simply one among an enormous portfolio of contingent financial obligations.</w:t>
      </w:r>
      <w:r>
        <w:rPr>
          <w:rFonts w:ascii="Times New Roman" w:hAnsi="Times New Roman"/>
        </w:rPr>
        <w:t>”</w:t>
      </w:r>
      <w:r w:rsidRPr="002C7571">
        <w:rPr>
          <w:rFonts w:ascii="Times New Roman" w:hAnsi="Times New Roman"/>
        </w:rPr>
        <w:t xml:space="preserve"> </w:t>
      </w:r>
    </w:p>
  </w:footnote>
  <w:footnote w:id="60">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F Baluch, </w:t>
      </w:r>
      <w:r w:rsidRPr="0073606C">
        <w:rPr>
          <w:rFonts w:ascii="Times New Roman" w:hAnsi="Times New Roman"/>
        </w:rPr>
        <w:t>S Mutenga</w:t>
      </w:r>
      <w:r>
        <w:rPr>
          <w:rFonts w:ascii="Times New Roman" w:hAnsi="Times New Roman"/>
        </w:rPr>
        <w:t xml:space="preserve"> and C Parsons</w:t>
      </w:r>
      <w:r w:rsidRPr="002C7571">
        <w:rPr>
          <w:rFonts w:ascii="Times New Roman" w:hAnsi="Times New Roman"/>
        </w:rPr>
        <w:t xml:space="preserve">, </w:t>
      </w:r>
      <w:r>
        <w:rPr>
          <w:rFonts w:ascii="Times New Roman" w:hAnsi="Times New Roman"/>
        </w:rPr>
        <w:t>“</w:t>
      </w:r>
      <w:r w:rsidRPr="002C7571">
        <w:rPr>
          <w:rFonts w:ascii="Times New Roman" w:hAnsi="Times New Roman"/>
        </w:rPr>
        <w:t>Insurance, Systemic Risk and the Financial Crisis</w:t>
      </w:r>
      <w:r>
        <w:rPr>
          <w:rFonts w:ascii="Times New Roman" w:hAnsi="Times New Roman"/>
        </w:rPr>
        <w:t>”</w:t>
      </w:r>
      <w:r w:rsidRPr="002C7571">
        <w:rPr>
          <w:rFonts w:ascii="Times New Roman" w:hAnsi="Times New Roman"/>
        </w:rPr>
        <w:t xml:space="preserve"> (2011) 36 </w:t>
      </w:r>
      <w:r w:rsidRPr="0073606C">
        <w:rPr>
          <w:rFonts w:ascii="Times New Roman" w:hAnsi="Times New Roman"/>
          <w:i/>
        </w:rPr>
        <w:t xml:space="preserve">Geneva Papers on Risk and Insurance </w:t>
      </w:r>
      <w:r w:rsidRPr="002C7571">
        <w:rPr>
          <w:rFonts w:ascii="Times New Roman" w:hAnsi="Times New Roman"/>
        </w:rPr>
        <w:t xml:space="preserve">126. Underlining this point, Zurich’s recent guidance to Public Authorities on holistic risk management and </w:t>
      </w:r>
      <w:r>
        <w:rPr>
          <w:rFonts w:ascii="Times New Roman" w:hAnsi="Times New Roman"/>
        </w:rPr>
        <w:t>“</w:t>
      </w:r>
      <w:r w:rsidRPr="002C7571">
        <w:rPr>
          <w:rFonts w:ascii="Times New Roman" w:hAnsi="Times New Roman"/>
        </w:rPr>
        <w:t>resilience</w:t>
      </w:r>
      <w:r>
        <w:rPr>
          <w:rFonts w:ascii="Times New Roman" w:hAnsi="Times New Roman"/>
        </w:rPr>
        <w:t>”</w:t>
      </w:r>
      <w:r w:rsidRPr="002C7571">
        <w:rPr>
          <w:rFonts w:ascii="Times New Roman" w:hAnsi="Times New Roman"/>
        </w:rPr>
        <w:t xml:space="preserve"> in the post-crisis economy makes no specific mention of legal liabilities, despite repeated concerns (amongst lawyers and politicians) over public authority liability: </w:t>
      </w:r>
      <w:r>
        <w:rPr>
          <w:rFonts w:ascii="Times New Roman" w:hAnsi="Times New Roman"/>
        </w:rPr>
        <w:t xml:space="preserve">Zurich Municipal, </w:t>
      </w:r>
      <w:r w:rsidRPr="002C7571">
        <w:rPr>
          <w:rFonts w:ascii="Times New Roman" w:hAnsi="Times New Roman"/>
          <w:i/>
        </w:rPr>
        <w:t>Building Resilience</w:t>
      </w:r>
      <w:r w:rsidRPr="003025A4">
        <w:rPr>
          <w:rFonts w:ascii="Times New Roman" w:hAnsi="Times New Roman"/>
          <w:i/>
        </w:rPr>
        <w:t>: Developing a “Whole Risk” Approach to Managing Risk and Uncertainty</w:t>
      </w:r>
      <w:r w:rsidRPr="002C7571">
        <w:rPr>
          <w:rFonts w:ascii="Times New Roman" w:hAnsi="Times New Roman"/>
        </w:rPr>
        <w:t xml:space="preserve"> (Zurich Municipal, </w:t>
      </w:r>
      <w:r w:rsidRPr="002C7571">
        <w:rPr>
          <w:rFonts w:ascii="Times New Roman" w:hAnsi="Times New Roman"/>
          <w:lang w:eastAsia="en-GB"/>
        </w:rPr>
        <w:t>Farnborough</w:t>
      </w:r>
      <w:r w:rsidRPr="003025A4">
        <w:rPr>
          <w:rFonts w:ascii="Times New Roman" w:hAnsi="Times New Roman"/>
        </w:rPr>
        <w:t xml:space="preserve"> Hampshire</w:t>
      </w:r>
      <w:r>
        <w:rPr>
          <w:rFonts w:ascii="Times New Roman" w:hAnsi="Times New Roman"/>
        </w:rPr>
        <w:t xml:space="preserve">, </w:t>
      </w:r>
      <w:r w:rsidRPr="002C7571">
        <w:rPr>
          <w:rFonts w:ascii="Times New Roman" w:hAnsi="Times New Roman"/>
        </w:rPr>
        <w:t>2010).</w:t>
      </w:r>
    </w:p>
  </w:footnote>
  <w:footnote w:id="61">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See the earlier discussion of </w:t>
      </w:r>
      <w:r w:rsidRPr="002C7571">
        <w:rPr>
          <w:rFonts w:ascii="Times New Roman" w:hAnsi="Times New Roman"/>
          <w:i/>
        </w:rPr>
        <w:t>Smith v Bush</w:t>
      </w:r>
      <w:r>
        <w:rPr>
          <w:rFonts w:ascii="Times New Roman" w:hAnsi="Times New Roman"/>
          <w:i/>
        </w:rPr>
        <w:t xml:space="preserve"> </w:t>
      </w:r>
      <w:r>
        <w:rPr>
          <w:rFonts w:ascii="Times New Roman" w:hAnsi="Times New Roman"/>
        </w:rPr>
        <w:t xml:space="preserve">above n </w:t>
      </w:r>
      <w:r w:rsidR="009E5650">
        <w:rPr>
          <w:rFonts w:ascii="Times New Roman" w:hAnsi="Times New Roman"/>
        </w:rPr>
        <w:fldChar w:fldCharType="begin"/>
      </w:r>
      <w:r>
        <w:rPr>
          <w:rFonts w:ascii="Times New Roman" w:hAnsi="Times New Roman"/>
        </w:rPr>
        <w:instrText xml:space="preserve"> NOTEREF _Ref293597246 \h </w:instrText>
      </w:r>
      <w:r w:rsidR="009E5650">
        <w:rPr>
          <w:rFonts w:ascii="Times New Roman" w:hAnsi="Times New Roman"/>
        </w:rPr>
      </w:r>
      <w:r w:rsidR="009E5650">
        <w:rPr>
          <w:rFonts w:ascii="Times New Roman" w:hAnsi="Times New Roman"/>
        </w:rPr>
        <w:fldChar w:fldCharType="separate"/>
      </w:r>
      <w:r>
        <w:rPr>
          <w:rFonts w:ascii="Times New Roman" w:hAnsi="Times New Roman"/>
        </w:rPr>
        <w:t>25</w:t>
      </w:r>
      <w:r w:rsidR="009E5650">
        <w:rPr>
          <w:rFonts w:ascii="Times New Roman" w:hAnsi="Times New Roman"/>
        </w:rPr>
        <w:fldChar w:fldCharType="end"/>
      </w:r>
      <w:r w:rsidRPr="002C7571">
        <w:rPr>
          <w:rFonts w:ascii="Times New Roman" w:hAnsi="Times New Roman"/>
        </w:rPr>
        <w:t xml:space="preserve">: this need not mean insurance. It may mean entering into a contract for advice on the transaction – itself backed by indemnity insurance. In </w:t>
      </w:r>
      <w:r w:rsidRPr="002C7571">
        <w:rPr>
          <w:rFonts w:ascii="Times New Roman" w:hAnsi="Times New Roman"/>
          <w:i/>
        </w:rPr>
        <w:t xml:space="preserve">Smith v Bush </w:t>
      </w:r>
      <w:r w:rsidRPr="002C7571">
        <w:rPr>
          <w:rFonts w:ascii="Times New Roman" w:hAnsi="Times New Roman"/>
        </w:rPr>
        <w:t xml:space="preserve">however, the </w:t>
      </w:r>
      <w:r>
        <w:rPr>
          <w:rFonts w:ascii="Times New Roman" w:hAnsi="Times New Roman"/>
        </w:rPr>
        <w:t>plaintiff</w:t>
      </w:r>
      <w:r w:rsidRPr="002C7571">
        <w:rPr>
          <w:rFonts w:ascii="Times New Roman" w:hAnsi="Times New Roman"/>
        </w:rPr>
        <w:t>s would then have needed to pay twice – for advice to the lender, and for advice to themselves – in circumstances where the purpose of the advice was connected with the intended purchase.</w:t>
      </w:r>
    </w:p>
  </w:footnote>
  <w:footnote w:id="62">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r>
      <w:r w:rsidRPr="002C7571">
        <w:rPr>
          <w:rFonts w:ascii="Times New Roman" w:hAnsi="Times New Roman"/>
          <w:i/>
        </w:rPr>
        <w:t xml:space="preserve">Richardson v Pitt-Stanley </w:t>
      </w:r>
      <w:r w:rsidRPr="002C7571">
        <w:rPr>
          <w:rFonts w:ascii="Times New Roman" w:hAnsi="Times New Roman"/>
        </w:rPr>
        <w:t>[1995] QB 123</w:t>
      </w:r>
      <w:r>
        <w:rPr>
          <w:rFonts w:ascii="Times New Roman" w:hAnsi="Times New Roman"/>
        </w:rPr>
        <w:t xml:space="preserve"> (CA)</w:t>
      </w:r>
      <w:r w:rsidRPr="002C7571">
        <w:rPr>
          <w:rFonts w:ascii="Times New Roman" w:hAnsi="Times New Roman"/>
        </w:rPr>
        <w:t xml:space="preserve">. Stuart-Smith LJ </w:t>
      </w:r>
      <w:r>
        <w:rPr>
          <w:rFonts w:ascii="Times New Roman" w:hAnsi="Times New Roman"/>
        </w:rPr>
        <w:t xml:space="preserve">at 131 </w:t>
      </w:r>
      <w:r w:rsidRPr="002C7571">
        <w:rPr>
          <w:rFonts w:ascii="Times New Roman" w:hAnsi="Times New Roman"/>
        </w:rPr>
        <w:t xml:space="preserve">took the </w:t>
      </w:r>
      <w:r>
        <w:rPr>
          <w:rFonts w:ascii="Times New Roman" w:hAnsi="Times New Roman"/>
        </w:rPr>
        <w:t xml:space="preserve">formalistic </w:t>
      </w:r>
      <w:r w:rsidRPr="002C7571">
        <w:rPr>
          <w:rFonts w:ascii="Times New Roman" w:hAnsi="Times New Roman"/>
        </w:rPr>
        <w:t xml:space="preserve">view </w:t>
      </w:r>
      <w:r>
        <w:rPr>
          <w:rFonts w:ascii="Times New Roman" w:hAnsi="Times New Roman"/>
        </w:rPr>
        <w:t xml:space="preserve">(itself contrasting with the approach in </w:t>
      </w:r>
      <w:r>
        <w:rPr>
          <w:rFonts w:ascii="Times New Roman" w:hAnsi="Times New Roman"/>
          <w:i/>
        </w:rPr>
        <w:t xml:space="preserve">Smith v </w:t>
      </w:r>
      <w:r w:rsidRPr="00400D3C">
        <w:rPr>
          <w:rFonts w:ascii="Times New Roman" w:hAnsi="Times New Roman"/>
          <w:i/>
        </w:rPr>
        <w:t>Bush</w:t>
      </w:r>
      <w:r>
        <w:rPr>
          <w:rFonts w:ascii="Times New Roman" w:hAnsi="Times New Roman"/>
        </w:rPr>
        <w:t xml:space="preserve">) </w:t>
      </w:r>
      <w:r w:rsidRPr="00400D3C">
        <w:rPr>
          <w:rFonts w:ascii="Times New Roman" w:hAnsi="Times New Roman"/>
        </w:rPr>
        <w:t>that</w:t>
      </w:r>
      <w:r w:rsidRPr="002C7571">
        <w:rPr>
          <w:rFonts w:ascii="Times New Roman" w:hAnsi="Times New Roman"/>
        </w:rPr>
        <w:t xml:space="preserve"> </w:t>
      </w:r>
      <w:r>
        <w:rPr>
          <w:rFonts w:ascii="Times New Roman" w:hAnsi="Times New Roman"/>
        </w:rPr>
        <w:t>“</w:t>
      </w:r>
      <w:r w:rsidRPr="002C7571">
        <w:rPr>
          <w:rFonts w:ascii="Times New Roman" w:hAnsi="Times New Roman"/>
        </w:rPr>
        <w:t xml:space="preserve">Insurance is </w:t>
      </w:r>
      <w:r>
        <w:rPr>
          <w:rFonts w:ascii="Times New Roman" w:hAnsi="Times New Roman"/>
        </w:rPr>
        <w:t xml:space="preserve">normally </w:t>
      </w:r>
      <w:r w:rsidRPr="002C7571">
        <w:rPr>
          <w:rFonts w:ascii="Times New Roman" w:hAnsi="Times New Roman"/>
        </w:rPr>
        <w:t xml:space="preserve">taken out for the </w:t>
      </w:r>
      <w:r>
        <w:rPr>
          <w:rFonts w:ascii="Times New Roman" w:hAnsi="Times New Roman"/>
        </w:rPr>
        <w:t xml:space="preserve">protection </w:t>
      </w:r>
      <w:r w:rsidRPr="002C7571">
        <w:rPr>
          <w:rFonts w:ascii="Times New Roman" w:hAnsi="Times New Roman"/>
        </w:rPr>
        <w:t>of the insured</w:t>
      </w:r>
      <w:r>
        <w:rPr>
          <w:rFonts w:ascii="Times New Roman" w:hAnsi="Times New Roman"/>
        </w:rPr>
        <w:t>”</w:t>
      </w:r>
      <w:r w:rsidRPr="002C7571">
        <w:rPr>
          <w:rFonts w:ascii="Times New Roman" w:hAnsi="Times New Roman"/>
        </w:rPr>
        <w:t xml:space="preserve"> – the </w:t>
      </w:r>
      <w:r w:rsidRPr="002C7571">
        <w:rPr>
          <w:rFonts w:ascii="Times New Roman" w:hAnsi="Times New Roman"/>
          <w:i/>
        </w:rPr>
        <w:t>Employers Liability (Compulsory Insurance) Act 1969</w:t>
      </w:r>
      <w:r w:rsidRPr="002C7571">
        <w:rPr>
          <w:rFonts w:ascii="Times New Roman" w:hAnsi="Times New Roman"/>
        </w:rPr>
        <w:t xml:space="preserve"> </w:t>
      </w:r>
      <w:r>
        <w:rPr>
          <w:rFonts w:ascii="Times New Roman" w:hAnsi="Times New Roman"/>
        </w:rPr>
        <w:t xml:space="preserve">(UK) </w:t>
      </w:r>
      <w:r w:rsidRPr="002C7571">
        <w:rPr>
          <w:rFonts w:ascii="Times New Roman" w:hAnsi="Times New Roman"/>
        </w:rPr>
        <w:t xml:space="preserve">therefore did not pass the actionability tests for breach of statutory duty. This does not fit with the purposes behind Parliament’s actions in passing </w:t>
      </w:r>
      <w:r>
        <w:rPr>
          <w:rFonts w:ascii="Times New Roman" w:hAnsi="Times New Roman"/>
        </w:rPr>
        <w:t xml:space="preserve">this </w:t>
      </w:r>
      <w:r w:rsidRPr="002C7571">
        <w:rPr>
          <w:rFonts w:ascii="Times New Roman" w:hAnsi="Times New Roman"/>
        </w:rPr>
        <w:t>Act – which were undoubtedly aimed at protecting the employee.</w:t>
      </w:r>
    </w:p>
  </w:footnote>
  <w:footnote w:id="63">
    <w:p w:rsidR="00400D3C" w:rsidRDefault="00400D3C">
      <w:pPr>
        <w:pStyle w:val="FootnoteText"/>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r>
      <w:proofErr w:type="gramStart"/>
      <w:r>
        <w:rPr>
          <w:rFonts w:ascii="Times New Roman" w:hAnsi="Times New Roman"/>
        </w:rPr>
        <w:t xml:space="preserve">Above n </w:t>
      </w:r>
      <w:r w:rsidR="009E5650">
        <w:rPr>
          <w:rFonts w:ascii="Times New Roman" w:hAnsi="Times New Roman"/>
        </w:rPr>
        <w:fldChar w:fldCharType="begin"/>
      </w:r>
      <w:r>
        <w:rPr>
          <w:rFonts w:ascii="Times New Roman" w:hAnsi="Times New Roman"/>
        </w:rPr>
        <w:instrText xml:space="preserve"> NOTEREF _Ref293704719 \h </w:instrText>
      </w:r>
      <w:r w:rsidR="009E5650">
        <w:rPr>
          <w:rFonts w:ascii="Times New Roman" w:hAnsi="Times New Roman"/>
        </w:rPr>
      </w:r>
      <w:r w:rsidR="009E5650">
        <w:rPr>
          <w:rFonts w:ascii="Times New Roman" w:hAnsi="Times New Roman"/>
        </w:rPr>
        <w:fldChar w:fldCharType="separate"/>
      </w:r>
      <w:r>
        <w:rPr>
          <w:rFonts w:ascii="Times New Roman" w:hAnsi="Times New Roman"/>
        </w:rPr>
        <w:t>29</w:t>
      </w:r>
      <w:r w:rsidR="009E5650">
        <w:rPr>
          <w:rFonts w:ascii="Times New Roman" w:hAnsi="Times New Roman"/>
        </w:rPr>
        <w:fldChar w:fldCharType="end"/>
      </w:r>
      <w:r>
        <w:rPr>
          <w:rFonts w:ascii="Times New Roman" w:hAnsi="Times New Roman"/>
        </w:rPr>
        <w:t>.</w:t>
      </w:r>
      <w:proofErr w:type="gramEnd"/>
    </w:p>
  </w:footnote>
  <w:footnote w:id="64">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r>
      <w:proofErr w:type="spellStart"/>
      <w:r w:rsidRPr="002C7571">
        <w:rPr>
          <w:rFonts w:ascii="Times New Roman" w:hAnsi="Times New Roman"/>
        </w:rPr>
        <w:t>Rix</w:t>
      </w:r>
      <w:proofErr w:type="spellEnd"/>
      <w:r w:rsidRPr="002C7571">
        <w:rPr>
          <w:rFonts w:ascii="Times New Roman" w:hAnsi="Times New Roman"/>
        </w:rPr>
        <w:t xml:space="preserve"> LJ thought that some of the employers in </w:t>
      </w:r>
      <w:r w:rsidRPr="002C7571">
        <w:rPr>
          <w:rFonts w:ascii="Times New Roman" w:hAnsi="Times New Roman"/>
          <w:i/>
        </w:rPr>
        <w:t xml:space="preserve">Durham v BAI </w:t>
      </w:r>
      <w:r w:rsidRPr="002C7571">
        <w:rPr>
          <w:rFonts w:ascii="Times New Roman" w:hAnsi="Times New Roman"/>
        </w:rPr>
        <w:t xml:space="preserve">had unknowingly failed to </w:t>
      </w:r>
      <w:r>
        <w:rPr>
          <w:rFonts w:ascii="Times New Roman" w:hAnsi="Times New Roman"/>
        </w:rPr>
        <w:t>“</w:t>
      </w:r>
      <w:r w:rsidRPr="002C7571">
        <w:rPr>
          <w:rFonts w:ascii="Times New Roman" w:hAnsi="Times New Roman"/>
        </w:rPr>
        <w:t>maintain</w:t>
      </w:r>
      <w:r>
        <w:rPr>
          <w:rFonts w:ascii="Times New Roman" w:hAnsi="Times New Roman"/>
        </w:rPr>
        <w:t>”</w:t>
      </w:r>
      <w:r w:rsidRPr="002C7571">
        <w:rPr>
          <w:rFonts w:ascii="Times New Roman" w:hAnsi="Times New Roman"/>
        </w:rPr>
        <w:t xml:space="preserve"> insurance cover as required by statute for some of the liabilities, despite paying </w:t>
      </w:r>
      <w:r>
        <w:rPr>
          <w:rFonts w:ascii="Times New Roman" w:hAnsi="Times New Roman"/>
        </w:rPr>
        <w:t xml:space="preserve">premiums </w:t>
      </w:r>
      <w:r w:rsidRPr="002C7571">
        <w:rPr>
          <w:rFonts w:ascii="Times New Roman" w:hAnsi="Times New Roman"/>
        </w:rPr>
        <w:t>in each year of employment, as a consequence of his own interpretation of the policies. He did not consider that an insuperable objection to that interpretation. This does seem rather narrow, as a way of interpreting the influence of the statutory duty to insure.</w:t>
      </w:r>
    </w:p>
  </w:footnote>
  <w:footnote w:id="65">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r>
      <w:proofErr w:type="spellStart"/>
      <w:r w:rsidRPr="002C7571">
        <w:rPr>
          <w:rFonts w:ascii="Times New Roman" w:hAnsi="Times New Roman"/>
          <w:i/>
        </w:rPr>
        <w:t>McNeilly</w:t>
      </w:r>
      <w:proofErr w:type="spellEnd"/>
      <w:r w:rsidRPr="002C7571">
        <w:rPr>
          <w:rFonts w:ascii="Times New Roman" w:hAnsi="Times New Roman"/>
          <w:i/>
        </w:rPr>
        <w:t xml:space="preserve"> v </w:t>
      </w:r>
      <w:proofErr w:type="spellStart"/>
      <w:r w:rsidRPr="002C7571">
        <w:rPr>
          <w:rFonts w:ascii="Times New Roman" w:hAnsi="Times New Roman"/>
          <w:i/>
        </w:rPr>
        <w:t>Imbree</w:t>
      </w:r>
      <w:proofErr w:type="spellEnd"/>
      <w:r>
        <w:rPr>
          <w:rFonts w:ascii="Times New Roman" w:hAnsi="Times New Roman"/>
        </w:rPr>
        <w:t xml:space="preserve"> above n</w:t>
      </w:r>
      <w:r w:rsidRPr="002C7571">
        <w:rPr>
          <w:rFonts w:ascii="Times New Roman" w:hAnsi="Times New Roman"/>
        </w:rPr>
        <w:t xml:space="preserve"> </w:t>
      </w:r>
      <w:r w:rsidR="005D3E1D">
        <w:rPr>
          <w:rFonts w:ascii="Times New Roman" w:hAnsi="Times New Roman"/>
        </w:rPr>
        <w:t>25</w:t>
      </w:r>
      <w:r w:rsidRPr="002C7571">
        <w:rPr>
          <w:rFonts w:ascii="Times New Roman" w:hAnsi="Times New Roman"/>
        </w:rPr>
        <w:t xml:space="preserve">. This was a case involving </w:t>
      </w:r>
      <w:r>
        <w:rPr>
          <w:rFonts w:ascii="Times New Roman" w:hAnsi="Times New Roman"/>
        </w:rPr>
        <w:t xml:space="preserve">third party personal injury </w:t>
      </w:r>
      <w:r w:rsidRPr="002C7571">
        <w:rPr>
          <w:rFonts w:ascii="Times New Roman" w:hAnsi="Times New Roman"/>
        </w:rPr>
        <w:t>insurance, and Kirby J was at pains to underline the importance of its compulsory nature to his decision that the standard of care was not variable.</w:t>
      </w:r>
    </w:p>
  </w:footnote>
  <w:footnote w:id="66">
    <w:p w:rsidR="00400D3C" w:rsidRDefault="00400D3C">
      <w:pPr>
        <w:pStyle w:val="FootnoteText"/>
        <w:ind w:left="284" w:hanging="284"/>
        <w:jc w:val="both"/>
        <w:rPr>
          <w:rFonts w:ascii="Times New Roman" w:hAnsi="Times New Roman"/>
        </w:rPr>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Baker, </w:t>
      </w:r>
      <w:r>
        <w:rPr>
          <w:rFonts w:ascii="Times New Roman" w:hAnsi="Times New Roman"/>
        </w:rPr>
        <w:t xml:space="preserve">above </w:t>
      </w:r>
      <w:r w:rsidRPr="002C7571">
        <w:rPr>
          <w:rFonts w:ascii="Times New Roman" w:hAnsi="Times New Roman"/>
        </w:rPr>
        <w:t xml:space="preserve">n </w:t>
      </w:r>
      <w:r w:rsidR="009E5650">
        <w:rPr>
          <w:rFonts w:ascii="Times New Roman" w:hAnsi="Times New Roman"/>
        </w:rPr>
        <w:fldChar w:fldCharType="begin"/>
      </w:r>
      <w:r>
        <w:rPr>
          <w:rFonts w:ascii="Times New Roman" w:hAnsi="Times New Roman"/>
        </w:rPr>
        <w:instrText xml:space="preserve"> NOTEREF _Ref293145544 \h </w:instrText>
      </w:r>
      <w:r w:rsidR="009E5650">
        <w:rPr>
          <w:rFonts w:ascii="Times New Roman" w:hAnsi="Times New Roman"/>
        </w:rPr>
      </w:r>
      <w:r w:rsidR="009E5650">
        <w:rPr>
          <w:rFonts w:ascii="Times New Roman" w:hAnsi="Times New Roman"/>
        </w:rPr>
        <w:fldChar w:fldCharType="separate"/>
      </w:r>
      <w:r>
        <w:rPr>
          <w:rFonts w:ascii="Times New Roman" w:hAnsi="Times New Roman"/>
        </w:rPr>
        <w:t>5</w:t>
      </w:r>
      <w:r w:rsidR="005D3E1D">
        <w:rPr>
          <w:rFonts w:ascii="Times New Roman" w:hAnsi="Times New Roman"/>
        </w:rPr>
        <w:t>8</w:t>
      </w:r>
      <w:r w:rsidR="009E5650">
        <w:rPr>
          <w:rFonts w:ascii="Times New Roman" w:hAnsi="Times New Roman"/>
        </w:rPr>
        <w:fldChar w:fldCharType="end"/>
      </w:r>
      <w:r>
        <w:rPr>
          <w:rFonts w:ascii="Times New Roman" w:hAnsi="Times New Roman"/>
        </w:rPr>
        <w:t xml:space="preserve"> at</w:t>
      </w:r>
      <w:r w:rsidRPr="002C7571">
        <w:rPr>
          <w:rFonts w:ascii="Times New Roman" w:hAnsi="Times New Roman"/>
        </w:rPr>
        <w:t xml:space="preserve"> 9 makes this point with the support not only of experience and observation, but also of qualitative empirical studies: </w:t>
      </w:r>
      <w:r>
        <w:rPr>
          <w:rFonts w:ascii="Times New Roman" w:hAnsi="Times New Roman"/>
        </w:rPr>
        <w:t>“</w:t>
      </w:r>
      <w:r w:rsidRPr="002C7571">
        <w:rPr>
          <w:rFonts w:ascii="Times New Roman" w:hAnsi="Times New Roman"/>
        </w:rPr>
        <w:t>liability insurers have an interest in the development of tort law rules and settlement norms that goes far beyond the interests of any ordinary defendant.</w:t>
      </w:r>
      <w:r>
        <w:rPr>
          <w:rFonts w:ascii="Times New Roman" w:hAnsi="Times New Roman"/>
        </w:rPr>
        <w:t>”</w:t>
      </w:r>
    </w:p>
  </w:footnote>
  <w:footnote w:id="67">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i/>
        </w:rPr>
        <w:t xml:space="preserve"> </w:t>
      </w:r>
      <w:r w:rsidRPr="002C7571">
        <w:rPr>
          <w:rFonts w:ascii="Times New Roman" w:hAnsi="Times New Roman"/>
          <w:i/>
        </w:rPr>
        <w:tab/>
      </w:r>
      <w:r w:rsidRPr="002C7571">
        <w:rPr>
          <w:rFonts w:ascii="Times New Roman" w:hAnsi="Times New Roman"/>
        </w:rPr>
        <w:t xml:space="preserve">[2002] UKHL 22; [2003] 1 AC 32. The House accepted that the approach in </w:t>
      </w:r>
      <w:r w:rsidRPr="002C7571">
        <w:rPr>
          <w:rFonts w:ascii="Times New Roman" w:hAnsi="Times New Roman"/>
          <w:i/>
        </w:rPr>
        <w:t xml:space="preserve">McGhee </w:t>
      </w:r>
      <w:r w:rsidRPr="002C7571">
        <w:rPr>
          <w:rFonts w:ascii="Times New Roman" w:hAnsi="Times New Roman"/>
        </w:rPr>
        <w:t>(by which it was sufficient to show material contribution to risk of harm) could be applied in these circumstances.</w:t>
      </w:r>
    </w:p>
  </w:footnote>
  <w:footnote w:id="68">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A</w:t>
      </w:r>
      <w:r>
        <w:rPr>
          <w:rFonts w:ascii="Times New Roman" w:hAnsi="Times New Roman"/>
        </w:rPr>
        <w:t>ssociation of British Insurers</w:t>
      </w:r>
      <w:r w:rsidRPr="002C7571">
        <w:rPr>
          <w:rFonts w:ascii="Times New Roman" w:hAnsi="Times New Roman"/>
        </w:rPr>
        <w:t xml:space="preserve">, </w:t>
      </w:r>
      <w:r w:rsidRPr="002C7571">
        <w:rPr>
          <w:rFonts w:ascii="Times New Roman" w:hAnsi="Times New Roman"/>
          <w:i/>
        </w:rPr>
        <w:t xml:space="preserve">Guidelines for Apportioning and Handling Employers’ Liability Mesothelioma Claims </w:t>
      </w:r>
      <w:r w:rsidRPr="002C7571">
        <w:rPr>
          <w:rFonts w:ascii="Times New Roman" w:hAnsi="Times New Roman"/>
        </w:rPr>
        <w:t>(</w:t>
      </w:r>
      <w:r>
        <w:rPr>
          <w:rFonts w:ascii="Times New Roman" w:hAnsi="Times New Roman"/>
        </w:rPr>
        <w:t xml:space="preserve">Association of British Insurers, London, </w:t>
      </w:r>
      <w:r w:rsidRPr="002C7571">
        <w:rPr>
          <w:rFonts w:ascii="Times New Roman" w:hAnsi="Times New Roman"/>
        </w:rPr>
        <w:t>2003).</w:t>
      </w:r>
    </w:p>
  </w:footnote>
  <w:footnote w:id="69">
    <w:p w:rsidR="00400D3C" w:rsidRDefault="00400D3C">
      <w:pPr>
        <w:pStyle w:val="FootnoteText"/>
        <w:jc w:val="both"/>
        <w:rPr>
          <w:rFonts w:ascii="Times New Roman" w:hAnsi="Times New Roman"/>
        </w:rPr>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[2006] UKHL 20; [2006] </w:t>
      </w:r>
      <w:r>
        <w:rPr>
          <w:rFonts w:ascii="Times New Roman" w:hAnsi="Times New Roman"/>
        </w:rPr>
        <w:t>2 AC 572.</w:t>
      </w:r>
    </w:p>
  </w:footnote>
  <w:footnote w:id="70">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This proved decisive in </w:t>
      </w:r>
      <w:r w:rsidRPr="002C7571">
        <w:rPr>
          <w:rFonts w:ascii="Times New Roman" w:hAnsi="Times New Roman"/>
          <w:i/>
        </w:rPr>
        <w:t xml:space="preserve">Sienkiewicz v Greif (UK) Ltd </w:t>
      </w:r>
      <w:r w:rsidRPr="002C7571">
        <w:rPr>
          <w:rFonts w:ascii="Times New Roman" w:hAnsi="Times New Roman"/>
        </w:rPr>
        <w:t xml:space="preserve">[2011] UKSC 10. This is a single employer case where the intensity of exposure was far lower than in </w:t>
      </w:r>
      <w:r w:rsidRPr="002C7571">
        <w:rPr>
          <w:rFonts w:ascii="Times New Roman" w:hAnsi="Times New Roman"/>
          <w:i/>
        </w:rPr>
        <w:t xml:space="preserve">Fairchild </w:t>
      </w:r>
      <w:r w:rsidRPr="002C7571">
        <w:rPr>
          <w:rFonts w:ascii="Times New Roman" w:hAnsi="Times New Roman"/>
        </w:rPr>
        <w:t xml:space="preserve">and </w:t>
      </w:r>
      <w:r w:rsidRPr="002C7571">
        <w:rPr>
          <w:rFonts w:ascii="Times New Roman" w:hAnsi="Times New Roman"/>
          <w:i/>
        </w:rPr>
        <w:t>Barker</w:t>
      </w:r>
      <w:r w:rsidRPr="002C7571">
        <w:rPr>
          <w:rFonts w:ascii="Times New Roman" w:hAnsi="Times New Roman"/>
        </w:rPr>
        <w:t xml:space="preserve">, and where the background environmental risk was held, at first instance, to be greater than the occupational risk. </w:t>
      </w:r>
    </w:p>
  </w:footnote>
  <w:footnote w:id="71">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r>
      <w:r w:rsidRPr="002C7571">
        <w:rPr>
          <w:rFonts w:ascii="Times New Roman" w:hAnsi="Times New Roman"/>
          <w:i/>
        </w:rPr>
        <w:t xml:space="preserve">Barker </w:t>
      </w:r>
      <w:r w:rsidRPr="002C7571">
        <w:rPr>
          <w:rFonts w:ascii="Times New Roman" w:hAnsi="Times New Roman"/>
        </w:rPr>
        <w:t xml:space="preserve">has therefore been seen by some as creating a new tort, in which the increase in risk is itself actionable, rather than loosening the requirements of proof of causation to fit a general sense of rough justice (as appeared to be the case with </w:t>
      </w:r>
      <w:r w:rsidRPr="002C7571">
        <w:rPr>
          <w:rFonts w:ascii="Times New Roman" w:hAnsi="Times New Roman"/>
          <w:i/>
        </w:rPr>
        <w:t>Fairchild</w:t>
      </w:r>
      <w:r w:rsidRPr="002C7571">
        <w:rPr>
          <w:rFonts w:ascii="Times New Roman" w:hAnsi="Times New Roman"/>
        </w:rPr>
        <w:t xml:space="preserve">). This interpretation was preferred by Rix LJ in </w:t>
      </w:r>
      <w:r w:rsidRPr="002C7571">
        <w:rPr>
          <w:rFonts w:ascii="Times New Roman" w:hAnsi="Times New Roman"/>
          <w:i/>
        </w:rPr>
        <w:t>Durham v BAI</w:t>
      </w:r>
      <w:r>
        <w:rPr>
          <w:rFonts w:ascii="Times New Roman" w:hAnsi="Times New Roman"/>
          <w:i/>
        </w:rPr>
        <w:t xml:space="preserve"> </w:t>
      </w:r>
      <w:r>
        <w:rPr>
          <w:rFonts w:ascii="Times New Roman" w:hAnsi="Times New Roman"/>
        </w:rPr>
        <w:t xml:space="preserve">above n </w:t>
      </w:r>
      <w:r w:rsidR="009E5650">
        <w:rPr>
          <w:rFonts w:ascii="Times New Roman" w:hAnsi="Times New Roman"/>
        </w:rPr>
        <w:fldChar w:fldCharType="begin"/>
      </w:r>
      <w:r>
        <w:rPr>
          <w:rFonts w:ascii="Times New Roman" w:hAnsi="Times New Roman"/>
        </w:rPr>
        <w:instrText xml:space="preserve"> NOTEREF _Ref293704719 \h </w:instrText>
      </w:r>
      <w:r w:rsidR="009E5650">
        <w:rPr>
          <w:rFonts w:ascii="Times New Roman" w:hAnsi="Times New Roman"/>
        </w:rPr>
      </w:r>
      <w:r w:rsidR="009E5650">
        <w:rPr>
          <w:rFonts w:ascii="Times New Roman" w:hAnsi="Times New Roman"/>
        </w:rPr>
        <w:fldChar w:fldCharType="separate"/>
      </w:r>
      <w:r w:rsidR="002F310B">
        <w:rPr>
          <w:rFonts w:ascii="Times New Roman" w:hAnsi="Times New Roman"/>
        </w:rPr>
        <w:t>3</w:t>
      </w:r>
      <w:r w:rsidR="00B240AB">
        <w:rPr>
          <w:rFonts w:ascii="Times New Roman" w:hAnsi="Times New Roman"/>
        </w:rPr>
        <w:t>3</w:t>
      </w:r>
      <w:r w:rsidR="009E5650">
        <w:rPr>
          <w:rFonts w:ascii="Times New Roman" w:hAnsi="Times New Roman"/>
        </w:rPr>
        <w:fldChar w:fldCharType="end"/>
      </w:r>
      <w:r w:rsidRPr="002C7571">
        <w:rPr>
          <w:rFonts w:ascii="Times New Roman" w:hAnsi="Times New Roman"/>
        </w:rPr>
        <w:t xml:space="preserve">, in particular. The status of this interpretation of </w:t>
      </w:r>
      <w:r w:rsidRPr="002C7571">
        <w:rPr>
          <w:rFonts w:ascii="Times New Roman" w:hAnsi="Times New Roman"/>
          <w:i/>
        </w:rPr>
        <w:t xml:space="preserve">Barker </w:t>
      </w:r>
      <w:r w:rsidRPr="002C7571">
        <w:rPr>
          <w:rFonts w:ascii="Times New Roman" w:hAnsi="Times New Roman"/>
        </w:rPr>
        <w:t xml:space="preserve">must be very dubious since the decision in </w:t>
      </w:r>
      <w:r w:rsidRPr="002C7571">
        <w:rPr>
          <w:rFonts w:ascii="Times New Roman" w:hAnsi="Times New Roman"/>
          <w:i/>
        </w:rPr>
        <w:t>Sienkiewicz v Grief</w:t>
      </w:r>
      <w:r w:rsidRPr="002C7571">
        <w:rPr>
          <w:rFonts w:ascii="Times New Roman" w:hAnsi="Times New Roman"/>
        </w:rPr>
        <w:t xml:space="preserve"> </w:t>
      </w:r>
      <w:r>
        <w:rPr>
          <w:rFonts w:ascii="Times New Roman" w:hAnsi="Times New Roman"/>
        </w:rPr>
        <w:t xml:space="preserve">above n </w:t>
      </w:r>
      <w:r w:rsidR="009E5650">
        <w:rPr>
          <w:rFonts w:ascii="Times New Roman" w:hAnsi="Times New Roman"/>
        </w:rPr>
        <w:fldChar w:fldCharType="begin"/>
      </w:r>
      <w:r>
        <w:rPr>
          <w:rFonts w:ascii="Times New Roman" w:hAnsi="Times New Roman"/>
        </w:rPr>
        <w:instrText xml:space="preserve"> NOTEREF _Ref293748531 \h </w:instrText>
      </w:r>
      <w:r w:rsidR="009E5650">
        <w:rPr>
          <w:rFonts w:ascii="Times New Roman" w:hAnsi="Times New Roman"/>
        </w:rPr>
      </w:r>
      <w:r w:rsidR="009E5650">
        <w:rPr>
          <w:rFonts w:ascii="Times New Roman" w:hAnsi="Times New Roman"/>
        </w:rPr>
        <w:fldChar w:fldCharType="separate"/>
      </w:r>
      <w:r>
        <w:rPr>
          <w:rFonts w:ascii="Times New Roman" w:hAnsi="Times New Roman"/>
        </w:rPr>
        <w:t>6</w:t>
      </w:r>
      <w:r w:rsidR="00B240AB">
        <w:rPr>
          <w:rFonts w:ascii="Times New Roman" w:hAnsi="Times New Roman"/>
        </w:rPr>
        <w:t>9</w:t>
      </w:r>
      <w:r w:rsidR="009E5650">
        <w:rPr>
          <w:rFonts w:ascii="Times New Roman" w:hAnsi="Times New Roman"/>
        </w:rPr>
        <w:fldChar w:fldCharType="end"/>
      </w:r>
      <w:r w:rsidRPr="002C7571">
        <w:rPr>
          <w:rFonts w:ascii="Times New Roman" w:hAnsi="Times New Roman"/>
        </w:rPr>
        <w:t>, where several members of the Court expressed doubts over the possibility of using epidemiological evidence as evidence of causation.</w:t>
      </w:r>
    </w:p>
  </w:footnote>
  <w:footnote w:id="72">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I have been unable to trace a post-</w:t>
      </w:r>
      <w:r w:rsidRPr="002C7571">
        <w:rPr>
          <w:rFonts w:ascii="Times New Roman" w:hAnsi="Times New Roman"/>
          <w:i/>
        </w:rPr>
        <w:t xml:space="preserve">Barker </w:t>
      </w:r>
      <w:r w:rsidRPr="002C7571">
        <w:rPr>
          <w:rFonts w:ascii="Times New Roman" w:hAnsi="Times New Roman"/>
        </w:rPr>
        <w:t>version of the</w:t>
      </w:r>
      <w:r>
        <w:rPr>
          <w:rFonts w:ascii="Times New Roman" w:hAnsi="Times New Roman"/>
        </w:rPr>
        <w:t xml:space="preserve"> Guidelines referred to in n </w:t>
      </w:r>
      <w:r w:rsidR="00F90548">
        <w:rPr>
          <w:rFonts w:ascii="Times New Roman" w:hAnsi="Times New Roman"/>
        </w:rPr>
        <w:t>6</w:t>
      </w:r>
      <w:r w:rsidR="00B240AB">
        <w:rPr>
          <w:rFonts w:ascii="Times New Roman" w:hAnsi="Times New Roman"/>
        </w:rPr>
        <w:t>7</w:t>
      </w:r>
      <w:r w:rsidRPr="002C7571">
        <w:rPr>
          <w:rFonts w:ascii="Times New Roman" w:hAnsi="Times New Roman"/>
        </w:rPr>
        <w:t xml:space="preserve">, despite the legislative intervention to reinstate the full effect of </w:t>
      </w:r>
      <w:r w:rsidRPr="002C7571">
        <w:rPr>
          <w:rFonts w:ascii="Times New Roman" w:hAnsi="Times New Roman"/>
          <w:i/>
        </w:rPr>
        <w:t>Fairchild</w:t>
      </w:r>
      <w:r w:rsidRPr="002C7571">
        <w:rPr>
          <w:rFonts w:ascii="Times New Roman" w:hAnsi="Times New Roman"/>
        </w:rPr>
        <w:t>. Could this signify an intention on the part of some insurers to contest cover, as below?</w:t>
      </w:r>
      <w:r w:rsidRPr="002C7571">
        <w:rPr>
          <w:rFonts w:ascii="Times New Roman" w:hAnsi="Times New Roman"/>
          <w:i/>
        </w:rPr>
        <w:t xml:space="preserve"> </w:t>
      </w:r>
    </w:p>
  </w:footnote>
  <w:footnote w:id="73">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Was this an attempt to protect those who were over-exposed due to the insolvency of other potential parties? It is not easy to say, but this is in principle now possible through recourse to the Financial Services Compensation Scheme.</w:t>
      </w:r>
    </w:p>
  </w:footnote>
  <w:footnote w:id="74">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Section 3 as a whole ensures that </w:t>
      </w:r>
      <w:r w:rsidRPr="002C7571">
        <w:rPr>
          <w:rFonts w:ascii="Times New Roman" w:hAnsi="Times New Roman"/>
          <w:i/>
        </w:rPr>
        <w:t xml:space="preserve">Fairchild </w:t>
      </w:r>
      <w:r w:rsidRPr="002C7571">
        <w:rPr>
          <w:rFonts w:ascii="Times New Roman" w:hAnsi="Times New Roman"/>
        </w:rPr>
        <w:t>liabilities for mesothelioma will be joint and several. By s 3(7), regulations may be made in respect of parties who would seek contribution in respect of harm against another party, but that party is unable to pay their contribution.</w:t>
      </w:r>
    </w:p>
  </w:footnote>
  <w:footnote w:id="75">
    <w:p w:rsidR="00400D3C" w:rsidRDefault="00400D3C">
      <w:pPr>
        <w:pStyle w:val="FootnoteText"/>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[2007] UKHL </w:t>
      </w:r>
      <w:r>
        <w:rPr>
          <w:rFonts w:ascii="Times New Roman" w:hAnsi="Times New Roman"/>
        </w:rPr>
        <w:t>39;</w:t>
      </w:r>
      <w:r w:rsidRPr="002C7571">
        <w:rPr>
          <w:rFonts w:ascii="Times New Roman" w:hAnsi="Times New Roman"/>
        </w:rPr>
        <w:t xml:space="preserve"> [2008] 1 AC 281.</w:t>
      </w:r>
    </w:p>
  </w:footnote>
  <w:footnote w:id="76">
    <w:p w:rsidR="00400D3C" w:rsidRDefault="00400D3C" w:rsidP="00EB764F">
      <w:pPr>
        <w:pStyle w:val="FootnoteText"/>
        <w:jc w:val="both"/>
      </w:pPr>
      <w:r>
        <w:rPr>
          <w:rStyle w:val="FootnoteReference"/>
          <w:rFonts w:ascii="Times New Roman" w:hAnsi="Times New Roman"/>
        </w:rPr>
        <w:footnoteRef/>
      </w:r>
      <w:r w:rsidRPr="0073606C">
        <w:rPr>
          <w:rFonts w:ascii="Times New Roman" w:hAnsi="Times New Roman"/>
        </w:rPr>
        <w:t xml:space="preserve"> </w:t>
      </w:r>
      <w:r w:rsidRPr="0073606C">
        <w:rPr>
          <w:rFonts w:ascii="Times New Roman" w:hAnsi="Times New Roman"/>
        </w:rPr>
        <w:tab/>
      </w:r>
      <w:proofErr w:type="gramStart"/>
      <w:r>
        <w:rPr>
          <w:rFonts w:ascii="Times New Roman" w:hAnsi="Times New Roman"/>
        </w:rPr>
        <w:t xml:space="preserve">Above </w:t>
      </w:r>
      <w:r w:rsidRPr="0073606C">
        <w:rPr>
          <w:rFonts w:ascii="Times New Roman" w:hAnsi="Times New Roman"/>
        </w:rPr>
        <w:t xml:space="preserve">n </w:t>
      </w:r>
      <w:r w:rsidR="009E5650">
        <w:rPr>
          <w:rFonts w:ascii="Times New Roman" w:hAnsi="Times New Roman"/>
        </w:rPr>
        <w:fldChar w:fldCharType="begin"/>
      </w:r>
      <w:r>
        <w:rPr>
          <w:rFonts w:ascii="Times New Roman" w:hAnsi="Times New Roman"/>
        </w:rPr>
        <w:instrText xml:space="preserve"> NOTEREF _Ref293704719 \h </w:instrText>
      </w:r>
      <w:r w:rsidR="009E5650">
        <w:rPr>
          <w:rFonts w:ascii="Times New Roman" w:hAnsi="Times New Roman"/>
        </w:rPr>
      </w:r>
      <w:r w:rsidR="009E5650">
        <w:rPr>
          <w:rFonts w:ascii="Times New Roman" w:hAnsi="Times New Roman"/>
        </w:rPr>
        <w:fldChar w:fldCharType="separate"/>
      </w:r>
      <w:r>
        <w:rPr>
          <w:rFonts w:ascii="Times New Roman" w:hAnsi="Times New Roman"/>
        </w:rPr>
        <w:t>29</w:t>
      </w:r>
      <w:r w:rsidR="009E5650">
        <w:rPr>
          <w:rFonts w:ascii="Times New Roman" w:hAnsi="Times New Roman"/>
        </w:rPr>
        <w:fldChar w:fldCharType="end"/>
      </w:r>
      <w:r w:rsidRPr="0073606C">
        <w:rPr>
          <w:rFonts w:ascii="Times New Roman" w:hAnsi="Times New Roman"/>
        </w:rPr>
        <w:t>.</w:t>
      </w:r>
      <w:proofErr w:type="gramEnd"/>
    </w:p>
  </w:footnote>
  <w:footnote w:id="77">
    <w:p w:rsidR="00400D3C" w:rsidRDefault="00400D3C">
      <w:pPr>
        <w:pStyle w:val="FootnoteText"/>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[2006] EWCA Civ 50</w:t>
      </w:r>
      <w:r>
        <w:rPr>
          <w:rFonts w:ascii="Times New Roman" w:hAnsi="Times New Roman"/>
        </w:rPr>
        <w:t>;</w:t>
      </w:r>
      <w:r w:rsidRPr="002C7571">
        <w:rPr>
          <w:rFonts w:ascii="Times New Roman" w:hAnsi="Times New Roman"/>
        </w:rPr>
        <w:t xml:space="preserve"> [2006] 1 WLR 1492.</w:t>
      </w:r>
    </w:p>
  </w:footnote>
  <w:footnote w:id="78">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r>
      <w:r w:rsidRPr="002C7571">
        <w:rPr>
          <w:rFonts w:ascii="Times New Roman" w:hAnsi="Times New Roman"/>
          <w:i/>
        </w:rPr>
        <w:t xml:space="preserve">Axa General Insurance Ltd, Petitioners </w:t>
      </w:r>
      <w:r w:rsidRPr="002C7571">
        <w:rPr>
          <w:rFonts w:ascii="Times New Roman" w:hAnsi="Times New Roman"/>
        </w:rPr>
        <w:t xml:space="preserve">[2010] CSOH 2; 2010 SLT 179, seeking judicial review of the </w:t>
      </w:r>
      <w:r w:rsidRPr="002C7571">
        <w:rPr>
          <w:rFonts w:ascii="Times New Roman" w:hAnsi="Times New Roman"/>
          <w:i/>
        </w:rPr>
        <w:t>Damages (Asbestos-Related Conditions) Act 2009</w:t>
      </w:r>
      <w:r>
        <w:rPr>
          <w:rFonts w:ascii="Times New Roman" w:hAnsi="Times New Roman"/>
          <w:i/>
        </w:rPr>
        <w:t xml:space="preserve"> </w:t>
      </w:r>
      <w:r>
        <w:rPr>
          <w:rFonts w:ascii="Times New Roman" w:hAnsi="Times New Roman"/>
        </w:rPr>
        <w:t>(Scotland)</w:t>
      </w:r>
      <w:r w:rsidRPr="002C7571">
        <w:rPr>
          <w:rFonts w:ascii="Times New Roman" w:hAnsi="Times New Roman"/>
        </w:rPr>
        <w:t>.</w:t>
      </w:r>
    </w:p>
  </w:footnote>
  <w:footnote w:id="79">
    <w:p w:rsidR="00400D3C" w:rsidRPr="00325F62" w:rsidRDefault="00400D3C">
      <w:pPr>
        <w:pStyle w:val="FootnoteText"/>
      </w:pPr>
      <w:r>
        <w:rPr>
          <w:rStyle w:val="FootnoteReference"/>
        </w:rPr>
        <w:footnoteRef/>
      </w:r>
      <w:r>
        <w:t xml:space="preserve"> </w:t>
      </w:r>
      <w:r w:rsidR="00325F62">
        <w:rPr>
          <w:i/>
        </w:rPr>
        <w:t xml:space="preserve">Sub nom. Grieves v </w:t>
      </w:r>
      <w:proofErr w:type="spellStart"/>
      <w:r w:rsidR="00325F62">
        <w:rPr>
          <w:i/>
        </w:rPr>
        <w:t>Everard</w:t>
      </w:r>
      <w:proofErr w:type="spellEnd"/>
      <w:r w:rsidR="00325F62">
        <w:rPr>
          <w:i/>
        </w:rPr>
        <w:t xml:space="preserve"> </w:t>
      </w:r>
      <w:r w:rsidR="00325F62">
        <w:t xml:space="preserve">[2006] EWCA </w:t>
      </w:r>
      <w:proofErr w:type="spellStart"/>
      <w:r w:rsidR="00325F62">
        <w:t>Civ</w:t>
      </w:r>
      <w:proofErr w:type="spellEnd"/>
      <w:r w:rsidR="00325F62">
        <w:t xml:space="preserve"> 27</w:t>
      </w:r>
    </w:p>
  </w:footnote>
  <w:footnote w:id="80">
    <w:p w:rsidR="00400D3C" w:rsidRDefault="00400D3C">
      <w:pPr>
        <w:pStyle w:val="FootnoteText"/>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Particularly boldly, they even made use of another public demon, the </w:t>
      </w:r>
      <w:r w:rsidRPr="002C7571">
        <w:rPr>
          <w:rFonts w:ascii="Times New Roman" w:hAnsi="Times New Roman"/>
          <w:i/>
        </w:rPr>
        <w:t>Human Rights Act</w:t>
      </w:r>
      <w:r w:rsidRPr="002C7571">
        <w:rPr>
          <w:rFonts w:ascii="Times New Roman" w:hAnsi="Times New Roman"/>
        </w:rPr>
        <w:t xml:space="preserve"> 1998</w:t>
      </w:r>
      <w:r>
        <w:rPr>
          <w:rFonts w:ascii="Times New Roman" w:hAnsi="Times New Roman"/>
        </w:rPr>
        <w:t xml:space="preserve"> (UK)</w:t>
      </w:r>
      <w:r w:rsidRPr="002C7571">
        <w:rPr>
          <w:rFonts w:ascii="Times New Roman" w:hAnsi="Times New Roman"/>
        </w:rPr>
        <w:t>.</w:t>
      </w:r>
    </w:p>
  </w:footnote>
  <w:footnote w:id="81">
    <w:p w:rsidR="00400D3C" w:rsidRDefault="00400D3C">
      <w:pPr>
        <w:pStyle w:val="FootnoteText"/>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r>
      <w:proofErr w:type="gramStart"/>
      <w:r w:rsidRPr="002C7571">
        <w:rPr>
          <w:rFonts w:ascii="Times New Roman" w:hAnsi="Times New Roman"/>
        </w:rPr>
        <w:t>Above n</w:t>
      </w:r>
      <w:r>
        <w:rPr>
          <w:rFonts w:ascii="Times New Roman" w:hAnsi="Times New Roman"/>
        </w:rPr>
        <w:t xml:space="preserve"> </w:t>
      </w:r>
      <w:r w:rsidR="009E5650">
        <w:rPr>
          <w:rFonts w:ascii="Times New Roman" w:hAnsi="Times New Roman"/>
        </w:rPr>
        <w:fldChar w:fldCharType="begin"/>
      </w:r>
      <w:r>
        <w:rPr>
          <w:rFonts w:ascii="Times New Roman" w:hAnsi="Times New Roman"/>
        </w:rPr>
        <w:instrText xml:space="preserve"> NOTEREF _Ref293751158 \h </w:instrText>
      </w:r>
      <w:r w:rsidR="009E5650">
        <w:rPr>
          <w:rFonts w:ascii="Times New Roman" w:hAnsi="Times New Roman"/>
        </w:rPr>
      </w:r>
      <w:r w:rsidR="009E5650">
        <w:rPr>
          <w:rFonts w:ascii="Times New Roman" w:hAnsi="Times New Roman"/>
        </w:rPr>
        <w:fldChar w:fldCharType="separate"/>
      </w:r>
      <w:r>
        <w:rPr>
          <w:rFonts w:ascii="Times New Roman" w:hAnsi="Times New Roman"/>
        </w:rPr>
        <w:t>70</w:t>
      </w:r>
      <w:r w:rsidR="009E5650">
        <w:rPr>
          <w:rFonts w:ascii="Times New Roman" w:hAnsi="Times New Roman"/>
        </w:rPr>
        <w:fldChar w:fldCharType="end"/>
      </w:r>
      <w:r w:rsidRPr="002C7571">
        <w:rPr>
          <w:rFonts w:ascii="Times New Roman" w:hAnsi="Times New Roman"/>
        </w:rPr>
        <w:t>.</w:t>
      </w:r>
      <w:proofErr w:type="gramEnd"/>
    </w:p>
  </w:footnote>
  <w:footnote w:id="82">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r>
      <w:r w:rsidRPr="0073606C">
        <w:rPr>
          <w:rFonts w:ascii="Times New Roman" w:hAnsi="Times New Roman"/>
        </w:rPr>
        <w:t>Above n</w:t>
      </w:r>
      <w:r>
        <w:rPr>
          <w:rFonts w:ascii="Times New Roman" w:hAnsi="Times New Roman"/>
        </w:rPr>
        <w:t xml:space="preserve"> </w:t>
      </w:r>
      <w:r w:rsidR="009E5650">
        <w:rPr>
          <w:rFonts w:ascii="Times New Roman" w:hAnsi="Times New Roman"/>
        </w:rPr>
        <w:fldChar w:fldCharType="begin"/>
      </w:r>
      <w:r>
        <w:rPr>
          <w:rFonts w:ascii="Times New Roman" w:hAnsi="Times New Roman"/>
        </w:rPr>
        <w:instrText xml:space="preserve"> NOTEREF _Ref293751158 \h </w:instrText>
      </w:r>
      <w:r w:rsidR="009E5650">
        <w:rPr>
          <w:rFonts w:ascii="Times New Roman" w:hAnsi="Times New Roman"/>
        </w:rPr>
      </w:r>
      <w:r w:rsidR="009E5650">
        <w:rPr>
          <w:rFonts w:ascii="Times New Roman" w:hAnsi="Times New Roman"/>
        </w:rPr>
        <w:fldChar w:fldCharType="separate"/>
      </w:r>
      <w:r>
        <w:rPr>
          <w:rFonts w:ascii="Times New Roman" w:hAnsi="Times New Roman"/>
        </w:rPr>
        <w:t>70</w:t>
      </w:r>
      <w:r w:rsidR="009E5650">
        <w:rPr>
          <w:rFonts w:ascii="Times New Roman" w:hAnsi="Times New Roman"/>
        </w:rPr>
        <w:fldChar w:fldCharType="end"/>
      </w:r>
      <w:r>
        <w:rPr>
          <w:rFonts w:ascii="Times New Roman" w:hAnsi="Times New Roman"/>
        </w:rPr>
        <w:t xml:space="preserve"> </w:t>
      </w:r>
      <w:r w:rsidRPr="002C7571">
        <w:rPr>
          <w:rFonts w:ascii="Times New Roman" w:hAnsi="Times New Roman"/>
        </w:rPr>
        <w:t xml:space="preserve">at </w:t>
      </w:r>
      <w:r>
        <w:rPr>
          <w:rFonts w:ascii="Times New Roman" w:hAnsi="Times New Roman"/>
        </w:rPr>
        <w:t xml:space="preserve">WLR 1497 </w:t>
      </w:r>
      <w:r w:rsidRPr="002C7571">
        <w:rPr>
          <w:rFonts w:ascii="Times New Roman" w:hAnsi="Times New Roman"/>
        </w:rPr>
        <w:t xml:space="preserve">[3], mentioning that counsel had advised to this effect. Longmore LJ also specifically mentioned that a </w:t>
      </w:r>
      <w:r>
        <w:rPr>
          <w:rFonts w:ascii="Times New Roman" w:hAnsi="Times New Roman"/>
        </w:rPr>
        <w:t>“</w:t>
      </w:r>
      <w:r w:rsidRPr="002C7571">
        <w:rPr>
          <w:rFonts w:ascii="Times New Roman" w:hAnsi="Times New Roman"/>
        </w:rPr>
        <w:t>triple trigger</w:t>
      </w:r>
      <w:r>
        <w:rPr>
          <w:rFonts w:ascii="Times New Roman" w:hAnsi="Times New Roman"/>
        </w:rPr>
        <w:t>”</w:t>
      </w:r>
      <w:r w:rsidRPr="002C7571">
        <w:rPr>
          <w:rFonts w:ascii="Times New Roman" w:hAnsi="Times New Roman"/>
        </w:rPr>
        <w:t xml:space="preserve"> theory like that applied in the U</w:t>
      </w:r>
      <w:r>
        <w:rPr>
          <w:rFonts w:ascii="Times New Roman" w:hAnsi="Times New Roman"/>
        </w:rPr>
        <w:t xml:space="preserve">nited </w:t>
      </w:r>
      <w:r w:rsidRPr="002C7571">
        <w:rPr>
          <w:rFonts w:ascii="Times New Roman" w:hAnsi="Times New Roman"/>
        </w:rPr>
        <w:t>S</w:t>
      </w:r>
      <w:r>
        <w:rPr>
          <w:rFonts w:ascii="Times New Roman" w:hAnsi="Times New Roman"/>
        </w:rPr>
        <w:t>tates</w:t>
      </w:r>
      <w:r w:rsidRPr="002C7571">
        <w:rPr>
          <w:rFonts w:ascii="Times New Roman" w:hAnsi="Times New Roman"/>
        </w:rPr>
        <w:t xml:space="preserve"> might conceivably be applicable to EL insurance policies – but not to the PL policies in issue in the case in hand (at </w:t>
      </w:r>
      <w:r>
        <w:rPr>
          <w:rFonts w:ascii="Times New Roman" w:hAnsi="Times New Roman"/>
        </w:rPr>
        <w:t>WLR 1504 </w:t>
      </w:r>
      <w:r w:rsidRPr="002C7571">
        <w:rPr>
          <w:rFonts w:ascii="Times New Roman" w:hAnsi="Times New Roman"/>
        </w:rPr>
        <w:t>[24]).</w:t>
      </w:r>
    </w:p>
  </w:footnote>
  <w:footnote w:id="83">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r>
      <w:proofErr w:type="gramStart"/>
      <w:r w:rsidRPr="002C7571">
        <w:rPr>
          <w:rFonts w:ascii="Times New Roman" w:hAnsi="Times New Roman"/>
        </w:rPr>
        <w:t xml:space="preserve">Above n </w:t>
      </w:r>
      <w:r w:rsidR="009E5650">
        <w:rPr>
          <w:rFonts w:ascii="Times New Roman" w:hAnsi="Times New Roman"/>
        </w:rPr>
        <w:fldChar w:fldCharType="begin"/>
      </w:r>
      <w:r>
        <w:rPr>
          <w:rFonts w:ascii="Times New Roman" w:hAnsi="Times New Roman"/>
        </w:rPr>
        <w:instrText xml:space="preserve"> NOTEREF _Ref293704719 \h </w:instrText>
      </w:r>
      <w:r w:rsidR="009E5650">
        <w:rPr>
          <w:rFonts w:ascii="Times New Roman" w:hAnsi="Times New Roman"/>
        </w:rPr>
      </w:r>
      <w:r w:rsidR="009E5650">
        <w:rPr>
          <w:rFonts w:ascii="Times New Roman" w:hAnsi="Times New Roman"/>
        </w:rPr>
        <w:fldChar w:fldCharType="separate"/>
      </w:r>
      <w:r>
        <w:rPr>
          <w:rFonts w:ascii="Times New Roman" w:hAnsi="Times New Roman"/>
        </w:rPr>
        <w:t>29</w:t>
      </w:r>
      <w:r w:rsidR="009E5650">
        <w:rPr>
          <w:rFonts w:ascii="Times New Roman" w:hAnsi="Times New Roman"/>
        </w:rPr>
        <w:fldChar w:fldCharType="end"/>
      </w:r>
      <w:r w:rsidRPr="002C7571">
        <w:rPr>
          <w:rFonts w:ascii="Times New Roman" w:hAnsi="Times New Roman"/>
        </w:rPr>
        <w:t>.</w:t>
      </w:r>
      <w:proofErr w:type="gramEnd"/>
      <w:r w:rsidRPr="002C7571">
        <w:rPr>
          <w:rFonts w:ascii="Times New Roman" w:hAnsi="Times New Roman"/>
        </w:rPr>
        <w:t xml:space="preserve"> None of the members of the Court of Appeal will have been satisfied with the outcome: Rix LJ and Stanley Burnton LJ expressly so, though they were reluctant about different </w:t>
      </w:r>
      <w:proofErr w:type="gramStart"/>
      <w:r w:rsidRPr="002C7571">
        <w:rPr>
          <w:rFonts w:ascii="Times New Roman" w:hAnsi="Times New Roman"/>
        </w:rPr>
        <w:t>points,</w:t>
      </w:r>
      <w:proofErr w:type="gramEnd"/>
      <w:r w:rsidRPr="002C7571">
        <w:rPr>
          <w:rFonts w:ascii="Times New Roman" w:hAnsi="Times New Roman"/>
        </w:rPr>
        <w:t xml:space="preserve"> and Smith LJ because she disagreed with </w:t>
      </w:r>
      <w:r w:rsidR="00BC5113">
        <w:rPr>
          <w:rFonts w:ascii="Times New Roman" w:hAnsi="Times New Roman"/>
        </w:rPr>
        <w:t xml:space="preserve">the </w:t>
      </w:r>
      <w:r w:rsidRPr="002C7571">
        <w:rPr>
          <w:rFonts w:ascii="Times New Roman" w:hAnsi="Times New Roman"/>
        </w:rPr>
        <w:t xml:space="preserve">conclusions </w:t>
      </w:r>
      <w:r w:rsidR="00BC5113">
        <w:rPr>
          <w:rFonts w:ascii="Times New Roman" w:hAnsi="Times New Roman"/>
        </w:rPr>
        <w:t xml:space="preserve">of both of the other judges </w:t>
      </w:r>
      <w:r w:rsidRPr="002C7571">
        <w:rPr>
          <w:rFonts w:ascii="Times New Roman" w:hAnsi="Times New Roman"/>
        </w:rPr>
        <w:t xml:space="preserve">as to the </w:t>
      </w:r>
      <w:r>
        <w:rPr>
          <w:rFonts w:ascii="Times New Roman" w:hAnsi="Times New Roman"/>
        </w:rPr>
        <w:t>“</w:t>
      </w:r>
      <w:r w:rsidRPr="002C7571">
        <w:rPr>
          <w:rFonts w:ascii="Times New Roman" w:hAnsi="Times New Roman"/>
        </w:rPr>
        <w:t>sustained</w:t>
      </w:r>
      <w:r>
        <w:rPr>
          <w:rFonts w:ascii="Times New Roman" w:hAnsi="Times New Roman"/>
        </w:rPr>
        <w:t>”</w:t>
      </w:r>
      <w:r w:rsidRPr="002C7571">
        <w:rPr>
          <w:rFonts w:ascii="Times New Roman" w:hAnsi="Times New Roman"/>
        </w:rPr>
        <w:t xml:space="preserve"> wording.</w:t>
      </w:r>
    </w:p>
  </w:footnote>
  <w:footnote w:id="84">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Six sample claims were pursued in the litigation, but there may have been as many as 6</w:t>
      </w:r>
      <w:r>
        <w:rPr>
          <w:rFonts w:ascii="Times New Roman" w:hAnsi="Times New Roman"/>
        </w:rPr>
        <w:t>,</w:t>
      </w:r>
      <w:r w:rsidRPr="002C7571">
        <w:rPr>
          <w:rFonts w:ascii="Times New Roman" w:hAnsi="Times New Roman"/>
        </w:rPr>
        <w:t>000 claims depending on the outcome: this is however, as Rix LJ put it, a disputed figure.</w:t>
      </w:r>
    </w:p>
  </w:footnote>
  <w:footnote w:id="85">
    <w:p w:rsidR="00400D3C" w:rsidRDefault="00400D3C">
      <w:pPr>
        <w:pStyle w:val="FootnoteText"/>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 xml:space="preserve">The </w:t>
      </w:r>
      <w:r>
        <w:rPr>
          <w:rFonts w:ascii="Times New Roman" w:hAnsi="Times New Roman"/>
        </w:rPr>
        <w:t>“</w:t>
      </w:r>
      <w:r w:rsidRPr="002C7571">
        <w:rPr>
          <w:rFonts w:ascii="Times New Roman" w:hAnsi="Times New Roman"/>
        </w:rPr>
        <w:t>commercial purpose</w:t>
      </w:r>
      <w:r>
        <w:rPr>
          <w:rFonts w:ascii="Times New Roman" w:hAnsi="Times New Roman"/>
        </w:rPr>
        <w:t>”</w:t>
      </w:r>
      <w:r w:rsidRPr="002C7571">
        <w:rPr>
          <w:rFonts w:ascii="Times New Roman" w:hAnsi="Times New Roman"/>
        </w:rPr>
        <w:t xml:space="preserve"> of the contracts was, he thought, frustrated by his interpretation.</w:t>
      </w:r>
    </w:p>
  </w:footnote>
  <w:footnote w:id="86">
    <w:p w:rsidR="00400D3C" w:rsidRDefault="00400D3C">
      <w:pPr>
        <w:pStyle w:val="FootnoteText"/>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[2010] NSWCA 31</w:t>
      </w:r>
      <w:r>
        <w:rPr>
          <w:rFonts w:ascii="Times New Roman" w:hAnsi="Times New Roman"/>
        </w:rPr>
        <w:t>.</w:t>
      </w:r>
    </w:p>
  </w:footnote>
  <w:footnote w:id="87">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r>
      <w:proofErr w:type="gramStart"/>
      <w:r w:rsidRPr="002C7571">
        <w:rPr>
          <w:rFonts w:ascii="Times New Roman" w:hAnsi="Times New Roman"/>
        </w:rPr>
        <w:t xml:space="preserve">Stapleton, </w:t>
      </w:r>
      <w:r>
        <w:rPr>
          <w:rFonts w:ascii="Times New Roman" w:hAnsi="Times New Roman"/>
        </w:rPr>
        <w:t xml:space="preserve">above </w:t>
      </w:r>
      <w:r w:rsidRPr="002C7571">
        <w:rPr>
          <w:rFonts w:ascii="Times New Roman" w:hAnsi="Times New Roman"/>
        </w:rPr>
        <w:t xml:space="preserve">n </w:t>
      </w:r>
      <w:r w:rsidR="009E5650">
        <w:rPr>
          <w:rFonts w:ascii="Times New Roman" w:hAnsi="Times New Roman"/>
        </w:rPr>
        <w:fldChar w:fldCharType="begin"/>
      </w:r>
      <w:r>
        <w:rPr>
          <w:rFonts w:ascii="Times New Roman" w:hAnsi="Times New Roman"/>
        </w:rPr>
        <w:instrText xml:space="preserve"> NOTEREF _Ref293614354 \h </w:instrText>
      </w:r>
      <w:r w:rsidR="009E5650">
        <w:rPr>
          <w:rFonts w:ascii="Times New Roman" w:hAnsi="Times New Roman"/>
        </w:rPr>
      </w:r>
      <w:r w:rsidR="009E5650">
        <w:rPr>
          <w:rFonts w:ascii="Times New Roman" w:hAnsi="Times New Roman"/>
        </w:rPr>
        <w:fldChar w:fldCharType="separate"/>
      </w:r>
      <w:r w:rsidR="002F310B">
        <w:rPr>
          <w:rFonts w:ascii="Times New Roman" w:hAnsi="Times New Roman"/>
        </w:rPr>
        <w:t>5</w:t>
      </w:r>
      <w:r w:rsidR="009E5650">
        <w:rPr>
          <w:rFonts w:ascii="Times New Roman" w:hAnsi="Times New Roman"/>
        </w:rPr>
        <w:fldChar w:fldCharType="end"/>
      </w:r>
      <w:r>
        <w:rPr>
          <w:rFonts w:ascii="Times New Roman" w:hAnsi="Times New Roman"/>
        </w:rPr>
        <w:t xml:space="preserve"> at</w:t>
      </w:r>
      <w:r w:rsidRPr="002C7571">
        <w:rPr>
          <w:rFonts w:ascii="Times New Roman" w:hAnsi="Times New Roman"/>
        </w:rPr>
        <w:t xml:space="preserve"> 842 n 77, referring to </w:t>
      </w:r>
      <w:r w:rsidR="005D3E1D">
        <w:rPr>
          <w:rFonts w:ascii="Times New Roman" w:hAnsi="Times New Roman"/>
        </w:rPr>
        <w:t xml:space="preserve">some particular proposals endorsed by </w:t>
      </w:r>
      <w:r w:rsidRPr="002C7571">
        <w:rPr>
          <w:rFonts w:ascii="Times New Roman" w:hAnsi="Times New Roman"/>
        </w:rPr>
        <w:t>Sir Owen Woodhouse and others.</w:t>
      </w:r>
      <w:proofErr w:type="gramEnd"/>
    </w:p>
  </w:footnote>
  <w:footnote w:id="88">
    <w:p w:rsidR="00400D3C" w:rsidRPr="006E20B3"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r>
      <w:r w:rsidR="006E20B3">
        <w:rPr>
          <w:rFonts w:ascii="Times New Roman" w:hAnsi="Times New Roman"/>
        </w:rPr>
        <w:t xml:space="preserve">The collapse of a major insurer in Australia led to two separate official reports. One of these, the </w:t>
      </w:r>
      <w:proofErr w:type="spellStart"/>
      <w:r w:rsidRPr="002C7571">
        <w:rPr>
          <w:rFonts w:ascii="Times New Roman" w:hAnsi="Times New Roman"/>
        </w:rPr>
        <w:t>the</w:t>
      </w:r>
      <w:proofErr w:type="spellEnd"/>
      <w:r w:rsidRPr="002C7571">
        <w:rPr>
          <w:rFonts w:ascii="Times New Roman" w:hAnsi="Times New Roman"/>
        </w:rPr>
        <w:t xml:space="preserve"> Report of the Royal Commission on the collapse of HIH Insurance </w:t>
      </w:r>
      <w:r>
        <w:rPr>
          <w:rFonts w:ascii="Times New Roman" w:hAnsi="Times New Roman"/>
        </w:rPr>
        <w:t xml:space="preserve">(Commonwealth of Australia, </w:t>
      </w:r>
      <w:r>
        <w:rPr>
          <w:rFonts w:ascii="Times New Roman" w:hAnsi="Times New Roman"/>
          <w:i/>
        </w:rPr>
        <w:t>The Failure of HIH Insurance</w:t>
      </w:r>
      <w:r>
        <w:rPr>
          <w:rFonts w:ascii="Times New Roman" w:hAnsi="Times New Roman"/>
        </w:rPr>
        <w:t xml:space="preserve"> </w:t>
      </w:r>
      <w:r w:rsidRPr="002C7571">
        <w:rPr>
          <w:rFonts w:ascii="Times New Roman" w:hAnsi="Times New Roman"/>
        </w:rPr>
        <w:t>(</w:t>
      </w:r>
      <w:r>
        <w:rPr>
          <w:rFonts w:ascii="Times New Roman" w:hAnsi="Times New Roman"/>
        </w:rPr>
        <w:t xml:space="preserve">National Capital Printing, Canberra, </w:t>
      </w:r>
      <w:r w:rsidRPr="002C7571">
        <w:rPr>
          <w:rFonts w:ascii="Times New Roman" w:hAnsi="Times New Roman"/>
        </w:rPr>
        <w:t>2003), was asked to identify the causes of the collapse</w:t>
      </w:r>
      <w:r w:rsidR="006E20B3">
        <w:rPr>
          <w:rFonts w:ascii="Times New Roman" w:hAnsi="Times New Roman"/>
        </w:rPr>
        <w:t>. The Report of the Royal Commission</w:t>
      </w:r>
      <w:r w:rsidRPr="002C7571">
        <w:rPr>
          <w:rFonts w:ascii="Times New Roman" w:hAnsi="Times New Roman"/>
        </w:rPr>
        <w:t xml:space="preserve"> did not identify excessive liability risks, but remained preoccupied with issues of financial management.</w:t>
      </w:r>
      <w:r w:rsidR="006E20B3">
        <w:rPr>
          <w:rFonts w:ascii="Times New Roman" w:hAnsi="Times New Roman"/>
        </w:rPr>
        <w:t xml:space="preserve"> </w:t>
      </w:r>
      <w:proofErr w:type="gramStart"/>
      <w:r w:rsidR="006E20B3">
        <w:rPr>
          <w:rFonts w:ascii="Times New Roman" w:hAnsi="Times New Roman"/>
        </w:rPr>
        <w:t>The low pricing of policies, and lack of action to address over-exposure to risk, we significant factors.</w:t>
      </w:r>
      <w:proofErr w:type="gramEnd"/>
      <w:r w:rsidR="006E20B3">
        <w:rPr>
          <w:rFonts w:ascii="Times New Roman" w:hAnsi="Times New Roman"/>
        </w:rPr>
        <w:t xml:space="preserve"> </w:t>
      </w:r>
      <w:proofErr w:type="gramStart"/>
      <w:r w:rsidR="006E20B3">
        <w:rPr>
          <w:rFonts w:ascii="Times New Roman" w:hAnsi="Times New Roman"/>
        </w:rPr>
        <w:t xml:space="preserve">The other, the </w:t>
      </w:r>
      <w:proofErr w:type="spellStart"/>
      <w:r w:rsidR="006E20B3">
        <w:rPr>
          <w:rFonts w:ascii="Times New Roman" w:hAnsi="Times New Roman"/>
          <w:i/>
        </w:rPr>
        <w:t>Ipp</w:t>
      </w:r>
      <w:proofErr w:type="spellEnd"/>
      <w:r w:rsidR="006E20B3">
        <w:rPr>
          <w:rFonts w:ascii="Times New Roman" w:hAnsi="Times New Roman"/>
          <w:i/>
        </w:rPr>
        <w:t xml:space="preserve"> Report </w:t>
      </w:r>
      <w:r w:rsidR="006E20B3">
        <w:rPr>
          <w:rFonts w:ascii="Times New Roman" w:hAnsi="Times New Roman"/>
        </w:rPr>
        <w:t>(above n 3</w:t>
      </w:r>
      <w:r w:rsidR="005D3E1D">
        <w:rPr>
          <w:rFonts w:ascii="Times New Roman" w:hAnsi="Times New Roman"/>
        </w:rPr>
        <w:t>6</w:t>
      </w:r>
      <w:r w:rsidR="006E20B3">
        <w:rPr>
          <w:rFonts w:ascii="Times New Roman" w:hAnsi="Times New Roman"/>
        </w:rPr>
        <w:t>), started with an assumption that tort liabilities needed to be controlled because of affordability issues.</w:t>
      </w:r>
      <w:proofErr w:type="gramEnd"/>
    </w:p>
  </w:footnote>
  <w:footnote w:id="89">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t>Or more pertinently, “to take responsibility for their own risks” – though in the tort cases considered here, for the most part they could not hope to have done so.</w:t>
      </w:r>
    </w:p>
  </w:footnote>
  <w:footnote w:id="90">
    <w:p w:rsidR="00400D3C" w:rsidRDefault="00400D3C">
      <w:pPr>
        <w:pStyle w:val="FootnoteText"/>
        <w:ind w:left="284" w:hanging="284"/>
        <w:jc w:val="both"/>
      </w:pPr>
      <w:r>
        <w:rPr>
          <w:rStyle w:val="FootnoteReference"/>
          <w:rFonts w:ascii="Times New Roman" w:hAnsi="Times New Roman"/>
        </w:rPr>
        <w:footnoteRef/>
      </w:r>
      <w:r w:rsidRPr="002C7571">
        <w:rPr>
          <w:rFonts w:ascii="Times New Roman" w:hAnsi="Times New Roman"/>
        </w:rPr>
        <w:t xml:space="preserve"> </w:t>
      </w:r>
      <w:r w:rsidRPr="002C7571">
        <w:rPr>
          <w:rFonts w:ascii="Times New Roman" w:hAnsi="Times New Roman"/>
        </w:rPr>
        <w:tab/>
      </w:r>
      <w:r w:rsidRPr="002C7571">
        <w:rPr>
          <w:rFonts w:ascii="Times New Roman" w:hAnsi="Times New Roman"/>
          <w:i/>
        </w:rPr>
        <w:t>Common Sense, Common Safety</w:t>
      </w:r>
      <w:r w:rsidRPr="002C7571">
        <w:rPr>
          <w:rFonts w:ascii="Times New Roman" w:hAnsi="Times New Roman"/>
        </w:rPr>
        <w:t xml:space="preserve">, above n </w:t>
      </w:r>
      <w:r w:rsidR="009E5650">
        <w:rPr>
          <w:rFonts w:ascii="Times New Roman" w:hAnsi="Times New Roman"/>
        </w:rPr>
        <w:fldChar w:fldCharType="begin"/>
      </w:r>
      <w:r>
        <w:rPr>
          <w:rFonts w:ascii="Times New Roman" w:hAnsi="Times New Roman"/>
        </w:rPr>
        <w:instrText xml:space="preserve"> NOTEREF _Ref293762701 \h </w:instrText>
      </w:r>
      <w:r w:rsidR="009E5650">
        <w:rPr>
          <w:rFonts w:ascii="Times New Roman" w:hAnsi="Times New Roman"/>
        </w:rPr>
      </w:r>
      <w:r w:rsidR="009E5650">
        <w:rPr>
          <w:rFonts w:ascii="Times New Roman" w:hAnsi="Times New Roman"/>
        </w:rPr>
        <w:fldChar w:fldCharType="separate"/>
      </w:r>
      <w:r>
        <w:rPr>
          <w:rFonts w:ascii="Times New Roman" w:hAnsi="Times New Roman"/>
        </w:rPr>
        <w:t>1</w:t>
      </w:r>
      <w:r w:rsidR="009E5650">
        <w:rPr>
          <w:rFonts w:ascii="Times New Roman" w:hAnsi="Times New Roman"/>
        </w:rPr>
        <w:fldChar w:fldCharType="end"/>
      </w:r>
      <w:r w:rsidRPr="002C7571">
        <w:rPr>
          <w:rFonts w:ascii="Times New Roman" w:hAnsi="Times New Roman"/>
        </w:rPr>
        <w:t xml:space="preserve">, and particularly the Foreword by David Cameron, which actually uses the expression (and mixed metaphor) “businesses are drowned in red tape”.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C7B8D"/>
    <w:multiLevelType w:val="hybridMultilevel"/>
    <w:tmpl w:val="0A1E5ED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4CBA37BF"/>
    <w:multiLevelType w:val="hybridMultilevel"/>
    <w:tmpl w:val="E182B51A"/>
    <w:lvl w:ilvl="0" w:tplc="B2F4EE4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284"/>
  <w:characterSpacingControl w:val="doNotCompress"/>
  <w:footnotePr>
    <w:footnote w:id="-1"/>
    <w:footnote w:id="0"/>
  </w:footnotePr>
  <w:endnotePr>
    <w:endnote w:id="-1"/>
    <w:endnote w:id="0"/>
  </w:endnotePr>
  <w:compat/>
  <w:rsids>
    <w:rsidRoot w:val="004948E2"/>
    <w:rsid w:val="00000CF9"/>
    <w:rsid w:val="00001777"/>
    <w:rsid w:val="000022A7"/>
    <w:rsid w:val="000026A5"/>
    <w:rsid w:val="00005A5E"/>
    <w:rsid w:val="00010CA1"/>
    <w:rsid w:val="000119F2"/>
    <w:rsid w:val="00011A52"/>
    <w:rsid w:val="00012556"/>
    <w:rsid w:val="00013077"/>
    <w:rsid w:val="00014AD0"/>
    <w:rsid w:val="000175DF"/>
    <w:rsid w:val="00020D58"/>
    <w:rsid w:val="00021BE3"/>
    <w:rsid w:val="00024768"/>
    <w:rsid w:val="00031825"/>
    <w:rsid w:val="00032365"/>
    <w:rsid w:val="00036940"/>
    <w:rsid w:val="0004007C"/>
    <w:rsid w:val="00043E4A"/>
    <w:rsid w:val="00044D03"/>
    <w:rsid w:val="00052116"/>
    <w:rsid w:val="000528B6"/>
    <w:rsid w:val="000536D0"/>
    <w:rsid w:val="00055474"/>
    <w:rsid w:val="00056D52"/>
    <w:rsid w:val="00057A5E"/>
    <w:rsid w:val="00057BA7"/>
    <w:rsid w:val="00060F6D"/>
    <w:rsid w:val="000635BF"/>
    <w:rsid w:val="000641A9"/>
    <w:rsid w:val="00065C36"/>
    <w:rsid w:val="00070E07"/>
    <w:rsid w:val="000715F0"/>
    <w:rsid w:val="00071E67"/>
    <w:rsid w:val="0007424C"/>
    <w:rsid w:val="0007469A"/>
    <w:rsid w:val="000754C9"/>
    <w:rsid w:val="000754DA"/>
    <w:rsid w:val="00076B81"/>
    <w:rsid w:val="0007739B"/>
    <w:rsid w:val="00080CDD"/>
    <w:rsid w:val="00081DEB"/>
    <w:rsid w:val="00082A1A"/>
    <w:rsid w:val="00082B80"/>
    <w:rsid w:val="00085662"/>
    <w:rsid w:val="00086EA9"/>
    <w:rsid w:val="00097AD3"/>
    <w:rsid w:val="000A1834"/>
    <w:rsid w:val="000B0ED5"/>
    <w:rsid w:val="000B153F"/>
    <w:rsid w:val="000B15E9"/>
    <w:rsid w:val="000B163F"/>
    <w:rsid w:val="000B17C5"/>
    <w:rsid w:val="000B19D5"/>
    <w:rsid w:val="000B31FE"/>
    <w:rsid w:val="000B3704"/>
    <w:rsid w:val="000B4A83"/>
    <w:rsid w:val="000B50D2"/>
    <w:rsid w:val="000C0998"/>
    <w:rsid w:val="000C0A8E"/>
    <w:rsid w:val="000C3138"/>
    <w:rsid w:val="000C32E2"/>
    <w:rsid w:val="000C466A"/>
    <w:rsid w:val="000C542D"/>
    <w:rsid w:val="000C561C"/>
    <w:rsid w:val="000C5DD6"/>
    <w:rsid w:val="000C7E74"/>
    <w:rsid w:val="000D090C"/>
    <w:rsid w:val="000D2AA7"/>
    <w:rsid w:val="000D3046"/>
    <w:rsid w:val="000D475B"/>
    <w:rsid w:val="000E0542"/>
    <w:rsid w:val="000E145A"/>
    <w:rsid w:val="000E4D16"/>
    <w:rsid w:val="000E63C8"/>
    <w:rsid w:val="000F00FF"/>
    <w:rsid w:val="000F08AA"/>
    <w:rsid w:val="000F1234"/>
    <w:rsid w:val="000F3A72"/>
    <w:rsid w:val="000F702E"/>
    <w:rsid w:val="001006B7"/>
    <w:rsid w:val="00104DFC"/>
    <w:rsid w:val="00105723"/>
    <w:rsid w:val="001063FC"/>
    <w:rsid w:val="00107C61"/>
    <w:rsid w:val="00111B5C"/>
    <w:rsid w:val="00115ED3"/>
    <w:rsid w:val="00120F18"/>
    <w:rsid w:val="001212A4"/>
    <w:rsid w:val="00122430"/>
    <w:rsid w:val="00122670"/>
    <w:rsid w:val="0012306C"/>
    <w:rsid w:val="001248E4"/>
    <w:rsid w:val="00125431"/>
    <w:rsid w:val="00125D1D"/>
    <w:rsid w:val="00125FBF"/>
    <w:rsid w:val="001262EF"/>
    <w:rsid w:val="00126702"/>
    <w:rsid w:val="00126E28"/>
    <w:rsid w:val="00127E6A"/>
    <w:rsid w:val="00130632"/>
    <w:rsid w:val="00130B09"/>
    <w:rsid w:val="00131855"/>
    <w:rsid w:val="00133011"/>
    <w:rsid w:val="001363B4"/>
    <w:rsid w:val="0013666F"/>
    <w:rsid w:val="00140934"/>
    <w:rsid w:val="00142597"/>
    <w:rsid w:val="00143444"/>
    <w:rsid w:val="001447E4"/>
    <w:rsid w:val="0014509D"/>
    <w:rsid w:val="0014548A"/>
    <w:rsid w:val="0014607E"/>
    <w:rsid w:val="00146B03"/>
    <w:rsid w:val="0014738B"/>
    <w:rsid w:val="00151CA0"/>
    <w:rsid w:val="00152BFB"/>
    <w:rsid w:val="0015308A"/>
    <w:rsid w:val="0015667A"/>
    <w:rsid w:val="0015743C"/>
    <w:rsid w:val="001575E8"/>
    <w:rsid w:val="001611E5"/>
    <w:rsid w:val="0016307C"/>
    <w:rsid w:val="00164710"/>
    <w:rsid w:val="00164EAB"/>
    <w:rsid w:val="00172DC3"/>
    <w:rsid w:val="001735A3"/>
    <w:rsid w:val="001768B3"/>
    <w:rsid w:val="001769C8"/>
    <w:rsid w:val="00180B54"/>
    <w:rsid w:val="0018463B"/>
    <w:rsid w:val="00184E11"/>
    <w:rsid w:val="0018590A"/>
    <w:rsid w:val="00186837"/>
    <w:rsid w:val="00186F5B"/>
    <w:rsid w:val="00187DCC"/>
    <w:rsid w:val="00190108"/>
    <w:rsid w:val="00193B2A"/>
    <w:rsid w:val="001943C9"/>
    <w:rsid w:val="001953CF"/>
    <w:rsid w:val="0019705D"/>
    <w:rsid w:val="001A20B5"/>
    <w:rsid w:val="001A2A51"/>
    <w:rsid w:val="001A385A"/>
    <w:rsid w:val="001A4FB0"/>
    <w:rsid w:val="001A54EA"/>
    <w:rsid w:val="001A5BA2"/>
    <w:rsid w:val="001A63AC"/>
    <w:rsid w:val="001B20CD"/>
    <w:rsid w:val="001B216C"/>
    <w:rsid w:val="001B404F"/>
    <w:rsid w:val="001B42EC"/>
    <w:rsid w:val="001B45FC"/>
    <w:rsid w:val="001B53BB"/>
    <w:rsid w:val="001B5FF5"/>
    <w:rsid w:val="001B6E5A"/>
    <w:rsid w:val="001C0791"/>
    <w:rsid w:val="001C0832"/>
    <w:rsid w:val="001C0FD7"/>
    <w:rsid w:val="001C1304"/>
    <w:rsid w:val="001C23D3"/>
    <w:rsid w:val="001C5E65"/>
    <w:rsid w:val="001C60B6"/>
    <w:rsid w:val="001C685A"/>
    <w:rsid w:val="001D0A9F"/>
    <w:rsid w:val="001D4383"/>
    <w:rsid w:val="001D45F4"/>
    <w:rsid w:val="001D5007"/>
    <w:rsid w:val="001D5100"/>
    <w:rsid w:val="001D7635"/>
    <w:rsid w:val="001E4B07"/>
    <w:rsid w:val="001E5453"/>
    <w:rsid w:val="001E5BFC"/>
    <w:rsid w:val="001E5C33"/>
    <w:rsid w:val="001E6EA1"/>
    <w:rsid w:val="001F0A9D"/>
    <w:rsid w:val="001F13AA"/>
    <w:rsid w:val="001F180B"/>
    <w:rsid w:val="001F3336"/>
    <w:rsid w:val="001F3953"/>
    <w:rsid w:val="001F3B9C"/>
    <w:rsid w:val="001F3BF0"/>
    <w:rsid w:val="00200916"/>
    <w:rsid w:val="0020159E"/>
    <w:rsid w:val="00202633"/>
    <w:rsid w:val="00202886"/>
    <w:rsid w:val="00203032"/>
    <w:rsid w:val="00203B1A"/>
    <w:rsid w:val="00203CE3"/>
    <w:rsid w:val="00205E2F"/>
    <w:rsid w:val="00207AEF"/>
    <w:rsid w:val="002141B8"/>
    <w:rsid w:val="0021491B"/>
    <w:rsid w:val="00215A30"/>
    <w:rsid w:val="0021640A"/>
    <w:rsid w:val="002251EA"/>
    <w:rsid w:val="002263E1"/>
    <w:rsid w:val="0023162A"/>
    <w:rsid w:val="002322AB"/>
    <w:rsid w:val="00234587"/>
    <w:rsid w:val="00235B59"/>
    <w:rsid w:val="002376ED"/>
    <w:rsid w:val="0024377D"/>
    <w:rsid w:val="00244439"/>
    <w:rsid w:val="002458D8"/>
    <w:rsid w:val="00251B92"/>
    <w:rsid w:val="002524FD"/>
    <w:rsid w:val="002528CC"/>
    <w:rsid w:val="00252997"/>
    <w:rsid w:val="00253793"/>
    <w:rsid w:val="00254C42"/>
    <w:rsid w:val="00254F68"/>
    <w:rsid w:val="00255D68"/>
    <w:rsid w:val="002574CC"/>
    <w:rsid w:val="002603CA"/>
    <w:rsid w:val="0026203F"/>
    <w:rsid w:val="00263434"/>
    <w:rsid w:val="00263AF2"/>
    <w:rsid w:val="00264107"/>
    <w:rsid w:val="00264185"/>
    <w:rsid w:val="00264D60"/>
    <w:rsid w:val="00270CE6"/>
    <w:rsid w:val="002710FE"/>
    <w:rsid w:val="0027209D"/>
    <w:rsid w:val="00272612"/>
    <w:rsid w:val="002726B1"/>
    <w:rsid w:val="00280329"/>
    <w:rsid w:val="00282611"/>
    <w:rsid w:val="002828BD"/>
    <w:rsid w:val="00282F1B"/>
    <w:rsid w:val="00283AFB"/>
    <w:rsid w:val="002850C8"/>
    <w:rsid w:val="002857D8"/>
    <w:rsid w:val="00290AE3"/>
    <w:rsid w:val="00291132"/>
    <w:rsid w:val="00297AD7"/>
    <w:rsid w:val="002A43F8"/>
    <w:rsid w:val="002A623D"/>
    <w:rsid w:val="002A6B6C"/>
    <w:rsid w:val="002A6E69"/>
    <w:rsid w:val="002B1FBA"/>
    <w:rsid w:val="002B28B7"/>
    <w:rsid w:val="002B2C71"/>
    <w:rsid w:val="002B5B90"/>
    <w:rsid w:val="002B61FF"/>
    <w:rsid w:val="002C0561"/>
    <w:rsid w:val="002C09FB"/>
    <w:rsid w:val="002C2BF6"/>
    <w:rsid w:val="002C3D33"/>
    <w:rsid w:val="002C7571"/>
    <w:rsid w:val="002D2166"/>
    <w:rsid w:val="002D4DDC"/>
    <w:rsid w:val="002D6A8D"/>
    <w:rsid w:val="002E0228"/>
    <w:rsid w:val="002E0CF0"/>
    <w:rsid w:val="002E1654"/>
    <w:rsid w:val="002E1B8C"/>
    <w:rsid w:val="002E1C93"/>
    <w:rsid w:val="002E1D41"/>
    <w:rsid w:val="002E2DCD"/>
    <w:rsid w:val="002E30CB"/>
    <w:rsid w:val="002E3107"/>
    <w:rsid w:val="002E344E"/>
    <w:rsid w:val="002E3E19"/>
    <w:rsid w:val="002E444A"/>
    <w:rsid w:val="002E4872"/>
    <w:rsid w:val="002E48AC"/>
    <w:rsid w:val="002E5FB7"/>
    <w:rsid w:val="002E69C7"/>
    <w:rsid w:val="002E71C6"/>
    <w:rsid w:val="002F0221"/>
    <w:rsid w:val="002F0B58"/>
    <w:rsid w:val="002F12A2"/>
    <w:rsid w:val="002F25F2"/>
    <w:rsid w:val="002F2E44"/>
    <w:rsid w:val="002F310B"/>
    <w:rsid w:val="002F395E"/>
    <w:rsid w:val="002F7298"/>
    <w:rsid w:val="0030025D"/>
    <w:rsid w:val="00300A64"/>
    <w:rsid w:val="00301471"/>
    <w:rsid w:val="003020CD"/>
    <w:rsid w:val="003025A4"/>
    <w:rsid w:val="003029EA"/>
    <w:rsid w:val="00302EB4"/>
    <w:rsid w:val="00304617"/>
    <w:rsid w:val="003046FE"/>
    <w:rsid w:val="00304AD4"/>
    <w:rsid w:val="003055AA"/>
    <w:rsid w:val="00305719"/>
    <w:rsid w:val="00307C5D"/>
    <w:rsid w:val="00310091"/>
    <w:rsid w:val="00310367"/>
    <w:rsid w:val="003114B0"/>
    <w:rsid w:val="0031212F"/>
    <w:rsid w:val="00313DC5"/>
    <w:rsid w:val="003208CC"/>
    <w:rsid w:val="00321492"/>
    <w:rsid w:val="00322075"/>
    <w:rsid w:val="00322C71"/>
    <w:rsid w:val="00322CB4"/>
    <w:rsid w:val="00322DF1"/>
    <w:rsid w:val="00322EB1"/>
    <w:rsid w:val="00323767"/>
    <w:rsid w:val="00325F62"/>
    <w:rsid w:val="00327EA8"/>
    <w:rsid w:val="003302D2"/>
    <w:rsid w:val="0033042A"/>
    <w:rsid w:val="003327CF"/>
    <w:rsid w:val="00333C9C"/>
    <w:rsid w:val="0033413F"/>
    <w:rsid w:val="00334F91"/>
    <w:rsid w:val="003350D3"/>
    <w:rsid w:val="00340E2C"/>
    <w:rsid w:val="00344392"/>
    <w:rsid w:val="003448C2"/>
    <w:rsid w:val="00345648"/>
    <w:rsid w:val="003518B1"/>
    <w:rsid w:val="00351B88"/>
    <w:rsid w:val="00351EA4"/>
    <w:rsid w:val="00353188"/>
    <w:rsid w:val="0035354E"/>
    <w:rsid w:val="00355642"/>
    <w:rsid w:val="00355E33"/>
    <w:rsid w:val="00356072"/>
    <w:rsid w:val="00356589"/>
    <w:rsid w:val="00357A98"/>
    <w:rsid w:val="003614F6"/>
    <w:rsid w:val="00366826"/>
    <w:rsid w:val="003674BB"/>
    <w:rsid w:val="00371ECB"/>
    <w:rsid w:val="003733F2"/>
    <w:rsid w:val="003739B5"/>
    <w:rsid w:val="00374519"/>
    <w:rsid w:val="0037627F"/>
    <w:rsid w:val="003770A9"/>
    <w:rsid w:val="00382965"/>
    <w:rsid w:val="00382D41"/>
    <w:rsid w:val="00383579"/>
    <w:rsid w:val="00385F70"/>
    <w:rsid w:val="003865B0"/>
    <w:rsid w:val="00386ABE"/>
    <w:rsid w:val="00387568"/>
    <w:rsid w:val="00391539"/>
    <w:rsid w:val="003919A7"/>
    <w:rsid w:val="0039298B"/>
    <w:rsid w:val="00392DB2"/>
    <w:rsid w:val="003934CC"/>
    <w:rsid w:val="00394E92"/>
    <w:rsid w:val="00395953"/>
    <w:rsid w:val="003972FF"/>
    <w:rsid w:val="003A0643"/>
    <w:rsid w:val="003A22D7"/>
    <w:rsid w:val="003A2410"/>
    <w:rsid w:val="003A291F"/>
    <w:rsid w:val="003A3FE3"/>
    <w:rsid w:val="003A492B"/>
    <w:rsid w:val="003A493D"/>
    <w:rsid w:val="003A5501"/>
    <w:rsid w:val="003A7A7A"/>
    <w:rsid w:val="003A7BD3"/>
    <w:rsid w:val="003B0A24"/>
    <w:rsid w:val="003B5370"/>
    <w:rsid w:val="003C3B2B"/>
    <w:rsid w:val="003C5633"/>
    <w:rsid w:val="003D0B02"/>
    <w:rsid w:val="003D53A4"/>
    <w:rsid w:val="003D57ED"/>
    <w:rsid w:val="003D6E8D"/>
    <w:rsid w:val="003E0785"/>
    <w:rsid w:val="003E0C21"/>
    <w:rsid w:val="003E0FAE"/>
    <w:rsid w:val="003E15E3"/>
    <w:rsid w:val="003E294B"/>
    <w:rsid w:val="003E43D7"/>
    <w:rsid w:val="003E47BB"/>
    <w:rsid w:val="003E4A05"/>
    <w:rsid w:val="003E531A"/>
    <w:rsid w:val="003E5AA4"/>
    <w:rsid w:val="003E6552"/>
    <w:rsid w:val="003F1002"/>
    <w:rsid w:val="003F1830"/>
    <w:rsid w:val="003F1F5D"/>
    <w:rsid w:val="003F2353"/>
    <w:rsid w:val="003F2834"/>
    <w:rsid w:val="003F579F"/>
    <w:rsid w:val="003F629F"/>
    <w:rsid w:val="00400D3C"/>
    <w:rsid w:val="00401BAC"/>
    <w:rsid w:val="004042FD"/>
    <w:rsid w:val="004052A1"/>
    <w:rsid w:val="004062C9"/>
    <w:rsid w:val="00406D86"/>
    <w:rsid w:val="0041082B"/>
    <w:rsid w:val="004127E7"/>
    <w:rsid w:val="004132E8"/>
    <w:rsid w:val="004141CC"/>
    <w:rsid w:val="004144CB"/>
    <w:rsid w:val="004154A1"/>
    <w:rsid w:val="004165B4"/>
    <w:rsid w:val="00416BF2"/>
    <w:rsid w:val="0042077A"/>
    <w:rsid w:val="004216EA"/>
    <w:rsid w:val="004248B6"/>
    <w:rsid w:val="004275F8"/>
    <w:rsid w:val="00430F9A"/>
    <w:rsid w:val="00432A32"/>
    <w:rsid w:val="00432B4D"/>
    <w:rsid w:val="00433636"/>
    <w:rsid w:val="00434361"/>
    <w:rsid w:val="00434A67"/>
    <w:rsid w:val="00435769"/>
    <w:rsid w:val="00440668"/>
    <w:rsid w:val="00442361"/>
    <w:rsid w:val="00445E0E"/>
    <w:rsid w:val="0044644C"/>
    <w:rsid w:val="00447589"/>
    <w:rsid w:val="0044772D"/>
    <w:rsid w:val="00450B9A"/>
    <w:rsid w:val="0045195E"/>
    <w:rsid w:val="004526CE"/>
    <w:rsid w:val="00454BC6"/>
    <w:rsid w:val="00461508"/>
    <w:rsid w:val="004618E1"/>
    <w:rsid w:val="004636BF"/>
    <w:rsid w:val="00465B91"/>
    <w:rsid w:val="004702E0"/>
    <w:rsid w:val="00470700"/>
    <w:rsid w:val="0047662F"/>
    <w:rsid w:val="00476687"/>
    <w:rsid w:val="00476B0C"/>
    <w:rsid w:val="00476E90"/>
    <w:rsid w:val="004839FE"/>
    <w:rsid w:val="00484D66"/>
    <w:rsid w:val="00485B4D"/>
    <w:rsid w:val="00485F09"/>
    <w:rsid w:val="00487934"/>
    <w:rsid w:val="0049151C"/>
    <w:rsid w:val="00493EB2"/>
    <w:rsid w:val="004948E2"/>
    <w:rsid w:val="004960E7"/>
    <w:rsid w:val="004961E9"/>
    <w:rsid w:val="0049626D"/>
    <w:rsid w:val="00496AE3"/>
    <w:rsid w:val="004977E1"/>
    <w:rsid w:val="00497E1D"/>
    <w:rsid w:val="004A0698"/>
    <w:rsid w:val="004A0EE3"/>
    <w:rsid w:val="004A36DD"/>
    <w:rsid w:val="004A3EC0"/>
    <w:rsid w:val="004A58CA"/>
    <w:rsid w:val="004A6327"/>
    <w:rsid w:val="004A702D"/>
    <w:rsid w:val="004B38ED"/>
    <w:rsid w:val="004B47DA"/>
    <w:rsid w:val="004B59EA"/>
    <w:rsid w:val="004B5C93"/>
    <w:rsid w:val="004B670B"/>
    <w:rsid w:val="004B752F"/>
    <w:rsid w:val="004B768A"/>
    <w:rsid w:val="004B7B00"/>
    <w:rsid w:val="004B7B58"/>
    <w:rsid w:val="004C13BD"/>
    <w:rsid w:val="004C1929"/>
    <w:rsid w:val="004C2D83"/>
    <w:rsid w:val="004C31F1"/>
    <w:rsid w:val="004C6ACB"/>
    <w:rsid w:val="004C79A0"/>
    <w:rsid w:val="004C7E67"/>
    <w:rsid w:val="004C7F1D"/>
    <w:rsid w:val="004D06A8"/>
    <w:rsid w:val="004D0B04"/>
    <w:rsid w:val="004D370B"/>
    <w:rsid w:val="004D5273"/>
    <w:rsid w:val="004D627A"/>
    <w:rsid w:val="004D6448"/>
    <w:rsid w:val="004D69C5"/>
    <w:rsid w:val="004D6CFC"/>
    <w:rsid w:val="004D6F33"/>
    <w:rsid w:val="004D780D"/>
    <w:rsid w:val="004E5146"/>
    <w:rsid w:val="004E5C90"/>
    <w:rsid w:val="004F2473"/>
    <w:rsid w:val="004F438A"/>
    <w:rsid w:val="004F4585"/>
    <w:rsid w:val="004F75EB"/>
    <w:rsid w:val="004F7AD8"/>
    <w:rsid w:val="004F7B4D"/>
    <w:rsid w:val="005009EF"/>
    <w:rsid w:val="005054F8"/>
    <w:rsid w:val="00505F97"/>
    <w:rsid w:val="0050606E"/>
    <w:rsid w:val="005064CF"/>
    <w:rsid w:val="0051080B"/>
    <w:rsid w:val="00512FF9"/>
    <w:rsid w:val="005151FD"/>
    <w:rsid w:val="005155E3"/>
    <w:rsid w:val="00516E5E"/>
    <w:rsid w:val="005202D7"/>
    <w:rsid w:val="00520D9F"/>
    <w:rsid w:val="0052118F"/>
    <w:rsid w:val="0052182E"/>
    <w:rsid w:val="005225DE"/>
    <w:rsid w:val="00525A2E"/>
    <w:rsid w:val="005269D9"/>
    <w:rsid w:val="00526ED9"/>
    <w:rsid w:val="00531728"/>
    <w:rsid w:val="00531971"/>
    <w:rsid w:val="00532DA1"/>
    <w:rsid w:val="00535EE4"/>
    <w:rsid w:val="00536BA6"/>
    <w:rsid w:val="00537524"/>
    <w:rsid w:val="00540C46"/>
    <w:rsid w:val="00544284"/>
    <w:rsid w:val="0054688B"/>
    <w:rsid w:val="005522EE"/>
    <w:rsid w:val="00553D9C"/>
    <w:rsid w:val="00555277"/>
    <w:rsid w:val="00556195"/>
    <w:rsid w:val="00556CBB"/>
    <w:rsid w:val="00561C44"/>
    <w:rsid w:val="005621FC"/>
    <w:rsid w:val="00562C84"/>
    <w:rsid w:val="00564011"/>
    <w:rsid w:val="00564162"/>
    <w:rsid w:val="0056417B"/>
    <w:rsid w:val="005648A5"/>
    <w:rsid w:val="00564F0A"/>
    <w:rsid w:val="005720F8"/>
    <w:rsid w:val="005727EB"/>
    <w:rsid w:val="00577303"/>
    <w:rsid w:val="00577C68"/>
    <w:rsid w:val="0058219C"/>
    <w:rsid w:val="00582673"/>
    <w:rsid w:val="00582EC5"/>
    <w:rsid w:val="005837E3"/>
    <w:rsid w:val="005840A3"/>
    <w:rsid w:val="005847FD"/>
    <w:rsid w:val="00585005"/>
    <w:rsid w:val="0058672E"/>
    <w:rsid w:val="00586922"/>
    <w:rsid w:val="00586FE6"/>
    <w:rsid w:val="005870E0"/>
    <w:rsid w:val="00587610"/>
    <w:rsid w:val="00590A7B"/>
    <w:rsid w:val="00594151"/>
    <w:rsid w:val="00594432"/>
    <w:rsid w:val="00597F5B"/>
    <w:rsid w:val="005A0E9A"/>
    <w:rsid w:val="005A1EBD"/>
    <w:rsid w:val="005A4064"/>
    <w:rsid w:val="005A4B86"/>
    <w:rsid w:val="005A6F22"/>
    <w:rsid w:val="005A7277"/>
    <w:rsid w:val="005A7879"/>
    <w:rsid w:val="005B0C57"/>
    <w:rsid w:val="005B5CA4"/>
    <w:rsid w:val="005B7526"/>
    <w:rsid w:val="005C15BE"/>
    <w:rsid w:val="005C2613"/>
    <w:rsid w:val="005C26E2"/>
    <w:rsid w:val="005C4F19"/>
    <w:rsid w:val="005C4FEA"/>
    <w:rsid w:val="005C6118"/>
    <w:rsid w:val="005C6E1A"/>
    <w:rsid w:val="005D2E14"/>
    <w:rsid w:val="005D3715"/>
    <w:rsid w:val="005D3E1D"/>
    <w:rsid w:val="005D4B31"/>
    <w:rsid w:val="005D6219"/>
    <w:rsid w:val="005D625C"/>
    <w:rsid w:val="005E3BAF"/>
    <w:rsid w:val="005E58C2"/>
    <w:rsid w:val="005E7AEC"/>
    <w:rsid w:val="005F10CD"/>
    <w:rsid w:val="005F17D6"/>
    <w:rsid w:val="005F2325"/>
    <w:rsid w:val="005F3E44"/>
    <w:rsid w:val="005F3FCF"/>
    <w:rsid w:val="005F7342"/>
    <w:rsid w:val="0060085D"/>
    <w:rsid w:val="0060116E"/>
    <w:rsid w:val="00604119"/>
    <w:rsid w:val="006056B2"/>
    <w:rsid w:val="00605942"/>
    <w:rsid w:val="006071EE"/>
    <w:rsid w:val="00607949"/>
    <w:rsid w:val="006108BF"/>
    <w:rsid w:val="006112A7"/>
    <w:rsid w:val="006121C9"/>
    <w:rsid w:val="00612490"/>
    <w:rsid w:val="00612D32"/>
    <w:rsid w:val="006136F9"/>
    <w:rsid w:val="006210DC"/>
    <w:rsid w:val="00625972"/>
    <w:rsid w:val="00627675"/>
    <w:rsid w:val="006278F1"/>
    <w:rsid w:val="006332E3"/>
    <w:rsid w:val="0063597E"/>
    <w:rsid w:val="006406D8"/>
    <w:rsid w:val="00640AAA"/>
    <w:rsid w:val="00642D11"/>
    <w:rsid w:val="006430A7"/>
    <w:rsid w:val="006431B7"/>
    <w:rsid w:val="0064771C"/>
    <w:rsid w:val="00651046"/>
    <w:rsid w:val="006529D4"/>
    <w:rsid w:val="0065383A"/>
    <w:rsid w:val="00654E25"/>
    <w:rsid w:val="00655F20"/>
    <w:rsid w:val="00656228"/>
    <w:rsid w:val="0065662B"/>
    <w:rsid w:val="00662A13"/>
    <w:rsid w:val="0066454B"/>
    <w:rsid w:val="00665224"/>
    <w:rsid w:val="00665CE7"/>
    <w:rsid w:val="006662D2"/>
    <w:rsid w:val="0067074E"/>
    <w:rsid w:val="00671B08"/>
    <w:rsid w:val="00671D4E"/>
    <w:rsid w:val="006751AB"/>
    <w:rsid w:val="006778DD"/>
    <w:rsid w:val="0068461F"/>
    <w:rsid w:val="00684CBE"/>
    <w:rsid w:val="006855B6"/>
    <w:rsid w:val="006869C1"/>
    <w:rsid w:val="00687CD9"/>
    <w:rsid w:val="00690376"/>
    <w:rsid w:val="00690768"/>
    <w:rsid w:val="00690F13"/>
    <w:rsid w:val="00690F95"/>
    <w:rsid w:val="00691D7B"/>
    <w:rsid w:val="006930CD"/>
    <w:rsid w:val="0069660D"/>
    <w:rsid w:val="00696762"/>
    <w:rsid w:val="00697D9F"/>
    <w:rsid w:val="006A106B"/>
    <w:rsid w:val="006A27F9"/>
    <w:rsid w:val="006A331F"/>
    <w:rsid w:val="006A3752"/>
    <w:rsid w:val="006A5338"/>
    <w:rsid w:val="006A725B"/>
    <w:rsid w:val="006A766F"/>
    <w:rsid w:val="006B2188"/>
    <w:rsid w:val="006B4DF5"/>
    <w:rsid w:val="006B5C3F"/>
    <w:rsid w:val="006B5D36"/>
    <w:rsid w:val="006B6E2E"/>
    <w:rsid w:val="006B73D7"/>
    <w:rsid w:val="006B7696"/>
    <w:rsid w:val="006C2933"/>
    <w:rsid w:val="006C3055"/>
    <w:rsid w:val="006C68FA"/>
    <w:rsid w:val="006C6A7B"/>
    <w:rsid w:val="006C6DA8"/>
    <w:rsid w:val="006D0ACB"/>
    <w:rsid w:val="006D31DE"/>
    <w:rsid w:val="006D5AA3"/>
    <w:rsid w:val="006D6AF1"/>
    <w:rsid w:val="006D77A9"/>
    <w:rsid w:val="006E0A76"/>
    <w:rsid w:val="006E20B3"/>
    <w:rsid w:val="006E5F4E"/>
    <w:rsid w:val="006F2B1A"/>
    <w:rsid w:val="006F32F2"/>
    <w:rsid w:val="006F5EC7"/>
    <w:rsid w:val="006F5F68"/>
    <w:rsid w:val="006F6099"/>
    <w:rsid w:val="006F6AAE"/>
    <w:rsid w:val="00702DB0"/>
    <w:rsid w:val="00704672"/>
    <w:rsid w:val="00704A91"/>
    <w:rsid w:val="00705A22"/>
    <w:rsid w:val="00705E75"/>
    <w:rsid w:val="00706206"/>
    <w:rsid w:val="00706D88"/>
    <w:rsid w:val="00707EC8"/>
    <w:rsid w:val="00710067"/>
    <w:rsid w:val="007169DF"/>
    <w:rsid w:val="0071765D"/>
    <w:rsid w:val="00720EE6"/>
    <w:rsid w:val="00721E7B"/>
    <w:rsid w:val="00722493"/>
    <w:rsid w:val="00724847"/>
    <w:rsid w:val="0072540A"/>
    <w:rsid w:val="00725895"/>
    <w:rsid w:val="007267DE"/>
    <w:rsid w:val="00727DAB"/>
    <w:rsid w:val="007319A0"/>
    <w:rsid w:val="00732512"/>
    <w:rsid w:val="0073317A"/>
    <w:rsid w:val="0073435D"/>
    <w:rsid w:val="00734FA2"/>
    <w:rsid w:val="0073551A"/>
    <w:rsid w:val="00735BB6"/>
    <w:rsid w:val="0073606C"/>
    <w:rsid w:val="00737E9C"/>
    <w:rsid w:val="00740D07"/>
    <w:rsid w:val="0074101B"/>
    <w:rsid w:val="00747219"/>
    <w:rsid w:val="007512EB"/>
    <w:rsid w:val="00751B9E"/>
    <w:rsid w:val="00756644"/>
    <w:rsid w:val="00756815"/>
    <w:rsid w:val="00757E83"/>
    <w:rsid w:val="00763E9E"/>
    <w:rsid w:val="00765031"/>
    <w:rsid w:val="007666D1"/>
    <w:rsid w:val="00767EED"/>
    <w:rsid w:val="00770C21"/>
    <w:rsid w:val="0077161F"/>
    <w:rsid w:val="007717AA"/>
    <w:rsid w:val="00773E59"/>
    <w:rsid w:val="007741A0"/>
    <w:rsid w:val="00774B08"/>
    <w:rsid w:val="00775B17"/>
    <w:rsid w:val="007767D3"/>
    <w:rsid w:val="007776C2"/>
    <w:rsid w:val="00780501"/>
    <w:rsid w:val="0078075F"/>
    <w:rsid w:val="00782603"/>
    <w:rsid w:val="00784A8D"/>
    <w:rsid w:val="00784DCC"/>
    <w:rsid w:val="00785705"/>
    <w:rsid w:val="00785E4E"/>
    <w:rsid w:val="0078621C"/>
    <w:rsid w:val="00793A5F"/>
    <w:rsid w:val="00794FD1"/>
    <w:rsid w:val="00794FF5"/>
    <w:rsid w:val="007950ED"/>
    <w:rsid w:val="00795FE7"/>
    <w:rsid w:val="00796ED9"/>
    <w:rsid w:val="007A18B7"/>
    <w:rsid w:val="007A26C9"/>
    <w:rsid w:val="007A28D4"/>
    <w:rsid w:val="007A3B7B"/>
    <w:rsid w:val="007A40C5"/>
    <w:rsid w:val="007A513A"/>
    <w:rsid w:val="007A56F4"/>
    <w:rsid w:val="007A6857"/>
    <w:rsid w:val="007B02E2"/>
    <w:rsid w:val="007B3C5A"/>
    <w:rsid w:val="007B4AB8"/>
    <w:rsid w:val="007B4F39"/>
    <w:rsid w:val="007B7DF2"/>
    <w:rsid w:val="007C1353"/>
    <w:rsid w:val="007C4441"/>
    <w:rsid w:val="007C4504"/>
    <w:rsid w:val="007C4C18"/>
    <w:rsid w:val="007C6284"/>
    <w:rsid w:val="007C6CFC"/>
    <w:rsid w:val="007D271C"/>
    <w:rsid w:val="007D2849"/>
    <w:rsid w:val="007D34AF"/>
    <w:rsid w:val="007D5873"/>
    <w:rsid w:val="007D5F46"/>
    <w:rsid w:val="007D767D"/>
    <w:rsid w:val="007E2000"/>
    <w:rsid w:val="007E3DDA"/>
    <w:rsid w:val="007E62F1"/>
    <w:rsid w:val="007E69B8"/>
    <w:rsid w:val="007E70E2"/>
    <w:rsid w:val="007F0181"/>
    <w:rsid w:val="007F23BE"/>
    <w:rsid w:val="007F42E7"/>
    <w:rsid w:val="007F56D8"/>
    <w:rsid w:val="007F6795"/>
    <w:rsid w:val="007F7370"/>
    <w:rsid w:val="007F779F"/>
    <w:rsid w:val="0080167A"/>
    <w:rsid w:val="008040E4"/>
    <w:rsid w:val="00805AF0"/>
    <w:rsid w:val="008073D3"/>
    <w:rsid w:val="0081046D"/>
    <w:rsid w:val="008107EA"/>
    <w:rsid w:val="008142A9"/>
    <w:rsid w:val="008200CD"/>
    <w:rsid w:val="008210E6"/>
    <w:rsid w:val="00822E8B"/>
    <w:rsid w:val="00823A49"/>
    <w:rsid w:val="00824734"/>
    <w:rsid w:val="00826CB7"/>
    <w:rsid w:val="00826E06"/>
    <w:rsid w:val="00827048"/>
    <w:rsid w:val="00827E26"/>
    <w:rsid w:val="008329EE"/>
    <w:rsid w:val="00834823"/>
    <w:rsid w:val="0083641D"/>
    <w:rsid w:val="008364DF"/>
    <w:rsid w:val="00843716"/>
    <w:rsid w:val="00843A75"/>
    <w:rsid w:val="00844EC3"/>
    <w:rsid w:val="00847B40"/>
    <w:rsid w:val="0085154E"/>
    <w:rsid w:val="00851746"/>
    <w:rsid w:val="008545AA"/>
    <w:rsid w:val="00854E40"/>
    <w:rsid w:val="00856085"/>
    <w:rsid w:val="00856E0F"/>
    <w:rsid w:val="00857910"/>
    <w:rsid w:val="008627BC"/>
    <w:rsid w:val="00864CBB"/>
    <w:rsid w:val="0086544A"/>
    <w:rsid w:val="0087039D"/>
    <w:rsid w:val="00871389"/>
    <w:rsid w:val="00873324"/>
    <w:rsid w:val="00873A85"/>
    <w:rsid w:val="00874210"/>
    <w:rsid w:val="00875417"/>
    <w:rsid w:val="008766C7"/>
    <w:rsid w:val="00880BB5"/>
    <w:rsid w:val="008816C0"/>
    <w:rsid w:val="00881A36"/>
    <w:rsid w:val="00881C8D"/>
    <w:rsid w:val="008821E1"/>
    <w:rsid w:val="00884969"/>
    <w:rsid w:val="00885691"/>
    <w:rsid w:val="00887ED0"/>
    <w:rsid w:val="008911B3"/>
    <w:rsid w:val="00891D78"/>
    <w:rsid w:val="00894D59"/>
    <w:rsid w:val="00897E77"/>
    <w:rsid w:val="008A09DE"/>
    <w:rsid w:val="008A20D8"/>
    <w:rsid w:val="008A5D1E"/>
    <w:rsid w:val="008A71A8"/>
    <w:rsid w:val="008A729D"/>
    <w:rsid w:val="008A7897"/>
    <w:rsid w:val="008A7A5E"/>
    <w:rsid w:val="008B0125"/>
    <w:rsid w:val="008B0E7E"/>
    <w:rsid w:val="008B4BF3"/>
    <w:rsid w:val="008B4CEE"/>
    <w:rsid w:val="008B5CE7"/>
    <w:rsid w:val="008B69EC"/>
    <w:rsid w:val="008B6A95"/>
    <w:rsid w:val="008B791E"/>
    <w:rsid w:val="008B7AB2"/>
    <w:rsid w:val="008C134E"/>
    <w:rsid w:val="008C20EA"/>
    <w:rsid w:val="008C6BC5"/>
    <w:rsid w:val="008D6589"/>
    <w:rsid w:val="008E257C"/>
    <w:rsid w:val="008E5DA9"/>
    <w:rsid w:val="008E7816"/>
    <w:rsid w:val="008F047F"/>
    <w:rsid w:val="008F07E8"/>
    <w:rsid w:val="008F0EA8"/>
    <w:rsid w:val="008F1418"/>
    <w:rsid w:val="008F1637"/>
    <w:rsid w:val="008F2560"/>
    <w:rsid w:val="008F36FD"/>
    <w:rsid w:val="008F3746"/>
    <w:rsid w:val="008F3BCD"/>
    <w:rsid w:val="008F3EC5"/>
    <w:rsid w:val="008F66C1"/>
    <w:rsid w:val="008F673E"/>
    <w:rsid w:val="008F761C"/>
    <w:rsid w:val="008F79AC"/>
    <w:rsid w:val="008F7DCB"/>
    <w:rsid w:val="009039EB"/>
    <w:rsid w:val="009058B4"/>
    <w:rsid w:val="00905AB4"/>
    <w:rsid w:val="00905B6F"/>
    <w:rsid w:val="00906451"/>
    <w:rsid w:val="00907BBA"/>
    <w:rsid w:val="00910A4F"/>
    <w:rsid w:val="0091267A"/>
    <w:rsid w:val="009138B6"/>
    <w:rsid w:val="00915029"/>
    <w:rsid w:val="00915449"/>
    <w:rsid w:val="00915575"/>
    <w:rsid w:val="00915578"/>
    <w:rsid w:val="009158DA"/>
    <w:rsid w:val="00917E1E"/>
    <w:rsid w:val="0092052B"/>
    <w:rsid w:val="00920900"/>
    <w:rsid w:val="0092145D"/>
    <w:rsid w:val="0092275B"/>
    <w:rsid w:val="009234D0"/>
    <w:rsid w:val="00924FE7"/>
    <w:rsid w:val="009258D8"/>
    <w:rsid w:val="00925A4D"/>
    <w:rsid w:val="00926B9B"/>
    <w:rsid w:val="00934521"/>
    <w:rsid w:val="009345D6"/>
    <w:rsid w:val="0093579B"/>
    <w:rsid w:val="00935CDE"/>
    <w:rsid w:val="00935E51"/>
    <w:rsid w:val="00937AAC"/>
    <w:rsid w:val="0094106D"/>
    <w:rsid w:val="009422DD"/>
    <w:rsid w:val="00942E5C"/>
    <w:rsid w:val="00943F60"/>
    <w:rsid w:val="00946218"/>
    <w:rsid w:val="009507AF"/>
    <w:rsid w:val="00950D47"/>
    <w:rsid w:val="00955151"/>
    <w:rsid w:val="009564BD"/>
    <w:rsid w:val="00956926"/>
    <w:rsid w:val="00956AE7"/>
    <w:rsid w:val="00956E22"/>
    <w:rsid w:val="00956F70"/>
    <w:rsid w:val="009578E8"/>
    <w:rsid w:val="00957BBA"/>
    <w:rsid w:val="009612C0"/>
    <w:rsid w:val="00961D10"/>
    <w:rsid w:val="009642FD"/>
    <w:rsid w:val="009644D1"/>
    <w:rsid w:val="009666EE"/>
    <w:rsid w:val="00971BEF"/>
    <w:rsid w:val="009730AC"/>
    <w:rsid w:val="009731A8"/>
    <w:rsid w:val="009746F3"/>
    <w:rsid w:val="00974BC5"/>
    <w:rsid w:val="009750D5"/>
    <w:rsid w:val="00975844"/>
    <w:rsid w:val="009816E3"/>
    <w:rsid w:val="009863D2"/>
    <w:rsid w:val="00986462"/>
    <w:rsid w:val="0098758A"/>
    <w:rsid w:val="00987978"/>
    <w:rsid w:val="00987B6B"/>
    <w:rsid w:val="00992572"/>
    <w:rsid w:val="00992C50"/>
    <w:rsid w:val="0099433C"/>
    <w:rsid w:val="00994962"/>
    <w:rsid w:val="0099496C"/>
    <w:rsid w:val="00995938"/>
    <w:rsid w:val="009A0011"/>
    <w:rsid w:val="009A2550"/>
    <w:rsid w:val="009B1036"/>
    <w:rsid w:val="009B3170"/>
    <w:rsid w:val="009B3FF4"/>
    <w:rsid w:val="009B48CC"/>
    <w:rsid w:val="009B4CAD"/>
    <w:rsid w:val="009C0848"/>
    <w:rsid w:val="009C0C4C"/>
    <w:rsid w:val="009C15FF"/>
    <w:rsid w:val="009C2D0B"/>
    <w:rsid w:val="009C3E43"/>
    <w:rsid w:val="009C4152"/>
    <w:rsid w:val="009C590F"/>
    <w:rsid w:val="009C5994"/>
    <w:rsid w:val="009C62AF"/>
    <w:rsid w:val="009C64E0"/>
    <w:rsid w:val="009D00C5"/>
    <w:rsid w:val="009D0363"/>
    <w:rsid w:val="009D152A"/>
    <w:rsid w:val="009D2EEA"/>
    <w:rsid w:val="009D33E5"/>
    <w:rsid w:val="009D3B0B"/>
    <w:rsid w:val="009D40D4"/>
    <w:rsid w:val="009E0FFC"/>
    <w:rsid w:val="009E12AF"/>
    <w:rsid w:val="009E1C1B"/>
    <w:rsid w:val="009E1F54"/>
    <w:rsid w:val="009E2E06"/>
    <w:rsid w:val="009E3493"/>
    <w:rsid w:val="009E3C88"/>
    <w:rsid w:val="009E551B"/>
    <w:rsid w:val="009E5650"/>
    <w:rsid w:val="009E63BA"/>
    <w:rsid w:val="009E66AB"/>
    <w:rsid w:val="009F2028"/>
    <w:rsid w:val="009F261F"/>
    <w:rsid w:val="009F5C9D"/>
    <w:rsid w:val="009F5D68"/>
    <w:rsid w:val="00A01124"/>
    <w:rsid w:val="00A01220"/>
    <w:rsid w:val="00A015E2"/>
    <w:rsid w:val="00A017A5"/>
    <w:rsid w:val="00A01DCD"/>
    <w:rsid w:val="00A11665"/>
    <w:rsid w:val="00A127BD"/>
    <w:rsid w:val="00A1405C"/>
    <w:rsid w:val="00A1412B"/>
    <w:rsid w:val="00A154C0"/>
    <w:rsid w:val="00A17F3C"/>
    <w:rsid w:val="00A22C09"/>
    <w:rsid w:val="00A23911"/>
    <w:rsid w:val="00A24763"/>
    <w:rsid w:val="00A250B7"/>
    <w:rsid w:val="00A27E79"/>
    <w:rsid w:val="00A30821"/>
    <w:rsid w:val="00A316B5"/>
    <w:rsid w:val="00A32D42"/>
    <w:rsid w:val="00A3418F"/>
    <w:rsid w:val="00A344E3"/>
    <w:rsid w:val="00A34C40"/>
    <w:rsid w:val="00A35902"/>
    <w:rsid w:val="00A36A38"/>
    <w:rsid w:val="00A37614"/>
    <w:rsid w:val="00A40808"/>
    <w:rsid w:val="00A419B7"/>
    <w:rsid w:val="00A4211F"/>
    <w:rsid w:val="00A421D9"/>
    <w:rsid w:val="00A424B9"/>
    <w:rsid w:val="00A42CA6"/>
    <w:rsid w:val="00A43485"/>
    <w:rsid w:val="00A43582"/>
    <w:rsid w:val="00A43B4D"/>
    <w:rsid w:val="00A4408D"/>
    <w:rsid w:val="00A46F67"/>
    <w:rsid w:val="00A473EA"/>
    <w:rsid w:val="00A52040"/>
    <w:rsid w:val="00A537C3"/>
    <w:rsid w:val="00A5444E"/>
    <w:rsid w:val="00A55A80"/>
    <w:rsid w:val="00A5623A"/>
    <w:rsid w:val="00A57863"/>
    <w:rsid w:val="00A619A8"/>
    <w:rsid w:val="00A62F76"/>
    <w:rsid w:val="00A64956"/>
    <w:rsid w:val="00A67075"/>
    <w:rsid w:val="00A71C4B"/>
    <w:rsid w:val="00A731C5"/>
    <w:rsid w:val="00A761C8"/>
    <w:rsid w:val="00A76613"/>
    <w:rsid w:val="00A777A9"/>
    <w:rsid w:val="00A807A0"/>
    <w:rsid w:val="00A82272"/>
    <w:rsid w:val="00A82ACA"/>
    <w:rsid w:val="00A82D67"/>
    <w:rsid w:val="00A847F8"/>
    <w:rsid w:val="00A87765"/>
    <w:rsid w:val="00A87E0E"/>
    <w:rsid w:val="00A87F66"/>
    <w:rsid w:val="00A90645"/>
    <w:rsid w:val="00A91387"/>
    <w:rsid w:val="00A94A9F"/>
    <w:rsid w:val="00A96F3D"/>
    <w:rsid w:val="00A96FE8"/>
    <w:rsid w:val="00AA04EF"/>
    <w:rsid w:val="00AA19E8"/>
    <w:rsid w:val="00AA1BD0"/>
    <w:rsid w:val="00AA49F3"/>
    <w:rsid w:val="00AA53B2"/>
    <w:rsid w:val="00AA60AF"/>
    <w:rsid w:val="00AA792F"/>
    <w:rsid w:val="00AB2345"/>
    <w:rsid w:val="00AB30A1"/>
    <w:rsid w:val="00AB4537"/>
    <w:rsid w:val="00AB5223"/>
    <w:rsid w:val="00AC25A0"/>
    <w:rsid w:val="00AC398C"/>
    <w:rsid w:val="00AC4780"/>
    <w:rsid w:val="00AC5122"/>
    <w:rsid w:val="00AC5341"/>
    <w:rsid w:val="00AD029B"/>
    <w:rsid w:val="00AD0E00"/>
    <w:rsid w:val="00AD2321"/>
    <w:rsid w:val="00AD492F"/>
    <w:rsid w:val="00AD6F94"/>
    <w:rsid w:val="00AD7BF1"/>
    <w:rsid w:val="00AE454D"/>
    <w:rsid w:val="00AE513E"/>
    <w:rsid w:val="00AE5A7C"/>
    <w:rsid w:val="00AE6DE2"/>
    <w:rsid w:val="00AE7201"/>
    <w:rsid w:val="00AF0231"/>
    <w:rsid w:val="00AF1FDE"/>
    <w:rsid w:val="00AF2887"/>
    <w:rsid w:val="00AF2A83"/>
    <w:rsid w:val="00AF2CC2"/>
    <w:rsid w:val="00AF3381"/>
    <w:rsid w:val="00AF6717"/>
    <w:rsid w:val="00AF6767"/>
    <w:rsid w:val="00AF6B29"/>
    <w:rsid w:val="00B00A47"/>
    <w:rsid w:val="00B01474"/>
    <w:rsid w:val="00B02C88"/>
    <w:rsid w:val="00B03124"/>
    <w:rsid w:val="00B05482"/>
    <w:rsid w:val="00B06089"/>
    <w:rsid w:val="00B06AE0"/>
    <w:rsid w:val="00B1215F"/>
    <w:rsid w:val="00B12F70"/>
    <w:rsid w:val="00B13692"/>
    <w:rsid w:val="00B15889"/>
    <w:rsid w:val="00B16BA1"/>
    <w:rsid w:val="00B20070"/>
    <w:rsid w:val="00B21706"/>
    <w:rsid w:val="00B22C39"/>
    <w:rsid w:val="00B240AB"/>
    <w:rsid w:val="00B24BAA"/>
    <w:rsid w:val="00B30F4D"/>
    <w:rsid w:val="00B316A2"/>
    <w:rsid w:val="00B31FE1"/>
    <w:rsid w:val="00B33422"/>
    <w:rsid w:val="00B353E4"/>
    <w:rsid w:val="00B36E2C"/>
    <w:rsid w:val="00B377D4"/>
    <w:rsid w:val="00B37A98"/>
    <w:rsid w:val="00B40489"/>
    <w:rsid w:val="00B406E8"/>
    <w:rsid w:val="00B43233"/>
    <w:rsid w:val="00B44DD8"/>
    <w:rsid w:val="00B44F73"/>
    <w:rsid w:val="00B50696"/>
    <w:rsid w:val="00B5089A"/>
    <w:rsid w:val="00B53D06"/>
    <w:rsid w:val="00B56F7C"/>
    <w:rsid w:val="00B57741"/>
    <w:rsid w:val="00B60452"/>
    <w:rsid w:val="00B60BDE"/>
    <w:rsid w:val="00B63098"/>
    <w:rsid w:val="00B636FE"/>
    <w:rsid w:val="00B64525"/>
    <w:rsid w:val="00B65177"/>
    <w:rsid w:val="00B668E3"/>
    <w:rsid w:val="00B67F08"/>
    <w:rsid w:val="00B703D1"/>
    <w:rsid w:val="00B70A8C"/>
    <w:rsid w:val="00B71D82"/>
    <w:rsid w:val="00B74A25"/>
    <w:rsid w:val="00B74F85"/>
    <w:rsid w:val="00B75089"/>
    <w:rsid w:val="00B751D3"/>
    <w:rsid w:val="00B75F5E"/>
    <w:rsid w:val="00B8277C"/>
    <w:rsid w:val="00B83C17"/>
    <w:rsid w:val="00B84E4D"/>
    <w:rsid w:val="00B871C1"/>
    <w:rsid w:val="00B871CB"/>
    <w:rsid w:val="00B91148"/>
    <w:rsid w:val="00B92A21"/>
    <w:rsid w:val="00B93E1B"/>
    <w:rsid w:val="00B94B1A"/>
    <w:rsid w:val="00B94F32"/>
    <w:rsid w:val="00B97CBD"/>
    <w:rsid w:val="00BA2182"/>
    <w:rsid w:val="00BA28E6"/>
    <w:rsid w:val="00BA367D"/>
    <w:rsid w:val="00BB0365"/>
    <w:rsid w:val="00BB0E0D"/>
    <w:rsid w:val="00BB1458"/>
    <w:rsid w:val="00BB1BD5"/>
    <w:rsid w:val="00BB21F1"/>
    <w:rsid w:val="00BB241C"/>
    <w:rsid w:val="00BB3192"/>
    <w:rsid w:val="00BB3EF3"/>
    <w:rsid w:val="00BB48DD"/>
    <w:rsid w:val="00BB4C62"/>
    <w:rsid w:val="00BB51D1"/>
    <w:rsid w:val="00BB6B2A"/>
    <w:rsid w:val="00BC0B7D"/>
    <w:rsid w:val="00BC10E5"/>
    <w:rsid w:val="00BC5113"/>
    <w:rsid w:val="00BC6FEA"/>
    <w:rsid w:val="00BC7ADB"/>
    <w:rsid w:val="00BD2010"/>
    <w:rsid w:val="00BD2BCF"/>
    <w:rsid w:val="00BD4746"/>
    <w:rsid w:val="00BD51A8"/>
    <w:rsid w:val="00BD5683"/>
    <w:rsid w:val="00BD6C4A"/>
    <w:rsid w:val="00BE009B"/>
    <w:rsid w:val="00BE0B9D"/>
    <w:rsid w:val="00BE0D60"/>
    <w:rsid w:val="00BE173A"/>
    <w:rsid w:val="00BE4944"/>
    <w:rsid w:val="00BE574C"/>
    <w:rsid w:val="00BE600B"/>
    <w:rsid w:val="00BE62D0"/>
    <w:rsid w:val="00BE6B0E"/>
    <w:rsid w:val="00BF0283"/>
    <w:rsid w:val="00BF0EB8"/>
    <w:rsid w:val="00BF1B3E"/>
    <w:rsid w:val="00BF3D1E"/>
    <w:rsid w:val="00BF3E34"/>
    <w:rsid w:val="00BF47EB"/>
    <w:rsid w:val="00BF483D"/>
    <w:rsid w:val="00BF5447"/>
    <w:rsid w:val="00BF5572"/>
    <w:rsid w:val="00BF66F2"/>
    <w:rsid w:val="00BF72A7"/>
    <w:rsid w:val="00BF73BA"/>
    <w:rsid w:val="00BF7B3B"/>
    <w:rsid w:val="00C01A2D"/>
    <w:rsid w:val="00C025DE"/>
    <w:rsid w:val="00C033D4"/>
    <w:rsid w:val="00C053B8"/>
    <w:rsid w:val="00C06AC8"/>
    <w:rsid w:val="00C0708B"/>
    <w:rsid w:val="00C103A8"/>
    <w:rsid w:val="00C10936"/>
    <w:rsid w:val="00C117AC"/>
    <w:rsid w:val="00C11B4E"/>
    <w:rsid w:val="00C12C4E"/>
    <w:rsid w:val="00C14934"/>
    <w:rsid w:val="00C15AD6"/>
    <w:rsid w:val="00C1776B"/>
    <w:rsid w:val="00C21168"/>
    <w:rsid w:val="00C21E9D"/>
    <w:rsid w:val="00C22AC0"/>
    <w:rsid w:val="00C24340"/>
    <w:rsid w:val="00C2556C"/>
    <w:rsid w:val="00C265C9"/>
    <w:rsid w:val="00C306B0"/>
    <w:rsid w:val="00C31EB3"/>
    <w:rsid w:val="00C321B1"/>
    <w:rsid w:val="00C32290"/>
    <w:rsid w:val="00C32CD7"/>
    <w:rsid w:val="00C32E21"/>
    <w:rsid w:val="00C32E65"/>
    <w:rsid w:val="00C33F98"/>
    <w:rsid w:val="00C347A2"/>
    <w:rsid w:val="00C34883"/>
    <w:rsid w:val="00C34E70"/>
    <w:rsid w:val="00C371AF"/>
    <w:rsid w:val="00C37E72"/>
    <w:rsid w:val="00C417D4"/>
    <w:rsid w:val="00C419FA"/>
    <w:rsid w:val="00C46160"/>
    <w:rsid w:val="00C4617D"/>
    <w:rsid w:val="00C46738"/>
    <w:rsid w:val="00C473CF"/>
    <w:rsid w:val="00C479F8"/>
    <w:rsid w:val="00C51C42"/>
    <w:rsid w:val="00C54C1C"/>
    <w:rsid w:val="00C560B8"/>
    <w:rsid w:val="00C60CFC"/>
    <w:rsid w:val="00C624E7"/>
    <w:rsid w:val="00C63585"/>
    <w:rsid w:val="00C64B0C"/>
    <w:rsid w:val="00C6524D"/>
    <w:rsid w:val="00C7131F"/>
    <w:rsid w:val="00C74AB1"/>
    <w:rsid w:val="00C75FB7"/>
    <w:rsid w:val="00C75FEB"/>
    <w:rsid w:val="00C8186C"/>
    <w:rsid w:val="00C81A99"/>
    <w:rsid w:val="00C849FB"/>
    <w:rsid w:val="00C865D7"/>
    <w:rsid w:val="00C90056"/>
    <w:rsid w:val="00C90183"/>
    <w:rsid w:val="00C90823"/>
    <w:rsid w:val="00C94D28"/>
    <w:rsid w:val="00C96BE5"/>
    <w:rsid w:val="00C97B0E"/>
    <w:rsid w:val="00CA2822"/>
    <w:rsid w:val="00CA35A1"/>
    <w:rsid w:val="00CA3A46"/>
    <w:rsid w:val="00CA48DB"/>
    <w:rsid w:val="00CA57D8"/>
    <w:rsid w:val="00CA6C20"/>
    <w:rsid w:val="00CB0D55"/>
    <w:rsid w:val="00CB1FE7"/>
    <w:rsid w:val="00CB2227"/>
    <w:rsid w:val="00CB4345"/>
    <w:rsid w:val="00CB459F"/>
    <w:rsid w:val="00CB5598"/>
    <w:rsid w:val="00CB5A53"/>
    <w:rsid w:val="00CB6256"/>
    <w:rsid w:val="00CB6273"/>
    <w:rsid w:val="00CB6EC6"/>
    <w:rsid w:val="00CB7C39"/>
    <w:rsid w:val="00CC16F9"/>
    <w:rsid w:val="00CC1823"/>
    <w:rsid w:val="00CC199C"/>
    <w:rsid w:val="00CC1E1B"/>
    <w:rsid w:val="00CC341E"/>
    <w:rsid w:val="00CC3C1D"/>
    <w:rsid w:val="00CC5911"/>
    <w:rsid w:val="00CC7049"/>
    <w:rsid w:val="00CC7EC5"/>
    <w:rsid w:val="00CD152E"/>
    <w:rsid w:val="00CD253E"/>
    <w:rsid w:val="00CD3C6A"/>
    <w:rsid w:val="00CD471E"/>
    <w:rsid w:val="00CD6EE0"/>
    <w:rsid w:val="00CD7E8B"/>
    <w:rsid w:val="00CE0825"/>
    <w:rsid w:val="00CE0F7D"/>
    <w:rsid w:val="00CE3C4D"/>
    <w:rsid w:val="00CE5774"/>
    <w:rsid w:val="00CE6F75"/>
    <w:rsid w:val="00CF2E02"/>
    <w:rsid w:val="00CF40DF"/>
    <w:rsid w:val="00CF46E0"/>
    <w:rsid w:val="00CF517A"/>
    <w:rsid w:val="00CF7B2B"/>
    <w:rsid w:val="00D01074"/>
    <w:rsid w:val="00D0299A"/>
    <w:rsid w:val="00D05AC3"/>
    <w:rsid w:val="00D1119A"/>
    <w:rsid w:val="00D112B4"/>
    <w:rsid w:val="00D12C4D"/>
    <w:rsid w:val="00D13930"/>
    <w:rsid w:val="00D144A5"/>
    <w:rsid w:val="00D15BD0"/>
    <w:rsid w:val="00D15F17"/>
    <w:rsid w:val="00D20DD3"/>
    <w:rsid w:val="00D2733E"/>
    <w:rsid w:val="00D27D7A"/>
    <w:rsid w:val="00D300F2"/>
    <w:rsid w:val="00D31521"/>
    <w:rsid w:val="00D322EC"/>
    <w:rsid w:val="00D34223"/>
    <w:rsid w:val="00D342A1"/>
    <w:rsid w:val="00D411D8"/>
    <w:rsid w:val="00D42394"/>
    <w:rsid w:val="00D42969"/>
    <w:rsid w:val="00D43F9F"/>
    <w:rsid w:val="00D4721B"/>
    <w:rsid w:val="00D51B14"/>
    <w:rsid w:val="00D52BAD"/>
    <w:rsid w:val="00D60996"/>
    <w:rsid w:val="00D60AE6"/>
    <w:rsid w:val="00D60D5F"/>
    <w:rsid w:val="00D66087"/>
    <w:rsid w:val="00D66AD9"/>
    <w:rsid w:val="00D71775"/>
    <w:rsid w:val="00D71A34"/>
    <w:rsid w:val="00D7682C"/>
    <w:rsid w:val="00D80BAA"/>
    <w:rsid w:val="00D82227"/>
    <w:rsid w:val="00D82DD2"/>
    <w:rsid w:val="00D83038"/>
    <w:rsid w:val="00D83EFF"/>
    <w:rsid w:val="00D8476F"/>
    <w:rsid w:val="00D850C5"/>
    <w:rsid w:val="00D8519D"/>
    <w:rsid w:val="00D85CE8"/>
    <w:rsid w:val="00D86CCA"/>
    <w:rsid w:val="00D91649"/>
    <w:rsid w:val="00D92450"/>
    <w:rsid w:val="00D95707"/>
    <w:rsid w:val="00D96F0D"/>
    <w:rsid w:val="00D9744A"/>
    <w:rsid w:val="00DA13F5"/>
    <w:rsid w:val="00DA1F5A"/>
    <w:rsid w:val="00DA32D1"/>
    <w:rsid w:val="00DA34B6"/>
    <w:rsid w:val="00DA6814"/>
    <w:rsid w:val="00DB0888"/>
    <w:rsid w:val="00DB126B"/>
    <w:rsid w:val="00DB2661"/>
    <w:rsid w:val="00DB32CC"/>
    <w:rsid w:val="00DB3E8B"/>
    <w:rsid w:val="00DB5E4D"/>
    <w:rsid w:val="00DB6AEE"/>
    <w:rsid w:val="00DB79D0"/>
    <w:rsid w:val="00DC09E3"/>
    <w:rsid w:val="00DC1CF4"/>
    <w:rsid w:val="00DC1EFF"/>
    <w:rsid w:val="00DC285D"/>
    <w:rsid w:val="00DC2B4E"/>
    <w:rsid w:val="00DC3B84"/>
    <w:rsid w:val="00DC3C72"/>
    <w:rsid w:val="00DC475C"/>
    <w:rsid w:val="00DC6BB7"/>
    <w:rsid w:val="00DD04C4"/>
    <w:rsid w:val="00DD0A96"/>
    <w:rsid w:val="00DD492E"/>
    <w:rsid w:val="00DD5330"/>
    <w:rsid w:val="00DD5445"/>
    <w:rsid w:val="00DD5C44"/>
    <w:rsid w:val="00DD6125"/>
    <w:rsid w:val="00DE0355"/>
    <w:rsid w:val="00DE0882"/>
    <w:rsid w:val="00DE0A7B"/>
    <w:rsid w:val="00DE3F20"/>
    <w:rsid w:val="00DE4A58"/>
    <w:rsid w:val="00DF0169"/>
    <w:rsid w:val="00DF1CB5"/>
    <w:rsid w:val="00DF460D"/>
    <w:rsid w:val="00DF51D7"/>
    <w:rsid w:val="00DF5768"/>
    <w:rsid w:val="00E00D1F"/>
    <w:rsid w:val="00E016F9"/>
    <w:rsid w:val="00E04CE0"/>
    <w:rsid w:val="00E061AE"/>
    <w:rsid w:val="00E11B91"/>
    <w:rsid w:val="00E139E8"/>
    <w:rsid w:val="00E17BDA"/>
    <w:rsid w:val="00E21839"/>
    <w:rsid w:val="00E21DDA"/>
    <w:rsid w:val="00E229F7"/>
    <w:rsid w:val="00E251AF"/>
    <w:rsid w:val="00E256FC"/>
    <w:rsid w:val="00E25988"/>
    <w:rsid w:val="00E31BFA"/>
    <w:rsid w:val="00E3380D"/>
    <w:rsid w:val="00E33DD5"/>
    <w:rsid w:val="00E33E8F"/>
    <w:rsid w:val="00E36E12"/>
    <w:rsid w:val="00E41507"/>
    <w:rsid w:val="00E41CB5"/>
    <w:rsid w:val="00E440D3"/>
    <w:rsid w:val="00E44817"/>
    <w:rsid w:val="00E46BAF"/>
    <w:rsid w:val="00E500C5"/>
    <w:rsid w:val="00E5195E"/>
    <w:rsid w:val="00E528FD"/>
    <w:rsid w:val="00E52A9A"/>
    <w:rsid w:val="00E545C0"/>
    <w:rsid w:val="00E627A6"/>
    <w:rsid w:val="00E63A97"/>
    <w:rsid w:val="00E64A1C"/>
    <w:rsid w:val="00E658FF"/>
    <w:rsid w:val="00E65C08"/>
    <w:rsid w:val="00E65D2E"/>
    <w:rsid w:val="00E67138"/>
    <w:rsid w:val="00E67AB3"/>
    <w:rsid w:val="00E709C6"/>
    <w:rsid w:val="00E70FBA"/>
    <w:rsid w:val="00E716F4"/>
    <w:rsid w:val="00E722FD"/>
    <w:rsid w:val="00E742E2"/>
    <w:rsid w:val="00E74D2A"/>
    <w:rsid w:val="00E76C0F"/>
    <w:rsid w:val="00E80193"/>
    <w:rsid w:val="00E81244"/>
    <w:rsid w:val="00E82531"/>
    <w:rsid w:val="00E84C52"/>
    <w:rsid w:val="00E84E4A"/>
    <w:rsid w:val="00E84F06"/>
    <w:rsid w:val="00E90358"/>
    <w:rsid w:val="00E90B99"/>
    <w:rsid w:val="00E914B1"/>
    <w:rsid w:val="00E92F1B"/>
    <w:rsid w:val="00E93647"/>
    <w:rsid w:val="00E93D42"/>
    <w:rsid w:val="00E95429"/>
    <w:rsid w:val="00E954F8"/>
    <w:rsid w:val="00EA3D9F"/>
    <w:rsid w:val="00EA4C00"/>
    <w:rsid w:val="00EA545B"/>
    <w:rsid w:val="00EA5AB5"/>
    <w:rsid w:val="00EA6F06"/>
    <w:rsid w:val="00EA6F3F"/>
    <w:rsid w:val="00EA6FBC"/>
    <w:rsid w:val="00EB12B3"/>
    <w:rsid w:val="00EB4D09"/>
    <w:rsid w:val="00EB764F"/>
    <w:rsid w:val="00EC5CE8"/>
    <w:rsid w:val="00EC6C5E"/>
    <w:rsid w:val="00EC72F9"/>
    <w:rsid w:val="00EC75A1"/>
    <w:rsid w:val="00ED0E7F"/>
    <w:rsid w:val="00ED1592"/>
    <w:rsid w:val="00ED3183"/>
    <w:rsid w:val="00ED35E2"/>
    <w:rsid w:val="00ED485E"/>
    <w:rsid w:val="00ED55F7"/>
    <w:rsid w:val="00ED5A98"/>
    <w:rsid w:val="00ED6867"/>
    <w:rsid w:val="00ED7845"/>
    <w:rsid w:val="00ED7C8F"/>
    <w:rsid w:val="00EE01AA"/>
    <w:rsid w:val="00EE025D"/>
    <w:rsid w:val="00EE02B7"/>
    <w:rsid w:val="00EE03CF"/>
    <w:rsid w:val="00EE094D"/>
    <w:rsid w:val="00EE0BBE"/>
    <w:rsid w:val="00EE3F30"/>
    <w:rsid w:val="00EE46C0"/>
    <w:rsid w:val="00EE47B2"/>
    <w:rsid w:val="00EE5CE2"/>
    <w:rsid w:val="00EE7429"/>
    <w:rsid w:val="00EF0F8F"/>
    <w:rsid w:val="00EF1448"/>
    <w:rsid w:val="00EF2659"/>
    <w:rsid w:val="00EF3BB9"/>
    <w:rsid w:val="00EF497E"/>
    <w:rsid w:val="00EF4AFF"/>
    <w:rsid w:val="00EF58B4"/>
    <w:rsid w:val="00EF75C3"/>
    <w:rsid w:val="00F0055B"/>
    <w:rsid w:val="00F00844"/>
    <w:rsid w:val="00F00D72"/>
    <w:rsid w:val="00F01FF8"/>
    <w:rsid w:val="00F028BB"/>
    <w:rsid w:val="00F03A22"/>
    <w:rsid w:val="00F03A51"/>
    <w:rsid w:val="00F03DC0"/>
    <w:rsid w:val="00F06577"/>
    <w:rsid w:val="00F066DB"/>
    <w:rsid w:val="00F06D6D"/>
    <w:rsid w:val="00F10ED7"/>
    <w:rsid w:val="00F1170C"/>
    <w:rsid w:val="00F14EF1"/>
    <w:rsid w:val="00F15800"/>
    <w:rsid w:val="00F20E0F"/>
    <w:rsid w:val="00F2201E"/>
    <w:rsid w:val="00F2485A"/>
    <w:rsid w:val="00F25B9B"/>
    <w:rsid w:val="00F26CD1"/>
    <w:rsid w:val="00F26CD6"/>
    <w:rsid w:val="00F3054A"/>
    <w:rsid w:val="00F3336B"/>
    <w:rsid w:val="00F33609"/>
    <w:rsid w:val="00F33DCC"/>
    <w:rsid w:val="00F3531D"/>
    <w:rsid w:val="00F3769C"/>
    <w:rsid w:val="00F3791F"/>
    <w:rsid w:val="00F40195"/>
    <w:rsid w:val="00F4146B"/>
    <w:rsid w:val="00F440FD"/>
    <w:rsid w:val="00F4575A"/>
    <w:rsid w:val="00F4625D"/>
    <w:rsid w:val="00F46D92"/>
    <w:rsid w:val="00F47238"/>
    <w:rsid w:val="00F50ECD"/>
    <w:rsid w:val="00F522EF"/>
    <w:rsid w:val="00F52BED"/>
    <w:rsid w:val="00F540BA"/>
    <w:rsid w:val="00F55002"/>
    <w:rsid w:val="00F554C2"/>
    <w:rsid w:val="00F55564"/>
    <w:rsid w:val="00F55C8F"/>
    <w:rsid w:val="00F56344"/>
    <w:rsid w:val="00F57462"/>
    <w:rsid w:val="00F60F9D"/>
    <w:rsid w:val="00F61831"/>
    <w:rsid w:val="00F662A7"/>
    <w:rsid w:val="00F66540"/>
    <w:rsid w:val="00F71D2E"/>
    <w:rsid w:val="00F72730"/>
    <w:rsid w:val="00F73A7A"/>
    <w:rsid w:val="00F73D34"/>
    <w:rsid w:val="00F753E2"/>
    <w:rsid w:val="00F76AE8"/>
    <w:rsid w:val="00F76E71"/>
    <w:rsid w:val="00F822C1"/>
    <w:rsid w:val="00F82545"/>
    <w:rsid w:val="00F83BAE"/>
    <w:rsid w:val="00F84EB5"/>
    <w:rsid w:val="00F84EC1"/>
    <w:rsid w:val="00F853AA"/>
    <w:rsid w:val="00F85895"/>
    <w:rsid w:val="00F873A7"/>
    <w:rsid w:val="00F903C5"/>
    <w:rsid w:val="00F90548"/>
    <w:rsid w:val="00F92F84"/>
    <w:rsid w:val="00F940BE"/>
    <w:rsid w:val="00F95766"/>
    <w:rsid w:val="00F97884"/>
    <w:rsid w:val="00FA08AD"/>
    <w:rsid w:val="00FA101C"/>
    <w:rsid w:val="00FA1483"/>
    <w:rsid w:val="00FA16A9"/>
    <w:rsid w:val="00FA3223"/>
    <w:rsid w:val="00FA41F5"/>
    <w:rsid w:val="00FA4BFA"/>
    <w:rsid w:val="00FA4F79"/>
    <w:rsid w:val="00FA5D0D"/>
    <w:rsid w:val="00FA6910"/>
    <w:rsid w:val="00FB0C83"/>
    <w:rsid w:val="00FB17F5"/>
    <w:rsid w:val="00FB2293"/>
    <w:rsid w:val="00FB3435"/>
    <w:rsid w:val="00FB38D5"/>
    <w:rsid w:val="00FB3E79"/>
    <w:rsid w:val="00FB45ED"/>
    <w:rsid w:val="00FB54FA"/>
    <w:rsid w:val="00FB5F99"/>
    <w:rsid w:val="00FB6790"/>
    <w:rsid w:val="00FB6AD1"/>
    <w:rsid w:val="00FB6BDC"/>
    <w:rsid w:val="00FC0306"/>
    <w:rsid w:val="00FC26D5"/>
    <w:rsid w:val="00FC4AE8"/>
    <w:rsid w:val="00FC56BC"/>
    <w:rsid w:val="00FC7E04"/>
    <w:rsid w:val="00FD261C"/>
    <w:rsid w:val="00FD5BFF"/>
    <w:rsid w:val="00FD68A8"/>
    <w:rsid w:val="00FD6DE5"/>
    <w:rsid w:val="00FE3108"/>
    <w:rsid w:val="00FE4212"/>
    <w:rsid w:val="00FE5C22"/>
    <w:rsid w:val="00FE6210"/>
    <w:rsid w:val="00FF59BD"/>
    <w:rsid w:val="00FF76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8A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5354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5354E"/>
    <w:rPr>
      <w:rFonts w:cs="Times New Roman"/>
      <w:sz w:val="20"/>
      <w:szCs w:val="20"/>
    </w:rPr>
  </w:style>
  <w:style w:type="character" w:styleId="FootnoteReference">
    <w:name w:val="footnote reference"/>
    <w:basedOn w:val="DefaultParagraphFont"/>
    <w:uiPriority w:val="99"/>
    <w:semiHidden/>
    <w:rsid w:val="0035354E"/>
    <w:rPr>
      <w:rFonts w:cs="Times New Roman"/>
      <w:vertAlign w:val="superscript"/>
    </w:rPr>
  </w:style>
  <w:style w:type="paragraph" w:styleId="Header">
    <w:name w:val="header"/>
    <w:basedOn w:val="Normal"/>
    <w:link w:val="HeaderChar"/>
    <w:uiPriority w:val="99"/>
    <w:rsid w:val="00043E4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43E4A"/>
    <w:rPr>
      <w:rFonts w:cs="Times New Roman"/>
    </w:rPr>
  </w:style>
  <w:style w:type="paragraph" w:styleId="Footer">
    <w:name w:val="footer"/>
    <w:basedOn w:val="Normal"/>
    <w:link w:val="FooterChar"/>
    <w:uiPriority w:val="99"/>
    <w:rsid w:val="00043E4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43E4A"/>
    <w:rPr>
      <w:rFonts w:cs="Times New Roman"/>
    </w:rPr>
  </w:style>
  <w:style w:type="paragraph" w:styleId="ListParagraph">
    <w:name w:val="List Paragraph"/>
    <w:basedOn w:val="Normal"/>
    <w:uiPriority w:val="99"/>
    <w:qFormat/>
    <w:rsid w:val="00387568"/>
    <w:pPr>
      <w:ind w:left="720"/>
      <w:contextualSpacing/>
    </w:pPr>
  </w:style>
  <w:style w:type="paragraph" w:styleId="BalloonText">
    <w:name w:val="Balloon Text"/>
    <w:basedOn w:val="Normal"/>
    <w:link w:val="BalloonTextChar"/>
    <w:uiPriority w:val="99"/>
    <w:semiHidden/>
    <w:rsid w:val="002E1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1654"/>
    <w:rPr>
      <w:rFonts w:ascii="Tahoma" w:hAnsi="Tahoma" w:cs="Tahoma"/>
      <w:sz w:val="16"/>
      <w:szCs w:val="16"/>
    </w:rPr>
  </w:style>
  <w:style w:type="character" w:styleId="CommentReference">
    <w:name w:val="annotation reference"/>
    <w:basedOn w:val="DefaultParagraphFont"/>
    <w:uiPriority w:val="99"/>
    <w:semiHidden/>
    <w:rsid w:val="00824734"/>
    <w:rPr>
      <w:rFonts w:cs="Times New Roman"/>
      <w:sz w:val="16"/>
      <w:szCs w:val="16"/>
    </w:rPr>
  </w:style>
  <w:style w:type="paragraph" w:styleId="CommentText">
    <w:name w:val="annotation text"/>
    <w:basedOn w:val="Normal"/>
    <w:link w:val="CommentTextChar"/>
    <w:uiPriority w:val="99"/>
    <w:semiHidden/>
    <w:rsid w:val="0082473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24734"/>
    <w:rPr>
      <w:rFonts w:cs="Times New Roman"/>
      <w:sz w:val="20"/>
      <w:szCs w:val="20"/>
    </w:rPr>
  </w:style>
  <w:style w:type="paragraph" w:styleId="CommentSubject">
    <w:name w:val="annotation subject"/>
    <w:basedOn w:val="CommentText"/>
    <w:next w:val="CommentText"/>
    <w:link w:val="CommentSubjectChar"/>
    <w:uiPriority w:val="99"/>
    <w:semiHidden/>
    <w:rsid w:val="00824734"/>
    <w:rPr>
      <w:b/>
      <w:bCs/>
    </w:rPr>
  </w:style>
  <w:style w:type="character" w:customStyle="1" w:styleId="CommentSubjectChar">
    <w:name w:val="Comment Subject Char"/>
    <w:basedOn w:val="CommentTextChar"/>
    <w:link w:val="CommentSubject"/>
    <w:uiPriority w:val="99"/>
    <w:semiHidden/>
    <w:locked/>
    <w:rsid w:val="00824734"/>
    <w:rPr>
      <w:rFonts w:cs="Times New Roman"/>
      <w:b/>
      <w:bCs/>
      <w:sz w:val="20"/>
      <w:szCs w:val="20"/>
    </w:rPr>
  </w:style>
  <w:style w:type="paragraph" w:styleId="Revision">
    <w:name w:val="Revision"/>
    <w:hidden/>
    <w:uiPriority w:val="99"/>
    <w:semiHidden/>
    <w:rsid w:val="00824734"/>
    <w:rPr>
      <w:sz w:val="22"/>
      <w:szCs w:val="22"/>
      <w:lang w:eastAsia="en-US"/>
    </w:rPr>
  </w:style>
  <w:style w:type="character" w:styleId="Hyperlink">
    <w:name w:val="Hyperlink"/>
    <w:basedOn w:val="DefaultParagraphFont"/>
    <w:uiPriority w:val="99"/>
    <w:rsid w:val="00DA34B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8A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5354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5354E"/>
    <w:rPr>
      <w:rFonts w:cs="Times New Roman"/>
      <w:sz w:val="20"/>
      <w:szCs w:val="20"/>
    </w:rPr>
  </w:style>
  <w:style w:type="character" w:styleId="FootnoteReference">
    <w:name w:val="footnote reference"/>
    <w:basedOn w:val="DefaultParagraphFont"/>
    <w:uiPriority w:val="99"/>
    <w:semiHidden/>
    <w:rsid w:val="0035354E"/>
    <w:rPr>
      <w:rFonts w:cs="Times New Roman"/>
      <w:vertAlign w:val="superscript"/>
    </w:rPr>
  </w:style>
  <w:style w:type="paragraph" w:styleId="Header">
    <w:name w:val="header"/>
    <w:basedOn w:val="Normal"/>
    <w:link w:val="HeaderChar"/>
    <w:uiPriority w:val="99"/>
    <w:rsid w:val="00043E4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43E4A"/>
    <w:rPr>
      <w:rFonts w:cs="Times New Roman"/>
    </w:rPr>
  </w:style>
  <w:style w:type="paragraph" w:styleId="Footer">
    <w:name w:val="footer"/>
    <w:basedOn w:val="Normal"/>
    <w:link w:val="FooterChar"/>
    <w:uiPriority w:val="99"/>
    <w:rsid w:val="00043E4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43E4A"/>
    <w:rPr>
      <w:rFonts w:cs="Times New Roman"/>
    </w:rPr>
  </w:style>
  <w:style w:type="paragraph" w:styleId="ListParagraph">
    <w:name w:val="List Paragraph"/>
    <w:basedOn w:val="Normal"/>
    <w:uiPriority w:val="99"/>
    <w:qFormat/>
    <w:rsid w:val="00387568"/>
    <w:pPr>
      <w:ind w:left="720"/>
      <w:contextualSpacing/>
    </w:pPr>
  </w:style>
  <w:style w:type="paragraph" w:styleId="BalloonText">
    <w:name w:val="Balloon Text"/>
    <w:basedOn w:val="Normal"/>
    <w:link w:val="BalloonTextChar"/>
    <w:uiPriority w:val="99"/>
    <w:semiHidden/>
    <w:rsid w:val="002E1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1654"/>
    <w:rPr>
      <w:rFonts w:ascii="Tahoma" w:hAnsi="Tahoma" w:cs="Tahoma"/>
      <w:sz w:val="16"/>
      <w:szCs w:val="16"/>
    </w:rPr>
  </w:style>
  <w:style w:type="character" w:styleId="CommentReference">
    <w:name w:val="annotation reference"/>
    <w:basedOn w:val="DefaultParagraphFont"/>
    <w:uiPriority w:val="99"/>
    <w:semiHidden/>
    <w:rsid w:val="00824734"/>
    <w:rPr>
      <w:rFonts w:cs="Times New Roman"/>
      <w:sz w:val="16"/>
      <w:szCs w:val="16"/>
    </w:rPr>
  </w:style>
  <w:style w:type="paragraph" w:styleId="CommentText">
    <w:name w:val="annotation text"/>
    <w:basedOn w:val="Normal"/>
    <w:link w:val="CommentTextChar"/>
    <w:uiPriority w:val="99"/>
    <w:semiHidden/>
    <w:rsid w:val="0082473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24734"/>
    <w:rPr>
      <w:rFonts w:cs="Times New Roman"/>
      <w:sz w:val="20"/>
      <w:szCs w:val="20"/>
    </w:rPr>
  </w:style>
  <w:style w:type="paragraph" w:styleId="CommentSubject">
    <w:name w:val="annotation subject"/>
    <w:basedOn w:val="CommentText"/>
    <w:next w:val="CommentText"/>
    <w:link w:val="CommentSubjectChar"/>
    <w:uiPriority w:val="99"/>
    <w:semiHidden/>
    <w:rsid w:val="00824734"/>
    <w:rPr>
      <w:b/>
      <w:bCs/>
    </w:rPr>
  </w:style>
  <w:style w:type="character" w:customStyle="1" w:styleId="CommentSubjectChar">
    <w:name w:val="Comment Subject Char"/>
    <w:basedOn w:val="CommentTextChar"/>
    <w:link w:val="CommentSubject"/>
    <w:uiPriority w:val="99"/>
    <w:semiHidden/>
    <w:locked/>
    <w:rsid w:val="00824734"/>
    <w:rPr>
      <w:rFonts w:cs="Times New Roman"/>
      <w:b/>
      <w:bCs/>
      <w:sz w:val="20"/>
      <w:szCs w:val="20"/>
    </w:rPr>
  </w:style>
  <w:style w:type="paragraph" w:styleId="Revision">
    <w:name w:val="Revision"/>
    <w:hidden/>
    <w:uiPriority w:val="99"/>
    <w:semiHidden/>
    <w:rsid w:val="00824734"/>
    <w:rPr>
      <w:sz w:val="22"/>
      <w:szCs w:val="22"/>
      <w:lang w:eastAsia="en-US"/>
    </w:rPr>
  </w:style>
  <w:style w:type="character" w:styleId="Hyperlink">
    <w:name w:val="Hyperlink"/>
    <w:basedOn w:val="DefaultParagraphFont"/>
    <w:uiPriority w:val="99"/>
    <w:rsid w:val="00DA34B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6420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7798E-2DFD-46C3-A326-51481D63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9887</Words>
  <Characters>56358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jcs507</cp:lastModifiedBy>
  <cp:revision>2</cp:revision>
  <cp:lastPrinted>2011-06-15T10:24:00Z</cp:lastPrinted>
  <dcterms:created xsi:type="dcterms:W3CDTF">2011-09-15T10:24:00Z</dcterms:created>
  <dcterms:modified xsi:type="dcterms:W3CDTF">2011-09-15T10:24:00Z</dcterms:modified>
</cp:coreProperties>
</file>