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69" w:rsidRDefault="00115269" w:rsidP="00F007AF">
      <w:pPr>
        <w:autoSpaceDE w:val="0"/>
        <w:autoSpaceDN w:val="0"/>
        <w:adjustRightInd w:val="0"/>
        <w:jc w:val="center"/>
        <w:rPr>
          <w:rFonts w:ascii="Times New Roman" w:hAnsi="Times New Roman" w:cs="Times New Roman"/>
          <w:b/>
          <w:iCs/>
          <w:sz w:val="24"/>
          <w:szCs w:val="24"/>
          <w:lang w:val="en-AU"/>
        </w:rPr>
      </w:pPr>
      <w:r w:rsidRPr="00115269">
        <w:rPr>
          <w:rFonts w:ascii="Times New Roman" w:hAnsi="Times New Roman" w:cs="Times New Roman"/>
          <w:b/>
          <w:iCs/>
          <w:sz w:val="24"/>
          <w:szCs w:val="24"/>
          <w:lang w:val="en-AU"/>
        </w:rPr>
        <w:t>Accounting based risk management and the capital asset pricing model: An empirical comparison</w:t>
      </w:r>
    </w:p>
    <w:p w:rsidR="00115269" w:rsidRDefault="00115269" w:rsidP="00F007AF">
      <w:pPr>
        <w:autoSpaceDE w:val="0"/>
        <w:autoSpaceDN w:val="0"/>
        <w:adjustRightInd w:val="0"/>
        <w:jc w:val="center"/>
        <w:rPr>
          <w:rFonts w:ascii="Times New Roman" w:hAnsi="Times New Roman" w:cs="Times New Roman"/>
          <w:b/>
          <w:iCs/>
          <w:sz w:val="24"/>
          <w:szCs w:val="24"/>
          <w:lang w:val="en-AU"/>
        </w:rPr>
      </w:pPr>
    </w:p>
    <w:p w:rsidR="00115269" w:rsidRDefault="00115269" w:rsidP="00F007AF">
      <w:pPr>
        <w:autoSpaceDE w:val="0"/>
        <w:autoSpaceDN w:val="0"/>
        <w:adjustRightInd w:val="0"/>
        <w:jc w:val="center"/>
        <w:rPr>
          <w:rFonts w:ascii="Times New Roman" w:hAnsi="Times New Roman" w:cs="Times New Roman"/>
          <w:b/>
          <w:iCs/>
          <w:sz w:val="24"/>
          <w:szCs w:val="24"/>
          <w:lang w:val="en-AU"/>
        </w:rPr>
      </w:pPr>
    </w:p>
    <w:p w:rsidR="00115269" w:rsidRDefault="00115269" w:rsidP="00F007AF">
      <w:pPr>
        <w:autoSpaceDE w:val="0"/>
        <w:autoSpaceDN w:val="0"/>
        <w:adjustRightInd w:val="0"/>
        <w:jc w:val="center"/>
        <w:rPr>
          <w:rFonts w:ascii="Times New Roman" w:hAnsi="Times New Roman" w:cs="Times New Roman"/>
          <w:b/>
          <w:iCs/>
          <w:sz w:val="24"/>
          <w:szCs w:val="24"/>
          <w:lang w:val="en-AU"/>
        </w:rPr>
      </w:pPr>
      <w:r>
        <w:rPr>
          <w:rFonts w:ascii="Times New Roman" w:hAnsi="Times New Roman" w:cs="Times New Roman"/>
          <w:b/>
          <w:iCs/>
          <w:sz w:val="24"/>
          <w:szCs w:val="24"/>
          <w:lang w:val="en-AU"/>
        </w:rPr>
        <w:t>By</w:t>
      </w:r>
    </w:p>
    <w:p w:rsidR="00115269" w:rsidRDefault="00115269" w:rsidP="00F007AF">
      <w:pPr>
        <w:autoSpaceDE w:val="0"/>
        <w:autoSpaceDN w:val="0"/>
        <w:adjustRightInd w:val="0"/>
        <w:jc w:val="center"/>
        <w:rPr>
          <w:rFonts w:ascii="Times New Roman" w:hAnsi="Times New Roman" w:cs="Times New Roman"/>
          <w:b/>
          <w:iCs/>
          <w:sz w:val="24"/>
          <w:szCs w:val="24"/>
          <w:lang w:val="en-AU"/>
        </w:rPr>
      </w:pPr>
      <w:r>
        <w:rPr>
          <w:rFonts w:ascii="Times New Roman" w:hAnsi="Times New Roman" w:cs="Times New Roman"/>
          <w:b/>
          <w:iCs/>
          <w:sz w:val="24"/>
          <w:szCs w:val="24"/>
          <w:lang w:val="en-AU"/>
        </w:rPr>
        <w:t>Steven Toms</w:t>
      </w:r>
    </w:p>
    <w:p w:rsidR="00115269" w:rsidRPr="00115269" w:rsidRDefault="00115269" w:rsidP="00F007AF">
      <w:pPr>
        <w:autoSpaceDE w:val="0"/>
        <w:autoSpaceDN w:val="0"/>
        <w:adjustRightInd w:val="0"/>
        <w:jc w:val="center"/>
        <w:rPr>
          <w:rFonts w:ascii="Times New Roman" w:hAnsi="Times New Roman" w:cs="Times New Roman"/>
          <w:b/>
          <w:iCs/>
          <w:sz w:val="24"/>
          <w:szCs w:val="24"/>
          <w:lang w:val="en-AU"/>
        </w:rPr>
      </w:pPr>
      <w:r>
        <w:rPr>
          <w:rFonts w:ascii="Times New Roman" w:hAnsi="Times New Roman" w:cs="Times New Roman"/>
          <w:b/>
          <w:iCs/>
          <w:sz w:val="24"/>
          <w:szCs w:val="24"/>
          <w:lang w:val="en-AU"/>
        </w:rPr>
        <w:t>(University of Leeds)</w:t>
      </w:r>
    </w:p>
    <w:p w:rsidR="00115269" w:rsidRDefault="00115269" w:rsidP="00F007AF">
      <w:pPr>
        <w:rPr>
          <w:rFonts w:ascii="Times New Roman" w:hAnsi="Times New Roman" w:cs="Times New Roman"/>
          <w:b/>
          <w:iCs/>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381586" w:rsidRDefault="00381586" w:rsidP="00F007AF">
      <w:pPr>
        <w:pStyle w:val="List"/>
        <w:ind w:left="0" w:firstLine="0"/>
        <w:jc w:val="both"/>
        <w:outlineLvl w:val="0"/>
        <w:rPr>
          <w:rFonts w:ascii="Times New Roman" w:hAnsi="Times New Roman"/>
          <w:b/>
          <w:sz w:val="24"/>
          <w:szCs w:val="24"/>
          <w:lang w:val="en-AU"/>
        </w:rPr>
      </w:pPr>
    </w:p>
    <w:p w:rsidR="00381586" w:rsidRDefault="00381586" w:rsidP="00F007AF">
      <w:pPr>
        <w:pStyle w:val="List"/>
        <w:ind w:left="0" w:firstLine="0"/>
        <w:jc w:val="both"/>
        <w:outlineLvl w:val="0"/>
        <w:rPr>
          <w:rFonts w:ascii="Times New Roman" w:hAnsi="Times New Roman"/>
          <w:b/>
          <w:sz w:val="24"/>
          <w:szCs w:val="24"/>
          <w:lang w:val="en-AU"/>
        </w:rPr>
      </w:pPr>
    </w:p>
    <w:p w:rsidR="00381586" w:rsidRDefault="00381586" w:rsidP="00F007AF">
      <w:pPr>
        <w:pStyle w:val="List"/>
        <w:ind w:left="0" w:firstLine="0"/>
        <w:jc w:val="both"/>
        <w:outlineLvl w:val="0"/>
        <w:rPr>
          <w:rFonts w:ascii="Times New Roman" w:hAnsi="Times New Roman"/>
          <w:b/>
          <w:sz w:val="24"/>
          <w:szCs w:val="24"/>
          <w:lang w:val="en-AU"/>
        </w:rPr>
      </w:pPr>
    </w:p>
    <w:p w:rsidR="00FC76DF" w:rsidRDefault="00FC76DF" w:rsidP="00F007AF">
      <w:pPr>
        <w:pStyle w:val="List"/>
        <w:ind w:left="0" w:firstLine="0"/>
        <w:jc w:val="both"/>
        <w:outlineLvl w:val="0"/>
        <w:rPr>
          <w:rFonts w:ascii="Times New Roman" w:hAnsi="Times New Roman"/>
          <w:b/>
          <w:sz w:val="24"/>
          <w:szCs w:val="24"/>
          <w:lang w:val="en-AU"/>
        </w:rPr>
      </w:pPr>
    </w:p>
    <w:p w:rsidR="00FC76DF" w:rsidRDefault="00FC76DF" w:rsidP="00F007AF">
      <w:pPr>
        <w:pStyle w:val="List"/>
        <w:ind w:left="0" w:firstLine="0"/>
        <w:jc w:val="both"/>
        <w:outlineLvl w:val="0"/>
        <w:rPr>
          <w:rFonts w:ascii="Times New Roman" w:hAnsi="Times New Roman"/>
          <w:b/>
          <w:sz w:val="24"/>
          <w:szCs w:val="24"/>
          <w:lang w:val="en-AU"/>
        </w:rPr>
      </w:pPr>
    </w:p>
    <w:p w:rsidR="00381586" w:rsidRDefault="00381586" w:rsidP="00F007AF">
      <w:pPr>
        <w:pStyle w:val="List"/>
        <w:ind w:left="0" w:firstLine="0"/>
        <w:jc w:val="both"/>
        <w:outlineLvl w:val="0"/>
        <w:rPr>
          <w:rFonts w:ascii="Times New Roman" w:hAnsi="Times New Roman"/>
          <w:b/>
          <w:sz w:val="24"/>
          <w:szCs w:val="24"/>
          <w:lang w:val="en-AU"/>
        </w:rPr>
      </w:pPr>
    </w:p>
    <w:p w:rsidR="00381586" w:rsidRDefault="00381586" w:rsidP="00F007AF">
      <w:pPr>
        <w:pStyle w:val="List"/>
        <w:ind w:left="0" w:firstLine="0"/>
        <w:jc w:val="both"/>
        <w:outlineLvl w:val="0"/>
        <w:rPr>
          <w:rFonts w:ascii="Times New Roman" w:hAnsi="Times New Roman"/>
          <w:b/>
          <w:sz w:val="24"/>
          <w:szCs w:val="24"/>
          <w:lang w:val="en-AU"/>
        </w:rPr>
      </w:pPr>
    </w:p>
    <w:p w:rsidR="00115269" w:rsidRDefault="00115269" w:rsidP="00F007AF">
      <w:pPr>
        <w:pStyle w:val="List"/>
        <w:ind w:left="0" w:firstLine="0"/>
        <w:jc w:val="both"/>
        <w:outlineLvl w:val="0"/>
        <w:rPr>
          <w:rFonts w:ascii="Times New Roman" w:hAnsi="Times New Roman"/>
          <w:b/>
          <w:sz w:val="24"/>
          <w:szCs w:val="24"/>
          <w:lang w:val="en-AU"/>
        </w:rPr>
      </w:pPr>
    </w:p>
    <w:p w:rsidR="00115269" w:rsidRPr="00C63502" w:rsidRDefault="00115269" w:rsidP="00F007AF">
      <w:pPr>
        <w:pStyle w:val="List"/>
        <w:ind w:left="0" w:firstLine="0"/>
        <w:jc w:val="both"/>
        <w:outlineLvl w:val="0"/>
        <w:rPr>
          <w:rFonts w:ascii="Times New Roman" w:hAnsi="Times New Roman"/>
          <w:sz w:val="24"/>
          <w:szCs w:val="24"/>
          <w:lang w:val="en-AU"/>
        </w:rPr>
      </w:pPr>
      <w:r w:rsidRPr="00C63502">
        <w:rPr>
          <w:rFonts w:ascii="Times New Roman" w:hAnsi="Times New Roman"/>
          <w:b/>
          <w:sz w:val="24"/>
          <w:szCs w:val="24"/>
          <w:lang w:val="en-AU"/>
        </w:rPr>
        <w:t>Correspondence details</w:t>
      </w:r>
      <w:r w:rsidRPr="00C63502">
        <w:rPr>
          <w:rFonts w:ascii="Times New Roman" w:hAnsi="Times New Roman"/>
          <w:sz w:val="24"/>
          <w:szCs w:val="24"/>
          <w:lang w:val="en-AU"/>
        </w:rPr>
        <w:t>:</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Steven Toms</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Professor of Accounting</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Leeds University Business School</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 xml:space="preserve">Room 2.09, Maurice Keyworth Building </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 xml:space="preserve">University of Leeds </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 xml:space="preserve">Leeds </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LS2 9JT</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Tel: 44(113)-3434456</w:t>
      </w:r>
    </w:p>
    <w:p w:rsidR="00115269" w:rsidRPr="003303F5" w:rsidRDefault="00115269" w:rsidP="00F007AF">
      <w:pPr>
        <w:rPr>
          <w:rFonts w:ascii="Times New Roman" w:hAnsi="Times New Roman" w:cs="Times New Roman"/>
          <w:noProof/>
          <w:sz w:val="24"/>
          <w:szCs w:val="24"/>
        </w:rPr>
      </w:pPr>
      <w:r w:rsidRPr="003303F5">
        <w:rPr>
          <w:rFonts w:ascii="Times New Roman" w:hAnsi="Times New Roman" w:cs="Times New Roman"/>
          <w:noProof/>
          <w:sz w:val="24"/>
          <w:szCs w:val="24"/>
        </w:rPr>
        <w:t xml:space="preserve">Email: </w:t>
      </w:r>
      <w:hyperlink r:id="rId8" w:history="1">
        <w:r w:rsidRPr="003303F5">
          <w:rPr>
            <w:rStyle w:val="Hyperlink"/>
            <w:rFonts w:ascii="Times New Roman" w:hAnsi="Times New Roman" w:cs="Times New Roman"/>
            <w:noProof/>
            <w:sz w:val="24"/>
            <w:szCs w:val="24"/>
          </w:rPr>
          <w:t>J.S.Toms@leeds.ac.uk</w:t>
        </w:r>
      </w:hyperlink>
    </w:p>
    <w:p w:rsidR="00115269" w:rsidRPr="00C63502" w:rsidRDefault="00115269" w:rsidP="00F007AF">
      <w:pPr>
        <w:jc w:val="left"/>
        <w:rPr>
          <w:rFonts w:ascii="Times New Roman" w:hAnsi="Times New Roman" w:cs="Times New Roman"/>
          <w:b/>
          <w:sz w:val="24"/>
          <w:szCs w:val="24"/>
          <w:lang w:val="en-AU"/>
        </w:rPr>
      </w:pPr>
    </w:p>
    <w:p w:rsidR="00115269" w:rsidRPr="00C63502" w:rsidRDefault="00115269" w:rsidP="00F007AF">
      <w:pPr>
        <w:jc w:val="left"/>
        <w:rPr>
          <w:rFonts w:ascii="Times New Roman" w:hAnsi="Times New Roman" w:cs="Times New Roman"/>
          <w:b/>
          <w:sz w:val="24"/>
          <w:szCs w:val="24"/>
          <w:lang w:val="en-AU"/>
        </w:rPr>
      </w:pPr>
    </w:p>
    <w:p w:rsidR="00115269" w:rsidRDefault="00115269" w:rsidP="00F007AF">
      <w:pPr>
        <w:rPr>
          <w:rFonts w:ascii="Times New Roman" w:hAnsi="Times New Roman" w:cs="Times New Roman"/>
          <w:b/>
          <w:iCs/>
          <w:sz w:val="24"/>
          <w:szCs w:val="24"/>
          <w:lang w:val="en-AU"/>
        </w:rPr>
      </w:pPr>
      <w:r w:rsidRPr="00C63502">
        <w:rPr>
          <w:rFonts w:ascii="Times New Roman" w:hAnsi="Times New Roman" w:cs="Times New Roman"/>
          <w:b/>
          <w:sz w:val="24"/>
          <w:szCs w:val="24"/>
          <w:lang w:val="en-AU"/>
        </w:rPr>
        <w:t xml:space="preserve">Word count: </w:t>
      </w:r>
      <w:r w:rsidR="00FC76DF">
        <w:rPr>
          <w:rFonts w:ascii="Times New Roman" w:hAnsi="Times New Roman" w:cs="Times New Roman"/>
          <w:b/>
          <w:sz w:val="24"/>
          <w:szCs w:val="24"/>
          <w:lang w:val="en-AU"/>
        </w:rPr>
        <w:t>51</w:t>
      </w:r>
      <w:r w:rsidR="009C1F0A">
        <w:rPr>
          <w:rFonts w:ascii="Times New Roman" w:hAnsi="Times New Roman" w:cs="Times New Roman"/>
          <w:b/>
          <w:sz w:val="24"/>
          <w:szCs w:val="24"/>
          <w:lang w:val="en-AU"/>
        </w:rPr>
        <w:t>00</w:t>
      </w:r>
      <w:r>
        <w:rPr>
          <w:rFonts w:ascii="Times New Roman" w:hAnsi="Times New Roman" w:cs="Times New Roman"/>
          <w:b/>
          <w:iCs/>
          <w:sz w:val="24"/>
          <w:szCs w:val="24"/>
          <w:lang w:val="en-AU"/>
        </w:rPr>
        <w:br w:type="page"/>
      </w:r>
    </w:p>
    <w:p w:rsidR="004D62F5" w:rsidRPr="00F75BE4" w:rsidRDefault="00FC4D9F" w:rsidP="00BA65E4">
      <w:pPr>
        <w:autoSpaceDE w:val="0"/>
        <w:autoSpaceDN w:val="0"/>
        <w:adjustRightInd w:val="0"/>
        <w:spacing w:line="480" w:lineRule="auto"/>
        <w:rPr>
          <w:rFonts w:ascii="Times New Roman" w:hAnsi="Times New Roman" w:cs="Times New Roman"/>
          <w:b/>
          <w:sz w:val="24"/>
          <w:szCs w:val="24"/>
          <w:lang w:val="en-AU"/>
        </w:rPr>
      </w:pPr>
      <w:r w:rsidRPr="00115269">
        <w:rPr>
          <w:rFonts w:ascii="Times New Roman" w:hAnsi="Times New Roman" w:cs="Times New Roman"/>
          <w:b/>
          <w:iCs/>
          <w:sz w:val="24"/>
          <w:szCs w:val="24"/>
          <w:lang w:val="en-AU"/>
        </w:rPr>
        <w:lastRenderedPageBreak/>
        <w:t>Accounting based risk management and the capital asset pricing model: An empirical comparison</w:t>
      </w:r>
      <w:r w:rsidR="004D62F5">
        <w:rPr>
          <w:rStyle w:val="EndnoteReference"/>
          <w:rFonts w:ascii="Times New Roman" w:hAnsi="Times New Roman" w:cs="Times New Roman"/>
          <w:b/>
          <w:sz w:val="24"/>
          <w:szCs w:val="24"/>
          <w:lang w:val="en-AU"/>
        </w:rPr>
        <w:endnoteReference w:id="1"/>
      </w:r>
    </w:p>
    <w:p w:rsidR="004D62F5" w:rsidRPr="00115269" w:rsidRDefault="004D62F5" w:rsidP="00F007AF">
      <w:pPr>
        <w:autoSpaceDE w:val="0"/>
        <w:autoSpaceDN w:val="0"/>
        <w:adjustRightInd w:val="0"/>
        <w:rPr>
          <w:rFonts w:ascii="Times New Roman" w:hAnsi="Times New Roman" w:cs="Times New Roman"/>
          <w:b/>
          <w:iCs/>
          <w:sz w:val="24"/>
          <w:szCs w:val="24"/>
          <w:lang w:val="en-AU"/>
        </w:rPr>
      </w:pPr>
    </w:p>
    <w:p w:rsidR="004D62F5" w:rsidRDefault="004D62F5" w:rsidP="00F007AF">
      <w:pPr>
        <w:autoSpaceDE w:val="0"/>
        <w:autoSpaceDN w:val="0"/>
        <w:adjustRightInd w:val="0"/>
        <w:rPr>
          <w:rFonts w:ascii="Times New Roman" w:hAnsi="Times New Roman" w:cs="Times New Roman"/>
          <w:i/>
          <w:iCs/>
          <w:sz w:val="24"/>
          <w:szCs w:val="24"/>
          <w:lang w:val="en-AU"/>
        </w:rPr>
      </w:pPr>
    </w:p>
    <w:p w:rsidR="004D62F5" w:rsidRPr="00960377" w:rsidRDefault="004D62F5" w:rsidP="009C1F0A">
      <w:pPr>
        <w:autoSpaceDE w:val="0"/>
        <w:autoSpaceDN w:val="0"/>
        <w:adjustRightInd w:val="0"/>
        <w:spacing w:line="480" w:lineRule="auto"/>
        <w:rPr>
          <w:rFonts w:ascii="Times New Roman" w:hAnsi="Times New Roman" w:cs="Times New Roman"/>
          <w:b/>
          <w:i/>
          <w:iCs/>
          <w:sz w:val="24"/>
          <w:szCs w:val="24"/>
          <w:lang w:val="en-AU"/>
        </w:rPr>
      </w:pPr>
      <w:r w:rsidRPr="00960377">
        <w:rPr>
          <w:rFonts w:ascii="Times New Roman" w:hAnsi="Times New Roman" w:cs="Times New Roman"/>
          <w:b/>
          <w:i/>
          <w:iCs/>
          <w:sz w:val="24"/>
          <w:szCs w:val="24"/>
          <w:lang w:val="en-AU"/>
        </w:rPr>
        <w:t>Abstract</w:t>
      </w:r>
    </w:p>
    <w:p w:rsidR="004D62F5" w:rsidRDefault="004D62F5" w:rsidP="009C1F0A">
      <w:pPr>
        <w:autoSpaceDE w:val="0"/>
        <w:autoSpaceDN w:val="0"/>
        <w:adjustRightInd w:val="0"/>
        <w:spacing w:line="480" w:lineRule="auto"/>
        <w:rPr>
          <w:rFonts w:ascii="Times New Roman" w:hAnsi="Times New Roman" w:cs="Times New Roman"/>
          <w:i/>
          <w:iCs/>
          <w:sz w:val="24"/>
          <w:szCs w:val="24"/>
          <w:lang w:val="en-AU"/>
        </w:rPr>
      </w:pPr>
      <w:r>
        <w:rPr>
          <w:rFonts w:ascii="Times New Roman" w:hAnsi="Times New Roman" w:cs="Times New Roman"/>
          <w:i/>
          <w:iCs/>
          <w:sz w:val="24"/>
          <w:szCs w:val="24"/>
          <w:lang w:val="en-AU"/>
        </w:rPr>
        <w:t>Accounting based risk management (ABRM) is a theoretically consistent and practical tool for calculating the cost of capital from underlying financial ratios. The paper uses a sample of ABRM generated discount factors to examine the resulting pattern of risk adjusted returns. These are compared to the pattern based on CAPM generated returns. In view of the debates about the validity of the CAPM, alternative empirical models, the nature and scale of the equity risk premium, and the importance of discount rates in capital budgeting and asset valuation, the comparative characteristics of ABRM rates offer a potentially useful alternative. The results suggest that although average discount rates are comparable, their cross sectional distributions are dissimilar, so that investors in an averagely risky firm are overcompensated for systematic risk when using CAPM discount rates. In other words, stock market CAPM discount factors overestimate risk arising from fixed costs in most firms.</w:t>
      </w:r>
    </w:p>
    <w:p w:rsidR="004D62F5" w:rsidRDefault="004D62F5" w:rsidP="009C1F0A">
      <w:pPr>
        <w:spacing w:line="480" w:lineRule="auto"/>
        <w:rPr>
          <w:sz w:val="24"/>
          <w:szCs w:val="24"/>
        </w:rPr>
      </w:pPr>
    </w:p>
    <w:p w:rsidR="005A5484" w:rsidRDefault="004D62F5" w:rsidP="009C1F0A">
      <w:pPr>
        <w:spacing w:line="480" w:lineRule="auto"/>
        <w:rPr>
          <w:sz w:val="24"/>
          <w:szCs w:val="24"/>
        </w:rPr>
      </w:pPr>
      <w:r>
        <w:rPr>
          <w:sz w:val="24"/>
          <w:szCs w:val="24"/>
        </w:rPr>
        <w:t>In a recent paper (Toms 2013a)</w:t>
      </w:r>
      <w:proofErr w:type="gramStart"/>
      <w:r>
        <w:rPr>
          <w:sz w:val="24"/>
          <w:szCs w:val="24"/>
        </w:rPr>
        <w:t>,</w:t>
      </w:r>
      <w:proofErr w:type="gramEnd"/>
      <w:r>
        <w:rPr>
          <w:rStyle w:val="EndnoteReference"/>
          <w:lang w:val="en-AU"/>
        </w:rPr>
        <w:endnoteReference w:id="2"/>
      </w:r>
      <w:r>
        <w:rPr>
          <w:sz w:val="24"/>
          <w:szCs w:val="24"/>
        </w:rPr>
        <w:t xml:space="preserve"> a method of computing discount rates using underlying accounting data was outlined. This method of accounting based risk measurement (ABRM) offers a possible alternative to capital asset pricing model (CAPM) approaches. Unlike the CAPM approach, which takes stock market prices as its starting point, the ABRM approach builds up a discount rate from firms’ accounting and cost data. It is therefore</w:t>
      </w:r>
      <w:r w:rsidRPr="000A6367">
        <w:rPr>
          <w:sz w:val="24"/>
          <w:szCs w:val="24"/>
        </w:rPr>
        <w:t xml:space="preserve"> possible that if managers were to perform calculations utilising their own cost data, rather than figures derived from stock markets, that the resulting cost of capital and associated business decisions might differ</w:t>
      </w:r>
      <w:r>
        <w:rPr>
          <w:sz w:val="24"/>
          <w:szCs w:val="24"/>
        </w:rPr>
        <w:t>.</w:t>
      </w:r>
      <w:r w:rsidRPr="000A6367">
        <w:rPr>
          <w:sz w:val="24"/>
          <w:szCs w:val="24"/>
        </w:rPr>
        <w:t xml:space="preserve"> </w:t>
      </w:r>
      <w:r>
        <w:rPr>
          <w:sz w:val="24"/>
          <w:szCs w:val="24"/>
        </w:rPr>
        <w:t>Any such differences might be important, either because they might explain why the CAPM does not perform well in empirical tests,</w:t>
      </w:r>
      <w:r>
        <w:rPr>
          <w:rStyle w:val="EndnoteReference"/>
          <w:sz w:val="24"/>
          <w:szCs w:val="24"/>
        </w:rPr>
        <w:endnoteReference w:id="3"/>
      </w:r>
      <w:r>
        <w:rPr>
          <w:sz w:val="24"/>
          <w:szCs w:val="24"/>
        </w:rPr>
        <w:t xml:space="preserve"> or because of the </w:t>
      </w:r>
      <w:r>
        <w:rPr>
          <w:sz w:val="24"/>
          <w:szCs w:val="24"/>
        </w:rPr>
        <w:lastRenderedPageBreak/>
        <w:t>significance of these calculations for practitioners in terms of investment decision making and asset valuation, including intangible assets, such as goodwill.</w:t>
      </w:r>
      <w:r w:rsidR="006E7EB0" w:rsidRPr="006E7EB0">
        <w:rPr>
          <w:rFonts w:cs="Garamond"/>
          <w:color w:val="000000"/>
        </w:rPr>
        <w:t xml:space="preserve"> </w:t>
      </w:r>
      <w:r w:rsidR="006E7EB0">
        <w:rPr>
          <w:rFonts w:cs="Garamond"/>
          <w:color w:val="000000"/>
        </w:rPr>
        <w:t xml:space="preserve">There is also </w:t>
      </w:r>
      <w:proofErr w:type="gramStart"/>
      <w:r w:rsidR="006E7EB0">
        <w:rPr>
          <w:rFonts w:cs="Garamond"/>
          <w:color w:val="000000"/>
        </w:rPr>
        <w:t>a recognition</w:t>
      </w:r>
      <w:proofErr w:type="gramEnd"/>
      <w:r w:rsidR="006E7EB0">
        <w:rPr>
          <w:rFonts w:cs="Garamond"/>
          <w:color w:val="000000"/>
        </w:rPr>
        <w:t xml:space="preserve"> among Australian regulators that equity beta estimates are statistically unreliable.</w:t>
      </w:r>
      <w:r w:rsidR="005A5484">
        <w:rPr>
          <w:rStyle w:val="EndnoteReference"/>
          <w:rFonts w:cs="Garamond"/>
          <w:color w:val="000000"/>
        </w:rPr>
        <w:endnoteReference w:id="4"/>
      </w:r>
    </w:p>
    <w:p w:rsidR="005A5484" w:rsidRDefault="005A5484" w:rsidP="009C1F0A">
      <w:pPr>
        <w:spacing w:line="480" w:lineRule="auto"/>
        <w:ind w:firstLine="720"/>
        <w:rPr>
          <w:sz w:val="24"/>
          <w:szCs w:val="24"/>
        </w:rPr>
      </w:pPr>
      <w:r w:rsidRPr="000A6367">
        <w:rPr>
          <w:sz w:val="24"/>
          <w:szCs w:val="24"/>
        </w:rPr>
        <w:t xml:space="preserve">The purpose of this </w:t>
      </w:r>
      <w:r>
        <w:rPr>
          <w:sz w:val="24"/>
          <w:szCs w:val="24"/>
        </w:rPr>
        <w:t>paper</w:t>
      </w:r>
      <w:r w:rsidRPr="000A6367">
        <w:rPr>
          <w:sz w:val="24"/>
          <w:szCs w:val="24"/>
        </w:rPr>
        <w:t xml:space="preserve"> is to compare the discount rates that might be used in </w:t>
      </w:r>
      <w:r>
        <w:rPr>
          <w:sz w:val="24"/>
          <w:szCs w:val="24"/>
        </w:rPr>
        <w:t xml:space="preserve">such contexts </w:t>
      </w:r>
      <w:r w:rsidRPr="000A6367">
        <w:rPr>
          <w:sz w:val="24"/>
          <w:szCs w:val="24"/>
        </w:rPr>
        <w:t xml:space="preserve">when using ABRM and CAPM. </w:t>
      </w:r>
      <w:r>
        <w:rPr>
          <w:sz w:val="24"/>
          <w:szCs w:val="24"/>
        </w:rPr>
        <w:t xml:space="preserve">To do so, data was obtained using a questionnaire to obtain firm or business unit level inputs for the ABRM approach. Discount rates and risk adjustment factors are then calculated for both methods. The reasons for </w:t>
      </w:r>
      <w:r w:rsidRPr="000A6367">
        <w:rPr>
          <w:sz w:val="24"/>
          <w:szCs w:val="24"/>
        </w:rPr>
        <w:t xml:space="preserve">differences or similarities </w:t>
      </w:r>
      <w:r>
        <w:rPr>
          <w:sz w:val="24"/>
          <w:szCs w:val="24"/>
        </w:rPr>
        <w:t xml:space="preserve">are then investigated, focusing on underlying cost behaviour </w:t>
      </w:r>
      <w:r w:rsidRPr="000A6367">
        <w:rPr>
          <w:sz w:val="24"/>
          <w:szCs w:val="24"/>
        </w:rPr>
        <w:t xml:space="preserve">in </w:t>
      </w:r>
      <w:r>
        <w:rPr>
          <w:sz w:val="24"/>
          <w:szCs w:val="24"/>
        </w:rPr>
        <w:t xml:space="preserve">the sample firms. </w:t>
      </w:r>
    </w:p>
    <w:p w:rsidR="005A5484" w:rsidRPr="000A6367" w:rsidRDefault="005A5484" w:rsidP="009C1F0A">
      <w:pPr>
        <w:spacing w:line="480" w:lineRule="auto"/>
        <w:ind w:firstLine="720"/>
        <w:rPr>
          <w:sz w:val="24"/>
          <w:szCs w:val="24"/>
        </w:rPr>
      </w:pPr>
      <w:r>
        <w:rPr>
          <w:sz w:val="24"/>
          <w:szCs w:val="24"/>
        </w:rPr>
        <w:t>T</w:t>
      </w:r>
      <w:r w:rsidRPr="000A6367">
        <w:rPr>
          <w:sz w:val="24"/>
          <w:szCs w:val="24"/>
        </w:rPr>
        <w:t>he first section below re</w:t>
      </w:r>
      <w:r>
        <w:rPr>
          <w:sz w:val="24"/>
          <w:szCs w:val="24"/>
        </w:rPr>
        <w:t xml:space="preserve">views the differences between ABRM and CAPM.  The strengths and weaknesses of each approach are discussed and the potential value of a comparable empirical test explained. </w:t>
      </w:r>
      <w:r w:rsidRPr="000A6367">
        <w:rPr>
          <w:sz w:val="24"/>
          <w:szCs w:val="24"/>
        </w:rPr>
        <w:t xml:space="preserve"> </w:t>
      </w:r>
      <w:r>
        <w:rPr>
          <w:sz w:val="24"/>
          <w:szCs w:val="24"/>
        </w:rPr>
        <w:t>The second section discusses the approach to the empirical test and the firm level questionnaire used to collect the data. T</w:t>
      </w:r>
      <w:r w:rsidRPr="000A6367">
        <w:rPr>
          <w:sz w:val="24"/>
          <w:szCs w:val="24"/>
        </w:rPr>
        <w:t xml:space="preserve">he </w:t>
      </w:r>
      <w:r>
        <w:rPr>
          <w:sz w:val="24"/>
          <w:szCs w:val="24"/>
        </w:rPr>
        <w:t>third</w:t>
      </w:r>
      <w:r w:rsidRPr="000A6367">
        <w:rPr>
          <w:sz w:val="24"/>
          <w:szCs w:val="24"/>
        </w:rPr>
        <w:t xml:space="preserve"> section compares the costs of capital according to the two methods. </w:t>
      </w:r>
      <w:r>
        <w:rPr>
          <w:sz w:val="24"/>
          <w:szCs w:val="24"/>
        </w:rPr>
        <w:t>It offers explanations in terms of differ</w:t>
      </w:r>
      <w:r w:rsidRPr="000A6367">
        <w:rPr>
          <w:sz w:val="24"/>
          <w:szCs w:val="24"/>
        </w:rPr>
        <w:t xml:space="preserve">ences </w:t>
      </w:r>
      <w:r>
        <w:rPr>
          <w:sz w:val="24"/>
          <w:szCs w:val="24"/>
        </w:rPr>
        <w:t>in firm</w:t>
      </w:r>
      <w:r w:rsidRPr="000A6367">
        <w:rPr>
          <w:sz w:val="24"/>
          <w:szCs w:val="24"/>
        </w:rPr>
        <w:t xml:space="preserve"> specific risk adjustment factors, underlying cost behaviour and differences in risk </w:t>
      </w:r>
      <w:proofErr w:type="spellStart"/>
      <w:r w:rsidRPr="000A6367">
        <w:rPr>
          <w:sz w:val="24"/>
          <w:szCs w:val="24"/>
        </w:rPr>
        <w:t>premia</w:t>
      </w:r>
      <w:proofErr w:type="spellEnd"/>
      <w:r w:rsidRPr="000A6367">
        <w:rPr>
          <w:sz w:val="24"/>
          <w:szCs w:val="24"/>
        </w:rPr>
        <w:t>.</w:t>
      </w:r>
      <w:r>
        <w:rPr>
          <w:sz w:val="24"/>
          <w:szCs w:val="24"/>
        </w:rPr>
        <w:t xml:space="preserve"> The final section draws conclusions.</w:t>
      </w:r>
    </w:p>
    <w:p w:rsidR="005A5484" w:rsidRDefault="005A5484" w:rsidP="009C1F0A">
      <w:pPr>
        <w:autoSpaceDE w:val="0"/>
        <w:autoSpaceDN w:val="0"/>
        <w:adjustRightInd w:val="0"/>
        <w:spacing w:line="480" w:lineRule="auto"/>
        <w:rPr>
          <w:rFonts w:ascii="Times New Roman" w:hAnsi="Times New Roman" w:cs="Times New Roman"/>
          <w:i/>
          <w:iCs/>
          <w:sz w:val="24"/>
          <w:szCs w:val="24"/>
          <w:lang w:val="en-AU"/>
        </w:rPr>
      </w:pPr>
    </w:p>
    <w:p w:rsidR="005A5484" w:rsidRPr="00C63502" w:rsidRDefault="005A5484" w:rsidP="009C1F0A">
      <w:pPr>
        <w:spacing w:line="480" w:lineRule="auto"/>
        <w:rPr>
          <w:rFonts w:ascii="Times New Roman" w:hAnsi="Times New Roman" w:cs="Times New Roman"/>
          <w:b/>
          <w:iCs/>
          <w:sz w:val="24"/>
          <w:szCs w:val="24"/>
          <w:lang w:val="en-AU"/>
        </w:rPr>
      </w:pPr>
      <w:r w:rsidRPr="00C63502">
        <w:rPr>
          <w:rFonts w:ascii="Times New Roman" w:hAnsi="Times New Roman" w:cs="Times New Roman"/>
          <w:b/>
          <w:iCs/>
          <w:sz w:val="24"/>
          <w:szCs w:val="24"/>
          <w:lang w:val="en-AU"/>
        </w:rPr>
        <w:t xml:space="preserve">ABRM and CAPM: An </w:t>
      </w:r>
      <w:r>
        <w:rPr>
          <w:rFonts w:ascii="Times New Roman" w:hAnsi="Times New Roman" w:cs="Times New Roman"/>
          <w:b/>
          <w:iCs/>
          <w:sz w:val="24"/>
          <w:szCs w:val="24"/>
          <w:lang w:val="en-AU"/>
        </w:rPr>
        <w:t>overview</w:t>
      </w:r>
      <w:r w:rsidRPr="00C63502">
        <w:rPr>
          <w:rFonts w:ascii="Times New Roman" w:hAnsi="Times New Roman" w:cs="Times New Roman"/>
          <w:b/>
          <w:iCs/>
          <w:sz w:val="24"/>
          <w:szCs w:val="24"/>
          <w:lang w:val="en-AU"/>
        </w:rPr>
        <w:t xml:space="preserve"> comparison</w:t>
      </w:r>
    </w:p>
    <w:p w:rsidR="005A5484" w:rsidRDefault="005A5484" w:rsidP="009C1F0A">
      <w:pPr>
        <w:spacing w:line="480" w:lineRule="auto"/>
        <w:rPr>
          <w:sz w:val="24"/>
          <w:szCs w:val="24"/>
        </w:rPr>
      </w:pPr>
      <w:r w:rsidRPr="000A6367">
        <w:rPr>
          <w:sz w:val="24"/>
          <w:szCs w:val="24"/>
        </w:rPr>
        <w:t xml:space="preserve">The Sharpe (1964) and </w:t>
      </w:r>
      <w:proofErr w:type="spellStart"/>
      <w:r w:rsidRPr="000A6367">
        <w:rPr>
          <w:sz w:val="24"/>
          <w:szCs w:val="24"/>
        </w:rPr>
        <w:t>Lintner</w:t>
      </w:r>
      <w:proofErr w:type="spellEnd"/>
      <w:r w:rsidRPr="000A6367">
        <w:rPr>
          <w:sz w:val="24"/>
          <w:szCs w:val="24"/>
        </w:rPr>
        <w:t xml:space="preserve"> (1965) CAPM is still the one that financial managers use most often for assessing the risk of the cash flow from a project and for arriving at the appropriate discount rate to use in valuing the project (</w:t>
      </w:r>
      <w:r>
        <w:rPr>
          <w:sz w:val="24"/>
          <w:szCs w:val="24"/>
        </w:rPr>
        <w:t>Graham and Harvey, 2001</w:t>
      </w:r>
      <w:r w:rsidRPr="000A6367">
        <w:rPr>
          <w:sz w:val="24"/>
          <w:szCs w:val="24"/>
        </w:rPr>
        <w:t>)</w:t>
      </w:r>
      <w:r>
        <w:rPr>
          <w:sz w:val="24"/>
          <w:szCs w:val="24"/>
        </w:rPr>
        <w:t>. T</w:t>
      </w:r>
      <w:r w:rsidRPr="000A6367">
        <w:rPr>
          <w:sz w:val="24"/>
          <w:szCs w:val="24"/>
        </w:rPr>
        <w:t xml:space="preserve">he </w:t>
      </w:r>
      <w:r>
        <w:rPr>
          <w:sz w:val="24"/>
          <w:szCs w:val="24"/>
        </w:rPr>
        <w:t>empirical anomalies of the</w:t>
      </w:r>
      <w:r w:rsidRPr="000A6367">
        <w:rPr>
          <w:sz w:val="24"/>
          <w:szCs w:val="24"/>
        </w:rPr>
        <w:t xml:space="preserve"> CAPM </w:t>
      </w:r>
      <w:r>
        <w:rPr>
          <w:sz w:val="24"/>
          <w:szCs w:val="24"/>
        </w:rPr>
        <w:t>are</w:t>
      </w:r>
      <w:r w:rsidRPr="000A6367">
        <w:rPr>
          <w:sz w:val="24"/>
          <w:szCs w:val="24"/>
        </w:rPr>
        <w:t xml:space="preserve"> widely acknowledged.</w:t>
      </w:r>
      <w:r>
        <w:rPr>
          <w:sz w:val="24"/>
          <w:szCs w:val="24"/>
        </w:rPr>
        <w:t xml:space="preserve"> Several studies show that the model fails to adequately explain the cross sectional distribution of returns, and propose alternative, albeit under-theorised models. These are also less tractable from a practitioner </w:t>
      </w:r>
      <w:r>
        <w:rPr>
          <w:sz w:val="24"/>
          <w:szCs w:val="24"/>
        </w:rPr>
        <w:lastRenderedPageBreak/>
        <w:t>point of view.</w:t>
      </w:r>
      <w:r>
        <w:rPr>
          <w:rStyle w:val="EndnoteReference"/>
          <w:sz w:val="24"/>
          <w:szCs w:val="24"/>
        </w:rPr>
        <w:endnoteReference w:id="5"/>
      </w:r>
      <w:r w:rsidRPr="000A6367">
        <w:rPr>
          <w:sz w:val="24"/>
          <w:szCs w:val="24"/>
        </w:rPr>
        <w:t xml:space="preserve"> </w:t>
      </w:r>
      <w:r>
        <w:rPr>
          <w:sz w:val="24"/>
          <w:szCs w:val="24"/>
        </w:rPr>
        <w:t>So, although t</w:t>
      </w:r>
      <w:r w:rsidRPr="000A6367">
        <w:rPr>
          <w:sz w:val="24"/>
          <w:szCs w:val="24"/>
        </w:rPr>
        <w:t xml:space="preserve">here is </w:t>
      </w:r>
      <w:r>
        <w:rPr>
          <w:sz w:val="24"/>
          <w:szCs w:val="24"/>
        </w:rPr>
        <w:t xml:space="preserve">consequential </w:t>
      </w:r>
      <w:r w:rsidRPr="000A6367">
        <w:rPr>
          <w:sz w:val="24"/>
          <w:szCs w:val="24"/>
        </w:rPr>
        <w:t>uncertainty concerning the input numbers (the beta itself and the equity premium)</w:t>
      </w:r>
      <w:r>
        <w:rPr>
          <w:sz w:val="24"/>
          <w:szCs w:val="24"/>
        </w:rPr>
        <w:t>, the model nonetheless remains widely used</w:t>
      </w:r>
      <w:r w:rsidRPr="000A6367">
        <w:rPr>
          <w:sz w:val="24"/>
          <w:szCs w:val="24"/>
        </w:rPr>
        <w:t xml:space="preserve">. Researchers and financial decision makers </w:t>
      </w:r>
      <w:r>
        <w:rPr>
          <w:sz w:val="24"/>
          <w:szCs w:val="24"/>
        </w:rPr>
        <w:t xml:space="preserve">have yet to endorse any alternative models.  </w:t>
      </w:r>
    </w:p>
    <w:p w:rsidR="005A5484" w:rsidRDefault="005A5484" w:rsidP="009C1F0A">
      <w:pPr>
        <w:spacing w:line="480" w:lineRule="auto"/>
        <w:ind w:firstLine="720"/>
        <w:rPr>
          <w:sz w:val="24"/>
          <w:szCs w:val="24"/>
        </w:rPr>
      </w:pPr>
      <w:r>
        <w:rPr>
          <w:sz w:val="24"/>
          <w:szCs w:val="24"/>
        </w:rPr>
        <w:t>The notion of operating gearing suggests that there may be suitable alternatives, if risk can be priced according to the degree of fixed cost and associated variability in residual cash flows. The literature on operating leverage shows that s</w:t>
      </w:r>
      <w:r w:rsidRPr="000A6367">
        <w:rPr>
          <w:sz w:val="24"/>
          <w:szCs w:val="24"/>
        </w:rPr>
        <w:t xml:space="preserve">ystematic risk arises because the firm is the subject of fixed claims but faces variable revenues (Huffman, 1983). If, by extension of Modigliani and Miller (1958), variance in total cash flow is a function of the presence of not just interest based, but </w:t>
      </w:r>
      <w:r w:rsidRPr="000A6367">
        <w:rPr>
          <w:i/>
          <w:sz w:val="24"/>
          <w:szCs w:val="24"/>
        </w:rPr>
        <w:t>all</w:t>
      </w:r>
      <w:r w:rsidRPr="000A6367">
        <w:rPr>
          <w:sz w:val="24"/>
          <w:szCs w:val="24"/>
        </w:rPr>
        <w:t xml:space="preserve"> fixed charges, it would seem logical to expect operating gearing to account the more strongly for the firm’s systematic risk. The intuition of the ABRM approach is exactly the same as the adjustment of the cost of capital for the presence of fixed interest charges (Modigliani and Miller 1958, Hamada, 1972). Theoretical analyses use financial market data in conjunction with accounting data to develop operating gearing variables (</w:t>
      </w:r>
      <w:proofErr w:type="spellStart"/>
      <w:r w:rsidRPr="000A6367">
        <w:rPr>
          <w:sz w:val="24"/>
          <w:szCs w:val="24"/>
        </w:rPr>
        <w:t>Gahlon</w:t>
      </w:r>
      <w:proofErr w:type="spellEnd"/>
      <w:r w:rsidRPr="000A6367">
        <w:rPr>
          <w:sz w:val="24"/>
          <w:szCs w:val="24"/>
        </w:rPr>
        <w:t xml:space="preserve"> and Gentry, 1982, Huffman, 1983). Further analytical models (Lev, 1974, </w:t>
      </w:r>
      <w:proofErr w:type="spellStart"/>
      <w:r w:rsidRPr="000A6367">
        <w:rPr>
          <w:sz w:val="24"/>
          <w:szCs w:val="24"/>
        </w:rPr>
        <w:t>Gahlon</w:t>
      </w:r>
      <w:proofErr w:type="spellEnd"/>
      <w:r w:rsidRPr="000A6367">
        <w:rPr>
          <w:sz w:val="24"/>
          <w:szCs w:val="24"/>
        </w:rPr>
        <w:t xml:space="preserve"> and Gentry, 1982, Huffman, 1983 and </w:t>
      </w:r>
      <w:proofErr w:type="spellStart"/>
      <w:r w:rsidRPr="000A6367">
        <w:rPr>
          <w:sz w:val="24"/>
          <w:szCs w:val="24"/>
        </w:rPr>
        <w:t>Mandelker</w:t>
      </w:r>
      <w:proofErr w:type="spellEnd"/>
      <w:r w:rsidRPr="000A6367">
        <w:rPr>
          <w:sz w:val="24"/>
          <w:szCs w:val="24"/>
        </w:rPr>
        <w:t xml:space="preserve"> and Rhee, 1984) extend this relationship to include risk measures that depend jointly on underlying accounting and market numbers. Empirical studies using operating gearing have almost unanimously incorporated market numbers in their measures of operating gearing (for example, Hamada, 1972, </w:t>
      </w:r>
      <w:proofErr w:type="spellStart"/>
      <w:r w:rsidRPr="000A6367">
        <w:rPr>
          <w:sz w:val="24"/>
          <w:szCs w:val="24"/>
        </w:rPr>
        <w:t>Mandelker</w:t>
      </w:r>
      <w:proofErr w:type="spellEnd"/>
      <w:r w:rsidRPr="000A6367">
        <w:rPr>
          <w:sz w:val="24"/>
          <w:szCs w:val="24"/>
        </w:rPr>
        <w:t xml:space="preserve"> and Rhee, 1984, Huffman, 1989). Of the small number of studies that have examined the joint and complementary effects of operating and financial gearing, the quantitative impacts of differing categories of fixed costs on a systematic basis have been neglected. </w:t>
      </w:r>
    </w:p>
    <w:p w:rsidR="005A5484" w:rsidRDefault="005A5484" w:rsidP="009C1F0A">
      <w:pPr>
        <w:spacing w:line="480" w:lineRule="auto"/>
        <w:ind w:firstLine="720"/>
        <w:rPr>
          <w:sz w:val="24"/>
          <w:szCs w:val="24"/>
        </w:rPr>
      </w:pPr>
      <w:r w:rsidRPr="000A6367">
        <w:rPr>
          <w:sz w:val="24"/>
          <w:szCs w:val="24"/>
        </w:rPr>
        <w:lastRenderedPageBreak/>
        <w:t xml:space="preserve">An exception is Lord (1996) whose empirical study focuses on three sectors and ends with a call for further research in wider contexts. </w:t>
      </w:r>
      <w:r>
        <w:rPr>
          <w:sz w:val="24"/>
          <w:szCs w:val="24"/>
        </w:rPr>
        <w:t>In response, this paper will develop an empirical test using United Kingdom</w:t>
      </w:r>
      <w:r w:rsidRPr="000A6367">
        <w:rPr>
          <w:sz w:val="24"/>
          <w:szCs w:val="24"/>
        </w:rPr>
        <w:t xml:space="preserve"> evidence.</w:t>
      </w:r>
      <w:r>
        <w:rPr>
          <w:sz w:val="24"/>
          <w:szCs w:val="24"/>
        </w:rPr>
        <w:t xml:space="preserve"> Unlike Lord, who estimates operating leverage from published accounting numbers, the present study obtains these values from internal budget data using a questionnaire.</w:t>
      </w:r>
      <w:r>
        <w:rPr>
          <w:rStyle w:val="EndnoteReference"/>
          <w:sz w:val="24"/>
          <w:szCs w:val="24"/>
        </w:rPr>
        <w:endnoteReference w:id="6"/>
      </w:r>
      <w:r>
        <w:rPr>
          <w:sz w:val="24"/>
          <w:szCs w:val="24"/>
        </w:rPr>
        <w:t xml:space="preserve"> </w:t>
      </w:r>
    </w:p>
    <w:p w:rsidR="005A5484" w:rsidRPr="00E96ABA" w:rsidRDefault="005A5484" w:rsidP="009C1F0A">
      <w:pPr>
        <w:spacing w:line="480" w:lineRule="auto"/>
        <w:ind w:firstLine="720"/>
        <w:rPr>
          <w:rFonts w:ascii="Times New Roman" w:hAnsi="Times New Roman" w:cs="Times New Roman"/>
          <w:sz w:val="24"/>
          <w:szCs w:val="24"/>
        </w:rPr>
      </w:pPr>
      <w:r>
        <w:rPr>
          <w:sz w:val="24"/>
          <w:szCs w:val="24"/>
        </w:rPr>
        <w:t xml:space="preserve">Such an approach provides the opportunity to integrate operating leverage into a formal risk pricing model using firm level forecast data. This is the objective of the ABRM approach as derived by Toms (2013a). </w:t>
      </w:r>
      <w:r w:rsidRPr="00E96ABA">
        <w:rPr>
          <w:rFonts w:ascii="Times New Roman" w:hAnsi="Times New Roman" w:cs="Times New Roman"/>
          <w:sz w:val="24"/>
          <w:szCs w:val="24"/>
        </w:rPr>
        <w:t>ABRM has certain common features with CAPM. The following equations which summarise the input parameters of the two models have been set out to illustrate the common features</w:t>
      </w:r>
      <w:r>
        <w:rPr>
          <w:rFonts w:ascii="Times New Roman" w:hAnsi="Times New Roman" w:cs="Times New Roman"/>
          <w:sz w:val="24"/>
          <w:szCs w:val="24"/>
        </w:rPr>
        <w:t xml:space="preserve"> and differences</w:t>
      </w:r>
      <w:r w:rsidRPr="00E96ABA">
        <w:rPr>
          <w:rFonts w:ascii="Times New Roman" w:hAnsi="Times New Roman" w:cs="Times New Roman"/>
          <w:sz w:val="24"/>
          <w:szCs w:val="24"/>
        </w:rPr>
        <w:t>. The standard CAPM is set out in equation (1):</w:t>
      </w:r>
    </w:p>
    <w:p w:rsidR="005A5484" w:rsidRPr="00E96ABA" w:rsidRDefault="005A5484" w:rsidP="009C1F0A">
      <w:pPr>
        <w:spacing w:line="480" w:lineRule="auto"/>
        <w:rPr>
          <w:rFonts w:ascii="Times New Roman" w:hAnsi="Times New Roman" w:cs="Times New Roman"/>
          <w:sz w:val="24"/>
          <w:szCs w:val="24"/>
        </w:rPr>
      </w:pPr>
    </w:p>
    <w:p w:rsidR="005A5484" w:rsidRPr="00E96ABA" w:rsidRDefault="005A5484" w:rsidP="009C1F0A">
      <w:pPr>
        <w:spacing w:line="480" w:lineRule="auto"/>
        <w:rPr>
          <w:rFonts w:ascii="Times New Roman" w:hAnsi="Times New Roman" w:cs="Times New Roman"/>
          <w:i/>
          <w:sz w:val="24"/>
          <w:szCs w:val="24"/>
        </w:rPr>
      </w:pPr>
      <w:proofErr w:type="spellStart"/>
      <w:proofErr w:type="gramStart"/>
      <w:r w:rsidRPr="00E96ABA">
        <w:rPr>
          <w:rFonts w:ascii="Times New Roman" w:hAnsi="Times New Roman" w:cs="Times New Roman"/>
          <w:i/>
          <w:sz w:val="24"/>
          <w:szCs w:val="24"/>
        </w:rPr>
        <w:t>R</w:t>
      </w:r>
      <w:r w:rsidRPr="00E96ABA">
        <w:rPr>
          <w:rFonts w:ascii="Times New Roman" w:hAnsi="Times New Roman" w:cs="Times New Roman"/>
          <w:i/>
          <w:sz w:val="24"/>
          <w:szCs w:val="24"/>
          <w:vertAlign w:val="subscript"/>
        </w:rPr>
        <w:t>i</w:t>
      </w:r>
      <w:proofErr w:type="spellEnd"/>
      <w:proofErr w:type="gramEnd"/>
      <w:r w:rsidRPr="00E96ABA">
        <w:rPr>
          <w:rFonts w:ascii="Times New Roman" w:hAnsi="Times New Roman" w:cs="Times New Roman"/>
          <w:i/>
          <w:sz w:val="24"/>
          <w:szCs w:val="24"/>
        </w:rPr>
        <w:t xml:space="preserve"> = </w:t>
      </w:r>
      <w:proofErr w:type="spellStart"/>
      <w:r w:rsidRPr="00E96ABA">
        <w:rPr>
          <w:rFonts w:ascii="Times New Roman" w:hAnsi="Times New Roman" w:cs="Times New Roman"/>
          <w:i/>
          <w:sz w:val="24"/>
          <w:szCs w:val="24"/>
        </w:rPr>
        <w:t>Rf</w:t>
      </w:r>
      <w:proofErr w:type="spellEnd"/>
      <w:r w:rsidRPr="00E96ABA">
        <w:rPr>
          <w:rFonts w:ascii="Times New Roman" w:hAnsi="Times New Roman" w:cs="Times New Roman"/>
          <w:i/>
          <w:sz w:val="24"/>
          <w:szCs w:val="24"/>
        </w:rPr>
        <w:t xml:space="preserve"> + </w:t>
      </w:r>
      <w:proofErr w:type="spellStart"/>
      <w:r w:rsidRPr="00E96ABA">
        <w:rPr>
          <w:rFonts w:ascii="Times New Roman" w:hAnsi="Times New Roman" w:cs="Times New Roman"/>
          <w:i/>
          <w:sz w:val="24"/>
          <w:szCs w:val="24"/>
        </w:rPr>
        <w:t>β</w:t>
      </w:r>
      <w:r w:rsidRPr="00E96ABA">
        <w:rPr>
          <w:rFonts w:ascii="Times New Roman" w:hAnsi="Times New Roman" w:cs="Times New Roman"/>
          <w:i/>
          <w:sz w:val="24"/>
          <w:szCs w:val="24"/>
          <w:vertAlign w:val="subscript"/>
        </w:rPr>
        <w:t>i</w:t>
      </w:r>
      <w:proofErr w:type="spellEnd"/>
      <w:r w:rsidRPr="00E96ABA">
        <w:rPr>
          <w:rFonts w:ascii="Times New Roman" w:hAnsi="Times New Roman" w:cs="Times New Roman"/>
          <w:i/>
          <w:sz w:val="24"/>
          <w:szCs w:val="24"/>
        </w:rPr>
        <w:t xml:space="preserve"> [</w:t>
      </w:r>
      <w:proofErr w:type="spellStart"/>
      <w:r w:rsidRPr="00E96ABA">
        <w:rPr>
          <w:rFonts w:ascii="Times New Roman" w:hAnsi="Times New Roman" w:cs="Times New Roman"/>
          <w:i/>
          <w:sz w:val="24"/>
          <w:szCs w:val="24"/>
        </w:rPr>
        <w:t>ER</w:t>
      </w:r>
      <w:r w:rsidRPr="00E96ABA">
        <w:rPr>
          <w:rFonts w:ascii="Times New Roman" w:hAnsi="Times New Roman" w:cs="Times New Roman"/>
          <w:i/>
          <w:sz w:val="24"/>
          <w:szCs w:val="24"/>
          <w:vertAlign w:val="subscript"/>
        </w:rPr>
        <w:t>m</w:t>
      </w:r>
      <w:proofErr w:type="spellEnd"/>
      <w:r w:rsidRPr="00E96ABA">
        <w:rPr>
          <w:rFonts w:ascii="Times New Roman" w:hAnsi="Times New Roman" w:cs="Times New Roman"/>
          <w:i/>
          <w:sz w:val="24"/>
          <w:szCs w:val="24"/>
        </w:rPr>
        <w:t xml:space="preserve"> – </w:t>
      </w:r>
      <w:proofErr w:type="spellStart"/>
      <w:r w:rsidRPr="00E96ABA">
        <w:rPr>
          <w:rFonts w:ascii="Times New Roman" w:hAnsi="Times New Roman" w:cs="Times New Roman"/>
          <w:i/>
          <w:sz w:val="24"/>
          <w:szCs w:val="24"/>
        </w:rPr>
        <w:t>Rf</w:t>
      </w:r>
      <w:proofErr w:type="spellEnd"/>
      <w:r w:rsidRPr="00E96ABA">
        <w:rPr>
          <w:rFonts w:ascii="Times New Roman" w:hAnsi="Times New Roman" w:cs="Times New Roman"/>
          <w:i/>
          <w:sz w:val="24"/>
          <w:szCs w:val="24"/>
        </w:rPr>
        <w:t>]</w:t>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r>
      <w:r w:rsidRPr="00E96ABA">
        <w:rPr>
          <w:rFonts w:ascii="Times New Roman" w:hAnsi="Times New Roman" w:cs="Times New Roman"/>
          <w:i/>
          <w:sz w:val="24"/>
          <w:szCs w:val="24"/>
        </w:rPr>
        <w:tab/>
        <w:t>(1)</w:t>
      </w:r>
    </w:p>
    <w:p w:rsidR="005A5484" w:rsidRPr="00E96ABA" w:rsidRDefault="005A5484" w:rsidP="009C1F0A">
      <w:pPr>
        <w:spacing w:line="480" w:lineRule="auto"/>
        <w:rPr>
          <w:rFonts w:ascii="Times New Roman" w:hAnsi="Times New Roman" w:cs="Times New Roman"/>
          <w:sz w:val="24"/>
          <w:szCs w:val="24"/>
        </w:rPr>
      </w:pPr>
    </w:p>
    <w:p w:rsidR="005A5484" w:rsidRPr="00E96ABA" w:rsidRDefault="005A5484" w:rsidP="009C1F0A">
      <w:pPr>
        <w:spacing w:line="480" w:lineRule="auto"/>
        <w:rPr>
          <w:rFonts w:ascii="Times New Roman" w:hAnsi="Times New Roman" w:cs="Times New Roman"/>
          <w:sz w:val="24"/>
          <w:szCs w:val="24"/>
        </w:rPr>
      </w:pPr>
      <w:r w:rsidRPr="00E96ABA">
        <w:rPr>
          <w:rFonts w:ascii="Times New Roman" w:hAnsi="Times New Roman" w:cs="Times New Roman"/>
          <w:sz w:val="24"/>
          <w:szCs w:val="24"/>
        </w:rPr>
        <w:t>Where:</w:t>
      </w:r>
    </w:p>
    <w:p w:rsidR="005A5484" w:rsidRPr="00E96ABA" w:rsidRDefault="005A5484" w:rsidP="009C1F0A">
      <w:pPr>
        <w:spacing w:line="480" w:lineRule="auto"/>
        <w:rPr>
          <w:rFonts w:ascii="Times New Roman" w:hAnsi="Times New Roman" w:cs="Times New Roman"/>
          <w:sz w:val="24"/>
          <w:szCs w:val="24"/>
        </w:rPr>
      </w:pPr>
      <w:proofErr w:type="spellStart"/>
      <w:proofErr w:type="gramStart"/>
      <w:r w:rsidRPr="00E96ABA">
        <w:rPr>
          <w:rFonts w:ascii="Times New Roman" w:hAnsi="Times New Roman" w:cs="Times New Roman"/>
          <w:i/>
          <w:sz w:val="24"/>
          <w:szCs w:val="24"/>
        </w:rPr>
        <w:t>R</w:t>
      </w:r>
      <w:r w:rsidRPr="00E96ABA">
        <w:rPr>
          <w:rFonts w:ascii="Times New Roman" w:hAnsi="Times New Roman" w:cs="Times New Roman"/>
          <w:i/>
          <w:sz w:val="24"/>
          <w:szCs w:val="24"/>
          <w:vertAlign w:val="subscript"/>
        </w:rPr>
        <w:t>i</w:t>
      </w:r>
      <w:proofErr w:type="spellEnd"/>
      <w:proofErr w:type="gramEnd"/>
      <w:r w:rsidRPr="00E96ABA">
        <w:rPr>
          <w:rFonts w:ascii="Times New Roman" w:hAnsi="Times New Roman" w:cs="Times New Roman"/>
          <w:sz w:val="24"/>
          <w:szCs w:val="24"/>
        </w:rPr>
        <w:t xml:space="preserve"> </w:t>
      </w:r>
      <w:r w:rsidRPr="00E96ABA">
        <w:rPr>
          <w:rFonts w:ascii="Times New Roman" w:hAnsi="Times New Roman" w:cs="Times New Roman"/>
          <w:sz w:val="24"/>
          <w:szCs w:val="24"/>
        </w:rPr>
        <w:tab/>
      </w:r>
      <w:r w:rsidRPr="00E96ABA">
        <w:rPr>
          <w:rFonts w:ascii="Times New Roman" w:hAnsi="Times New Roman" w:cs="Times New Roman"/>
          <w:sz w:val="24"/>
          <w:szCs w:val="24"/>
        </w:rPr>
        <w:tab/>
        <w:t xml:space="preserve">=  </w:t>
      </w:r>
      <w:r w:rsidRPr="00E96ABA">
        <w:rPr>
          <w:rFonts w:ascii="Times New Roman" w:hAnsi="Times New Roman" w:cs="Times New Roman"/>
          <w:sz w:val="24"/>
          <w:szCs w:val="24"/>
        </w:rPr>
        <w:tab/>
        <w:t xml:space="preserve">Required rate of return for an individual firm  </w:t>
      </w:r>
    </w:p>
    <w:p w:rsidR="005A5484" w:rsidRPr="00E96ABA" w:rsidRDefault="005A5484" w:rsidP="009C1F0A">
      <w:pPr>
        <w:spacing w:line="480" w:lineRule="auto"/>
        <w:rPr>
          <w:rFonts w:ascii="Times New Roman" w:hAnsi="Times New Roman" w:cs="Times New Roman"/>
          <w:sz w:val="24"/>
          <w:szCs w:val="24"/>
        </w:rPr>
      </w:pPr>
      <w:proofErr w:type="spellStart"/>
      <w:proofErr w:type="gramStart"/>
      <w:r w:rsidRPr="00E96ABA">
        <w:rPr>
          <w:rFonts w:ascii="Times New Roman" w:hAnsi="Times New Roman" w:cs="Times New Roman"/>
          <w:i/>
          <w:sz w:val="24"/>
          <w:szCs w:val="24"/>
        </w:rPr>
        <w:t>Rf</w:t>
      </w:r>
      <w:proofErr w:type="spellEnd"/>
      <w:proofErr w:type="gramEnd"/>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ab/>
      </w:r>
      <w:r w:rsidRPr="00E96ABA">
        <w:rPr>
          <w:rFonts w:ascii="Times New Roman" w:hAnsi="Times New Roman" w:cs="Times New Roman"/>
          <w:sz w:val="24"/>
          <w:szCs w:val="24"/>
        </w:rPr>
        <w:tab/>
        <w:t xml:space="preserve">=  </w:t>
      </w:r>
      <w:r w:rsidRPr="00E96ABA">
        <w:rPr>
          <w:rFonts w:ascii="Times New Roman" w:hAnsi="Times New Roman" w:cs="Times New Roman"/>
          <w:sz w:val="24"/>
          <w:szCs w:val="24"/>
        </w:rPr>
        <w:tab/>
        <w:t>Risk free rate</w:t>
      </w:r>
    </w:p>
    <w:p w:rsidR="005A5484" w:rsidRPr="00E96ABA" w:rsidRDefault="005A5484" w:rsidP="009C1F0A">
      <w:pPr>
        <w:spacing w:line="480" w:lineRule="auto"/>
        <w:rPr>
          <w:rFonts w:ascii="Times New Roman" w:hAnsi="Times New Roman" w:cs="Times New Roman"/>
          <w:sz w:val="24"/>
          <w:szCs w:val="24"/>
        </w:rPr>
      </w:pPr>
      <w:proofErr w:type="spellStart"/>
      <w:r w:rsidRPr="00E96ABA">
        <w:rPr>
          <w:rFonts w:ascii="Times New Roman" w:hAnsi="Times New Roman" w:cs="Times New Roman"/>
          <w:i/>
          <w:sz w:val="24"/>
          <w:szCs w:val="24"/>
        </w:rPr>
        <w:t>ER</w:t>
      </w:r>
      <w:r w:rsidRPr="00E96ABA">
        <w:rPr>
          <w:rFonts w:ascii="Times New Roman" w:hAnsi="Times New Roman" w:cs="Times New Roman"/>
          <w:i/>
          <w:sz w:val="24"/>
          <w:szCs w:val="24"/>
          <w:vertAlign w:val="subscript"/>
        </w:rPr>
        <w:t>m</w:t>
      </w:r>
      <w:proofErr w:type="spellEnd"/>
      <w:r w:rsidRPr="00E96ABA">
        <w:rPr>
          <w:rFonts w:ascii="Times New Roman" w:hAnsi="Times New Roman" w:cs="Times New Roman"/>
          <w:i/>
          <w:sz w:val="24"/>
          <w:szCs w:val="24"/>
        </w:rPr>
        <w:t xml:space="preserve"> – </w:t>
      </w:r>
      <w:proofErr w:type="spellStart"/>
      <w:r w:rsidRPr="00E96ABA">
        <w:rPr>
          <w:rFonts w:ascii="Times New Roman" w:hAnsi="Times New Roman" w:cs="Times New Roman"/>
          <w:i/>
          <w:sz w:val="24"/>
          <w:szCs w:val="24"/>
        </w:rPr>
        <w:t>Rf</w:t>
      </w:r>
      <w:proofErr w:type="spellEnd"/>
      <w:r w:rsidRPr="00E96ABA">
        <w:rPr>
          <w:rFonts w:ascii="Times New Roman" w:hAnsi="Times New Roman" w:cs="Times New Roman"/>
          <w:i/>
          <w:sz w:val="24"/>
          <w:szCs w:val="24"/>
        </w:rPr>
        <w:tab/>
      </w:r>
      <w:r w:rsidRPr="00E96ABA">
        <w:rPr>
          <w:rFonts w:ascii="Times New Roman" w:hAnsi="Times New Roman" w:cs="Times New Roman"/>
          <w:sz w:val="24"/>
          <w:szCs w:val="24"/>
        </w:rPr>
        <w:t xml:space="preserve">= </w:t>
      </w:r>
      <w:r w:rsidRPr="00E96ABA">
        <w:rPr>
          <w:rFonts w:ascii="Times New Roman" w:hAnsi="Times New Roman" w:cs="Times New Roman"/>
          <w:sz w:val="24"/>
          <w:szCs w:val="24"/>
        </w:rPr>
        <w:tab/>
        <w:t xml:space="preserve">Difference between the expected return on the market and the </w:t>
      </w:r>
      <w:r w:rsidRPr="00E96ABA">
        <w:rPr>
          <w:rFonts w:ascii="Times New Roman" w:hAnsi="Times New Roman" w:cs="Times New Roman"/>
          <w:sz w:val="24"/>
          <w:szCs w:val="24"/>
        </w:rPr>
        <w:tab/>
      </w:r>
      <w:r w:rsidRPr="00E96ABA">
        <w:rPr>
          <w:rFonts w:ascii="Times New Roman" w:hAnsi="Times New Roman" w:cs="Times New Roman"/>
          <w:sz w:val="24"/>
          <w:szCs w:val="24"/>
        </w:rPr>
        <w:tab/>
      </w:r>
      <w:r w:rsidRPr="00E96ABA">
        <w:rPr>
          <w:rFonts w:ascii="Times New Roman" w:hAnsi="Times New Roman" w:cs="Times New Roman"/>
          <w:sz w:val="24"/>
          <w:szCs w:val="24"/>
        </w:rPr>
        <w:tab/>
      </w:r>
      <w:r w:rsidRPr="00E96ABA">
        <w:rPr>
          <w:rFonts w:ascii="Times New Roman" w:hAnsi="Times New Roman" w:cs="Times New Roman"/>
          <w:sz w:val="24"/>
          <w:szCs w:val="24"/>
        </w:rPr>
        <w:tab/>
        <w:t>risk free rate</w:t>
      </w:r>
      <w:r>
        <w:rPr>
          <w:rFonts w:ascii="Times New Roman" w:hAnsi="Times New Roman" w:cs="Times New Roman"/>
          <w:sz w:val="24"/>
          <w:szCs w:val="24"/>
        </w:rPr>
        <w:t xml:space="preserve"> (the equity premium)</w:t>
      </w:r>
    </w:p>
    <w:p w:rsidR="005A5484" w:rsidRPr="00E96ABA" w:rsidRDefault="005A5484" w:rsidP="009C1F0A">
      <w:pPr>
        <w:spacing w:line="480" w:lineRule="auto"/>
        <w:rPr>
          <w:rFonts w:ascii="Times New Roman" w:hAnsi="Times New Roman" w:cs="Times New Roman"/>
          <w:sz w:val="24"/>
          <w:szCs w:val="24"/>
        </w:rPr>
      </w:pPr>
      <w:proofErr w:type="spellStart"/>
      <w:proofErr w:type="gramStart"/>
      <w:r w:rsidRPr="00E96ABA">
        <w:rPr>
          <w:rFonts w:ascii="Times New Roman" w:hAnsi="Times New Roman" w:cs="Times New Roman"/>
          <w:i/>
          <w:sz w:val="24"/>
          <w:szCs w:val="24"/>
        </w:rPr>
        <w:t>β</w:t>
      </w:r>
      <w:r w:rsidRPr="00E96ABA">
        <w:rPr>
          <w:rFonts w:ascii="Times New Roman" w:hAnsi="Times New Roman" w:cs="Times New Roman"/>
          <w:i/>
          <w:sz w:val="24"/>
          <w:szCs w:val="24"/>
          <w:vertAlign w:val="subscript"/>
        </w:rPr>
        <w:t>i</w:t>
      </w:r>
      <w:proofErr w:type="spellEnd"/>
      <w:proofErr w:type="gramEnd"/>
      <w:r w:rsidRPr="00E96ABA">
        <w:rPr>
          <w:rFonts w:ascii="Times New Roman" w:hAnsi="Times New Roman" w:cs="Times New Roman"/>
          <w:sz w:val="24"/>
          <w:szCs w:val="24"/>
        </w:rPr>
        <w:tab/>
      </w:r>
      <w:r w:rsidRPr="00E96ABA">
        <w:rPr>
          <w:rFonts w:ascii="Times New Roman" w:hAnsi="Times New Roman" w:cs="Times New Roman"/>
          <w:sz w:val="24"/>
          <w:szCs w:val="24"/>
        </w:rPr>
        <w:tab/>
        <w:t xml:space="preserve">= </w:t>
      </w:r>
      <w:r w:rsidRPr="00E96ABA">
        <w:rPr>
          <w:rFonts w:ascii="Times New Roman" w:hAnsi="Times New Roman" w:cs="Times New Roman"/>
          <w:sz w:val="24"/>
          <w:szCs w:val="24"/>
        </w:rPr>
        <w:tab/>
        <w:t xml:space="preserve">The beta of security </w:t>
      </w:r>
      <w:proofErr w:type="spellStart"/>
      <w:r w:rsidRPr="00E96ABA">
        <w:rPr>
          <w:rFonts w:ascii="Times New Roman" w:hAnsi="Times New Roman" w:cs="Times New Roman"/>
          <w:i/>
          <w:sz w:val="24"/>
          <w:szCs w:val="24"/>
        </w:rPr>
        <w:t>i</w:t>
      </w:r>
      <w:proofErr w:type="spellEnd"/>
    </w:p>
    <w:p w:rsidR="005A5484" w:rsidRPr="00E96ABA" w:rsidRDefault="005A5484" w:rsidP="009C1F0A">
      <w:pPr>
        <w:spacing w:line="480" w:lineRule="auto"/>
        <w:rPr>
          <w:rFonts w:ascii="Times New Roman" w:hAnsi="Times New Roman" w:cs="Times New Roman"/>
          <w:sz w:val="24"/>
          <w:szCs w:val="24"/>
        </w:rPr>
      </w:pPr>
    </w:p>
    <w:p w:rsidR="005A5484" w:rsidRPr="00E96ABA" w:rsidRDefault="005A5484" w:rsidP="009C1F0A">
      <w:pPr>
        <w:spacing w:line="480" w:lineRule="auto"/>
        <w:rPr>
          <w:rFonts w:ascii="Times New Roman" w:hAnsi="Times New Roman" w:cs="Times New Roman"/>
          <w:sz w:val="24"/>
          <w:szCs w:val="24"/>
        </w:rPr>
      </w:pPr>
      <w:r w:rsidRPr="00E96ABA">
        <w:rPr>
          <w:rFonts w:ascii="Times New Roman" w:hAnsi="Times New Roman" w:cs="Times New Roman"/>
          <w:sz w:val="24"/>
          <w:szCs w:val="24"/>
        </w:rPr>
        <w:t>Input data for each of the right hand side parameters is obtained from current published economic interest rate data (</w:t>
      </w:r>
      <w:proofErr w:type="spellStart"/>
      <w:r w:rsidRPr="00E96ABA">
        <w:rPr>
          <w:rFonts w:ascii="Times New Roman" w:hAnsi="Times New Roman" w:cs="Times New Roman"/>
          <w:i/>
          <w:sz w:val="24"/>
          <w:szCs w:val="24"/>
        </w:rPr>
        <w:t>Rf</w:t>
      </w:r>
      <w:proofErr w:type="spellEnd"/>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long run historical averages</w:t>
      </w:r>
      <w:r>
        <w:rPr>
          <w:rFonts w:ascii="Times New Roman" w:hAnsi="Times New Roman" w:cs="Times New Roman"/>
          <w:sz w:val="24"/>
          <w:szCs w:val="24"/>
        </w:rPr>
        <w:t xml:space="preserve"> for the equity premium</w:t>
      </w:r>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w:t>
      </w:r>
      <w:proofErr w:type="spellStart"/>
      <w:r w:rsidRPr="00E96ABA">
        <w:rPr>
          <w:rFonts w:ascii="Times New Roman" w:hAnsi="Times New Roman" w:cs="Times New Roman"/>
          <w:i/>
          <w:sz w:val="24"/>
          <w:szCs w:val="24"/>
        </w:rPr>
        <w:t>ER</w:t>
      </w:r>
      <w:r w:rsidRPr="00E96ABA">
        <w:rPr>
          <w:rFonts w:ascii="Times New Roman" w:hAnsi="Times New Roman" w:cs="Times New Roman"/>
          <w:i/>
          <w:sz w:val="24"/>
          <w:szCs w:val="24"/>
          <w:vertAlign w:val="subscript"/>
        </w:rPr>
        <w:t>m</w:t>
      </w:r>
      <w:proofErr w:type="spellEnd"/>
      <w:r w:rsidRPr="00E96ABA">
        <w:rPr>
          <w:rFonts w:ascii="Times New Roman" w:hAnsi="Times New Roman" w:cs="Times New Roman"/>
          <w:i/>
          <w:sz w:val="24"/>
          <w:szCs w:val="24"/>
        </w:rPr>
        <w:t xml:space="preserve"> – </w:t>
      </w:r>
      <w:proofErr w:type="spellStart"/>
      <w:r w:rsidRPr="00E96ABA">
        <w:rPr>
          <w:rFonts w:ascii="Times New Roman" w:hAnsi="Times New Roman" w:cs="Times New Roman"/>
          <w:i/>
          <w:sz w:val="24"/>
          <w:szCs w:val="24"/>
        </w:rPr>
        <w:t>Rf</w:t>
      </w:r>
      <w:proofErr w:type="spellEnd"/>
      <w:r w:rsidRPr="00E96ABA">
        <w:rPr>
          <w:rFonts w:ascii="Times New Roman" w:hAnsi="Times New Roman" w:cs="Times New Roman"/>
          <w:sz w:val="24"/>
          <w:szCs w:val="24"/>
        </w:rPr>
        <w:t>)</w:t>
      </w:r>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 xml:space="preserve">and from a 60 month regression of </w:t>
      </w:r>
      <w:proofErr w:type="spellStart"/>
      <w:r w:rsidRPr="00E96ABA">
        <w:rPr>
          <w:rFonts w:ascii="Times New Roman" w:hAnsi="Times New Roman" w:cs="Times New Roman"/>
          <w:sz w:val="24"/>
          <w:szCs w:val="24"/>
        </w:rPr>
        <w:t>of</w:t>
      </w:r>
      <w:proofErr w:type="spellEnd"/>
      <w:r w:rsidRPr="00E96ABA">
        <w:rPr>
          <w:rFonts w:ascii="Times New Roman" w:hAnsi="Times New Roman" w:cs="Times New Roman"/>
          <w:sz w:val="24"/>
          <w:szCs w:val="24"/>
        </w:rPr>
        <w:t xml:space="preserve"> the returns of security</w:t>
      </w:r>
      <w:r w:rsidRPr="00E96ABA">
        <w:rPr>
          <w:rFonts w:ascii="Times New Roman" w:hAnsi="Times New Roman" w:cs="Times New Roman"/>
          <w:i/>
          <w:sz w:val="24"/>
          <w:szCs w:val="24"/>
        </w:rPr>
        <w:t xml:space="preserve"> </w:t>
      </w:r>
      <w:proofErr w:type="spellStart"/>
      <w:r w:rsidRPr="00E96ABA">
        <w:rPr>
          <w:rFonts w:ascii="Times New Roman" w:hAnsi="Times New Roman" w:cs="Times New Roman"/>
          <w:i/>
          <w:sz w:val="24"/>
          <w:szCs w:val="24"/>
        </w:rPr>
        <w:t>i</w:t>
      </w:r>
      <w:proofErr w:type="spellEnd"/>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on the returns on the market index</w:t>
      </w:r>
      <w:r w:rsidRPr="00E96ABA">
        <w:rPr>
          <w:rFonts w:ascii="Times New Roman" w:hAnsi="Times New Roman" w:cs="Times New Roman"/>
          <w:i/>
          <w:sz w:val="24"/>
          <w:szCs w:val="24"/>
        </w:rPr>
        <w:t xml:space="preserve"> </w:t>
      </w:r>
      <w:r w:rsidRPr="00E96ABA">
        <w:rPr>
          <w:rFonts w:ascii="Times New Roman" w:hAnsi="Times New Roman" w:cs="Times New Roman"/>
          <w:sz w:val="24"/>
          <w:szCs w:val="24"/>
        </w:rPr>
        <w:t>(</w:t>
      </w:r>
      <w:proofErr w:type="spellStart"/>
      <w:r w:rsidRPr="00E96ABA">
        <w:rPr>
          <w:rFonts w:ascii="Times New Roman" w:hAnsi="Times New Roman" w:cs="Times New Roman"/>
          <w:i/>
          <w:sz w:val="24"/>
          <w:szCs w:val="24"/>
        </w:rPr>
        <w:t>β</w:t>
      </w:r>
      <w:r w:rsidRPr="00E96ABA">
        <w:rPr>
          <w:rFonts w:ascii="Times New Roman" w:hAnsi="Times New Roman" w:cs="Times New Roman"/>
          <w:i/>
          <w:sz w:val="24"/>
          <w:szCs w:val="24"/>
          <w:vertAlign w:val="subscript"/>
        </w:rPr>
        <w:t>i</w:t>
      </w:r>
      <w:proofErr w:type="spellEnd"/>
      <w:r w:rsidRPr="00E96ABA">
        <w:rPr>
          <w:rFonts w:ascii="Times New Roman" w:hAnsi="Times New Roman" w:cs="Times New Roman"/>
          <w:sz w:val="24"/>
          <w:szCs w:val="24"/>
        </w:rPr>
        <w:t xml:space="preserve">), usually obtained from </w:t>
      </w:r>
      <w:proofErr w:type="spellStart"/>
      <w:r w:rsidRPr="00E96ABA">
        <w:rPr>
          <w:rFonts w:ascii="Times New Roman" w:hAnsi="Times New Roman" w:cs="Times New Roman"/>
          <w:i/>
          <w:sz w:val="24"/>
          <w:szCs w:val="24"/>
        </w:rPr>
        <w:t>Datastream</w:t>
      </w:r>
      <w:proofErr w:type="spellEnd"/>
      <w:r w:rsidRPr="00E96ABA">
        <w:rPr>
          <w:rFonts w:ascii="Times New Roman" w:hAnsi="Times New Roman" w:cs="Times New Roman"/>
          <w:sz w:val="24"/>
          <w:szCs w:val="24"/>
        </w:rPr>
        <w:t xml:space="preserve"> or similar.</w:t>
      </w:r>
    </w:p>
    <w:p w:rsidR="005A5484" w:rsidRPr="00E96ABA" w:rsidRDefault="005A5484" w:rsidP="009C1F0A">
      <w:pPr>
        <w:spacing w:line="480" w:lineRule="auto"/>
        <w:ind w:firstLine="720"/>
        <w:rPr>
          <w:rFonts w:ascii="Times New Roman" w:hAnsi="Times New Roman" w:cs="Times New Roman"/>
          <w:sz w:val="24"/>
          <w:szCs w:val="24"/>
          <w:lang w:val="en-AU"/>
        </w:rPr>
      </w:pPr>
      <w:r w:rsidRPr="00E96ABA">
        <w:rPr>
          <w:rFonts w:ascii="Times New Roman" w:hAnsi="Times New Roman" w:cs="Times New Roman"/>
          <w:sz w:val="24"/>
          <w:szCs w:val="24"/>
          <w:lang w:val="en-AU"/>
        </w:rPr>
        <w:lastRenderedPageBreak/>
        <w:t xml:space="preserve">The </w:t>
      </w:r>
      <w:r>
        <w:rPr>
          <w:rFonts w:ascii="Times New Roman" w:hAnsi="Times New Roman" w:cs="Times New Roman"/>
          <w:sz w:val="24"/>
          <w:szCs w:val="24"/>
          <w:lang w:val="en-AU"/>
        </w:rPr>
        <w:t xml:space="preserve">alternative </w:t>
      </w:r>
      <w:r w:rsidRPr="00E96ABA">
        <w:rPr>
          <w:rFonts w:ascii="Times New Roman" w:hAnsi="Times New Roman" w:cs="Times New Roman"/>
          <w:sz w:val="24"/>
          <w:szCs w:val="24"/>
          <w:lang w:val="en-AU"/>
        </w:rPr>
        <w:t xml:space="preserve">ABRM formulation is set out </w:t>
      </w:r>
      <w:r>
        <w:rPr>
          <w:rFonts w:ascii="Times New Roman" w:hAnsi="Times New Roman" w:cs="Times New Roman"/>
          <w:sz w:val="24"/>
          <w:szCs w:val="24"/>
          <w:lang w:val="en-AU"/>
        </w:rPr>
        <w:t xml:space="preserve">using a similar format in </w:t>
      </w:r>
      <w:r w:rsidRPr="00E96ABA">
        <w:rPr>
          <w:rFonts w:ascii="Times New Roman" w:hAnsi="Times New Roman" w:cs="Times New Roman"/>
          <w:sz w:val="24"/>
          <w:szCs w:val="24"/>
          <w:lang w:val="en-AU"/>
        </w:rPr>
        <w:t>equation (2).</w:t>
      </w:r>
    </w:p>
    <w:p w:rsidR="005A5484" w:rsidRPr="00E96ABA" w:rsidRDefault="005A5484" w:rsidP="009C1F0A">
      <w:pPr>
        <w:spacing w:line="480" w:lineRule="auto"/>
        <w:rPr>
          <w:rFonts w:ascii="Times New Roman" w:hAnsi="Times New Roman" w:cs="Times New Roman"/>
          <w:i/>
          <w:sz w:val="24"/>
          <w:szCs w:val="24"/>
          <w:lang w:val="en-AU"/>
        </w:rPr>
      </w:pPr>
    </w:p>
    <w:p w:rsidR="005A5484" w:rsidRPr="00E96ABA" w:rsidRDefault="005A5484" w:rsidP="009C1F0A">
      <w:pPr>
        <w:spacing w:line="480" w:lineRule="auto"/>
        <w:rPr>
          <w:rFonts w:ascii="Times New Roman" w:hAnsi="Times New Roman" w:cs="Times New Roman"/>
          <w:i/>
          <w:sz w:val="24"/>
          <w:szCs w:val="24"/>
          <w:lang w:val="en-AU"/>
        </w:rPr>
      </w:pPr>
      <w:proofErr w:type="spellStart"/>
      <w:proofErr w:type="gramStart"/>
      <w:r w:rsidRPr="00E96ABA">
        <w:rPr>
          <w:rFonts w:ascii="Times New Roman" w:hAnsi="Times New Roman" w:cs="Times New Roman"/>
          <w:i/>
          <w:sz w:val="24"/>
          <w:szCs w:val="24"/>
          <w:lang w:val="en-AU"/>
        </w:rPr>
        <w:t>R</w:t>
      </w:r>
      <w:r w:rsidRPr="00E96ABA">
        <w:rPr>
          <w:rFonts w:ascii="Times New Roman" w:hAnsi="Times New Roman" w:cs="Times New Roman"/>
          <w:i/>
          <w:sz w:val="24"/>
          <w:szCs w:val="24"/>
          <w:vertAlign w:val="subscript"/>
          <w:lang w:val="en-AU"/>
        </w:rPr>
        <w:t>i</w:t>
      </w:r>
      <w:proofErr w:type="spellEnd"/>
      <w:proofErr w:type="gramEnd"/>
      <w:r w:rsidRPr="00E96ABA">
        <w:rPr>
          <w:rFonts w:ascii="Times New Roman" w:hAnsi="Times New Roman" w:cs="Times New Roman"/>
          <w:i/>
          <w:sz w:val="24"/>
          <w:szCs w:val="24"/>
          <w:lang w:val="en-AU"/>
        </w:rPr>
        <w:t xml:space="preserve"> = </w:t>
      </w:r>
      <w:proofErr w:type="spellStart"/>
      <w:r w:rsidRPr="00E96ABA">
        <w:rPr>
          <w:rFonts w:ascii="Times New Roman" w:hAnsi="Times New Roman" w:cs="Times New Roman"/>
          <w:i/>
          <w:sz w:val="24"/>
          <w:szCs w:val="24"/>
          <w:lang w:val="en-AU"/>
        </w:rPr>
        <w:t>Rf</w:t>
      </w:r>
      <w:proofErr w:type="spellEnd"/>
      <w:r w:rsidRPr="00E96ABA">
        <w:rPr>
          <w:rFonts w:ascii="Times New Roman" w:hAnsi="Times New Roman" w:cs="Times New Roman"/>
          <w:i/>
          <w:sz w:val="24"/>
          <w:szCs w:val="24"/>
          <w:lang w:val="en-AU"/>
        </w:rPr>
        <w:t xml:space="preserve"> + </w:t>
      </w:r>
      <w:proofErr w:type="spellStart"/>
      <w:r w:rsidRPr="00E96ABA">
        <w:rPr>
          <w:rFonts w:ascii="Times New Roman" w:hAnsi="Times New Roman" w:cs="Times New Roman"/>
          <w:i/>
          <w:sz w:val="24"/>
          <w:szCs w:val="24"/>
          <w:lang w:val="en-AU"/>
        </w:rPr>
        <w:t>γ</w:t>
      </w:r>
      <w:r w:rsidRPr="00E96ABA">
        <w:rPr>
          <w:rFonts w:ascii="Times New Roman" w:hAnsi="Times New Roman" w:cs="Times New Roman"/>
          <w:i/>
          <w:sz w:val="24"/>
          <w:szCs w:val="24"/>
          <w:vertAlign w:val="subscript"/>
          <w:lang w:val="en-AU"/>
        </w:rPr>
        <w:t>i</w:t>
      </w:r>
      <w:proofErr w:type="spellEnd"/>
      <w:r w:rsidRPr="00E96ABA">
        <w:rPr>
          <w:rFonts w:ascii="Times New Roman" w:hAnsi="Times New Roman" w:cs="Times New Roman"/>
          <w:i/>
          <w:sz w:val="24"/>
          <w:szCs w:val="24"/>
          <w:lang w:val="en-AU"/>
        </w:rPr>
        <w:t xml:space="preserve"> [</w:t>
      </w:r>
      <w:proofErr w:type="spellStart"/>
      <w:r w:rsidRPr="00E96ABA">
        <w:rPr>
          <w:rFonts w:ascii="Times New Roman" w:hAnsi="Times New Roman" w:cs="Times New Roman"/>
          <w:i/>
          <w:sz w:val="24"/>
          <w:szCs w:val="24"/>
          <w:lang w:val="en-AU"/>
        </w:rPr>
        <w:t>Eπ</w:t>
      </w:r>
      <w:r w:rsidRPr="00E96ABA">
        <w:rPr>
          <w:rFonts w:ascii="Times New Roman" w:hAnsi="Times New Roman" w:cs="Times New Roman"/>
          <w:i/>
          <w:sz w:val="24"/>
          <w:szCs w:val="24"/>
          <w:vertAlign w:val="subscript"/>
          <w:lang w:val="en-AU"/>
        </w:rPr>
        <w:t>m</w:t>
      </w:r>
      <w:proofErr w:type="spellEnd"/>
      <w:r w:rsidRPr="00E96ABA">
        <w:rPr>
          <w:rFonts w:ascii="Times New Roman" w:hAnsi="Times New Roman" w:cs="Times New Roman"/>
          <w:i/>
          <w:sz w:val="24"/>
          <w:szCs w:val="24"/>
          <w:lang w:val="en-AU"/>
        </w:rPr>
        <w:t xml:space="preserve"> – </w:t>
      </w:r>
      <w:proofErr w:type="spellStart"/>
      <w:r w:rsidRPr="00E96ABA">
        <w:rPr>
          <w:rFonts w:ascii="Times New Roman" w:hAnsi="Times New Roman" w:cs="Times New Roman"/>
          <w:i/>
          <w:sz w:val="24"/>
          <w:szCs w:val="24"/>
          <w:lang w:val="en-AU"/>
        </w:rPr>
        <w:t>Rf</w:t>
      </w:r>
      <w:proofErr w:type="spellEnd"/>
      <w:r w:rsidRPr="00E96ABA">
        <w:rPr>
          <w:rFonts w:ascii="Times New Roman" w:hAnsi="Times New Roman" w:cs="Times New Roman"/>
          <w:i/>
          <w:sz w:val="24"/>
          <w:szCs w:val="24"/>
          <w:lang w:val="en-AU"/>
        </w:rPr>
        <w:t>]</w:t>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r>
      <w:r>
        <w:rPr>
          <w:rFonts w:ascii="Times New Roman" w:hAnsi="Times New Roman" w:cs="Times New Roman"/>
          <w:i/>
          <w:sz w:val="24"/>
          <w:szCs w:val="24"/>
          <w:lang w:val="en-AU"/>
        </w:rPr>
        <w:tab/>
      </w:r>
      <w:r w:rsidRPr="00E96ABA">
        <w:rPr>
          <w:rFonts w:ascii="Times New Roman" w:hAnsi="Times New Roman" w:cs="Times New Roman"/>
          <w:i/>
          <w:sz w:val="24"/>
          <w:szCs w:val="24"/>
          <w:lang w:val="en-AU"/>
        </w:rPr>
        <w:tab/>
        <w:t>(2)</w:t>
      </w:r>
    </w:p>
    <w:p w:rsidR="005A5484" w:rsidRPr="00F75BE4" w:rsidRDefault="005A5484" w:rsidP="009C1F0A">
      <w:pPr>
        <w:spacing w:line="480" w:lineRule="auto"/>
        <w:rPr>
          <w:rFonts w:ascii="Times New Roman" w:hAnsi="Times New Roman" w:cs="Times New Roman"/>
          <w:sz w:val="24"/>
          <w:szCs w:val="24"/>
          <w:lang w:val="en-AU"/>
        </w:rPr>
      </w:pPr>
      <w:r w:rsidRPr="00F75BE4">
        <w:rPr>
          <w:rFonts w:ascii="Times New Roman" w:hAnsi="Times New Roman" w:cs="Times New Roman"/>
          <w:sz w:val="24"/>
          <w:szCs w:val="24"/>
          <w:lang w:val="en-AU"/>
        </w:rPr>
        <w:t>Where:</w:t>
      </w:r>
    </w:p>
    <w:p w:rsidR="005A5484" w:rsidRPr="00F75BE4" w:rsidRDefault="005A5484" w:rsidP="009C1F0A">
      <w:pPr>
        <w:spacing w:line="480" w:lineRule="auto"/>
        <w:rPr>
          <w:rFonts w:ascii="Times New Roman" w:hAnsi="Times New Roman" w:cs="Times New Roman"/>
          <w:sz w:val="24"/>
          <w:szCs w:val="24"/>
          <w:lang w:val="en-AU"/>
        </w:rPr>
      </w:pPr>
      <w:proofErr w:type="spellStart"/>
      <w:proofErr w:type="gramStart"/>
      <w:r w:rsidRPr="00F75BE4">
        <w:rPr>
          <w:rFonts w:ascii="Times New Roman" w:hAnsi="Times New Roman" w:cs="Times New Roman"/>
          <w:i/>
          <w:sz w:val="24"/>
          <w:szCs w:val="24"/>
          <w:lang w:val="en-AU"/>
        </w:rPr>
        <w:t>R</w:t>
      </w:r>
      <w:r w:rsidRPr="00F75BE4">
        <w:rPr>
          <w:rFonts w:ascii="Times New Roman" w:hAnsi="Times New Roman" w:cs="Times New Roman"/>
          <w:i/>
          <w:sz w:val="24"/>
          <w:szCs w:val="24"/>
          <w:vertAlign w:val="subscript"/>
          <w:lang w:val="en-AU"/>
        </w:rPr>
        <w:t>i</w:t>
      </w:r>
      <w:proofErr w:type="spellEnd"/>
      <w:proofErr w:type="gramEnd"/>
      <w:r w:rsidRPr="00F75BE4">
        <w:rPr>
          <w:rFonts w:ascii="Times New Roman" w:hAnsi="Times New Roman" w:cs="Times New Roman"/>
          <w:sz w:val="24"/>
          <w:szCs w:val="24"/>
          <w:lang w:val="en-AU"/>
        </w:rPr>
        <w:t xml:space="preserve"> </w:t>
      </w:r>
      <w:r w:rsidRPr="00F75BE4">
        <w:rPr>
          <w:rFonts w:ascii="Times New Roman" w:hAnsi="Times New Roman" w:cs="Times New Roman"/>
          <w:sz w:val="24"/>
          <w:szCs w:val="24"/>
          <w:lang w:val="en-AU"/>
        </w:rPr>
        <w:tab/>
      </w:r>
      <w:r w:rsidRPr="00F75BE4">
        <w:rPr>
          <w:rFonts w:ascii="Times New Roman" w:hAnsi="Times New Roman" w:cs="Times New Roman"/>
          <w:sz w:val="24"/>
          <w:szCs w:val="24"/>
          <w:lang w:val="en-AU"/>
        </w:rPr>
        <w:tab/>
        <w:t xml:space="preserve">=  </w:t>
      </w:r>
      <w:r w:rsidRPr="00F75BE4">
        <w:rPr>
          <w:rFonts w:ascii="Times New Roman" w:hAnsi="Times New Roman" w:cs="Times New Roman"/>
          <w:sz w:val="24"/>
          <w:szCs w:val="24"/>
          <w:lang w:val="en-AU"/>
        </w:rPr>
        <w:tab/>
        <w:t xml:space="preserve">Required rate of return for an individual firm  </w:t>
      </w:r>
    </w:p>
    <w:p w:rsidR="005A5484" w:rsidRPr="00F75BE4" w:rsidRDefault="005A5484" w:rsidP="009C1F0A">
      <w:pPr>
        <w:spacing w:line="480" w:lineRule="auto"/>
        <w:rPr>
          <w:rFonts w:ascii="Times New Roman" w:hAnsi="Times New Roman" w:cs="Times New Roman"/>
          <w:sz w:val="24"/>
          <w:szCs w:val="24"/>
          <w:lang w:val="en-AU"/>
        </w:rPr>
      </w:pPr>
      <w:proofErr w:type="spellStart"/>
      <w:proofErr w:type="gramStart"/>
      <w:r w:rsidRPr="00F75BE4">
        <w:rPr>
          <w:rFonts w:ascii="Times New Roman" w:hAnsi="Times New Roman" w:cs="Times New Roman"/>
          <w:i/>
          <w:sz w:val="24"/>
          <w:szCs w:val="24"/>
          <w:lang w:val="en-AU"/>
        </w:rPr>
        <w:t>Rf</w:t>
      </w:r>
      <w:proofErr w:type="spellEnd"/>
      <w:proofErr w:type="gramEnd"/>
      <w:r w:rsidRPr="00F75BE4">
        <w:rPr>
          <w:rFonts w:ascii="Times New Roman" w:hAnsi="Times New Roman" w:cs="Times New Roman"/>
          <w:sz w:val="24"/>
          <w:szCs w:val="24"/>
          <w:lang w:val="en-AU"/>
        </w:rPr>
        <w:t xml:space="preserve"> </w:t>
      </w:r>
      <w:r w:rsidRPr="00F75BE4">
        <w:rPr>
          <w:rFonts w:ascii="Times New Roman" w:hAnsi="Times New Roman" w:cs="Times New Roman"/>
          <w:sz w:val="24"/>
          <w:szCs w:val="24"/>
          <w:lang w:val="en-AU"/>
        </w:rPr>
        <w:tab/>
      </w:r>
      <w:r w:rsidRPr="00F75BE4">
        <w:rPr>
          <w:rFonts w:ascii="Times New Roman" w:hAnsi="Times New Roman" w:cs="Times New Roman"/>
          <w:sz w:val="24"/>
          <w:szCs w:val="24"/>
          <w:lang w:val="en-AU"/>
        </w:rPr>
        <w:tab/>
        <w:t xml:space="preserve">=  </w:t>
      </w:r>
      <w:r w:rsidRPr="00F75BE4">
        <w:rPr>
          <w:rFonts w:ascii="Times New Roman" w:hAnsi="Times New Roman" w:cs="Times New Roman"/>
          <w:sz w:val="24"/>
          <w:szCs w:val="24"/>
          <w:lang w:val="en-AU"/>
        </w:rPr>
        <w:tab/>
        <w:t>Risk free rate</w:t>
      </w:r>
    </w:p>
    <w:p w:rsidR="005A5484" w:rsidRPr="00F75BE4" w:rsidRDefault="005A5484" w:rsidP="009C1F0A">
      <w:pPr>
        <w:spacing w:line="480" w:lineRule="auto"/>
        <w:rPr>
          <w:rFonts w:ascii="Times New Roman" w:hAnsi="Times New Roman" w:cs="Times New Roman"/>
          <w:sz w:val="24"/>
          <w:szCs w:val="24"/>
          <w:lang w:val="en-AU"/>
        </w:rPr>
      </w:pPr>
      <w:proofErr w:type="spellStart"/>
      <w:r w:rsidRPr="00F75BE4">
        <w:rPr>
          <w:rFonts w:ascii="Times New Roman" w:hAnsi="Times New Roman" w:cs="Times New Roman"/>
          <w:i/>
          <w:sz w:val="24"/>
          <w:szCs w:val="24"/>
          <w:lang w:val="en-AU"/>
        </w:rPr>
        <w:t>Eπ</w:t>
      </w:r>
      <w:r w:rsidRPr="00F75BE4">
        <w:rPr>
          <w:rFonts w:ascii="Times New Roman" w:hAnsi="Times New Roman" w:cs="Times New Roman"/>
          <w:i/>
          <w:sz w:val="24"/>
          <w:szCs w:val="24"/>
          <w:vertAlign w:val="subscript"/>
          <w:lang w:val="en-AU"/>
        </w:rPr>
        <w:t>m</w:t>
      </w:r>
      <w:proofErr w:type="spellEnd"/>
      <w:r w:rsidRPr="00F75BE4">
        <w:rPr>
          <w:rFonts w:ascii="Times New Roman" w:hAnsi="Times New Roman" w:cs="Times New Roman"/>
          <w:i/>
          <w:sz w:val="24"/>
          <w:szCs w:val="24"/>
          <w:vertAlign w:val="subscript"/>
          <w:lang w:val="en-AU"/>
        </w:rPr>
        <w:tab/>
      </w:r>
      <w:r w:rsidRPr="00F75BE4">
        <w:rPr>
          <w:rFonts w:ascii="Times New Roman" w:hAnsi="Times New Roman" w:cs="Times New Roman"/>
          <w:sz w:val="24"/>
          <w:szCs w:val="24"/>
          <w:lang w:val="en-AU"/>
        </w:rPr>
        <w:tab/>
        <w:t xml:space="preserve">=  </w:t>
      </w:r>
      <w:r w:rsidRPr="00F75BE4">
        <w:rPr>
          <w:rFonts w:ascii="Times New Roman" w:hAnsi="Times New Roman" w:cs="Times New Roman"/>
          <w:sz w:val="24"/>
          <w:szCs w:val="24"/>
          <w:lang w:val="en-AU"/>
        </w:rPr>
        <w:tab/>
        <w:t xml:space="preserve">Expected average rate of profit for all firms, </w:t>
      </w:r>
      <w:r w:rsidRPr="00F75BE4">
        <w:rPr>
          <w:rFonts w:ascii="Times New Roman" w:hAnsi="Times New Roman" w:cs="Times New Roman"/>
          <w:i/>
          <w:sz w:val="24"/>
          <w:szCs w:val="24"/>
          <w:lang w:val="en-AU"/>
        </w:rPr>
        <w:t>m</w:t>
      </w:r>
      <w:r w:rsidRPr="00F75BE4">
        <w:rPr>
          <w:rFonts w:ascii="Times New Roman" w:hAnsi="Times New Roman" w:cs="Times New Roman"/>
          <w:sz w:val="24"/>
          <w:szCs w:val="24"/>
          <w:lang w:val="en-AU"/>
        </w:rPr>
        <w:t>.</w:t>
      </w:r>
    </w:p>
    <w:p w:rsidR="005A5484" w:rsidRPr="00F75BE4" w:rsidRDefault="005A5484" w:rsidP="009C1F0A">
      <w:pPr>
        <w:spacing w:line="480" w:lineRule="auto"/>
        <w:rPr>
          <w:rFonts w:ascii="Times New Roman" w:hAnsi="Times New Roman" w:cs="Times New Roman"/>
          <w:sz w:val="24"/>
          <w:szCs w:val="24"/>
          <w:lang w:val="en-AU"/>
        </w:rPr>
      </w:pPr>
      <w:proofErr w:type="spellStart"/>
      <w:proofErr w:type="gramStart"/>
      <w:r w:rsidRPr="00F75BE4">
        <w:rPr>
          <w:rFonts w:ascii="Times New Roman" w:hAnsi="Times New Roman" w:cs="Times New Roman"/>
          <w:i/>
          <w:sz w:val="24"/>
          <w:szCs w:val="24"/>
          <w:lang w:val="en-AU"/>
        </w:rPr>
        <w:t>γ</w:t>
      </w:r>
      <w:r w:rsidRPr="00F75BE4">
        <w:rPr>
          <w:rFonts w:ascii="Times New Roman" w:hAnsi="Times New Roman" w:cs="Times New Roman"/>
          <w:i/>
          <w:sz w:val="24"/>
          <w:szCs w:val="24"/>
          <w:vertAlign w:val="subscript"/>
          <w:lang w:val="en-AU"/>
        </w:rPr>
        <w:t>i</w:t>
      </w:r>
      <w:proofErr w:type="spellEnd"/>
      <w:proofErr w:type="gramEnd"/>
      <w:r w:rsidRPr="00F75BE4">
        <w:rPr>
          <w:rFonts w:ascii="Times New Roman" w:hAnsi="Times New Roman" w:cs="Times New Roman"/>
          <w:sz w:val="24"/>
          <w:szCs w:val="24"/>
          <w:lang w:val="en-AU"/>
        </w:rPr>
        <w:tab/>
      </w:r>
      <w:r w:rsidRPr="00F75BE4">
        <w:rPr>
          <w:rFonts w:ascii="Times New Roman" w:hAnsi="Times New Roman" w:cs="Times New Roman"/>
          <w:sz w:val="24"/>
          <w:szCs w:val="24"/>
          <w:lang w:val="en-AU"/>
        </w:rPr>
        <w:tab/>
        <w:t xml:space="preserve">=  </w:t>
      </w:r>
      <w:r w:rsidRPr="00F75BE4">
        <w:rPr>
          <w:rFonts w:ascii="Times New Roman" w:hAnsi="Times New Roman" w:cs="Times New Roman"/>
          <w:sz w:val="24"/>
          <w:szCs w:val="24"/>
          <w:lang w:val="en-AU"/>
        </w:rPr>
        <w:tab/>
        <w:t xml:space="preserve">The rate of profit variability for firm </w:t>
      </w:r>
      <w:proofErr w:type="spellStart"/>
      <w:r w:rsidRPr="00F75BE4">
        <w:rPr>
          <w:rFonts w:ascii="Times New Roman" w:hAnsi="Times New Roman" w:cs="Times New Roman"/>
          <w:i/>
          <w:sz w:val="24"/>
          <w:szCs w:val="24"/>
          <w:lang w:val="en-AU"/>
        </w:rPr>
        <w:t>i</w:t>
      </w:r>
      <w:proofErr w:type="spellEnd"/>
      <w:r w:rsidRPr="00F75BE4">
        <w:rPr>
          <w:rFonts w:ascii="Times New Roman" w:hAnsi="Times New Roman" w:cs="Times New Roman"/>
          <w:sz w:val="24"/>
          <w:szCs w:val="24"/>
          <w:lang w:val="en-AU"/>
        </w:rPr>
        <w:t xml:space="preserve">, relative to all firms, </w:t>
      </w:r>
      <w:r w:rsidRPr="00F75BE4">
        <w:rPr>
          <w:rFonts w:ascii="Times New Roman" w:hAnsi="Times New Roman" w:cs="Times New Roman"/>
          <w:i/>
          <w:sz w:val="24"/>
          <w:szCs w:val="24"/>
          <w:lang w:val="en-AU"/>
        </w:rPr>
        <w:t>m</w:t>
      </w:r>
      <w:r w:rsidRPr="00F75BE4">
        <w:rPr>
          <w:rFonts w:ascii="Times New Roman" w:hAnsi="Times New Roman" w:cs="Times New Roman"/>
          <w:sz w:val="24"/>
          <w:szCs w:val="24"/>
          <w:lang w:val="en-AU"/>
        </w:rPr>
        <w:t>.</w:t>
      </w:r>
    </w:p>
    <w:p w:rsidR="005A5484" w:rsidRDefault="005A5484" w:rsidP="009C1F0A">
      <w:pPr>
        <w:spacing w:line="480" w:lineRule="auto"/>
        <w:ind w:firstLine="720"/>
        <w:rPr>
          <w:sz w:val="24"/>
          <w:szCs w:val="24"/>
        </w:rPr>
      </w:pPr>
    </w:p>
    <w:p w:rsidR="005A5484" w:rsidRPr="00EC4457" w:rsidRDefault="005A5484" w:rsidP="009C1F0A">
      <w:pPr>
        <w:spacing w:line="480" w:lineRule="auto"/>
        <w:rPr>
          <w:sz w:val="24"/>
          <w:szCs w:val="24"/>
        </w:rPr>
      </w:pPr>
      <w:r>
        <w:rPr>
          <w:sz w:val="24"/>
          <w:szCs w:val="24"/>
        </w:rPr>
        <w:t xml:space="preserve">As in the CAPM, equation (2) contains </w:t>
      </w:r>
      <w:proofErr w:type="spellStart"/>
      <w:proofErr w:type="gramStart"/>
      <w:r w:rsidRPr="00EC4457">
        <w:rPr>
          <w:i/>
          <w:sz w:val="24"/>
          <w:szCs w:val="24"/>
        </w:rPr>
        <w:t>Rf</w:t>
      </w:r>
      <w:proofErr w:type="spellEnd"/>
      <w:proofErr w:type="gramEnd"/>
      <w:r w:rsidRPr="00EC4457">
        <w:rPr>
          <w:sz w:val="24"/>
          <w:szCs w:val="24"/>
        </w:rPr>
        <w:t xml:space="preserve">, which as in the CAPM corresponds to bank base rates. The expected average profit </w:t>
      </w:r>
      <w:proofErr w:type="spellStart"/>
      <w:r w:rsidRPr="00EC4457">
        <w:rPr>
          <w:i/>
          <w:sz w:val="24"/>
          <w:szCs w:val="24"/>
        </w:rPr>
        <w:t>Eπ</w:t>
      </w:r>
      <w:r w:rsidRPr="00EC4457">
        <w:rPr>
          <w:i/>
          <w:sz w:val="24"/>
          <w:szCs w:val="24"/>
          <w:vertAlign w:val="subscript"/>
        </w:rPr>
        <w:t>m</w:t>
      </w:r>
      <w:proofErr w:type="spellEnd"/>
      <w:r w:rsidRPr="00EC4457">
        <w:rPr>
          <w:sz w:val="24"/>
          <w:szCs w:val="24"/>
        </w:rPr>
        <w:t xml:space="preserve"> is the forecasted return for all firms reflecting factor market conditions and collective expectations of yields from activities of average risk. </w:t>
      </w:r>
      <w:r>
        <w:rPr>
          <w:sz w:val="24"/>
          <w:szCs w:val="24"/>
        </w:rPr>
        <w:t xml:space="preserve">The individual firm risk adjustment factor is denoted as </w:t>
      </w:r>
      <w:r w:rsidRPr="00EC4457">
        <w:rPr>
          <w:sz w:val="24"/>
          <w:szCs w:val="24"/>
        </w:rPr>
        <w:t xml:space="preserve">γ </w:t>
      </w:r>
      <w:r>
        <w:rPr>
          <w:sz w:val="24"/>
          <w:szCs w:val="24"/>
        </w:rPr>
        <w:t>(gamma) in (2), and reflects the relative variability of profit arising from the presence of fixed cost.</w:t>
      </w:r>
      <w:r>
        <w:rPr>
          <w:rStyle w:val="EndnoteReference"/>
          <w:sz w:val="24"/>
          <w:szCs w:val="24"/>
        </w:rPr>
        <w:endnoteReference w:id="7"/>
      </w:r>
      <w:r w:rsidRPr="00EC4457">
        <w:rPr>
          <w:sz w:val="24"/>
          <w:szCs w:val="24"/>
        </w:rPr>
        <w:t xml:space="preserve"> </w:t>
      </w:r>
    </w:p>
    <w:p w:rsidR="005A5484" w:rsidRDefault="005A5484" w:rsidP="009C1F0A">
      <w:pPr>
        <w:spacing w:line="480" w:lineRule="auto"/>
        <w:ind w:firstLine="720"/>
        <w:rPr>
          <w:rFonts w:ascii="Times New Roman" w:hAnsi="Times New Roman" w:cs="Times New Roman"/>
          <w:iCs/>
          <w:sz w:val="24"/>
          <w:szCs w:val="24"/>
          <w:lang w:val="en-AU"/>
        </w:rPr>
      </w:pPr>
      <w:r w:rsidRPr="000A6367">
        <w:rPr>
          <w:sz w:val="24"/>
          <w:szCs w:val="24"/>
        </w:rPr>
        <w:t>As with the CAPM, the alternative ABRM method is concerned only with diversifiable, or systematic, financial risk. Such fluctuations typically arise from cycles of economic activity connected to product and market characteristics. It is not therefore concerned with more general classes of risk, such as environmental, political and social risk, except and insofar as they can be priced by a capital market. Also, as in the CAPM, it is not concerned with other aspects of firm specific financial risk that investors can avoid using portfolio diversification.</w:t>
      </w:r>
      <w:r w:rsidRPr="00F007AF">
        <w:rPr>
          <w:sz w:val="24"/>
          <w:szCs w:val="24"/>
        </w:rPr>
        <w:t xml:space="preserve"> </w:t>
      </w:r>
      <w:r>
        <w:rPr>
          <w:sz w:val="24"/>
          <w:szCs w:val="24"/>
        </w:rPr>
        <w:t>As illustrated in Toms (2013a), both utilise a risk free rate and a risk premium, albeit with differing data inputs and proxy assumptions. Modigliani and Miller (1958) have shown that the CAPM can be modified to reflect financial gearing. In like fashion, ABRM develops a CAPM modification based on operating gearing.</w:t>
      </w:r>
    </w:p>
    <w:p w:rsidR="005A5484" w:rsidRDefault="005A5484" w:rsidP="009C1F0A">
      <w:pPr>
        <w:spacing w:line="480" w:lineRule="auto"/>
        <w:ind w:firstLine="720"/>
        <w:rPr>
          <w:sz w:val="24"/>
          <w:szCs w:val="24"/>
        </w:rPr>
      </w:pPr>
      <w:r>
        <w:rPr>
          <w:sz w:val="24"/>
          <w:szCs w:val="24"/>
        </w:rPr>
        <w:lastRenderedPageBreak/>
        <w:t xml:space="preserve">Based on these approaches, factoring asset turnover (Toms, 2013a), </w:t>
      </w:r>
      <w:proofErr w:type="gramStart"/>
      <w:r w:rsidRPr="000A6367">
        <w:rPr>
          <w:sz w:val="24"/>
          <w:szCs w:val="24"/>
        </w:rPr>
        <w:t>the</w:t>
      </w:r>
      <w:proofErr w:type="gramEnd"/>
      <w:r w:rsidRPr="000A6367">
        <w:rPr>
          <w:sz w:val="24"/>
          <w:szCs w:val="24"/>
        </w:rPr>
        <w:t xml:space="preserve"> underlying cash flows of the firm, and therefore its systematic business risk, form the starting point of the </w:t>
      </w:r>
      <w:r>
        <w:rPr>
          <w:sz w:val="24"/>
          <w:szCs w:val="24"/>
        </w:rPr>
        <w:t xml:space="preserve">ABRM </w:t>
      </w:r>
      <w:r w:rsidRPr="000A6367">
        <w:rPr>
          <w:sz w:val="24"/>
          <w:szCs w:val="24"/>
        </w:rPr>
        <w:t xml:space="preserve">calculations. These involve and analysis of accounting data that is readily available from the management accounts, assuming suitable splits of total costs between variable and fixed costs can be made. </w:t>
      </w:r>
    </w:p>
    <w:p w:rsidR="005A5484" w:rsidRPr="000A6367" w:rsidRDefault="005A5484" w:rsidP="009C1F0A">
      <w:pPr>
        <w:spacing w:line="480" w:lineRule="auto"/>
        <w:ind w:firstLine="720"/>
        <w:rPr>
          <w:sz w:val="24"/>
          <w:szCs w:val="24"/>
        </w:rPr>
      </w:pPr>
      <w:r>
        <w:rPr>
          <w:sz w:val="24"/>
          <w:szCs w:val="24"/>
        </w:rPr>
        <w:t>The effects of formalising the ABRM approach with reference to underlying costs give rise to an underlying basic contrast between ABRM and CAPM. Figure</w:t>
      </w:r>
      <w:r w:rsidRPr="000A6367">
        <w:rPr>
          <w:sz w:val="24"/>
          <w:szCs w:val="24"/>
        </w:rPr>
        <w:t xml:space="preserve"> 4.1 shows the contrasts with the ABRM </w:t>
      </w:r>
      <w:r>
        <w:rPr>
          <w:sz w:val="24"/>
          <w:szCs w:val="24"/>
        </w:rPr>
        <w:t xml:space="preserve">accounting based </w:t>
      </w:r>
      <w:r w:rsidRPr="000A6367">
        <w:rPr>
          <w:sz w:val="24"/>
          <w:szCs w:val="24"/>
        </w:rPr>
        <w:t xml:space="preserve">‘bottom up’ methodology compared to the CAPM </w:t>
      </w:r>
      <w:r>
        <w:rPr>
          <w:sz w:val="24"/>
          <w:szCs w:val="24"/>
        </w:rPr>
        <w:t xml:space="preserve">stock market based </w:t>
      </w:r>
      <w:r w:rsidRPr="000A6367">
        <w:rPr>
          <w:sz w:val="24"/>
          <w:szCs w:val="24"/>
        </w:rPr>
        <w:t>‘top down’ approach. Although the two methods might simply appear the reverse of one another there is a very important difference. That is</w:t>
      </w:r>
      <w:r>
        <w:rPr>
          <w:sz w:val="24"/>
          <w:szCs w:val="24"/>
        </w:rPr>
        <w:t>,</w:t>
      </w:r>
      <w:r w:rsidRPr="000A6367">
        <w:rPr>
          <w:sz w:val="24"/>
          <w:szCs w:val="24"/>
        </w:rPr>
        <w:t xml:space="preserve"> the outcome of the ABRM approach is to compute a cost of equity without reference to stock market data. In the ABRM approach, operating gearing uses individual firm accounting data only and forms the basis for the estimation of the asset beta. </w:t>
      </w:r>
    </w:p>
    <w:p w:rsidR="005A5484" w:rsidRPr="000A6367" w:rsidRDefault="005A5484" w:rsidP="00F007AF">
      <w:pPr>
        <w:rPr>
          <w:b/>
          <w:sz w:val="24"/>
          <w:szCs w:val="24"/>
        </w:rPr>
      </w:pPr>
      <w:r w:rsidRPr="000A6367">
        <w:rPr>
          <w:sz w:val="24"/>
          <w:szCs w:val="24"/>
        </w:rPr>
        <w:t xml:space="preserve"> </w:t>
      </w:r>
      <w:r w:rsidRPr="000A6367">
        <w:rPr>
          <w:sz w:val="24"/>
          <w:szCs w:val="24"/>
        </w:rPr>
        <w:br w:type="page"/>
      </w:r>
      <w:r>
        <w:rPr>
          <w:b/>
          <w:sz w:val="24"/>
          <w:szCs w:val="24"/>
        </w:rPr>
        <w:lastRenderedPageBreak/>
        <w:t>Figure</w:t>
      </w:r>
      <w:r w:rsidRPr="000A6367">
        <w:rPr>
          <w:b/>
          <w:sz w:val="24"/>
          <w:szCs w:val="24"/>
        </w:rPr>
        <w:t xml:space="preserve"> 4.1: Contrasting </w:t>
      </w:r>
      <w:proofErr w:type="spellStart"/>
      <w:r>
        <w:rPr>
          <w:b/>
          <w:sz w:val="24"/>
          <w:szCs w:val="24"/>
        </w:rPr>
        <w:t>Captial</w:t>
      </w:r>
      <w:proofErr w:type="spellEnd"/>
      <w:r>
        <w:rPr>
          <w:b/>
          <w:sz w:val="24"/>
          <w:szCs w:val="24"/>
        </w:rPr>
        <w:t xml:space="preserve"> Asset Pricing Model </w:t>
      </w:r>
      <w:r w:rsidRPr="000A6367">
        <w:rPr>
          <w:b/>
          <w:sz w:val="24"/>
          <w:szCs w:val="24"/>
        </w:rPr>
        <w:t xml:space="preserve">and Accounting Based Risk Measurement </w:t>
      </w:r>
    </w:p>
    <w:p w:rsidR="005A5484" w:rsidRPr="000A6367" w:rsidRDefault="005A5484" w:rsidP="00F007AF">
      <w:pPr>
        <w:rPr>
          <w:sz w:val="24"/>
          <w:szCs w:val="24"/>
        </w:rPr>
      </w:pPr>
    </w:p>
    <w:tbl>
      <w:tblPr>
        <w:tblW w:w="0" w:type="auto"/>
        <w:tblLook w:val="01E0"/>
      </w:tblPr>
      <w:tblGrid>
        <w:gridCol w:w="4001"/>
        <w:gridCol w:w="4001"/>
      </w:tblGrid>
      <w:tr w:rsidR="005A5484" w:rsidRPr="000A6367" w:rsidTr="00E96ABA">
        <w:trPr>
          <w:trHeight w:val="273"/>
        </w:trPr>
        <w:tc>
          <w:tcPr>
            <w:tcW w:w="4001" w:type="dxa"/>
          </w:tcPr>
          <w:p w:rsidR="005A5484" w:rsidRPr="000A6367" w:rsidRDefault="005A5484" w:rsidP="00E96ABA">
            <w:pPr>
              <w:jc w:val="center"/>
              <w:rPr>
                <w:rFonts w:eastAsia="SimSun"/>
                <w:b/>
                <w:sz w:val="24"/>
                <w:szCs w:val="24"/>
              </w:rPr>
            </w:pPr>
            <w:r w:rsidRPr="000A6367">
              <w:rPr>
                <w:rFonts w:eastAsia="SimSun"/>
                <w:b/>
                <w:sz w:val="24"/>
                <w:szCs w:val="24"/>
              </w:rPr>
              <w:t>CAPM based approach</w:t>
            </w:r>
          </w:p>
        </w:tc>
        <w:tc>
          <w:tcPr>
            <w:tcW w:w="4001" w:type="dxa"/>
          </w:tcPr>
          <w:p w:rsidR="005A5484" w:rsidRPr="000A6367" w:rsidRDefault="005A5484" w:rsidP="00E96ABA">
            <w:pPr>
              <w:jc w:val="center"/>
              <w:rPr>
                <w:rFonts w:eastAsia="SimSun"/>
                <w:b/>
                <w:sz w:val="24"/>
                <w:szCs w:val="24"/>
              </w:rPr>
            </w:pPr>
            <w:r w:rsidRPr="000A6367">
              <w:rPr>
                <w:rFonts w:eastAsia="SimSun"/>
                <w:b/>
                <w:sz w:val="24"/>
                <w:szCs w:val="24"/>
              </w:rPr>
              <w:t>ABRM approach</w:t>
            </w:r>
          </w:p>
        </w:tc>
      </w:tr>
      <w:tr w:rsidR="005A5484" w:rsidRPr="000A6367" w:rsidTr="00E96ABA">
        <w:trPr>
          <w:trHeight w:val="581"/>
        </w:trPr>
        <w:tc>
          <w:tcPr>
            <w:tcW w:w="4001" w:type="dxa"/>
          </w:tcPr>
          <w:p w:rsidR="005A5484" w:rsidRPr="000A6367" w:rsidRDefault="005A5484" w:rsidP="00E96ABA">
            <w:pPr>
              <w:jc w:val="center"/>
              <w:rPr>
                <w:rFonts w:eastAsia="SimSun"/>
                <w:sz w:val="24"/>
                <w:szCs w:val="24"/>
              </w:rPr>
            </w:pPr>
            <w:r w:rsidRPr="000A6367">
              <w:rPr>
                <w:rFonts w:eastAsia="SimSun"/>
                <w:sz w:val="24"/>
                <w:szCs w:val="24"/>
              </w:rPr>
              <w:t>Compute cost of equity geared using stock market data</w:t>
            </w:r>
          </w:p>
        </w:tc>
        <w:tc>
          <w:tcPr>
            <w:tcW w:w="4001" w:type="dxa"/>
          </w:tcPr>
          <w:p w:rsidR="005A5484" w:rsidRPr="000A6367" w:rsidRDefault="005A5484" w:rsidP="00E96ABA">
            <w:pPr>
              <w:jc w:val="center"/>
              <w:rPr>
                <w:rFonts w:eastAsia="SimSun"/>
                <w:sz w:val="24"/>
                <w:szCs w:val="24"/>
              </w:rPr>
            </w:pPr>
            <w:r w:rsidRPr="000A6367">
              <w:rPr>
                <w:rFonts w:eastAsia="SimSun"/>
                <w:sz w:val="24"/>
                <w:szCs w:val="24"/>
              </w:rPr>
              <w:t>Cost of equity from underlying accounting data</w:t>
            </w:r>
          </w:p>
        </w:tc>
      </w:tr>
      <w:tr w:rsidR="005A5484" w:rsidRPr="000A6367" w:rsidTr="00E96ABA">
        <w:trPr>
          <w:trHeight w:val="545"/>
        </w:trPr>
        <w:tc>
          <w:tcPr>
            <w:tcW w:w="4001" w:type="dxa"/>
          </w:tcPr>
          <w:p w:rsidR="005A5484" w:rsidRPr="000A6367" w:rsidRDefault="005A5484" w:rsidP="00E96ABA">
            <w:pPr>
              <w:rPr>
                <w:rFonts w:eastAsia="SimSun"/>
                <w:sz w:val="24"/>
                <w:szCs w:val="24"/>
              </w:rPr>
            </w:pPr>
            <w:r>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70.9pt;margin-top:5.75pt;width:38.25pt;height:20.65pt;z-index:251681792;mso-position-horizontal-relative:text;mso-position-vertical-relative:text"/>
              </w:pict>
            </w:r>
          </w:p>
        </w:tc>
        <w:tc>
          <w:tcPr>
            <w:tcW w:w="4001" w:type="dxa"/>
          </w:tcPr>
          <w:p w:rsidR="005A5484" w:rsidRPr="000A6367" w:rsidRDefault="005A5484" w:rsidP="00E96ABA">
            <w:pPr>
              <w:rPr>
                <w:rFonts w:eastAsia="SimSun"/>
                <w:sz w:val="24"/>
                <w:szCs w:val="24"/>
              </w:rPr>
            </w:pPr>
            <w:r>
              <w:rPr>
                <w:noProof/>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6" type="#_x0000_t68" style="position:absolute;left:0;text-align:left;margin-left:74.9pt;margin-top:3.55pt;width:38.25pt;height:22.85pt;z-index:251682816;mso-position-horizontal-relative:text;mso-position-vertical-relative:text"/>
              </w:pict>
            </w:r>
          </w:p>
          <w:p w:rsidR="005A5484" w:rsidRPr="000A6367" w:rsidRDefault="005A5484" w:rsidP="00E96ABA">
            <w:pPr>
              <w:rPr>
                <w:rFonts w:eastAsia="SimSun"/>
                <w:sz w:val="24"/>
                <w:szCs w:val="24"/>
              </w:rPr>
            </w:pPr>
          </w:p>
        </w:tc>
      </w:tr>
      <w:tr w:rsidR="005A5484" w:rsidRPr="000A6367" w:rsidTr="00E96ABA">
        <w:trPr>
          <w:trHeight w:val="560"/>
        </w:trPr>
        <w:tc>
          <w:tcPr>
            <w:tcW w:w="4001" w:type="dxa"/>
          </w:tcPr>
          <w:p w:rsidR="005A5484" w:rsidRPr="000A6367" w:rsidRDefault="005A5484" w:rsidP="00E96ABA">
            <w:pPr>
              <w:jc w:val="center"/>
              <w:rPr>
                <w:rFonts w:eastAsia="SimSun"/>
                <w:sz w:val="24"/>
                <w:szCs w:val="24"/>
              </w:rPr>
            </w:pPr>
            <w:r w:rsidRPr="000A6367">
              <w:rPr>
                <w:rFonts w:eastAsia="SimSun"/>
                <w:sz w:val="24"/>
                <w:szCs w:val="24"/>
              </w:rPr>
              <w:t>Subtract effects of fixed borrowing charges</w:t>
            </w:r>
          </w:p>
        </w:tc>
        <w:tc>
          <w:tcPr>
            <w:tcW w:w="4001" w:type="dxa"/>
          </w:tcPr>
          <w:p w:rsidR="005A5484" w:rsidRPr="000A6367" w:rsidRDefault="005A5484" w:rsidP="00E96ABA">
            <w:pPr>
              <w:jc w:val="center"/>
              <w:rPr>
                <w:rFonts w:eastAsia="SimSun"/>
                <w:sz w:val="24"/>
                <w:szCs w:val="24"/>
              </w:rPr>
            </w:pPr>
            <w:r w:rsidRPr="000A6367">
              <w:rPr>
                <w:rFonts w:eastAsia="SimSun"/>
                <w:sz w:val="24"/>
                <w:szCs w:val="24"/>
              </w:rPr>
              <w:t>Add effects of fixed borrowing charges</w:t>
            </w:r>
          </w:p>
        </w:tc>
      </w:tr>
      <w:tr w:rsidR="005A5484" w:rsidRPr="000A6367" w:rsidTr="00E96ABA">
        <w:trPr>
          <w:trHeight w:val="560"/>
        </w:trPr>
        <w:tc>
          <w:tcPr>
            <w:tcW w:w="4001" w:type="dxa"/>
          </w:tcPr>
          <w:p w:rsidR="005A5484" w:rsidRPr="000A6367" w:rsidRDefault="005A5484" w:rsidP="00E96ABA">
            <w:pPr>
              <w:rPr>
                <w:rFonts w:eastAsia="SimSun"/>
                <w:sz w:val="24"/>
                <w:szCs w:val="24"/>
              </w:rPr>
            </w:pPr>
            <w:r>
              <w:rPr>
                <w:noProof/>
                <w:lang w:val="en-US"/>
              </w:rPr>
              <w:pict>
                <v:shape id="_x0000_s1049" type="#_x0000_t67" style="position:absolute;left:0;text-align:left;margin-left:70.9pt;margin-top:3.6pt;width:38.25pt;height:20.65pt;z-index:251683840;mso-position-horizontal-relative:text;mso-position-vertical-relative:text"/>
              </w:pict>
            </w:r>
          </w:p>
        </w:tc>
        <w:tc>
          <w:tcPr>
            <w:tcW w:w="4001" w:type="dxa"/>
          </w:tcPr>
          <w:p w:rsidR="005A5484" w:rsidRPr="000A6367" w:rsidRDefault="005A5484" w:rsidP="00E96ABA">
            <w:pPr>
              <w:rPr>
                <w:rFonts w:eastAsia="SimSun"/>
                <w:sz w:val="24"/>
                <w:szCs w:val="24"/>
              </w:rPr>
            </w:pPr>
            <w:r>
              <w:rPr>
                <w:noProof/>
                <w:lang w:val="en-US"/>
              </w:rPr>
              <w:pict>
                <v:shape id="_x0000_s1045" type="#_x0000_t68" style="position:absolute;left:0;text-align:left;margin-left:74.9pt;margin-top:1.4pt;width:38.25pt;height:22.85pt;z-index:251684864;mso-position-horizontal-relative:text;mso-position-vertical-relative:text"/>
              </w:pict>
            </w:r>
          </w:p>
          <w:p w:rsidR="005A5484" w:rsidRPr="000A6367" w:rsidRDefault="005A5484" w:rsidP="00E96ABA">
            <w:pPr>
              <w:rPr>
                <w:rFonts w:eastAsia="SimSun"/>
                <w:sz w:val="24"/>
                <w:szCs w:val="24"/>
              </w:rPr>
            </w:pPr>
          </w:p>
        </w:tc>
      </w:tr>
      <w:tr w:rsidR="005A5484" w:rsidRPr="000A6367" w:rsidTr="00E96ABA">
        <w:trPr>
          <w:trHeight w:val="588"/>
        </w:trPr>
        <w:tc>
          <w:tcPr>
            <w:tcW w:w="4001" w:type="dxa"/>
          </w:tcPr>
          <w:p w:rsidR="005A5484" w:rsidRPr="000A6367" w:rsidRDefault="005A5484" w:rsidP="00E96ABA">
            <w:pPr>
              <w:jc w:val="center"/>
              <w:rPr>
                <w:rFonts w:eastAsia="SimSun"/>
                <w:sz w:val="24"/>
                <w:szCs w:val="24"/>
              </w:rPr>
            </w:pPr>
            <w:r w:rsidRPr="000A6367">
              <w:rPr>
                <w:rFonts w:eastAsia="SimSun"/>
                <w:sz w:val="24"/>
                <w:szCs w:val="24"/>
              </w:rPr>
              <w:t>Asset beta reflecting systematic business risk</w:t>
            </w:r>
          </w:p>
        </w:tc>
        <w:tc>
          <w:tcPr>
            <w:tcW w:w="4001" w:type="dxa"/>
          </w:tcPr>
          <w:p w:rsidR="005A5484" w:rsidRPr="000A6367" w:rsidRDefault="005A5484" w:rsidP="00E96ABA">
            <w:pPr>
              <w:jc w:val="center"/>
              <w:rPr>
                <w:rFonts w:eastAsia="SimSun"/>
                <w:sz w:val="24"/>
                <w:szCs w:val="24"/>
              </w:rPr>
            </w:pPr>
            <w:r w:rsidRPr="000A6367">
              <w:rPr>
                <w:rFonts w:eastAsia="SimSun"/>
                <w:sz w:val="24"/>
                <w:szCs w:val="24"/>
              </w:rPr>
              <w:t>Asset beta reflecting systematic business risk</w:t>
            </w:r>
          </w:p>
        </w:tc>
      </w:tr>
      <w:tr w:rsidR="005A5484" w:rsidRPr="000A6367" w:rsidTr="00E96ABA">
        <w:trPr>
          <w:trHeight w:val="545"/>
        </w:trPr>
        <w:tc>
          <w:tcPr>
            <w:tcW w:w="4001" w:type="dxa"/>
          </w:tcPr>
          <w:p w:rsidR="005A5484" w:rsidRPr="000A6367" w:rsidRDefault="005A5484" w:rsidP="00E96ABA">
            <w:pPr>
              <w:rPr>
                <w:rFonts w:eastAsia="SimSun"/>
                <w:sz w:val="24"/>
                <w:szCs w:val="24"/>
              </w:rPr>
            </w:pPr>
            <w:r>
              <w:rPr>
                <w:noProof/>
                <w:lang w:val="en-US"/>
              </w:rPr>
              <w:pict>
                <v:shape id="_x0000_s1047" type="#_x0000_t67" style="position:absolute;left:0;text-align:left;margin-left:70.9pt;margin-top:2.85pt;width:38.25pt;height:22.1pt;z-index:251685888;mso-position-horizontal-relative:text;mso-position-vertical-relative:text"/>
              </w:pict>
            </w:r>
          </w:p>
        </w:tc>
        <w:tc>
          <w:tcPr>
            <w:tcW w:w="4001" w:type="dxa"/>
          </w:tcPr>
          <w:p w:rsidR="005A5484" w:rsidRPr="000A6367" w:rsidRDefault="005A5484" w:rsidP="00E96ABA">
            <w:pPr>
              <w:rPr>
                <w:rFonts w:eastAsia="SimSun"/>
                <w:noProof/>
                <w:sz w:val="24"/>
                <w:szCs w:val="24"/>
              </w:rPr>
            </w:pPr>
            <w:r>
              <w:rPr>
                <w:noProof/>
                <w:lang w:val="en-US"/>
              </w:rPr>
              <w:pict>
                <v:shape id="_x0000_s1044" type="#_x0000_t68" style="position:absolute;left:0;text-align:left;margin-left:74.9pt;margin-top:2.85pt;width:38.25pt;height:22.1pt;z-index:251686912;mso-position-horizontal-relative:text;mso-position-vertical-relative:text"/>
              </w:pict>
            </w:r>
          </w:p>
          <w:p w:rsidR="005A5484" w:rsidRPr="000A6367" w:rsidRDefault="005A5484" w:rsidP="00E96ABA">
            <w:pPr>
              <w:rPr>
                <w:rFonts w:eastAsia="SimSun"/>
                <w:noProof/>
                <w:sz w:val="24"/>
                <w:szCs w:val="24"/>
              </w:rPr>
            </w:pPr>
          </w:p>
        </w:tc>
      </w:tr>
      <w:tr w:rsidR="005A5484" w:rsidRPr="000A6367" w:rsidTr="00E96ABA">
        <w:trPr>
          <w:trHeight w:val="560"/>
        </w:trPr>
        <w:tc>
          <w:tcPr>
            <w:tcW w:w="4001" w:type="dxa"/>
          </w:tcPr>
          <w:p w:rsidR="005A5484" w:rsidRPr="000A6367" w:rsidRDefault="005A5484" w:rsidP="00E96ABA">
            <w:pPr>
              <w:jc w:val="center"/>
              <w:rPr>
                <w:rFonts w:eastAsia="SimSun"/>
                <w:sz w:val="24"/>
                <w:szCs w:val="24"/>
              </w:rPr>
            </w:pPr>
          </w:p>
          <w:p w:rsidR="005A5484" w:rsidRPr="000A6367" w:rsidRDefault="005A5484" w:rsidP="00E96ABA">
            <w:pPr>
              <w:jc w:val="center"/>
              <w:rPr>
                <w:rFonts w:eastAsia="SimSun"/>
                <w:sz w:val="24"/>
                <w:szCs w:val="24"/>
              </w:rPr>
            </w:pPr>
            <w:r w:rsidRPr="000A6367">
              <w:rPr>
                <w:rFonts w:eastAsia="SimSun"/>
                <w:sz w:val="24"/>
                <w:szCs w:val="24"/>
              </w:rPr>
              <w:t>Underlying cash flows</w:t>
            </w:r>
          </w:p>
        </w:tc>
        <w:tc>
          <w:tcPr>
            <w:tcW w:w="4001" w:type="dxa"/>
          </w:tcPr>
          <w:p w:rsidR="005A5484" w:rsidRPr="000A6367" w:rsidRDefault="005A5484" w:rsidP="00E96ABA">
            <w:pPr>
              <w:jc w:val="center"/>
              <w:rPr>
                <w:rFonts w:eastAsia="SimSun"/>
                <w:sz w:val="24"/>
                <w:szCs w:val="24"/>
              </w:rPr>
            </w:pPr>
          </w:p>
          <w:p w:rsidR="005A5484" w:rsidRPr="000A6367" w:rsidRDefault="005A5484" w:rsidP="00E96ABA">
            <w:pPr>
              <w:jc w:val="center"/>
              <w:rPr>
                <w:rFonts w:eastAsia="SimSun"/>
                <w:sz w:val="24"/>
                <w:szCs w:val="24"/>
              </w:rPr>
            </w:pPr>
            <w:r w:rsidRPr="000A6367">
              <w:rPr>
                <w:rFonts w:eastAsia="SimSun"/>
                <w:sz w:val="24"/>
                <w:szCs w:val="24"/>
              </w:rPr>
              <w:t>Underlying cash flows</w:t>
            </w:r>
          </w:p>
        </w:tc>
      </w:tr>
    </w:tbl>
    <w:p w:rsidR="005A5484" w:rsidRDefault="005A5484" w:rsidP="00F007AF">
      <w:pPr>
        <w:rPr>
          <w:rFonts w:ascii="Times New Roman" w:hAnsi="Times New Roman" w:cs="Times New Roman"/>
          <w:iCs/>
          <w:sz w:val="24"/>
          <w:szCs w:val="24"/>
          <w:lang w:val="en-AU"/>
        </w:rPr>
      </w:pPr>
    </w:p>
    <w:p w:rsidR="005A5484" w:rsidRDefault="005A5484" w:rsidP="00F007AF">
      <w:pPr>
        <w:rPr>
          <w:rFonts w:ascii="Times New Roman" w:hAnsi="Times New Roman" w:cs="Times New Roman"/>
          <w:iCs/>
          <w:sz w:val="24"/>
          <w:szCs w:val="24"/>
          <w:lang w:val="en-AU"/>
        </w:rPr>
      </w:pPr>
    </w:p>
    <w:p w:rsidR="005A5484" w:rsidRDefault="005A5484" w:rsidP="00F007AF">
      <w:pPr>
        <w:rPr>
          <w:rFonts w:ascii="Times New Roman" w:hAnsi="Times New Roman" w:cs="Times New Roman"/>
          <w:iCs/>
          <w:sz w:val="24"/>
          <w:szCs w:val="24"/>
          <w:lang w:val="en-AU"/>
        </w:rPr>
      </w:pPr>
    </w:p>
    <w:p w:rsidR="005A5484" w:rsidRPr="009C1F0A" w:rsidRDefault="005A5484" w:rsidP="009C1F0A">
      <w:pPr>
        <w:spacing w:line="480" w:lineRule="auto"/>
        <w:ind w:firstLine="720"/>
        <w:rPr>
          <w:rFonts w:ascii="Times New Roman" w:hAnsi="Times New Roman" w:cs="Times New Roman"/>
          <w:iCs/>
          <w:sz w:val="24"/>
          <w:szCs w:val="24"/>
          <w:lang w:val="en-AU"/>
        </w:rPr>
      </w:pPr>
      <w:r w:rsidRPr="009C1F0A">
        <w:rPr>
          <w:rFonts w:ascii="Times New Roman" w:hAnsi="Times New Roman" w:cs="Times New Roman"/>
          <w:iCs/>
          <w:sz w:val="24"/>
          <w:szCs w:val="24"/>
          <w:lang w:val="en-AU"/>
        </w:rPr>
        <w:t xml:space="preserve">Although there are possible theoretical advantages associated with ABRM, important further questions concerns the likely properties of such measures in practice. These can be addressed by comparing the discount rates that would be used using normal CAPM estimation of beta with an alternative ABRM derived measure for the same firms. Because ABRM is calculated from accounting data, conclusions can be drawn from such a comparison about how well (or badly) CAPM estimates the risk associated with the underlying cash flows of the firm. </w:t>
      </w:r>
    </w:p>
    <w:p w:rsidR="005A5484" w:rsidRPr="009C1F0A" w:rsidRDefault="005A5484" w:rsidP="009C1F0A">
      <w:pPr>
        <w:spacing w:line="480" w:lineRule="auto"/>
        <w:rPr>
          <w:rFonts w:ascii="Times New Roman" w:hAnsi="Times New Roman" w:cs="Times New Roman"/>
          <w:iCs/>
          <w:sz w:val="24"/>
          <w:szCs w:val="24"/>
          <w:lang w:val="en-AU"/>
        </w:rPr>
      </w:pPr>
    </w:p>
    <w:p w:rsidR="005A5484" w:rsidRPr="009C1F0A" w:rsidRDefault="005A5484" w:rsidP="009C1F0A">
      <w:pPr>
        <w:spacing w:line="480" w:lineRule="auto"/>
        <w:rPr>
          <w:rFonts w:ascii="Times New Roman" w:hAnsi="Times New Roman" w:cs="Times New Roman"/>
          <w:b/>
          <w:iCs/>
          <w:sz w:val="24"/>
          <w:szCs w:val="24"/>
          <w:lang w:val="en-AU"/>
        </w:rPr>
      </w:pPr>
      <w:r w:rsidRPr="009C1F0A">
        <w:rPr>
          <w:rFonts w:ascii="Times New Roman" w:hAnsi="Times New Roman" w:cs="Times New Roman"/>
          <w:b/>
          <w:iCs/>
          <w:sz w:val="24"/>
          <w:szCs w:val="24"/>
          <w:lang w:val="en-AU"/>
        </w:rPr>
        <w:t>Empirical survey methodology</w:t>
      </w:r>
    </w:p>
    <w:p w:rsidR="005A5484" w:rsidRPr="009C1F0A" w:rsidRDefault="005A5484" w:rsidP="009C1F0A">
      <w:pPr>
        <w:spacing w:line="480" w:lineRule="auto"/>
        <w:rPr>
          <w:rFonts w:ascii="Times New Roman" w:hAnsi="Times New Roman" w:cs="Times New Roman"/>
          <w:sz w:val="24"/>
          <w:szCs w:val="24"/>
          <w:lang w:val="en-AU"/>
        </w:rPr>
      </w:pPr>
      <w:r w:rsidRPr="009C1F0A">
        <w:rPr>
          <w:rFonts w:ascii="Times New Roman" w:hAnsi="Times New Roman" w:cs="Times New Roman"/>
          <w:iCs/>
          <w:sz w:val="24"/>
          <w:szCs w:val="24"/>
          <w:lang w:val="en-AU"/>
        </w:rPr>
        <w:t xml:space="preserve">To perform this comparison, a survey was conducted of </w:t>
      </w:r>
      <w:r w:rsidRPr="009C1F0A">
        <w:rPr>
          <w:rFonts w:ascii="Times New Roman" w:hAnsi="Times New Roman" w:cs="Times New Roman"/>
          <w:sz w:val="24"/>
          <w:szCs w:val="24"/>
          <w:lang w:val="en-AU"/>
        </w:rPr>
        <w:t>finance directors, financial controllers and divisional accountants.</w:t>
      </w:r>
      <w:r w:rsidRPr="009C1F0A">
        <w:rPr>
          <w:rStyle w:val="EndnoteReference"/>
          <w:rFonts w:ascii="Times New Roman" w:hAnsi="Times New Roman" w:cs="Times New Roman"/>
          <w:sz w:val="24"/>
          <w:szCs w:val="24"/>
          <w:lang w:val="en-AU"/>
        </w:rPr>
        <w:endnoteReference w:id="8"/>
      </w:r>
      <w:r w:rsidRPr="009C1F0A">
        <w:rPr>
          <w:rFonts w:ascii="Times New Roman" w:hAnsi="Times New Roman" w:cs="Times New Roman"/>
          <w:sz w:val="24"/>
          <w:szCs w:val="24"/>
          <w:lang w:val="en-AU"/>
        </w:rPr>
        <w:t xml:space="preserve"> The objective was to obtain responses from individuals with responsibility for preparing financial forecasts at firm or business unit level and the questionnaire was designed to obtain forecast data for revenues, costs, profits and capital employed. D</w:t>
      </w:r>
      <w:proofErr w:type="spellStart"/>
      <w:r w:rsidRPr="009C1F0A">
        <w:rPr>
          <w:rFonts w:ascii="Times New Roman" w:hAnsi="Times New Roman" w:cs="Times New Roman"/>
          <w:sz w:val="24"/>
          <w:szCs w:val="24"/>
        </w:rPr>
        <w:t>ata</w:t>
      </w:r>
      <w:proofErr w:type="spellEnd"/>
      <w:r w:rsidRPr="009C1F0A">
        <w:rPr>
          <w:rFonts w:ascii="Times New Roman" w:hAnsi="Times New Roman" w:cs="Times New Roman"/>
          <w:sz w:val="24"/>
          <w:szCs w:val="24"/>
        </w:rPr>
        <w:t xml:space="preserve"> were collected by individual cost category: bought in services and </w:t>
      </w:r>
      <w:r w:rsidRPr="009C1F0A">
        <w:rPr>
          <w:rFonts w:ascii="Times New Roman" w:hAnsi="Times New Roman" w:cs="Times New Roman"/>
          <w:sz w:val="24"/>
          <w:szCs w:val="24"/>
        </w:rPr>
        <w:lastRenderedPageBreak/>
        <w:t xml:space="preserve">materials, labour and employment costs, depreciation charges, interest costs and taxation. </w:t>
      </w:r>
      <w:r w:rsidRPr="009C1F0A">
        <w:rPr>
          <w:rFonts w:ascii="Times New Roman" w:hAnsi="Times New Roman" w:cs="Times New Roman"/>
          <w:sz w:val="24"/>
          <w:szCs w:val="24"/>
          <w:lang w:val="en-AU"/>
        </w:rPr>
        <w:t xml:space="preserve">Respondents were asked to provide forecast numbers for major categories of cost in the form of index numbers relative to current year sales revenue set to 100. In addition data was collected for forecasted price changes by revenue and cost category, </w:t>
      </w:r>
      <w:r w:rsidR="00D60A02">
        <w:rPr>
          <w:rFonts w:ascii="Times New Roman" w:hAnsi="Times New Roman" w:cs="Times New Roman"/>
          <w:sz w:val="24"/>
          <w:szCs w:val="24"/>
          <w:lang w:val="en-AU"/>
        </w:rPr>
        <w:t xml:space="preserve">together with background data including </w:t>
      </w:r>
      <w:r w:rsidRPr="009C1F0A">
        <w:rPr>
          <w:rFonts w:ascii="Times New Roman" w:hAnsi="Times New Roman" w:cs="Times New Roman"/>
          <w:sz w:val="24"/>
          <w:szCs w:val="24"/>
          <w:lang w:val="en-AU"/>
        </w:rPr>
        <w:t>industry sector membership.</w:t>
      </w:r>
      <w:r w:rsidR="00D60A02">
        <w:rPr>
          <w:rStyle w:val="EndnoteReference"/>
          <w:rFonts w:ascii="Times New Roman" w:hAnsi="Times New Roman" w:cs="Times New Roman"/>
          <w:sz w:val="24"/>
          <w:szCs w:val="24"/>
          <w:lang w:val="en-AU"/>
        </w:rPr>
        <w:endnoteReference w:id="9"/>
      </w:r>
      <w:r w:rsidR="00D60A02" w:rsidRPr="009C1F0A">
        <w:rPr>
          <w:rFonts w:ascii="Times New Roman" w:hAnsi="Times New Roman" w:cs="Times New Roman"/>
          <w:sz w:val="24"/>
          <w:szCs w:val="24"/>
          <w:lang w:val="en-AU"/>
        </w:rPr>
        <w:t xml:space="preserve"> </w:t>
      </w:r>
      <w:r w:rsidRPr="009C1F0A">
        <w:rPr>
          <w:rFonts w:ascii="Times New Roman" w:hAnsi="Times New Roman" w:cs="Times New Roman"/>
          <w:sz w:val="24"/>
          <w:szCs w:val="24"/>
          <w:lang w:val="en-AU"/>
        </w:rPr>
        <w:t xml:space="preserve">A total of 95 replies (93 with full usable data) were received representing a response rate of 6.45%. In view of the high commercial sensitivity of the data requested, notwithstanding the careful steps taken to </w:t>
      </w:r>
      <w:proofErr w:type="spellStart"/>
      <w:r w:rsidRPr="009C1F0A">
        <w:rPr>
          <w:rFonts w:ascii="Times New Roman" w:hAnsi="Times New Roman" w:cs="Times New Roman"/>
          <w:sz w:val="24"/>
          <w:szCs w:val="24"/>
          <w:lang w:val="en-AU"/>
        </w:rPr>
        <w:t>anonymise</w:t>
      </w:r>
      <w:proofErr w:type="spellEnd"/>
      <w:r w:rsidRPr="009C1F0A">
        <w:rPr>
          <w:rFonts w:ascii="Times New Roman" w:hAnsi="Times New Roman" w:cs="Times New Roman"/>
          <w:sz w:val="24"/>
          <w:szCs w:val="24"/>
          <w:lang w:val="en-AU"/>
        </w:rPr>
        <w:t xml:space="preserve"> the data, the response rate was regarded as reasonable.</w:t>
      </w:r>
      <w:r w:rsidRPr="009C1F0A">
        <w:rPr>
          <w:rStyle w:val="EndnoteReference"/>
          <w:rFonts w:ascii="Times New Roman" w:hAnsi="Times New Roman" w:cs="Times New Roman"/>
          <w:sz w:val="24"/>
          <w:szCs w:val="24"/>
          <w:lang w:val="en-AU"/>
        </w:rPr>
        <w:endnoteReference w:id="10"/>
      </w:r>
    </w:p>
    <w:p w:rsidR="005A5484" w:rsidRPr="009C1F0A" w:rsidRDefault="005A5484" w:rsidP="009C1F0A">
      <w:pPr>
        <w:pStyle w:val="Default"/>
        <w:spacing w:line="480" w:lineRule="auto"/>
        <w:jc w:val="both"/>
        <w:rPr>
          <w:lang w:val="en-AU"/>
        </w:rPr>
      </w:pPr>
      <w:r w:rsidRPr="009C1F0A">
        <w:rPr>
          <w:lang w:val="en-AU"/>
        </w:rPr>
        <w:tab/>
        <w:t xml:space="preserve">The survey responses were used to calculate an operating leverage measure for each firm, and by aggregating these, produce a benchmark average, enabling ABRM estimates of </w:t>
      </w:r>
      <w:proofErr w:type="spellStart"/>
      <w:r w:rsidRPr="009C1F0A">
        <w:rPr>
          <w:i/>
          <w:lang w:val="en-AU"/>
        </w:rPr>
        <w:t>γ</w:t>
      </w:r>
      <w:r w:rsidRPr="009C1F0A">
        <w:rPr>
          <w:i/>
          <w:vertAlign w:val="subscript"/>
          <w:lang w:val="en-AU"/>
        </w:rPr>
        <w:t>i</w:t>
      </w:r>
      <w:proofErr w:type="spellEnd"/>
      <w:r w:rsidRPr="009C1F0A">
        <w:rPr>
          <w:i/>
          <w:vertAlign w:val="subscript"/>
          <w:lang w:val="en-AU"/>
        </w:rPr>
        <w:t xml:space="preserve">. </w:t>
      </w:r>
      <w:proofErr w:type="gramStart"/>
      <w:r w:rsidRPr="009C1F0A">
        <w:rPr>
          <w:lang w:val="en-AU"/>
        </w:rPr>
        <w:t>using</w:t>
      </w:r>
      <w:proofErr w:type="gramEnd"/>
      <w:r w:rsidRPr="009C1F0A">
        <w:rPr>
          <w:lang w:val="en-AU"/>
        </w:rPr>
        <w:t xml:space="preserve"> the approach in Toms 2013a.</w:t>
      </w:r>
      <w:r w:rsidRPr="009C1F0A">
        <w:rPr>
          <w:rStyle w:val="EndnoteReference"/>
          <w:lang w:val="en-AU"/>
        </w:rPr>
        <w:endnoteReference w:id="11"/>
      </w:r>
      <w:r w:rsidRPr="009C1F0A">
        <w:rPr>
          <w:i/>
          <w:lang w:val="en-AU"/>
        </w:rPr>
        <w:t xml:space="preserve"> </w:t>
      </w:r>
      <w:proofErr w:type="spellStart"/>
      <w:r w:rsidRPr="009C1F0A">
        <w:rPr>
          <w:i/>
          <w:lang w:val="en-AU"/>
        </w:rPr>
        <w:t>Eπ</w:t>
      </w:r>
      <w:r w:rsidRPr="009C1F0A">
        <w:rPr>
          <w:i/>
          <w:vertAlign w:val="subscript"/>
          <w:lang w:val="en-AU"/>
        </w:rPr>
        <w:t>m</w:t>
      </w:r>
      <w:proofErr w:type="spellEnd"/>
      <w:r w:rsidRPr="009C1F0A">
        <w:rPr>
          <w:i/>
          <w:vertAlign w:val="subscript"/>
          <w:lang w:val="en-AU"/>
        </w:rPr>
        <w:t xml:space="preserve"> </w:t>
      </w:r>
      <w:r w:rsidRPr="009C1F0A">
        <w:rPr>
          <w:lang w:val="en-AU"/>
        </w:rPr>
        <w:t>was estimated as the aggregate forecast rate of profit of all survey responses.</w:t>
      </w:r>
      <w:r w:rsidRPr="009C1F0A">
        <w:rPr>
          <w:rStyle w:val="EndnoteReference"/>
          <w:lang w:val="en-AU"/>
        </w:rPr>
        <w:endnoteReference w:id="12"/>
      </w:r>
      <w:r w:rsidRPr="009C1F0A">
        <w:rPr>
          <w:lang w:val="en-AU"/>
        </w:rPr>
        <w:t xml:space="preserve"> </w:t>
      </w:r>
      <w:proofErr w:type="spellStart"/>
      <w:proofErr w:type="gramStart"/>
      <w:r w:rsidRPr="009C1F0A">
        <w:rPr>
          <w:lang w:val="en-AU"/>
        </w:rPr>
        <w:t>Rf</w:t>
      </w:r>
      <w:proofErr w:type="spellEnd"/>
      <w:proofErr w:type="gramEnd"/>
      <w:r w:rsidRPr="009C1F0A">
        <w:rPr>
          <w:lang w:val="en-AU"/>
        </w:rPr>
        <w:t xml:space="preserve"> was estimated using bank base rates at the time of the survey for both ABRM and CAPM</w:t>
      </w:r>
      <w:r w:rsidRPr="009C1F0A">
        <w:rPr>
          <w:vertAlign w:val="subscript"/>
          <w:lang w:val="en-AU"/>
        </w:rPr>
        <w:t xml:space="preserve"> </w:t>
      </w:r>
      <w:r w:rsidRPr="009C1F0A">
        <w:rPr>
          <w:lang w:val="en-AU"/>
        </w:rPr>
        <w:t xml:space="preserve">calculations. </w:t>
      </w:r>
    </w:p>
    <w:p w:rsidR="005A5484" w:rsidRPr="009C1F0A" w:rsidRDefault="005A5484" w:rsidP="009C1F0A">
      <w:pPr>
        <w:pStyle w:val="Default"/>
        <w:spacing w:line="480" w:lineRule="auto"/>
        <w:ind w:firstLine="720"/>
        <w:jc w:val="both"/>
        <w:rPr>
          <w:lang w:val="en-AU"/>
        </w:rPr>
      </w:pPr>
      <w:r w:rsidRPr="009C1F0A">
        <w:rPr>
          <w:lang w:val="en-AU"/>
        </w:rPr>
        <w:t xml:space="preserve">In the majority of cases, the respondents to the survey were employed by divisions, private companies or similar non-quoted business units. Therefore betas were estimated using </w:t>
      </w:r>
      <w:proofErr w:type="spellStart"/>
      <w:r w:rsidRPr="009C1F0A">
        <w:rPr>
          <w:i/>
          <w:iCs/>
          <w:lang w:val="en-AU"/>
        </w:rPr>
        <w:t>Datastream</w:t>
      </w:r>
      <w:proofErr w:type="spellEnd"/>
      <w:r w:rsidRPr="009C1F0A">
        <w:rPr>
          <w:i/>
          <w:iCs/>
          <w:lang w:val="en-AU"/>
        </w:rPr>
        <w:t xml:space="preserve"> </w:t>
      </w:r>
      <w:r w:rsidRPr="009C1F0A">
        <w:rPr>
          <w:lang w:val="en-AU"/>
        </w:rPr>
        <w:t xml:space="preserve">betas averaged by industry, corresponding to the industry grouping identified by the questionnaire respondent. The use of industry benchmarks of quoted firms is a common approach to the problem of valuing private companies (see for example Arnold, 1998, pp.752-53; </w:t>
      </w:r>
      <w:proofErr w:type="spellStart"/>
      <w:r w:rsidRPr="009C1F0A">
        <w:rPr>
          <w:lang w:val="en-AU"/>
        </w:rPr>
        <w:t>Brearley</w:t>
      </w:r>
      <w:proofErr w:type="spellEnd"/>
      <w:r w:rsidRPr="009C1F0A">
        <w:rPr>
          <w:lang w:val="en-AU"/>
        </w:rPr>
        <w:t xml:space="preserve"> and Myers, 2003, p.226, </w:t>
      </w:r>
      <w:proofErr w:type="spellStart"/>
      <w:r w:rsidRPr="009C1F0A">
        <w:rPr>
          <w:lang w:val="en-AU"/>
        </w:rPr>
        <w:t>Damodaran</w:t>
      </w:r>
      <w:proofErr w:type="spellEnd"/>
      <w:r w:rsidRPr="009C1F0A">
        <w:rPr>
          <w:lang w:val="en-AU"/>
        </w:rPr>
        <w:t xml:space="preserve"> 1997, pp.804-5). For this purpose, the most detailed industry grouping code on </w:t>
      </w:r>
      <w:proofErr w:type="spellStart"/>
      <w:r w:rsidRPr="009C1F0A">
        <w:rPr>
          <w:lang w:val="en-AU"/>
        </w:rPr>
        <w:t>Datastream</w:t>
      </w:r>
      <w:proofErr w:type="spellEnd"/>
      <w:r w:rsidRPr="009C1F0A">
        <w:rPr>
          <w:lang w:val="en-AU"/>
        </w:rPr>
        <w:t xml:space="preserve"> (INDC6) was used. In cases where the number of quoted firms in INDC6 was fewer than 30, higher level groupings (INDC4 and INDC2) were used. The purpose was to calculate a meaningful average beta and standard deviation for each group. Using this approach an industry average beta could be calculated and a firm or business unit level beta was estimated using a simulated value.</w:t>
      </w:r>
      <w:r w:rsidRPr="009C1F0A">
        <w:rPr>
          <w:rStyle w:val="EndnoteReference"/>
          <w:lang w:val="en-AU"/>
        </w:rPr>
        <w:endnoteReference w:id="13"/>
      </w:r>
      <w:r w:rsidRPr="009C1F0A">
        <w:rPr>
          <w:lang w:val="en-AU"/>
        </w:rPr>
        <w:t xml:space="preserve"> This generated an underlying sample that might correspond to a real data set of quoted companies, with the </w:t>
      </w:r>
      <w:r w:rsidRPr="009C1F0A">
        <w:rPr>
          <w:lang w:val="en-AU"/>
        </w:rPr>
        <w:lastRenderedPageBreak/>
        <w:t>restriction that the recomputed averages for industry groupings would closely reflect the mean and standard deviations of quoted companies in each group and the global sample mean would only reflect the distribution of underlying returns across the industry groups.</w:t>
      </w:r>
    </w:p>
    <w:p w:rsidR="005A5484" w:rsidRPr="009C1F0A" w:rsidRDefault="005A5484" w:rsidP="009C1F0A">
      <w:pPr>
        <w:pStyle w:val="Default"/>
        <w:spacing w:line="480" w:lineRule="auto"/>
        <w:jc w:val="both"/>
        <w:rPr>
          <w:i/>
          <w:lang w:val="en-AU"/>
        </w:rPr>
      </w:pPr>
    </w:p>
    <w:p w:rsidR="005A5484" w:rsidRPr="009C1F0A" w:rsidRDefault="005A5484" w:rsidP="009C1F0A">
      <w:pPr>
        <w:pStyle w:val="Default"/>
        <w:spacing w:line="480" w:lineRule="auto"/>
        <w:jc w:val="both"/>
        <w:rPr>
          <w:b/>
          <w:lang w:val="en-AU"/>
        </w:rPr>
      </w:pPr>
      <w:r w:rsidRPr="009C1F0A">
        <w:rPr>
          <w:b/>
          <w:lang w:val="en-AU"/>
        </w:rPr>
        <w:t>Analysis of results</w:t>
      </w:r>
    </w:p>
    <w:p w:rsidR="005A5484" w:rsidRPr="009C1F0A" w:rsidRDefault="005A5484" w:rsidP="009C1F0A">
      <w:pPr>
        <w:spacing w:line="480" w:lineRule="auto"/>
        <w:rPr>
          <w:rFonts w:ascii="Times New Roman" w:hAnsi="Times New Roman" w:cs="Times New Roman"/>
          <w:sz w:val="24"/>
          <w:szCs w:val="24"/>
        </w:rPr>
      </w:pPr>
      <w:r w:rsidRPr="009C1F0A">
        <w:rPr>
          <w:rFonts w:ascii="Times New Roman" w:hAnsi="Times New Roman" w:cs="Times New Roman"/>
          <w:sz w:val="24"/>
          <w:szCs w:val="24"/>
          <w:lang w:val="en-AU"/>
        </w:rPr>
        <w:t>Comparative discount rates are shown in table 1. These are computed according to equations (2) and (1) using ABRM and CAPM inputs respectively. The results show that</w:t>
      </w:r>
      <w:r w:rsidRPr="009C1F0A">
        <w:rPr>
          <w:rFonts w:ascii="Times New Roman" w:hAnsi="Times New Roman" w:cs="Times New Roman"/>
          <w:i/>
          <w:sz w:val="24"/>
          <w:szCs w:val="24"/>
          <w:lang w:val="en-AU"/>
        </w:rPr>
        <w:t xml:space="preserve"> </w:t>
      </w:r>
      <w:r w:rsidRPr="009C1F0A">
        <w:rPr>
          <w:rFonts w:ascii="Times New Roman" w:hAnsi="Times New Roman" w:cs="Times New Roman"/>
          <w:sz w:val="24"/>
          <w:szCs w:val="24"/>
          <w:lang w:val="en-AU"/>
        </w:rPr>
        <w:t>the cost of capital is over three percentage points lower when using ABRM compared to CAPM. In addition, of the 93 firms, 67 (72%), had lower costs of capital using ABRM than the CAPM equivalent. There are two reasons for this. First, as far as the aggregate difference between ABRM and CAPM is concerned the risk premium (</w:t>
      </w:r>
      <w:proofErr w:type="spellStart"/>
      <w:r w:rsidRPr="009C1F0A">
        <w:rPr>
          <w:rFonts w:ascii="Times New Roman" w:hAnsi="Times New Roman" w:cs="Times New Roman"/>
          <w:i/>
          <w:iCs/>
          <w:sz w:val="24"/>
          <w:szCs w:val="24"/>
          <w:lang w:val="en-AU"/>
        </w:rPr>
        <w:t>Eπm</w:t>
      </w:r>
      <w:proofErr w:type="spellEnd"/>
      <w:r w:rsidRPr="009C1F0A">
        <w:rPr>
          <w:rFonts w:ascii="Times New Roman" w:hAnsi="Times New Roman" w:cs="Times New Roman"/>
          <w:i/>
          <w:iCs/>
          <w:sz w:val="24"/>
          <w:szCs w:val="24"/>
          <w:lang w:val="en-AU"/>
        </w:rPr>
        <w:t xml:space="preserve"> – </w:t>
      </w:r>
      <w:proofErr w:type="spellStart"/>
      <w:r w:rsidRPr="009C1F0A">
        <w:rPr>
          <w:rFonts w:ascii="Times New Roman" w:hAnsi="Times New Roman" w:cs="Times New Roman"/>
          <w:i/>
          <w:iCs/>
          <w:sz w:val="24"/>
          <w:szCs w:val="24"/>
          <w:lang w:val="en-AU"/>
        </w:rPr>
        <w:t>Rf</w:t>
      </w:r>
      <w:proofErr w:type="spellEnd"/>
      <w:r w:rsidRPr="009C1F0A">
        <w:rPr>
          <w:rFonts w:ascii="Times New Roman" w:hAnsi="Times New Roman" w:cs="Times New Roman"/>
          <w:sz w:val="24"/>
          <w:szCs w:val="24"/>
          <w:lang w:val="en-AU"/>
        </w:rPr>
        <w:t xml:space="preserve">) in ABRM is 6.55% and whereas the risk premium </w:t>
      </w:r>
      <w:r w:rsidRPr="009C1F0A">
        <w:rPr>
          <w:rFonts w:ascii="Times New Roman" w:hAnsi="Times New Roman" w:cs="Times New Roman"/>
          <w:i/>
          <w:iCs/>
          <w:sz w:val="24"/>
          <w:szCs w:val="24"/>
          <w:lang w:val="en-AU"/>
        </w:rPr>
        <w:t>(</w:t>
      </w:r>
      <w:proofErr w:type="spellStart"/>
      <w:r w:rsidRPr="009C1F0A">
        <w:rPr>
          <w:rFonts w:ascii="Times New Roman" w:hAnsi="Times New Roman" w:cs="Times New Roman"/>
          <w:i/>
          <w:iCs/>
          <w:sz w:val="24"/>
          <w:szCs w:val="24"/>
          <w:lang w:val="en-AU"/>
        </w:rPr>
        <w:t>Rm</w:t>
      </w:r>
      <w:proofErr w:type="spellEnd"/>
      <w:r w:rsidRPr="009C1F0A">
        <w:rPr>
          <w:rFonts w:ascii="Times New Roman" w:hAnsi="Times New Roman" w:cs="Times New Roman"/>
          <w:i/>
          <w:iCs/>
          <w:sz w:val="24"/>
          <w:szCs w:val="24"/>
          <w:lang w:val="en-AU"/>
        </w:rPr>
        <w:t xml:space="preserve"> – </w:t>
      </w:r>
      <w:proofErr w:type="spellStart"/>
      <w:proofErr w:type="gramStart"/>
      <w:r w:rsidRPr="009C1F0A">
        <w:rPr>
          <w:rFonts w:ascii="Times New Roman" w:hAnsi="Times New Roman" w:cs="Times New Roman"/>
          <w:i/>
          <w:iCs/>
          <w:sz w:val="24"/>
          <w:szCs w:val="24"/>
          <w:lang w:val="en-AU"/>
        </w:rPr>
        <w:t>Rf</w:t>
      </w:r>
      <w:proofErr w:type="spellEnd"/>
      <w:proofErr w:type="gramEnd"/>
      <w:r w:rsidRPr="009C1F0A">
        <w:rPr>
          <w:rFonts w:ascii="Times New Roman" w:hAnsi="Times New Roman" w:cs="Times New Roman"/>
          <w:i/>
          <w:iCs/>
          <w:sz w:val="24"/>
          <w:szCs w:val="24"/>
          <w:lang w:val="en-AU"/>
        </w:rPr>
        <w:t xml:space="preserve">) </w:t>
      </w:r>
      <w:r w:rsidRPr="009C1F0A">
        <w:rPr>
          <w:rFonts w:ascii="Times New Roman" w:hAnsi="Times New Roman" w:cs="Times New Roman"/>
          <w:sz w:val="24"/>
          <w:szCs w:val="24"/>
          <w:lang w:val="en-AU"/>
        </w:rPr>
        <w:t>in CAPM is 8%.</w:t>
      </w:r>
      <w:r w:rsidRPr="009C1F0A">
        <w:rPr>
          <w:rFonts w:ascii="Times New Roman" w:hAnsi="Times New Roman" w:cs="Times New Roman"/>
          <w:sz w:val="24"/>
          <w:szCs w:val="24"/>
        </w:rPr>
        <w:t xml:space="preserve"> As can be seen comparing equations (1) and (2), an important difference and hence a further reason for differences in costs of capital using the two methods is the different approach to the computation of the risk premium. ABRM uses the difference between the forecast rate of accounting profit and the risk free rate. There is an important theoretical reason for this. The purpose of ABRM is to determine how risk might be priced if financial market data is ignored, and instead only the risks associated with the firm’s transactions with underlying factor markets are included. It is clear for example that risk for a firm rises or falls depending on the specification of contracts with customers, suppliers and employees. Contract specification impacts on the variability of revenues and costs, and consequently profit. Collectively, a group of firms corresponds to a risky asset whose features resemble a portfolio of shares, according to the average variability of revenues, costs and profits. Unlike stock market risk measurement, the data sources in this case are from the firms’ internal cost, budgeting and forecast data collected from the questionnaires. In contrast, the CAPM uses only stock market inputs and ex post evaluations </w:t>
      </w:r>
      <w:r w:rsidRPr="009C1F0A">
        <w:rPr>
          <w:rFonts w:ascii="Times New Roman" w:hAnsi="Times New Roman" w:cs="Times New Roman"/>
          <w:sz w:val="24"/>
          <w:szCs w:val="24"/>
        </w:rPr>
        <w:lastRenderedPageBreak/>
        <w:t>of share market index returns have produced differing estimates of the risk premium.</w:t>
      </w:r>
      <w:r w:rsidRPr="009C1F0A">
        <w:rPr>
          <w:rStyle w:val="EndnoteReference"/>
          <w:rFonts w:ascii="Times New Roman" w:hAnsi="Times New Roman" w:cs="Times New Roman"/>
          <w:sz w:val="24"/>
          <w:szCs w:val="24"/>
        </w:rPr>
        <w:endnoteReference w:id="14"/>
      </w:r>
      <w:r w:rsidRPr="009C1F0A">
        <w:rPr>
          <w:rFonts w:ascii="Times New Roman" w:hAnsi="Times New Roman" w:cs="Times New Roman"/>
          <w:sz w:val="24"/>
          <w:szCs w:val="24"/>
        </w:rPr>
        <w:t xml:space="preserve"> Based on this literature, in the analysis thus far, a CAPM risk premium of 8% has been used, reflecting the high </w:t>
      </w:r>
      <w:proofErr w:type="spellStart"/>
      <w:r w:rsidRPr="009C1F0A">
        <w:rPr>
          <w:rFonts w:ascii="Times New Roman" w:hAnsi="Times New Roman" w:cs="Times New Roman"/>
          <w:sz w:val="24"/>
          <w:szCs w:val="24"/>
        </w:rPr>
        <w:t>Brearley</w:t>
      </w:r>
      <w:proofErr w:type="spellEnd"/>
      <w:r w:rsidRPr="009C1F0A">
        <w:rPr>
          <w:rFonts w:ascii="Times New Roman" w:hAnsi="Times New Roman" w:cs="Times New Roman"/>
          <w:sz w:val="24"/>
          <w:szCs w:val="24"/>
        </w:rPr>
        <w:t xml:space="preserve"> and Myers estimate which has become a common value in corporate finance texts (Arnold, 1998, p.709, Pike and Neale, 1999, p.293). One reason for this is that 8% has become synonymous with the ‘Ibbotson estimate,’ or the historic mean of excess returns earned by US equities since 1926 (Claus and Thomas, 2001).</w:t>
      </w:r>
    </w:p>
    <w:p w:rsidR="005A5484" w:rsidRPr="009C1F0A" w:rsidRDefault="005A5484" w:rsidP="009C1F0A">
      <w:pPr>
        <w:pStyle w:val="Default"/>
        <w:spacing w:line="480" w:lineRule="auto"/>
        <w:jc w:val="both"/>
        <w:rPr>
          <w:lang w:val="en-AU"/>
        </w:rPr>
      </w:pPr>
      <w:r w:rsidRPr="009C1F0A">
        <w:rPr>
          <w:lang w:val="en-AU"/>
        </w:rPr>
        <w:t xml:space="preserve"> </w:t>
      </w:r>
      <w:r w:rsidRPr="009C1F0A">
        <w:rPr>
          <w:lang w:val="en-AU"/>
        </w:rPr>
        <w:tab/>
        <w:t xml:space="preserve">Secondly, there is a difference between the comparable </w:t>
      </w:r>
      <w:r w:rsidRPr="009C1F0A">
        <w:rPr>
          <w:i/>
          <w:lang w:val="en-AU"/>
        </w:rPr>
        <w:t>γ</w:t>
      </w:r>
      <w:r w:rsidRPr="009C1F0A">
        <w:rPr>
          <w:i/>
          <w:vertAlign w:val="subscript"/>
          <w:lang w:val="en-AU"/>
        </w:rPr>
        <w:t xml:space="preserve"> </w:t>
      </w:r>
      <w:r w:rsidRPr="009C1F0A">
        <w:rPr>
          <w:lang w:val="en-AU"/>
        </w:rPr>
        <w:t>and</w:t>
      </w:r>
      <w:r w:rsidRPr="009C1F0A">
        <w:rPr>
          <w:i/>
          <w:vertAlign w:val="subscript"/>
          <w:lang w:val="en-AU"/>
        </w:rPr>
        <w:t xml:space="preserve"> </w:t>
      </w:r>
      <w:r w:rsidRPr="009C1F0A">
        <w:rPr>
          <w:i/>
          <w:iCs/>
          <w:lang w:val="en-AU"/>
        </w:rPr>
        <w:t xml:space="preserve">β </w:t>
      </w:r>
      <w:r w:rsidRPr="009C1F0A">
        <w:rPr>
          <w:iCs/>
          <w:lang w:val="en-AU"/>
        </w:rPr>
        <w:t>inputs into the models in equations (2) and (1). Table 3b shows the averages for each.</w:t>
      </w:r>
      <w:r w:rsidRPr="009C1F0A">
        <w:rPr>
          <w:lang w:val="en-AU"/>
        </w:rPr>
        <w:t xml:space="preserve"> Table 4.3 shows that the average </w:t>
      </w:r>
      <w:r w:rsidRPr="009C1F0A">
        <w:rPr>
          <w:i/>
          <w:lang w:val="en-AU"/>
        </w:rPr>
        <w:t>γ</w:t>
      </w:r>
      <w:r w:rsidRPr="009C1F0A">
        <w:rPr>
          <w:lang w:val="en-AU"/>
        </w:rPr>
        <w:t xml:space="preserve"> is significantly lower than the average </w:t>
      </w:r>
      <w:r w:rsidRPr="009C1F0A">
        <w:rPr>
          <w:i/>
          <w:iCs/>
          <w:lang w:val="en-AU"/>
        </w:rPr>
        <w:t>β</w:t>
      </w:r>
      <w:r w:rsidRPr="009C1F0A">
        <w:rPr>
          <w:lang w:val="en-AU"/>
        </w:rPr>
        <w:t xml:space="preserve"> across the sample.  The differences between medians are greater indicating non-normality in the distribution of the </w:t>
      </w:r>
      <w:r w:rsidRPr="009C1F0A">
        <w:rPr>
          <w:i/>
          <w:lang w:val="en-AU"/>
        </w:rPr>
        <w:t>γ</w:t>
      </w:r>
      <w:r w:rsidRPr="009C1F0A">
        <w:rPr>
          <w:i/>
          <w:vertAlign w:val="subscript"/>
          <w:lang w:val="en-AU"/>
        </w:rPr>
        <w:t xml:space="preserve"> </w:t>
      </w:r>
      <w:r w:rsidRPr="009C1F0A">
        <w:rPr>
          <w:lang w:val="en-AU"/>
        </w:rPr>
        <w:t>ratios.</w:t>
      </w:r>
      <w:r w:rsidRPr="009C1F0A">
        <w:rPr>
          <w:rStyle w:val="EndnoteReference"/>
          <w:lang w:val="en-AU"/>
        </w:rPr>
        <w:endnoteReference w:id="15"/>
      </w:r>
      <w:r w:rsidRPr="009C1F0A">
        <w:rPr>
          <w:lang w:val="en-AU"/>
        </w:rPr>
        <w:t xml:space="preserve"> </w:t>
      </w:r>
    </w:p>
    <w:p w:rsidR="005A5484" w:rsidRPr="009C1F0A" w:rsidRDefault="005A5484" w:rsidP="009C1F0A">
      <w:pPr>
        <w:spacing w:line="480" w:lineRule="auto"/>
        <w:outlineLvl w:val="0"/>
        <w:rPr>
          <w:rFonts w:ascii="Times New Roman" w:hAnsi="Times New Roman" w:cs="Times New Roman"/>
          <w:b/>
          <w:sz w:val="24"/>
          <w:szCs w:val="24"/>
        </w:rPr>
      </w:pPr>
    </w:p>
    <w:p w:rsidR="005A5484" w:rsidRPr="009C1F0A" w:rsidRDefault="005A5484" w:rsidP="009C1F0A">
      <w:pPr>
        <w:rPr>
          <w:rFonts w:ascii="Times New Roman" w:hAnsi="Times New Roman" w:cs="Times New Roman"/>
          <w:b/>
          <w:bCs/>
          <w:sz w:val="24"/>
          <w:szCs w:val="24"/>
          <w:lang w:val="en-AU"/>
        </w:rPr>
      </w:pPr>
      <w:r w:rsidRPr="009C1F0A">
        <w:rPr>
          <w:rFonts w:ascii="Times New Roman" w:hAnsi="Times New Roman" w:cs="Times New Roman"/>
          <w:b/>
          <w:iCs/>
          <w:sz w:val="24"/>
          <w:szCs w:val="24"/>
          <w:lang w:val="en-AU"/>
        </w:rPr>
        <w:t xml:space="preserve">Table 1: </w:t>
      </w:r>
      <w:r w:rsidRPr="009C1F0A">
        <w:rPr>
          <w:rFonts w:ascii="Times New Roman" w:hAnsi="Times New Roman" w:cs="Times New Roman"/>
          <w:b/>
          <w:bCs/>
          <w:sz w:val="24"/>
          <w:szCs w:val="24"/>
          <w:lang w:val="en-AU"/>
        </w:rPr>
        <w:t xml:space="preserve">Comparative cost of capital, Accounting Based Risk Measurement and Capital Asset Pricing model </w:t>
      </w:r>
    </w:p>
    <w:p w:rsidR="005A5484" w:rsidRPr="009C1F0A" w:rsidRDefault="005A5484" w:rsidP="009C1F0A">
      <w:pPr>
        <w:rPr>
          <w:rFonts w:ascii="Times New Roman" w:hAnsi="Times New Roman" w:cs="Times New Roman"/>
          <w:b/>
          <w:iCs/>
          <w:sz w:val="24"/>
          <w:szCs w:val="24"/>
          <w:lang w:val="en-AU"/>
        </w:rPr>
      </w:pPr>
    </w:p>
    <w:p w:rsidR="005A5484" w:rsidRPr="009C1F0A" w:rsidRDefault="005A5484" w:rsidP="009C1F0A">
      <w:pPr>
        <w:pStyle w:val="ListParagraph"/>
        <w:numPr>
          <w:ilvl w:val="0"/>
          <w:numId w:val="1"/>
        </w:numPr>
        <w:rPr>
          <w:rFonts w:ascii="Times New Roman" w:hAnsi="Times New Roman" w:cs="Times New Roman"/>
          <w:b/>
          <w:iCs/>
          <w:sz w:val="24"/>
          <w:szCs w:val="24"/>
          <w:lang w:val="en-AU"/>
        </w:rPr>
      </w:pPr>
      <w:r w:rsidRPr="009C1F0A">
        <w:rPr>
          <w:rFonts w:ascii="Times New Roman" w:hAnsi="Times New Roman" w:cs="Times New Roman"/>
          <w:b/>
          <w:iCs/>
          <w:sz w:val="24"/>
          <w:szCs w:val="24"/>
          <w:lang w:val="en-AU"/>
        </w:rPr>
        <w:t>Discount factor estimates</w:t>
      </w:r>
    </w:p>
    <w:p w:rsidR="005A5484" w:rsidRPr="009C1F0A" w:rsidRDefault="005A5484" w:rsidP="009C1F0A">
      <w:pPr>
        <w:pStyle w:val="ListParagraph"/>
        <w:rPr>
          <w:rFonts w:ascii="Times New Roman" w:hAnsi="Times New Roman" w:cs="Times New Roman"/>
          <w:iCs/>
          <w:sz w:val="24"/>
          <w:szCs w:val="24"/>
          <w:lang w:val="en-AU"/>
        </w:rPr>
      </w:pPr>
    </w:p>
    <w:p w:rsidR="005A5484" w:rsidRPr="009C1F0A" w:rsidRDefault="005A5484" w:rsidP="009C1F0A">
      <w:pPr>
        <w:ind w:left="2880" w:firstLine="720"/>
        <w:rPr>
          <w:rFonts w:ascii="Times New Roman" w:hAnsi="Times New Roman" w:cs="Times New Roman"/>
          <w:b/>
          <w:iCs/>
          <w:sz w:val="24"/>
          <w:szCs w:val="24"/>
          <w:lang w:val="en-AU"/>
        </w:rPr>
      </w:pPr>
      <w:r w:rsidRPr="009C1F0A">
        <w:rPr>
          <w:rFonts w:ascii="Times New Roman" w:hAnsi="Times New Roman" w:cs="Times New Roman"/>
          <w:b/>
          <w:iCs/>
          <w:sz w:val="24"/>
          <w:szCs w:val="24"/>
          <w:lang w:val="en-AU"/>
        </w:rPr>
        <w:t>ABRM</w:t>
      </w:r>
      <w:r w:rsidRPr="009C1F0A">
        <w:rPr>
          <w:rFonts w:ascii="Times New Roman" w:hAnsi="Times New Roman" w:cs="Times New Roman"/>
          <w:b/>
          <w:iCs/>
          <w:sz w:val="24"/>
          <w:szCs w:val="24"/>
          <w:lang w:val="en-AU"/>
        </w:rPr>
        <w:tab/>
        <w:t>CAPM</w:t>
      </w:r>
    </w:p>
    <w:p w:rsidR="005A5484" w:rsidRPr="009C1F0A" w:rsidRDefault="005A5484" w:rsidP="009C1F0A">
      <w:pPr>
        <w:rPr>
          <w:rFonts w:ascii="Times New Roman" w:hAnsi="Times New Roman" w:cs="Times New Roman"/>
          <w:iCs/>
          <w:sz w:val="24"/>
          <w:szCs w:val="24"/>
          <w:lang w:val="en-AU"/>
        </w:rPr>
      </w:pPr>
      <w:r w:rsidRPr="009C1F0A">
        <w:rPr>
          <w:rFonts w:ascii="Times New Roman" w:hAnsi="Times New Roman" w:cs="Times New Roman"/>
          <w:iCs/>
          <w:sz w:val="24"/>
          <w:szCs w:val="24"/>
          <w:lang w:val="en-AU"/>
        </w:rPr>
        <w:t xml:space="preserve">Average </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8.50%</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11.68%</w:t>
      </w:r>
    </w:p>
    <w:p w:rsidR="005A5484" w:rsidRPr="009C1F0A" w:rsidRDefault="005A5484" w:rsidP="009C1F0A">
      <w:pPr>
        <w:rPr>
          <w:rFonts w:ascii="Times New Roman" w:hAnsi="Times New Roman" w:cs="Times New Roman"/>
          <w:iCs/>
          <w:sz w:val="24"/>
          <w:szCs w:val="24"/>
          <w:lang w:val="en-AU"/>
        </w:rPr>
      </w:pPr>
      <w:r w:rsidRPr="009C1F0A">
        <w:rPr>
          <w:rFonts w:ascii="Times New Roman" w:hAnsi="Times New Roman" w:cs="Times New Roman"/>
          <w:iCs/>
          <w:sz w:val="24"/>
          <w:szCs w:val="24"/>
          <w:lang w:val="en-AU"/>
        </w:rPr>
        <w:t>Median</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5.34%</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11.96%</w:t>
      </w:r>
    </w:p>
    <w:p w:rsidR="005A5484" w:rsidRPr="009C1F0A" w:rsidRDefault="005A5484" w:rsidP="009C1F0A">
      <w:pPr>
        <w:rPr>
          <w:rFonts w:ascii="Times New Roman" w:hAnsi="Times New Roman" w:cs="Times New Roman"/>
          <w:iCs/>
          <w:sz w:val="24"/>
          <w:szCs w:val="24"/>
          <w:lang w:val="en-AU"/>
        </w:rPr>
      </w:pPr>
      <w:r w:rsidRPr="009C1F0A">
        <w:rPr>
          <w:rFonts w:ascii="Times New Roman" w:hAnsi="Times New Roman" w:cs="Times New Roman"/>
          <w:iCs/>
          <w:sz w:val="24"/>
          <w:szCs w:val="24"/>
          <w:lang w:val="en-AU"/>
        </w:rPr>
        <w:t>Standard deviation</w:t>
      </w:r>
      <w:r w:rsidRPr="009C1F0A">
        <w:rPr>
          <w:rFonts w:ascii="Times New Roman" w:hAnsi="Times New Roman" w:cs="Times New Roman"/>
          <w:sz w:val="24"/>
          <w:szCs w:val="24"/>
        </w:rPr>
        <w:t>†</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6.19%</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2.13%</w:t>
      </w:r>
    </w:p>
    <w:p w:rsidR="005A5484" w:rsidRPr="009C1F0A" w:rsidRDefault="005A5484" w:rsidP="009C1F0A">
      <w:pPr>
        <w:rPr>
          <w:rFonts w:ascii="Times New Roman" w:hAnsi="Times New Roman" w:cs="Times New Roman"/>
          <w:b/>
          <w:iCs/>
          <w:sz w:val="24"/>
          <w:szCs w:val="24"/>
          <w:lang w:val="en-AU"/>
        </w:rPr>
      </w:pPr>
    </w:p>
    <w:p w:rsidR="005A5484" w:rsidRPr="009C1F0A" w:rsidRDefault="005A5484" w:rsidP="009C1F0A">
      <w:pPr>
        <w:pStyle w:val="ListParagraph"/>
        <w:numPr>
          <w:ilvl w:val="0"/>
          <w:numId w:val="1"/>
        </w:numPr>
        <w:rPr>
          <w:rFonts w:ascii="Times New Roman" w:hAnsi="Times New Roman" w:cs="Times New Roman"/>
          <w:b/>
          <w:iCs/>
          <w:sz w:val="24"/>
          <w:szCs w:val="24"/>
          <w:lang w:val="en-AU"/>
        </w:rPr>
      </w:pPr>
      <w:r w:rsidRPr="009C1F0A">
        <w:rPr>
          <w:rFonts w:ascii="Times New Roman" w:hAnsi="Times New Roman" w:cs="Times New Roman"/>
          <w:b/>
          <w:iCs/>
          <w:sz w:val="24"/>
          <w:szCs w:val="24"/>
          <w:lang w:val="en-AU"/>
        </w:rPr>
        <w:t>Risk adjustment factor estimates</w:t>
      </w:r>
    </w:p>
    <w:p w:rsidR="005A5484" w:rsidRPr="009C1F0A" w:rsidRDefault="005A5484" w:rsidP="009C1F0A">
      <w:pPr>
        <w:pStyle w:val="ListParagraph"/>
        <w:ind w:left="360"/>
        <w:rPr>
          <w:rFonts w:ascii="Times New Roman" w:hAnsi="Times New Roman" w:cs="Times New Roman"/>
          <w:b/>
          <w:iCs/>
          <w:sz w:val="24"/>
          <w:szCs w:val="24"/>
          <w:lang w:val="en-AU"/>
        </w:rPr>
      </w:pPr>
    </w:p>
    <w:p w:rsidR="005A5484" w:rsidRPr="009C1F0A" w:rsidRDefault="005A5484" w:rsidP="009C1F0A">
      <w:pPr>
        <w:ind w:left="2880" w:firstLine="720"/>
        <w:rPr>
          <w:rFonts w:ascii="Times New Roman" w:hAnsi="Times New Roman" w:cs="Times New Roman"/>
          <w:b/>
          <w:i/>
          <w:iCs/>
          <w:sz w:val="24"/>
          <w:szCs w:val="24"/>
          <w:lang w:val="en-AU"/>
        </w:rPr>
      </w:pPr>
      <w:proofErr w:type="gramStart"/>
      <w:r w:rsidRPr="009C1F0A">
        <w:rPr>
          <w:rFonts w:ascii="Times New Roman" w:hAnsi="Times New Roman" w:cs="Times New Roman"/>
          <w:b/>
          <w:i/>
          <w:sz w:val="24"/>
          <w:szCs w:val="24"/>
          <w:lang w:val="en-AU"/>
        </w:rPr>
        <w:t>γ</w:t>
      </w:r>
      <w:proofErr w:type="gramEnd"/>
      <w:r w:rsidRPr="009C1F0A">
        <w:rPr>
          <w:rFonts w:ascii="Times New Roman" w:hAnsi="Times New Roman" w:cs="Times New Roman"/>
          <w:b/>
          <w:i/>
          <w:sz w:val="24"/>
          <w:szCs w:val="24"/>
          <w:vertAlign w:val="subscript"/>
          <w:lang w:val="en-AU"/>
        </w:rPr>
        <w:t xml:space="preserve"> </w:t>
      </w:r>
      <w:r w:rsidRPr="009C1F0A">
        <w:rPr>
          <w:rFonts w:ascii="Times New Roman" w:hAnsi="Times New Roman" w:cs="Times New Roman"/>
          <w:b/>
          <w:i/>
          <w:sz w:val="24"/>
          <w:szCs w:val="24"/>
          <w:vertAlign w:val="subscript"/>
          <w:lang w:val="en-AU"/>
        </w:rPr>
        <w:tab/>
      </w:r>
      <w:r w:rsidRPr="009C1F0A">
        <w:rPr>
          <w:rFonts w:ascii="Times New Roman" w:hAnsi="Times New Roman" w:cs="Times New Roman"/>
          <w:b/>
          <w:i/>
          <w:sz w:val="24"/>
          <w:szCs w:val="24"/>
          <w:vertAlign w:val="subscript"/>
          <w:lang w:val="en-AU"/>
        </w:rPr>
        <w:tab/>
        <w:t xml:space="preserve"> </w:t>
      </w:r>
      <w:r w:rsidRPr="009C1F0A">
        <w:rPr>
          <w:rFonts w:ascii="Times New Roman" w:hAnsi="Times New Roman" w:cs="Times New Roman"/>
          <w:b/>
          <w:i/>
          <w:iCs/>
          <w:sz w:val="24"/>
          <w:szCs w:val="24"/>
          <w:lang w:val="en-AU"/>
        </w:rPr>
        <w:t>β</w:t>
      </w:r>
      <w:r w:rsidRPr="009C1F0A">
        <w:rPr>
          <w:rFonts w:ascii="Times New Roman" w:hAnsi="Times New Roman" w:cs="Times New Roman"/>
          <w:b/>
          <w:i/>
          <w:iCs/>
          <w:sz w:val="24"/>
          <w:szCs w:val="24"/>
          <w:lang w:val="en-AU"/>
        </w:rPr>
        <w:tab/>
      </w:r>
      <w:r w:rsidRPr="009C1F0A">
        <w:rPr>
          <w:rFonts w:ascii="Times New Roman" w:hAnsi="Times New Roman" w:cs="Times New Roman"/>
          <w:b/>
          <w:i/>
          <w:iCs/>
          <w:sz w:val="24"/>
          <w:szCs w:val="24"/>
          <w:lang w:val="en-AU"/>
        </w:rPr>
        <w:tab/>
        <w:t>Difference</w:t>
      </w:r>
    </w:p>
    <w:p w:rsidR="005A5484" w:rsidRPr="009C1F0A" w:rsidRDefault="005A5484" w:rsidP="009C1F0A">
      <w:pPr>
        <w:rPr>
          <w:rFonts w:ascii="Times New Roman" w:hAnsi="Times New Roman" w:cs="Times New Roman"/>
          <w:b/>
          <w:iCs/>
          <w:sz w:val="24"/>
          <w:szCs w:val="24"/>
          <w:lang w:val="en-AU"/>
        </w:rPr>
      </w:pPr>
      <w:r w:rsidRPr="009C1F0A">
        <w:rPr>
          <w:rFonts w:ascii="Times New Roman" w:hAnsi="Times New Roman" w:cs="Times New Roman"/>
          <w:iCs/>
          <w:sz w:val="24"/>
          <w:szCs w:val="24"/>
          <w:lang w:val="en-AU"/>
        </w:rPr>
        <w:t>Average</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0.816</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0.960</w:t>
      </w:r>
      <w:r w:rsidRPr="009C1F0A">
        <w:rPr>
          <w:rFonts w:ascii="Times New Roman" w:hAnsi="Times New Roman" w:cs="Times New Roman"/>
          <w:iCs/>
          <w:sz w:val="24"/>
          <w:szCs w:val="24"/>
          <w:lang w:val="en-AU"/>
        </w:rPr>
        <w:tab/>
      </w:r>
      <w:r w:rsidRPr="009C1F0A">
        <w:rPr>
          <w:rFonts w:ascii="Times New Roman" w:hAnsi="Times New Roman" w:cs="Times New Roman"/>
          <w:i/>
          <w:iCs/>
          <w:sz w:val="24"/>
          <w:szCs w:val="24"/>
          <w:lang w:val="en-AU"/>
        </w:rPr>
        <w:tab/>
      </w:r>
      <w:r w:rsidRPr="009C1F0A">
        <w:rPr>
          <w:rFonts w:ascii="Times New Roman" w:hAnsi="Times New Roman" w:cs="Times New Roman"/>
          <w:sz w:val="24"/>
          <w:szCs w:val="24"/>
          <w:lang w:val="en-AU"/>
        </w:rPr>
        <w:t>0.144*</w:t>
      </w:r>
    </w:p>
    <w:p w:rsidR="005A5484" w:rsidRPr="009C1F0A" w:rsidRDefault="005A5484" w:rsidP="009C1F0A">
      <w:pPr>
        <w:rPr>
          <w:rFonts w:ascii="Times New Roman" w:hAnsi="Times New Roman" w:cs="Times New Roman"/>
          <w:iCs/>
          <w:sz w:val="24"/>
          <w:szCs w:val="24"/>
          <w:lang w:val="en-AU"/>
        </w:rPr>
      </w:pPr>
      <w:r w:rsidRPr="009C1F0A">
        <w:rPr>
          <w:rFonts w:ascii="Times New Roman" w:hAnsi="Times New Roman" w:cs="Times New Roman"/>
          <w:iCs/>
          <w:sz w:val="24"/>
          <w:szCs w:val="24"/>
          <w:lang w:val="en-AU"/>
        </w:rPr>
        <w:t>Median</w:t>
      </w:r>
      <w:r w:rsidRPr="009C1F0A">
        <w:rPr>
          <w:rFonts w:ascii="Times New Roman" w:hAnsi="Times New Roman" w:cs="Times New Roman"/>
          <w:iCs/>
          <w:sz w:val="24"/>
          <w:szCs w:val="24"/>
          <w:lang w:val="en-AU"/>
        </w:rPr>
        <w:tab/>
      </w:r>
      <w:r w:rsidRPr="009C1F0A">
        <w:rPr>
          <w:rFonts w:ascii="Times New Roman" w:hAnsi="Times New Roman" w:cs="Times New Roman"/>
          <w:b/>
          <w:iCs/>
          <w:sz w:val="24"/>
          <w:szCs w:val="24"/>
          <w:lang w:val="en-AU"/>
        </w:rPr>
        <w:tab/>
      </w:r>
      <w:r w:rsidRPr="009C1F0A">
        <w:rPr>
          <w:rFonts w:ascii="Times New Roman" w:hAnsi="Times New Roman" w:cs="Times New Roman"/>
          <w:b/>
          <w:iCs/>
          <w:sz w:val="24"/>
          <w:szCs w:val="24"/>
          <w:lang w:val="en-AU"/>
        </w:rPr>
        <w:tab/>
      </w:r>
      <w:r w:rsidRPr="009C1F0A">
        <w:rPr>
          <w:rFonts w:ascii="Times New Roman" w:hAnsi="Times New Roman" w:cs="Times New Roman"/>
          <w:b/>
          <w:iCs/>
          <w:sz w:val="24"/>
          <w:szCs w:val="24"/>
          <w:lang w:val="en-AU"/>
        </w:rPr>
        <w:tab/>
      </w:r>
      <w:r w:rsidRPr="009C1F0A">
        <w:rPr>
          <w:rFonts w:ascii="Times New Roman" w:hAnsi="Times New Roman" w:cs="Times New Roman"/>
          <w:iCs/>
          <w:sz w:val="24"/>
          <w:szCs w:val="24"/>
          <w:lang w:val="en-AU"/>
        </w:rPr>
        <w:t>0.439</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0.996</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sz w:val="24"/>
          <w:szCs w:val="24"/>
          <w:lang w:val="en-AU"/>
        </w:rPr>
        <w:t>0.557**</w:t>
      </w:r>
    </w:p>
    <w:p w:rsidR="005A5484" w:rsidRPr="009C1F0A" w:rsidRDefault="005A5484" w:rsidP="009C1F0A">
      <w:pPr>
        <w:rPr>
          <w:rFonts w:ascii="Times New Roman" w:hAnsi="Times New Roman" w:cs="Times New Roman"/>
          <w:iCs/>
          <w:sz w:val="24"/>
          <w:szCs w:val="24"/>
          <w:lang w:val="en-AU"/>
        </w:rPr>
      </w:pPr>
      <w:r w:rsidRPr="009C1F0A">
        <w:rPr>
          <w:rFonts w:ascii="Times New Roman" w:hAnsi="Times New Roman" w:cs="Times New Roman"/>
          <w:iCs/>
          <w:sz w:val="24"/>
          <w:szCs w:val="24"/>
          <w:lang w:val="en-AU"/>
        </w:rPr>
        <w:t>Standard deviation</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0.932</w:t>
      </w:r>
      <w:r w:rsidRPr="009C1F0A">
        <w:rPr>
          <w:rFonts w:ascii="Times New Roman" w:hAnsi="Times New Roman" w:cs="Times New Roman"/>
          <w:iCs/>
          <w:sz w:val="24"/>
          <w:szCs w:val="24"/>
          <w:lang w:val="en-AU"/>
        </w:rPr>
        <w:tab/>
      </w:r>
      <w:r w:rsidRPr="009C1F0A">
        <w:rPr>
          <w:rFonts w:ascii="Times New Roman" w:hAnsi="Times New Roman" w:cs="Times New Roman"/>
          <w:iCs/>
          <w:sz w:val="24"/>
          <w:szCs w:val="24"/>
          <w:lang w:val="en-AU"/>
        </w:rPr>
        <w:tab/>
        <w:t>0.266</w:t>
      </w:r>
    </w:p>
    <w:p w:rsidR="005A5484" w:rsidRPr="009C1F0A" w:rsidRDefault="005A5484" w:rsidP="009C1F0A">
      <w:pPr>
        <w:rPr>
          <w:rFonts w:ascii="Times New Roman" w:hAnsi="Times New Roman" w:cs="Times New Roman"/>
          <w:b/>
          <w:iCs/>
          <w:sz w:val="24"/>
          <w:szCs w:val="24"/>
          <w:lang w:val="en-AU"/>
        </w:rPr>
      </w:pPr>
    </w:p>
    <w:p w:rsidR="005A5484" w:rsidRPr="009C1F0A" w:rsidRDefault="005A5484" w:rsidP="009C1F0A">
      <w:pPr>
        <w:rPr>
          <w:rFonts w:ascii="Times New Roman" w:hAnsi="Times New Roman" w:cs="Times New Roman"/>
          <w:b/>
          <w:iCs/>
          <w:sz w:val="24"/>
          <w:szCs w:val="24"/>
          <w:lang w:val="en-AU"/>
        </w:rPr>
      </w:pPr>
    </w:p>
    <w:p w:rsidR="005A5484" w:rsidRPr="009C1F0A" w:rsidRDefault="005A5484" w:rsidP="009C1F0A">
      <w:pPr>
        <w:pStyle w:val="Default"/>
        <w:rPr>
          <w:iCs/>
          <w:lang w:val="en-AU"/>
        </w:rPr>
      </w:pPr>
      <w:r w:rsidRPr="009C1F0A">
        <w:rPr>
          <w:i/>
          <w:iCs/>
          <w:lang w:val="en-AU"/>
        </w:rPr>
        <w:t>Notes</w:t>
      </w:r>
      <w:r w:rsidRPr="009C1F0A">
        <w:rPr>
          <w:iCs/>
          <w:lang w:val="en-AU"/>
        </w:rPr>
        <w:t xml:space="preserve">: </w:t>
      </w:r>
      <w:r w:rsidRPr="009C1F0A">
        <w:t xml:space="preserve">† </w:t>
      </w:r>
      <w:r w:rsidRPr="009C1F0A">
        <w:rPr>
          <w:iCs/>
          <w:lang w:val="en-AU"/>
        </w:rPr>
        <w:t xml:space="preserve">CAPM estimates reflect only industry level variations; </w:t>
      </w:r>
      <w:r w:rsidRPr="009C1F0A">
        <w:rPr>
          <w:lang w:val="en-AU"/>
        </w:rPr>
        <w:t xml:space="preserve">** indicates statistical significance at the 5% threshold (p-value = 0.0101, using a non-parametric </w:t>
      </w:r>
      <w:proofErr w:type="spellStart"/>
      <w:r w:rsidRPr="009C1F0A">
        <w:rPr>
          <w:i/>
          <w:lang w:val="en-AU"/>
        </w:rPr>
        <w:t>Wilcoxon</w:t>
      </w:r>
      <w:proofErr w:type="spellEnd"/>
      <w:r w:rsidRPr="009C1F0A">
        <w:rPr>
          <w:lang w:val="en-AU"/>
        </w:rPr>
        <w:t xml:space="preserve"> two-tailed signed rank test); * indicates significance at the 10% confidence threshold (p-value = 0.0747, using a two-tailed paired t-test).</w:t>
      </w:r>
    </w:p>
    <w:p w:rsidR="005A5484" w:rsidRPr="009C1F0A" w:rsidRDefault="009C1F0A" w:rsidP="009C1F0A">
      <w:pPr>
        <w:spacing w:line="480" w:lineRule="auto"/>
        <w:rPr>
          <w:rFonts w:ascii="Times New Roman" w:hAnsi="Times New Roman" w:cs="Times New Roman"/>
          <w:i/>
          <w:iCs/>
          <w:sz w:val="24"/>
          <w:szCs w:val="24"/>
          <w:lang w:val="en-AU"/>
        </w:rPr>
      </w:pPr>
      <w:r w:rsidRPr="009C1F0A">
        <w:rPr>
          <w:rFonts w:ascii="Times New Roman" w:hAnsi="Times New Roman" w:cs="Times New Roman"/>
          <w:i/>
          <w:iCs/>
          <w:sz w:val="24"/>
          <w:szCs w:val="24"/>
          <w:lang w:val="en-AU"/>
        </w:rPr>
        <w:t>Source</w:t>
      </w:r>
      <w:r>
        <w:rPr>
          <w:rFonts w:ascii="Times New Roman" w:hAnsi="Times New Roman" w:cs="Times New Roman"/>
          <w:i/>
          <w:iCs/>
          <w:sz w:val="24"/>
          <w:szCs w:val="24"/>
          <w:lang w:val="en-AU"/>
        </w:rPr>
        <w:t>s</w:t>
      </w:r>
      <w:r w:rsidRPr="009C1F0A">
        <w:rPr>
          <w:rFonts w:ascii="Times New Roman" w:hAnsi="Times New Roman" w:cs="Times New Roman"/>
          <w:iCs/>
          <w:sz w:val="24"/>
          <w:szCs w:val="24"/>
          <w:lang w:val="en-AU"/>
        </w:rPr>
        <w:t xml:space="preserve">: Questionnaire data, </w:t>
      </w:r>
      <w:proofErr w:type="spellStart"/>
      <w:r w:rsidRPr="009C1F0A">
        <w:rPr>
          <w:rFonts w:ascii="Times New Roman" w:hAnsi="Times New Roman" w:cs="Times New Roman"/>
          <w:i/>
          <w:iCs/>
          <w:sz w:val="24"/>
          <w:szCs w:val="24"/>
          <w:lang w:val="en-AU"/>
        </w:rPr>
        <w:t>Datastream</w:t>
      </w:r>
      <w:proofErr w:type="spellEnd"/>
    </w:p>
    <w:p w:rsidR="009C1F0A" w:rsidRDefault="009C1F0A">
      <w:pPr>
        <w:rPr>
          <w:rFonts w:ascii="Times New Roman" w:hAnsi="Times New Roman" w:cs="Times New Roman"/>
          <w:color w:val="000000"/>
          <w:sz w:val="24"/>
          <w:szCs w:val="24"/>
          <w:lang w:val="en-AU"/>
        </w:rPr>
      </w:pPr>
      <w:r>
        <w:rPr>
          <w:lang w:val="en-AU"/>
        </w:rPr>
        <w:br w:type="page"/>
      </w:r>
    </w:p>
    <w:p w:rsidR="005A5484" w:rsidRPr="009C1F0A" w:rsidRDefault="005A5484" w:rsidP="009C1F0A">
      <w:pPr>
        <w:pStyle w:val="Default"/>
        <w:spacing w:line="480" w:lineRule="auto"/>
        <w:ind w:firstLine="720"/>
        <w:jc w:val="both"/>
        <w:rPr>
          <w:lang w:val="en-AU"/>
        </w:rPr>
      </w:pPr>
      <w:r w:rsidRPr="009C1F0A">
        <w:rPr>
          <w:lang w:val="en-AU"/>
        </w:rPr>
        <w:lastRenderedPageBreak/>
        <w:t xml:space="preserve">A particular feature is strong leftward skew, with a substantial proportion of firms having very low </w:t>
      </w:r>
      <w:r w:rsidRPr="009C1F0A">
        <w:rPr>
          <w:i/>
          <w:lang w:val="en-AU"/>
        </w:rPr>
        <w:t xml:space="preserve">γ </w:t>
      </w:r>
      <w:r w:rsidRPr="009C1F0A">
        <w:rPr>
          <w:lang w:val="en-AU"/>
        </w:rPr>
        <w:t xml:space="preserve">ratios, which has the effect of creating a median value significantly lower than the more approximately normal distribution implied when using betas. Figures 2 and 3 compare the underlying distributions of gamma and beta for the sample firms. </w:t>
      </w:r>
    </w:p>
    <w:p w:rsidR="005A5484" w:rsidRDefault="005A5484" w:rsidP="00BA65E4">
      <w:pPr>
        <w:outlineLvl w:val="0"/>
        <w:rPr>
          <w:b/>
          <w:sz w:val="24"/>
          <w:szCs w:val="24"/>
        </w:rPr>
      </w:pPr>
    </w:p>
    <w:p w:rsidR="005A5484" w:rsidRDefault="005A5484" w:rsidP="00BA65E4">
      <w:pPr>
        <w:outlineLvl w:val="0"/>
        <w:rPr>
          <w:b/>
          <w:sz w:val="24"/>
          <w:szCs w:val="24"/>
        </w:rPr>
      </w:pPr>
    </w:p>
    <w:p w:rsidR="005A5484" w:rsidRPr="000A6367" w:rsidRDefault="005A5484" w:rsidP="00BA65E4">
      <w:pPr>
        <w:outlineLvl w:val="0"/>
        <w:rPr>
          <w:b/>
          <w:sz w:val="24"/>
          <w:szCs w:val="24"/>
        </w:rPr>
      </w:pPr>
      <w:r w:rsidRPr="000A6367">
        <w:rPr>
          <w:b/>
          <w:sz w:val="24"/>
          <w:szCs w:val="24"/>
        </w:rPr>
        <w:t xml:space="preserve">Figure </w:t>
      </w:r>
      <w:r>
        <w:rPr>
          <w:b/>
          <w:sz w:val="24"/>
          <w:szCs w:val="24"/>
        </w:rPr>
        <w:t>2:</w:t>
      </w:r>
      <w:r w:rsidRPr="000A6367">
        <w:rPr>
          <w:b/>
          <w:sz w:val="24"/>
          <w:szCs w:val="24"/>
        </w:rPr>
        <w:t xml:space="preserve"> Gamma distribution</w:t>
      </w:r>
    </w:p>
    <w:p w:rsidR="005A5484" w:rsidRPr="000A6367" w:rsidRDefault="005A5484" w:rsidP="00BA65E4">
      <w:pPr>
        <w:rPr>
          <w:sz w:val="24"/>
          <w:szCs w:val="24"/>
        </w:rPr>
      </w:pPr>
    </w:p>
    <w:p w:rsidR="005A5484" w:rsidRPr="000A6367" w:rsidRDefault="005A5484" w:rsidP="00BA65E4">
      <w:pPr>
        <w:rPr>
          <w:sz w:val="24"/>
          <w:szCs w:val="24"/>
        </w:rPr>
      </w:pPr>
      <w:r>
        <w:rPr>
          <w:noProof/>
          <w:sz w:val="24"/>
          <w:szCs w:val="24"/>
          <w:lang w:eastAsia="en-GB"/>
        </w:rPr>
        <w:drawing>
          <wp:inline distT="0" distB="0" distL="0" distR="0">
            <wp:extent cx="5113020" cy="37414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13020" cy="3741420"/>
                    </a:xfrm>
                    <a:prstGeom prst="rect">
                      <a:avLst/>
                    </a:prstGeom>
                    <a:noFill/>
                    <a:ln w="9525">
                      <a:noFill/>
                      <a:miter lim="800000"/>
                      <a:headEnd/>
                      <a:tailEnd/>
                    </a:ln>
                  </pic:spPr>
                </pic:pic>
              </a:graphicData>
            </a:graphic>
          </wp:inline>
        </w:drawing>
      </w:r>
    </w:p>
    <w:p w:rsidR="005A5484" w:rsidRPr="000A6367" w:rsidRDefault="005A5484" w:rsidP="00BA65E4">
      <w:pPr>
        <w:outlineLvl w:val="0"/>
        <w:rPr>
          <w:b/>
          <w:sz w:val="24"/>
          <w:szCs w:val="24"/>
        </w:rPr>
      </w:pPr>
    </w:p>
    <w:p w:rsidR="005A5484" w:rsidRPr="000A6367" w:rsidRDefault="005A5484" w:rsidP="00BA65E4">
      <w:pPr>
        <w:outlineLvl w:val="0"/>
        <w:rPr>
          <w:b/>
          <w:sz w:val="24"/>
          <w:szCs w:val="24"/>
        </w:rPr>
      </w:pPr>
    </w:p>
    <w:p w:rsidR="009C1F0A" w:rsidRPr="009C1F0A" w:rsidRDefault="009C1F0A" w:rsidP="009C1F0A">
      <w:pPr>
        <w:spacing w:line="480" w:lineRule="auto"/>
        <w:rPr>
          <w:rFonts w:ascii="Times New Roman" w:hAnsi="Times New Roman" w:cs="Times New Roman"/>
          <w:i/>
          <w:iCs/>
          <w:sz w:val="24"/>
          <w:szCs w:val="24"/>
          <w:lang w:val="en-AU"/>
        </w:rPr>
      </w:pPr>
      <w:r w:rsidRPr="009C1F0A">
        <w:rPr>
          <w:rFonts w:ascii="Times New Roman" w:hAnsi="Times New Roman" w:cs="Times New Roman"/>
          <w:i/>
          <w:iCs/>
          <w:sz w:val="24"/>
          <w:szCs w:val="24"/>
          <w:lang w:val="en-AU"/>
        </w:rPr>
        <w:t>Source</w:t>
      </w:r>
      <w:r w:rsidRPr="009C1F0A">
        <w:rPr>
          <w:rFonts w:ascii="Times New Roman" w:hAnsi="Times New Roman" w:cs="Times New Roman"/>
          <w:iCs/>
          <w:sz w:val="24"/>
          <w:szCs w:val="24"/>
          <w:lang w:val="en-AU"/>
        </w:rPr>
        <w:t>: Questionnaire data</w:t>
      </w:r>
    </w:p>
    <w:p w:rsidR="009C1F0A" w:rsidRDefault="009C1F0A">
      <w:pPr>
        <w:rPr>
          <w:b/>
          <w:sz w:val="24"/>
          <w:szCs w:val="24"/>
        </w:rPr>
      </w:pPr>
    </w:p>
    <w:p w:rsidR="009C1F0A" w:rsidRDefault="009C1F0A">
      <w:pPr>
        <w:rPr>
          <w:b/>
          <w:sz w:val="24"/>
          <w:szCs w:val="24"/>
        </w:rPr>
      </w:pPr>
      <w:r>
        <w:rPr>
          <w:b/>
          <w:sz w:val="24"/>
          <w:szCs w:val="24"/>
        </w:rPr>
        <w:br w:type="page"/>
      </w:r>
    </w:p>
    <w:p w:rsidR="005A5484" w:rsidRPr="000A6367" w:rsidRDefault="005A5484" w:rsidP="00BA65E4">
      <w:pPr>
        <w:outlineLvl w:val="0"/>
        <w:rPr>
          <w:b/>
          <w:sz w:val="24"/>
          <w:szCs w:val="24"/>
        </w:rPr>
      </w:pPr>
      <w:r w:rsidRPr="000A6367">
        <w:rPr>
          <w:b/>
          <w:sz w:val="24"/>
          <w:szCs w:val="24"/>
        </w:rPr>
        <w:lastRenderedPageBreak/>
        <w:t xml:space="preserve">Figure </w:t>
      </w:r>
      <w:r>
        <w:rPr>
          <w:b/>
          <w:sz w:val="24"/>
          <w:szCs w:val="24"/>
        </w:rPr>
        <w:t>3</w:t>
      </w:r>
      <w:r w:rsidRPr="000A6367">
        <w:rPr>
          <w:b/>
          <w:sz w:val="24"/>
          <w:szCs w:val="24"/>
        </w:rPr>
        <w:t>: Beta distribution</w:t>
      </w:r>
    </w:p>
    <w:p w:rsidR="005A5484" w:rsidRDefault="005A5484" w:rsidP="00BA65E4">
      <w:pPr>
        <w:rPr>
          <w:b/>
          <w:sz w:val="24"/>
          <w:szCs w:val="24"/>
        </w:rPr>
      </w:pPr>
    </w:p>
    <w:p w:rsidR="005A5484" w:rsidRPr="000A6367" w:rsidRDefault="005A5484" w:rsidP="00BA65E4">
      <w:pPr>
        <w:rPr>
          <w:b/>
          <w:sz w:val="24"/>
          <w:szCs w:val="24"/>
        </w:rPr>
      </w:pPr>
      <w:r>
        <w:rPr>
          <w:b/>
          <w:noProof/>
          <w:sz w:val="24"/>
          <w:szCs w:val="24"/>
          <w:lang w:eastAsia="en-GB"/>
        </w:rPr>
        <w:drawing>
          <wp:inline distT="0" distB="0" distL="0" distR="0">
            <wp:extent cx="5113020" cy="37414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13020" cy="3741420"/>
                    </a:xfrm>
                    <a:prstGeom prst="rect">
                      <a:avLst/>
                    </a:prstGeom>
                    <a:noFill/>
                    <a:ln w="9525">
                      <a:noFill/>
                      <a:miter lim="800000"/>
                      <a:headEnd/>
                      <a:tailEnd/>
                    </a:ln>
                  </pic:spPr>
                </pic:pic>
              </a:graphicData>
            </a:graphic>
          </wp:inline>
        </w:drawing>
      </w:r>
    </w:p>
    <w:p w:rsidR="005A5484" w:rsidRPr="000A6367" w:rsidRDefault="005A5484" w:rsidP="00BA65E4">
      <w:pPr>
        <w:rPr>
          <w:b/>
          <w:sz w:val="24"/>
          <w:szCs w:val="24"/>
        </w:rPr>
      </w:pPr>
    </w:p>
    <w:p w:rsidR="005A5484" w:rsidRPr="000A6367" w:rsidRDefault="005A5484" w:rsidP="00BA65E4">
      <w:pPr>
        <w:rPr>
          <w:b/>
          <w:sz w:val="24"/>
          <w:szCs w:val="24"/>
        </w:rPr>
      </w:pPr>
    </w:p>
    <w:p w:rsidR="009C1F0A" w:rsidRPr="009C1F0A" w:rsidRDefault="009C1F0A" w:rsidP="009C1F0A">
      <w:pPr>
        <w:spacing w:line="480" w:lineRule="auto"/>
        <w:rPr>
          <w:rFonts w:ascii="Times New Roman" w:hAnsi="Times New Roman" w:cs="Times New Roman"/>
          <w:i/>
          <w:iCs/>
          <w:sz w:val="24"/>
          <w:szCs w:val="24"/>
          <w:lang w:val="en-AU"/>
        </w:rPr>
      </w:pPr>
      <w:r w:rsidRPr="009C1F0A">
        <w:rPr>
          <w:rFonts w:ascii="Times New Roman" w:hAnsi="Times New Roman" w:cs="Times New Roman"/>
          <w:i/>
          <w:iCs/>
          <w:sz w:val="24"/>
          <w:szCs w:val="24"/>
          <w:lang w:val="en-AU"/>
        </w:rPr>
        <w:t>Source</w:t>
      </w:r>
      <w:r>
        <w:rPr>
          <w:rFonts w:ascii="Times New Roman" w:hAnsi="Times New Roman" w:cs="Times New Roman"/>
          <w:i/>
          <w:iCs/>
          <w:sz w:val="24"/>
          <w:szCs w:val="24"/>
          <w:lang w:val="en-AU"/>
        </w:rPr>
        <w:t>s</w:t>
      </w:r>
      <w:r w:rsidRPr="009C1F0A">
        <w:rPr>
          <w:rFonts w:ascii="Times New Roman" w:hAnsi="Times New Roman" w:cs="Times New Roman"/>
          <w:iCs/>
          <w:sz w:val="24"/>
          <w:szCs w:val="24"/>
          <w:lang w:val="en-AU"/>
        </w:rPr>
        <w:t xml:space="preserve">: Questionnaire data, </w:t>
      </w:r>
      <w:proofErr w:type="spellStart"/>
      <w:r w:rsidRPr="009C1F0A">
        <w:rPr>
          <w:rFonts w:ascii="Times New Roman" w:hAnsi="Times New Roman" w:cs="Times New Roman"/>
          <w:i/>
          <w:iCs/>
          <w:sz w:val="24"/>
          <w:szCs w:val="24"/>
          <w:lang w:val="en-AU"/>
        </w:rPr>
        <w:t>Datastream</w:t>
      </w:r>
      <w:proofErr w:type="spellEnd"/>
    </w:p>
    <w:p w:rsidR="009C1F0A" w:rsidRDefault="009C1F0A" w:rsidP="009C1F0A">
      <w:pPr>
        <w:pStyle w:val="Default"/>
        <w:spacing w:line="480" w:lineRule="auto"/>
        <w:ind w:firstLine="720"/>
        <w:jc w:val="both"/>
      </w:pPr>
    </w:p>
    <w:p w:rsidR="009C1F0A" w:rsidRDefault="009C1F0A" w:rsidP="009C1F0A">
      <w:pPr>
        <w:pStyle w:val="Default"/>
        <w:spacing w:line="480" w:lineRule="auto"/>
        <w:ind w:firstLine="720"/>
        <w:jc w:val="both"/>
      </w:pPr>
    </w:p>
    <w:p w:rsidR="005A5484" w:rsidRDefault="005A5484" w:rsidP="009C1F0A">
      <w:pPr>
        <w:pStyle w:val="Default"/>
        <w:spacing w:line="480" w:lineRule="auto"/>
        <w:ind w:firstLine="720"/>
        <w:jc w:val="both"/>
      </w:pPr>
      <w:r w:rsidRPr="000A6367">
        <w:t xml:space="preserve">The patterns in figures </w:t>
      </w:r>
      <w:r>
        <w:t>2</w:t>
      </w:r>
      <w:r w:rsidRPr="000A6367">
        <w:t xml:space="preserve"> and </w:t>
      </w:r>
      <w:r>
        <w:t>3</w:t>
      </w:r>
      <w:r w:rsidRPr="000A6367">
        <w:t xml:space="preserve"> clearly show the non-normality in the distribution of the gamma ratio.</w:t>
      </w:r>
      <w:r w:rsidR="00AB5EC7">
        <w:t xml:space="preserve"> The closer proximity of beta to a normal distribution is to be expected given the assumptions of the CAPM.</w:t>
      </w:r>
      <w:r w:rsidR="00AB5EC7">
        <w:rPr>
          <w:rStyle w:val="EndnoteReference"/>
        </w:rPr>
        <w:endnoteReference w:id="16"/>
      </w:r>
      <w:r w:rsidR="00AB5EC7" w:rsidRPr="000A6367">
        <w:t>A</w:t>
      </w:r>
      <w:r w:rsidRPr="000A6367">
        <w:t xml:space="preserve"> particular feature is the strong leftward skew in figure </w:t>
      </w:r>
      <w:r>
        <w:t>2</w:t>
      </w:r>
      <w:r w:rsidRPr="000A6367">
        <w:t xml:space="preserve"> which has the effect of creating a median value significantly lower the more approximately normal distribution implied when using betas. </w:t>
      </w:r>
    </w:p>
    <w:p w:rsidR="005A5484" w:rsidRPr="000A6367" w:rsidRDefault="005A5484" w:rsidP="009C1F0A">
      <w:pPr>
        <w:pStyle w:val="Default"/>
        <w:spacing w:line="480" w:lineRule="auto"/>
        <w:ind w:firstLine="720"/>
        <w:jc w:val="both"/>
      </w:pPr>
      <w:r w:rsidRPr="00C63502">
        <w:rPr>
          <w:lang w:val="en-AU"/>
        </w:rPr>
        <w:t xml:space="preserve">An important reason for this is the underlying pattern of cost behaviour. </w:t>
      </w:r>
      <w:r w:rsidRPr="000A6367">
        <w:t xml:space="preserve">The frequency distribution of variable cost as a percentage of total cost </w:t>
      </w:r>
      <w:r>
        <w:t xml:space="preserve">by firm </w:t>
      </w:r>
      <w:r w:rsidRPr="000A6367">
        <w:t xml:space="preserve">is shown in figure 4. These are the estimates of the split of total cost into fixed and variable components using </w:t>
      </w:r>
      <w:r w:rsidRPr="000A6367">
        <w:lastRenderedPageBreak/>
        <w:t>the information supplied in the 93 questionnaires.</w:t>
      </w:r>
      <w:r w:rsidR="0064242A">
        <w:rPr>
          <w:rStyle w:val="EndnoteReference"/>
        </w:rPr>
        <w:endnoteReference w:id="17"/>
      </w:r>
      <w:r w:rsidR="0064242A" w:rsidRPr="000A6367">
        <w:t xml:space="preserve"> </w:t>
      </w:r>
      <w:r>
        <w:t xml:space="preserve">The figure shows the percentage of variable cost to total cost for each firm arranged into </w:t>
      </w:r>
      <w:proofErr w:type="spellStart"/>
      <w:r>
        <w:t>decile</w:t>
      </w:r>
      <w:proofErr w:type="spellEnd"/>
      <w:r>
        <w:t xml:space="preserve"> groups.</w:t>
      </w:r>
    </w:p>
    <w:p w:rsidR="005A5484" w:rsidRPr="000A6367" w:rsidRDefault="005A5484" w:rsidP="009E0779">
      <w:pPr>
        <w:pStyle w:val="FootnoteText"/>
        <w:rPr>
          <w:sz w:val="24"/>
        </w:rPr>
      </w:pPr>
    </w:p>
    <w:p w:rsidR="009C1F0A" w:rsidRDefault="009C1F0A">
      <w:pPr>
        <w:rPr>
          <w:b/>
          <w:sz w:val="24"/>
          <w:szCs w:val="20"/>
        </w:rPr>
      </w:pPr>
    </w:p>
    <w:p w:rsidR="005A5484" w:rsidRPr="000A6367" w:rsidRDefault="005A5484" w:rsidP="009E0779">
      <w:pPr>
        <w:pStyle w:val="FootnoteText"/>
        <w:outlineLvl w:val="0"/>
        <w:rPr>
          <w:b/>
          <w:sz w:val="24"/>
        </w:rPr>
      </w:pPr>
      <w:r>
        <w:rPr>
          <w:b/>
          <w:sz w:val="24"/>
        </w:rPr>
        <w:t>Figure 4</w:t>
      </w:r>
      <w:r w:rsidRPr="000A6367">
        <w:rPr>
          <w:b/>
          <w:sz w:val="24"/>
        </w:rPr>
        <w:t>: Frequency distribution of variable cost</w:t>
      </w:r>
    </w:p>
    <w:p w:rsidR="005A5484" w:rsidRPr="000A6367" w:rsidRDefault="005A5484" w:rsidP="009E0779">
      <w:pPr>
        <w:pStyle w:val="FootnoteText"/>
        <w:rPr>
          <w:sz w:val="24"/>
        </w:rPr>
      </w:pPr>
    </w:p>
    <w:p w:rsidR="009C1F0A" w:rsidRDefault="009C1F0A" w:rsidP="009C1F0A">
      <w:pPr>
        <w:pStyle w:val="Default"/>
        <w:spacing w:line="480" w:lineRule="auto"/>
        <w:ind w:firstLine="720"/>
        <w:jc w:val="both"/>
      </w:pPr>
    </w:p>
    <w:p w:rsidR="009C1F0A" w:rsidRPr="009C1F0A" w:rsidRDefault="005A5484" w:rsidP="009C1F0A">
      <w:pPr>
        <w:spacing w:line="480" w:lineRule="auto"/>
        <w:rPr>
          <w:rFonts w:ascii="Times New Roman" w:hAnsi="Times New Roman" w:cs="Times New Roman"/>
          <w:i/>
          <w:iCs/>
          <w:sz w:val="24"/>
          <w:szCs w:val="24"/>
          <w:lang w:val="en-AU"/>
        </w:rPr>
      </w:pPr>
      <w:r>
        <w:rPr>
          <w:noProof/>
          <w:lang w:eastAsia="en-GB"/>
        </w:rPr>
        <w:drawing>
          <wp:inline distT="0" distB="0" distL="0" distR="0">
            <wp:extent cx="5113020" cy="37414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113020" cy="3741420"/>
                    </a:xfrm>
                    <a:prstGeom prst="rect">
                      <a:avLst/>
                    </a:prstGeom>
                    <a:noFill/>
                    <a:ln w="9525">
                      <a:noFill/>
                      <a:miter lim="800000"/>
                      <a:headEnd/>
                      <a:tailEnd/>
                    </a:ln>
                  </pic:spPr>
                </pic:pic>
              </a:graphicData>
            </a:graphic>
          </wp:inline>
        </w:drawing>
      </w:r>
      <w:r w:rsidR="009C1F0A" w:rsidRPr="009C1F0A">
        <w:rPr>
          <w:rFonts w:ascii="Times New Roman" w:hAnsi="Times New Roman" w:cs="Times New Roman"/>
          <w:i/>
          <w:iCs/>
          <w:sz w:val="24"/>
          <w:szCs w:val="24"/>
          <w:lang w:val="en-AU"/>
        </w:rPr>
        <w:t>Source</w:t>
      </w:r>
      <w:r w:rsidR="009C1F0A">
        <w:rPr>
          <w:rFonts w:ascii="Times New Roman" w:hAnsi="Times New Roman" w:cs="Times New Roman"/>
          <w:i/>
          <w:iCs/>
          <w:sz w:val="24"/>
          <w:szCs w:val="24"/>
          <w:lang w:val="en-AU"/>
        </w:rPr>
        <w:t>s</w:t>
      </w:r>
      <w:r w:rsidR="009C1F0A" w:rsidRPr="009C1F0A">
        <w:rPr>
          <w:rFonts w:ascii="Times New Roman" w:hAnsi="Times New Roman" w:cs="Times New Roman"/>
          <w:iCs/>
          <w:sz w:val="24"/>
          <w:szCs w:val="24"/>
          <w:lang w:val="en-AU"/>
        </w:rPr>
        <w:t xml:space="preserve">: Questionnaire data, </w:t>
      </w:r>
      <w:proofErr w:type="spellStart"/>
      <w:r w:rsidR="009C1F0A" w:rsidRPr="009C1F0A">
        <w:rPr>
          <w:rFonts w:ascii="Times New Roman" w:hAnsi="Times New Roman" w:cs="Times New Roman"/>
          <w:i/>
          <w:iCs/>
          <w:sz w:val="24"/>
          <w:szCs w:val="24"/>
          <w:lang w:val="en-AU"/>
        </w:rPr>
        <w:t>Datastream</w:t>
      </w:r>
      <w:proofErr w:type="spellEnd"/>
    </w:p>
    <w:p w:rsidR="008B4494" w:rsidRDefault="008B4494" w:rsidP="009C1F0A">
      <w:pPr>
        <w:pStyle w:val="Default"/>
        <w:spacing w:line="480" w:lineRule="auto"/>
        <w:ind w:firstLine="720"/>
        <w:jc w:val="both"/>
      </w:pPr>
    </w:p>
    <w:p w:rsidR="009E0779" w:rsidRPr="000A6367" w:rsidRDefault="005A5484" w:rsidP="009C1F0A">
      <w:pPr>
        <w:pStyle w:val="Default"/>
        <w:spacing w:line="480" w:lineRule="auto"/>
        <w:ind w:firstLine="720"/>
        <w:jc w:val="both"/>
      </w:pPr>
      <w:r w:rsidRPr="000A6367">
        <w:t xml:space="preserve">As </w:t>
      </w:r>
      <w:r>
        <w:t xml:space="preserve">figure 4 </w:t>
      </w:r>
      <w:r w:rsidRPr="000A6367">
        <w:t xml:space="preserve">shows, the majority of firms are characterised by very high variable cost structures. Further details of the underlying cost estimates are shown in table </w:t>
      </w:r>
      <w:r>
        <w:t>2</w:t>
      </w:r>
      <w:r w:rsidRPr="000A6367">
        <w:t>. As the table shows the proportion of variable cost is high, representing 73.63% of the total. Using a similar approach based on national income data the long run variable cost percentage is 82.96% for services and 85.65% for manufacturing</w:t>
      </w:r>
      <w:r w:rsidRPr="000A6367">
        <w:rPr>
          <w:iCs/>
        </w:rPr>
        <w:t>.</w:t>
      </w:r>
      <w:r>
        <w:rPr>
          <w:rStyle w:val="EndnoteReference"/>
          <w:iCs/>
        </w:rPr>
        <w:endnoteReference w:id="18"/>
      </w:r>
      <w:r w:rsidRPr="000A6367">
        <w:rPr>
          <w:iCs/>
        </w:rPr>
        <w:t xml:space="preserve"> </w:t>
      </w:r>
      <w:r w:rsidR="009E0779" w:rsidRPr="000A6367">
        <w:t xml:space="preserve">Even factoring the possibility of error in the questionnaire returns, the average variable cost percentage does not appear to be an overestimate. </w:t>
      </w:r>
    </w:p>
    <w:p w:rsidR="009E0779" w:rsidRPr="000A6367" w:rsidRDefault="009E0779" w:rsidP="009E0779">
      <w:pPr>
        <w:pStyle w:val="FootnoteText"/>
        <w:ind w:firstLine="720"/>
        <w:rPr>
          <w:sz w:val="24"/>
          <w:szCs w:val="24"/>
        </w:rPr>
      </w:pPr>
    </w:p>
    <w:p w:rsidR="009E0779" w:rsidRPr="000A6367" w:rsidRDefault="009E0779" w:rsidP="009E0779"/>
    <w:p w:rsidR="009E0779" w:rsidRPr="000A6367" w:rsidRDefault="009E0779" w:rsidP="009E0779">
      <w:pPr>
        <w:outlineLvl w:val="0"/>
        <w:rPr>
          <w:rFonts w:ascii="Arial" w:hAnsi="Arial" w:cs="Arial"/>
          <w:b/>
          <w:bCs/>
        </w:rPr>
      </w:pPr>
      <w:r w:rsidRPr="000A6367">
        <w:rPr>
          <w:rFonts w:ascii="Arial" w:hAnsi="Arial" w:cs="Arial"/>
          <w:b/>
          <w:bCs/>
        </w:rPr>
        <w:t xml:space="preserve">Table </w:t>
      </w:r>
      <w:r w:rsidR="001B197E">
        <w:rPr>
          <w:rFonts w:ascii="Arial" w:hAnsi="Arial" w:cs="Arial"/>
          <w:b/>
          <w:bCs/>
        </w:rPr>
        <w:t>2</w:t>
      </w:r>
      <w:r w:rsidRPr="000A6367">
        <w:rPr>
          <w:rFonts w:ascii="Arial" w:hAnsi="Arial" w:cs="Arial"/>
          <w:b/>
          <w:bCs/>
        </w:rPr>
        <w:t>: Cost analysis</w:t>
      </w:r>
    </w:p>
    <w:p w:rsidR="009E0779" w:rsidRPr="000A6367" w:rsidRDefault="009E0779" w:rsidP="009E0779">
      <w:pPr>
        <w:rPr>
          <w:rFonts w:ascii="Arial" w:hAnsi="Arial" w:cs="Arial"/>
          <w:b/>
          <w:bCs/>
        </w:rPr>
      </w:pPr>
    </w:p>
    <w:tbl>
      <w:tblPr>
        <w:tblW w:w="7510" w:type="dxa"/>
        <w:tblInd w:w="108" w:type="dxa"/>
        <w:tblLook w:val="0000"/>
      </w:tblPr>
      <w:tblGrid>
        <w:gridCol w:w="2925"/>
        <w:gridCol w:w="311"/>
        <w:gridCol w:w="1572"/>
        <w:gridCol w:w="1338"/>
        <w:gridCol w:w="1364"/>
      </w:tblGrid>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b/>
              </w:rPr>
            </w:pPr>
            <w:r w:rsidRPr="000A6367">
              <w:rPr>
                <w:rFonts w:ascii="Arial" w:hAnsi="Arial" w:cs="Arial"/>
                <w:b/>
              </w:rPr>
              <w:t>All firms</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Average variable cost</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73.63%</w:t>
            </w: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Average fixed cost</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26.37%</w:t>
            </w: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2925" w:type="dxa"/>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Total</w:t>
            </w:r>
          </w:p>
        </w:tc>
        <w:tc>
          <w:tcPr>
            <w:tcW w:w="311"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100.00%</w:t>
            </w:r>
            <w:r w:rsidRPr="000A6367">
              <w:rPr>
                <w:rFonts w:ascii="Arial" w:hAnsi="Arial" w:cs="Arial"/>
              </w:rPr>
              <w:br/>
            </w: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2925"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311"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Number</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 xml:space="preserve">           %</w:t>
            </w: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Firms with above average variable cost</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67</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72.04%</w:t>
            </w: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Firms with above average fixed cost</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26</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27.96%</w:t>
            </w: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b/>
                <w:bCs/>
              </w:rPr>
            </w:pPr>
            <w:r w:rsidRPr="000A6367">
              <w:rPr>
                <w:rFonts w:ascii="Arial" w:hAnsi="Arial" w:cs="Arial"/>
                <w:b/>
                <w:bCs/>
              </w:rPr>
              <w:t>Total firms</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b/>
                <w:bCs/>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93</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100.00%</w:t>
            </w:r>
          </w:p>
        </w:tc>
      </w:tr>
      <w:tr w:rsidR="009E0779" w:rsidRPr="000A6367" w:rsidTr="009E0779">
        <w:trPr>
          <w:trHeight w:val="264"/>
        </w:trPr>
        <w:tc>
          <w:tcPr>
            <w:tcW w:w="2925" w:type="dxa"/>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Of which:</w:t>
            </w:r>
          </w:p>
        </w:tc>
        <w:tc>
          <w:tcPr>
            <w:tcW w:w="311"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Firms with 100% variable cost</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33</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35.48%</w:t>
            </w: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Firms with 100% fixed cost</w:t>
            </w: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8</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8.60%</w:t>
            </w:r>
          </w:p>
        </w:tc>
      </w:tr>
      <w:tr w:rsidR="009E0779" w:rsidRPr="000A6367" w:rsidTr="009E0779">
        <w:trPr>
          <w:trHeight w:val="264"/>
        </w:trPr>
        <w:tc>
          <w:tcPr>
            <w:tcW w:w="4808" w:type="dxa"/>
            <w:gridSpan w:val="3"/>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Quintile splits of variable cost</w:t>
            </w:r>
          </w:p>
        </w:tc>
        <w:tc>
          <w:tcPr>
            <w:tcW w:w="1338"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64" w:type="dxa"/>
            <w:tcBorders>
              <w:top w:val="nil"/>
              <w:left w:val="nil"/>
              <w:bottom w:val="nil"/>
              <w:right w:val="nil"/>
            </w:tcBorders>
            <w:noWrap/>
            <w:vAlign w:val="bottom"/>
          </w:tcPr>
          <w:p w:rsidR="009E0779" w:rsidRPr="000A6367" w:rsidRDefault="009E0779" w:rsidP="009E0779">
            <w:pPr>
              <w:rPr>
                <w:rFonts w:ascii="Arial" w:hAnsi="Arial" w:cs="Arial"/>
              </w:rPr>
            </w:pPr>
          </w:p>
        </w:tc>
      </w:tr>
      <w:tr w:rsidR="009E0779" w:rsidRPr="000A6367" w:rsidTr="009E0779">
        <w:trPr>
          <w:trHeight w:val="264"/>
        </w:trPr>
        <w:tc>
          <w:tcPr>
            <w:tcW w:w="2925" w:type="dxa"/>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0%-20%</w:t>
            </w:r>
          </w:p>
        </w:tc>
        <w:tc>
          <w:tcPr>
            <w:tcW w:w="311"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11</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11.83%</w:t>
            </w: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&gt;20%-40%</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5</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5.38%</w:t>
            </w: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&gt;40%-60%</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7.53%</w:t>
            </w: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&gt;60%-80%</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7.53%</w:t>
            </w:r>
          </w:p>
        </w:tc>
      </w:tr>
      <w:tr w:rsidR="009E0779" w:rsidRPr="000A6367" w:rsidTr="009E0779">
        <w:trPr>
          <w:trHeight w:val="264"/>
        </w:trPr>
        <w:tc>
          <w:tcPr>
            <w:tcW w:w="3236" w:type="dxa"/>
            <w:gridSpan w:val="2"/>
            <w:tcBorders>
              <w:top w:val="nil"/>
              <w:left w:val="nil"/>
              <w:bottom w:val="nil"/>
              <w:right w:val="nil"/>
            </w:tcBorders>
            <w:noWrap/>
            <w:vAlign w:val="bottom"/>
          </w:tcPr>
          <w:p w:rsidR="009E0779" w:rsidRPr="000A6367" w:rsidRDefault="009E0779" w:rsidP="009E0779">
            <w:pPr>
              <w:rPr>
                <w:rFonts w:ascii="Arial" w:hAnsi="Arial" w:cs="Arial"/>
              </w:rPr>
            </w:pPr>
            <w:r w:rsidRPr="000A6367">
              <w:rPr>
                <w:rFonts w:ascii="Arial" w:hAnsi="Arial" w:cs="Arial"/>
              </w:rPr>
              <w:t>&gt;80%-100%</w:t>
            </w: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63</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rPr>
            </w:pPr>
            <w:r w:rsidRPr="000A6367">
              <w:rPr>
                <w:rFonts w:ascii="Arial" w:hAnsi="Arial" w:cs="Arial"/>
              </w:rPr>
              <w:t>67.74%</w:t>
            </w:r>
          </w:p>
        </w:tc>
      </w:tr>
      <w:tr w:rsidR="009E0779" w:rsidRPr="000A6367" w:rsidTr="009E0779">
        <w:trPr>
          <w:trHeight w:val="264"/>
        </w:trPr>
        <w:tc>
          <w:tcPr>
            <w:tcW w:w="2925"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311"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572" w:type="dxa"/>
            <w:tcBorders>
              <w:top w:val="nil"/>
              <w:left w:val="nil"/>
              <w:bottom w:val="nil"/>
              <w:right w:val="nil"/>
            </w:tcBorders>
            <w:noWrap/>
            <w:vAlign w:val="bottom"/>
          </w:tcPr>
          <w:p w:rsidR="009E0779" w:rsidRPr="000A6367" w:rsidRDefault="009E0779" w:rsidP="009E0779">
            <w:pPr>
              <w:rPr>
                <w:rFonts w:ascii="Arial" w:hAnsi="Arial" w:cs="Arial"/>
              </w:rPr>
            </w:pPr>
          </w:p>
        </w:tc>
        <w:tc>
          <w:tcPr>
            <w:tcW w:w="1338"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93</w:t>
            </w:r>
          </w:p>
        </w:tc>
        <w:tc>
          <w:tcPr>
            <w:tcW w:w="1364" w:type="dxa"/>
            <w:tcBorders>
              <w:top w:val="nil"/>
              <w:left w:val="nil"/>
              <w:bottom w:val="nil"/>
              <w:right w:val="nil"/>
            </w:tcBorders>
            <w:noWrap/>
            <w:vAlign w:val="bottom"/>
          </w:tcPr>
          <w:p w:rsidR="009E0779" w:rsidRPr="000A6367" w:rsidRDefault="009E0779" w:rsidP="009E0779">
            <w:pPr>
              <w:jc w:val="right"/>
              <w:rPr>
                <w:rFonts w:ascii="Arial" w:hAnsi="Arial" w:cs="Arial"/>
                <w:b/>
                <w:bCs/>
              </w:rPr>
            </w:pPr>
            <w:r w:rsidRPr="000A6367">
              <w:rPr>
                <w:rFonts w:ascii="Arial" w:hAnsi="Arial" w:cs="Arial"/>
                <w:b/>
                <w:bCs/>
              </w:rPr>
              <w:t>100.00%</w:t>
            </w:r>
          </w:p>
        </w:tc>
      </w:tr>
    </w:tbl>
    <w:p w:rsidR="009E0779" w:rsidRPr="000A6367" w:rsidRDefault="009E0779" w:rsidP="009E0779"/>
    <w:p w:rsidR="008B4494" w:rsidRPr="009C1F0A" w:rsidRDefault="008B4494" w:rsidP="008B4494">
      <w:pPr>
        <w:spacing w:line="480" w:lineRule="auto"/>
        <w:rPr>
          <w:rFonts w:ascii="Times New Roman" w:hAnsi="Times New Roman" w:cs="Times New Roman"/>
          <w:i/>
          <w:iCs/>
          <w:sz w:val="24"/>
          <w:szCs w:val="24"/>
          <w:lang w:val="en-AU"/>
        </w:rPr>
      </w:pPr>
      <w:r w:rsidRPr="009C1F0A">
        <w:rPr>
          <w:rFonts w:ascii="Times New Roman" w:hAnsi="Times New Roman" w:cs="Times New Roman"/>
          <w:i/>
          <w:iCs/>
          <w:sz w:val="24"/>
          <w:szCs w:val="24"/>
          <w:lang w:val="en-AU"/>
        </w:rPr>
        <w:t>Source</w:t>
      </w:r>
      <w:r w:rsidRPr="009C1F0A">
        <w:rPr>
          <w:rFonts w:ascii="Times New Roman" w:hAnsi="Times New Roman" w:cs="Times New Roman"/>
          <w:iCs/>
          <w:sz w:val="24"/>
          <w:szCs w:val="24"/>
          <w:lang w:val="en-AU"/>
        </w:rPr>
        <w:t>: Questionnaire data</w:t>
      </w:r>
    </w:p>
    <w:p w:rsidR="009C1F0A" w:rsidRDefault="009C1F0A" w:rsidP="009C1F0A">
      <w:pPr>
        <w:pStyle w:val="Default"/>
        <w:spacing w:line="480" w:lineRule="auto"/>
        <w:ind w:firstLine="720"/>
        <w:jc w:val="both"/>
      </w:pPr>
    </w:p>
    <w:p w:rsidR="009E0779" w:rsidRDefault="009E0779" w:rsidP="009C1F0A">
      <w:pPr>
        <w:pStyle w:val="Default"/>
        <w:spacing w:line="480" w:lineRule="auto"/>
        <w:ind w:firstLine="720"/>
        <w:jc w:val="both"/>
        <w:rPr>
          <w:lang w:val="en-AU"/>
        </w:rPr>
      </w:pPr>
      <w:r w:rsidRPr="000A6367">
        <w:t xml:space="preserve">What is striking about figure 4 and table </w:t>
      </w:r>
      <w:r w:rsidR="001B197E">
        <w:t>2</w:t>
      </w:r>
      <w:r w:rsidRPr="000A6367">
        <w:t xml:space="preserve"> is the number and proportion of firms with high variable costs. Moreover, the average is dragged down by a cluster of firms with high or 100% fixed costs, and there are relatively few firms inhabiting the middle quintiles. In general about 2/3 of firms can be characterised as high variable cost and 1/3 as being high fixed cost, underpinned by bi-polar effects in the sample. Out of the 93 firms, the budget assumptions of 33 implied that all costs were variable.</w:t>
      </w:r>
    </w:p>
    <w:p w:rsidR="00BA65E4" w:rsidRDefault="009E0779" w:rsidP="009C1F0A">
      <w:pPr>
        <w:pStyle w:val="Default"/>
        <w:spacing w:line="480" w:lineRule="auto"/>
        <w:ind w:firstLine="720"/>
        <w:jc w:val="both"/>
        <w:rPr>
          <w:lang w:val="en-AU"/>
        </w:rPr>
      </w:pPr>
      <w:r w:rsidRPr="00C63502">
        <w:rPr>
          <w:lang w:val="en-AU"/>
        </w:rPr>
        <w:t xml:space="preserve">In </w:t>
      </w:r>
      <w:r w:rsidR="001B197E">
        <w:rPr>
          <w:lang w:val="en-AU"/>
        </w:rPr>
        <w:t xml:space="preserve">summary, because </w:t>
      </w:r>
      <w:r w:rsidRPr="00C63502">
        <w:rPr>
          <w:lang w:val="en-AU"/>
        </w:rPr>
        <w:t xml:space="preserve">a majority of firms are characterised by high levels of variable cost, </w:t>
      </w:r>
      <w:r w:rsidR="001B197E">
        <w:rPr>
          <w:lang w:val="en-AU"/>
        </w:rPr>
        <w:t xml:space="preserve">they have lower </w:t>
      </w:r>
      <w:r w:rsidRPr="00C63502">
        <w:rPr>
          <w:i/>
          <w:lang w:val="en-AU"/>
        </w:rPr>
        <w:t>γ</w:t>
      </w:r>
      <w:r w:rsidRPr="00C63502">
        <w:rPr>
          <w:i/>
          <w:vertAlign w:val="subscript"/>
          <w:lang w:val="en-AU"/>
        </w:rPr>
        <w:t xml:space="preserve"> </w:t>
      </w:r>
      <w:r w:rsidRPr="00C63502">
        <w:rPr>
          <w:lang w:val="en-AU"/>
        </w:rPr>
        <w:t>ratios and lower costs of capital</w:t>
      </w:r>
      <w:r w:rsidR="001B197E">
        <w:rPr>
          <w:lang w:val="en-AU"/>
        </w:rPr>
        <w:t xml:space="preserve"> than would be the case if CAPM were used</w:t>
      </w:r>
      <w:r w:rsidRPr="00C63502">
        <w:rPr>
          <w:lang w:val="en-AU"/>
        </w:rPr>
        <w:t xml:space="preserve">. </w:t>
      </w:r>
      <w:r w:rsidR="00BA65E4" w:rsidRPr="000A6367">
        <w:t>In other words if ABRM gives a truer indication of non-diversifiable systematic risk present in the underlying cash flows of firms than the distribution of stock market returns, then the CAPM method overstates the cost of capital for a substantial majority of firms. An important reason for this is the underlying pattern of cost behaviour.</w:t>
      </w:r>
    </w:p>
    <w:p w:rsidR="00EC436A" w:rsidRPr="00C63502" w:rsidRDefault="00EC436A" w:rsidP="009C1F0A">
      <w:pPr>
        <w:pStyle w:val="Default"/>
        <w:spacing w:line="480" w:lineRule="auto"/>
        <w:ind w:firstLine="720"/>
        <w:jc w:val="both"/>
        <w:rPr>
          <w:i/>
          <w:lang w:val="en-AU"/>
        </w:rPr>
      </w:pPr>
      <w:r w:rsidRPr="00C63502">
        <w:rPr>
          <w:lang w:val="en-AU"/>
        </w:rPr>
        <w:lastRenderedPageBreak/>
        <w:t xml:space="preserve">Because CAPM is oblivious to this underlying distribution of firm level cash flows it does not replicate the skew in risk that seems to be present in reality. Practitioners relying on CAPM where they also know that their costs are highly variable might reduce their estimates accordingly. Theoretical modifications, which assume non-normality of </w:t>
      </w:r>
      <w:r w:rsidR="009E0779">
        <w:rPr>
          <w:lang w:val="en-AU"/>
        </w:rPr>
        <w:t>risk adjustment factors</w:t>
      </w:r>
      <w:r w:rsidRPr="00C63502">
        <w:rPr>
          <w:lang w:val="en-AU"/>
        </w:rPr>
        <w:t>, such as the mean-</w:t>
      </w:r>
      <w:proofErr w:type="spellStart"/>
      <w:r w:rsidRPr="00C63502">
        <w:rPr>
          <w:lang w:val="en-AU"/>
        </w:rPr>
        <w:t>Gini</w:t>
      </w:r>
      <w:proofErr w:type="spellEnd"/>
      <w:r w:rsidRPr="00C63502">
        <w:rPr>
          <w:lang w:val="en-AU"/>
        </w:rPr>
        <w:t xml:space="preserve"> CAPM </w:t>
      </w:r>
      <w:r w:rsidRPr="00C63502">
        <w:rPr>
          <w:color w:val="000000" w:themeColor="text1"/>
          <w:lang w:val="en-AU"/>
        </w:rPr>
        <w:t>(</w:t>
      </w:r>
      <w:proofErr w:type="spellStart"/>
      <w:r w:rsidRPr="00C63502">
        <w:rPr>
          <w:color w:val="000000" w:themeColor="text1"/>
          <w:lang w:val="en-AU"/>
        </w:rPr>
        <w:t>Shalit</w:t>
      </w:r>
      <w:proofErr w:type="spellEnd"/>
      <w:r w:rsidRPr="00C63502">
        <w:rPr>
          <w:color w:val="000000" w:themeColor="text1"/>
          <w:lang w:val="en-AU"/>
        </w:rPr>
        <w:t xml:space="preserve"> and </w:t>
      </w:r>
      <w:proofErr w:type="spellStart"/>
      <w:r w:rsidRPr="00C63502">
        <w:rPr>
          <w:color w:val="000000" w:themeColor="text1"/>
          <w:lang w:val="en-AU"/>
        </w:rPr>
        <w:t>Yitzhaki</w:t>
      </w:r>
      <w:proofErr w:type="spellEnd"/>
      <w:r w:rsidRPr="00C63502">
        <w:rPr>
          <w:color w:val="000000" w:themeColor="text1"/>
          <w:lang w:val="en-AU"/>
        </w:rPr>
        <w:t>, 1984)</w:t>
      </w:r>
      <w:r w:rsidRPr="00C63502">
        <w:rPr>
          <w:lang w:val="en-AU"/>
        </w:rPr>
        <w:t>, would also appear to be well founded approaches.</w:t>
      </w:r>
    </w:p>
    <w:p w:rsidR="00EC436A" w:rsidRPr="00C63502" w:rsidRDefault="00EC436A" w:rsidP="009C1F0A">
      <w:pPr>
        <w:spacing w:line="480" w:lineRule="auto"/>
        <w:rPr>
          <w:rFonts w:ascii="Times New Roman" w:hAnsi="Times New Roman" w:cs="Times New Roman"/>
          <w:i/>
          <w:color w:val="000000"/>
          <w:sz w:val="24"/>
          <w:szCs w:val="24"/>
          <w:lang w:val="en-AU"/>
        </w:rPr>
      </w:pPr>
    </w:p>
    <w:p w:rsidR="00EC436A" w:rsidRPr="00C63502" w:rsidRDefault="00EC436A" w:rsidP="009C1F0A">
      <w:pPr>
        <w:spacing w:line="480" w:lineRule="auto"/>
        <w:rPr>
          <w:rFonts w:ascii="Times New Roman" w:hAnsi="Times New Roman" w:cs="Times New Roman"/>
          <w:b/>
          <w:iCs/>
          <w:sz w:val="24"/>
          <w:szCs w:val="24"/>
          <w:lang w:val="en-AU"/>
        </w:rPr>
      </w:pPr>
      <w:r w:rsidRPr="00C63502">
        <w:rPr>
          <w:rFonts w:ascii="Times New Roman" w:hAnsi="Times New Roman" w:cs="Times New Roman"/>
          <w:b/>
          <w:iCs/>
          <w:sz w:val="24"/>
          <w:szCs w:val="24"/>
          <w:lang w:val="en-AU"/>
        </w:rPr>
        <w:t>Conclusions</w:t>
      </w:r>
    </w:p>
    <w:p w:rsidR="00EC436A" w:rsidRPr="00C63502" w:rsidRDefault="00EC436A" w:rsidP="009C1F0A">
      <w:pPr>
        <w:pStyle w:val="Default"/>
        <w:spacing w:line="480" w:lineRule="auto"/>
        <w:jc w:val="both"/>
        <w:rPr>
          <w:lang w:val="en-AU"/>
        </w:rPr>
      </w:pPr>
      <w:r w:rsidRPr="00C63502">
        <w:rPr>
          <w:lang w:val="en-AU"/>
        </w:rPr>
        <w:t xml:space="preserve">The paper has contrasted the underlying theoretical assumptions for ABRM and CAPM. It then provided an empirical comparison of the costs of capital arising from the application of the two methods to the data for the sample firms. In around 2/3 of cases the ABRM method produces a lower cost of capital, such that on average the cost of capital is about three percentage points lower when using ABRM. The principle reason for this is the prevalence of variable cost in the cost structures of the majority of firms. Because the CAPM uses co-variances of stock returns, which are normally distributed, the CAPM makes assumptions about the cross-sectional characteristics of the distribution of underlying asset betas, which, as the evidence from the survey has shown, are non-normally distributed. In drawing this conclusion, the paper adds to the literature critical of the empirical performance of the CAPM and adds a further reason for its inaccuracy on the basis of the underlying accounting evidence collected in the survey. </w:t>
      </w:r>
    </w:p>
    <w:p w:rsidR="00EC436A" w:rsidRPr="00C63502" w:rsidRDefault="00EC436A" w:rsidP="009C1F0A">
      <w:pPr>
        <w:pStyle w:val="Default"/>
        <w:spacing w:line="480" w:lineRule="auto"/>
        <w:ind w:firstLine="720"/>
        <w:jc w:val="both"/>
        <w:rPr>
          <w:lang w:val="en-AU"/>
        </w:rPr>
      </w:pPr>
      <w:r w:rsidRPr="00C63502">
        <w:rPr>
          <w:lang w:val="en-AU"/>
        </w:rPr>
        <w:t xml:space="preserve">The challenge to the CAPM is therefore a simple one. If underlying asset betas are skewed as a consequence of firm’s cost structures, why are the betas using stock price data not similarly skewed? A possible answer is that there are other components of non-diversifiable systematic risk that are picked up by CAPM betas but not picked up by ABRM </w:t>
      </w:r>
      <w:r w:rsidRPr="00C63502">
        <w:rPr>
          <w:lang w:val="en-AU"/>
        </w:rPr>
        <w:lastRenderedPageBreak/>
        <w:t xml:space="preserve">cash flows. However, it is difficult to envisage what these sources of systematic risk might be. </w:t>
      </w:r>
    </w:p>
    <w:p w:rsidR="00EC436A" w:rsidRPr="00C63502" w:rsidRDefault="00EC436A" w:rsidP="009C1F0A">
      <w:pPr>
        <w:pStyle w:val="Default"/>
        <w:spacing w:line="480" w:lineRule="auto"/>
        <w:ind w:firstLine="720"/>
        <w:jc w:val="both"/>
        <w:rPr>
          <w:lang w:val="en-AU"/>
        </w:rPr>
      </w:pPr>
      <w:r w:rsidRPr="00C63502">
        <w:rPr>
          <w:lang w:val="en-AU"/>
        </w:rPr>
        <w:t xml:space="preserve">Another possible answer arises from the underlying data for CAPM being not cash flows but stock market returns. Such returns are close to normality in their distribution due to the incidence of random events. Such events might be classified as firm specific or systematic. For example the appointment of a new director, which is firm specific event, or a rise in personal tax rates, which systematically affects consumer demand and hence profits and stock prices of many firms in some proportion. The CAPM is only concerned with pricing the latter type of event as the effects of the former can be removed by portfolio diversification. In the latter case the impact on firms depends on their cost structure. Firms with higher variable costs will be able to reduce their costs downwards in similar proportion whereas firms with more fixed cost will experience greater variability in their net returns. If the underlying cost structures are skewed towards variable costs, the cross section of expected returns in response to this type of event should be skewed in similar fashion. </w:t>
      </w:r>
    </w:p>
    <w:p w:rsidR="00FC4D9F" w:rsidRDefault="00EC436A" w:rsidP="009C1F0A">
      <w:pPr>
        <w:pStyle w:val="Default"/>
        <w:spacing w:line="480" w:lineRule="auto"/>
        <w:ind w:firstLine="720"/>
        <w:jc w:val="both"/>
        <w:rPr>
          <w:lang w:val="en-AU"/>
        </w:rPr>
      </w:pPr>
      <w:r w:rsidRPr="00C63502">
        <w:rPr>
          <w:lang w:val="en-AU"/>
        </w:rPr>
        <w:t xml:space="preserve">There may be a further explanation here as to why, as first suggested by </w:t>
      </w:r>
      <w:proofErr w:type="spellStart"/>
      <w:r w:rsidRPr="00C63502">
        <w:rPr>
          <w:lang w:val="en-AU"/>
        </w:rPr>
        <w:t>Fama</w:t>
      </w:r>
      <w:proofErr w:type="spellEnd"/>
      <w:r w:rsidRPr="00C63502">
        <w:rPr>
          <w:lang w:val="en-AU"/>
        </w:rPr>
        <w:t xml:space="preserve"> and French, 1992) the CAPM provides a poor explanation of the cross section of stock market returns. In </w:t>
      </w:r>
      <w:proofErr w:type="spellStart"/>
      <w:r w:rsidRPr="00C63502">
        <w:rPr>
          <w:lang w:val="en-AU"/>
        </w:rPr>
        <w:t>Fama</w:t>
      </w:r>
      <w:proofErr w:type="spellEnd"/>
      <w:r w:rsidRPr="00C63502">
        <w:rPr>
          <w:lang w:val="en-AU"/>
        </w:rPr>
        <w:t xml:space="preserve"> and French (1992) and subsequent literature, discrepancies have been explained in terms of firm size, book to market and earnings to price ratios. However, there are no a priori theoretical reasons why these should work as explanatory factors. By similar virtue, analysts and financial market participants may be </w:t>
      </w:r>
      <w:proofErr w:type="spellStart"/>
      <w:r w:rsidRPr="00C63502">
        <w:rPr>
          <w:lang w:val="en-AU"/>
        </w:rPr>
        <w:t>mis</w:t>
      </w:r>
      <w:proofErr w:type="spellEnd"/>
      <w:r w:rsidRPr="00C63502">
        <w:rPr>
          <w:lang w:val="en-AU"/>
        </w:rPr>
        <w:t xml:space="preserve">-pricing stocks because they are not factoring in the riskiness associated with underlying cash flows. The evidence above is suggestive of a high degree of flexibility in firm’s cost structures, reflecting perhaps the tendency towards the flexible firm in recent years (Toms and </w:t>
      </w:r>
      <w:proofErr w:type="spellStart"/>
      <w:r w:rsidRPr="00C63502">
        <w:rPr>
          <w:lang w:val="en-AU"/>
        </w:rPr>
        <w:t>Salama</w:t>
      </w:r>
      <w:proofErr w:type="spellEnd"/>
      <w:r w:rsidRPr="00C63502">
        <w:rPr>
          <w:lang w:val="en-AU"/>
        </w:rPr>
        <w:t xml:space="preserve">, 2009). In contrast, ABRM offers a precise link between the fixity of underlying costs and the variability of net cash flows. ABRM offers a theoretical extension to the CAPM approach and offers a possible </w:t>
      </w:r>
      <w:r w:rsidRPr="00C63502">
        <w:rPr>
          <w:lang w:val="en-AU"/>
        </w:rPr>
        <w:lastRenderedPageBreak/>
        <w:t xml:space="preserve">explanation for its empirical anomalies. The reasons for the differences arise from underlying cost structures and net cash flows rather than those identified in the prior finance literature (size, market to book and earnings to price ratios). Further tests of the </w:t>
      </w:r>
      <w:proofErr w:type="spellStart"/>
      <w:r w:rsidRPr="00C63502">
        <w:rPr>
          <w:lang w:val="en-AU"/>
        </w:rPr>
        <w:t>Fama</w:t>
      </w:r>
      <w:proofErr w:type="spellEnd"/>
      <w:r w:rsidRPr="00C63502">
        <w:rPr>
          <w:lang w:val="en-AU"/>
        </w:rPr>
        <w:t xml:space="preserve"> and French approach are therefore potentially useful, but using ABRM proxies.</w:t>
      </w:r>
    </w:p>
    <w:p w:rsidR="00FC4D9F" w:rsidRDefault="00FC4D9F" w:rsidP="00F007AF">
      <w:pPr>
        <w:rPr>
          <w:rFonts w:ascii="Times New Roman" w:hAnsi="Times New Roman" w:cs="Times New Roman"/>
          <w:color w:val="000000"/>
          <w:sz w:val="24"/>
          <w:szCs w:val="24"/>
          <w:lang w:val="en-AU"/>
        </w:rPr>
      </w:pPr>
      <w:r>
        <w:rPr>
          <w:lang w:val="en-AU"/>
        </w:rPr>
        <w:br w:type="page"/>
      </w:r>
    </w:p>
    <w:p w:rsidR="00FC4D9F" w:rsidRPr="00D60A02" w:rsidRDefault="00FC4D9F" w:rsidP="00F007AF">
      <w:pPr>
        <w:pStyle w:val="Default"/>
        <w:jc w:val="both"/>
        <w:rPr>
          <w:b/>
          <w:lang w:val="en-AU"/>
        </w:rPr>
      </w:pPr>
      <w:r w:rsidRPr="00D60A02">
        <w:rPr>
          <w:b/>
          <w:lang w:val="en-AU"/>
        </w:rPr>
        <w:lastRenderedPageBreak/>
        <w:t>References</w:t>
      </w:r>
    </w:p>
    <w:p w:rsidR="009106E5" w:rsidRPr="00D60A02" w:rsidRDefault="009106E5" w:rsidP="00F007AF">
      <w:pPr>
        <w:autoSpaceDE w:val="0"/>
        <w:autoSpaceDN w:val="0"/>
        <w:adjustRightInd w:val="0"/>
        <w:ind w:left="720" w:hanging="720"/>
        <w:rPr>
          <w:rFonts w:ascii="Times New Roman" w:hAnsi="Times New Roman" w:cs="Times New Roman"/>
          <w:sz w:val="24"/>
          <w:szCs w:val="24"/>
          <w:lang w:val="en-AU"/>
        </w:rPr>
      </w:pPr>
      <w:r w:rsidRPr="00D60A02">
        <w:rPr>
          <w:rFonts w:ascii="Times New Roman" w:hAnsi="Times New Roman" w:cs="Times New Roman"/>
          <w:sz w:val="24"/>
          <w:szCs w:val="24"/>
          <w:lang w:val="en-AU"/>
        </w:rPr>
        <w:t xml:space="preserve">Arnold, G. 1998, </w:t>
      </w:r>
      <w:r w:rsidRPr="00D60A02">
        <w:rPr>
          <w:rFonts w:ascii="Times New Roman" w:hAnsi="Times New Roman" w:cs="Times New Roman"/>
          <w:i/>
          <w:iCs/>
          <w:sz w:val="24"/>
          <w:szCs w:val="24"/>
          <w:lang w:val="en-AU"/>
        </w:rPr>
        <w:t>Corporate Financial Management</w:t>
      </w:r>
      <w:r w:rsidRPr="00D60A02">
        <w:rPr>
          <w:rFonts w:ascii="Times New Roman" w:hAnsi="Times New Roman" w:cs="Times New Roman"/>
          <w:sz w:val="24"/>
          <w:szCs w:val="24"/>
          <w:lang w:val="en-AU"/>
        </w:rPr>
        <w:t>, London: Pitman.</w:t>
      </w:r>
    </w:p>
    <w:p w:rsidR="00FC4D9F" w:rsidRPr="00D60A02" w:rsidRDefault="00FC4D9F" w:rsidP="00F007AF">
      <w:pPr>
        <w:autoSpaceDE w:val="0"/>
        <w:autoSpaceDN w:val="0"/>
        <w:adjustRightInd w:val="0"/>
        <w:ind w:left="720" w:hanging="720"/>
        <w:rPr>
          <w:rFonts w:ascii="Times New Roman" w:hAnsi="Times New Roman" w:cs="Times New Roman"/>
          <w:sz w:val="24"/>
          <w:szCs w:val="24"/>
          <w:lang w:val="en-AU"/>
        </w:rPr>
      </w:pPr>
      <w:proofErr w:type="spellStart"/>
      <w:r w:rsidRPr="00D60A02">
        <w:rPr>
          <w:rFonts w:ascii="Times New Roman" w:hAnsi="Times New Roman" w:cs="Times New Roman"/>
          <w:sz w:val="24"/>
          <w:szCs w:val="24"/>
          <w:lang w:val="en-AU"/>
        </w:rPr>
        <w:t>Bancel</w:t>
      </w:r>
      <w:proofErr w:type="spellEnd"/>
      <w:r w:rsidRPr="00D60A02">
        <w:rPr>
          <w:rFonts w:ascii="Times New Roman" w:hAnsi="Times New Roman" w:cs="Times New Roman"/>
          <w:sz w:val="24"/>
          <w:szCs w:val="24"/>
          <w:lang w:val="en-AU"/>
        </w:rPr>
        <w:t xml:space="preserve"> F. and U.R. </w:t>
      </w:r>
      <w:proofErr w:type="spellStart"/>
      <w:r w:rsidRPr="00D60A02">
        <w:rPr>
          <w:rFonts w:ascii="Times New Roman" w:hAnsi="Times New Roman" w:cs="Times New Roman"/>
          <w:sz w:val="24"/>
          <w:szCs w:val="24"/>
          <w:lang w:val="en-AU"/>
        </w:rPr>
        <w:t>Mittoo</w:t>
      </w:r>
      <w:proofErr w:type="spellEnd"/>
      <w:r w:rsidRPr="00D60A02">
        <w:rPr>
          <w:rFonts w:ascii="Times New Roman" w:hAnsi="Times New Roman" w:cs="Times New Roman"/>
          <w:sz w:val="24"/>
          <w:szCs w:val="24"/>
          <w:lang w:val="en-AU"/>
        </w:rPr>
        <w:t xml:space="preserve"> 2004, ‘</w:t>
      </w:r>
      <w:proofErr w:type="gramStart"/>
      <w:r w:rsidRPr="00D60A02">
        <w:rPr>
          <w:rFonts w:ascii="Times New Roman" w:hAnsi="Times New Roman" w:cs="Times New Roman"/>
          <w:sz w:val="24"/>
          <w:szCs w:val="24"/>
          <w:lang w:val="en-AU"/>
        </w:rPr>
        <w:t>The</w:t>
      </w:r>
      <w:proofErr w:type="gramEnd"/>
      <w:r w:rsidRPr="00D60A02">
        <w:rPr>
          <w:rFonts w:ascii="Times New Roman" w:hAnsi="Times New Roman" w:cs="Times New Roman"/>
          <w:sz w:val="24"/>
          <w:szCs w:val="24"/>
          <w:lang w:val="en-AU"/>
        </w:rPr>
        <w:t xml:space="preserve"> Determinants of Capital Structure Choice: A Survey of European Firms’, </w:t>
      </w:r>
      <w:r w:rsidRPr="00D60A02">
        <w:rPr>
          <w:rFonts w:ascii="Times New Roman" w:hAnsi="Times New Roman" w:cs="Times New Roman"/>
          <w:i/>
          <w:iCs/>
          <w:sz w:val="24"/>
          <w:szCs w:val="24"/>
          <w:lang w:val="en-AU"/>
        </w:rPr>
        <w:t>Financial Management</w:t>
      </w:r>
      <w:r w:rsidRPr="00D60A02">
        <w:rPr>
          <w:rFonts w:ascii="Times New Roman" w:hAnsi="Times New Roman" w:cs="Times New Roman"/>
          <w:sz w:val="24"/>
          <w:szCs w:val="24"/>
          <w:lang w:val="en-AU"/>
        </w:rPr>
        <w:t>, 33, 4: 103-32.</w:t>
      </w:r>
    </w:p>
    <w:p w:rsidR="00115269" w:rsidRPr="00D60A02" w:rsidRDefault="00115269" w:rsidP="00F007AF">
      <w:pPr>
        <w:rPr>
          <w:rFonts w:ascii="Times New Roman" w:hAnsi="Times New Roman" w:cs="Times New Roman"/>
          <w:sz w:val="24"/>
          <w:szCs w:val="24"/>
          <w:lang w:val="en-AU"/>
        </w:rPr>
      </w:pPr>
      <w:proofErr w:type="spellStart"/>
      <w:r w:rsidRPr="00D60A02">
        <w:rPr>
          <w:rFonts w:ascii="Times New Roman" w:hAnsi="Times New Roman" w:cs="Times New Roman"/>
          <w:sz w:val="24"/>
          <w:szCs w:val="24"/>
          <w:lang w:val="en-AU"/>
        </w:rPr>
        <w:t>Brearley</w:t>
      </w:r>
      <w:proofErr w:type="spellEnd"/>
      <w:r w:rsidRPr="00D60A02">
        <w:rPr>
          <w:rFonts w:ascii="Times New Roman" w:hAnsi="Times New Roman" w:cs="Times New Roman"/>
          <w:sz w:val="24"/>
          <w:szCs w:val="24"/>
          <w:lang w:val="en-AU"/>
        </w:rPr>
        <w:t xml:space="preserve">, R. and S. Myers 2003, </w:t>
      </w:r>
      <w:r w:rsidRPr="00D60A02">
        <w:rPr>
          <w:rFonts w:ascii="Times New Roman" w:hAnsi="Times New Roman" w:cs="Times New Roman"/>
          <w:i/>
          <w:iCs/>
          <w:sz w:val="24"/>
          <w:szCs w:val="24"/>
          <w:lang w:val="en-AU"/>
        </w:rPr>
        <w:t>Principles of Corporate Finance</w:t>
      </w:r>
      <w:r w:rsidRPr="00D60A02">
        <w:rPr>
          <w:rFonts w:ascii="Times New Roman" w:hAnsi="Times New Roman" w:cs="Times New Roman"/>
          <w:sz w:val="24"/>
          <w:szCs w:val="24"/>
          <w:lang w:val="en-AU"/>
        </w:rPr>
        <w:t xml:space="preserve">, McGraw Hill. </w:t>
      </w:r>
      <w:proofErr w:type="gramStart"/>
      <w:r w:rsidRPr="00D60A02">
        <w:rPr>
          <w:rFonts w:ascii="Times New Roman" w:hAnsi="Times New Roman" w:cs="Times New Roman"/>
          <w:sz w:val="24"/>
          <w:szCs w:val="24"/>
          <w:lang w:val="en-AU"/>
        </w:rPr>
        <w:t>7th Ed.</w:t>
      </w:r>
      <w:proofErr w:type="gramEnd"/>
      <w:r w:rsidRPr="00D60A02">
        <w:rPr>
          <w:rFonts w:ascii="Times New Roman" w:hAnsi="Times New Roman" w:cs="Times New Roman"/>
          <w:sz w:val="24"/>
          <w:szCs w:val="24"/>
          <w:lang w:val="en-AU"/>
        </w:rPr>
        <w:t xml:space="preserve"> </w:t>
      </w:r>
    </w:p>
    <w:p w:rsidR="00FC4D9F" w:rsidRPr="00D60A02" w:rsidRDefault="00FC4D9F" w:rsidP="00F007AF">
      <w:pPr>
        <w:autoSpaceDE w:val="0"/>
        <w:autoSpaceDN w:val="0"/>
        <w:adjustRightInd w:val="0"/>
        <w:ind w:left="720" w:hanging="720"/>
        <w:rPr>
          <w:rFonts w:ascii="Times New Roman" w:hAnsi="Times New Roman" w:cs="Times New Roman"/>
          <w:iCs/>
          <w:sz w:val="24"/>
          <w:szCs w:val="24"/>
          <w:lang w:val="en-AU"/>
        </w:rPr>
      </w:pPr>
      <w:proofErr w:type="spellStart"/>
      <w:r w:rsidRPr="00D60A02">
        <w:rPr>
          <w:rFonts w:ascii="Times New Roman" w:hAnsi="Times New Roman" w:cs="Times New Roman"/>
          <w:sz w:val="24"/>
          <w:szCs w:val="24"/>
          <w:lang w:val="en-AU"/>
        </w:rPr>
        <w:t>Brounen</w:t>
      </w:r>
      <w:proofErr w:type="spellEnd"/>
      <w:r w:rsidRPr="00D60A02">
        <w:rPr>
          <w:rFonts w:ascii="Times New Roman" w:hAnsi="Times New Roman" w:cs="Times New Roman"/>
          <w:sz w:val="24"/>
          <w:szCs w:val="24"/>
          <w:lang w:val="en-AU"/>
        </w:rPr>
        <w:t xml:space="preserve">, D., A. de </w:t>
      </w:r>
      <w:proofErr w:type="spellStart"/>
      <w:r w:rsidRPr="00D60A02">
        <w:rPr>
          <w:rFonts w:ascii="Times New Roman" w:hAnsi="Times New Roman" w:cs="Times New Roman"/>
          <w:sz w:val="24"/>
          <w:szCs w:val="24"/>
          <w:lang w:val="en-AU"/>
        </w:rPr>
        <w:t>Jong</w:t>
      </w:r>
      <w:proofErr w:type="spellEnd"/>
      <w:r w:rsidRPr="00D60A02">
        <w:rPr>
          <w:rFonts w:ascii="Times New Roman" w:hAnsi="Times New Roman" w:cs="Times New Roman"/>
          <w:sz w:val="24"/>
          <w:szCs w:val="24"/>
          <w:lang w:val="en-AU"/>
        </w:rPr>
        <w:t xml:space="preserve">, and K. </w:t>
      </w:r>
      <w:proofErr w:type="spellStart"/>
      <w:r w:rsidRPr="00D60A02">
        <w:rPr>
          <w:rFonts w:ascii="Times New Roman" w:hAnsi="Times New Roman" w:cs="Times New Roman"/>
          <w:sz w:val="24"/>
          <w:szCs w:val="24"/>
          <w:lang w:val="en-AU"/>
        </w:rPr>
        <w:t>Koedijk</w:t>
      </w:r>
      <w:proofErr w:type="spellEnd"/>
      <w:r w:rsidRPr="00D60A02">
        <w:rPr>
          <w:rFonts w:ascii="Times New Roman" w:hAnsi="Times New Roman" w:cs="Times New Roman"/>
          <w:sz w:val="24"/>
          <w:szCs w:val="24"/>
          <w:lang w:val="en-AU"/>
        </w:rPr>
        <w:t xml:space="preserve"> 2004, ‘Corporate finance in Europe: Confronting theory with practice’, </w:t>
      </w:r>
      <w:r w:rsidRPr="00D60A02">
        <w:rPr>
          <w:rFonts w:ascii="Times New Roman" w:hAnsi="Times New Roman" w:cs="Times New Roman"/>
          <w:i/>
          <w:iCs/>
          <w:sz w:val="24"/>
          <w:szCs w:val="24"/>
          <w:lang w:val="en-AU"/>
        </w:rPr>
        <w:t xml:space="preserve">Financial Management, </w:t>
      </w:r>
      <w:r w:rsidRPr="00D60A02">
        <w:rPr>
          <w:rFonts w:ascii="Times New Roman" w:hAnsi="Times New Roman" w:cs="Times New Roman"/>
          <w:sz w:val="24"/>
          <w:szCs w:val="24"/>
          <w:lang w:val="en-AU"/>
        </w:rPr>
        <w:t>pp.71-101.</w:t>
      </w:r>
    </w:p>
    <w:p w:rsidR="00D77E60" w:rsidRPr="00D60A02" w:rsidRDefault="00D77E60" w:rsidP="00D77E60">
      <w:pPr>
        <w:ind w:left="720" w:hanging="720"/>
        <w:rPr>
          <w:rFonts w:ascii="Times New Roman" w:hAnsi="Times New Roman" w:cs="Times New Roman"/>
          <w:sz w:val="24"/>
          <w:szCs w:val="24"/>
          <w:lang w:val="en-AU"/>
        </w:rPr>
      </w:pPr>
      <w:proofErr w:type="gramStart"/>
      <w:r w:rsidRPr="00D60A02">
        <w:rPr>
          <w:rFonts w:ascii="Times New Roman" w:hAnsi="Times New Roman" w:cs="Times New Roman"/>
          <w:sz w:val="24"/>
          <w:szCs w:val="24"/>
          <w:lang w:val="en-AU"/>
        </w:rPr>
        <w:t xml:space="preserve">Claus, J. and J. Thomas 2001, ‘Equity </w:t>
      </w:r>
      <w:proofErr w:type="spellStart"/>
      <w:r w:rsidRPr="00D60A02">
        <w:rPr>
          <w:rFonts w:ascii="Times New Roman" w:hAnsi="Times New Roman" w:cs="Times New Roman"/>
          <w:sz w:val="24"/>
          <w:szCs w:val="24"/>
          <w:lang w:val="en-AU"/>
        </w:rPr>
        <w:t>Premia</w:t>
      </w:r>
      <w:proofErr w:type="spellEnd"/>
      <w:r w:rsidRPr="00D60A02">
        <w:rPr>
          <w:rFonts w:ascii="Times New Roman" w:hAnsi="Times New Roman" w:cs="Times New Roman"/>
          <w:sz w:val="24"/>
          <w:szCs w:val="24"/>
          <w:lang w:val="en-AU"/>
        </w:rPr>
        <w:t xml:space="preserve"> as Low as Three Percent?</w:t>
      </w:r>
      <w:proofErr w:type="gramEnd"/>
      <w:r w:rsidRPr="00D60A02">
        <w:rPr>
          <w:rFonts w:ascii="Times New Roman" w:hAnsi="Times New Roman" w:cs="Times New Roman"/>
          <w:sz w:val="24"/>
          <w:szCs w:val="24"/>
          <w:lang w:val="en-AU"/>
        </w:rPr>
        <w:t xml:space="preserve"> Evidence from Analysts’ Earnings Forecasts for Domestic and International Stock Markets’, </w:t>
      </w:r>
      <w:r w:rsidRPr="00D60A02">
        <w:rPr>
          <w:rFonts w:ascii="Times New Roman" w:hAnsi="Times New Roman" w:cs="Times New Roman"/>
          <w:i/>
          <w:iCs/>
          <w:sz w:val="24"/>
          <w:szCs w:val="24"/>
          <w:lang w:val="en-AU"/>
        </w:rPr>
        <w:t>Journal of Finance</w:t>
      </w:r>
      <w:r w:rsidRPr="00D60A02">
        <w:rPr>
          <w:rFonts w:ascii="Times New Roman" w:hAnsi="Times New Roman" w:cs="Times New Roman"/>
          <w:sz w:val="24"/>
          <w:szCs w:val="24"/>
          <w:lang w:val="en-AU"/>
        </w:rPr>
        <w:t xml:space="preserve">, 55, 5: 1629-66 </w:t>
      </w:r>
    </w:p>
    <w:p w:rsidR="00627661" w:rsidRPr="00D60A02" w:rsidRDefault="00627661" w:rsidP="00627661">
      <w:pPr>
        <w:pStyle w:val="EndnoteText"/>
        <w:rPr>
          <w:rFonts w:ascii="Times New Roman" w:hAnsi="Times New Roman" w:cs="Times New Roman"/>
          <w:sz w:val="24"/>
          <w:szCs w:val="24"/>
        </w:rPr>
      </w:pPr>
      <w:proofErr w:type="spellStart"/>
      <w:r w:rsidRPr="00D60A02">
        <w:rPr>
          <w:rFonts w:ascii="Times New Roman" w:hAnsi="Times New Roman" w:cs="Times New Roman"/>
          <w:sz w:val="24"/>
          <w:szCs w:val="24"/>
        </w:rPr>
        <w:t>Da</w:t>
      </w:r>
      <w:proofErr w:type="spellEnd"/>
      <w:r w:rsidRPr="00D60A02">
        <w:rPr>
          <w:rFonts w:ascii="Times New Roman" w:hAnsi="Times New Roman" w:cs="Times New Roman"/>
          <w:sz w:val="24"/>
          <w:szCs w:val="24"/>
        </w:rPr>
        <w:t xml:space="preserve">, </w:t>
      </w:r>
      <w:r w:rsidR="009E0F1C" w:rsidRPr="00D60A02">
        <w:rPr>
          <w:rFonts w:ascii="Times New Roman" w:hAnsi="Times New Roman" w:cs="Times New Roman"/>
          <w:sz w:val="24"/>
          <w:szCs w:val="24"/>
        </w:rPr>
        <w:t xml:space="preserve">Z., </w:t>
      </w:r>
      <w:proofErr w:type="spellStart"/>
      <w:r w:rsidR="009E0F1C" w:rsidRPr="00D60A02">
        <w:rPr>
          <w:rFonts w:ascii="Times New Roman" w:hAnsi="Times New Roman" w:cs="Times New Roman"/>
          <w:sz w:val="24"/>
          <w:szCs w:val="24"/>
        </w:rPr>
        <w:t>G</w:t>
      </w:r>
      <w:r w:rsidRPr="00D60A02">
        <w:rPr>
          <w:rFonts w:ascii="Times New Roman" w:hAnsi="Times New Roman" w:cs="Times New Roman"/>
          <w:sz w:val="24"/>
          <w:szCs w:val="24"/>
        </w:rPr>
        <w:t>uo</w:t>
      </w:r>
      <w:proofErr w:type="spellEnd"/>
      <w:r w:rsidR="009E0F1C" w:rsidRPr="00D60A02">
        <w:rPr>
          <w:rFonts w:ascii="Times New Roman" w:hAnsi="Times New Roman" w:cs="Times New Roman"/>
          <w:sz w:val="24"/>
          <w:szCs w:val="24"/>
        </w:rPr>
        <w:t xml:space="preserve"> R-J</w:t>
      </w:r>
      <w:r w:rsidRPr="00D60A02">
        <w:rPr>
          <w:rFonts w:ascii="Times New Roman" w:hAnsi="Times New Roman" w:cs="Times New Roman"/>
          <w:sz w:val="24"/>
          <w:szCs w:val="24"/>
        </w:rPr>
        <w:t xml:space="preserve">, and </w:t>
      </w:r>
      <w:proofErr w:type="spellStart"/>
      <w:r w:rsidRPr="00D60A02">
        <w:rPr>
          <w:rFonts w:ascii="Times New Roman" w:hAnsi="Times New Roman" w:cs="Times New Roman"/>
          <w:sz w:val="24"/>
          <w:szCs w:val="24"/>
        </w:rPr>
        <w:t>Jagannathan</w:t>
      </w:r>
      <w:proofErr w:type="spellEnd"/>
      <w:r w:rsidR="009E0F1C" w:rsidRPr="00D60A02">
        <w:rPr>
          <w:rFonts w:ascii="Times New Roman" w:hAnsi="Times New Roman" w:cs="Times New Roman"/>
          <w:sz w:val="24"/>
          <w:szCs w:val="24"/>
        </w:rPr>
        <w:t>,</w:t>
      </w:r>
      <w:r w:rsidRPr="00D60A02">
        <w:rPr>
          <w:rFonts w:ascii="Times New Roman" w:hAnsi="Times New Roman" w:cs="Times New Roman"/>
          <w:sz w:val="24"/>
          <w:szCs w:val="24"/>
        </w:rPr>
        <w:t xml:space="preserve"> </w:t>
      </w:r>
      <w:r w:rsidR="009E0F1C" w:rsidRPr="00D60A02">
        <w:rPr>
          <w:rFonts w:ascii="Times New Roman" w:hAnsi="Times New Roman" w:cs="Times New Roman"/>
          <w:sz w:val="24"/>
          <w:szCs w:val="24"/>
        </w:rPr>
        <w:t xml:space="preserve">R., </w:t>
      </w:r>
      <w:r w:rsidRPr="00D60A02">
        <w:rPr>
          <w:rFonts w:ascii="Times New Roman" w:hAnsi="Times New Roman" w:cs="Times New Roman"/>
          <w:sz w:val="24"/>
          <w:szCs w:val="24"/>
        </w:rPr>
        <w:t xml:space="preserve">(2012) ‘CAPM for estimating the cost of equity capital: Interpreting the empirical evidence’, </w:t>
      </w:r>
      <w:r w:rsidRPr="00D60A02">
        <w:rPr>
          <w:rFonts w:ascii="Times New Roman" w:hAnsi="Times New Roman" w:cs="Times New Roman"/>
          <w:i/>
          <w:sz w:val="24"/>
          <w:szCs w:val="24"/>
        </w:rPr>
        <w:t>Journal of Financial Economics</w:t>
      </w:r>
      <w:r w:rsidRPr="00D60A02">
        <w:rPr>
          <w:rFonts w:ascii="Times New Roman" w:hAnsi="Times New Roman" w:cs="Times New Roman"/>
          <w:sz w:val="24"/>
          <w:szCs w:val="24"/>
        </w:rPr>
        <w:t xml:space="preserve"> 103: 204–220.</w:t>
      </w:r>
    </w:p>
    <w:p w:rsidR="009106E5" w:rsidRPr="00D60A02" w:rsidRDefault="009106E5" w:rsidP="00F007AF">
      <w:pPr>
        <w:ind w:left="720" w:hanging="720"/>
        <w:rPr>
          <w:rFonts w:ascii="Times New Roman" w:hAnsi="Times New Roman" w:cs="Times New Roman"/>
          <w:sz w:val="24"/>
          <w:szCs w:val="24"/>
          <w:lang w:val="en-AU"/>
        </w:rPr>
      </w:pPr>
      <w:proofErr w:type="spellStart"/>
      <w:r w:rsidRPr="00D60A02">
        <w:rPr>
          <w:rFonts w:ascii="Times New Roman" w:hAnsi="Times New Roman" w:cs="Times New Roman"/>
          <w:sz w:val="24"/>
          <w:szCs w:val="24"/>
          <w:lang w:val="en-AU"/>
        </w:rPr>
        <w:t>Damodaran</w:t>
      </w:r>
      <w:proofErr w:type="spellEnd"/>
      <w:r w:rsidRPr="00D60A02">
        <w:rPr>
          <w:rFonts w:ascii="Times New Roman" w:hAnsi="Times New Roman" w:cs="Times New Roman"/>
          <w:sz w:val="24"/>
          <w:szCs w:val="24"/>
          <w:lang w:val="en-AU"/>
        </w:rPr>
        <w:t xml:space="preserve">, A. 1997, </w:t>
      </w:r>
      <w:r w:rsidRPr="00D60A02">
        <w:rPr>
          <w:rFonts w:ascii="Times New Roman" w:hAnsi="Times New Roman" w:cs="Times New Roman"/>
          <w:i/>
          <w:iCs/>
          <w:sz w:val="24"/>
          <w:szCs w:val="24"/>
          <w:lang w:val="en-AU"/>
        </w:rPr>
        <w:t>Corporate Finance: Theory and Practice</w:t>
      </w:r>
      <w:r w:rsidRPr="00D60A02">
        <w:rPr>
          <w:rFonts w:ascii="Times New Roman" w:hAnsi="Times New Roman" w:cs="Times New Roman"/>
          <w:sz w:val="24"/>
          <w:szCs w:val="24"/>
          <w:lang w:val="en-AU"/>
        </w:rPr>
        <w:t xml:space="preserve">, New York: Wiley </w:t>
      </w:r>
    </w:p>
    <w:p w:rsidR="00115269" w:rsidRPr="00D60A02" w:rsidRDefault="00115269" w:rsidP="00F007AF">
      <w:pPr>
        <w:pStyle w:val="Default"/>
        <w:ind w:left="720" w:hanging="720"/>
        <w:jc w:val="both"/>
        <w:rPr>
          <w:lang w:val="en-AU"/>
        </w:rPr>
      </w:pPr>
      <w:proofErr w:type="spellStart"/>
      <w:r w:rsidRPr="00D60A02">
        <w:rPr>
          <w:lang w:val="en-AU"/>
        </w:rPr>
        <w:t>Fama</w:t>
      </w:r>
      <w:proofErr w:type="spellEnd"/>
      <w:r w:rsidRPr="00D60A02">
        <w:rPr>
          <w:lang w:val="en-AU"/>
        </w:rPr>
        <w:t xml:space="preserve">, E. F. and K.R. French 1992, ‘The cross section of expected stock returns’, </w:t>
      </w:r>
      <w:r w:rsidRPr="00D60A02">
        <w:rPr>
          <w:i/>
          <w:iCs/>
          <w:lang w:val="en-AU"/>
        </w:rPr>
        <w:t xml:space="preserve">Journal of Finance, </w:t>
      </w:r>
      <w:r w:rsidRPr="00D60A02">
        <w:rPr>
          <w:lang w:val="en-AU"/>
        </w:rPr>
        <w:t xml:space="preserve">47: 427-65 </w:t>
      </w:r>
    </w:p>
    <w:p w:rsidR="00771DB8" w:rsidRPr="00D60A02" w:rsidRDefault="00771DB8" w:rsidP="00771DB8">
      <w:pPr>
        <w:ind w:left="720" w:hanging="720"/>
        <w:rPr>
          <w:rFonts w:ascii="Times New Roman" w:hAnsi="Times New Roman" w:cs="Times New Roman"/>
          <w:sz w:val="24"/>
          <w:szCs w:val="24"/>
        </w:rPr>
      </w:pPr>
      <w:proofErr w:type="spellStart"/>
      <w:r w:rsidRPr="00D60A02">
        <w:rPr>
          <w:rFonts w:ascii="Times New Roman" w:hAnsi="Times New Roman" w:cs="Times New Roman"/>
          <w:sz w:val="24"/>
          <w:szCs w:val="24"/>
        </w:rPr>
        <w:t>Gahlon</w:t>
      </w:r>
      <w:proofErr w:type="spellEnd"/>
      <w:r w:rsidRPr="00D60A02">
        <w:rPr>
          <w:rFonts w:ascii="Times New Roman" w:hAnsi="Times New Roman" w:cs="Times New Roman"/>
          <w:sz w:val="24"/>
          <w:szCs w:val="24"/>
        </w:rPr>
        <w:t xml:space="preserve">, J.M. and J.A. Gentry (1982), ‘On the Relationship </w:t>
      </w:r>
      <w:proofErr w:type="gramStart"/>
      <w:r w:rsidRPr="00D60A02">
        <w:rPr>
          <w:rFonts w:ascii="Times New Roman" w:hAnsi="Times New Roman" w:cs="Times New Roman"/>
          <w:sz w:val="24"/>
          <w:szCs w:val="24"/>
        </w:rPr>
        <w:t>Between</w:t>
      </w:r>
      <w:proofErr w:type="gramEnd"/>
      <w:r w:rsidRPr="00D60A02">
        <w:rPr>
          <w:rFonts w:ascii="Times New Roman" w:hAnsi="Times New Roman" w:cs="Times New Roman"/>
          <w:sz w:val="24"/>
          <w:szCs w:val="24"/>
        </w:rPr>
        <w:t xml:space="preserve"> Systematic Risk and the Degrees of Operating and Financial Leverage’, </w:t>
      </w:r>
      <w:r w:rsidRPr="00D60A02">
        <w:rPr>
          <w:rFonts w:ascii="Times New Roman" w:hAnsi="Times New Roman" w:cs="Times New Roman"/>
          <w:i/>
          <w:sz w:val="24"/>
          <w:szCs w:val="24"/>
        </w:rPr>
        <w:t>Financial Management</w:t>
      </w:r>
      <w:r w:rsidRPr="00D60A02">
        <w:rPr>
          <w:rFonts w:ascii="Times New Roman" w:hAnsi="Times New Roman" w:cs="Times New Roman"/>
          <w:sz w:val="24"/>
          <w:szCs w:val="24"/>
        </w:rPr>
        <w:t xml:space="preserve"> </w:t>
      </w:r>
      <w:r w:rsidRPr="00D60A02">
        <w:rPr>
          <w:rFonts w:ascii="Times New Roman" w:hAnsi="Times New Roman" w:cs="Times New Roman"/>
          <w:bCs/>
          <w:sz w:val="24"/>
          <w:szCs w:val="24"/>
        </w:rPr>
        <w:t>11,</w:t>
      </w:r>
      <w:r w:rsidRPr="00D60A02">
        <w:rPr>
          <w:rFonts w:ascii="Times New Roman" w:hAnsi="Times New Roman" w:cs="Times New Roman"/>
          <w:sz w:val="24"/>
          <w:szCs w:val="24"/>
        </w:rPr>
        <w:t xml:space="preserve"> pp.15-23</w:t>
      </w:r>
    </w:p>
    <w:p w:rsidR="00E96ABA" w:rsidRPr="00D60A02" w:rsidRDefault="00E96ABA" w:rsidP="00E96ABA">
      <w:pPr>
        <w:autoSpaceDE w:val="0"/>
        <w:autoSpaceDN w:val="0"/>
        <w:adjustRightInd w:val="0"/>
        <w:ind w:left="720" w:hanging="720"/>
        <w:rPr>
          <w:rFonts w:ascii="Times New Roman" w:hAnsi="Times New Roman" w:cs="Times New Roman"/>
          <w:sz w:val="24"/>
          <w:szCs w:val="24"/>
          <w:lang w:val="en-AU"/>
        </w:rPr>
      </w:pPr>
      <w:r w:rsidRPr="00D60A02">
        <w:rPr>
          <w:rFonts w:ascii="Times New Roman" w:hAnsi="Times New Roman" w:cs="Times New Roman"/>
          <w:sz w:val="24"/>
          <w:szCs w:val="24"/>
          <w:lang w:val="en-AU"/>
        </w:rPr>
        <w:t>Graham, J, and C. Harvey 2001, ‘</w:t>
      </w:r>
      <w:proofErr w:type="gramStart"/>
      <w:r w:rsidRPr="00D60A02">
        <w:rPr>
          <w:rFonts w:ascii="Times New Roman" w:hAnsi="Times New Roman" w:cs="Times New Roman"/>
          <w:sz w:val="24"/>
          <w:szCs w:val="24"/>
          <w:lang w:val="en-AU"/>
        </w:rPr>
        <w:t>The</w:t>
      </w:r>
      <w:proofErr w:type="gramEnd"/>
      <w:r w:rsidRPr="00D60A02">
        <w:rPr>
          <w:rFonts w:ascii="Times New Roman" w:hAnsi="Times New Roman" w:cs="Times New Roman"/>
          <w:sz w:val="24"/>
          <w:szCs w:val="24"/>
          <w:lang w:val="en-AU"/>
        </w:rPr>
        <w:t xml:space="preserve"> theory and practice of corporate finance: evidence from the field’, </w:t>
      </w:r>
      <w:r w:rsidRPr="00D60A02">
        <w:rPr>
          <w:rFonts w:ascii="Times New Roman" w:hAnsi="Times New Roman" w:cs="Times New Roman"/>
          <w:i/>
          <w:iCs/>
          <w:sz w:val="24"/>
          <w:szCs w:val="24"/>
          <w:lang w:val="en-AU"/>
        </w:rPr>
        <w:t>Journal of Financial Economics</w:t>
      </w:r>
      <w:r w:rsidRPr="00D60A02">
        <w:rPr>
          <w:rFonts w:ascii="Times New Roman" w:hAnsi="Times New Roman" w:cs="Times New Roman"/>
          <w:sz w:val="24"/>
          <w:szCs w:val="24"/>
          <w:lang w:val="en-AU"/>
        </w:rPr>
        <w:t xml:space="preserve">, 60: 187-243 </w:t>
      </w:r>
    </w:p>
    <w:p w:rsidR="00771DB8" w:rsidRPr="00D60A02" w:rsidRDefault="00771DB8" w:rsidP="00771DB8">
      <w:pPr>
        <w:ind w:left="720" w:hanging="720"/>
        <w:rPr>
          <w:rFonts w:ascii="Times New Roman" w:hAnsi="Times New Roman" w:cs="Times New Roman"/>
          <w:sz w:val="24"/>
          <w:szCs w:val="24"/>
        </w:rPr>
      </w:pPr>
      <w:r w:rsidRPr="00D60A02">
        <w:rPr>
          <w:rFonts w:ascii="Times New Roman" w:hAnsi="Times New Roman" w:cs="Times New Roman"/>
          <w:sz w:val="24"/>
          <w:szCs w:val="24"/>
        </w:rPr>
        <w:t xml:space="preserve">Hamada, R.S. (1972), ‘The effect of the firm’s capital structure on the systematic risk of common stocks’, </w:t>
      </w:r>
      <w:r w:rsidRPr="00D60A02">
        <w:rPr>
          <w:rFonts w:ascii="Times New Roman" w:hAnsi="Times New Roman" w:cs="Times New Roman"/>
          <w:i/>
          <w:sz w:val="24"/>
          <w:szCs w:val="24"/>
        </w:rPr>
        <w:t>Journal of Finance</w:t>
      </w:r>
      <w:r w:rsidRPr="00D60A02">
        <w:rPr>
          <w:rFonts w:ascii="Times New Roman" w:hAnsi="Times New Roman" w:cs="Times New Roman"/>
          <w:sz w:val="24"/>
          <w:szCs w:val="24"/>
        </w:rPr>
        <w:t xml:space="preserve">, </w:t>
      </w:r>
      <w:r w:rsidRPr="00D60A02">
        <w:rPr>
          <w:rFonts w:ascii="Times New Roman" w:hAnsi="Times New Roman" w:cs="Times New Roman"/>
          <w:bCs/>
          <w:sz w:val="24"/>
          <w:szCs w:val="24"/>
        </w:rPr>
        <w:t>27,</w:t>
      </w:r>
      <w:r w:rsidRPr="00D60A02">
        <w:rPr>
          <w:rFonts w:ascii="Times New Roman" w:hAnsi="Times New Roman" w:cs="Times New Roman"/>
          <w:sz w:val="24"/>
          <w:szCs w:val="24"/>
        </w:rPr>
        <w:t xml:space="preserve"> pp.435-52</w:t>
      </w:r>
    </w:p>
    <w:p w:rsidR="00771DB8" w:rsidRPr="00D60A02" w:rsidRDefault="00771DB8" w:rsidP="00771DB8">
      <w:pPr>
        <w:ind w:left="720" w:hanging="720"/>
        <w:rPr>
          <w:rFonts w:ascii="Times New Roman" w:hAnsi="Times New Roman" w:cs="Times New Roman"/>
          <w:sz w:val="24"/>
        </w:rPr>
      </w:pPr>
      <w:r w:rsidRPr="00D60A02">
        <w:rPr>
          <w:rFonts w:ascii="Times New Roman" w:hAnsi="Times New Roman" w:cs="Times New Roman"/>
          <w:sz w:val="24"/>
        </w:rPr>
        <w:t xml:space="preserve">Huffman, L. (1983), ‘Operating Leverage, Financial Leverage and Equity Risk,’ </w:t>
      </w:r>
      <w:r w:rsidRPr="00D60A02">
        <w:rPr>
          <w:rFonts w:ascii="Times New Roman" w:hAnsi="Times New Roman" w:cs="Times New Roman"/>
          <w:i/>
          <w:sz w:val="24"/>
        </w:rPr>
        <w:t>Journal of Banking &amp; Finance</w:t>
      </w:r>
      <w:r w:rsidRPr="00D60A02">
        <w:rPr>
          <w:rFonts w:ascii="Times New Roman" w:hAnsi="Times New Roman" w:cs="Times New Roman"/>
          <w:sz w:val="24"/>
        </w:rPr>
        <w:t xml:space="preserve">, </w:t>
      </w:r>
      <w:r w:rsidRPr="00D60A02">
        <w:rPr>
          <w:rFonts w:ascii="Times New Roman" w:hAnsi="Times New Roman" w:cs="Times New Roman"/>
          <w:bCs/>
          <w:sz w:val="24"/>
        </w:rPr>
        <w:t>7</w:t>
      </w:r>
      <w:r w:rsidRPr="00D60A02">
        <w:rPr>
          <w:rFonts w:ascii="Times New Roman" w:hAnsi="Times New Roman" w:cs="Times New Roman"/>
          <w:sz w:val="24"/>
        </w:rPr>
        <w:t xml:space="preserve">(2), pp.197-212 </w:t>
      </w:r>
    </w:p>
    <w:p w:rsidR="0088457C" w:rsidRPr="00D60A02" w:rsidRDefault="0088457C" w:rsidP="0088457C">
      <w:pPr>
        <w:ind w:left="720" w:hanging="720"/>
        <w:rPr>
          <w:rFonts w:ascii="Times New Roman" w:hAnsi="Times New Roman" w:cs="Times New Roman"/>
          <w:sz w:val="24"/>
        </w:rPr>
      </w:pPr>
      <w:r w:rsidRPr="00D60A02">
        <w:rPr>
          <w:rFonts w:ascii="Times New Roman" w:hAnsi="Times New Roman" w:cs="Times New Roman"/>
          <w:sz w:val="24"/>
        </w:rPr>
        <w:t xml:space="preserve">Huffman, S.P. (1989), ‘The Impact of the Degrees of Operating and Financial Leverage on the Systematic Risk of Common Stocks: Another Look’, </w:t>
      </w:r>
      <w:r w:rsidRPr="00D60A02">
        <w:rPr>
          <w:rFonts w:ascii="Times New Roman" w:hAnsi="Times New Roman" w:cs="Times New Roman"/>
          <w:i/>
          <w:sz w:val="24"/>
        </w:rPr>
        <w:t>Quarterly Journal of Business and Economics</w:t>
      </w:r>
      <w:r w:rsidRPr="00D60A02">
        <w:rPr>
          <w:rFonts w:ascii="Times New Roman" w:hAnsi="Times New Roman" w:cs="Times New Roman"/>
          <w:sz w:val="24"/>
        </w:rPr>
        <w:t xml:space="preserve">, </w:t>
      </w:r>
      <w:r w:rsidRPr="00D60A02">
        <w:rPr>
          <w:rFonts w:ascii="Times New Roman" w:hAnsi="Times New Roman" w:cs="Times New Roman"/>
          <w:bCs/>
          <w:sz w:val="24"/>
        </w:rPr>
        <w:t>28</w:t>
      </w:r>
      <w:r w:rsidRPr="00D60A02">
        <w:rPr>
          <w:rFonts w:ascii="Times New Roman" w:hAnsi="Times New Roman" w:cs="Times New Roman"/>
          <w:sz w:val="24"/>
        </w:rPr>
        <w:t>(1), pp.83-100</w:t>
      </w:r>
    </w:p>
    <w:p w:rsidR="00771DB8" w:rsidRPr="00D60A02" w:rsidRDefault="00771DB8" w:rsidP="00771DB8">
      <w:pPr>
        <w:ind w:left="720" w:hanging="720"/>
        <w:rPr>
          <w:rFonts w:ascii="Times New Roman" w:hAnsi="Times New Roman" w:cs="Times New Roman"/>
          <w:sz w:val="24"/>
          <w:szCs w:val="24"/>
        </w:rPr>
      </w:pPr>
      <w:proofErr w:type="spellStart"/>
      <w:r w:rsidRPr="00D60A02">
        <w:rPr>
          <w:rFonts w:ascii="Times New Roman" w:hAnsi="Times New Roman" w:cs="Times New Roman"/>
          <w:sz w:val="24"/>
          <w:szCs w:val="24"/>
        </w:rPr>
        <w:t>Lintner</w:t>
      </w:r>
      <w:proofErr w:type="spellEnd"/>
      <w:r w:rsidRPr="00D60A02">
        <w:rPr>
          <w:rFonts w:ascii="Times New Roman" w:hAnsi="Times New Roman" w:cs="Times New Roman"/>
          <w:sz w:val="24"/>
          <w:szCs w:val="24"/>
        </w:rPr>
        <w:t xml:space="preserve">, J. (1965), ‘The valuation of risk assets and the selection of risky investments in stock portfolios and capital budgets’, </w:t>
      </w:r>
      <w:r w:rsidRPr="00D60A02">
        <w:rPr>
          <w:rFonts w:ascii="Times New Roman" w:hAnsi="Times New Roman" w:cs="Times New Roman"/>
          <w:i/>
          <w:sz w:val="24"/>
          <w:szCs w:val="24"/>
        </w:rPr>
        <w:t xml:space="preserve">Review of Economics and Statistics, </w:t>
      </w:r>
      <w:r w:rsidRPr="00D60A02">
        <w:rPr>
          <w:rFonts w:ascii="Times New Roman" w:hAnsi="Times New Roman" w:cs="Times New Roman"/>
          <w:bCs/>
          <w:sz w:val="24"/>
          <w:szCs w:val="24"/>
        </w:rPr>
        <w:t>47</w:t>
      </w:r>
      <w:r w:rsidRPr="00D60A02">
        <w:rPr>
          <w:rFonts w:ascii="Times New Roman" w:hAnsi="Times New Roman" w:cs="Times New Roman"/>
          <w:b/>
          <w:sz w:val="24"/>
          <w:szCs w:val="24"/>
        </w:rPr>
        <w:t>,</w:t>
      </w:r>
      <w:r w:rsidRPr="00D60A02">
        <w:rPr>
          <w:rFonts w:ascii="Times New Roman" w:hAnsi="Times New Roman" w:cs="Times New Roman"/>
          <w:sz w:val="24"/>
          <w:szCs w:val="24"/>
        </w:rPr>
        <w:t xml:space="preserve"> pp.13-37</w:t>
      </w:r>
    </w:p>
    <w:p w:rsidR="00A032ED" w:rsidRPr="00D60A02" w:rsidRDefault="00A032ED" w:rsidP="00A032ED">
      <w:pPr>
        <w:pStyle w:val="BodyText"/>
        <w:ind w:left="720" w:hanging="720"/>
        <w:rPr>
          <w:sz w:val="24"/>
        </w:rPr>
      </w:pPr>
      <w:r w:rsidRPr="00D60A02">
        <w:rPr>
          <w:sz w:val="24"/>
        </w:rPr>
        <w:t xml:space="preserve">Lord. R.A. (1996), ‘The Impact of Operating and Financial Risk on Equity Risk,’ </w:t>
      </w:r>
      <w:r w:rsidRPr="00D60A02">
        <w:rPr>
          <w:i/>
          <w:sz w:val="24"/>
        </w:rPr>
        <w:t>Journal of Economic and Finance</w:t>
      </w:r>
      <w:r w:rsidRPr="00D60A02">
        <w:rPr>
          <w:sz w:val="24"/>
        </w:rPr>
        <w:t xml:space="preserve">, </w:t>
      </w:r>
      <w:r w:rsidRPr="00D60A02">
        <w:rPr>
          <w:bCs/>
          <w:sz w:val="24"/>
        </w:rPr>
        <w:t>20</w:t>
      </w:r>
      <w:r w:rsidRPr="00D60A02">
        <w:rPr>
          <w:sz w:val="24"/>
        </w:rPr>
        <w:t>(3), pp.27-38</w:t>
      </w:r>
    </w:p>
    <w:p w:rsidR="0088457C" w:rsidRPr="00D60A02" w:rsidRDefault="0088457C" w:rsidP="0088457C">
      <w:pPr>
        <w:pStyle w:val="BodyText"/>
        <w:ind w:left="720" w:hanging="720"/>
        <w:rPr>
          <w:sz w:val="24"/>
          <w:szCs w:val="24"/>
        </w:rPr>
      </w:pPr>
      <w:proofErr w:type="spellStart"/>
      <w:r w:rsidRPr="00D60A02">
        <w:rPr>
          <w:sz w:val="24"/>
          <w:szCs w:val="24"/>
        </w:rPr>
        <w:t>Mandelker</w:t>
      </w:r>
      <w:proofErr w:type="spellEnd"/>
      <w:r w:rsidRPr="00D60A02">
        <w:rPr>
          <w:sz w:val="24"/>
          <w:szCs w:val="24"/>
        </w:rPr>
        <w:t xml:space="preserve">, G.N. and S.G. Rhee (1984), ‘The Impact of the Degrees of Operating and Financial Leverage on Systematic Risk of Common Stock’, </w:t>
      </w:r>
      <w:r w:rsidRPr="00D60A02">
        <w:rPr>
          <w:i/>
          <w:sz w:val="24"/>
          <w:szCs w:val="24"/>
        </w:rPr>
        <w:t>Journal of Financial and Quantitative Analysis,</w:t>
      </w:r>
      <w:r w:rsidRPr="00D60A02">
        <w:rPr>
          <w:sz w:val="24"/>
          <w:szCs w:val="24"/>
        </w:rPr>
        <w:t xml:space="preserve"> 19(1), pp.45-57</w:t>
      </w:r>
    </w:p>
    <w:p w:rsidR="00F007AF" w:rsidRPr="00D60A02" w:rsidRDefault="00F007AF" w:rsidP="00F007AF">
      <w:pPr>
        <w:autoSpaceDE w:val="0"/>
        <w:autoSpaceDN w:val="0"/>
        <w:adjustRightInd w:val="0"/>
        <w:ind w:left="720" w:hanging="720"/>
        <w:rPr>
          <w:rFonts w:ascii="Times New Roman" w:hAnsi="Times New Roman" w:cs="Times New Roman"/>
          <w:sz w:val="24"/>
          <w:szCs w:val="24"/>
          <w:lang w:val="en-AU"/>
        </w:rPr>
      </w:pPr>
      <w:r w:rsidRPr="00D60A02">
        <w:rPr>
          <w:rFonts w:ascii="Times New Roman" w:hAnsi="Times New Roman" w:cs="Times New Roman"/>
          <w:sz w:val="24"/>
          <w:szCs w:val="24"/>
          <w:lang w:val="en-AU"/>
        </w:rPr>
        <w:t xml:space="preserve">Modigliani, F. and M. Miller (1958), ‘The cost of capital, corporation finance and the theory of investment’, </w:t>
      </w:r>
      <w:r w:rsidRPr="00D60A02">
        <w:rPr>
          <w:rFonts w:ascii="Times New Roman" w:hAnsi="Times New Roman" w:cs="Times New Roman"/>
          <w:i/>
          <w:iCs/>
          <w:sz w:val="24"/>
          <w:szCs w:val="24"/>
          <w:lang w:val="en-AU"/>
        </w:rPr>
        <w:t>American Economic Review</w:t>
      </w:r>
      <w:r w:rsidRPr="00D60A02">
        <w:rPr>
          <w:rFonts w:ascii="Times New Roman" w:hAnsi="Times New Roman" w:cs="Times New Roman"/>
          <w:sz w:val="24"/>
          <w:szCs w:val="24"/>
          <w:lang w:val="en-AU"/>
        </w:rPr>
        <w:t xml:space="preserve">, 48:.261-97 </w:t>
      </w:r>
    </w:p>
    <w:p w:rsidR="00FC4D9F" w:rsidRPr="00D60A02" w:rsidRDefault="00FC4D9F" w:rsidP="00F007AF">
      <w:pPr>
        <w:ind w:left="510" w:hanging="510"/>
        <w:rPr>
          <w:rStyle w:val="st"/>
          <w:rFonts w:ascii="Times New Roman" w:hAnsi="Times New Roman" w:cs="Times New Roman"/>
          <w:sz w:val="24"/>
          <w:szCs w:val="24"/>
          <w:lang w:val="en-AU"/>
        </w:rPr>
      </w:pPr>
      <w:proofErr w:type="spellStart"/>
      <w:r w:rsidRPr="00D60A02">
        <w:rPr>
          <w:rStyle w:val="st"/>
          <w:rFonts w:ascii="Times New Roman" w:hAnsi="Times New Roman" w:cs="Times New Roman"/>
          <w:sz w:val="24"/>
          <w:szCs w:val="24"/>
          <w:lang w:val="en-AU"/>
        </w:rPr>
        <w:t>Shalit</w:t>
      </w:r>
      <w:proofErr w:type="spellEnd"/>
      <w:r w:rsidRPr="00D60A02">
        <w:rPr>
          <w:rStyle w:val="st"/>
          <w:rFonts w:ascii="Times New Roman" w:hAnsi="Times New Roman" w:cs="Times New Roman"/>
          <w:sz w:val="24"/>
          <w:szCs w:val="24"/>
          <w:lang w:val="en-AU"/>
        </w:rPr>
        <w:t xml:space="preserve">, H. and </w:t>
      </w:r>
      <w:proofErr w:type="spellStart"/>
      <w:r w:rsidRPr="00D60A02">
        <w:rPr>
          <w:rStyle w:val="Emphasis"/>
          <w:rFonts w:ascii="Times New Roman" w:hAnsi="Times New Roman" w:cs="Times New Roman"/>
          <w:sz w:val="24"/>
          <w:szCs w:val="24"/>
          <w:lang w:val="en-AU"/>
        </w:rPr>
        <w:t>Yitzhaki</w:t>
      </w:r>
      <w:proofErr w:type="spellEnd"/>
      <w:r w:rsidRPr="00D60A02">
        <w:rPr>
          <w:rStyle w:val="st"/>
          <w:rFonts w:ascii="Times New Roman" w:hAnsi="Times New Roman" w:cs="Times New Roman"/>
          <w:i/>
          <w:sz w:val="24"/>
          <w:szCs w:val="24"/>
          <w:lang w:val="en-AU"/>
        </w:rPr>
        <w:t>,</w:t>
      </w:r>
      <w:r w:rsidRPr="00D60A02">
        <w:rPr>
          <w:rStyle w:val="st"/>
          <w:rFonts w:ascii="Times New Roman" w:hAnsi="Times New Roman" w:cs="Times New Roman"/>
          <w:sz w:val="24"/>
          <w:szCs w:val="24"/>
          <w:lang w:val="en-AU"/>
        </w:rPr>
        <w:t xml:space="preserve"> S. </w:t>
      </w:r>
      <w:r w:rsidRPr="00D60A02">
        <w:rPr>
          <w:rStyle w:val="Emphasis"/>
          <w:rFonts w:ascii="Times New Roman" w:hAnsi="Times New Roman" w:cs="Times New Roman"/>
          <w:sz w:val="24"/>
          <w:szCs w:val="24"/>
          <w:lang w:val="en-AU"/>
        </w:rPr>
        <w:t>1984,</w:t>
      </w:r>
      <w:r w:rsidRPr="00D60A02">
        <w:rPr>
          <w:rStyle w:val="st"/>
          <w:rFonts w:ascii="Times New Roman" w:hAnsi="Times New Roman" w:cs="Times New Roman"/>
          <w:sz w:val="24"/>
          <w:szCs w:val="24"/>
          <w:lang w:val="en-AU"/>
        </w:rPr>
        <w:t xml:space="preserve"> Mean-</w:t>
      </w:r>
      <w:proofErr w:type="spellStart"/>
      <w:r w:rsidRPr="00D60A02">
        <w:rPr>
          <w:rStyle w:val="st"/>
          <w:rFonts w:ascii="Times New Roman" w:hAnsi="Times New Roman" w:cs="Times New Roman"/>
          <w:sz w:val="24"/>
          <w:szCs w:val="24"/>
          <w:lang w:val="en-AU"/>
        </w:rPr>
        <w:t>Gini</w:t>
      </w:r>
      <w:proofErr w:type="spellEnd"/>
      <w:r w:rsidRPr="00D60A02">
        <w:rPr>
          <w:rStyle w:val="st"/>
          <w:rFonts w:ascii="Times New Roman" w:hAnsi="Times New Roman" w:cs="Times New Roman"/>
          <w:sz w:val="24"/>
          <w:szCs w:val="24"/>
          <w:lang w:val="en-AU"/>
        </w:rPr>
        <w:t xml:space="preserve">, Portfolio Theory, and the Pricing of Risky Assets </w:t>
      </w:r>
      <w:proofErr w:type="gramStart"/>
      <w:r w:rsidRPr="00D60A02">
        <w:rPr>
          <w:rStyle w:val="st"/>
          <w:rFonts w:ascii="Times New Roman" w:hAnsi="Times New Roman" w:cs="Times New Roman"/>
          <w:sz w:val="24"/>
          <w:szCs w:val="24"/>
          <w:lang w:val="en-AU"/>
        </w:rPr>
        <w:t>The</w:t>
      </w:r>
      <w:proofErr w:type="gramEnd"/>
      <w:r w:rsidRPr="00D60A02">
        <w:rPr>
          <w:rStyle w:val="st"/>
          <w:rFonts w:ascii="Times New Roman" w:hAnsi="Times New Roman" w:cs="Times New Roman"/>
          <w:sz w:val="24"/>
          <w:szCs w:val="24"/>
          <w:lang w:val="en-AU"/>
        </w:rPr>
        <w:t xml:space="preserve"> Journal of Finance 39: 5: 1449-1468 </w:t>
      </w:r>
    </w:p>
    <w:p w:rsidR="00771DB8" w:rsidRPr="00D60A02" w:rsidRDefault="00771DB8" w:rsidP="00771DB8">
      <w:pPr>
        <w:ind w:left="720" w:hanging="720"/>
        <w:rPr>
          <w:rFonts w:ascii="Times New Roman" w:hAnsi="Times New Roman" w:cs="Times New Roman"/>
          <w:sz w:val="24"/>
          <w:szCs w:val="24"/>
        </w:rPr>
      </w:pPr>
      <w:r w:rsidRPr="00D60A02">
        <w:rPr>
          <w:rFonts w:ascii="Times New Roman" w:hAnsi="Times New Roman" w:cs="Times New Roman"/>
          <w:sz w:val="24"/>
          <w:szCs w:val="24"/>
        </w:rPr>
        <w:t xml:space="preserve">Sharpe, W. F. (1964), ‘Capital asset prices: A theory of market equilibrium under conditions of risk’, </w:t>
      </w:r>
      <w:r w:rsidRPr="00D60A02">
        <w:rPr>
          <w:rFonts w:ascii="Times New Roman" w:hAnsi="Times New Roman" w:cs="Times New Roman"/>
          <w:i/>
          <w:sz w:val="24"/>
          <w:szCs w:val="24"/>
        </w:rPr>
        <w:t xml:space="preserve">Journal of Finance, </w:t>
      </w:r>
      <w:r w:rsidRPr="00D60A02">
        <w:rPr>
          <w:rFonts w:ascii="Times New Roman" w:hAnsi="Times New Roman" w:cs="Times New Roman"/>
          <w:bCs/>
          <w:sz w:val="24"/>
          <w:szCs w:val="24"/>
        </w:rPr>
        <w:t>19,</w:t>
      </w:r>
      <w:r w:rsidRPr="00D60A02">
        <w:rPr>
          <w:rFonts w:ascii="Times New Roman" w:hAnsi="Times New Roman" w:cs="Times New Roman"/>
          <w:sz w:val="24"/>
          <w:szCs w:val="24"/>
        </w:rPr>
        <w:t xml:space="preserve"> pp.425-42</w:t>
      </w:r>
    </w:p>
    <w:p w:rsidR="00AB5EC7" w:rsidRPr="00D60A02" w:rsidRDefault="00AB5EC7" w:rsidP="00AB5EC7">
      <w:pPr>
        <w:pStyle w:val="FootnoteText"/>
        <w:ind w:left="720" w:hanging="720"/>
        <w:rPr>
          <w:rFonts w:ascii="Times New Roman" w:hAnsi="Times New Roman" w:cs="Times New Roman"/>
          <w:sz w:val="24"/>
          <w:szCs w:val="24"/>
        </w:rPr>
      </w:pPr>
      <w:r w:rsidRPr="00D60A02">
        <w:rPr>
          <w:rFonts w:ascii="Times New Roman" w:hAnsi="Times New Roman" w:cs="Times New Roman"/>
          <w:color w:val="000000"/>
          <w:sz w:val="24"/>
          <w:szCs w:val="24"/>
        </w:rPr>
        <w:t xml:space="preserve">Stapleton R. C. and M. G. </w:t>
      </w:r>
      <w:proofErr w:type="spellStart"/>
      <w:r w:rsidRPr="00D60A02">
        <w:rPr>
          <w:rFonts w:ascii="Times New Roman" w:hAnsi="Times New Roman" w:cs="Times New Roman"/>
          <w:color w:val="000000"/>
          <w:sz w:val="24"/>
          <w:szCs w:val="24"/>
        </w:rPr>
        <w:t>Subrahmanyam</w:t>
      </w:r>
      <w:proofErr w:type="spellEnd"/>
      <w:r w:rsidRPr="00D60A02">
        <w:rPr>
          <w:rFonts w:ascii="Times New Roman" w:hAnsi="Times New Roman" w:cs="Times New Roman"/>
          <w:color w:val="000000"/>
          <w:sz w:val="24"/>
          <w:szCs w:val="24"/>
        </w:rPr>
        <w:t xml:space="preserve"> (1983), ‘The Market Model and Capital Asset Pricing Theory: A Note’, </w:t>
      </w:r>
      <w:r w:rsidRPr="00D60A02">
        <w:rPr>
          <w:rFonts w:ascii="Times New Roman" w:hAnsi="Times New Roman" w:cs="Times New Roman"/>
          <w:i/>
          <w:color w:val="000000"/>
          <w:sz w:val="24"/>
          <w:szCs w:val="24"/>
        </w:rPr>
        <w:t>Journal of Finance</w:t>
      </w:r>
      <w:r w:rsidRPr="00D60A02">
        <w:rPr>
          <w:rFonts w:ascii="Times New Roman" w:hAnsi="Times New Roman" w:cs="Times New Roman"/>
          <w:color w:val="000000"/>
          <w:sz w:val="24"/>
          <w:szCs w:val="24"/>
        </w:rPr>
        <w:t>, Vol. 38, No. 5: 1637-1642.</w:t>
      </w:r>
    </w:p>
    <w:p w:rsidR="00FC4D9F" w:rsidRPr="00D60A02" w:rsidRDefault="00FC4D9F" w:rsidP="00F007AF">
      <w:pPr>
        <w:pStyle w:val="Default"/>
        <w:ind w:left="720" w:hanging="720"/>
        <w:jc w:val="both"/>
        <w:rPr>
          <w:lang w:val="en-AU"/>
        </w:rPr>
      </w:pPr>
      <w:r w:rsidRPr="00D60A02">
        <w:rPr>
          <w:lang w:val="en-AU"/>
        </w:rPr>
        <w:t xml:space="preserve">Toms, S and </w:t>
      </w:r>
      <w:proofErr w:type="spellStart"/>
      <w:r w:rsidRPr="00D60A02">
        <w:rPr>
          <w:lang w:val="en-AU"/>
        </w:rPr>
        <w:t>Salama</w:t>
      </w:r>
      <w:proofErr w:type="spellEnd"/>
      <w:r w:rsidRPr="00D60A02">
        <w:rPr>
          <w:lang w:val="en-AU"/>
        </w:rPr>
        <w:t>, A 2009, ‘</w:t>
      </w:r>
      <w:r w:rsidRPr="00D60A02">
        <w:rPr>
          <w:bCs/>
          <w:lang w:val="en-AU"/>
        </w:rPr>
        <w:t>Risk and value in labour and capital markets: The UK corporate economy, 1980-2005’, York Management School, working paper.</w:t>
      </w:r>
      <w:r w:rsidRPr="00D60A02">
        <w:rPr>
          <w:b/>
          <w:bCs/>
          <w:lang w:val="en-AU"/>
        </w:rPr>
        <w:t xml:space="preserve"> </w:t>
      </w:r>
    </w:p>
    <w:p w:rsidR="00F007AF" w:rsidRPr="00D60A02" w:rsidRDefault="00F007AF" w:rsidP="00AB5EC7">
      <w:pPr>
        <w:autoSpaceDE w:val="0"/>
        <w:autoSpaceDN w:val="0"/>
        <w:adjustRightInd w:val="0"/>
        <w:ind w:left="720" w:hanging="720"/>
        <w:jc w:val="left"/>
        <w:rPr>
          <w:rFonts w:ascii="Times New Roman" w:hAnsi="Times New Roman" w:cs="Times New Roman"/>
          <w:sz w:val="24"/>
          <w:szCs w:val="24"/>
          <w:lang w:val="en-AU"/>
        </w:rPr>
      </w:pPr>
      <w:r w:rsidRPr="00D60A02">
        <w:rPr>
          <w:rFonts w:ascii="Times New Roman" w:hAnsi="Times New Roman" w:cs="Times New Roman"/>
          <w:sz w:val="24"/>
          <w:szCs w:val="24"/>
          <w:lang w:val="en-AU"/>
        </w:rPr>
        <w:t xml:space="preserve">Toms, S. 2012, Accounting based risk measurement: An alternative to CAPM derived discount factors, </w:t>
      </w:r>
      <w:r w:rsidRPr="00D60A02">
        <w:rPr>
          <w:rFonts w:ascii="Times New Roman" w:hAnsi="Times New Roman" w:cs="Times New Roman"/>
          <w:i/>
          <w:sz w:val="24"/>
          <w:szCs w:val="24"/>
          <w:lang w:val="en-AU"/>
        </w:rPr>
        <w:t xml:space="preserve">Australian Accounting Review, </w:t>
      </w:r>
      <w:r w:rsidRPr="00D60A02">
        <w:rPr>
          <w:rFonts w:ascii="Times New Roman" w:hAnsi="Times New Roman" w:cs="Times New Roman"/>
          <w:sz w:val="24"/>
          <w:szCs w:val="24"/>
          <w:lang w:val="en-AU"/>
        </w:rPr>
        <w:t>forthcoming</w:t>
      </w:r>
      <w:r w:rsidRPr="00D60A02">
        <w:rPr>
          <w:rFonts w:ascii="Times New Roman" w:hAnsi="Times New Roman" w:cs="Times New Roman"/>
          <w:i/>
          <w:sz w:val="24"/>
          <w:szCs w:val="24"/>
          <w:lang w:val="en-AU"/>
        </w:rPr>
        <w:t>.</w:t>
      </w:r>
    </w:p>
    <w:p w:rsidR="00FC4D9F" w:rsidRPr="00D60A02" w:rsidRDefault="00FC4D9F" w:rsidP="00F007AF">
      <w:pPr>
        <w:pStyle w:val="Default"/>
        <w:ind w:left="720" w:hanging="720"/>
        <w:jc w:val="both"/>
        <w:rPr>
          <w:lang w:val="en-AU"/>
        </w:rPr>
      </w:pPr>
      <w:r w:rsidRPr="00D60A02">
        <w:rPr>
          <w:lang w:val="en-AU"/>
        </w:rPr>
        <w:t xml:space="preserve">Trahan, E.A. and L.J. </w:t>
      </w:r>
      <w:proofErr w:type="spellStart"/>
      <w:r w:rsidRPr="00D60A02">
        <w:rPr>
          <w:lang w:val="en-AU"/>
        </w:rPr>
        <w:t>Gitman</w:t>
      </w:r>
      <w:proofErr w:type="spellEnd"/>
      <w:r w:rsidRPr="00D60A02">
        <w:rPr>
          <w:lang w:val="en-AU"/>
        </w:rPr>
        <w:t xml:space="preserve"> 1995, ‘</w:t>
      </w:r>
      <w:proofErr w:type="gramStart"/>
      <w:r w:rsidRPr="00D60A02">
        <w:rPr>
          <w:lang w:val="en-AU"/>
        </w:rPr>
        <w:t>Bridging</w:t>
      </w:r>
      <w:proofErr w:type="gramEnd"/>
      <w:r w:rsidRPr="00D60A02">
        <w:rPr>
          <w:lang w:val="en-AU"/>
        </w:rPr>
        <w:t xml:space="preserve"> the theory-practice gap in corporate finance: a survey of chief financial officers’, </w:t>
      </w:r>
      <w:r w:rsidRPr="00D60A02">
        <w:rPr>
          <w:i/>
          <w:iCs/>
          <w:lang w:val="en-AU"/>
        </w:rPr>
        <w:t>Quarterly Review of Economics and Finance</w:t>
      </w:r>
      <w:r w:rsidRPr="00D60A02">
        <w:rPr>
          <w:lang w:val="en-AU"/>
        </w:rPr>
        <w:t>, 35: 73-87.</w:t>
      </w:r>
    </w:p>
    <w:p w:rsidR="00FC4D9F" w:rsidRPr="00C63502" w:rsidRDefault="00FC4D9F" w:rsidP="00F007AF">
      <w:pPr>
        <w:pStyle w:val="Default"/>
        <w:jc w:val="both"/>
        <w:rPr>
          <w:lang w:val="en-AU"/>
        </w:rPr>
      </w:pPr>
    </w:p>
    <w:p w:rsidR="00432447" w:rsidRDefault="00432447" w:rsidP="00F007AF"/>
    <w:sectPr w:rsidR="00432447" w:rsidSect="00432447">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98" w:rsidRDefault="00797D98" w:rsidP="00EC436A">
      <w:r>
        <w:separator/>
      </w:r>
    </w:p>
  </w:endnote>
  <w:endnote w:type="continuationSeparator" w:id="0">
    <w:p w:rsidR="00797D98" w:rsidRDefault="00797D98" w:rsidP="00EC436A">
      <w:r>
        <w:continuationSeparator/>
      </w:r>
    </w:p>
  </w:endnote>
  <w:endnote w:id="1">
    <w:p w:rsidR="009C1F0A" w:rsidRPr="00D60A02" w:rsidRDefault="009C1F0A" w:rsidP="00BA65E4">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I am grateful to Tyrone Carlin for his encouraging comments and to two anonymous reviewers, and to the Institute of Chartered Accountants in Scotland for financial support.</w:t>
      </w:r>
    </w:p>
  </w:endnote>
  <w:endnote w:id="2">
    <w:p w:rsidR="009C1F0A" w:rsidRPr="00D60A02" w:rsidRDefault="009C1F0A" w:rsidP="0088457C">
      <w:pPr>
        <w:pStyle w:val="Heading3"/>
        <w:spacing w:before="0"/>
        <w:rPr>
          <w:rFonts w:ascii="Times New Roman" w:hAnsi="Times New Roman" w:cs="Times New Roman"/>
          <w:b w:val="0"/>
          <w:color w:val="auto"/>
          <w:sz w:val="20"/>
          <w:szCs w:val="20"/>
        </w:rPr>
      </w:pPr>
      <w:r w:rsidRPr="00D60A02">
        <w:rPr>
          <w:rStyle w:val="EndnoteReference"/>
          <w:rFonts w:ascii="Times New Roman" w:hAnsi="Times New Roman" w:cs="Times New Roman"/>
          <w:b w:val="0"/>
          <w:color w:val="auto"/>
          <w:sz w:val="20"/>
          <w:szCs w:val="20"/>
        </w:rPr>
        <w:endnoteRef/>
      </w:r>
      <w:r w:rsidRPr="00D60A02">
        <w:rPr>
          <w:rFonts w:ascii="Times New Roman" w:hAnsi="Times New Roman" w:cs="Times New Roman"/>
          <w:b w:val="0"/>
          <w:color w:val="auto"/>
          <w:sz w:val="20"/>
          <w:szCs w:val="20"/>
        </w:rPr>
        <w:t xml:space="preserve"> Toms (2013a) builds on earlier research linking risk to asset valuation (</w:t>
      </w:r>
      <w:r w:rsidRPr="00D60A02">
        <w:rPr>
          <w:rStyle w:val="gsa"/>
          <w:rFonts w:ascii="Times New Roman" w:hAnsi="Times New Roman" w:cs="Times New Roman"/>
          <w:b w:val="0"/>
          <w:bCs w:val="0"/>
          <w:color w:val="auto"/>
          <w:sz w:val="20"/>
          <w:szCs w:val="20"/>
        </w:rPr>
        <w:t>Toms, 2010a) and alternatives to capital market based theories of asset valuation (Toms, 2010b, 2006).</w:t>
      </w:r>
    </w:p>
  </w:endnote>
  <w:endnote w:id="3">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For recent reviews of empirical tests and CAPM anomalies see </w:t>
      </w:r>
      <w:proofErr w:type="spellStart"/>
      <w:r w:rsidRPr="00D60A02">
        <w:rPr>
          <w:rFonts w:ascii="Times New Roman" w:hAnsi="Times New Roman" w:cs="Times New Roman"/>
        </w:rPr>
        <w:t>Da</w:t>
      </w:r>
      <w:proofErr w:type="spellEnd"/>
      <w:r w:rsidRPr="00D60A02">
        <w:rPr>
          <w:rFonts w:ascii="Times New Roman" w:hAnsi="Times New Roman" w:cs="Times New Roman"/>
        </w:rPr>
        <w:t xml:space="preserve">, Re-Jin </w:t>
      </w:r>
      <w:proofErr w:type="spellStart"/>
      <w:r w:rsidRPr="00D60A02">
        <w:rPr>
          <w:rFonts w:ascii="Times New Roman" w:hAnsi="Times New Roman" w:cs="Times New Roman"/>
        </w:rPr>
        <w:t>Guo</w:t>
      </w:r>
      <w:proofErr w:type="spellEnd"/>
      <w:r w:rsidRPr="00D60A02">
        <w:rPr>
          <w:rFonts w:ascii="Times New Roman" w:hAnsi="Times New Roman" w:cs="Times New Roman"/>
        </w:rPr>
        <w:t xml:space="preserve">, and </w:t>
      </w:r>
      <w:proofErr w:type="spellStart"/>
      <w:r w:rsidRPr="00D60A02">
        <w:rPr>
          <w:rFonts w:ascii="Times New Roman" w:hAnsi="Times New Roman" w:cs="Times New Roman"/>
        </w:rPr>
        <w:t>Jagannathan</w:t>
      </w:r>
      <w:proofErr w:type="spellEnd"/>
      <w:r w:rsidRPr="00D60A02">
        <w:rPr>
          <w:rFonts w:ascii="Times New Roman" w:hAnsi="Times New Roman" w:cs="Times New Roman"/>
        </w:rPr>
        <w:t xml:space="preserve"> (2012, pp.204-205) and Toms (2013a).</w:t>
      </w:r>
    </w:p>
  </w:endnote>
  <w:endnote w:id="4">
    <w:p w:rsidR="009C1F0A" w:rsidRPr="00D60A02" w:rsidRDefault="009C1F0A" w:rsidP="005A5484">
      <w:pPr>
        <w:pStyle w:val="Default"/>
        <w:rPr>
          <w:sz w:val="20"/>
          <w:szCs w:val="20"/>
        </w:rPr>
      </w:pPr>
      <w:r w:rsidRPr="00D60A02">
        <w:rPr>
          <w:rStyle w:val="EndnoteReference"/>
          <w:sz w:val="20"/>
          <w:szCs w:val="20"/>
        </w:rPr>
        <w:endnoteRef/>
      </w:r>
      <w:r w:rsidRPr="00D60A02">
        <w:rPr>
          <w:sz w:val="20"/>
          <w:szCs w:val="20"/>
        </w:rPr>
        <w:t xml:space="preserve"> </w:t>
      </w:r>
      <w:proofErr w:type="gramStart"/>
      <w:r w:rsidRPr="00D60A02">
        <w:rPr>
          <w:sz w:val="20"/>
          <w:szCs w:val="20"/>
        </w:rPr>
        <w:t>For example the Essential Services Commission.</w:t>
      </w:r>
      <w:proofErr w:type="gramEnd"/>
      <w:r w:rsidRPr="00D60A02">
        <w:rPr>
          <w:sz w:val="20"/>
          <w:szCs w:val="20"/>
        </w:rPr>
        <w:t xml:space="preserve">  SFG Consulting,  </w:t>
      </w:r>
      <w:r w:rsidRPr="00D60A02">
        <w:rPr>
          <w:i/>
          <w:sz w:val="20"/>
          <w:szCs w:val="20"/>
        </w:rPr>
        <w:t>The Equity Beta of an Energy Distribution Business</w:t>
      </w:r>
      <w:r w:rsidRPr="00D60A02">
        <w:rPr>
          <w:sz w:val="20"/>
          <w:szCs w:val="20"/>
        </w:rPr>
        <w:t xml:space="preserve">, Report for AGL,  </w:t>
      </w:r>
      <w:r w:rsidRPr="00D60A02">
        <w:rPr>
          <w:rStyle w:val="Slogan"/>
          <w:sz w:val="20"/>
          <w:szCs w:val="20"/>
        </w:rPr>
        <w:t>February 10, 2005</w:t>
      </w:r>
    </w:p>
  </w:endnote>
  <w:endnote w:id="5">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For a summary, see Toms (2013a).</w:t>
      </w:r>
    </w:p>
  </w:endnote>
  <w:endnote w:id="6">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This approach allows forecast rather than historical data to be used so that the resulting discount rate is consistent with the risk implied in forecasted cash flows.</w:t>
      </w:r>
    </w:p>
  </w:endnote>
  <w:endnote w:id="7">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For numerical examples of the derivation of γ, including adjustments for asset turnover, see Toms (2013a)</w:t>
      </w:r>
    </w:p>
  </w:endnote>
  <w:endnote w:id="8">
    <w:p w:rsidR="009C1F0A" w:rsidRPr="00D60A02" w:rsidRDefault="009C1F0A" w:rsidP="00EC436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These were selected from the membership list of the Institute of Chartered Accountants in Scotland. All those listing their occupation as financial director, financial controller, chief accountant or divisional accountant were selected, producing a list of 1714 names. Those located overseas were excluded, as the study uses UK benchmark metrics. The sample was thereby reduced to 1472 names to </w:t>
      </w:r>
      <w:proofErr w:type="gramStart"/>
      <w:r w:rsidRPr="00D60A02">
        <w:rPr>
          <w:rFonts w:ascii="Times New Roman" w:hAnsi="Times New Roman" w:cs="Times New Roman"/>
        </w:rPr>
        <w:t>who</w:t>
      </w:r>
      <w:r w:rsidR="00D60A02">
        <w:rPr>
          <w:rFonts w:ascii="Times New Roman" w:hAnsi="Times New Roman" w:cs="Times New Roman"/>
        </w:rPr>
        <w:t>m</w:t>
      </w:r>
      <w:proofErr w:type="gramEnd"/>
      <w:r w:rsidRPr="00D60A02">
        <w:rPr>
          <w:rFonts w:ascii="Times New Roman" w:hAnsi="Times New Roman" w:cs="Times New Roman"/>
        </w:rPr>
        <w:t xml:space="preserve"> questionnaires were posted.</w:t>
      </w:r>
    </w:p>
  </w:endnote>
  <w:endnote w:id="9">
    <w:p w:rsidR="00D60A02" w:rsidRPr="00D60A02" w:rsidRDefault="00D60A02">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w:t>
      </w:r>
      <w:r w:rsidRPr="00D60A02">
        <w:rPr>
          <w:rFonts w:ascii="Times New Roman" w:hAnsi="Times New Roman" w:cs="Times New Roman"/>
        </w:rPr>
        <w:t>The surveys were completed in the summer of 2008 and respondents requested to use their forecasts for the coming financial year. The forecasts were therefore not affected by the loss of confidence inspired by the banking crisis of autumn 2008.</w:t>
      </w:r>
    </w:p>
  </w:endnote>
  <w:endnote w:id="10">
    <w:p w:rsidR="009C1F0A" w:rsidRPr="00D60A02" w:rsidRDefault="009C1F0A" w:rsidP="00EC436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Response rates to questionnaires asking for similar information of chief financial officers have achieved response rates in the range of 5% (</w:t>
      </w:r>
      <w:proofErr w:type="spellStart"/>
      <w:r w:rsidRPr="00D60A02">
        <w:rPr>
          <w:rFonts w:ascii="Times New Roman" w:hAnsi="Times New Roman" w:cs="Times New Roman"/>
        </w:rPr>
        <w:t>Brounen</w:t>
      </w:r>
      <w:proofErr w:type="spellEnd"/>
      <w:r w:rsidRPr="00D60A02">
        <w:rPr>
          <w:rFonts w:ascii="Times New Roman" w:hAnsi="Times New Roman" w:cs="Times New Roman"/>
        </w:rPr>
        <w:t xml:space="preserve">, de </w:t>
      </w:r>
      <w:proofErr w:type="spellStart"/>
      <w:r w:rsidRPr="00D60A02">
        <w:rPr>
          <w:rFonts w:ascii="Times New Roman" w:hAnsi="Times New Roman" w:cs="Times New Roman"/>
        </w:rPr>
        <w:t>Jong</w:t>
      </w:r>
      <w:proofErr w:type="spellEnd"/>
      <w:r w:rsidRPr="00D60A02">
        <w:rPr>
          <w:rFonts w:ascii="Times New Roman" w:hAnsi="Times New Roman" w:cs="Times New Roman"/>
        </w:rPr>
        <w:t xml:space="preserve"> and </w:t>
      </w:r>
      <w:proofErr w:type="spellStart"/>
      <w:r w:rsidRPr="00D60A02">
        <w:rPr>
          <w:rFonts w:ascii="Times New Roman" w:hAnsi="Times New Roman" w:cs="Times New Roman"/>
        </w:rPr>
        <w:t>Koedijk</w:t>
      </w:r>
      <w:proofErr w:type="spellEnd"/>
      <w:r w:rsidRPr="00D60A02">
        <w:rPr>
          <w:rFonts w:ascii="Times New Roman" w:hAnsi="Times New Roman" w:cs="Times New Roman"/>
        </w:rPr>
        <w:t>, 2004) to 12% (</w:t>
      </w:r>
      <w:proofErr w:type="spellStart"/>
      <w:r w:rsidRPr="00D60A02">
        <w:rPr>
          <w:rFonts w:ascii="Times New Roman" w:hAnsi="Times New Roman" w:cs="Times New Roman"/>
        </w:rPr>
        <w:t>Bancel</w:t>
      </w:r>
      <w:proofErr w:type="spellEnd"/>
      <w:r w:rsidRPr="00D60A02">
        <w:rPr>
          <w:rFonts w:ascii="Times New Roman" w:hAnsi="Times New Roman" w:cs="Times New Roman"/>
        </w:rPr>
        <w:t xml:space="preserve"> and </w:t>
      </w:r>
      <w:proofErr w:type="spellStart"/>
      <w:r w:rsidRPr="00D60A02">
        <w:rPr>
          <w:rFonts w:ascii="Times New Roman" w:hAnsi="Times New Roman" w:cs="Times New Roman"/>
        </w:rPr>
        <w:t>Mittoo</w:t>
      </w:r>
      <w:proofErr w:type="spellEnd"/>
      <w:r w:rsidRPr="00D60A02">
        <w:rPr>
          <w:rFonts w:ascii="Times New Roman" w:hAnsi="Times New Roman" w:cs="Times New Roman"/>
        </w:rPr>
        <w:t xml:space="preserve">, 2004, Trahan and </w:t>
      </w:r>
      <w:proofErr w:type="spellStart"/>
      <w:r w:rsidRPr="00D60A02">
        <w:rPr>
          <w:rFonts w:ascii="Times New Roman" w:hAnsi="Times New Roman" w:cs="Times New Roman"/>
        </w:rPr>
        <w:t>Gitman</w:t>
      </w:r>
      <w:proofErr w:type="spellEnd"/>
      <w:r w:rsidRPr="00D60A02">
        <w:rPr>
          <w:rFonts w:ascii="Times New Roman" w:hAnsi="Times New Roman" w:cs="Times New Roman"/>
        </w:rPr>
        <w:t xml:space="preserve"> (1995) and the response rate obtained by Graham and Harvey (2001) of 9% is perhaps typical of this kind of survey. Even so, an important difference is that in the present survey, budget data was requested in the form of numerical data whereas the previous studies obtained scaled qualitative responses from judgmental questions.</w:t>
      </w:r>
    </w:p>
  </w:endnote>
  <w:endnote w:id="11">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See Toms 2013a, Tables 3 and 4.</w:t>
      </w:r>
    </w:p>
  </w:endnote>
  <w:endnote w:id="12">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Asset turnover was assumed to be constant across all firms. In other words the effects of capital tied up were assumed to be the same for all firms and therefore relatively risk neutral. For an explanation of the potential effects of asset turnover on the calculations, see Toms (2013a).</w:t>
      </w:r>
    </w:p>
  </w:endnote>
  <w:endnote w:id="13">
    <w:p w:rsidR="009C1F0A" w:rsidRPr="00D60A02" w:rsidRDefault="009C1F0A" w:rsidP="00EC436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To generate a simulated value, a normal random variable was used in conjunction with the mean and standard deviation for the </w:t>
      </w:r>
      <w:proofErr w:type="spellStart"/>
      <w:r w:rsidRPr="00D60A02">
        <w:rPr>
          <w:rFonts w:ascii="Times New Roman" w:hAnsi="Times New Roman" w:cs="Times New Roman"/>
          <w:i/>
          <w:iCs/>
        </w:rPr>
        <w:t>Datastream</w:t>
      </w:r>
      <w:proofErr w:type="spellEnd"/>
      <w:r w:rsidRPr="00D60A02">
        <w:rPr>
          <w:rFonts w:ascii="Times New Roman" w:hAnsi="Times New Roman" w:cs="Times New Roman"/>
          <w:i/>
          <w:iCs/>
        </w:rPr>
        <w:t xml:space="preserve"> </w:t>
      </w:r>
      <w:r w:rsidRPr="00D60A02">
        <w:rPr>
          <w:rFonts w:ascii="Times New Roman" w:hAnsi="Times New Roman" w:cs="Times New Roman"/>
        </w:rPr>
        <w:t xml:space="preserve">INDC reference group, using the Excel worksheet function </w:t>
      </w:r>
      <w:r w:rsidRPr="00D60A02">
        <w:rPr>
          <w:rFonts w:ascii="Times New Roman" w:hAnsi="Times New Roman" w:cs="Times New Roman"/>
          <w:i/>
          <w:iCs/>
        </w:rPr>
        <w:t>NORMINV(rand(), mu , sigma).</w:t>
      </w:r>
    </w:p>
  </w:endnote>
  <w:endnote w:id="14">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See Toms (2013a) for a summary.</w:t>
      </w:r>
    </w:p>
  </w:endnote>
  <w:endnote w:id="15">
    <w:p w:rsidR="009C1F0A" w:rsidRPr="00D60A02" w:rsidRDefault="009C1F0A" w:rsidP="005A5484">
      <w:pPr>
        <w:pStyle w:val="Default"/>
        <w:rPr>
          <w:sz w:val="20"/>
          <w:szCs w:val="20"/>
        </w:rPr>
      </w:pPr>
      <w:r w:rsidRPr="00D60A02">
        <w:rPr>
          <w:rStyle w:val="EndnoteReference"/>
          <w:sz w:val="20"/>
          <w:szCs w:val="20"/>
        </w:rPr>
        <w:endnoteRef/>
      </w:r>
      <w:r w:rsidRPr="00D60A02">
        <w:rPr>
          <w:sz w:val="20"/>
          <w:szCs w:val="20"/>
        </w:rPr>
        <w:t xml:space="preserve"> The hypothesis of normality for gamma was rejected at the 1% confidence level but could not be rejected for beta (using a </w:t>
      </w:r>
      <w:r w:rsidRPr="00D60A02">
        <w:rPr>
          <w:i/>
          <w:sz w:val="20"/>
          <w:szCs w:val="20"/>
        </w:rPr>
        <w:t>Shapiro-</w:t>
      </w:r>
      <w:proofErr w:type="spellStart"/>
      <w:r w:rsidRPr="00D60A02">
        <w:rPr>
          <w:i/>
          <w:sz w:val="20"/>
          <w:szCs w:val="20"/>
        </w:rPr>
        <w:t>Wilk</w:t>
      </w:r>
      <w:proofErr w:type="spellEnd"/>
      <w:r w:rsidRPr="00D60A02">
        <w:rPr>
          <w:sz w:val="20"/>
          <w:szCs w:val="20"/>
        </w:rPr>
        <w:t xml:space="preserve"> test for normality).</w:t>
      </w:r>
    </w:p>
  </w:endnote>
  <w:endnote w:id="16">
    <w:p w:rsidR="009C1F0A" w:rsidRPr="00D60A02" w:rsidRDefault="009C1F0A" w:rsidP="00AB5EC7">
      <w:pPr>
        <w:pStyle w:val="Default"/>
        <w:rPr>
          <w:sz w:val="20"/>
          <w:szCs w:val="20"/>
        </w:rPr>
      </w:pPr>
      <w:r w:rsidRPr="00D60A02">
        <w:rPr>
          <w:rStyle w:val="EndnoteReference"/>
          <w:sz w:val="20"/>
          <w:szCs w:val="20"/>
        </w:rPr>
        <w:endnoteRef/>
      </w:r>
      <w:r w:rsidRPr="00D60A02">
        <w:rPr>
          <w:sz w:val="20"/>
          <w:szCs w:val="20"/>
        </w:rPr>
        <w:t xml:space="preserve"> In the absence of stock market quotations, beta estimates for sample </w:t>
      </w:r>
      <w:proofErr w:type="spellStart"/>
      <w:r w:rsidRPr="00D60A02">
        <w:rPr>
          <w:sz w:val="20"/>
          <w:szCs w:val="20"/>
        </w:rPr>
        <w:t>firmr</w:t>
      </w:r>
      <w:proofErr w:type="spellEnd"/>
      <w:r w:rsidRPr="00D60A02">
        <w:rPr>
          <w:sz w:val="20"/>
          <w:szCs w:val="20"/>
        </w:rPr>
        <w:t xml:space="preserve"> and SBU’s have been computed assuming normal cross sectional distributions around the industry mean, which is consistent with the underlying </w:t>
      </w:r>
      <w:proofErr w:type="spellStart"/>
      <w:r w:rsidRPr="00D60A02">
        <w:rPr>
          <w:sz w:val="20"/>
          <w:szCs w:val="20"/>
        </w:rPr>
        <w:t>assumtions</w:t>
      </w:r>
      <w:proofErr w:type="spellEnd"/>
      <w:r w:rsidRPr="00D60A02">
        <w:rPr>
          <w:sz w:val="20"/>
          <w:szCs w:val="20"/>
        </w:rPr>
        <w:t xml:space="preserve"> of the CAPM (See Stapleton and </w:t>
      </w:r>
      <w:proofErr w:type="spellStart"/>
      <w:r w:rsidRPr="00D60A02">
        <w:rPr>
          <w:sz w:val="20"/>
          <w:szCs w:val="20"/>
        </w:rPr>
        <w:t>Subrahmanyam</w:t>
      </w:r>
      <w:proofErr w:type="spellEnd"/>
      <w:r w:rsidRPr="00D60A02">
        <w:rPr>
          <w:sz w:val="20"/>
          <w:szCs w:val="20"/>
        </w:rPr>
        <w:t xml:space="preserve">, 1983). </w:t>
      </w:r>
    </w:p>
  </w:endnote>
  <w:endnote w:id="17">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Costs were estimated by first computing: DOL = % Change in Profit / % Change in Sales. Then solving for fixed costs in: </w:t>
      </w:r>
      <w:r w:rsidRPr="00D60A02">
        <w:rPr>
          <w:rStyle w:val="st"/>
          <w:rFonts w:ascii="Times New Roman" w:hAnsi="Times New Roman" w:cs="Times New Roman"/>
        </w:rPr>
        <w:t>DOL= (Profit + Fixed costs)/Profit. Variable Cost is Total Cost – Fixed Cost.</w:t>
      </w:r>
    </w:p>
  </w:endnote>
  <w:endnote w:id="18">
    <w:p w:rsidR="009C1F0A" w:rsidRPr="00D60A02" w:rsidRDefault="009C1F0A">
      <w:pPr>
        <w:pStyle w:val="EndnoteText"/>
        <w:rPr>
          <w:rFonts w:ascii="Times New Roman" w:hAnsi="Times New Roman" w:cs="Times New Roman"/>
        </w:rPr>
      </w:pPr>
      <w:r w:rsidRPr="00D60A02">
        <w:rPr>
          <w:rStyle w:val="EndnoteReference"/>
          <w:rFonts w:ascii="Times New Roman" w:hAnsi="Times New Roman" w:cs="Times New Roman"/>
        </w:rPr>
        <w:endnoteRef/>
      </w:r>
      <w:r w:rsidRPr="00D60A02">
        <w:rPr>
          <w:rFonts w:ascii="Times New Roman" w:hAnsi="Times New Roman" w:cs="Times New Roman"/>
        </w:rPr>
        <w:t xml:space="preserve"> Calculated using </w:t>
      </w:r>
      <w:r w:rsidRPr="00D60A02">
        <w:rPr>
          <w:rFonts w:ascii="Times New Roman" w:hAnsi="Times New Roman" w:cs="Times New Roman"/>
          <w:iCs/>
        </w:rPr>
        <w:t xml:space="preserve">1984-2005 </w:t>
      </w:r>
      <w:r w:rsidRPr="00D60A02">
        <w:rPr>
          <w:rFonts w:ascii="Times New Roman" w:hAnsi="Times New Roman" w:cs="Times New Roman"/>
        </w:rPr>
        <w:t xml:space="preserve">data from the Cambridge University Companies Database CD-ROM, </w:t>
      </w:r>
      <w:proofErr w:type="spellStart"/>
      <w:r w:rsidRPr="00D60A02">
        <w:rPr>
          <w:rFonts w:ascii="Times New Roman" w:hAnsi="Times New Roman" w:cs="Times New Roman"/>
          <w:i/>
          <w:iCs/>
        </w:rPr>
        <w:t>Datastream</w:t>
      </w:r>
      <w:proofErr w:type="spellEnd"/>
      <w:r w:rsidRPr="00D60A02">
        <w:rPr>
          <w:rFonts w:ascii="Times New Roman" w:hAnsi="Times New Roman" w:cs="Times New Roman"/>
          <w:i/>
          <w:iCs/>
        </w:rPr>
        <w:t xml:space="preserve"> </w:t>
      </w:r>
      <w:r w:rsidRPr="00D60A02">
        <w:rPr>
          <w:rFonts w:ascii="Times New Roman" w:hAnsi="Times New Roman" w:cs="Times New Roman"/>
          <w:iCs/>
        </w:rPr>
        <w:t>and the Office for National Statistics</w:t>
      </w:r>
      <w:r w:rsidRPr="00D60A02">
        <w:rPr>
          <w:rFonts w:ascii="Times New Roman" w:hAnsi="Times New Roman" w:cs="Times New Roman"/>
          <w:i/>
          <w:iCs/>
        </w:rPr>
        <w:t>, Blue Book</w:t>
      </w:r>
      <w:r w:rsidRPr="00D60A02">
        <w:rPr>
          <w:rFonts w:ascii="Times New Roman" w:hAnsi="Times New Roman" w:cs="Times New Roman"/>
          <w:iCs/>
        </w:rPr>
        <w:t>)</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CH Dutch Roman 11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50485"/>
      <w:docPartObj>
        <w:docPartGallery w:val="Page Numbers (Bottom of Page)"/>
        <w:docPartUnique/>
      </w:docPartObj>
    </w:sdtPr>
    <w:sdtContent>
      <w:p w:rsidR="009C1F0A" w:rsidRDefault="009C1F0A">
        <w:pPr>
          <w:pStyle w:val="Footer"/>
          <w:jc w:val="center"/>
        </w:pPr>
        <w:fldSimple w:instr=" PAGE   \* MERGEFORMAT ">
          <w:r w:rsidR="00FC76DF">
            <w:rPr>
              <w:noProof/>
            </w:rPr>
            <w:t>1</w:t>
          </w:r>
        </w:fldSimple>
      </w:p>
    </w:sdtContent>
  </w:sdt>
  <w:p w:rsidR="009C1F0A" w:rsidRDefault="009C1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98" w:rsidRDefault="00797D98" w:rsidP="00EC436A">
      <w:r>
        <w:separator/>
      </w:r>
    </w:p>
  </w:footnote>
  <w:footnote w:type="continuationSeparator" w:id="0">
    <w:p w:rsidR="00797D98" w:rsidRDefault="00797D98" w:rsidP="00EC43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78F1"/>
    <w:multiLevelType w:val="hybridMultilevel"/>
    <w:tmpl w:val="380CB0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EC436A"/>
    <w:rsid w:val="000833BC"/>
    <w:rsid w:val="000B0229"/>
    <w:rsid w:val="00115269"/>
    <w:rsid w:val="001B197E"/>
    <w:rsid w:val="001E65A1"/>
    <w:rsid w:val="00254122"/>
    <w:rsid w:val="00381586"/>
    <w:rsid w:val="00431780"/>
    <w:rsid w:val="00432447"/>
    <w:rsid w:val="004D62F5"/>
    <w:rsid w:val="0055731B"/>
    <w:rsid w:val="005A5484"/>
    <w:rsid w:val="00627661"/>
    <w:rsid w:val="0064242A"/>
    <w:rsid w:val="006C6FFA"/>
    <w:rsid w:val="006E7EB0"/>
    <w:rsid w:val="00771DB8"/>
    <w:rsid w:val="00797D98"/>
    <w:rsid w:val="007F2441"/>
    <w:rsid w:val="0084729E"/>
    <w:rsid w:val="0088457C"/>
    <w:rsid w:val="008B4494"/>
    <w:rsid w:val="00903CC9"/>
    <w:rsid w:val="009106E5"/>
    <w:rsid w:val="00960377"/>
    <w:rsid w:val="00974B84"/>
    <w:rsid w:val="009C1F0A"/>
    <w:rsid w:val="009E0779"/>
    <w:rsid w:val="009E0F1C"/>
    <w:rsid w:val="009F21D8"/>
    <w:rsid w:val="00A032ED"/>
    <w:rsid w:val="00A65A6C"/>
    <w:rsid w:val="00AB5EC7"/>
    <w:rsid w:val="00B37452"/>
    <w:rsid w:val="00BA65E4"/>
    <w:rsid w:val="00CA2D98"/>
    <w:rsid w:val="00D60A02"/>
    <w:rsid w:val="00D77E60"/>
    <w:rsid w:val="00E24EBF"/>
    <w:rsid w:val="00E96ABA"/>
    <w:rsid w:val="00EC436A"/>
    <w:rsid w:val="00F007AF"/>
    <w:rsid w:val="00FC4D9F"/>
    <w:rsid w:val="00FC76DF"/>
    <w:rsid w:val="00FC78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6A"/>
  </w:style>
  <w:style w:type="paragraph" w:styleId="Heading1">
    <w:name w:val="heading 1"/>
    <w:basedOn w:val="Normal"/>
    <w:next w:val="Normal"/>
    <w:link w:val="Heading1Char"/>
    <w:qFormat/>
    <w:rsid w:val="00BA65E4"/>
    <w:pPr>
      <w:keepNext/>
      <w:spacing w:before="240" w:after="60"/>
      <w:jc w:val="left"/>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uiPriority w:val="9"/>
    <w:semiHidden/>
    <w:unhideWhenUsed/>
    <w:qFormat/>
    <w:rsid w:val="00884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36A"/>
    <w:pPr>
      <w:autoSpaceDE w:val="0"/>
      <w:autoSpaceDN w:val="0"/>
      <w:adjustRightInd w:val="0"/>
      <w:jc w:val="left"/>
    </w:pPr>
    <w:rPr>
      <w:rFonts w:ascii="Times New Roman" w:hAnsi="Times New Roman" w:cs="Times New Roman"/>
      <w:color w:val="000000"/>
      <w:sz w:val="24"/>
      <w:szCs w:val="24"/>
    </w:rPr>
  </w:style>
  <w:style w:type="paragraph" w:styleId="ListParagraph">
    <w:name w:val="List Paragraph"/>
    <w:basedOn w:val="Normal"/>
    <w:uiPriority w:val="34"/>
    <w:qFormat/>
    <w:rsid w:val="00EC436A"/>
    <w:pPr>
      <w:ind w:left="720"/>
      <w:contextualSpacing/>
    </w:pPr>
  </w:style>
  <w:style w:type="paragraph" w:styleId="EndnoteText">
    <w:name w:val="endnote text"/>
    <w:basedOn w:val="Normal"/>
    <w:link w:val="EndnoteTextChar"/>
    <w:uiPriority w:val="99"/>
    <w:semiHidden/>
    <w:unhideWhenUsed/>
    <w:rsid w:val="00EC436A"/>
    <w:rPr>
      <w:sz w:val="20"/>
      <w:szCs w:val="20"/>
    </w:rPr>
  </w:style>
  <w:style w:type="character" w:customStyle="1" w:styleId="EndnoteTextChar">
    <w:name w:val="Endnote Text Char"/>
    <w:basedOn w:val="DefaultParagraphFont"/>
    <w:link w:val="EndnoteText"/>
    <w:uiPriority w:val="99"/>
    <w:semiHidden/>
    <w:rsid w:val="00EC436A"/>
    <w:rPr>
      <w:sz w:val="20"/>
      <w:szCs w:val="20"/>
    </w:rPr>
  </w:style>
  <w:style w:type="character" w:styleId="EndnoteReference">
    <w:name w:val="endnote reference"/>
    <w:basedOn w:val="DefaultParagraphFont"/>
    <w:uiPriority w:val="99"/>
    <w:semiHidden/>
    <w:unhideWhenUsed/>
    <w:rsid w:val="00EC436A"/>
    <w:rPr>
      <w:vertAlign w:val="superscript"/>
    </w:rPr>
  </w:style>
  <w:style w:type="character" w:styleId="Emphasis">
    <w:name w:val="Emphasis"/>
    <w:basedOn w:val="DefaultParagraphFont"/>
    <w:uiPriority w:val="20"/>
    <w:qFormat/>
    <w:rsid w:val="00FC4D9F"/>
    <w:rPr>
      <w:i/>
      <w:iCs/>
    </w:rPr>
  </w:style>
  <w:style w:type="character" w:customStyle="1" w:styleId="st">
    <w:name w:val="st"/>
    <w:basedOn w:val="DefaultParagraphFont"/>
    <w:rsid w:val="00FC4D9F"/>
  </w:style>
  <w:style w:type="paragraph" w:styleId="Header">
    <w:name w:val="header"/>
    <w:basedOn w:val="Normal"/>
    <w:link w:val="HeaderChar"/>
    <w:uiPriority w:val="99"/>
    <w:semiHidden/>
    <w:unhideWhenUsed/>
    <w:rsid w:val="00FC4D9F"/>
    <w:pPr>
      <w:tabs>
        <w:tab w:val="center" w:pos="4513"/>
        <w:tab w:val="right" w:pos="9026"/>
      </w:tabs>
    </w:pPr>
  </w:style>
  <w:style w:type="character" w:customStyle="1" w:styleId="HeaderChar">
    <w:name w:val="Header Char"/>
    <w:basedOn w:val="DefaultParagraphFont"/>
    <w:link w:val="Header"/>
    <w:uiPriority w:val="99"/>
    <w:semiHidden/>
    <w:rsid w:val="00FC4D9F"/>
  </w:style>
  <w:style w:type="paragraph" w:styleId="Footer">
    <w:name w:val="footer"/>
    <w:basedOn w:val="Normal"/>
    <w:link w:val="FooterChar"/>
    <w:uiPriority w:val="99"/>
    <w:unhideWhenUsed/>
    <w:rsid w:val="00FC4D9F"/>
    <w:pPr>
      <w:tabs>
        <w:tab w:val="center" w:pos="4513"/>
        <w:tab w:val="right" w:pos="9026"/>
      </w:tabs>
    </w:pPr>
  </w:style>
  <w:style w:type="character" w:customStyle="1" w:styleId="FooterChar">
    <w:name w:val="Footer Char"/>
    <w:basedOn w:val="DefaultParagraphFont"/>
    <w:link w:val="Footer"/>
    <w:uiPriority w:val="99"/>
    <w:rsid w:val="00FC4D9F"/>
  </w:style>
  <w:style w:type="character" w:styleId="Hyperlink">
    <w:name w:val="Hyperlink"/>
    <w:basedOn w:val="DefaultParagraphFont"/>
    <w:uiPriority w:val="99"/>
    <w:semiHidden/>
    <w:unhideWhenUsed/>
    <w:rsid w:val="00115269"/>
    <w:rPr>
      <w:color w:val="0000FF"/>
      <w:u w:val="single"/>
    </w:rPr>
  </w:style>
  <w:style w:type="paragraph" w:styleId="List">
    <w:name w:val="List"/>
    <w:basedOn w:val="Normal"/>
    <w:rsid w:val="00115269"/>
    <w:pPr>
      <w:widowControl w:val="0"/>
      <w:ind w:left="283" w:hanging="283"/>
      <w:jc w:val="center"/>
    </w:pPr>
    <w:rPr>
      <w:rFonts w:ascii="TCH Dutch Roman 11pt" w:eastAsia="Times New Roman" w:hAnsi="TCH Dutch Roman 11pt" w:cs="Times New Roman"/>
      <w:lang w:eastAsia="zh-CN" w:bidi="he-IL"/>
    </w:rPr>
  </w:style>
  <w:style w:type="paragraph" w:styleId="FootnoteText">
    <w:name w:val="footnote text"/>
    <w:basedOn w:val="Normal"/>
    <w:link w:val="FootnoteTextChar"/>
    <w:semiHidden/>
    <w:unhideWhenUsed/>
    <w:rsid w:val="00E24EBF"/>
    <w:rPr>
      <w:sz w:val="20"/>
      <w:szCs w:val="20"/>
    </w:rPr>
  </w:style>
  <w:style w:type="character" w:customStyle="1" w:styleId="FootnoteTextChar">
    <w:name w:val="Footnote Text Char"/>
    <w:basedOn w:val="DefaultParagraphFont"/>
    <w:link w:val="FootnoteText"/>
    <w:semiHidden/>
    <w:rsid w:val="00E24EBF"/>
    <w:rPr>
      <w:sz w:val="20"/>
      <w:szCs w:val="20"/>
    </w:rPr>
  </w:style>
  <w:style w:type="character" w:styleId="FootnoteReference">
    <w:name w:val="footnote reference"/>
    <w:basedOn w:val="DefaultParagraphFont"/>
    <w:uiPriority w:val="99"/>
    <w:semiHidden/>
    <w:unhideWhenUsed/>
    <w:rsid w:val="00E24EBF"/>
    <w:rPr>
      <w:vertAlign w:val="superscript"/>
    </w:rPr>
  </w:style>
  <w:style w:type="character" w:customStyle="1" w:styleId="Heading1Char">
    <w:name w:val="Heading 1 Char"/>
    <w:basedOn w:val="DefaultParagraphFont"/>
    <w:link w:val="Heading1"/>
    <w:rsid w:val="00BA65E4"/>
    <w:rPr>
      <w:rFonts w:ascii="Arial" w:eastAsia="Times New Roman" w:hAnsi="Arial" w:cs="Arial"/>
      <w:b/>
      <w:bCs/>
      <w:kern w:val="32"/>
      <w:sz w:val="32"/>
      <w:szCs w:val="32"/>
      <w:lang w:eastAsia="en-GB"/>
    </w:rPr>
  </w:style>
  <w:style w:type="paragraph" w:styleId="BalloonText">
    <w:name w:val="Balloon Text"/>
    <w:basedOn w:val="Normal"/>
    <w:link w:val="BalloonTextChar"/>
    <w:uiPriority w:val="99"/>
    <w:semiHidden/>
    <w:unhideWhenUsed/>
    <w:rsid w:val="00BA65E4"/>
    <w:rPr>
      <w:rFonts w:ascii="Tahoma" w:hAnsi="Tahoma" w:cs="Tahoma"/>
      <w:sz w:val="16"/>
      <w:szCs w:val="16"/>
    </w:rPr>
  </w:style>
  <w:style w:type="character" w:customStyle="1" w:styleId="BalloonTextChar">
    <w:name w:val="Balloon Text Char"/>
    <w:basedOn w:val="DefaultParagraphFont"/>
    <w:link w:val="BalloonText"/>
    <w:uiPriority w:val="99"/>
    <w:semiHidden/>
    <w:rsid w:val="00BA65E4"/>
    <w:rPr>
      <w:rFonts w:ascii="Tahoma" w:hAnsi="Tahoma" w:cs="Tahoma"/>
      <w:sz w:val="16"/>
      <w:szCs w:val="16"/>
    </w:rPr>
  </w:style>
  <w:style w:type="character" w:customStyle="1" w:styleId="Heading3Char">
    <w:name w:val="Heading 3 Char"/>
    <w:basedOn w:val="DefaultParagraphFont"/>
    <w:link w:val="Heading3"/>
    <w:uiPriority w:val="9"/>
    <w:semiHidden/>
    <w:rsid w:val="0088457C"/>
    <w:rPr>
      <w:rFonts w:asciiTheme="majorHAnsi" w:eastAsiaTheme="majorEastAsia" w:hAnsiTheme="majorHAnsi" w:cstheme="majorBidi"/>
      <w:b/>
      <w:bCs/>
      <w:color w:val="4F81BD" w:themeColor="accent1"/>
    </w:rPr>
  </w:style>
  <w:style w:type="character" w:customStyle="1" w:styleId="gsa">
    <w:name w:val="gs_a"/>
    <w:basedOn w:val="DefaultParagraphFont"/>
    <w:rsid w:val="0088457C"/>
  </w:style>
  <w:style w:type="paragraph" w:styleId="BodyText">
    <w:name w:val="Body Text"/>
    <w:basedOn w:val="Normal"/>
    <w:link w:val="BodyTextChar"/>
    <w:rsid w:val="0088457C"/>
    <w:rPr>
      <w:rFonts w:ascii="Times New Roman" w:eastAsia="Times New Roman" w:hAnsi="Times New Roman" w:cs="Times New Roman"/>
      <w:sz w:val="20"/>
      <w:szCs w:val="20"/>
      <w:lang w:eastAsia="zh-CN" w:bidi="he-IL"/>
    </w:rPr>
  </w:style>
  <w:style w:type="character" w:customStyle="1" w:styleId="BodyTextChar">
    <w:name w:val="Body Text Char"/>
    <w:basedOn w:val="DefaultParagraphFont"/>
    <w:link w:val="BodyText"/>
    <w:rsid w:val="0088457C"/>
    <w:rPr>
      <w:rFonts w:ascii="Times New Roman" w:eastAsia="Times New Roman" w:hAnsi="Times New Roman" w:cs="Times New Roman"/>
      <w:sz w:val="20"/>
      <w:szCs w:val="20"/>
      <w:lang w:eastAsia="zh-CN" w:bidi="he-IL"/>
    </w:rPr>
  </w:style>
  <w:style w:type="character" w:customStyle="1" w:styleId="Slogan">
    <w:name w:val="Slogan"/>
    <w:uiPriority w:val="99"/>
    <w:rsid w:val="005A5484"/>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Toms@leed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5BB23-2AF5-44D7-8A04-FEF6D699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20</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2012-07-24T15:41:00Z</dcterms:created>
  <dcterms:modified xsi:type="dcterms:W3CDTF">2012-07-27T08:33:00Z</dcterms:modified>
</cp:coreProperties>
</file>