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848" w:rsidRPr="0067732F" w:rsidRDefault="00162848" w:rsidP="0067732F">
      <w:pPr>
        <w:jc w:val="both"/>
        <w:rPr>
          <w:rFonts w:ascii="Times New Roman" w:hAnsi="Times New Roman"/>
          <w:b/>
          <w:sz w:val="28"/>
          <w:szCs w:val="28"/>
        </w:rPr>
      </w:pPr>
      <w:r w:rsidRPr="0067732F">
        <w:rPr>
          <w:rFonts w:ascii="Times New Roman" w:hAnsi="Times New Roman"/>
          <w:b/>
          <w:sz w:val="28"/>
          <w:szCs w:val="28"/>
        </w:rPr>
        <w:t>CHAPTER 1</w:t>
      </w:r>
    </w:p>
    <w:p w:rsidR="00162848" w:rsidRPr="0067732F" w:rsidRDefault="00162848" w:rsidP="0067732F">
      <w:pPr>
        <w:jc w:val="both"/>
        <w:rPr>
          <w:rFonts w:ascii="Times New Roman" w:hAnsi="Times New Roman"/>
          <w:b/>
          <w:sz w:val="28"/>
          <w:szCs w:val="28"/>
        </w:rPr>
      </w:pPr>
    </w:p>
    <w:p w:rsidR="00162848" w:rsidRPr="0067732F" w:rsidRDefault="00162848" w:rsidP="0067732F">
      <w:pPr>
        <w:jc w:val="both"/>
        <w:rPr>
          <w:rFonts w:ascii="Times New Roman" w:hAnsi="Times New Roman"/>
          <w:b/>
          <w:sz w:val="28"/>
          <w:szCs w:val="28"/>
        </w:rPr>
      </w:pPr>
      <w:r w:rsidRPr="0067732F">
        <w:rPr>
          <w:rFonts w:ascii="Times New Roman" w:hAnsi="Times New Roman"/>
          <w:b/>
          <w:sz w:val="28"/>
          <w:szCs w:val="28"/>
        </w:rPr>
        <w:t>INTRODUCTION: LEGISLATION AND THE SHAPE OF TORT LAW</w:t>
      </w:r>
    </w:p>
    <w:p w:rsidR="00162848" w:rsidRPr="0067732F" w:rsidRDefault="00162848" w:rsidP="0067732F">
      <w:pPr>
        <w:jc w:val="both"/>
        <w:rPr>
          <w:rFonts w:ascii="Times New Roman" w:hAnsi="Times New Roman"/>
          <w:i/>
          <w:sz w:val="24"/>
          <w:szCs w:val="24"/>
        </w:rPr>
      </w:pPr>
      <w:r w:rsidRPr="0067732F">
        <w:rPr>
          <w:rFonts w:ascii="Times New Roman" w:hAnsi="Times New Roman"/>
          <w:sz w:val="24"/>
          <w:szCs w:val="24"/>
        </w:rPr>
        <w:t xml:space="preserve">TT </w:t>
      </w:r>
      <w:proofErr w:type="spellStart"/>
      <w:r w:rsidRPr="0067732F">
        <w:rPr>
          <w:rFonts w:ascii="Times New Roman" w:hAnsi="Times New Roman"/>
          <w:sz w:val="24"/>
          <w:szCs w:val="24"/>
        </w:rPr>
        <w:t>Arvind</w:t>
      </w:r>
      <w:proofErr w:type="spellEnd"/>
      <w:r w:rsidRPr="0067732F">
        <w:rPr>
          <w:rFonts w:ascii="Times New Roman" w:hAnsi="Times New Roman"/>
          <w:sz w:val="24"/>
          <w:szCs w:val="24"/>
        </w:rPr>
        <w:t xml:space="preserve"> and </w:t>
      </w:r>
      <w:smartTag w:uri="urn:schemas-microsoft-com:office:smarttags" w:element="PersonName">
        <w:r w:rsidRPr="0067732F">
          <w:rPr>
            <w:rFonts w:ascii="Times New Roman" w:hAnsi="Times New Roman"/>
            <w:sz w:val="24"/>
            <w:szCs w:val="24"/>
          </w:rPr>
          <w:t>Jenny Steele</w:t>
        </w:r>
      </w:smartTag>
      <w:r w:rsidRPr="0067732F">
        <w:rPr>
          <w:rStyle w:val="FootnoteReference"/>
          <w:rFonts w:ascii="Times New Roman" w:hAnsi="Times New Roman"/>
          <w:i/>
          <w:sz w:val="24"/>
          <w:szCs w:val="24"/>
        </w:rPr>
        <w:footnoteReference w:customMarkFollows="1" w:id="1"/>
        <w:sym w:font="Symbol" w:char="F02A"/>
      </w:r>
    </w:p>
    <w:p w:rsidR="00162848" w:rsidRPr="0067732F" w:rsidRDefault="00162848" w:rsidP="0067732F">
      <w:pPr>
        <w:jc w:val="both"/>
        <w:rPr>
          <w:rFonts w:ascii="Times New Roman" w:hAnsi="Times New Roman"/>
          <w:sz w:val="24"/>
          <w:szCs w:val="24"/>
        </w:rPr>
      </w:pPr>
    </w:p>
    <w:p w:rsidR="00162848" w:rsidRPr="0067732F" w:rsidRDefault="00162848" w:rsidP="0067732F">
      <w:pPr>
        <w:jc w:val="both"/>
        <w:rPr>
          <w:rFonts w:ascii="Times New Roman" w:hAnsi="Times New Roman"/>
          <w:sz w:val="24"/>
          <w:szCs w:val="24"/>
        </w:rPr>
      </w:pPr>
      <w:r w:rsidRPr="0067732F">
        <w:rPr>
          <w:rFonts w:ascii="Times New Roman" w:hAnsi="Times New Roman"/>
          <w:sz w:val="24"/>
          <w:szCs w:val="24"/>
        </w:rPr>
        <w:t xml:space="preserve">So far as we are aware, this volume represents the first extended treatment of the role of legislation in the law of tort. As the contributions to this volume demonstrate, legislation is a vital and inherent part of, and influence upon, the law of tort; yet current tort theory is so focused on common law alone that it risks handing the study of legislation to other disciplines. This volume is an attempt to remedy that problem.  In this introductory chapter, we draw upon the diverse and original contributions that follow in order to begin a new appreciation of the contours of statutory influence in the law of tort.  </w:t>
      </w:r>
    </w:p>
    <w:p w:rsidR="00162848" w:rsidRPr="0067732F" w:rsidRDefault="00162848" w:rsidP="0067732F">
      <w:pPr>
        <w:jc w:val="both"/>
        <w:rPr>
          <w:rFonts w:ascii="Times New Roman" w:hAnsi="Times New Roman"/>
          <w:sz w:val="24"/>
          <w:szCs w:val="24"/>
        </w:rPr>
      </w:pPr>
      <w:r w:rsidRPr="0067732F">
        <w:rPr>
          <w:rFonts w:ascii="Times New Roman" w:hAnsi="Times New Roman"/>
          <w:sz w:val="24"/>
          <w:szCs w:val="24"/>
        </w:rPr>
        <w:t>This exercise, however, raises broader questions about the implications of omitting legislation from the centre of tort scholarship.  In a concluding chapter,</w:t>
      </w:r>
      <w:r w:rsidRPr="0067732F">
        <w:rPr>
          <w:rStyle w:val="FootnoteReference"/>
          <w:rFonts w:ascii="Times New Roman" w:hAnsi="Times New Roman"/>
          <w:sz w:val="24"/>
          <w:szCs w:val="24"/>
        </w:rPr>
        <w:footnoteReference w:id="2"/>
      </w:r>
      <w:r w:rsidRPr="0067732F">
        <w:rPr>
          <w:rFonts w:ascii="Times New Roman" w:hAnsi="Times New Roman"/>
          <w:sz w:val="24"/>
          <w:szCs w:val="24"/>
        </w:rPr>
        <w:t xml:space="preserve"> we draw out these themes in greater detail, discussing the deeper implications of the present marginalisation of statute and the possible impact for tort scholarship of incorporating legislative influence more fully within its frame.</w:t>
      </w:r>
    </w:p>
    <w:p w:rsidR="00162848" w:rsidRPr="0067732F" w:rsidRDefault="00162848" w:rsidP="0067732F">
      <w:pPr>
        <w:jc w:val="both"/>
        <w:rPr>
          <w:rFonts w:ascii="Times New Roman" w:hAnsi="Times New Roman"/>
          <w:sz w:val="24"/>
          <w:szCs w:val="24"/>
        </w:rPr>
      </w:pPr>
    </w:p>
    <w:p w:rsidR="00162848" w:rsidRPr="0067732F" w:rsidRDefault="00162848" w:rsidP="0067732F">
      <w:pPr>
        <w:pStyle w:val="ListParagraph"/>
        <w:numPr>
          <w:ilvl w:val="0"/>
          <w:numId w:val="5"/>
        </w:numPr>
        <w:jc w:val="both"/>
        <w:rPr>
          <w:rFonts w:ascii="Times New Roman" w:hAnsi="Times New Roman"/>
          <w:b/>
          <w:sz w:val="24"/>
          <w:szCs w:val="24"/>
        </w:rPr>
      </w:pPr>
      <w:r w:rsidRPr="0067732F">
        <w:rPr>
          <w:rFonts w:ascii="Times New Roman" w:hAnsi="Times New Roman"/>
          <w:b/>
          <w:sz w:val="24"/>
          <w:szCs w:val="24"/>
        </w:rPr>
        <w:t>TORT LAW WITHOUT THE LEGISLATURE</w:t>
      </w:r>
    </w:p>
    <w:p w:rsidR="00162848" w:rsidRPr="0067732F" w:rsidRDefault="00162848" w:rsidP="0067732F">
      <w:pPr>
        <w:jc w:val="both"/>
        <w:rPr>
          <w:rFonts w:ascii="Times New Roman" w:hAnsi="Times New Roman"/>
          <w:sz w:val="24"/>
          <w:szCs w:val="24"/>
        </w:rPr>
      </w:pPr>
      <w:r w:rsidRPr="0067732F">
        <w:rPr>
          <w:rFonts w:ascii="Times New Roman" w:hAnsi="Times New Roman"/>
          <w:sz w:val="24"/>
          <w:szCs w:val="24"/>
        </w:rPr>
        <w:t>Our starting point is that there has, in general, been a lack of scholarly attention devoted to legislation in the law of tort, which this collection seeks to redress.</w:t>
      </w:r>
      <w:r w:rsidRPr="0093539F">
        <w:rPr>
          <w:rFonts w:ascii="Times New Roman" w:hAnsi="Times New Roman"/>
          <w:sz w:val="24"/>
          <w:szCs w:val="24"/>
          <w:vertAlign w:val="superscript"/>
        </w:rPr>
        <w:footnoteReference w:id="3"/>
      </w:r>
      <w:r w:rsidRPr="0067732F">
        <w:rPr>
          <w:rFonts w:ascii="Times New Roman" w:hAnsi="Times New Roman"/>
          <w:sz w:val="24"/>
          <w:szCs w:val="24"/>
        </w:rPr>
        <w:t xml:space="preserve">  Tort lawyers know, of </w:t>
      </w:r>
      <w:proofErr w:type="gramStart"/>
      <w:r w:rsidRPr="0067732F">
        <w:rPr>
          <w:rFonts w:ascii="Times New Roman" w:hAnsi="Times New Roman"/>
          <w:sz w:val="24"/>
          <w:szCs w:val="24"/>
        </w:rPr>
        <w:t>course</w:t>
      </w:r>
      <w:proofErr w:type="gramEnd"/>
      <w:r w:rsidRPr="0067732F">
        <w:rPr>
          <w:rFonts w:ascii="Times New Roman" w:hAnsi="Times New Roman"/>
          <w:sz w:val="24"/>
          <w:szCs w:val="24"/>
        </w:rPr>
        <w:t>, that there are many statutes applicable to the law of tort; and are well aware of the key provisions.</w:t>
      </w:r>
      <w:r w:rsidRPr="0067732F">
        <w:rPr>
          <w:rStyle w:val="FootnoteReference"/>
          <w:rFonts w:ascii="Times New Roman" w:hAnsi="Times New Roman"/>
          <w:sz w:val="24"/>
          <w:szCs w:val="24"/>
        </w:rPr>
        <w:footnoteReference w:id="4"/>
      </w:r>
      <w:r w:rsidRPr="0067732F">
        <w:rPr>
          <w:rFonts w:ascii="Times New Roman" w:hAnsi="Times New Roman"/>
          <w:sz w:val="24"/>
          <w:szCs w:val="24"/>
        </w:rPr>
        <w:t xml:space="preserve">  Close attention has also been paid in recent time to reforms, particularly in </w:t>
      </w:r>
      <w:smartTag w:uri="urn:schemas-microsoft-com:office:smarttags" w:element="country-region">
        <w:smartTag w:uri="urn:schemas-microsoft-com:office:smarttags" w:element="place">
          <w:r w:rsidRPr="0067732F">
            <w:rPr>
              <w:rFonts w:ascii="Times New Roman" w:hAnsi="Times New Roman"/>
              <w:sz w:val="24"/>
              <w:szCs w:val="24"/>
            </w:rPr>
            <w:lastRenderedPageBreak/>
            <w:t>Australia</w:t>
          </w:r>
        </w:smartTag>
      </w:smartTag>
      <w:r w:rsidRPr="0067732F">
        <w:rPr>
          <w:rFonts w:ascii="Times New Roman" w:hAnsi="Times New Roman"/>
          <w:sz w:val="24"/>
          <w:szCs w:val="24"/>
        </w:rPr>
        <w:t>,</w:t>
      </w:r>
      <w:r w:rsidRPr="0067732F">
        <w:rPr>
          <w:rFonts w:ascii="Times New Roman" w:hAnsi="Times New Roman"/>
          <w:sz w:val="24"/>
          <w:szCs w:val="24"/>
          <w:vertAlign w:val="superscript"/>
        </w:rPr>
        <w:t xml:space="preserve"> </w:t>
      </w:r>
      <w:r w:rsidRPr="0067732F">
        <w:rPr>
          <w:rFonts w:ascii="Times New Roman" w:hAnsi="Times New Roman"/>
          <w:sz w:val="24"/>
          <w:szCs w:val="24"/>
          <w:vertAlign w:val="superscript"/>
        </w:rPr>
        <w:footnoteReference w:id="5"/>
      </w:r>
      <w:r w:rsidRPr="0067732F">
        <w:rPr>
          <w:rFonts w:ascii="Times New Roman" w:hAnsi="Times New Roman"/>
          <w:sz w:val="24"/>
          <w:szCs w:val="24"/>
        </w:rPr>
        <w:t xml:space="preserve"> which are unsympathetic to the law as previously developed.  And there is a long-standing concern, particularly prominent in the </w:t>
      </w:r>
      <w:smartTag w:uri="urn:schemas-microsoft-com:office:smarttags" w:element="country-region">
        <w:smartTag w:uri="urn:schemas-microsoft-com:office:smarttags" w:element="place">
          <w:r w:rsidRPr="0067732F">
            <w:rPr>
              <w:rFonts w:ascii="Times New Roman" w:hAnsi="Times New Roman"/>
              <w:sz w:val="24"/>
              <w:szCs w:val="24"/>
            </w:rPr>
            <w:t>United States</w:t>
          </w:r>
        </w:smartTag>
      </w:smartTag>
      <w:r w:rsidRPr="0067732F">
        <w:rPr>
          <w:rFonts w:ascii="Times New Roman" w:hAnsi="Times New Roman"/>
          <w:sz w:val="24"/>
          <w:szCs w:val="24"/>
        </w:rPr>
        <w:t>, that a proliferation of statute is undermining the adaptive capacity of common law.</w:t>
      </w:r>
      <w:r w:rsidRPr="0067732F">
        <w:rPr>
          <w:rStyle w:val="FootnoteReference"/>
          <w:rFonts w:ascii="Times New Roman" w:hAnsi="Times New Roman"/>
          <w:sz w:val="24"/>
          <w:szCs w:val="24"/>
        </w:rPr>
        <w:footnoteReference w:id="6"/>
      </w:r>
      <w:r w:rsidRPr="0067732F">
        <w:rPr>
          <w:rFonts w:ascii="Times New Roman" w:hAnsi="Times New Roman"/>
          <w:sz w:val="24"/>
          <w:szCs w:val="24"/>
        </w:rPr>
        <w:t xml:space="preserve">  But this focus on recent, and unsympathetic, legislation reflects an imbalance and under-emphasis of at least two forms in the way the contribution of legislation is perceived. </w:t>
      </w:r>
    </w:p>
    <w:p w:rsidR="00162848" w:rsidRPr="0067732F" w:rsidRDefault="00162848" w:rsidP="0067732F">
      <w:pPr>
        <w:jc w:val="both"/>
        <w:rPr>
          <w:rFonts w:ascii="Times New Roman" w:hAnsi="Times New Roman"/>
          <w:sz w:val="24"/>
          <w:szCs w:val="24"/>
        </w:rPr>
      </w:pPr>
      <w:r w:rsidRPr="0067732F">
        <w:rPr>
          <w:rFonts w:ascii="Times New Roman" w:hAnsi="Times New Roman"/>
          <w:sz w:val="24"/>
          <w:szCs w:val="24"/>
        </w:rPr>
        <w:t>First, it reflects the fact that legislation tends to be left at the periphery of the subject, either unconsciously, or deliberately.  Legislation is generally thought of as interfering with, amending, restricting, replacing, or supplementing common law, or dealing with purely practical issues,</w:t>
      </w:r>
      <w:r w:rsidRPr="0067732F">
        <w:rPr>
          <w:rFonts w:ascii="Times New Roman" w:hAnsi="Times New Roman"/>
          <w:sz w:val="24"/>
          <w:szCs w:val="24"/>
          <w:vertAlign w:val="superscript"/>
        </w:rPr>
        <w:footnoteReference w:id="7"/>
      </w:r>
      <w:r w:rsidRPr="0067732F">
        <w:rPr>
          <w:rFonts w:ascii="Times New Roman" w:hAnsi="Times New Roman"/>
          <w:sz w:val="24"/>
          <w:szCs w:val="24"/>
        </w:rPr>
        <w:t xml:space="preserve"> so that there remains an identifiable core of common law which appears to be independent of statute. This, rather than the adjusted picture involving legislation, is taken to supply the core features or internal structure of the law.  Statute is not, generally, presented as underpinning, shaping, enabling, directing, transforming, or (still less) creating or constituting the law of tort at the core of its operations, nor are statutory provisions typically seen as merging with common law principles, for that would introduce murky issues about their nature and parentage.  This grossly understates the impact of legislation, and overemphasises the contrasts and boundaries between legislation and common law at the expense of their similarities, mutual influence and continuities. </w:t>
      </w:r>
    </w:p>
    <w:p w:rsidR="00162848" w:rsidRPr="0067732F" w:rsidRDefault="00162848" w:rsidP="0067732F">
      <w:pPr>
        <w:jc w:val="both"/>
        <w:rPr>
          <w:rFonts w:ascii="Times New Roman" w:hAnsi="Times New Roman"/>
          <w:sz w:val="24"/>
          <w:szCs w:val="24"/>
        </w:rPr>
      </w:pPr>
      <w:r w:rsidRPr="0067732F">
        <w:rPr>
          <w:rFonts w:ascii="Times New Roman" w:hAnsi="Times New Roman"/>
          <w:sz w:val="24"/>
          <w:szCs w:val="24"/>
        </w:rPr>
        <w:t xml:space="preserve">Secondly, it reflects the manner in which engagement with statutes tends to start and stop with the nature of applicable provisions – what statutes require. This contrasts markedly with the rich diversity of ways in which court decisions are treated, and indeed minutely studied, and raises interesting questions about the acceptance of statutory provisions as definitive and </w:t>
      </w:r>
      <w:r w:rsidRPr="0067732F">
        <w:rPr>
          <w:rFonts w:ascii="Times New Roman" w:hAnsi="Times New Roman"/>
          <w:sz w:val="24"/>
          <w:szCs w:val="24"/>
        </w:rPr>
        <w:lastRenderedPageBreak/>
        <w:t>self-contained, as ‘canonical texts’.</w:t>
      </w:r>
      <w:r w:rsidRPr="0067732F">
        <w:rPr>
          <w:rStyle w:val="FootnoteReference"/>
          <w:rFonts w:ascii="Times New Roman" w:hAnsi="Times New Roman"/>
          <w:sz w:val="24"/>
          <w:szCs w:val="24"/>
        </w:rPr>
        <w:footnoteReference w:id="8"/>
      </w:r>
      <w:r w:rsidRPr="0067732F">
        <w:rPr>
          <w:rFonts w:ascii="Times New Roman" w:hAnsi="Times New Roman"/>
          <w:sz w:val="24"/>
          <w:szCs w:val="24"/>
        </w:rPr>
        <w:t xml:space="preserve">  Cases have traditionally been approached in terms of their contribution to the evolution of legal principles.  To ask about the broader outlook of and influences upon a particular judge is implicitly to question the objectivity and autonomy of principle; to look at the origins and surrounding context of a legal decision is to question the continuity of legal reason, and to introduce possible elements of contingent influence.  Nevertheless, drilling down into the influences on a case is rightly seen as offering the potential to supplement and enrich standard accounts of the derivation and nature of private law, even if, as we explore later in this section, there is resistance around how much these studies tell us about the law.</w:t>
      </w:r>
      <w:r w:rsidRPr="0067732F">
        <w:rPr>
          <w:rFonts w:ascii="Times New Roman" w:hAnsi="Times New Roman"/>
          <w:sz w:val="24"/>
          <w:szCs w:val="24"/>
          <w:vertAlign w:val="superscript"/>
        </w:rPr>
        <w:t xml:space="preserve"> </w:t>
      </w:r>
      <w:r w:rsidRPr="0067732F">
        <w:rPr>
          <w:rFonts w:ascii="Times New Roman" w:hAnsi="Times New Roman"/>
          <w:sz w:val="24"/>
          <w:szCs w:val="24"/>
          <w:vertAlign w:val="superscript"/>
        </w:rPr>
        <w:footnoteReference w:id="9"/>
      </w:r>
      <w:r w:rsidRPr="0067732F">
        <w:rPr>
          <w:rFonts w:ascii="Times New Roman" w:hAnsi="Times New Roman"/>
          <w:sz w:val="24"/>
          <w:szCs w:val="24"/>
          <w:vertAlign w:val="superscript"/>
        </w:rPr>
        <w:t xml:space="preserve">  </w:t>
      </w:r>
      <w:r w:rsidRPr="0067732F">
        <w:rPr>
          <w:rFonts w:ascii="Times New Roman" w:hAnsi="Times New Roman"/>
          <w:sz w:val="24"/>
          <w:szCs w:val="24"/>
        </w:rPr>
        <w:t>But where statutes are concerned, frankly neither the contingent historical context, nor the contribution made to emerging patterns and principles in the law, has generally been investigated by tort scholars. Indeed, given the tendency to treat statute as essentially operating at the margins of the common law – or as outside it, chipping in - it is rather more of a challenge to treat statute as contributing to the pattern of principles to be found in the law. This could merely indicate a preference or leaning on the part of tort scholars, exacerbated by the fact that the surface material itself – the statutory provisions – do not approach the level of interest and engagement to be derived from case reports (statutes themselves are not ‘a good read’).</w:t>
      </w:r>
      <w:r>
        <w:rPr>
          <w:rStyle w:val="FootnoteReference"/>
          <w:rFonts w:ascii="Times New Roman" w:hAnsi="Times New Roman"/>
          <w:sz w:val="24"/>
          <w:szCs w:val="24"/>
        </w:rPr>
        <w:footnoteReference w:id="10"/>
      </w:r>
      <w:r w:rsidRPr="0067732F">
        <w:rPr>
          <w:rFonts w:ascii="Times New Roman" w:hAnsi="Times New Roman"/>
          <w:sz w:val="24"/>
          <w:szCs w:val="24"/>
        </w:rPr>
        <w:t xml:space="preserve"> But there is reason to think there is something deeper at work. </w:t>
      </w:r>
    </w:p>
    <w:p w:rsidR="00162848" w:rsidRPr="0067732F" w:rsidRDefault="00162848" w:rsidP="0067732F">
      <w:pPr>
        <w:jc w:val="both"/>
        <w:rPr>
          <w:rFonts w:ascii="Times New Roman" w:hAnsi="Times New Roman"/>
          <w:sz w:val="24"/>
          <w:szCs w:val="24"/>
        </w:rPr>
      </w:pPr>
      <w:r w:rsidRPr="0067732F">
        <w:rPr>
          <w:rFonts w:ascii="Times New Roman" w:hAnsi="Times New Roman"/>
          <w:sz w:val="24"/>
          <w:szCs w:val="24"/>
        </w:rPr>
        <w:t xml:space="preserve">We can begin to address this by asking how the role of legislation is described by tort lawyers. Oddly enough, given the marginalisation of statute in general accounts of the law of tort, legislation can </w:t>
      </w:r>
      <w:r w:rsidRPr="0067732F">
        <w:rPr>
          <w:rFonts w:ascii="Times New Roman" w:hAnsi="Times New Roman"/>
          <w:i/>
          <w:sz w:val="24"/>
          <w:szCs w:val="24"/>
        </w:rPr>
        <w:t>appear</w:t>
      </w:r>
      <w:r w:rsidRPr="0067732F">
        <w:rPr>
          <w:rFonts w:ascii="Times New Roman" w:hAnsi="Times New Roman"/>
          <w:sz w:val="24"/>
          <w:szCs w:val="24"/>
        </w:rPr>
        <w:t xml:space="preserve"> to come out ahead in a comparison with common law. The issue appears not to need discussion. Statute is superior to common law as a means of achieving change in the balance of rights and liabilities because of its democratic credentials (expressing the will of an elected legislature), so that it can create or limit liability in a way that courts should not.</w:t>
      </w:r>
      <w:r w:rsidRPr="0067732F">
        <w:rPr>
          <w:rStyle w:val="FootnoteReference"/>
          <w:rFonts w:ascii="Times New Roman" w:hAnsi="Times New Roman"/>
          <w:sz w:val="24"/>
          <w:szCs w:val="24"/>
        </w:rPr>
        <w:footnoteReference w:id="11"/>
      </w:r>
      <w:r w:rsidRPr="0067732F">
        <w:rPr>
          <w:rFonts w:ascii="Times New Roman" w:hAnsi="Times New Roman"/>
          <w:sz w:val="24"/>
          <w:szCs w:val="24"/>
        </w:rPr>
        <w:t xml:space="preserve"> This is not an exception from the preoccupation with common law. Rather, the succinctness of the treatment of legislative superiority reflects a continued focus on the role that ought to be played by the courts. The separation is underlined by clear demarcation between the judicial and legislative roles.</w:t>
      </w:r>
      <w:r w:rsidRPr="0067732F">
        <w:rPr>
          <w:rStyle w:val="FootnoteReference"/>
          <w:rFonts w:ascii="Times New Roman" w:hAnsi="Times New Roman"/>
          <w:sz w:val="24"/>
          <w:szCs w:val="24"/>
        </w:rPr>
        <w:footnoteReference w:id="12"/>
      </w:r>
      <w:r w:rsidRPr="0067732F">
        <w:rPr>
          <w:rFonts w:ascii="Times New Roman" w:hAnsi="Times New Roman"/>
          <w:sz w:val="24"/>
          <w:szCs w:val="24"/>
        </w:rPr>
        <w:t xml:space="preserve">  </w:t>
      </w:r>
    </w:p>
    <w:p w:rsidR="00162848" w:rsidRPr="0067732F" w:rsidRDefault="00162848" w:rsidP="0067732F">
      <w:pPr>
        <w:jc w:val="both"/>
        <w:rPr>
          <w:rFonts w:ascii="Times New Roman" w:hAnsi="Times New Roman"/>
          <w:sz w:val="24"/>
          <w:szCs w:val="24"/>
        </w:rPr>
      </w:pPr>
      <w:r w:rsidRPr="0067732F">
        <w:rPr>
          <w:rFonts w:ascii="Times New Roman" w:hAnsi="Times New Roman"/>
          <w:sz w:val="24"/>
          <w:szCs w:val="24"/>
        </w:rPr>
        <w:t xml:space="preserve">In an important sense, the compliment is in any case a back-handed one.  It acknowledges the superiority of the legislature, but at the same time, principled constraints operating on private law are treated as not applying to legislation. Legislation is not the domain of principle, but of </w:t>
      </w:r>
      <w:r w:rsidRPr="0067732F">
        <w:rPr>
          <w:rFonts w:ascii="Times New Roman" w:hAnsi="Times New Roman"/>
          <w:sz w:val="24"/>
          <w:szCs w:val="24"/>
        </w:rPr>
        <w:lastRenderedPageBreak/>
        <w:t>political will.</w:t>
      </w:r>
      <w:r w:rsidRPr="0067732F">
        <w:rPr>
          <w:rStyle w:val="FootnoteReference"/>
          <w:rFonts w:ascii="Times New Roman" w:hAnsi="Times New Roman"/>
          <w:sz w:val="24"/>
          <w:szCs w:val="24"/>
        </w:rPr>
        <w:footnoteReference w:id="13"/>
      </w:r>
      <w:r w:rsidRPr="0067732F">
        <w:rPr>
          <w:rFonts w:ascii="Times New Roman" w:hAnsi="Times New Roman"/>
          <w:sz w:val="24"/>
          <w:szCs w:val="24"/>
        </w:rPr>
        <w:t xml:space="preserve"> It is therefore cast outside the realm of what private lawyers most centrally need to discuss; even perhaps outside the core of jurisprudence, and the disciplinary expertise of theoretical tort law.  </w:t>
      </w:r>
    </w:p>
    <w:p w:rsidR="00162848" w:rsidRPr="0067732F" w:rsidRDefault="00162848" w:rsidP="0067732F">
      <w:pPr>
        <w:jc w:val="both"/>
        <w:rPr>
          <w:rFonts w:ascii="Times New Roman" w:hAnsi="Times New Roman"/>
          <w:sz w:val="24"/>
          <w:szCs w:val="24"/>
        </w:rPr>
      </w:pPr>
      <w:r w:rsidRPr="0067732F">
        <w:rPr>
          <w:rFonts w:ascii="Times New Roman" w:hAnsi="Times New Roman"/>
          <w:sz w:val="24"/>
          <w:szCs w:val="24"/>
        </w:rPr>
        <w:t>Statute may in other senses be implicitly considered inferior to common law. To the extent that legislation is taken to express the will of the legislature, it may be perceived as subject to short-term political ambitions, blinkered in outlook, and potentially ill-informed in respect of its impact on existing legal principle.</w:t>
      </w:r>
      <w:r w:rsidRPr="0067732F">
        <w:rPr>
          <w:rStyle w:val="FootnoteReference"/>
          <w:rFonts w:ascii="Times New Roman" w:hAnsi="Times New Roman"/>
          <w:sz w:val="24"/>
          <w:szCs w:val="24"/>
        </w:rPr>
        <w:footnoteReference w:id="14"/>
      </w:r>
      <w:r w:rsidRPr="0067732F">
        <w:rPr>
          <w:rFonts w:ascii="Times New Roman" w:hAnsi="Times New Roman"/>
          <w:sz w:val="24"/>
          <w:szCs w:val="24"/>
        </w:rPr>
        <w:t xml:space="preserve">  This approach, again treating legislation as largely ‘outside’ the domain of legal principle, emphasises the political aspects of law-making, in the sense of an association with electoral manifestoes, ideologies and interest groups, and understates the legal expertise which is often (though not always) involved in legislation. And it underlines the general point, that there is little sense of ownership of legislation in theoretical accounts of tort. </w:t>
      </w:r>
    </w:p>
    <w:p w:rsidR="00162848" w:rsidRPr="0067732F" w:rsidRDefault="00162848" w:rsidP="0067732F">
      <w:pPr>
        <w:jc w:val="both"/>
        <w:rPr>
          <w:rFonts w:ascii="Times New Roman" w:hAnsi="Times New Roman"/>
          <w:sz w:val="24"/>
          <w:szCs w:val="24"/>
        </w:rPr>
      </w:pPr>
      <w:r w:rsidRPr="0067732F">
        <w:rPr>
          <w:rFonts w:ascii="Times New Roman" w:hAnsi="Times New Roman"/>
          <w:sz w:val="24"/>
          <w:szCs w:val="24"/>
        </w:rPr>
        <w:t>All of the contributions to this book turn this picture around and focus primarily on legislation, or on the interaction between legislation and judicial decisions.</w:t>
      </w:r>
      <w:r w:rsidRPr="0067732F">
        <w:rPr>
          <w:rStyle w:val="FootnoteReference"/>
          <w:rFonts w:ascii="Times New Roman" w:hAnsi="Times New Roman"/>
          <w:sz w:val="24"/>
          <w:szCs w:val="24"/>
        </w:rPr>
        <w:footnoteReference w:id="15"/>
      </w:r>
      <w:r w:rsidRPr="0067732F">
        <w:rPr>
          <w:rFonts w:ascii="Times New Roman" w:hAnsi="Times New Roman"/>
          <w:sz w:val="24"/>
          <w:szCs w:val="24"/>
        </w:rPr>
        <w:t xml:space="preserve"> The very diversity of the contributions illustrates how much ground there is to make up when comparing this exercise with the study of judicial decisions. While some contributors have chosen to investigate the background and to some extent the effects of a single statute – in many cases offering the first such consideration outside the ‘updating’ sections of legal journals and practitioner works - others have looked at much broader patterns – a range of statutes, a wide historical sweep, or the interplay between courts and legislature on a particular issue.   Put together, they make the case that the interaction between the judiciary and the legislature is far more complex and takes place at far more levels, than is usually assumed.</w:t>
      </w:r>
    </w:p>
    <w:p w:rsidR="00162848" w:rsidRPr="0067732F" w:rsidRDefault="00162848" w:rsidP="0067732F">
      <w:pPr>
        <w:jc w:val="both"/>
        <w:rPr>
          <w:rFonts w:ascii="Times New Roman" w:hAnsi="Times New Roman"/>
          <w:sz w:val="24"/>
          <w:szCs w:val="24"/>
        </w:rPr>
      </w:pP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sz w:val="24"/>
          <w:szCs w:val="24"/>
        </w:rPr>
      </w:pPr>
      <w:r w:rsidRPr="0067732F">
        <w:rPr>
          <w:rFonts w:ascii="Times New Roman" w:hAnsi="Times New Roman"/>
          <w:b/>
          <w:sz w:val="24"/>
          <w:szCs w:val="24"/>
        </w:rPr>
        <w:t>II.</w:t>
      </w:r>
      <w:r w:rsidRPr="0067732F">
        <w:rPr>
          <w:rFonts w:ascii="Times New Roman" w:hAnsi="Times New Roman"/>
          <w:b/>
          <w:sz w:val="24"/>
          <w:szCs w:val="24"/>
        </w:rPr>
        <w:tab/>
        <w:t>STATUTES AND THE SHAPE OF TORT LAW: SIX MODES OF INTERACTION</w:t>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bCs/>
          <w:i/>
          <w:sz w:val="24"/>
          <w:szCs w:val="24"/>
        </w:rPr>
      </w:pP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i/>
          <w:sz w:val="24"/>
          <w:szCs w:val="24"/>
        </w:rPr>
      </w:pPr>
      <w:r w:rsidRPr="0067732F">
        <w:rPr>
          <w:rFonts w:ascii="Times New Roman" w:hAnsi="Times New Roman"/>
          <w:bCs/>
          <w:i/>
          <w:sz w:val="24"/>
          <w:szCs w:val="24"/>
        </w:rPr>
        <w:t>Type 1: Amending 'bad' rules</w:t>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sz w:val="24"/>
          <w:szCs w:val="24"/>
        </w:rPr>
      </w:pPr>
      <w:r w:rsidRPr="0067732F">
        <w:rPr>
          <w:rFonts w:ascii="Times New Roman" w:hAnsi="Times New Roman"/>
          <w:sz w:val="24"/>
          <w:szCs w:val="24"/>
        </w:rPr>
        <w:lastRenderedPageBreak/>
        <w:t xml:space="preserve">A major reason why legislation and the legislature remain peripheral in descriptions of tort law is that the interaction between tort law and statutes is seen in very narrow terms.  Because the law of tort is studied chiefly through the manner in which it is applied by courts to the resolution of disputes, statutes are principally seen as being directed to altering the outcomes produced by tort law where they are unsatisfactory, and at doing so in a limited and precise way. </w:t>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sz w:val="24"/>
          <w:szCs w:val="24"/>
        </w:rPr>
      </w:pPr>
      <w:r w:rsidRPr="0067732F">
        <w:rPr>
          <w:rFonts w:ascii="Times New Roman" w:hAnsi="Times New Roman"/>
          <w:sz w:val="24"/>
          <w:szCs w:val="24"/>
        </w:rPr>
        <w:t xml:space="preserve">Such statutes do exist in several areas of tort law. s. 3 of the Compensation Act 2006, which was specifically designed to reverse the rule in </w:t>
      </w:r>
      <w:r w:rsidRPr="0067732F">
        <w:rPr>
          <w:rFonts w:ascii="Times New Roman" w:hAnsi="Times New Roman"/>
          <w:i/>
          <w:iCs/>
          <w:sz w:val="24"/>
          <w:szCs w:val="24"/>
        </w:rPr>
        <w:t>Barker v Corus</w:t>
      </w:r>
      <w:r w:rsidRPr="0067732F">
        <w:rPr>
          <w:rFonts w:ascii="Times New Roman" w:hAnsi="Times New Roman"/>
          <w:sz w:val="24"/>
          <w:szCs w:val="24"/>
        </w:rPr>
        <w:t>,</w:t>
      </w:r>
      <w:r w:rsidRPr="0067732F">
        <w:rPr>
          <w:rFonts w:ascii="Times New Roman" w:hAnsi="Times New Roman"/>
          <w:sz w:val="24"/>
          <w:szCs w:val="24"/>
          <w:vertAlign w:val="superscript"/>
        </w:rPr>
        <w:footnoteReference w:id="16"/>
      </w:r>
      <w:r w:rsidRPr="0067732F">
        <w:rPr>
          <w:rFonts w:ascii="Times New Roman" w:hAnsi="Times New Roman"/>
          <w:sz w:val="24"/>
          <w:szCs w:val="24"/>
        </w:rPr>
        <w:t xml:space="preserve"> is a recent example.</w:t>
      </w:r>
      <w:r w:rsidRPr="0067732F">
        <w:rPr>
          <w:rFonts w:ascii="Times New Roman" w:hAnsi="Times New Roman"/>
          <w:sz w:val="24"/>
          <w:szCs w:val="24"/>
          <w:vertAlign w:val="superscript"/>
        </w:rPr>
        <w:t xml:space="preserve"> </w:t>
      </w:r>
      <w:r w:rsidRPr="0067732F">
        <w:rPr>
          <w:rFonts w:ascii="Times New Roman" w:hAnsi="Times New Roman"/>
          <w:sz w:val="24"/>
          <w:szCs w:val="24"/>
          <w:vertAlign w:val="superscript"/>
        </w:rPr>
        <w:footnoteReference w:id="17"/>
      </w:r>
      <w:r w:rsidRPr="0067732F">
        <w:rPr>
          <w:rFonts w:ascii="Times New Roman" w:hAnsi="Times New Roman"/>
          <w:sz w:val="24"/>
          <w:szCs w:val="24"/>
        </w:rPr>
        <w:t xml:space="preserve">  In this collection, this type of statute is represented by the contributions of Stephen Bailey</w:t>
      </w:r>
      <w:r w:rsidRPr="0067732F">
        <w:rPr>
          <w:rFonts w:ascii="Times New Roman" w:hAnsi="Times New Roman"/>
          <w:sz w:val="24"/>
          <w:szCs w:val="24"/>
          <w:vertAlign w:val="superscript"/>
        </w:rPr>
        <w:footnoteReference w:id="18"/>
      </w:r>
      <w:r w:rsidRPr="0067732F">
        <w:rPr>
          <w:rFonts w:ascii="Times New Roman" w:hAnsi="Times New Roman"/>
          <w:sz w:val="24"/>
          <w:szCs w:val="24"/>
        </w:rPr>
        <w:t xml:space="preserve"> and </w:t>
      </w:r>
      <w:proofErr w:type="spellStart"/>
      <w:r w:rsidRPr="0067732F">
        <w:rPr>
          <w:rFonts w:ascii="Times New Roman" w:hAnsi="Times New Roman"/>
          <w:sz w:val="24"/>
          <w:szCs w:val="24"/>
        </w:rPr>
        <w:t>Donal</w:t>
      </w:r>
      <w:proofErr w:type="spellEnd"/>
      <w:r w:rsidRPr="0067732F">
        <w:rPr>
          <w:rFonts w:ascii="Times New Roman" w:hAnsi="Times New Roman"/>
          <w:sz w:val="24"/>
          <w:szCs w:val="24"/>
        </w:rPr>
        <w:t xml:space="preserve"> Nolan.</w:t>
      </w:r>
      <w:r w:rsidRPr="0067732F">
        <w:rPr>
          <w:rFonts w:ascii="Times New Roman" w:hAnsi="Times New Roman"/>
          <w:sz w:val="24"/>
          <w:szCs w:val="24"/>
          <w:vertAlign w:val="superscript"/>
        </w:rPr>
        <w:footnoteReference w:id="19"/>
      </w:r>
      <w:r w:rsidRPr="0067732F">
        <w:rPr>
          <w:rFonts w:ascii="Times New Roman" w:hAnsi="Times New Roman"/>
          <w:sz w:val="24"/>
          <w:szCs w:val="24"/>
        </w:rPr>
        <w:t xml:space="preserve">  Nolan, discussing the first Fatal Accidents Act 1846, makes the point that the Act was largely the result of dissatisfaction both with the practical consequences of the decision in </w:t>
      </w:r>
      <w:r w:rsidRPr="0067732F">
        <w:rPr>
          <w:rFonts w:ascii="Times New Roman" w:hAnsi="Times New Roman"/>
          <w:i/>
          <w:iCs/>
          <w:sz w:val="24"/>
          <w:szCs w:val="24"/>
        </w:rPr>
        <w:t>Baker v Bolton</w:t>
      </w:r>
      <w:r w:rsidRPr="0067732F">
        <w:rPr>
          <w:rFonts w:ascii="Times New Roman" w:hAnsi="Times New Roman"/>
          <w:sz w:val="24"/>
          <w:szCs w:val="24"/>
          <w:vertAlign w:val="superscript"/>
        </w:rPr>
        <w:footnoteReference w:id="20"/>
      </w:r>
      <w:r w:rsidRPr="0067732F">
        <w:rPr>
          <w:rFonts w:ascii="Times New Roman" w:hAnsi="Times New Roman"/>
          <w:sz w:val="24"/>
          <w:szCs w:val="24"/>
        </w:rPr>
        <w:t xml:space="preserve"> – which denied an action to the dependents of a person killed as the result of an act that would have been a tort had she merely been injured – and with the adequacy of the remedy provided by </w:t>
      </w:r>
      <w:proofErr w:type="spellStart"/>
      <w:r w:rsidRPr="0067732F">
        <w:rPr>
          <w:rFonts w:ascii="Times New Roman" w:hAnsi="Times New Roman"/>
          <w:sz w:val="24"/>
          <w:szCs w:val="24"/>
        </w:rPr>
        <w:t>deodands</w:t>
      </w:r>
      <w:proofErr w:type="spellEnd"/>
      <w:r w:rsidRPr="0067732F">
        <w:rPr>
          <w:rFonts w:ascii="Times New Roman" w:hAnsi="Times New Roman"/>
          <w:sz w:val="24"/>
          <w:szCs w:val="24"/>
        </w:rPr>
        <w:t>.  Bailey, discussing the genesis and impact of the Occupiers Liability Acts, makes the point that the changes the Acts effected “could have been produced by a final appellate court freed of the shackles of precedent and less inhibited from being seen in effect to legislate.”</w:t>
      </w:r>
      <w:r w:rsidRPr="0067732F">
        <w:rPr>
          <w:rFonts w:ascii="Times New Roman" w:hAnsi="Times New Roman"/>
          <w:sz w:val="24"/>
          <w:szCs w:val="24"/>
          <w:vertAlign w:val="superscript"/>
        </w:rPr>
        <w:t xml:space="preserve"> </w:t>
      </w:r>
      <w:r w:rsidRPr="0067732F">
        <w:rPr>
          <w:rFonts w:ascii="Times New Roman" w:hAnsi="Times New Roman"/>
          <w:sz w:val="24"/>
          <w:szCs w:val="24"/>
          <w:vertAlign w:val="superscript"/>
        </w:rPr>
        <w:footnoteReference w:id="21"/>
      </w:r>
      <w:r w:rsidRPr="0067732F">
        <w:rPr>
          <w:rFonts w:ascii="Times New Roman" w:hAnsi="Times New Roman"/>
          <w:sz w:val="24"/>
          <w:szCs w:val="24"/>
        </w:rPr>
        <w:t xml:space="preserve"> The need for legislation here is practical – courts could produce the necessary changes, but in practice are unlikely to do so, either because they feel constrained by a reluctance to disturb established precedent, or to take the law in a direction that may be seen as an innovation too far, or for some other such reason. In his contribution, Willem van Boom points out that even in civilian jurisdictions where, according to received wisdom, courts are unable to develop law and remain subservient to the authority of the Code at all times, the pragmatic nature of the courts emerges unevenly through a willingness to make law nevertheless.</w:t>
      </w:r>
      <w:r w:rsidRPr="0067732F">
        <w:rPr>
          <w:rStyle w:val="FootnoteReference"/>
          <w:rFonts w:ascii="Times New Roman" w:hAnsi="Times New Roman"/>
          <w:sz w:val="24"/>
          <w:szCs w:val="24"/>
        </w:rPr>
        <w:footnoteReference w:id="22"/>
      </w:r>
      <w:r w:rsidRPr="0067732F">
        <w:rPr>
          <w:rFonts w:ascii="Times New Roman" w:hAnsi="Times New Roman"/>
          <w:sz w:val="24"/>
          <w:szCs w:val="24"/>
        </w:rPr>
        <w:t xml:space="preserve"> </w:t>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sz w:val="24"/>
          <w:szCs w:val="24"/>
        </w:rPr>
      </w:pPr>
      <w:r w:rsidRPr="0067732F">
        <w:rPr>
          <w:rFonts w:ascii="Times New Roman" w:hAnsi="Times New Roman"/>
          <w:sz w:val="24"/>
          <w:szCs w:val="24"/>
        </w:rPr>
        <w:t>Statutes of this type are familiar, and several of the other contributions deal with legislation that sets out to amend rules that had come to be seen as undesirable.</w:t>
      </w:r>
      <w:r w:rsidRPr="0067732F">
        <w:rPr>
          <w:rFonts w:ascii="Times New Roman" w:hAnsi="Times New Roman"/>
          <w:sz w:val="24"/>
          <w:szCs w:val="24"/>
          <w:vertAlign w:val="superscript"/>
        </w:rPr>
        <w:footnoteReference w:id="23"/>
      </w:r>
      <w:r w:rsidRPr="0067732F">
        <w:rPr>
          <w:rFonts w:ascii="Times New Roman" w:hAnsi="Times New Roman"/>
          <w:sz w:val="24"/>
          <w:szCs w:val="24"/>
        </w:rPr>
        <w:t xml:space="preserve">  Even so, while the rules they create are usually faithfully discussed in most accounts of tort law, the process that led to their enactment rarely is, an omission which has important consequences.  As Nolan's and Bailey's contributions show, a close examination of the history of statutes can shed light on their provisions and challenge our understanding of what leads particular types of outcomes to be considered 'bad' or 'unsatisfactory' in the context of balancing competing principles, interests and goals.  </w:t>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sz w:val="24"/>
          <w:szCs w:val="24"/>
        </w:rPr>
      </w:pPr>
      <w:r w:rsidRPr="0067732F">
        <w:rPr>
          <w:rFonts w:ascii="Times New Roman" w:hAnsi="Times New Roman"/>
          <w:sz w:val="24"/>
          <w:szCs w:val="24"/>
        </w:rPr>
        <w:t xml:space="preserve">Yet, as the contributions to this volume also point out, this is only one of a much wider variety of ways in which common law and legislation interact, and in which the legislature </w:t>
      </w:r>
      <w:r w:rsidRPr="0067732F">
        <w:rPr>
          <w:rFonts w:ascii="Times New Roman" w:hAnsi="Times New Roman"/>
          <w:sz w:val="24"/>
          <w:szCs w:val="24"/>
        </w:rPr>
        <w:lastRenderedPageBreak/>
        <w:t>influences the development or application of tort.  In the remainder of this section, we discuss five further types of interaction between tort law and legislation, which are less discussed in the literature on tort law but which nonetheless have significant implications for the way in which we view the subject.</w:t>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sz w:val="24"/>
          <w:szCs w:val="24"/>
        </w:rPr>
      </w:pP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i/>
          <w:sz w:val="24"/>
          <w:szCs w:val="24"/>
        </w:rPr>
      </w:pPr>
      <w:r w:rsidRPr="0067732F">
        <w:rPr>
          <w:rFonts w:ascii="Times New Roman" w:hAnsi="Times New Roman"/>
          <w:bCs/>
          <w:i/>
          <w:sz w:val="24"/>
          <w:szCs w:val="24"/>
        </w:rPr>
        <w:t>Type 2: Rules, exceptions and interests</w:t>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sz w:val="24"/>
          <w:szCs w:val="24"/>
        </w:rPr>
      </w:pPr>
      <w:r w:rsidRPr="0067732F">
        <w:rPr>
          <w:rFonts w:ascii="Times New Roman" w:hAnsi="Times New Roman"/>
          <w:sz w:val="24"/>
          <w:szCs w:val="24"/>
        </w:rPr>
        <w:t>The first of these forms of interaction is that legislation which carves out new exceptions to existing principles may do so to such a significant extent and in such a sustained way that viewing the result as an ‘exception’ would ignore the breadth and significance of the change.  The result of the legislation, rather, is that the law now protects an interest that the common law historically did not.  Whilst we are used to new torts being created by statute, Keith Stanton’s contribution to this volume</w:t>
      </w:r>
      <w:r w:rsidRPr="0067732F">
        <w:rPr>
          <w:rFonts w:ascii="Times New Roman" w:hAnsi="Times New Roman"/>
          <w:sz w:val="24"/>
          <w:szCs w:val="24"/>
          <w:vertAlign w:val="superscript"/>
        </w:rPr>
        <w:footnoteReference w:id="24"/>
      </w:r>
      <w:r w:rsidRPr="0067732F">
        <w:rPr>
          <w:rFonts w:ascii="Times New Roman" w:hAnsi="Times New Roman"/>
          <w:sz w:val="24"/>
          <w:szCs w:val="24"/>
        </w:rPr>
        <w:t xml:space="preserve"> provides a good example of how legislation that seems to carve out an exception to an existing rule can in effect protect a new interest.  It is common to find it said that tort law does not protect a person against pure economic loss.  As Stanton shows, once statute is taken into account, this is simply untrue.  Not only does English tort law protect persons against pure economic loss in a wide range of circumstances, but the manner in which it does so shows a significant extent of continuity with other aspects of the law.  Here, then, ignoring statute or treating it as a minor modification will lead us not just to misunderstand what the law is, but to miss important aspects of what the law of tort protects and what it does not.  It leads us, in other words, to a false understanding of the shape of the law.</w:t>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sz w:val="24"/>
          <w:szCs w:val="24"/>
        </w:rPr>
      </w:pP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i/>
          <w:sz w:val="24"/>
          <w:szCs w:val="24"/>
        </w:rPr>
      </w:pPr>
      <w:r w:rsidRPr="0067732F">
        <w:rPr>
          <w:rFonts w:ascii="Times New Roman" w:hAnsi="Times New Roman"/>
          <w:bCs/>
          <w:i/>
          <w:sz w:val="24"/>
          <w:szCs w:val="24"/>
        </w:rPr>
        <w:t>Type 3: Courts, legislatures and 'political' changes to tort law</w:t>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sz w:val="24"/>
          <w:szCs w:val="24"/>
        </w:rPr>
      </w:pPr>
      <w:r w:rsidRPr="0067732F">
        <w:rPr>
          <w:rFonts w:ascii="Times New Roman" w:hAnsi="Times New Roman"/>
          <w:sz w:val="24"/>
          <w:szCs w:val="24"/>
        </w:rPr>
        <w:t>A somewhat different type of interaction occurs where legislation seeks to alter or amend a rule or rules of common law but, unlike the examples discussed above, is only partially successful, usually because it leaves deeper underlying issues unaddressed.  In some cases, this is simple oversight, whose most likely cause is inadvertence, or a failure to note an area of law that is of relevance to a statute under preparation.  James Lee, for example, points to the manner in which equitable wrongs are repeatedly overlooked in both substantive and procedural statutes, leading to much confusion in the case law.</w:t>
      </w:r>
      <w:r w:rsidRPr="0067732F">
        <w:rPr>
          <w:rFonts w:ascii="Times New Roman" w:hAnsi="Times New Roman"/>
          <w:sz w:val="24"/>
          <w:szCs w:val="24"/>
          <w:vertAlign w:val="superscript"/>
        </w:rPr>
        <w:footnoteReference w:id="25"/>
      </w:r>
      <w:r w:rsidRPr="0067732F">
        <w:rPr>
          <w:rFonts w:ascii="Times New Roman" w:hAnsi="Times New Roman"/>
          <w:sz w:val="24"/>
          <w:szCs w:val="24"/>
        </w:rPr>
        <w:t xml:space="preserve">  In other cases, however, the problem is deeper.  The process that produces legislation usually reflects a complex mixture of considerations, where questions of core principle rub shoulders with issues of policy that sometimes reflect a political consensus, but can also sometimes be ideologically charged.  The resulting statutes reflect the tangled mixture of politics, policy and principle from which they emerged and are often political compromises or fixes directed to questions of immediate political importance.  This shapes not only how successfully legislation deals with the issues that it was created to address, but also the impact it has on future cases and on the shape of the law. </w:t>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sz w:val="24"/>
          <w:szCs w:val="24"/>
        </w:rPr>
      </w:pPr>
      <w:r w:rsidRPr="0067732F">
        <w:rPr>
          <w:rFonts w:ascii="Times New Roman" w:hAnsi="Times New Roman"/>
          <w:sz w:val="24"/>
          <w:szCs w:val="24"/>
        </w:rPr>
        <w:lastRenderedPageBreak/>
        <w:t xml:space="preserve">For example, the Crown Proceedings Act, the subject of TT </w:t>
      </w:r>
      <w:proofErr w:type="spellStart"/>
      <w:r w:rsidRPr="0067732F">
        <w:rPr>
          <w:rFonts w:ascii="Times New Roman" w:hAnsi="Times New Roman"/>
          <w:sz w:val="24"/>
          <w:szCs w:val="24"/>
        </w:rPr>
        <w:t>Arvind's</w:t>
      </w:r>
      <w:proofErr w:type="spellEnd"/>
      <w:r w:rsidRPr="0067732F">
        <w:rPr>
          <w:rFonts w:ascii="Times New Roman" w:hAnsi="Times New Roman"/>
          <w:sz w:val="24"/>
          <w:szCs w:val="24"/>
        </w:rPr>
        <w:t xml:space="preserve"> contribution,</w:t>
      </w:r>
      <w:r w:rsidRPr="0067732F">
        <w:rPr>
          <w:rFonts w:ascii="Times New Roman" w:hAnsi="Times New Roman"/>
          <w:sz w:val="24"/>
          <w:szCs w:val="24"/>
          <w:vertAlign w:val="superscript"/>
        </w:rPr>
        <w:footnoteReference w:id="26"/>
      </w:r>
      <w:r w:rsidRPr="0067732F">
        <w:rPr>
          <w:rFonts w:ascii="Times New Roman" w:hAnsi="Times New Roman"/>
          <w:sz w:val="24"/>
          <w:szCs w:val="24"/>
        </w:rPr>
        <w:t xml:space="preserve"> sought, like the statutes discussed by Nolan and Bailey, to expand tort liability by removing a rule denying recovery to certain classes of claimants – in this case, those harmed by acts of government entities.  Yet because the idea was so controversial – particularly within the government – and was driven by political considerations, the Act embodied a messy compromise which not only failed to resolve the underlying issues that made the statute necessary, but also raised questions of principle and policy which it neither addressed nor gave the courts tools to address.  The result has been to leave these issues to judges to deal with under general rules of tort law, producing a haphazard and unsystematic extension of public authority liability that has left both this body of law and tort doctrine in an unsatisfactory state.</w:t>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sz w:val="24"/>
          <w:szCs w:val="24"/>
        </w:rPr>
      </w:pPr>
      <w:r w:rsidRPr="0067732F">
        <w:rPr>
          <w:rFonts w:ascii="Times New Roman" w:hAnsi="Times New Roman"/>
          <w:sz w:val="24"/>
          <w:szCs w:val="24"/>
        </w:rPr>
        <w:t xml:space="preserve">Similar results can be seen in relation to statutes that seek to </w:t>
      </w:r>
      <w:r w:rsidRPr="0067732F">
        <w:rPr>
          <w:rFonts w:ascii="Times New Roman" w:hAnsi="Times New Roman"/>
          <w:i/>
          <w:iCs/>
          <w:sz w:val="24"/>
          <w:szCs w:val="24"/>
        </w:rPr>
        <w:t>limit</w:t>
      </w:r>
      <w:r w:rsidRPr="0067732F">
        <w:rPr>
          <w:rFonts w:ascii="Times New Roman" w:hAnsi="Times New Roman"/>
          <w:sz w:val="24"/>
          <w:szCs w:val="24"/>
        </w:rPr>
        <w:t xml:space="preserve"> tort liability, which are considered in the contribution of James </w:t>
      </w:r>
      <w:proofErr w:type="spellStart"/>
      <w:r w:rsidRPr="0067732F">
        <w:rPr>
          <w:rFonts w:ascii="Times New Roman" w:hAnsi="Times New Roman"/>
          <w:sz w:val="24"/>
          <w:szCs w:val="24"/>
        </w:rPr>
        <w:t>Goudkamp</w:t>
      </w:r>
      <w:proofErr w:type="spellEnd"/>
      <w:r w:rsidRPr="0067732F">
        <w:rPr>
          <w:rFonts w:ascii="Times New Roman" w:hAnsi="Times New Roman"/>
          <w:sz w:val="24"/>
          <w:szCs w:val="24"/>
        </w:rPr>
        <w:t>.</w:t>
      </w:r>
      <w:r w:rsidRPr="0067732F">
        <w:rPr>
          <w:rFonts w:ascii="Times New Roman" w:hAnsi="Times New Roman"/>
          <w:sz w:val="24"/>
          <w:szCs w:val="24"/>
          <w:vertAlign w:val="superscript"/>
        </w:rPr>
        <w:footnoteReference w:id="27"/>
      </w:r>
      <w:r w:rsidRPr="0067732F">
        <w:rPr>
          <w:rFonts w:ascii="Times New Roman" w:hAnsi="Times New Roman"/>
          <w:sz w:val="24"/>
          <w:szCs w:val="24"/>
        </w:rPr>
        <w:t xml:space="preserve"> </w:t>
      </w:r>
      <w:proofErr w:type="spellStart"/>
      <w:r w:rsidRPr="0067732F">
        <w:rPr>
          <w:rFonts w:ascii="Times New Roman" w:hAnsi="Times New Roman"/>
          <w:sz w:val="24"/>
          <w:szCs w:val="24"/>
        </w:rPr>
        <w:t>Goudkamp</w:t>
      </w:r>
      <w:proofErr w:type="spellEnd"/>
      <w:r w:rsidRPr="0067732F">
        <w:rPr>
          <w:rFonts w:ascii="Times New Roman" w:hAnsi="Times New Roman"/>
          <w:sz w:val="24"/>
          <w:szCs w:val="24"/>
        </w:rPr>
        <w:t xml:space="preserve"> deals with legislation introducing or extending defences in various branches of tort law, and demonstrates how the piecemeal nature of such defences – itself usually a result of the political context of the legislation – leaves a legacy of unresolved, and problematic, questions for the courts to deal with.  He also points to the problems caused by the increasing complexity of defences and of the sources where they are found, which leads judges, jurists and even legislators to sometimes overlook their existence entirely.  Bob Simpson describes the difficulties faced by the legislature in aligning the common law with legislative policy in the area of trade union liability.</w:t>
      </w:r>
      <w:r w:rsidRPr="0067732F">
        <w:rPr>
          <w:rFonts w:ascii="Times New Roman" w:hAnsi="Times New Roman"/>
          <w:sz w:val="24"/>
          <w:szCs w:val="24"/>
          <w:vertAlign w:val="superscript"/>
        </w:rPr>
        <w:footnoteReference w:id="28"/>
      </w:r>
      <w:r w:rsidRPr="0067732F">
        <w:rPr>
          <w:rFonts w:ascii="Times New Roman" w:hAnsi="Times New Roman"/>
          <w:sz w:val="24"/>
          <w:szCs w:val="24"/>
        </w:rPr>
        <w:t xml:space="preserve">  Not only were successive legislative attempts to withdraw trade union activity from the realm of tort law unsuccessful, but the failed attempts had a longer-term impact on the evolution of the economic torts, reaching beyond the immediate context of labour disputes.</w:t>
      </w:r>
      <w:r w:rsidRPr="0067732F">
        <w:rPr>
          <w:rStyle w:val="FootnoteReference"/>
          <w:rFonts w:ascii="Times New Roman" w:hAnsi="Times New Roman"/>
          <w:sz w:val="24"/>
          <w:szCs w:val="24"/>
        </w:rPr>
        <w:footnoteReference w:id="29"/>
      </w:r>
      <w:r w:rsidRPr="0067732F">
        <w:rPr>
          <w:rFonts w:ascii="Times New Roman" w:hAnsi="Times New Roman"/>
          <w:sz w:val="24"/>
          <w:szCs w:val="24"/>
        </w:rPr>
        <w:t xml:space="preserve"> In this instance, as in several others, identifying the particular context from which legal principles emerged supplies important information in the process of understanding their nature and current reach. </w:t>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sz w:val="24"/>
          <w:szCs w:val="24"/>
        </w:rPr>
      </w:pPr>
      <w:r w:rsidRPr="0067732F">
        <w:rPr>
          <w:rFonts w:ascii="Times New Roman" w:hAnsi="Times New Roman"/>
          <w:sz w:val="24"/>
          <w:szCs w:val="24"/>
        </w:rPr>
        <w:t xml:space="preserve">Both the form and the use of these statutes reflected the political overtones of the process that led to their enactment. The response of the courts reflects the difficulty of translating political objects into the depoliticised language in which the common law is typically expressed.  Not surprisingly, their effect is a far cry from the picture of legislative intervention cleanly and precisely altering selected aspects of the law in an almost surgical fashion, leaving the bulk of it untouched.   Their impact invites comparison, rather, with a patch roughly sewn onto a tapestry, whose precise placement and impact on the overall pattern is left to the courts – a process that is then, in turn, influenced by the judges' own conceptions of the law.  The end result has typically been far from happy, but much of modern tort law has nonetheless been shaped by such legislation and by the reaction of courts to it.  The period covered by the contributions discussed above – stretching, in each case, to the present – gives little reason to think that this is likely to change in the foreseeable future. </w:t>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sz w:val="24"/>
          <w:szCs w:val="24"/>
        </w:rPr>
      </w:pP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i/>
          <w:sz w:val="24"/>
          <w:szCs w:val="24"/>
        </w:rPr>
      </w:pPr>
      <w:r w:rsidRPr="0067732F">
        <w:rPr>
          <w:rFonts w:ascii="Times New Roman" w:hAnsi="Times New Roman"/>
          <w:bCs/>
          <w:i/>
          <w:sz w:val="24"/>
          <w:szCs w:val="24"/>
        </w:rPr>
        <w:t>Type 4: Multiple contexts and the spread of concepts</w:t>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sz w:val="24"/>
          <w:szCs w:val="24"/>
        </w:rPr>
      </w:pPr>
      <w:r w:rsidRPr="0067732F">
        <w:rPr>
          <w:rFonts w:ascii="Times New Roman" w:hAnsi="Times New Roman"/>
          <w:sz w:val="24"/>
          <w:szCs w:val="24"/>
        </w:rPr>
        <w:t xml:space="preserve">At the other extreme from the statutes discussed in the previous section, legislation sometimes ends up being </w:t>
      </w:r>
      <w:r w:rsidRPr="0067732F">
        <w:rPr>
          <w:rFonts w:ascii="Times New Roman" w:hAnsi="Times New Roman"/>
          <w:i/>
          <w:iCs/>
          <w:sz w:val="24"/>
          <w:szCs w:val="24"/>
        </w:rPr>
        <w:t>too</w:t>
      </w:r>
      <w:r w:rsidRPr="0067732F">
        <w:rPr>
          <w:rFonts w:ascii="Times New Roman" w:hAnsi="Times New Roman"/>
          <w:sz w:val="24"/>
          <w:szCs w:val="24"/>
        </w:rPr>
        <w:t xml:space="preserve"> successful, in that its impact upon tort law goes beyond the rule or rules it was intended to alter.  This typically happens where legislation deals with a subject that can arise in a variety of contexts and where, in consequence, the persons charged with drafting the legislation have to deal with a wide range of types of conduct and interaction.  Multiple contexts create conceptual and drafting complexities, as well as highlighting issues of policy, which, cumulatively, have important consequences for what the statute is capable of accomplishing.  </w:t>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sz w:val="24"/>
          <w:szCs w:val="24"/>
        </w:rPr>
      </w:pPr>
      <w:r w:rsidRPr="0067732F">
        <w:rPr>
          <w:rFonts w:ascii="Times New Roman" w:hAnsi="Times New Roman"/>
          <w:sz w:val="24"/>
          <w:szCs w:val="24"/>
        </w:rPr>
        <w:t xml:space="preserve">The Animals Act 1971, discussed by Roderick </w:t>
      </w:r>
      <w:proofErr w:type="spellStart"/>
      <w:r w:rsidRPr="0067732F">
        <w:rPr>
          <w:rFonts w:ascii="Times New Roman" w:hAnsi="Times New Roman"/>
          <w:sz w:val="24"/>
          <w:szCs w:val="24"/>
        </w:rPr>
        <w:t>Bagshaw</w:t>
      </w:r>
      <w:proofErr w:type="spellEnd"/>
      <w:r w:rsidRPr="0067732F">
        <w:rPr>
          <w:rFonts w:ascii="Times New Roman" w:hAnsi="Times New Roman"/>
          <w:sz w:val="24"/>
          <w:szCs w:val="24"/>
        </w:rPr>
        <w:t>,</w:t>
      </w:r>
      <w:r w:rsidRPr="0067732F">
        <w:rPr>
          <w:rFonts w:ascii="Times New Roman" w:hAnsi="Times New Roman"/>
          <w:sz w:val="24"/>
          <w:szCs w:val="24"/>
          <w:vertAlign w:val="superscript"/>
        </w:rPr>
        <w:footnoteReference w:id="30"/>
      </w:r>
      <w:r w:rsidRPr="0067732F">
        <w:rPr>
          <w:rFonts w:ascii="Times New Roman" w:hAnsi="Times New Roman"/>
          <w:sz w:val="24"/>
          <w:szCs w:val="24"/>
        </w:rPr>
        <w:t xml:space="preserve"> is a good example.  In contrast to the statutes referred to so far, this statute was specifically designed </w:t>
      </w:r>
      <w:r w:rsidRPr="0067732F">
        <w:rPr>
          <w:rFonts w:ascii="Times New Roman" w:hAnsi="Times New Roman"/>
          <w:i/>
          <w:iCs/>
          <w:sz w:val="24"/>
          <w:szCs w:val="24"/>
        </w:rPr>
        <w:t>not</w:t>
      </w:r>
      <w:r w:rsidRPr="0067732F">
        <w:rPr>
          <w:rFonts w:ascii="Times New Roman" w:hAnsi="Times New Roman"/>
          <w:sz w:val="24"/>
          <w:szCs w:val="24"/>
        </w:rPr>
        <w:t xml:space="preserve"> to extend the scope of strict liability.  Nevertheless, the drafting of s. 2(2) of that Act, and the manner in which it defines when an animal is 'dangerous', had the effect of doing so, as demonstrated by the decision in </w:t>
      </w:r>
      <w:proofErr w:type="spellStart"/>
      <w:r w:rsidRPr="0067732F">
        <w:rPr>
          <w:rFonts w:ascii="Times New Roman" w:hAnsi="Times New Roman"/>
          <w:i/>
          <w:iCs/>
          <w:sz w:val="24"/>
          <w:szCs w:val="24"/>
        </w:rPr>
        <w:t>Mirvahedy</w:t>
      </w:r>
      <w:proofErr w:type="spellEnd"/>
      <w:r w:rsidRPr="0067732F">
        <w:rPr>
          <w:rFonts w:ascii="Times New Roman" w:hAnsi="Times New Roman"/>
          <w:i/>
          <w:iCs/>
          <w:sz w:val="24"/>
          <w:szCs w:val="24"/>
        </w:rPr>
        <w:t xml:space="preserve"> v. Henley</w:t>
      </w:r>
      <w:r w:rsidRPr="0067732F">
        <w:rPr>
          <w:rFonts w:ascii="Times New Roman" w:hAnsi="Times New Roman"/>
          <w:sz w:val="24"/>
          <w:szCs w:val="24"/>
        </w:rPr>
        <w:t>.</w:t>
      </w:r>
      <w:r w:rsidRPr="0067732F">
        <w:rPr>
          <w:rFonts w:ascii="Times New Roman" w:hAnsi="Times New Roman"/>
          <w:sz w:val="24"/>
          <w:szCs w:val="24"/>
          <w:vertAlign w:val="superscript"/>
        </w:rPr>
        <w:footnoteReference w:id="31"/>
      </w:r>
      <w:r w:rsidRPr="0067732F">
        <w:rPr>
          <w:rFonts w:ascii="Times New Roman" w:hAnsi="Times New Roman"/>
          <w:sz w:val="24"/>
          <w:szCs w:val="24"/>
        </w:rPr>
        <w:t xml:space="preserve">  </w:t>
      </w:r>
      <w:proofErr w:type="spellStart"/>
      <w:r w:rsidRPr="0067732F">
        <w:rPr>
          <w:rFonts w:ascii="Times New Roman" w:hAnsi="Times New Roman"/>
          <w:sz w:val="24"/>
          <w:szCs w:val="24"/>
        </w:rPr>
        <w:t>Bagshaw</w:t>
      </w:r>
      <w:proofErr w:type="spellEnd"/>
      <w:r w:rsidRPr="0067732F">
        <w:rPr>
          <w:rFonts w:ascii="Times New Roman" w:hAnsi="Times New Roman"/>
          <w:sz w:val="24"/>
          <w:szCs w:val="24"/>
        </w:rPr>
        <w:t xml:space="preserve"> traces the drafting problems that produced this effect to a variety of reasons, including the difficulty of finding general language that defines “an arbitrary boundary between two competing liability schemes”</w:t>
      </w:r>
      <w:r w:rsidRPr="0067732F">
        <w:rPr>
          <w:rFonts w:ascii="Times New Roman" w:hAnsi="Times New Roman"/>
          <w:sz w:val="24"/>
          <w:szCs w:val="24"/>
          <w:vertAlign w:val="superscript"/>
        </w:rPr>
        <w:footnoteReference w:id="32"/>
      </w:r>
      <w:r w:rsidRPr="0067732F">
        <w:rPr>
          <w:rFonts w:ascii="Times New Roman" w:hAnsi="Times New Roman"/>
          <w:sz w:val="24"/>
          <w:szCs w:val="24"/>
        </w:rPr>
        <w:t xml:space="preserve"> (in this case, fault-based liability and strict liability), and the difficulty of anticipating what a court will do when faced with a provision that – to the judges – is capable of being read in ways that cannot be anticipated.  Problems of this type, </w:t>
      </w:r>
      <w:proofErr w:type="spellStart"/>
      <w:r w:rsidRPr="0067732F">
        <w:rPr>
          <w:rFonts w:ascii="Times New Roman" w:hAnsi="Times New Roman"/>
          <w:sz w:val="24"/>
          <w:szCs w:val="24"/>
        </w:rPr>
        <w:t>Bagshaw</w:t>
      </w:r>
      <w:proofErr w:type="spellEnd"/>
      <w:r w:rsidRPr="0067732F">
        <w:rPr>
          <w:rFonts w:ascii="Times New Roman" w:hAnsi="Times New Roman"/>
          <w:sz w:val="24"/>
          <w:szCs w:val="24"/>
        </w:rPr>
        <w:t xml:space="preserve"> suggests, are inevitable when the provision in question has to deal with subjects as varied as “escaped tigers, terrified horses, nomadic sheep, and nursing poodles.”</w:t>
      </w:r>
      <w:r w:rsidRPr="0067732F">
        <w:rPr>
          <w:rFonts w:ascii="Times New Roman" w:hAnsi="Times New Roman"/>
          <w:sz w:val="24"/>
          <w:szCs w:val="24"/>
          <w:vertAlign w:val="superscript"/>
        </w:rPr>
        <w:footnoteReference w:id="33"/>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sz w:val="24"/>
          <w:szCs w:val="24"/>
        </w:rPr>
      </w:pPr>
      <w:r w:rsidRPr="0067732F">
        <w:rPr>
          <w:rFonts w:ascii="Times New Roman" w:hAnsi="Times New Roman"/>
          <w:sz w:val="24"/>
          <w:szCs w:val="24"/>
        </w:rPr>
        <w:t>Yet the effect of having to deal with a complex range of factual contexts can go further, in some cases extending to influencing the content of principles and concepts that are generally taken to be fundamental to tort law.  Jenny Steele's discussion of contributory negligence provides a good example.</w:t>
      </w:r>
      <w:r w:rsidRPr="0067732F">
        <w:rPr>
          <w:rFonts w:ascii="Times New Roman" w:hAnsi="Times New Roman"/>
          <w:sz w:val="24"/>
          <w:szCs w:val="24"/>
          <w:vertAlign w:val="superscript"/>
        </w:rPr>
        <w:footnoteReference w:id="34"/>
      </w:r>
      <w:r w:rsidRPr="0067732F">
        <w:rPr>
          <w:rFonts w:ascii="Times New Roman" w:hAnsi="Times New Roman"/>
          <w:sz w:val="24"/>
          <w:szCs w:val="24"/>
        </w:rPr>
        <w:t xml:space="preserve">  As she shows, the core question in this statute was one of principle, seen as being "lawyers' law."  Yet, almost unavoidably, the range of contexts with which the measure had to grapple meant that – although, in principle, it ought to have been straightforward – it raised a range of complex issues including, amongst other things, political and policy questions in relation to the differential treatment of victims of road and industrial accidents, and the relationship of both with aspects of the emerging welfare state.  Not only did these influence the final form contributory negligence took, they also had a wider impact on the manner in which courts employed ideas of "cause" and "responsibility" in cases where both claimants and defendants were at fault.  A clear implication of Steele's chapter is that the </w:t>
      </w:r>
      <w:r w:rsidRPr="0067732F">
        <w:rPr>
          <w:rFonts w:ascii="Times New Roman" w:hAnsi="Times New Roman"/>
          <w:i/>
          <w:sz w:val="24"/>
          <w:szCs w:val="24"/>
        </w:rPr>
        <w:t>content</w:t>
      </w:r>
      <w:r w:rsidRPr="0067732F">
        <w:rPr>
          <w:rFonts w:ascii="Times New Roman" w:hAnsi="Times New Roman"/>
          <w:sz w:val="24"/>
          <w:szCs w:val="24"/>
        </w:rPr>
        <w:t xml:space="preserve"> of these concepts came to be influenced in unexpected ways by the introduction of apportionment as a response to contributory negligence.  </w:t>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sz w:val="24"/>
          <w:szCs w:val="24"/>
        </w:rPr>
      </w:pPr>
      <w:r w:rsidRPr="0067732F">
        <w:rPr>
          <w:rFonts w:ascii="Times New Roman" w:hAnsi="Times New Roman"/>
          <w:sz w:val="24"/>
          <w:szCs w:val="24"/>
        </w:rPr>
        <w:lastRenderedPageBreak/>
        <w:t xml:space="preserve">Other chapters point to equally significant influences in other areas of tort law, and to the </w:t>
      </w:r>
      <w:r w:rsidRPr="0067732F">
        <w:rPr>
          <w:rFonts w:ascii="Times New Roman" w:hAnsi="Times New Roman"/>
          <w:i/>
          <w:sz w:val="24"/>
          <w:szCs w:val="24"/>
        </w:rPr>
        <w:t>continuing</w:t>
      </w:r>
      <w:r w:rsidRPr="0067732F">
        <w:rPr>
          <w:rFonts w:ascii="Times New Roman" w:hAnsi="Times New Roman"/>
          <w:sz w:val="24"/>
          <w:szCs w:val="24"/>
        </w:rPr>
        <w:t xml:space="preserve"> impact of statutory influences over extended periods of time. Simon </w:t>
      </w:r>
      <w:proofErr w:type="spellStart"/>
      <w:r w:rsidRPr="0067732F">
        <w:rPr>
          <w:rFonts w:ascii="Times New Roman" w:hAnsi="Times New Roman"/>
          <w:sz w:val="24"/>
          <w:szCs w:val="24"/>
        </w:rPr>
        <w:t>Deakin's</w:t>
      </w:r>
      <w:proofErr w:type="spellEnd"/>
      <w:r w:rsidRPr="0067732F">
        <w:rPr>
          <w:rFonts w:ascii="Times New Roman" w:hAnsi="Times New Roman"/>
          <w:sz w:val="24"/>
          <w:szCs w:val="24"/>
        </w:rPr>
        <w:t xml:space="preserve"> findings in his contribution are of particular importance in this respect.</w:t>
      </w:r>
      <w:r w:rsidRPr="0067732F">
        <w:rPr>
          <w:rFonts w:ascii="Times New Roman" w:hAnsi="Times New Roman"/>
          <w:sz w:val="24"/>
          <w:szCs w:val="24"/>
          <w:vertAlign w:val="superscript"/>
        </w:rPr>
        <w:footnoteReference w:id="35"/>
      </w:r>
      <w:r w:rsidRPr="0067732F">
        <w:rPr>
          <w:rFonts w:ascii="Times New Roman" w:hAnsi="Times New Roman"/>
          <w:sz w:val="24"/>
          <w:szCs w:val="24"/>
        </w:rPr>
        <w:t xml:space="preserve">  </w:t>
      </w:r>
      <w:proofErr w:type="spellStart"/>
      <w:r w:rsidRPr="0067732F">
        <w:rPr>
          <w:rFonts w:ascii="Times New Roman" w:hAnsi="Times New Roman"/>
          <w:sz w:val="24"/>
          <w:szCs w:val="24"/>
        </w:rPr>
        <w:t>Deakin</w:t>
      </w:r>
      <w:proofErr w:type="spellEnd"/>
      <w:r w:rsidRPr="0067732F">
        <w:rPr>
          <w:rFonts w:ascii="Times New Roman" w:hAnsi="Times New Roman"/>
          <w:sz w:val="24"/>
          <w:szCs w:val="24"/>
        </w:rPr>
        <w:t xml:space="preserve"> demonstrates that concepts which were at the core of the 20th century law of vicarious liability were not solely formed through the working out of principles immanent in the cases, but also by analogy with the way in which those concepts were used and developed in the statutory regime governing workmen's compensation.  Statutory innovation, in other words, influences not only the specific area of law it sets out to change, but even areas of law to which, on first sight, it has a looser or ‘contextual’ connection.</w:t>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sz w:val="24"/>
          <w:szCs w:val="24"/>
        </w:rPr>
      </w:pPr>
      <w:r w:rsidRPr="0067732F">
        <w:rPr>
          <w:rFonts w:ascii="Times New Roman" w:hAnsi="Times New Roman"/>
          <w:sz w:val="24"/>
          <w:szCs w:val="24"/>
        </w:rPr>
        <w:t xml:space="preserve">These contributions highlight an important theme in the influence of the legislature upon the courts.  The fact that a legislative rule has an important political dimension (as in the examples discussed in the previous section), or has to be applied in relation to a wide variety of factual circumstances and areas of activity, creates conceptual challenges not only for its drafters, but also for the judges who will be called upon to interpret and apply its provision. The drafters will necessarily deploy legal concepts as the tools to achieve specific political or contextual ends.  The complexities of drafting and the limitations of the legislative process, however, mean that any solution produced by the legislature is likely to require </w:t>
      </w:r>
      <w:proofErr w:type="spellStart"/>
      <w:r w:rsidRPr="0067732F">
        <w:rPr>
          <w:rFonts w:ascii="Times New Roman" w:hAnsi="Times New Roman"/>
          <w:sz w:val="24"/>
          <w:szCs w:val="24"/>
        </w:rPr>
        <w:t>ongoing</w:t>
      </w:r>
      <w:proofErr w:type="spellEnd"/>
      <w:r w:rsidRPr="0067732F">
        <w:rPr>
          <w:rFonts w:ascii="Times New Roman" w:hAnsi="Times New Roman"/>
          <w:sz w:val="24"/>
          <w:szCs w:val="24"/>
        </w:rPr>
        <w:t xml:space="preserve"> judicial development and contextualisation, so that the effect of legislation will not be to </w:t>
      </w:r>
      <w:r w:rsidRPr="0067732F">
        <w:rPr>
          <w:rFonts w:ascii="Times New Roman" w:hAnsi="Times New Roman"/>
          <w:i/>
          <w:iCs/>
          <w:sz w:val="24"/>
          <w:szCs w:val="24"/>
        </w:rPr>
        <w:t>resolve</w:t>
      </w:r>
      <w:r w:rsidRPr="0067732F">
        <w:rPr>
          <w:rFonts w:ascii="Times New Roman" w:hAnsi="Times New Roman"/>
          <w:sz w:val="24"/>
          <w:szCs w:val="24"/>
        </w:rPr>
        <w:t xml:space="preserve"> the problem, but rather to make the development of the law of tort a joint work of the legislature and the judiciary.  Legislation of this type works at its very best when it can become a source of concepts, ideas and notions for the development of case law, and a resource to be drawn upon to fill intellectual or conceptual gaps not just in that area of law, but also in other areas of the law in the common law process of analogical reasoning</w:t>
      </w:r>
      <w:r w:rsidRPr="0067732F">
        <w:rPr>
          <w:rFonts w:ascii="Times New Roman" w:hAnsi="Times New Roman"/>
          <w:sz w:val="24"/>
          <w:szCs w:val="24"/>
          <w:vertAlign w:val="superscript"/>
        </w:rPr>
        <w:footnoteReference w:id="36"/>
      </w:r>
      <w:r w:rsidRPr="0067732F">
        <w:rPr>
          <w:rFonts w:ascii="Times New Roman" w:hAnsi="Times New Roman"/>
          <w:sz w:val="24"/>
          <w:szCs w:val="24"/>
        </w:rPr>
        <w:t xml:space="preserve"> – in other words, when it is created in a way that lets it merge with case law into a single intellectual system.</w:t>
      </w:r>
      <w:r w:rsidRPr="0067732F">
        <w:rPr>
          <w:rFonts w:ascii="Times New Roman" w:hAnsi="Times New Roman"/>
          <w:sz w:val="24"/>
          <w:szCs w:val="24"/>
          <w:vertAlign w:val="superscript"/>
        </w:rPr>
        <w:footnoteReference w:id="37"/>
      </w:r>
      <w:r w:rsidRPr="0067732F">
        <w:rPr>
          <w:rFonts w:ascii="Times New Roman" w:hAnsi="Times New Roman"/>
          <w:sz w:val="24"/>
          <w:szCs w:val="24"/>
        </w:rPr>
        <w:t xml:space="preserve">  </w:t>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sz w:val="24"/>
          <w:szCs w:val="24"/>
        </w:rPr>
      </w:pPr>
      <w:r w:rsidRPr="0067732F">
        <w:rPr>
          <w:rFonts w:ascii="Times New Roman" w:hAnsi="Times New Roman"/>
          <w:sz w:val="24"/>
          <w:szCs w:val="24"/>
        </w:rPr>
        <w:t>A good example of this type of consistent development is provided by Steve Hedley's study of the historical development of personal injury law,</w:t>
      </w:r>
      <w:r w:rsidRPr="0067732F">
        <w:rPr>
          <w:rFonts w:ascii="Times New Roman" w:hAnsi="Times New Roman"/>
          <w:sz w:val="24"/>
          <w:szCs w:val="24"/>
          <w:vertAlign w:val="superscript"/>
        </w:rPr>
        <w:footnoteReference w:id="38"/>
      </w:r>
      <w:r w:rsidRPr="0067732F">
        <w:rPr>
          <w:rFonts w:ascii="Times New Roman" w:hAnsi="Times New Roman"/>
          <w:sz w:val="24"/>
          <w:szCs w:val="24"/>
        </w:rPr>
        <w:t xml:space="preserve"> which shows how a combination of case law, statutes (substantive, procedural, and evidentiary) and private initiatives supported by the legislature and judiciary (such as the Ogden tables) have contributed to the evolution and systematisation of personal injury law around identifiable trends, despite the diversity of sources involved. Paying attention to only one part of the picture would not allow this important lesson to emerge.  To this example, the statutes and case law discussed by </w:t>
      </w:r>
      <w:proofErr w:type="spellStart"/>
      <w:r w:rsidRPr="0067732F">
        <w:rPr>
          <w:rFonts w:ascii="Times New Roman" w:hAnsi="Times New Roman"/>
          <w:sz w:val="24"/>
          <w:szCs w:val="24"/>
        </w:rPr>
        <w:lastRenderedPageBreak/>
        <w:t>Goudkamp</w:t>
      </w:r>
      <w:proofErr w:type="spellEnd"/>
      <w:r w:rsidRPr="0067732F">
        <w:rPr>
          <w:rFonts w:ascii="Times New Roman" w:hAnsi="Times New Roman"/>
          <w:sz w:val="24"/>
          <w:szCs w:val="24"/>
        </w:rPr>
        <w:t xml:space="preserve"> and Simpson form an unfortunate counterpoint. This suggests a lack of shared outlook in the time-frames and contexts on which they focus.</w:t>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i/>
          <w:sz w:val="24"/>
          <w:szCs w:val="24"/>
        </w:rPr>
      </w:pPr>
      <w:r w:rsidRPr="0067732F">
        <w:rPr>
          <w:rFonts w:ascii="Times New Roman" w:hAnsi="Times New Roman"/>
          <w:bCs/>
          <w:i/>
          <w:sz w:val="24"/>
          <w:szCs w:val="24"/>
        </w:rPr>
        <w:t>Type 5: Procedure and remedies</w:t>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sz w:val="24"/>
          <w:szCs w:val="24"/>
        </w:rPr>
      </w:pPr>
      <w:r w:rsidRPr="0067732F">
        <w:rPr>
          <w:rFonts w:ascii="Times New Roman" w:hAnsi="Times New Roman"/>
          <w:sz w:val="24"/>
          <w:szCs w:val="24"/>
        </w:rPr>
        <w:t xml:space="preserve">Wider effects of the sort just discussed come not only from statutes dealing with substance, but also from statutes dealing with procedures and remedies.  Hedley’s contribution highlights the role of procedural, evidentiary and remedial statutes in influencing the effectiveness of substantive law. Similarly, Robert </w:t>
      </w:r>
      <w:proofErr w:type="spellStart"/>
      <w:r w:rsidRPr="0067732F">
        <w:rPr>
          <w:rFonts w:ascii="Times New Roman" w:hAnsi="Times New Roman"/>
          <w:sz w:val="24"/>
          <w:szCs w:val="24"/>
        </w:rPr>
        <w:t>Merkin</w:t>
      </w:r>
      <w:proofErr w:type="spellEnd"/>
      <w:r w:rsidRPr="0067732F">
        <w:rPr>
          <w:rFonts w:ascii="Times New Roman" w:hAnsi="Times New Roman"/>
          <w:sz w:val="24"/>
          <w:szCs w:val="24"/>
        </w:rPr>
        <w:t xml:space="preserve"> and Sheila </w:t>
      </w:r>
      <w:proofErr w:type="spellStart"/>
      <w:r w:rsidRPr="0067732F">
        <w:rPr>
          <w:rFonts w:ascii="Times New Roman" w:hAnsi="Times New Roman"/>
          <w:sz w:val="24"/>
          <w:szCs w:val="24"/>
        </w:rPr>
        <w:t>Dziobon</w:t>
      </w:r>
      <w:proofErr w:type="spellEnd"/>
      <w:r w:rsidRPr="0067732F">
        <w:rPr>
          <w:rFonts w:ascii="Times New Roman" w:hAnsi="Times New Roman"/>
          <w:sz w:val="24"/>
          <w:szCs w:val="24"/>
        </w:rPr>
        <w:t xml:space="preserve"> focus on the sources of redress, rather than on abstract principles alone. They contrast compulsory insurance regimes in relation to road accidents and employer’s liability to show that the nature of the latter has a </w:t>
      </w:r>
      <w:proofErr w:type="spellStart"/>
      <w:r w:rsidRPr="0067732F">
        <w:rPr>
          <w:rFonts w:ascii="Times New Roman" w:hAnsi="Times New Roman"/>
          <w:sz w:val="24"/>
          <w:szCs w:val="24"/>
        </w:rPr>
        <w:t>discernable</w:t>
      </w:r>
      <w:proofErr w:type="spellEnd"/>
      <w:r w:rsidRPr="0067732F">
        <w:rPr>
          <w:rFonts w:ascii="Times New Roman" w:hAnsi="Times New Roman"/>
          <w:sz w:val="24"/>
          <w:szCs w:val="24"/>
        </w:rPr>
        <w:t xml:space="preserve"> adverse effect on the extent to which employees can rely on the right supposedly granted by the statute.</w:t>
      </w:r>
      <w:r w:rsidRPr="0067732F">
        <w:rPr>
          <w:rFonts w:ascii="Times New Roman" w:hAnsi="Times New Roman"/>
          <w:sz w:val="24"/>
          <w:szCs w:val="24"/>
          <w:vertAlign w:val="superscript"/>
        </w:rPr>
        <w:footnoteReference w:id="39"/>
      </w:r>
      <w:r w:rsidRPr="0067732F">
        <w:rPr>
          <w:rFonts w:ascii="Times New Roman" w:hAnsi="Times New Roman"/>
          <w:sz w:val="24"/>
          <w:szCs w:val="24"/>
        </w:rPr>
        <w:t xml:space="preserve">  Their analysis leads us to a broader point, about the centrality in practice of legal provisions which are generally treated as being at the margins.</w:t>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sz w:val="24"/>
          <w:szCs w:val="24"/>
        </w:rPr>
      </w:pPr>
      <w:r w:rsidRPr="0067732F">
        <w:rPr>
          <w:rFonts w:ascii="Times New Roman" w:hAnsi="Times New Roman"/>
          <w:sz w:val="24"/>
          <w:szCs w:val="24"/>
        </w:rPr>
        <w:t xml:space="preserve">To the extent claimants contemplating litigation will choose a forum and action whose procedure and remedies most favour them, statutes which create new procedures or remedies or alter existing ones can result in claimants attempting to ‘stretch’ more favourable areas of law.  This process is familiar to legal historians, from the work of SFC </w:t>
      </w:r>
      <w:proofErr w:type="spellStart"/>
      <w:r w:rsidRPr="0067732F">
        <w:rPr>
          <w:rFonts w:ascii="Times New Roman" w:hAnsi="Times New Roman"/>
          <w:sz w:val="24"/>
          <w:szCs w:val="24"/>
        </w:rPr>
        <w:t>Milsom</w:t>
      </w:r>
      <w:proofErr w:type="spellEnd"/>
      <w:r w:rsidRPr="0067732F">
        <w:rPr>
          <w:rFonts w:ascii="Times New Roman" w:hAnsi="Times New Roman"/>
          <w:sz w:val="24"/>
          <w:szCs w:val="24"/>
        </w:rPr>
        <w:t xml:space="preserve"> who has shown how procedural issues led to fundamental shifts in private law in mediaeval England, including matters such as the rise of the action on the case in the King’s Courts as a result of the more favourable (to plaintiffs) processes it made available.</w:t>
      </w:r>
      <w:r w:rsidRPr="0067732F">
        <w:rPr>
          <w:rFonts w:ascii="Times New Roman" w:hAnsi="Times New Roman"/>
          <w:sz w:val="24"/>
          <w:szCs w:val="24"/>
          <w:vertAlign w:val="superscript"/>
        </w:rPr>
        <w:footnoteReference w:id="40"/>
      </w:r>
      <w:r w:rsidRPr="0067732F">
        <w:rPr>
          <w:rFonts w:ascii="Times New Roman" w:hAnsi="Times New Roman"/>
          <w:sz w:val="24"/>
          <w:szCs w:val="24"/>
        </w:rPr>
        <w:t xml:space="preserve">  </w:t>
      </w:r>
      <w:proofErr w:type="spellStart"/>
      <w:r w:rsidRPr="0067732F">
        <w:rPr>
          <w:rFonts w:ascii="Times New Roman" w:hAnsi="Times New Roman"/>
          <w:sz w:val="24"/>
          <w:szCs w:val="24"/>
        </w:rPr>
        <w:t>Milsom</w:t>
      </w:r>
      <w:proofErr w:type="spellEnd"/>
      <w:r w:rsidRPr="0067732F">
        <w:rPr>
          <w:rFonts w:ascii="Times New Roman" w:hAnsi="Times New Roman"/>
          <w:sz w:val="24"/>
          <w:szCs w:val="24"/>
        </w:rPr>
        <w:t xml:space="preserve"> also makes the point that procedural changes systematically alter the nature of the question a court considers.  Thus he argues that principles of law, in the form we understand them today, could only develop because of procedural changes that permitted them to be raised – including both mediaeval changes and, more recently, the disappearance of the civil jury which in his account has vastly increased the complexity of the common law.</w:t>
      </w:r>
      <w:r w:rsidRPr="0067732F">
        <w:rPr>
          <w:rFonts w:ascii="Times New Roman" w:hAnsi="Times New Roman"/>
          <w:sz w:val="24"/>
          <w:szCs w:val="24"/>
          <w:vertAlign w:val="superscript"/>
        </w:rPr>
        <w:footnoteReference w:id="41"/>
      </w:r>
      <w:r w:rsidRPr="0067732F">
        <w:rPr>
          <w:rFonts w:ascii="Times New Roman" w:hAnsi="Times New Roman"/>
          <w:sz w:val="24"/>
          <w:szCs w:val="24"/>
        </w:rPr>
        <w:t xml:space="preserve">  </w:t>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sz w:val="24"/>
          <w:szCs w:val="24"/>
        </w:rPr>
      </w:pPr>
      <w:r w:rsidRPr="0067732F">
        <w:rPr>
          <w:rFonts w:ascii="Times New Roman" w:hAnsi="Times New Roman"/>
          <w:sz w:val="24"/>
          <w:szCs w:val="24"/>
        </w:rPr>
        <w:t>Elsewhere in private law, we have seen how differences in the interest awarded</w:t>
      </w:r>
      <w:r w:rsidRPr="0067732F">
        <w:rPr>
          <w:rFonts w:ascii="Times New Roman" w:hAnsi="Times New Roman"/>
          <w:sz w:val="24"/>
          <w:szCs w:val="24"/>
          <w:vertAlign w:val="superscript"/>
        </w:rPr>
        <w:footnoteReference w:id="42"/>
      </w:r>
      <w:r w:rsidRPr="0067732F">
        <w:rPr>
          <w:rFonts w:ascii="Times New Roman" w:hAnsi="Times New Roman"/>
          <w:sz w:val="24"/>
          <w:szCs w:val="24"/>
        </w:rPr>
        <w:t xml:space="preserve"> and in insolvency rules have led to increased pressure upon the law of constructive and resulting trusts, and that differences in limitation periods have led to the rise of concurrent liability in tort and contract</w:t>
      </w:r>
      <w:r w:rsidRPr="0067732F">
        <w:rPr>
          <w:rFonts w:ascii="Times New Roman" w:hAnsi="Times New Roman"/>
          <w:sz w:val="24"/>
          <w:szCs w:val="24"/>
          <w:vertAlign w:val="superscript"/>
        </w:rPr>
        <w:footnoteReference w:id="43"/>
      </w:r>
      <w:r w:rsidRPr="0067732F">
        <w:rPr>
          <w:rFonts w:ascii="Times New Roman" w:hAnsi="Times New Roman"/>
          <w:sz w:val="24"/>
          <w:szCs w:val="24"/>
        </w:rPr>
        <w:t xml:space="preserve"> and to important developments in the law of restitution.</w:t>
      </w:r>
      <w:r w:rsidRPr="0067732F">
        <w:rPr>
          <w:rFonts w:ascii="Times New Roman" w:hAnsi="Times New Roman"/>
          <w:sz w:val="24"/>
          <w:szCs w:val="24"/>
          <w:vertAlign w:val="superscript"/>
        </w:rPr>
        <w:footnoteReference w:id="44"/>
      </w:r>
      <w:r w:rsidRPr="0067732F">
        <w:rPr>
          <w:rFonts w:ascii="Times New Roman" w:hAnsi="Times New Roman"/>
          <w:sz w:val="24"/>
          <w:szCs w:val="24"/>
        </w:rPr>
        <w:t xml:space="preserve">  The concern of the claimants in the litigation that led to these results was not with substantive principle – it was with procedural or remedial advantage.</w:t>
      </w:r>
      <w:r w:rsidRPr="0067732F">
        <w:rPr>
          <w:rFonts w:ascii="Times New Roman" w:hAnsi="Times New Roman"/>
          <w:sz w:val="24"/>
          <w:szCs w:val="24"/>
          <w:vertAlign w:val="superscript"/>
        </w:rPr>
        <w:t xml:space="preserve"> </w:t>
      </w:r>
      <w:r w:rsidRPr="0067732F">
        <w:rPr>
          <w:rFonts w:ascii="Times New Roman" w:hAnsi="Times New Roman"/>
          <w:sz w:val="24"/>
          <w:szCs w:val="24"/>
          <w:vertAlign w:val="superscript"/>
        </w:rPr>
        <w:footnoteReference w:id="45"/>
      </w:r>
      <w:r w:rsidRPr="0067732F">
        <w:rPr>
          <w:rFonts w:ascii="Times New Roman" w:hAnsi="Times New Roman"/>
          <w:sz w:val="24"/>
          <w:szCs w:val="24"/>
        </w:rPr>
        <w:t xml:space="preserve"> In the statutes covered in this collection, the failure to take equitable wrongs into account when framing procedural statutes, described by </w:t>
      </w:r>
      <w:r w:rsidRPr="0067732F">
        <w:rPr>
          <w:rFonts w:ascii="Times New Roman" w:hAnsi="Times New Roman"/>
          <w:sz w:val="24"/>
          <w:szCs w:val="24"/>
        </w:rPr>
        <w:lastRenderedPageBreak/>
        <w:t>James Lee in his contribution, has arguably created very similar incentives, and has affected the direction in which the law develops.  Equally, as Steele points out, legislation in relation to contributory negligence – originally intended to empower judges to achieve just results – has as a result of procedural changes favouring out-of-court settlement had the very different result of empowering negotiators to reduce damages.</w:t>
      </w:r>
      <w:r w:rsidRPr="0067732F">
        <w:rPr>
          <w:rFonts w:ascii="Times New Roman" w:hAnsi="Times New Roman"/>
          <w:sz w:val="24"/>
          <w:szCs w:val="24"/>
          <w:vertAlign w:val="superscript"/>
        </w:rPr>
        <w:footnoteReference w:id="46"/>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sz w:val="24"/>
          <w:szCs w:val="24"/>
        </w:rPr>
      </w:pPr>
      <w:r w:rsidRPr="0067732F">
        <w:rPr>
          <w:rFonts w:ascii="Times New Roman" w:hAnsi="Times New Roman"/>
          <w:sz w:val="24"/>
          <w:szCs w:val="24"/>
        </w:rPr>
        <w:t xml:space="preserve">Equally, shifts in procedure and remedies can affect the type of cases that come before the courts and, hence, the types of circumstances and rules that come to be seen as the key features of the tort.  Consider another example.  </w:t>
      </w:r>
      <w:proofErr w:type="spellStart"/>
      <w:r w:rsidRPr="0067732F">
        <w:rPr>
          <w:rFonts w:ascii="Times New Roman" w:hAnsi="Times New Roman"/>
          <w:i/>
          <w:sz w:val="24"/>
          <w:szCs w:val="24"/>
        </w:rPr>
        <w:t>Sturges</w:t>
      </w:r>
      <w:proofErr w:type="spellEnd"/>
      <w:r w:rsidRPr="0067732F">
        <w:rPr>
          <w:rFonts w:ascii="Times New Roman" w:hAnsi="Times New Roman"/>
          <w:i/>
          <w:sz w:val="24"/>
          <w:szCs w:val="24"/>
        </w:rPr>
        <w:t xml:space="preserve"> v Bridgman</w:t>
      </w:r>
      <w:r w:rsidRPr="0067732F">
        <w:rPr>
          <w:rFonts w:ascii="Times New Roman" w:hAnsi="Times New Roman"/>
          <w:sz w:val="24"/>
          <w:szCs w:val="24"/>
          <w:vertAlign w:val="superscript"/>
        </w:rPr>
        <w:footnoteReference w:id="47"/>
      </w:r>
      <w:r w:rsidRPr="0067732F">
        <w:rPr>
          <w:rFonts w:ascii="Times New Roman" w:hAnsi="Times New Roman"/>
          <w:i/>
          <w:sz w:val="24"/>
          <w:szCs w:val="24"/>
        </w:rPr>
        <w:t xml:space="preserve"> </w:t>
      </w:r>
      <w:r w:rsidRPr="0067732F">
        <w:rPr>
          <w:rFonts w:ascii="Times New Roman" w:hAnsi="Times New Roman"/>
          <w:sz w:val="24"/>
          <w:szCs w:val="24"/>
        </w:rPr>
        <w:t>is a leading case in the tort of nuisance, and the nature of its principle – and the relevance of the case’s social context – has been the focus of an academic debate that goes to the root of the nature of nuisance.</w:t>
      </w:r>
      <w:r w:rsidRPr="0067732F">
        <w:rPr>
          <w:rFonts w:ascii="Times New Roman" w:hAnsi="Times New Roman"/>
          <w:sz w:val="24"/>
          <w:szCs w:val="24"/>
          <w:vertAlign w:val="superscript"/>
        </w:rPr>
        <w:footnoteReference w:id="48"/>
      </w:r>
      <w:r w:rsidRPr="0067732F">
        <w:rPr>
          <w:rFonts w:ascii="Times New Roman" w:hAnsi="Times New Roman"/>
          <w:sz w:val="24"/>
          <w:szCs w:val="24"/>
        </w:rPr>
        <w:t xml:space="preserve">  Yet if similar facts were to arise today, it is very unlikely that the tort of private nuisance would be implicated at all – they would (in England), be far more likely be resolved by recourse to the local authority’s statutory powers under Part III of the Environmental Protection Act 1990, or through proceedings before a magistrate under s. 82 of the Act, a remedy which is quicker, cheaper and far more advantageous to a claimant.</w:t>
      </w:r>
      <w:r w:rsidRPr="0067732F">
        <w:rPr>
          <w:rFonts w:ascii="Times New Roman" w:hAnsi="Times New Roman"/>
          <w:sz w:val="24"/>
          <w:szCs w:val="24"/>
          <w:vertAlign w:val="superscript"/>
        </w:rPr>
        <w:footnoteReference w:id="49"/>
      </w:r>
      <w:r w:rsidRPr="0067732F">
        <w:rPr>
          <w:rFonts w:ascii="Times New Roman" w:hAnsi="Times New Roman"/>
          <w:sz w:val="24"/>
          <w:szCs w:val="24"/>
        </w:rPr>
        <w:t xml:space="preserve">  </w:t>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i/>
          <w:sz w:val="24"/>
          <w:szCs w:val="24"/>
        </w:rPr>
      </w:pPr>
      <w:r w:rsidRPr="0067732F">
        <w:rPr>
          <w:rFonts w:ascii="Times New Roman" w:hAnsi="Times New Roman"/>
          <w:bCs/>
          <w:i/>
          <w:sz w:val="24"/>
          <w:szCs w:val="24"/>
        </w:rPr>
        <w:t>Type 6: The influence of regulation</w:t>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sz w:val="24"/>
          <w:szCs w:val="24"/>
        </w:rPr>
      </w:pPr>
      <w:r w:rsidRPr="0067732F">
        <w:rPr>
          <w:rFonts w:ascii="Times New Roman" w:hAnsi="Times New Roman"/>
          <w:sz w:val="24"/>
          <w:szCs w:val="24"/>
        </w:rPr>
        <w:t>Our focus thus far has been on statutes that have set out to amend the substance of tort law – whether by extending liability, or by limiting it, or by seeking to remake an area of law – or the procedure associated with tort actions.  This does not, however, exhaust the ways in which statutes influence or illuminate tort law.  Statutes which, on the face of it, have little to say about tort law can, nonetheless, exert a significant influence over tort cases.   In the modern context, where many types of activities are regulated by legislation, courts increasingly take account of applicable legislation and regulations in determining questions as to liability.  The use of the Highway Code in road traffic accidents is a case in point.</w:t>
      </w:r>
      <w:r w:rsidRPr="0067732F">
        <w:rPr>
          <w:rFonts w:ascii="Times New Roman" w:hAnsi="Times New Roman"/>
          <w:sz w:val="24"/>
          <w:szCs w:val="24"/>
          <w:vertAlign w:val="superscript"/>
        </w:rPr>
        <w:t xml:space="preserve"> </w:t>
      </w:r>
      <w:r w:rsidRPr="0067732F">
        <w:rPr>
          <w:rFonts w:ascii="Times New Roman" w:hAnsi="Times New Roman"/>
          <w:sz w:val="24"/>
          <w:szCs w:val="24"/>
          <w:vertAlign w:val="superscript"/>
        </w:rPr>
        <w:footnoteReference w:id="50"/>
      </w:r>
      <w:r w:rsidRPr="0067732F">
        <w:rPr>
          <w:rFonts w:ascii="Times New Roman" w:hAnsi="Times New Roman"/>
          <w:sz w:val="24"/>
          <w:szCs w:val="24"/>
        </w:rPr>
        <w:t xml:space="preserve">  But so, too, is </w:t>
      </w:r>
      <w:proofErr w:type="spellStart"/>
      <w:r w:rsidRPr="0067732F">
        <w:rPr>
          <w:rFonts w:ascii="Times New Roman" w:hAnsi="Times New Roman"/>
          <w:i/>
          <w:sz w:val="24"/>
          <w:szCs w:val="24"/>
        </w:rPr>
        <w:t>Caparo</w:t>
      </w:r>
      <w:proofErr w:type="spellEnd"/>
      <w:r w:rsidRPr="0067732F">
        <w:rPr>
          <w:rFonts w:ascii="Times New Roman" w:hAnsi="Times New Roman"/>
          <w:i/>
          <w:sz w:val="24"/>
          <w:szCs w:val="24"/>
        </w:rPr>
        <w:t xml:space="preserve"> Industries v </w:t>
      </w:r>
      <w:proofErr w:type="spellStart"/>
      <w:r w:rsidRPr="0067732F">
        <w:rPr>
          <w:rFonts w:ascii="Times New Roman" w:hAnsi="Times New Roman"/>
          <w:i/>
          <w:sz w:val="24"/>
          <w:szCs w:val="24"/>
        </w:rPr>
        <w:t>Dickman</w:t>
      </w:r>
      <w:proofErr w:type="spellEnd"/>
      <w:r w:rsidRPr="0067732F">
        <w:rPr>
          <w:rFonts w:ascii="Times New Roman" w:hAnsi="Times New Roman"/>
          <w:sz w:val="24"/>
          <w:szCs w:val="24"/>
        </w:rPr>
        <w:t>,</w:t>
      </w:r>
      <w:r w:rsidRPr="0067732F">
        <w:rPr>
          <w:rStyle w:val="FootnoteReference"/>
          <w:rFonts w:ascii="Times New Roman" w:hAnsi="Times New Roman"/>
          <w:sz w:val="24"/>
          <w:szCs w:val="24"/>
        </w:rPr>
        <w:footnoteReference w:id="51"/>
      </w:r>
      <w:r w:rsidRPr="0067732F">
        <w:rPr>
          <w:rFonts w:ascii="Times New Roman" w:hAnsi="Times New Roman"/>
          <w:i/>
          <w:sz w:val="24"/>
          <w:szCs w:val="24"/>
        </w:rPr>
        <w:t xml:space="preserve"> </w:t>
      </w:r>
      <w:r w:rsidRPr="0067732F">
        <w:rPr>
          <w:rFonts w:ascii="Times New Roman" w:hAnsi="Times New Roman"/>
          <w:sz w:val="24"/>
          <w:szCs w:val="24"/>
        </w:rPr>
        <w:t>where the decision in the House of Lords on the duty question was quite significantly influenced by the fact that the auditor's report was procured for reasons of compliance with a statutory requirement, and that the statutory requirement was clearly understood to exist for a specific purpose.</w:t>
      </w:r>
      <w:r w:rsidRPr="0067732F">
        <w:rPr>
          <w:rFonts w:ascii="Times New Roman" w:hAnsi="Times New Roman"/>
          <w:i/>
          <w:sz w:val="24"/>
          <w:szCs w:val="24"/>
        </w:rPr>
        <w:t xml:space="preserve">  </w:t>
      </w:r>
      <w:r w:rsidRPr="0067732F">
        <w:rPr>
          <w:rFonts w:ascii="Times New Roman" w:hAnsi="Times New Roman"/>
          <w:sz w:val="24"/>
          <w:szCs w:val="24"/>
        </w:rPr>
        <w:t xml:space="preserve">More complex issues, however, arise where a court hearing a tort case comes face to face with legislation creating a regulatory scheme in an area that could potentially also be occupied by tort law, as was the case with the Water Industry Act 1991, the subject of </w:t>
      </w:r>
      <w:proofErr w:type="spellStart"/>
      <w:r w:rsidRPr="0067732F">
        <w:rPr>
          <w:rFonts w:ascii="Times New Roman" w:hAnsi="Times New Roman"/>
          <w:i/>
          <w:iCs/>
          <w:sz w:val="24"/>
          <w:szCs w:val="24"/>
        </w:rPr>
        <w:t>Marcic</w:t>
      </w:r>
      <w:proofErr w:type="spellEnd"/>
      <w:r w:rsidRPr="0067732F">
        <w:rPr>
          <w:rFonts w:ascii="Times New Roman" w:hAnsi="Times New Roman"/>
          <w:i/>
          <w:iCs/>
          <w:sz w:val="24"/>
          <w:szCs w:val="24"/>
        </w:rPr>
        <w:t xml:space="preserve"> v Thames Water</w:t>
      </w:r>
      <w:r w:rsidRPr="0067732F">
        <w:rPr>
          <w:rFonts w:ascii="Times New Roman" w:hAnsi="Times New Roman"/>
          <w:sz w:val="24"/>
          <w:szCs w:val="24"/>
        </w:rPr>
        <w:t xml:space="preserve"> and Maria Lee's contribution to this volume.</w:t>
      </w:r>
      <w:r w:rsidRPr="0067732F">
        <w:rPr>
          <w:rFonts w:ascii="Times New Roman" w:hAnsi="Times New Roman"/>
          <w:sz w:val="24"/>
          <w:szCs w:val="24"/>
          <w:vertAlign w:val="superscript"/>
        </w:rPr>
        <w:footnoteReference w:id="52"/>
      </w:r>
      <w:r w:rsidRPr="0067732F">
        <w:rPr>
          <w:rFonts w:ascii="Times New Roman" w:hAnsi="Times New Roman"/>
          <w:sz w:val="24"/>
          <w:szCs w:val="24"/>
        </w:rPr>
        <w:t xml:space="preserve">  As Lee points out, the Water Industry Act provided that it did not affect the common law.  Nevertheless, the House of Lords ultimately ruled that granting a remedy in tort would be incompatible with the statutory regime.  </w:t>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sz w:val="24"/>
          <w:szCs w:val="24"/>
        </w:rPr>
      </w:pPr>
      <w:r w:rsidRPr="0067732F">
        <w:rPr>
          <w:rFonts w:ascii="Times New Roman" w:hAnsi="Times New Roman"/>
          <w:sz w:val="24"/>
          <w:szCs w:val="24"/>
        </w:rPr>
        <w:lastRenderedPageBreak/>
        <w:t xml:space="preserve">The essential problem in such cases is that the alternate regime established by legislation must either supplement, exclude or compete with tort law, and it is not always clear which of these is most appropriate.   Whereas the House of Lords in </w:t>
      </w:r>
      <w:proofErr w:type="spellStart"/>
      <w:r w:rsidRPr="0067732F">
        <w:rPr>
          <w:rFonts w:ascii="Times New Roman" w:hAnsi="Times New Roman"/>
          <w:i/>
          <w:iCs/>
          <w:sz w:val="24"/>
          <w:szCs w:val="24"/>
        </w:rPr>
        <w:t>Marcic</w:t>
      </w:r>
      <w:proofErr w:type="spellEnd"/>
      <w:r w:rsidRPr="0067732F">
        <w:rPr>
          <w:rFonts w:ascii="Times New Roman" w:hAnsi="Times New Roman"/>
          <w:sz w:val="24"/>
          <w:szCs w:val="24"/>
        </w:rPr>
        <w:t xml:space="preserve"> decided that the regulatory framework excluded tort law, Michael </w:t>
      </w:r>
      <w:proofErr w:type="spellStart"/>
      <w:r w:rsidRPr="0067732F">
        <w:rPr>
          <w:rFonts w:ascii="Times New Roman" w:hAnsi="Times New Roman"/>
          <w:sz w:val="24"/>
          <w:szCs w:val="24"/>
        </w:rPr>
        <w:t>Lobban</w:t>
      </w:r>
      <w:proofErr w:type="spellEnd"/>
      <w:r w:rsidRPr="0067732F">
        <w:rPr>
          <w:rFonts w:ascii="Times New Roman" w:hAnsi="Times New Roman"/>
          <w:sz w:val="24"/>
          <w:szCs w:val="24"/>
        </w:rPr>
        <w:t xml:space="preserve"> in his contribution on the Rivers Pollution Prevention Act 1876 shows how the courts took a very different approach to that statute, effectively using the common law to provide redress where the statutory framework failed to do so.</w:t>
      </w:r>
      <w:r w:rsidRPr="0067732F">
        <w:rPr>
          <w:rFonts w:ascii="Times New Roman" w:hAnsi="Times New Roman"/>
          <w:sz w:val="24"/>
          <w:szCs w:val="24"/>
          <w:vertAlign w:val="superscript"/>
        </w:rPr>
        <w:footnoteReference w:id="53"/>
      </w:r>
      <w:r w:rsidRPr="0067732F">
        <w:rPr>
          <w:rFonts w:ascii="Times New Roman" w:hAnsi="Times New Roman"/>
          <w:sz w:val="24"/>
          <w:szCs w:val="24"/>
        </w:rPr>
        <w:t xml:space="preserve">  This may also manifest itself in the motives of the drafters of the statute in question, a point made in this volume by Sarah Wilson, who demonstrates that late Victorian statutes on fraud were shaped by the same underlying intellectual and ideological forces as the common law of deceit, and represented a deliberate decision to bring criminal law into play as a tool against fraudsters.</w:t>
      </w:r>
      <w:r w:rsidRPr="0067732F">
        <w:rPr>
          <w:rFonts w:ascii="Times New Roman" w:hAnsi="Times New Roman"/>
          <w:sz w:val="24"/>
          <w:szCs w:val="24"/>
          <w:vertAlign w:val="superscript"/>
        </w:rPr>
        <w:footnoteReference w:id="54"/>
      </w:r>
      <w:r w:rsidRPr="0067732F">
        <w:rPr>
          <w:rFonts w:ascii="Times New Roman" w:hAnsi="Times New Roman"/>
          <w:sz w:val="24"/>
          <w:szCs w:val="24"/>
        </w:rPr>
        <w:t xml:space="preserve">  Richard Clayton and Hugh Tomlinson discuss yet another type of outcome in their analysis of the Human Rights Act, whose impact on the law of tort has been more mixed.</w:t>
      </w:r>
      <w:r w:rsidRPr="0067732F">
        <w:rPr>
          <w:rFonts w:ascii="Times New Roman" w:hAnsi="Times New Roman"/>
          <w:sz w:val="24"/>
          <w:szCs w:val="24"/>
          <w:vertAlign w:val="superscript"/>
        </w:rPr>
        <w:footnoteReference w:id="55"/>
      </w:r>
      <w:r w:rsidRPr="0067732F">
        <w:rPr>
          <w:rFonts w:ascii="Times New Roman" w:hAnsi="Times New Roman"/>
          <w:sz w:val="24"/>
          <w:szCs w:val="24"/>
        </w:rPr>
        <w:t xml:space="preserve">  On the one hand, some torts – notably, the new tort of privacy and defamation torts – have been significantly altered.  At the same time, however, there has been very little impact on the liability of public authorities in tort generally,  which remains more or less unaffected by the statute which is not infrequently seen as </w:t>
      </w:r>
      <w:r w:rsidRPr="0067732F">
        <w:rPr>
          <w:rFonts w:ascii="Times New Roman" w:hAnsi="Times New Roman"/>
          <w:i/>
          <w:iCs/>
          <w:sz w:val="24"/>
          <w:szCs w:val="24"/>
        </w:rPr>
        <w:t>excluding</w:t>
      </w:r>
      <w:r w:rsidRPr="0067732F">
        <w:rPr>
          <w:rFonts w:ascii="Times New Roman" w:hAnsi="Times New Roman"/>
          <w:sz w:val="24"/>
          <w:szCs w:val="24"/>
        </w:rPr>
        <w:t xml:space="preserve"> a remedy in tort, in a manner that invites comparison with </w:t>
      </w:r>
      <w:proofErr w:type="spellStart"/>
      <w:r w:rsidRPr="0067732F">
        <w:rPr>
          <w:rFonts w:ascii="Times New Roman" w:hAnsi="Times New Roman"/>
          <w:i/>
          <w:iCs/>
          <w:sz w:val="24"/>
          <w:szCs w:val="24"/>
        </w:rPr>
        <w:t>Marcic</w:t>
      </w:r>
      <w:proofErr w:type="spellEnd"/>
      <w:r w:rsidRPr="0067732F">
        <w:rPr>
          <w:rFonts w:ascii="Times New Roman" w:hAnsi="Times New Roman"/>
          <w:sz w:val="24"/>
          <w:szCs w:val="24"/>
        </w:rPr>
        <w:t xml:space="preserve">.  </w:t>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sz w:val="24"/>
          <w:szCs w:val="24"/>
        </w:rPr>
      </w:pPr>
      <w:r w:rsidRPr="0067732F">
        <w:rPr>
          <w:rFonts w:ascii="Times New Roman" w:hAnsi="Times New Roman"/>
          <w:sz w:val="24"/>
          <w:szCs w:val="24"/>
        </w:rPr>
        <w:t xml:space="preserve">What we see from these examples, therefore, is a range of different ways in which legislation creating an alternate remedial framework affects the law of tort.  Yet, whilst the fact of an effect is quite clear, why certain statutes affect the law in one way whilst others affect it in a different way remains unclear.   In none of these cases was the effect of the statute on tort a foregone conclusion at the time of its enactment, and the judicial decisions that set the law on its path do not provide much insight into why that path was chosen.  Nor, regrettably, does Commonwealth tort theory currently engage with the question of how the courts </w:t>
      </w:r>
      <w:r w:rsidRPr="0067732F">
        <w:rPr>
          <w:rFonts w:ascii="Times New Roman" w:hAnsi="Times New Roman"/>
          <w:i/>
          <w:iCs/>
          <w:sz w:val="24"/>
          <w:szCs w:val="24"/>
        </w:rPr>
        <w:t>should</w:t>
      </w:r>
      <w:r w:rsidRPr="0067732F">
        <w:rPr>
          <w:rFonts w:ascii="Times New Roman" w:hAnsi="Times New Roman"/>
          <w:sz w:val="24"/>
          <w:szCs w:val="24"/>
        </w:rPr>
        <w:t xml:space="preserve"> engage with regulatory frameworks when the two occupy the same field.  Lee's contribution marks a welcome beginning towards grappling with that issue, which is likely to play an increasingly important role in influencing the development of tort law.</w:t>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sz w:val="24"/>
          <w:szCs w:val="24"/>
        </w:rPr>
      </w:pPr>
      <w:r w:rsidRPr="0067732F">
        <w:rPr>
          <w:rFonts w:ascii="Times New Roman" w:hAnsi="Times New Roman"/>
          <w:sz w:val="24"/>
          <w:szCs w:val="24"/>
        </w:rPr>
        <w:t xml:space="preserve">The failure to consider the proper relationship between tort law and regulatory frameworks is not, however, confined to case law – it sometimes extends to the frameworks themselves.  As </w:t>
      </w:r>
      <w:proofErr w:type="spellStart"/>
      <w:r w:rsidRPr="0067732F">
        <w:rPr>
          <w:rFonts w:ascii="Times New Roman" w:hAnsi="Times New Roman"/>
          <w:sz w:val="24"/>
          <w:szCs w:val="24"/>
        </w:rPr>
        <w:t>Merkin</w:t>
      </w:r>
      <w:proofErr w:type="spellEnd"/>
      <w:r w:rsidRPr="0067732F">
        <w:rPr>
          <w:rFonts w:ascii="Times New Roman" w:hAnsi="Times New Roman"/>
          <w:sz w:val="24"/>
          <w:szCs w:val="24"/>
        </w:rPr>
        <w:t xml:space="preserve"> and </w:t>
      </w:r>
      <w:proofErr w:type="spellStart"/>
      <w:r w:rsidRPr="0067732F">
        <w:rPr>
          <w:rFonts w:ascii="Times New Roman" w:hAnsi="Times New Roman"/>
          <w:sz w:val="24"/>
          <w:szCs w:val="24"/>
        </w:rPr>
        <w:t>Dziobon</w:t>
      </w:r>
      <w:proofErr w:type="spellEnd"/>
      <w:r w:rsidRPr="0067732F">
        <w:rPr>
          <w:rFonts w:ascii="Times New Roman" w:hAnsi="Times New Roman"/>
          <w:sz w:val="24"/>
          <w:szCs w:val="24"/>
        </w:rPr>
        <w:t xml:space="preserve"> demonstrate in their contribution, when one compares the degree of practical protection provided to employees by compulsory insurance regimes with that available to victims of motor accidents under the corresponding regime, there are fundamental inconsistencies which are difficult to account for in legal terms, but which may have a political explanation.</w:t>
      </w:r>
      <w:r w:rsidRPr="0067732F">
        <w:rPr>
          <w:rFonts w:ascii="Times New Roman" w:hAnsi="Times New Roman"/>
          <w:sz w:val="24"/>
          <w:szCs w:val="24"/>
          <w:vertAlign w:val="superscript"/>
        </w:rPr>
        <w:footnoteReference w:id="56"/>
      </w:r>
      <w:r w:rsidRPr="0067732F">
        <w:rPr>
          <w:rFonts w:ascii="Times New Roman" w:hAnsi="Times New Roman"/>
          <w:sz w:val="24"/>
          <w:szCs w:val="24"/>
        </w:rPr>
        <w:t xml:space="preserve">  A similar situation is seen if we turn from regulatory schemes to the welfare state.  Much like regulatory schemes, the welfare state too potentially occupies some of the same domain as tort law, and the argument that core aspects of tort should be replaced by the welfare state was an important theme in debate about tort from the 1940s to </w:t>
      </w:r>
      <w:r w:rsidRPr="0067732F">
        <w:rPr>
          <w:rFonts w:ascii="Times New Roman" w:hAnsi="Times New Roman"/>
          <w:sz w:val="24"/>
          <w:szCs w:val="24"/>
        </w:rPr>
        <w:lastRenderedPageBreak/>
        <w:t>the 1980s.</w:t>
      </w:r>
      <w:r w:rsidRPr="0067732F">
        <w:rPr>
          <w:rFonts w:ascii="Times New Roman" w:hAnsi="Times New Roman"/>
          <w:sz w:val="24"/>
          <w:szCs w:val="24"/>
          <w:vertAlign w:val="superscript"/>
        </w:rPr>
        <w:footnoteReference w:id="57"/>
      </w:r>
      <w:r w:rsidRPr="0067732F">
        <w:rPr>
          <w:rFonts w:ascii="Times New Roman" w:hAnsi="Times New Roman"/>
          <w:sz w:val="24"/>
          <w:szCs w:val="24"/>
        </w:rPr>
        <w:t xml:space="preserve">  Whilst this debate has, on the face of things, grown less prominent since, Richard Lewis in his contribution demonstrates that legislation continues to engage the issue of the boundary between the tort system and the welfare state – specifically, in the form of legislation that seeks to claw back welfare benefits and certain types of NHS expenditure from the compensation recovered by a successful claimant.</w:t>
      </w:r>
      <w:r w:rsidRPr="0067732F">
        <w:rPr>
          <w:rFonts w:ascii="Times New Roman" w:hAnsi="Times New Roman"/>
          <w:sz w:val="24"/>
          <w:szCs w:val="24"/>
          <w:vertAlign w:val="superscript"/>
        </w:rPr>
        <w:footnoteReference w:id="58"/>
      </w:r>
      <w:r w:rsidRPr="0067732F">
        <w:rPr>
          <w:rFonts w:ascii="Times New Roman" w:hAnsi="Times New Roman"/>
          <w:sz w:val="24"/>
          <w:szCs w:val="24"/>
        </w:rPr>
        <w:t xml:space="preserve">  As he shows, in stark contrast to the position advanced by those who began the debate, the effect of this legislation is to roll back rather than extend the welfare state and to reinforce the tort system at its expense. </w:t>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sz w:val="24"/>
          <w:szCs w:val="24"/>
        </w:rPr>
      </w:pPr>
      <w:r w:rsidRPr="0067732F">
        <w:rPr>
          <w:rFonts w:ascii="Times New Roman" w:hAnsi="Times New Roman"/>
          <w:sz w:val="24"/>
          <w:szCs w:val="24"/>
        </w:rPr>
        <w:t xml:space="preserve">Each of these statutes reveals decisions as to the domain of tort law that are hard to account for in terms of legal principle, but somewhat easier to explain in terms of political expediency and, perhaps, government or judicial policy.  In either case, however, the decisions ought to have significant implications for our understanding of what tort law is 'about', a point to which we return in the conclusion.  </w:t>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sz w:val="24"/>
          <w:szCs w:val="24"/>
        </w:rPr>
      </w:pP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b/>
          <w:sz w:val="24"/>
          <w:szCs w:val="24"/>
        </w:rPr>
      </w:pPr>
      <w:r w:rsidRPr="0067732F">
        <w:rPr>
          <w:rFonts w:ascii="Times New Roman" w:hAnsi="Times New Roman"/>
          <w:b/>
          <w:bCs/>
          <w:sz w:val="24"/>
          <w:szCs w:val="24"/>
        </w:rPr>
        <w:t>III.</w:t>
      </w:r>
      <w:r w:rsidRPr="0067732F">
        <w:rPr>
          <w:rFonts w:ascii="Times New Roman" w:hAnsi="Times New Roman"/>
          <w:b/>
          <w:bCs/>
          <w:sz w:val="24"/>
          <w:szCs w:val="24"/>
        </w:rPr>
        <w:tab/>
        <w:t>THE CENTRALITY OF STATUTE</w:t>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sz w:val="24"/>
          <w:szCs w:val="24"/>
        </w:rPr>
      </w:pPr>
      <w:r w:rsidRPr="0067732F">
        <w:rPr>
          <w:rFonts w:ascii="Times New Roman" w:hAnsi="Times New Roman"/>
          <w:sz w:val="24"/>
          <w:szCs w:val="24"/>
        </w:rPr>
        <w:t xml:space="preserve">Our aim in this introduction has been to illustrate the rich variety of ways in which tort and legislation interact.  This interaction is more complex than conventional accounts would suggest.  How, then, should we look at the position of statutes within the overall shape of tort law?  Or, to speak in institutional terms, how should we view the role of the legislature – vis-à-vis the judiciary – in the creation of modern tort law, and in shaping the principles and doctrines on which it is based?  </w:t>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sz w:val="24"/>
          <w:szCs w:val="24"/>
        </w:rPr>
      </w:pPr>
      <w:r w:rsidRPr="0067732F">
        <w:rPr>
          <w:rFonts w:ascii="Times New Roman" w:hAnsi="Times New Roman"/>
          <w:sz w:val="24"/>
          <w:szCs w:val="24"/>
        </w:rPr>
        <w:t xml:space="preserve">Given the wide range of ways in which statutes and cases interact and influence each other, we need not only to study the impact of statutes more closely, but also to cast the net wider and study a  broader range of statutes than those we typically look at.  We are accustomed to think in terms of statutes expanding tort liability, or limiting tort liability, or restating and remaking an area of tort law.  Yet, as the discussion in this section has shown, any typology of statutory influences on tort law will necessarily have to be more complex than this.  In addition to the simple expansion, restriction or restatement of rules of tort liability, we also have statutes that have had significant influences – and, typically, unexpectedly so – upon concepts and principles in the law of tort, including in areas that the statutes were not drafted to target.  Even more fundamentally, the influence on tort law of procedural statutes, of limitation periods, and of statutes creating regulatory structures has been significant.  These statutes are not what conventionally come to mind when speaking of “tort statutes”, but their influence on tort nevertheless flows intrinsically from the ends for which they were enacted, either because 'supplementing' or 'complementing' the tort system was very much on the minds of their drafters (as in the statutes discussed by Sarah Wilson and Michael </w:t>
      </w:r>
      <w:proofErr w:type="spellStart"/>
      <w:r w:rsidRPr="0067732F">
        <w:rPr>
          <w:rFonts w:ascii="Times New Roman" w:hAnsi="Times New Roman"/>
          <w:sz w:val="24"/>
          <w:szCs w:val="24"/>
        </w:rPr>
        <w:t>Lobban</w:t>
      </w:r>
      <w:proofErr w:type="spellEnd"/>
      <w:r w:rsidRPr="0067732F">
        <w:rPr>
          <w:rFonts w:ascii="Times New Roman" w:hAnsi="Times New Roman"/>
          <w:sz w:val="24"/>
          <w:szCs w:val="24"/>
        </w:rPr>
        <w:t xml:space="preserve">), or </w:t>
      </w:r>
      <w:r w:rsidRPr="0067732F">
        <w:rPr>
          <w:rFonts w:ascii="Times New Roman" w:hAnsi="Times New Roman"/>
          <w:sz w:val="24"/>
          <w:szCs w:val="24"/>
        </w:rPr>
        <w:lastRenderedPageBreak/>
        <w:t xml:space="preserve">because their nature makes it inevitable that courts will have to have regard to them in deciding tort cases (as in the case of the statutes discussed by Maria Lee, James Lee, and more generally in this introduction).  The result is that, to borrow a metaphor from Ronald </w:t>
      </w:r>
      <w:proofErr w:type="spellStart"/>
      <w:r w:rsidRPr="0067732F">
        <w:rPr>
          <w:rFonts w:ascii="Times New Roman" w:hAnsi="Times New Roman"/>
          <w:sz w:val="24"/>
          <w:szCs w:val="24"/>
        </w:rPr>
        <w:t>Dworkin</w:t>
      </w:r>
      <w:proofErr w:type="spellEnd"/>
      <w:r w:rsidRPr="0067732F">
        <w:rPr>
          <w:rFonts w:ascii="Times New Roman" w:hAnsi="Times New Roman"/>
          <w:sz w:val="24"/>
          <w:szCs w:val="24"/>
        </w:rPr>
        <w:t>, tort law is 'drenched' in statute, and to exclude statutes from accounts of tort is to present a grossly incomplete picture.</w:t>
      </w:r>
      <w:r w:rsidRPr="0067732F">
        <w:rPr>
          <w:rFonts w:ascii="Times New Roman" w:hAnsi="Times New Roman"/>
          <w:sz w:val="24"/>
          <w:szCs w:val="24"/>
          <w:vertAlign w:val="superscript"/>
        </w:rPr>
        <w:t xml:space="preserve"> </w:t>
      </w:r>
      <w:r w:rsidRPr="0067732F">
        <w:rPr>
          <w:rFonts w:ascii="Times New Roman" w:hAnsi="Times New Roman"/>
          <w:sz w:val="24"/>
          <w:szCs w:val="24"/>
          <w:vertAlign w:val="superscript"/>
        </w:rPr>
        <w:footnoteReference w:id="59"/>
      </w:r>
      <w:r w:rsidRPr="0067732F">
        <w:rPr>
          <w:rFonts w:ascii="Times New Roman" w:hAnsi="Times New Roman"/>
          <w:sz w:val="24"/>
          <w:szCs w:val="24"/>
        </w:rPr>
        <w:t xml:space="preserve">  </w:t>
      </w:r>
    </w:p>
    <w:p w:rsidR="00162848" w:rsidRPr="0067732F" w:rsidRDefault="00162848" w:rsidP="0067732F">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both"/>
        <w:rPr>
          <w:rFonts w:ascii="Times New Roman" w:hAnsi="Times New Roman"/>
          <w:sz w:val="24"/>
          <w:szCs w:val="24"/>
        </w:rPr>
      </w:pPr>
      <w:r w:rsidRPr="0067732F">
        <w:rPr>
          <w:rFonts w:ascii="Times New Roman" w:hAnsi="Times New Roman"/>
          <w:sz w:val="24"/>
          <w:szCs w:val="24"/>
        </w:rPr>
        <w:t>If we are to present a more accurate picture of who shapes tort law then, as we have argued thus far, the starting point must be to recognise that common law and statute law at times represent a single complex phenomenon shaped by the joint actions of courts and the legislature, where each influences the other on a continuing basis, and where the products of both reflect common influences and common limitations. It is therefore wrong to assign a subsidiary role to legislation as conventional accounts of tort implicitly do.  As the contributions to this volume illustrate, understanding the law of tort requires us to look at it through a framework where legislation plays at least as much of a role as does case law.  In the concluding chapter, we return to the question of what such a framework might look like, and what implications its adoption has for lawyers’ understanding of legal development more generally.</w:t>
      </w:r>
    </w:p>
    <w:p w:rsidR="00162848" w:rsidRPr="0067732F" w:rsidRDefault="00162848" w:rsidP="0067732F">
      <w:pPr>
        <w:jc w:val="both"/>
        <w:rPr>
          <w:rFonts w:ascii="Times New Roman" w:hAnsi="Times New Roman"/>
          <w:sz w:val="24"/>
          <w:szCs w:val="24"/>
        </w:rPr>
      </w:pPr>
    </w:p>
    <w:sectPr w:rsidR="00162848" w:rsidRPr="0067732F" w:rsidSect="00F95FC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A35" w:rsidRDefault="00B71A35" w:rsidP="00B97D30">
      <w:pPr>
        <w:spacing w:after="0" w:line="240" w:lineRule="auto"/>
      </w:pPr>
      <w:r>
        <w:separator/>
      </w:r>
    </w:p>
  </w:endnote>
  <w:endnote w:type="continuationSeparator" w:id="0">
    <w:p w:rsidR="00B71A35" w:rsidRDefault="00B71A35" w:rsidP="00B97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848" w:rsidRDefault="00856FB0">
    <w:pPr>
      <w:pStyle w:val="Footer"/>
      <w:jc w:val="right"/>
    </w:pPr>
    <w:r>
      <w:fldChar w:fldCharType="begin"/>
    </w:r>
    <w:r>
      <w:instrText xml:space="preserve"> PAGE   \* MERGEFORMAT </w:instrText>
    </w:r>
    <w:r>
      <w:fldChar w:fldCharType="separate"/>
    </w:r>
    <w:r w:rsidR="008E51E9">
      <w:rPr>
        <w:noProof/>
      </w:rPr>
      <w:t>2</w:t>
    </w:r>
    <w:r>
      <w:rPr>
        <w:noProof/>
      </w:rPr>
      <w:fldChar w:fldCharType="end"/>
    </w:r>
  </w:p>
  <w:p w:rsidR="00162848" w:rsidRDefault="001628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A35" w:rsidRDefault="00B71A35" w:rsidP="00B97D30">
      <w:pPr>
        <w:spacing w:after="0" w:line="240" w:lineRule="auto"/>
      </w:pPr>
      <w:r>
        <w:separator/>
      </w:r>
    </w:p>
  </w:footnote>
  <w:footnote w:type="continuationSeparator" w:id="0">
    <w:p w:rsidR="00B71A35" w:rsidRDefault="00B71A35" w:rsidP="00B97D30">
      <w:pPr>
        <w:spacing w:after="0" w:line="240" w:lineRule="auto"/>
      </w:pPr>
      <w:r>
        <w:continuationSeparator/>
      </w:r>
    </w:p>
  </w:footnote>
  <w:footnote w:id="1">
    <w:p w:rsidR="00162848" w:rsidRPr="008E51E9" w:rsidRDefault="00162848">
      <w:pPr>
        <w:pStyle w:val="FootnoteText"/>
        <w:rPr>
          <w:rFonts w:ascii="Times New Roman" w:hAnsi="Times New Roman"/>
        </w:rPr>
      </w:pPr>
      <w:r w:rsidRPr="008E51E9">
        <w:rPr>
          <w:rStyle w:val="FootnoteReference"/>
          <w:rFonts w:ascii="Times New Roman" w:hAnsi="Times New Roman"/>
        </w:rPr>
        <w:sym w:font="Symbol" w:char="F02A"/>
      </w:r>
      <w:r w:rsidRPr="008E51E9">
        <w:rPr>
          <w:rFonts w:ascii="Times New Roman" w:hAnsi="Times New Roman"/>
        </w:rPr>
        <w:t xml:space="preserve"> </w:t>
      </w:r>
      <w:proofErr w:type="gramStart"/>
      <w:r w:rsidRPr="008E51E9">
        <w:rPr>
          <w:rFonts w:ascii="Times New Roman" w:hAnsi="Times New Roman"/>
        </w:rPr>
        <w:t>York Law School, University of York.</w:t>
      </w:r>
      <w:proofErr w:type="gramEnd"/>
    </w:p>
  </w:footnote>
  <w:footnote w:id="2">
    <w:p w:rsidR="00162848" w:rsidRPr="008E51E9" w:rsidRDefault="00162848" w:rsidP="000D07AF">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gramStart"/>
      <w:r w:rsidRPr="008E51E9">
        <w:rPr>
          <w:rFonts w:ascii="Times New Roman" w:hAnsi="Times New Roman"/>
        </w:rPr>
        <w:t>Chapter 21 of this book.</w:t>
      </w:r>
      <w:proofErr w:type="gramEnd"/>
    </w:p>
  </w:footnote>
  <w:footnote w:id="3">
    <w:p w:rsidR="00162848" w:rsidRPr="008E51E9" w:rsidRDefault="00162848" w:rsidP="008407B8">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The ‘woefully neglected’ subject of statutory influence on the law of obligations has been very recently discussed by Andrew Burrows, ‘The relationship between common law and statute in the law of obligations’ (2012) 128 LQR 232-259</w:t>
      </w:r>
      <w:proofErr w:type="gramStart"/>
      <w:r w:rsidRPr="008E51E9">
        <w:rPr>
          <w:rFonts w:ascii="Times New Roman" w:hAnsi="Times New Roman"/>
        </w:rPr>
        <w:t>,  Burrows</w:t>
      </w:r>
      <w:proofErr w:type="gramEnd"/>
      <w:r w:rsidRPr="008E51E9">
        <w:rPr>
          <w:rFonts w:ascii="Times New Roman" w:hAnsi="Times New Roman"/>
        </w:rPr>
        <w:t xml:space="preserve"> argues that common law and statute are considerably more integrated than has generally been accepted, adding an important discussion of statutory influence ‘by analogy’ in judicial reasoning (see further n 35). We endorse the argument that the two are closely integrated, </w:t>
      </w:r>
      <w:r w:rsidR="000A0B1F" w:rsidRPr="008E51E9">
        <w:rPr>
          <w:rFonts w:ascii="Times New Roman" w:hAnsi="Times New Roman"/>
        </w:rPr>
        <w:t xml:space="preserve">which </w:t>
      </w:r>
      <w:r w:rsidRPr="008E51E9">
        <w:rPr>
          <w:rFonts w:ascii="Times New Roman" w:hAnsi="Times New Roman"/>
        </w:rPr>
        <w:t xml:space="preserve">is consistent with much of what follows. However, while narrowing our focus to tort, our concerns are broader in other respects. In particular, we consider the deeper causes and wider implications of this neglect of statute, the diversity of ways in which statute and common law interact, and the potential consequences of including </w:t>
      </w:r>
      <w:r w:rsidR="000A0B1F" w:rsidRPr="008E51E9">
        <w:rPr>
          <w:rFonts w:ascii="Times New Roman" w:hAnsi="Times New Roman"/>
        </w:rPr>
        <w:t>legislation</w:t>
      </w:r>
      <w:r w:rsidRPr="008E51E9">
        <w:rPr>
          <w:rFonts w:ascii="Times New Roman" w:hAnsi="Times New Roman"/>
        </w:rPr>
        <w:t xml:space="preserve"> </w:t>
      </w:r>
      <w:r w:rsidR="000A0B1F" w:rsidRPr="008E51E9">
        <w:rPr>
          <w:rFonts w:ascii="Times New Roman" w:hAnsi="Times New Roman"/>
        </w:rPr>
        <w:t xml:space="preserve">at the core of the subject. In particular, we point to a broadening in the range of </w:t>
      </w:r>
      <w:r w:rsidRPr="008E51E9">
        <w:rPr>
          <w:rFonts w:ascii="Times New Roman" w:hAnsi="Times New Roman"/>
        </w:rPr>
        <w:t>influences that</w:t>
      </w:r>
      <w:r w:rsidR="000A0B1F" w:rsidRPr="008E51E9">
        <w:rPr>
          <w:rFonts w:ascii="Times New Roman" w:hAnsi="Times New Roman"/>
        </w:rPr>
        <w:t xml:space="preserve"> need to be understood as contributing to</w:t>
      </w:r>
      <w:r w:rsidRPr="008E51E9">
        <w:rPr>
          <w:rFonts w:ascii="Times New Roman" w:hAnsi="Times New Roman"/>
        </w:rPr>
        <w:t xml:space="preserve"> the development of the law</w:t>
      </w:r>
      <w:r w:rsidR="000A0B1F" w:rsidRPr="008E51E9">
        <w:rPr>
          <w:rFonts w:ascii="Times New Roman" w:hAnsi="Times New Roman"/>
        </w:rPr>
        <w:t xml:space="preserve"> once legislation is incorporated in this way</w:t>
      </w:r>
      <w:r w:rsidRPr="008E51E9">
        <w:rPr>
          <w:rFonts w:ascii="Times New Roman" w:hAnsi="Times New Roman"/>
        </w:rPr>
        <w:t xml:space="preserve">. </w:t>
      </w:r>
    </w:p>
  </w:footnote>
  <w:footnote w:id="4">
    <w:p w:rsidR="00162848" w:rsidRPr="008E51E9" w:rsidRDefault="00162848" w:rsidP="00B97D30">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It must be admitted that the sheer diversity of legislation renders it unrealistic for lawyers to be familiar with all of it at all times in the way that they may be aware of all of the key common law principles. This probably contributes to the absence of a sense of ownership of legislation on the part of lawyers: it defies academic expertise in this respect (among others, perhaps), and escapes the boundaries of legal ‘common knowledge’. The point is illuminated by James </w:t>
      </w:r>
      <w:proofErr w:type="spellStart"/>
      <w:r w:rsidRPr="008E51E9">
        <w:rPr>
          <w:rFonts w:ascii="Times New Roman" w:hAnsi="Times New Roman"/>
        </w:rPr>
        <w:t>Goudkamp’s</w:t>
      </w:r>
      <w:proofErr w:type="spellEnd"/>
      <w:r w:rsidRPr="008E51E9">
        <w:rPr>
          <w:rFonts w:ascii="Times New Roman" w:hAnsi="Times New Roman"/>
        </w:rPr>
        <w:t xml:space="preserve"> critical evaluation of the</w:t>
      </w:r>
      <w:bookmarkStart w:id="0" w:name="_GoBack"/>
      <w:bookmarkEnd w:id="0"/>
      <w:r w:rsidRPr="008E51E9">
        <w:rPr>
          <w:rFonts w:ascii="Times New Roman" w:hAnsi="Times New Roman"/>
        </w:rPr>
        <w:t xml:space="preserve"> way that alterations to tort defences have been hidden away in portmanteau legislation, for example (Chapter 3). It is also illustrated by Keith Stanton’s analysis of little-known and hardly accessible provisions affording remedies to consumers, which nevertheless contribute in important ways to the pattern of protected interests and remedies (Chapter 13).</w:t>
      </w:r>
    </w:p>
  </w:footnote>
  <w:footnote w:id="5">
    <w:p w:rsidR="00162848" w:rsidRPr="008E51E9" w:rsidRDefault="00162848" w:rsidP="00B97D30">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The upsurge in legislation in Australia in response to an ‘insurance crisis’, which was perceived to be related to the principles of the law of tort, forms the backdrop to the forensic examination of the impact on tort defences by James </w:t>
      </w:r>
      <w:proofErr w:type="spellStart"/>
      <w:r w:rsidRPr="008E51E9">
        <w:rPr>
          <w:rFonts w:ascii="Times New Roman" w:hAnsi="Times New Roman"/>
        </w:rPr>
        <w:t>Goudkamp</w:t>
      </w:r>
      <w:proofErr w:type="spellEnd"/>
      <w:r w:rsidRPr="008E51E9">
        <w:rPr>
          <w:rFonts w:ascii="Times New Roman" w:hAnsi="Times New Roman"/>
        </w:rPr>
        <w:t xml:space="preserve"> in Chapter 3 of this volume. See also for example B. MacDonald, ‘Legislative Intervention in the Law of Negligence: The Common Law, Statutory Interpretation and Tort Law in Australia’ (2005) 27 </w:t>
      </w:r>
      <w:r w:rsidRPr="008E51E9">
        <w:rPr>
          <w:rFonts w:ascii="Times New Roman" w:hAnsi="Times New Roman"/>
          <w:i/>
        </w:rPr>
        <w:t xml:space="preserve">Sydney Law Review </w:t>
      </w:r>
      <w:r w:rsidRPr="008E51E9">
        <w:rPr>
          <w:rFonts w:ascii="Times New Roman" w:hAnsi="Times New Roman"/>
        </w:rPr>
        <w:t xml:space="preserve">443; P. Cane, ‘Reforming Tort Law in Australia: A Personal Perspective’ (2003) 27 </w:t>
      </w:r>
      <w:r w:rsidRPr="008E51E9">
        <w:rPr>
          <w:rFonts w:ascii="Times New Roman" w:hAnsi="Times New Roman"/>
          <w:i/>
        </w:rPr>
        <w:t xml:space="preserve">Melbourne University Law Review </w:t>
      </w:r>
      <w:r w:rsidRPr="008E51E9">
        <w:rPr>
          <w:rFonts w:ascii="Times New Roman" w:hAnsi="Times New Roman"/>
        </w:rPr>
        <w:t xml:space="preserve">649; J. Edelman, J. </w:t>
      </w:r>
      <w:proofErr w:type="spellStart"/>
      <w:r w:rsidRPr="008E51E9">
        <w:rPr>
          <w:rFonts w:ascii="Times New Roman" w:hAnsi="Times New Roman"/>
        </w:rPr>
        <w:t>Goudkamp</w:t>
      </w:r>
      <w:proofErr w:type="spellEnd"/>
      <w:r w:rsidRPr="008E51E9">
        <w:rPr>
          <w:rFonts w:ascii="Times New Roman" w:hAnsi="Times New Roman"/>
        </w:rPr>
        <w:t xml:space="preserve">, S. </w:t>
      </w:r>
      <w:proofErr w:type="spellStart"/>
      <w:r w:rsidRPr="008E51E9">
        <w:rPr>
          <w:rFonts w:ascii="Times New Roman" w:hAnsi="Times New Roman"/>
        </w:rPr>
        <w:t>Degeling</w:t>
      </w:r>
      <w:proofErr w:type="spellEnd"/>
      <w:r w:rsidRPr="008E51E9">
        <w:rPr>
          <w:rFonts w:ascii="Times New Roman" w:hAnsi="Times New Roman"/>
        </w:rPr>
        <w:t xml:space="preserve">, ‘The Foundations of Torts in Commercial Law’, in S </w:t>
      </w:r>
      <w:proofErr w:type="spellStart"/>
      <w:r w:rsidRPr="008E51E9">
        <w:rPr>
          <w:rFonts w:ascii="Times New Roman" w:hAnsi="Times New Roman"/>
        </w:rPr>
        <w:t>Degeling</w:t>
      </w:r>
      <w:proofErr w:type="spellEnd"/>
      <w:r w:rsidRPr="008E51E9">
        <w:rPr>
          <w:rFonts w:ascii="Times New Roman" w:hAnsi="Times New Roman"/>
        </w:rPr>
        <w:t xml:space="preserve">, J Edelman, and J </w:t>
      </w:r>
      <w:proofErr w:type="spellStart"/>
      <w:r w:rsidRPr="008E51E9">
        <w:rPr>
          <w:rFonts w:ascii="Times New Roman" w:hAnsi="Times New Roman"/>
        </w:rPr>
        <w:t>Goudkamp</w:t>
      </w:r>
      <w:proofErr w:type="spellEnd"/>
      <w:r w:rsidRPr="008E51E9">
        <w:rPr>
          <w:rFonts w:ascii="Times New Roman" w:hAnsi="Times New Roman"/>
        </w:rPr>
        <w:t xml:space="preserve"> (</w:t>
      </w:r>
      <w:proofErr w:type="spellStart"/>
      <w:r w:rsidRPr="008E51E9">
        <w:rPr>
          <w:rFonts w:ascii="Times New Roman" w:hAnsi="Times New Roman"/>
        </w:rPr>
        <w:t>eds</w:t>
      </w:r>
      <w:proofErr w:type="spellEnd"/>
      <w:r w:rsidRPr="008E51E9">
        <w:rPr>
          <w:rFonts w:ascii="Times New Roman" w:hAnsi="Times New Roman"/>
        </w:rPr>
        <w:t xml:space="preserve">), </w:t>
      </w:r>
      <w:r w:rsidRPr="008E51E9">
        <w:rPr>
          <w:rFonts w:ascii="Times New Roman" w:hAnsi="Times New Roman"/>
          <w:i/>
        </w:rPr>
        <w:t xml:space="preserve">Torts in Commercial Law </w:t>
      </w:r>
      <w:r w:rsidRPr="008E51E9">
        <w:rPr>
          <w:rFonts w:ascii="Times New Roman" w:hAnsi="Times New Roman"/>
        </w:rPr>
        <w:t xml:space="preserve">(Sydney, Thomson Reuters, 2011): ‘In the present ‘age of statutes’, the coherence that the law of torts has achieved is under threat. …. </w:t>
      </w:r>
      <w:proofErr w:type="gramStart"/>
      <w:r w:rsidRPr="008E51E9">
        <w:rPr>
          <w:rFonts w:ascii="Times New Roman" w:hAnsi="Times New Roman"/>
        </w:rPr>
        <w:t>In some jurisdictions, radical statutory changes have been made to the law of torts that do not seem to have clear regard to its structure’ (3).</w:t>
      </w:r>
      <w:proofErr w:type="gramEnd"/>
      <w:r w:rsidRPr="008E51E9">
        <w:rPr>
          <w:rFonts w:ascii="Times New Roman" w:hAnsi="Times New Roman"/>
        </w:rPr>
        <w:t xml:space="preserve"> </w:t>
      </w:r>
    </w:p>
  </w:footnote>
  <w:footnote w:id="6">
    <w:p w:rsidR="00162848" w:rsidRPr="008E51E9" w:rsidRDefault="00162848" w:rsidP="00B97D30">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See the first Chapter of G. </w:t>
      </w:r>
      <w:proofErr w:type="spellStart"/>
      <w:r w:rsidRPr="008E51E9">
        <w:rPr>
          <w:rFonts w:ascii="Times New Roman" w:hAnsi="Times New Roman"/>
        </w:rPr>
        <w:t>Calabresi</w:t>
      </w:r>
      <w:proofErr w:type="spellEnd"/>
      <w:r w:rsidRPr="008E51E9">
        <w:rPr>
          <w:rFonts w:ascii="Times New Roman" w:hAnsi="Times New Roman"/>
        </w:rPr>
        <w:t xml:space="preserve">, </w:t>
      </w:r>
      <w:r w:rsidRPr="008E51E9">
        <w:rPr>
          <w:rFonts w:ascii="Times New Roman" w:hAnsi="Times New Roman"/>
          <w:i/>
        </w:rPr>
        <w:t xml:space="preserve">A Common Law for the Age of Statutes </w:t>
      </w:r>
      <w:r w:rsidRPr="008E51E9">
        <w:rPr>
          <w:rFonts w:ascii="Times New Roman" w:hAnsi="Times New Roman"/>
        </w:rPr>
        <w:t>(Cambridge, Harvard University Press, 1982): ‘Choking on Statutes’.  Compare C.K. Allen’s remarks in the 3</w:t>
      </w:r>
      <w:r w:rsidRPr="008E51E9">
        <w:rPr>
          <w:rFonts w:ascii="Times New Roman" w:hAnsi="Times New Roman"/>
          <w:vertAlign w:val="superscript"/>
        </w:rPr>
        <w:t>rd</w:t>
      </w:r>
      <w:r w:rsidRPr="008E51E9">
        <w:rPr>
          <w:rFonts w:ascii="Times New Roman" w:hAnsi="Times New Roman"/>
        </w:rPr>
        <w:t xml:space="preserve"> edition of </w:t>
      </w:r>
      <w:r w:rsidRPr="008E51E9">
        <w:rPr>
          <w:rFonts w:ascii="Times New Roman" w:hAnsi="Times New Roman"/>
          <w:i/>
        </w:rPr>
        <w:t>Law in the Making</w:t>
      </w:r>
      <w:r w:rsidRPr="008E51E9">
        <w:rPr>
          <w:rFonts w:ascii="Times New Roman" w:hAnsi="Times New Roman"/>
        </w:rPr>
        <w:t xml:space="preserve"> (Oxford, Oxford University Press, 1939) that “the continuity of legal development would be greatly imperilled” were it not for the “essential guiding rule” that legislation which was “in derogation of the Common law” should be strictly construed (379).  Allen’s conclusion was that “if Parliament has to intervene in the development of the law, it should intervene as little as possible” (414).</w:t>
      </w:r>
    </w:p>
  </w:footnote>
  <w:footnote w:id="7">
    <w:p w:rsidR="00162848" w:rsidRPr="008E51E9" w:rsidRDefault="00162848" w:rsidP="00B97D30">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This connection between statute and practical concerns is consistent with the greater emphasis on statutory provisions to be found in broadly socio-legal work concerned to show the </w:t>
      </w:r>
      <w:r w:rsidRPr="008E51E9">
        <w:rPr>
          <w:rFonts w:ascii="Times New Roman" w:hAnsi="Times New Roman"/>
          <w:i/>
        </w:rPr>
        <w:t xml:space="preserve">impact </w:t>
      </w:r>
      <w:r w:rsidRPr="008E51E9">
        <w:rPr>
          <w:rFonts w:ascii="Times New Roman" w:hAnsi="Times New Roman"/>
        </w:rPr>
        <w:t xml:space="preserve">of the law of tort in action. Classically perhaps Patrick </w:t>
      </w:r>
      <w:proofErr w:type="spellStart"/>
      <w:r w:rsidRPr="008E51E9">
        <w:rPr>
          <w:rFonts w:ascii="Times New Roman" w:hAnsi="Times New Roman"/>
        </w:rPr>
        <w:t>Atiyah’s</w:t>
      </w:r>
      <w:proofErr w:type="spellEnd"/>
      <w:r w:rsidRPr="008E51E9">
        <w:rPr>
          <w:rFonts w:ascii="Times New Roman" w:hAnsi="Times New Roman"/>
        </w:rPr>
        <w:t xml:space="preserve"> </w:t>
      </w:r>
      <w:r w:rsidRPr="008E51E9">
        <w:rPr>
          <w:rFonts w:ascii="Times New Roman" w:hAnsi="Times New Roman"/>
          <w:i/>
        </w:rPr>
        <w:t>Accidents, Compensation and the Law</w:t>
      </w:r>
      <w:r w:rsidRPr="008E51E9">
        <w:rPr>
          <w:rFonts w:ascii="Times New Roman" w:hAnsi="Times New Roman"/>
        </w:rPr>
        <w:t xml:space="preserve">, now in its seventh edition and edited by Peter Cane (Cambridge, Cambridge University Press, 2006); and D. </w:t>
      </w:r>
      <w:proofErr w:type="spellStart"/>
      <w:r w:rsidRPr="008E51E9">
        <w:rPr>
          <w:rFonts w:ascii="Times New Roman" w:hAnsi="Times New Roman"/>
        </w:rPr>
        <w:t>Dewees</w:t>
      </w:r>
      <w:proofErr w:type="spellEnd"/>
      <w:r w:rsidRPr="008E51E9">
        <w:rPr>
          <w:rFonts w:ascii="Times New Roman" w:hAnsi="Times New Roman"/>
        </w:rPr>
        <w:t xml:space="preserve"> and M. </w:t>
      </w:r>
      <w:proofErr w:type="spellStart"/>
      <w:r w:rsidRPr="008E51E9">
        <w:rPr>
          <w:rFonts w:ascii="Times New Roman" w:hAnsi="Times New Roman"/>
        </w:rPr>
        <w:t>Trebilcock</w:t>
      </w:r>
      <w:proofErr w:type="spellEnd"/>
      <w:r w:rsidRPr="008E51E9">
        <w:rPr>
          <w:rFonts w:ascii="Times New Roman" w:hAnsi="Times New Roman"/>
        </w:rPr>
        <w:t xml:space="preserve">, </w:t>
      </w:r>
      <w:r w:rsidRPr="008E51E9">
        <w:rPr>
          <w:rFonts w:ascii="Times New Roman" w:hAnsi="Times New Roman"/>
          <w:i/>
        </w:rPr>
        <w:t>Exploring the Domain of Accident Law: Taking the Facts Seriously</w:t>
      </w:r>
      <w:r w:rsidRPr="008E51E9">
        <w:rPr>
          <w:rFonts w:ascii="Times New Roman" w:hAnsi="Times New Roman"/>
        </w:rPr>
        <w:t xml:space="preserve"> (Oxford, Oxford University Press, 1996). There are also more specific works focused on the way that compensation works in practice, and paying considerable attention to statutes, for example R. Lewis, </w:t>
      </w:r>
      <w:r w:rsidRPr="008E51E9">
        <w:rPr>
          <w:rFonts w:ascii="Times New Roman" w:hAnsi="Times New Roman"/>
          <w:i/>
        </w:rPr>
        <w:t xml:space="preserve">Compensation for Industrial Injury </w:t>
      </w:r>
      <w:r w:rsidRPr="008E51E9">
        <w:rPr>
          <w:rFonts w:ascii="Times New Roman" w:hAnsi="Times New Roman"/>
        </w:rPr>
        <w:t>(Oxford, Professional Books, 1987)</w:t>
      </w:r>
      <w:r w:rsidRPr="008E51E9">
        <w:rPr>
          <w:rFonts w:ascii="Times New Roman" w:hAnsi="Times New Roman"/>
          <w:i/>
        </w:rPr>
        <w:t>.</w:t>
      </w:r>
    </w:p>
  </w:footnote>
  <w:footnote w:id="8">
    <w:p w:rsidR="00162848" w:rsidRPr="008E51E9" w:rsidRDefault="00162848" w:rsidP="00B97D30">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P. Cane, ‘Taking disagreement seriously: courts, legislatures and the reform of tort law’ (2005) 25 </w:t>
      </w:r>
      <w:r w:rsidRPr="008E51E9">
        <w:rPr>
          <w:rFonts w:ascii="Times New Roman" w:hAnsi="Times New Roman"/>
          <w:i/>
        </w:rPr>
        <w:t xml:space="preserve">OJLS </w:t>
      </w:r>
      <w:r w:rsidRPr="008E51E9">
        <w:rPr>
          <w:rFonts w:ascii="Times New Roman" w:hAnsi="Times New Roman"/>
        </w:rPr>
        <w:t>393-417, 405.</w:t>
      </w:r>
    </w:p>
  </w:footnote>
  <w:footnote w:id="9">
    <w:p w:rsidR="00162848" w:rsidRPr="008E51E9" w:rsidRDefault="00162848" w:rsidP="00B97D30">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The path was broken by AWB Simpson, </w:t>
      </w:r>
      <w:r w:rsidRPr="008E51E9">
        <w:rPr>
          <w:rFonts w:ascii="Times New Roman" w:hAnsi="Times New Roman"/>
          <w:i/>
        </w:rPr>
        <w:t xml:space="preserve">Leading Cases in the Common Law </w:t>
      </w:r>
      <w:r w:rsidRPr="008E51E9">
        <w:rPr>
          <w:rFonts w:ascii="Times New Roman" w:hAnsi="Times New Roman"/>
        </w:rPr>
        <w:t xml:space="preserve">(Oxford, Oxford University Press, 1995), including a number of tort cases. More recently, the collections of </w:t>
      </w:r>
      <w:r w:rsidRPr="008E51E9">
        <w:rPr>
          <w:rFonts w:ascii="Times New Roman" w:hAnsi="Times New Roman"/>
          <w:i/>
        </w:rPr>
        <w:t xml:space="preserve">Landmark Cases </w:t>
      </w:r>
      <w:r w:rsidRPr="008E51E9">
        <w:rPr>
          <w:rFonts w:ascii="Times New Roman" w:hAnsi="Times New Roman"/>
        </w:rPr>
        <w:t xml:space="preserve">by Charles Mitchell and Paul Mitchell have continued the project (with some variety of objective, of course) – with the recent addition of </w:t>
      </w:r>
      <w:r w:rsidRPr="008E51E9">
        <w:rPr>
          <w:rFonts w:ascii="Times New Roman" w:hAnsi="Times New Roman"/>
          <w:i/>
        </w:rPr>
        <w:t xml:space="preserve">Landmark Cases in Tort </w:t>
      </w:r>
      <w:r w:rsidRPr="008E51E9">
        <w:rPr>
          <w:rFonts w:ascii="Times New Roman" w:hAnsi="Times New Roman"/>
        </w:rPr>
        <w:t>(</w:t>
      </w:r>
      <w:smartTag w:uri="urn:schemas-microsoft-com:office:smarttags" w:element="place">
        <w:smartTag w:uri="urn:schemas-microsoft-com:office:smarttags" w:element="City">
          <w:r w:rsidRPr="008E51E9">
            <w:rPr>
              <w:rFonts w:ascii="Times New Roman" w:hAnsi="Times New Roman"/>
            </w:rPr>
            <w:t>Oxford</w:t>
          </w:r>
        </w:smartTag>
      </w:smartTag>
      <w:r w:rsidRPr="008E51E9">
        <w:rPr>
          <w:rFonts w:ascii="Times New Roman" w:hAnsi="Times New Roman"/>
        </w:rPr>
        <w:t>, Hart Publishing, 2010).</w:t>
      </w:r>
    </w:p>
  </w:footnote>
  <w:footnote w:id="10">
    <w:p w:rsidR="00162848" w:rsidRPr="008E51E9" w:rsidRDefault="00162848">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A similar reason is among those suggested by Andrew Burrows </w:t>
      </w:r>
      <w:r w:rsidR="002D2143" w:rsidRPr="008E51E9">
        <w:rPr>
          <w:rFonts w:ascii="Times New Roman" w:hAnsi="Times New Roman"/>
        </w:rPr>
        <w:t>(n 2</w:t>
      </w:r>
      <w:r w:rsidRPr="008E51E9">
        <w:rPr>
          <w:rFonts w:ascii="Times New Roman" w:hAnsi="Times New Roman"/>
        </w:rPr>
        <w:t>) for the neglect of statute in the study of obligations: ‘Cases are fun; statutes are perceived to be dull, dry and difficult’ (233)</w:t>
      </w:r>
      <w:proofErr w:type="gramStart"/>
      <w:r w:rsidRPr="008E51E9">
        <w:rPr>
          <w:rFonts w:ascii="Times New Roman" w:hAnsi="Times New Roman"/>
        </w:rPr>
        <w:t>..</w:t>
      </w:r>
      <w:proofErr w:type="gramEnd"/>
    </w:p>
  </w:footnote>
  <w:footnote w:id="11">
    <w:p w:rsidR="00162848" w:rsidRPr="008E51E9" w:rsidRDefault="00162848" w:rsidP="00B97D30">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An example can be seen in Allan </w:t>
      </w:r>
      <w:proofErr w:type="spellStart"/>
      <w:r w:rsidRPr="008E51E9">
        <w:rPr>
          <w:rFonts w:ascii="Times New Roman" w:hAnsi="Times New Roman"/>
        </w:rPr>
        <w:t>Beever’s</w:t>
      </w:r>
      <w:proofErr w:type="spellEnd"/>
      <w:r w:rsidRPr="008E51E9">
        <w:rPr>
          <w:rFonts w:ascii="Times New Roman" w:hAnsi="Times New Roman"/>
        </w:rPr>
        <w:t xml:space="preserve"> succinct reference to legislation in respect of dependency claims in the case of fatal accidents: ‘This is appropriate because it is mandated by statute’ (A. </w:t>
      </w:r>
      <w:proofErr w:type="spellStart"/>
      <w:r w:rsidRPr="008E51E9">
        <w:rPr>
          <w:rFonts w:ascii="Times New Roman" w:hAnsi="Times New Roman"/>
        </w:rPr>
        <w:t>Beever</w:t>
      </w:r>
      <w:proofErr w:type="spellEnd"/>
      <w:r w:rsidRPr="008E51E9">
        <w:rPr>
          <w:rFonts w:ascii="Times New Roman" w:hAnsi="Times New Roman"/>
        </w:rPr>
        <w:t xml:space="preserve">, </w:t>
      </w:r>
      <w:r w:rsidRPr="008E51E9">
        <w:rPr>
          <w:rFonts w:ascii="Times New Roman" w:hAnsi="Times New Roman"/>
          <w:i/>
        </w:rPr>
        <w:t>Rediscovering the Law of Negligence</w:t>
      </w:r>
      <w:r w:rsidRPr="008E51E9">
        <w:rPr>
          <w:rFonts w:ascii="Times New Roman" w:hAnsi="Times New Roman"/>
        </w:rPr>
        <w:t>, (Oxford, Hart Publishing, 2007), 36).</w:t>
      </w:r>
    </w:p>
  </w:footnote>
  <w:footnote w:id="12">
    <w:p w:rsidR="00162848" w:rsidRPr="008E51E9" w:rsidRDefault="00162848" w:rsidP="00B97D30">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For example, Robert Stevens argues that if judges are to decide cases on policy grounds, ‘a different sort of judiciary will be required’, in the sense that judges ‘will need political legitimacy’. Further, judicial decisions would need to have prospective effect only, resembling statute (R. Stevens, </w:t>
      </w:r>
      <w:r w:rsidRPr="008E51E9">
        <w:rPr>
          <w:rFonts w:ascii="Times New Roman" w:hAnsi="Times New Roman"/>
          <w:i/>
        </w:rPr>
        <w:t xml:space="preserve">Torts and Rights </w:t>
      </w:r>
      <w:r w:rsidRPr="008E51E9">
        <w:rPr>
          <w:rFonts w:ascii="Times New Roman" w:hAnsi="Times New Roman"/>
        </w:rPr>
        <w:t>(</w:t>
      </w:r>
      <w:smartTag w:uri="urn:schemas-microsoft-com:office:smarttags" w:element="place">
        <w:smartTag w:uri="urn:schemas-microsoft-com:office:smarttags" w:element="City">
          <w:r w:rsidRPr="008E51E9">
            <w:rPr>
              <w:rFonts w:ascii="Times New Roman" w:hAnsi="Times New Roman"/>
            </w:rPr>
            <w:t>Oxford</w:t>
          </w:r>
        </w:smartTag>
      </w:smartTag>
      <w:r w:rsidRPr="008E51E9">
        <w:rPr>
          <w:rFonts w:ascii="Times New Roman" w:hAnsi="Times New Roman"/>
        </w:rPr>
        <w:t xml:space="preserve">, Oxford University Press, 2007), 312). </w:t>
      </w:r>
    </w:p>
  </w:footnote>
  <w:footnote w:id="13">
    <w:p w:rsidR="00162848" w:rsidRPr="008E51E9" w:rsidRDefault="00162848" w:rsidP="00B97D30">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Peter Cane, n. 6, argues that common lawyers associate legislation too readily with the ‘will of the sovereign’, in reference to the </w:t>
      </w:r>
      <w:proofErr w:type="spellStart"/>
      <w:r w:rsidRPr="008E51E9">
        <w:rPr>
          <w:rFonts w:ascii="Times New Roman" w:hAnsi="Times New Roman"/>
        </w:rPr>
        <w:t>Benthamite</w:t>
      </w:r>
      <w:proofErr w:type="spellEnd"/>
      <w:r w:rsidRPr="008E51E9">
        <w:rPr>
          <w:rFonts w:ascii="Times New Roman" w:hAnsi="Times New Roman"/>
        </w:rPr>
        <w:t xml:space="preserve"> positivism which is so closely associated with statutory reform. Lieberman has shown however that the relationship between common law and statute was already a well-established topic of legal theory (and a concern of Blackstone’s) when Bentham entered the fray in 1770. The radical part of Bentham’s argument was that common law should be replaced with comprehensive legislation: D. Lieberman, </w:t>
      </w:r>
      <w:r w:rsidRPr="008E51E9">
        <w:rPr>
          <w:rFonts w:ascii="Times New Roman" w:hAnsi="Times New Roman"/>
          <w:i/>
        </w:rPr>
        <w:t xml:space="preserve">The Province of Legislation Determined </w:t>
      </w:r>
      <w:r w:rsidRPr="008E51E9">
        <w:rPr>
          <w:rFonts w:ascii="Times New Roman" w:hAnsi="Times New Roman"/>
        </w:rPr>
        <w:t xml:space="preserve">(Cambridge, Cambridge University Press, 1989), </w:t>
      </w:r>
      <w:proofErr w:type="gramStart"/>
      <w:r w:rsidRPr="008E51E9">
        <w:rPr>
          <w:rFonts w:ascii="Times New Roman" w:hAnsi="Times New Roman"/>
        </w:rPr>
        <w:t>Chapter</w:t>
      </w:r>
      <w:proofErr w:type="gramEnd"/>
      <w:r w:rsidRPr="008E51E9">
        <w:rPr>
          <w:rFonts w:ascii="Times New Roman" w:hAnsi="Times New Roman"/>
        </w:rPr>
        <w:t xml:space="preserve"> 11. </w:t>
      </w:r>
    </w:p>
  </w:footnote>
  <w:footnote w:id="14">
    <w:p w:rsidR="00162848" w:rsidRPr="008E51E9" w:rsidRDefault="00162848" w:rsidP="00B97D30">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Historically, this reached its peak in the bitter criticisms of secondary legislation in the inter-war period.  See e.g. G </w:t>
      </w:r>
      <w:proofErr w:type="spellStart"/>
      <w:r w:rsidRPr="008E51E9">
        <w:rPr>
          <w:rFonts w:ascii="Times New Roman" w:hAnsi="Times New Roman"/>
        </w:rPr>
        <w:t>Hewart</w:t>
      </w:r>
      <w:proofErr w:type="spellEnd"/>
      <w:r w:rsidRPr="008E51E9">
        <w:rPr>
          <w:rFonts w:ascii="Times New Roman" w:hAnsi="Times New Roman"/>
        </w:rPr>
        <w:t xml:space="preserve">, </w:t>
      </w:r>
      <w:r w:rsidRPr="008E51E9">
        <w:rPr>
          <w:rFonts w:ascii="Times New Roman" w:hAnsi="Times New Roman"/>
          <w:i/>
        </w:rPr>
        <w:t xml:space="preserve">The New Despotism </w:t>
      </w:r>
      <w:r w:rsidRPr="008E51E9">
        <w:rPr>
          <w:rFonts w:ascii="Times New Roman" w:hAnsi="Times New Roman"/>
        </w:rPr>
        <w:t xml:space="preserve">(London, Ernest Benn, 1929) and CK Allen, </w:t>
      </w:r>
      <w:r w:rsidRPr="008E51E9">
        <w:rPr>
          <w:rFonts w:ascii="Times New Roman" w:hAnsi="Times New Roman"/>
          <w:i/>
        </w:rPr>
        <w:t>Bureaucracy Triumphant</w:t>
      </w:r>
      <w:r w:rsidRPr="008E51E9">
        <w:rPr>
          <w:rFonts w:ascii="Times New Roman" w:hAnsi="Times New Roman"/>
        </w:rPr>
        <w:t xml:space="preserve"> (London, Oxford University Press, 1931).  The less extreme point – that the political dimension of legislation can result in laws that “are often bad and indifferent as well as good” – is typically conceded even by those who are generally favourably disposed to legislation.  See e.g. RJ </w:t>
      </w:r>
      <w:proofErr w:type="spellStart"/>
      <w:r w:rsidRPr="008E51E9">
        <w:rPr>
          <w:rFonts w:ascii="Times New Roman" w:hAnsi="Times New Roman"/>
        </w:rPr>
        <w:t>Traynor</w:t>
      </w:r>
      <w:proofErr w:type="spellEnd"/>
      <w:r w:rsidRPr="008E51E9">
        <w:rPr>
          <w:rFonts w:ascii="Times New Roman" w:hAnsi="Times New Roman"/>
        </w:rPr>
        <w:t xml:space="preserve">, ‘Statutes Revolving in Common-Law Orbits’ (1968) 17 </w:t>
      </w:r>
      <w:r w:rsidRPr="008E51E9">
        <w:rPr>
          <w:rFonts w:ascii="Times New Roman" w:hAnsi="Times New Roman"/>
          <w:i/>
        </w:rPr>
        <w:t xml:space="preserve">Catholic U L Rev </w:t>
      </w:r>
      <w:r w:rsidRPr="008E51E9">
        <w:rPr>
          <w:rFonts w:ascii="Times New Roman" w:hAnsi="Times New Roman"/>
        </w:rPr>
        <w:t xml:space="preserve">401, 425, which despite referring to the ‘unguided missiles’ launched by legislatures (402), is principally devoted to making the case for a programme of “orderly research of statutes” to enable judges to “make optimum use of statutes… as sources of judicial </w:t>
      </w:r>
      <w:proofErr w:type="spellStart"/>
      <w:r w:rsidRPr="008E51E9">
        <w:rPr>
          <w:rFonts w:ascii="Times New Roman" w:hAnsi="Times New Roman"/>
        </w:rPr>
        <w:t>lawmaking</w:t>
      </w:r>
      <w:proofErr w:type="spellEnd"/>
      <w:r w:rsidRPr="008E51E9">
        <w:rPr>
          <w:rFonts w:ascii="Times New Roman" w:hAnsi="Times New Roman"/>
        </w:rPr>
        <w:t xml:space="preserve">” (426). </w:t>
      </w:r>
    </w:p>
  </w:footnote>
  <w:footnote w:id="15">
    <w:p w:rsidR="00162848" w:rsidRPr="008E51E9" w:rsidRDefault="00162848" w:rsidP="00B97D30">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For contributions in the latter mould, see the chapters in Part I.</w:t>
      </w:r>
    </w:p>
  </w:footnote>
  <w:footnote w:id="16">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gramStart"/>
      <w:r w:rsidRPr="008E51E9">
        <w:rPr>
          <w:rFonts w:ascii="Times New Roman" w:hAnsi="Times New Roman"/>
        </w:rPr>
        <w:t>[2006] UKHL 20.</w:t>
      </w:r>
      <w:proofErr w:type="gramEnd"/>
    </w:p>
  </w:footnote>
  <w:footnote w:id="17">
    <w:p w:rsidR="00162848" w:rsidRPr="008E51E9" w:rsidRDefault="00162848" w:rsidP="00443C1C">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On the statute more generally, see the contribution of Annette Morris to this volume (Ch. 4).</w:t>
      </w:r>
    </w:p>
  </w:footnote>
  <w:footnote w:id="18">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gramStart"/>
      <w:r w:rsidRPr="008E51E9">
        <w:rPr>
          <w:rFonts w:ascii="Times New Roman" w:hAnsi="Times New Roman"/>
        </w:rPr>
        <w:t>Chapter 9 of this book.</w:t>
      </w:r>
      <w:proofErr w:type="gramEnd"/>
    </w:p>
  </w:footnote>
  <w:footnote w:id="19">
    <w:p w:rsidR="00162848" w:rsidRPr="008E51E9" w:rsidRDefault="00162848" w:rsidP="00443C1C">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gramStart"/>
      <w:r w:rsidRPr="008E51E9">
        <w:rPr>
          <w:rFonts w:ascii="Times New Roman" w:hAnsi="Times New Roman"/>
        </w:rPr>
        <w:t>Chapter 7 of this book.</w:t>
      </w:r>
      <w:proofErr w:type="gramEnd"/>
    </w:p>
  </w:footnote>
  <w:footnote w:id="20">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gramStart"/>
      <w:r w:rsidRPr="008E51E9">
        <w:rPr>
          <w:rFonts w:ascii="Times New Roman" w:hAnsi="Times New Roman"/>
        </w:rPr>
        <w:t>(1808) 1 Camp 493.</w:t>
      </w:r>
      <w:proofErr w:type="gramEnd"/>
    </w:p>
  </w:footnote>
  <w:footnote w:id="21">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gramStart"/>
      <w:r w:rsidRPr="008E51E9">
        <w:rPr>
          <w:rFonts w:ascii="Times New Roman" w:hAnsi="Times New Roman"/>
        </w:rPr>
        <w:t xml:space="preserve">Bailey, </w:t>
      </w:r>
      <w:proofErr w:type="spellStart"/>
      <w:r w:rsidRPr="008E51E9">
        <w:rPr>
          <w:rFonts w:ascii="Times New Roman" w:hAnsi="Times New Roman"/>
        </w:rPr>
        <w:t>Ch</w:t>
      </w:r>
      <w:proofErr w:type="spellEnd"/>
      <w:r w:rsidRPr="008E51E9">
        <w:rPr>
          <w:rFonts w:ascii="Times New Roman" w:hAnsi="Times New Roman"/>
        </w:rPr>
        <w:t xml:space="preserve"> 9 of this book, p. ZZZZ.</w:t>
      </w:r>
      <w:proofErr w:type="gramEnd"/>
    </w:p>
  </w:footnote>
  <w:footnote w:id="22">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gramStart"/>
      <w:r w:rsidRPr="008E51E9">
        <w:rPr>
          <w:rFonts w:ascii="Times New Roman" w:hAnsi="Times New Roman"/>
        </w:rPr>
        <w:t>Chapter 2 of this book.</w:t>
      </w:r>
      <w:proofErr w:type="gramEnd"/>
    </w:p>
  </w:footnote>
  <w:footnote w:id="23">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See, for example, the contributions of </w:t>
      </w:r>
      <w:proofErr w:type="spellStart"/>
      <w:r w:rsidRPr="008E51E9">
        <w:rPr>
          <w:rFonts w:ascii="Times New Roman" w:hAnsi="Times New Roman"/>
        </w:rPr>
        <w:t>Arvind</w:t>
      </w:r>
      <w:proofErr w:type="spellEnd"/>
      <w:r w:rsidRPr="008E51E9">
        <w:rPr>
          <w:rFonts w:ascii="Times New Roman" w:hAnsi="Times New Roman"/>
        </w:rPr>
        <w:t xml:space="preserve"> (</w:t>
      </w:r>
      <w:proofErr w:type="spellStart"/>
      <w:r w:rsidRPr="008E51E9">
        <w:rPr>
          <w:rFonts w:ascii="Times New Roman" w:hAnsi="Times New Roman"/>
        </w:rPr>
        <w:t>Ch</w:t>
      </w:r>
      <w:proofErr w:type="spellEnd"/>
      <w:r w:rsidRPr="008E51E9">
        <w:rPr>
          <w:rFonts w:ascii="Times New Roman" w:hAnsi="Times New Roman"/>
        </w:rPr>
        <w:t xml:space="preserve"> 19), </w:t>
      </w:r>
      <w:proofErr w:type="spellStart"/>
      <w:r w:rsidRPr="008E51E9">
        <w:rPr>
          <w:rFonts w:ascii="Times New Roman" w:hAnsi="Times New Roman"/>
        </w:rPr>
        <w:t>Bagshaw</w:t>
      </w:r>
      <w:proofErr w:type="spellEnd"/>
      <w:r w:rsidRPr="008E51E9">
        <w:rPr>
          <w:rFonts w:ascii="Times New Roman" w:hAnsi="Times New Roman"/>
        </w:rPr>
        <w:t xml:space="preserve"> (</w:t>
      </w:r>
      <w:proofErr w:type="spellStart"/>
      <w:r w:rsidRPr="008E51E9">
        <w:rPr>
          <w:rFonts w:ascii="Times New Roman" w:hAnsi="Times New Roman"/>
        </w:rPr>
        <w:t>Ch</w:t>
      </w:r>
      <w:proofErr w:type="spellEnd"/>
      <w:r w:rsidRPr="008E51E9">
        <w:rPr>
          <w:rFonts w:ascii="Times New Roman" w:hAnsi="Times New Roman"/>
        </w:rPr>
        <w:t xml:space="preserve"> 10), Simpson (</w:t>
      </w:r>
      <w:proofErr w:type="spellStart"/>
      <w:r w:rsidRPr="008E51E9">
        <w:rPr>
          <w:rFonts w:ascii="Times New Roman" w:hAnsi="Times New Roman"/>
        </w:rPr>
        <w:t>Ch</w:t>
      </w:r>
      <w:proofErr w:type="spellEnd"/>
      <w:r w:rsidRPr="008E51E9">
        <w:rPr>
          <w:rFonts w:ascii="Times New Roman" w:hAnsi="Times New Roman"/>
        </w:rPr>
        <w:t xml:space="preserve"> 6) and Steele (</w:t>
      </w:r>
      <w:proofErr w:type="spellStart"/>
      <w:r w:rsidRPr="008E51E9">
        <w:rPr>
          <w:rFonts w:ascii="Times New Roman" w:hAnsi="Times New Roman"/>
        </w:rPr>
        <w:t>Ch</w:t>
      </w:r>
      <w:proofErr w:type="spellEnd"/>
      <w:r w:rsidRPr="008E51E9">
        <w:rPr>
          <w:rFonts w:ascii="Times New Roman" w:hAnsi="Times New Roman"/>
        </w:rPr>
        <w:t xml:space="preserve"> 8), which we discuss in more detail elsewhere in this section.</w:t>
      </w:r>
    </w:p>
  </w:footnote>
  <w:footnote w:id="24">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gramStart"/>
      <w:r w:rsidRPr="008E51E9">
        <w:rPr>
          <w:rFonts w:ascii="Times New Roman" w:hAnsi="Times New Roman"/>
        </w:rPr>
        <w:t>Chapter 13 of this book.</w:t>
      </w:r>
      <w:proofErr w:type="gramEnd"/>
    </w:p>
  </w:footnote>
  <w:footnote w:id="25">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gramStart"/>
      <w:r w:rsidRPr="008E51E9">
        <w:rPr>
          <w:rFonts w:ascii="Times New Roman" w:hAnsi="Times New Roman"/>
        </w:rPr>
        <w:t>Chapter 5 of this book.</w:t>
      </w:r>
      <w:proofErr w:type="gramEnd"/>
    </w:p>
  </w:footnote>
  <w:footnote w:id="26">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gramStart"/>
      <w:r w:rsidRPr="008E51E9">
        <w:rPr>
          <w:rFonts w:ascii="Times New Roman" w:hAnsi="Times New Roman"/>
        </w:rPr>
        <w:t>Chapter 19 of this book.</w:t>
      </w:r>
      <w:proofErr w:type="gramEnd"/>
    </w:p>
  </w:footnote>
  <w:footnote w:id="27">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gramStart"/>
      <w:r w:rsidRPr="008E51E9">
        <w:rPr>
          <w:rFonts w:ascii="Times New Roman" w:hAnsi="Times New Roman"/>
        </w:rPr>
        <w:t>Chapter 3 of this book.</w:t>
      </w:r>
      <w:proofErr w:type="gramEnd"/>
    </w:p>
  </w:footnote>
  <w:footnote w:id="28">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gramStart"/>
      <w:r w:rsidRPr="008E51E9">
        <w:rPr>
          <w:rFonts w:ascii="Times New Roman" w:hAnsi="Times New Roman"/>
        </w:rPr>
        <w:t>Chapter 6 of this book.</w:t>
      </w:r>
      <w:proofErr w:type="gramEnd"/>
    </w:p>
  </w:footnote>
  <w:footnote w:id="29">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See also the discussion of L. Hoffmann, ‘The Rise and </w:t>
      </w:r>
      <w:proofErr w:type="gramStart"/>
      <w:r w:rsidRPr="008E51E9">
        <w:rPr>
          <w:rFonts w:ascii="Times New Roman" w:hAnsi="Times New Roman"/>
        </w:rPr>
        <w:t>Fall</w:t>
      </w:r>
      <w:proofErr w:type="gramEnd"/>
      <w:r w:rsidRPr="008E51E9">
        <w:rPr>
          <w:rFonts w:ascii="Times New Roman" w:hAnsi="Times New Roman"/>
        </w:rPr>
        <w:t xml:space="preserve"> of the Economic Torts’</w:t>
      </w:r>
      <w:r w:rsidRPr="008E51E9">
        <w:rPr>
          <w:rFonts w:ascii="Times New Roman" w:hAnsi="Times New Roman"/>
          <w:i/>
        </w:rPr>
        <w:t xml:space="preserve"> </w:t>
      </w:r>
      <w:r w:rsidRPr="008E51E9">
        <w:rPr>
          <w:rFonts w:ascii="Times New Roman" w:hAnsi="Times New Roman"/>
        </w:rPr>
        <w:t xml:space="preserve">in </w:t>
      </w:r>
      <w:proofErr w:type="spellStart"/>
      <w:r w:rsidRPr="008E51E9">
        <w:rPr>
          <w:rFonts w:ascii="Times New Roman" w:hAnsi="Times New Roman"/>
        </w:rPr>
        <w:t>Degeling</w:t>
      </w:r>
      <w:proofErr w:type="spellEnd"/>
      <w:r w:rsidRPr="008E51E9">
        <w:rPr>
          <w:rFonts w:ascii="Times New Roman" w:hAnsi="Times New Roman"/>
        </w:rPr>
        <w:t xml:space="preserve">, Edelman, and </w:t>
      </w:r>
      <w:proofErr w:type="spellStart"/>
      <w:r w:rsidRPr="008E51E9">
        <w:rPr>
          <w:rFonts w:ascii="Times New Roman" w:hAnsi="Times New Roman"/>
        </w:rPr>
        <w:t>Goudkamp</w:t>
      </w:r>
      <w:proofErr w:type="spellEnd"/>
      <w:r w:rsidRPr="008E51E9">
        <w:rPr>
          <w:rFonts w:ascii="Times New Roman" w:hAnsi="Times New Roman"/>
        </w:rPr>
        <w:t xml:space="preserve"> (n 4).</w:t>
      </w:r>
    </w:p>
  </w:footnote>
  <w:footnote w:id="30">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gramStart"/>
      <w:r w:rsidRPr="008E51E9">
        <w:rPr>
          <w:rFonts w:ascii="Times New Roman" w:hAnsi="Times New Roman"/>
        </w:rPr>
        <w:t>Chapter 10 of this book.</w:t>
      </w:r>
      <w:proofErr w:type="gramEnd"/>
    </w:p>
  </w:footnote>
  <w:footnote w:id="31">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gramStart"/>
      <w:r w:rsidRPr="008E51E9">
        <w:rPr>
          <w:rFonts w:ascii="Times New Roman" w:hAnsi="Times New Roman"/>
        </w:rPr>
        <w:t>[2003] 2 AC 1.</w:t>
      </w:r>
      <w:proofErr w:type="gramEnd"/>
    </w:p>
  </w:footnote>
  <w:footnote w:id="32">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spellStart"/>
      <w:r w:rsidRPr="008E51E9">
        <w:rPr>
          <w:rFonts w:ascii="Times New Roman" w:hAnsi="Times New Roman"/>
        </w:rPr>
        <w:t>Bagshaw</w:t>
      </w:r>
      <w:proofErr w:type="spellEnd"/>
      <w:r w:rsidRPr="008E51E9">
        <w:rPr>
          <w:rFonts w:ascii="Times New Roman" w:hAnsi="Times New Roman"/>
        </w:rPr>
        <w:t>, Ch. 10 of this book, p. ZZZZ.</w:t>
      </w:r>
    </w:p>
  </w:footnote>
  <w:footnote w:id="33">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gramStart"/>
      <w:r w:rsidRPr="008E51E9">
        <w:rPr>
          <w:rFonts w:ascii="Times New Roman" w:hAnsi="Times New Roman"/>
        </w:rPr>
        <w:t>Ibid.,</w:t>
      </w:r>
      <w:proofErr w:type="gramEnd"/>
      <w:r w:rsidRPr="008E51E9">
        <w:rPr>
          <w:rFonts w:ascii="Times New Roman" w:hAnsi="Times New Roman"/>
        </w:rPr>
        <w:t xml:space="preserve"> p. ZZZZ.</w:t>
      </w:r>
    </w:p>
  </w:footnote>
  <w:footnote w:id="34">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gramStart"/>
      <w:r w:rsidRPr="008E51E9">
        <w:rPr>
          <w:rFonts w:ascii="Times New Roman" w:hAnsi="Times New Roman"/>
        </w:rPr>
        <w:t>Chapter 8 of this book.</w:t>
      </w:r>
      <w:proofErr w:type="gramEnd"/>
    </w:p>
  </w:footnote>
  <w:footnote w:id="35">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gramStart"/>
      <w:r w:rsidRPr="008E51E9">
        <w:rPr>
          <w:rFonts w:ascii="Times New Roman" w:hAnsi="Times New Roman"/>
        </w:rPr>
        <w:t>Chapter 12 of this book.</w:t>
      </w:r>
      <w:proofErr w:type="gramEnd"/>
    </w:p>
  </w:footnote>
  <w:footnote w:id="36">
    <w:p w:rsidR="00162848" w:rsidRPr="008E51E9" w:rsidRDefault="00162848" w:rsidP="000D46F3">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The idea that statutes could and should be used thus was strongly advocated by US scholars in the 1930s and 1940s.  See e.g. JM Landis ‘Statutes and the Sources of Law’ [1934] </w:t>
      </w:r>
      <w:proofErr w:type="spellStart"/>
      <w:r w:rsidRPr="008E51E9">
        <w:rPr>
          <w:rFonts w:ascii="Times New Roman" w:hAnsi="Times New Roman"/>
          <w:i/>
        </w:rPr>
        <w:t>Harv</w:t>
      </w:r>
      <w:proofErr w:type="spellEnd"/>
      <w:r w:rsidRPr="008E51E9">
        <w:rPr>
          <w:rFonts w:ascii="Times New Roman" w:hAnsi="Times New Roman"/>
          <w:i/>
        </w:rPr>
        <w:t xml:space="preserve"> Leg Essays</w:t>
      </w:r>
      <w:r w:rsidRPr="008E51E9">
        <w:rPr>
          <w:rFonts w:ascii="Times New Roman" w:hAnsi="Times New Roman"/>
        </w:rPr>
        <w:t xml:space="preserve"> 213, reprinted in (1965) 2 </w:t>
      </w:r>
      <w:proofErr w:type="spellStart"/>
      <w:r w:rsidRPr="008E51E9">
        <w:rPr>
          <w:rFonts w:ascii="Times New Roman" w:hAnsi="Times New Roman"/>
          <w:i/>
        </w:rPr>
        <w:t>Harv</w:t>
      </w:r>
      <w:proofErr w:type="spellEnd"/>
      <w:r w:rsidRPr="008E51E9">
        <w:rPr>
          <w:rFonts w:ascii="Times New Roman" w:hAnsi="Times New Roman"/>
          <w:i/>
        </w:rPr>
        <w:t xml:space="preserve"> J on Legis.</w:t>
      </w:r>
      <w:r w:rsidRPr="008E51E9">
        <w:rPr>
          <w:rFonts w:ascii="Times New Roman" w:hAnsi="Times New Roman"/>
        </w:rPr>
        <w:t xml:space="preserve"> 7; William H. Page’s discussion of the early common law doctrine of “the equity of the statute” in ‘Statutes as Common Law Principles’  [1944] </w:t>
      </w:r>
      <w:r w:rsidRPr="008E51E9">
        <w:rPr>
          <w:rFonts w:ascii="Times New Roman" w:hAnsi="Times New Roman"/>
          <w:i/>
        </w:rPr>
        <w:t>Wis. L. Rev.</w:t>
      </w:r>
      <w:r w:rsidRPr="008E51E9">
        <w:rPr>
          <w:rFonts w:ascii="Times New Roman" w:hAnsi="Times New Roman"/>
        </w:rPr>
        <w:t xml:space="preserve"> 175; and </w:t>
      </w:r>
      <w:proofErr w:type="spellStart"/>
      <w:r w:rsidRPr="008E51E9">
        <w:rPr>
          <w:rFonts w:ascii="Times New Roman" w:hAnsi="Times New Roman"/>
        </w:rPr>
        <w:t>Traynor</w:t>
      </w:r>
      <w:proofErr w:type="spellEnd"/>
      <w:r w:rsidRPr="008E51E9">
        <w:rPr>
          <w:rFonts w:ascii="Times New Roman" w:hAnsi="Times New Roman"/>
        </w:rPr>
        <w:t xml:space="preserve"> (n. 13).  In England, a similar stance was taken by </w:t>
      </w:r>
      <w:proofErr w:type="spellStart"/>
      <w:r w:rsidRPr="008E51E9">
        <w:rPr>
          <w:rFonts w:ascii="Times New Roman" w:hAnsi="Times New Roman"/>
        </w:rPr>
        <w:t>Atiyah</w:t>
      </w:r>
      <w:proofErr w:type="spellEnd"/>
      <w:r w:rsidRPr="008E51E9">
        <w:rPr>
          <w:rFonts w:ascii="Times New Roman" w:hAnsi="Times New Roman"/>
        </w:rPr>
        <w:t xml:space="preserve"> in ‘Common Law and Statute Law’ (1985) 48 </w:t>
      </w:r>
      <w:r w:rsidRPr="008E51E9">
        <w:rPr>
          <w:rFonts w:ascii="Times New Roman" w:hAnsi="Times New Roman"/>
          <w:i/>
        </w:rPr>
        <w:t>MLR</w:t>
      </w:r>
      <w:r w:rsidRPr="008E51E9">
        <w:rPr>
          <w:rFonts w:ascii="Times New Roman" w:hAnsi="Times New Roman"/>
        </w:rPr>
        <w:t xml:space="preserve"> 1 and </w:t>
      </w:r>
      <w:proofErr w:type="spellStart"/>
      <w:r w:rsidRPr="008E51E9">
        <w:rPr>
          <w:rFonts w:ascii="Times New Roman" w:hAnsi="Times New Roman"/>
        </w:rPr>
        <w:t>Beatson</w:t>
      </w:r>
      <w:proofErr w:type="spellEnd"/>
      <w:r w:rsidRPr="008E51E9">
        <w:rPr>
          <w:rFonts w:ascii="Times New Roman" w:hAnsi="Times New Roman"/>
        </w:rPr>
        <w:t xml:space="preserve"> in ‘The Role of Statute in Common Law Doctrine’ (2001) 117 LQR 247.  Whilst both believed that English courts generally did not engage with statutes analogically, Burrows has recently used a number of examples to show that English courts are indeed willing to ‘reason by analogy’ from statutes (n. </w:t>
      </w:r>
      <w:r w:rsidR="002D2143" w:rsidRPr="008E51E9">
        <w:rPr>
          <w:rFonts w:ascii="Times New Roman" w:hAnsi="Times New Roman"/>
        </w:rPr>
        <w:t>2</w:t>
      </w:r>
      <w:r w:rsidRPr="008E51E9">
        <w:rPr>
          <w:rFonts w:ascii="Times New Roman" w:hAnsi="Times New Roman"/>
        </w:rPr>
        <w:t xml:space="preserve">, 249 – 259).  This stands in contrast to Ronald </w:t>
      </w:r>
      <w:proofErr w:type="spellStart"/>
      <w:r w:rsidRPr="008E51E9">
        <w:rPr>
          <w:rFonts w:ascii="Times New Roman" w:hAnsi="Times New Roman"/>
        </w:rPr>
        <w:t>Dworkin’s</w:t>
      </w:r>
      <w:proofErr w:type="spellEnd"/>
      <w:r w:rsidRPr="008E51E9">
        <w:rPr>
          <w:rFonts w:ascii="Times New Roman" w:hAnsi="Times New Roman"/>
        </w:rPr>
        <w:t xml:space="preserve"> scepticism as to whether statutes can have what he calls ‘gravitational pull’. </w:t>
      </w:r>
      <w:proofErr w:type="gramStart"/>
      <w:r w:rsidRPr="008E51E9">
        <w:rPr>
          <w:rFonts w:ascii="Times New Roman" w:hAnsi="Times New Roman"/>
        </w:rPr>
        <w:t xml:space="preserve">R </w:t>
      </w:r>
      <w:proofErr w:type="spellStart"/>
      <w:r w:rsidRPr="008E51E9">
        <w:rPr>
          <w:rFonts w:ascii="Times New Roman" w:hAnsi="Times New Roman"/>
        </w:rPr>
        <w:t>Dworkin</w:t>
      </w:r>
      <w:proofErr w:type="spellEnd"/>
      <w:r w:rsidRPr="008E51E9">
        <w:rPr>
          <w:rFonts w:ascii="Times New Roman" w:hAnsi="Times New Roman"/>
        </w:rPr>
        <w:t xml:space="preserve">, </w:t>
      </w:r>
      <w:r w:rsidRPr="008E51E9">
        <w:rPr>
          <w:rFonts w:ascii="Times New Roman" w:hAnsi="Times New Roman"/>
          <w:i/>
        </w:rPr>
        <w:t>Taking Rights Seriously</w:t>
      </w:r>
      <w:r w:rsidRPr="008E51E9">
        <w:rPr>
          <w:rFonts w:ascii="Times New Roman" w:hAnsi="Times New Roman"/>
        </w:rPr>
        <w:t xml:space="preserve"> (Cambridge, Harvard UP, 1977) 22-28.</w:t>
      </w:r>
      <w:proofErr w:type="gramEnd"/>
      <w:r w:rsidRPr="008E51E9">
        <w:rPr>
          <w:rFonts w:ascii="Times New Roman" w:hAnsi="Times New Roman"/>
        </w:rPr>
        <w:t xml:space="preserve"> </w:t>
      </w:r>
    </w:p>
  </w:footnote>
  <w:footnote w:id="37">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spellStart"/>
      <w:proofErr w:type="gramStart"/>
      <w:r w:rsidRPr="008E51E9">
        <w:rPr>
          <w:rFonts w:ascii="Times New Roman" w:hAnsi="Times New Roman"/>
        </w:rPr>
        <w:t>Atiyah</w:t>
      </w:r>
      <w:proofErr w:type="spellEnd"/>
      <w:r w:rsidRPr="008E51E9">
        <w:rPr>
          <w:rFonts w:ascii="Times New Roman" w:hAnsi="Times New Roman"/>
        </w:rPr>
        <w:t xml:space="preserve"> (n. 35).</w:t>
      </w:r>
      <w:proofErr w:type="gramEnd"/>
    </w:p>
  </w:footnote>
  <w:footnote w:id="38">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gramStart"/>
      <w:r w:rsidRPr="008E51E9">
        <w:rPr>
          <w:rFonts w:ascii="Times New Roman" w:hAnsi="Times New Roman"/>
        </w:rPr>
        <w:t>Chapter 11 of this book.</w:t>
      </w:r>
      <w:proofErr w:type="gramEnd"/>
    </w:p>
  </w:footnote>
  <w:footnote w:id="39">
    <w:p w:rsidR="00162848" w:rsidRPr="008E51E9" w:rsidRDefault="00162848" w:rsidP="00AE00D8">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gramStart"/>
      <w:r w:rsidRPr="008E51E9">
        <w:rPr>
          <w:rFonts w:ascii="Times New Roman" w:hAnsi="Times New Roman"/>
        </w:rPr>
        <w:t>Chapter 15 of this book.</w:t>
      </w:r>
      <w:proofErr w:type="gramEnd"/>
    </w:p>
  </w:footnote>
  <w:footnote w:id="40">
    <w:p w:rsidR="00162848" w:rsidRPr="008E51E9" w:rsidRDefault="00162848" w:rsidP="00AE00D8">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SFC </w:t>
      </w:r>
      <w:proofErr w:type="spellStart"/>
      <w:r w:rsidRPr="008E51E9">
        <w:rPr>
          <w:rFonts w:ascii="Times New Roman" w:hAnsi="Times New Roman"/>
        </w:rPr>
        <w:t>Milsom</w:t>
      </w:r>
      <w:proofErr w:type="spellEnd"/>
      <w:r w:rsidRPr="008E51E9">
        <w:rPr>
          <w:rFonts w:ascii="Times New Roman" w:hAnsi="Times New Roman"/>
        </w:rPr>
        <w:t xml:space="preserve">, </w:t>
      </w:r>
      <w:proofErr w:type="gramStart"/>
      <w:r w:rsidRPr="008E51E9">
        <w:rPr>
          <w:rFonts w:ascii="Times New Roman" w:hAnsi="Times New Roman"/>
          <w:i/>
        </w:rPr>
        <w:t>A</w:t>
      </w:r>
      <w:proofErr w:type="gramEnd"/>
      <w:r w:rsidRPr="008E51E9">
        <w:rPr>
          <w:rFonts w:ascii="Times New Roman" w:hAnsi="Times New Roman"/>
          <w:i/>
        </w:rPr>
        <w:t xml:space="preserve"> Natural History of the Common Law </w:t>
      </w:r>
      <w:r w:rsidRPr="008E51E9">
        <w:rPr>
          <w:rFonts w:ascii="Times New Roman" w:hAnsi="Times New Roman"/>
        </w:rPr>
        <w:t xml:space="preserve">(New York, Columbia UP, 2003), 76-84. </w:t>
      </w:r>
    </w:p>
  </w:footnote>
  <w:footnote w:id="41">
    <w:p w:rsidR="00162848" w:rsidRPr="008E51E9" w:rsidRDefault="00162848" w:rsidP="00AE00D8">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SFC </w:t>
      </w:r>
      <w:proofErr w:type="spellStart"/>
      <w:r w:rsidRPr="008E51E9">
        <w:rPr>
          <w:rFonts w:ascii="Times New Roman" w:hAnsi="Times New Roman"/>
        </w:rPr>
        <w:t>Milsom</w:t>
      </w:r>
      <w:proofErr w:type="spellEnd"/>
      <w:r w:rsidRPr="008E51E9">
        <w:rPr>
          <w:rFonts w:ascii="Times New Roman" w:hAnsi="Times New Roman"/>
        </w:rPr>
        <w:t xml:space="preserve">, ‘Tenth Wilfred </w:t>
      </w:r>
      <w:proofErr w:type="spellStart"/>
      <w:r w:rsidRPr="008E51E9">
        <w:rPr>
          <w:rFonts w:ascii="Times New Roman" w:hAnsi="Times New Roman"/>
        </w:rPr>
        <w:t>Fullager</w:t>
      </w:r>
      <w:proofErr w:type="spellEnd"/>
      <w:r w:rsidRPr="008E51E9">
        <w:rPr>
          <w:rFonts w:ascii="Times New Roman" w:hAnsi="Times New Roman"/>
        </w:rPr>
        <w:t xml:space="preserve"> Memorial Lecture: The Past and the Future of Judge-Made Law’ (1981) 8 </w:t>
      </w:r>
      <w:proofErr w:type="spellStart"/>
      <w:r w:rsidRPr="008E51E9">
        <w:rPr>
          <w:rFonts w:ascii="Times New Roman" w:hAnsi="Times New Roman"/>
          <w:i/>
        </w:rPr>
        <w:t>Monash</w:t>
      </w:r>
      <w:proofErr w:type="spellEnd"/>
      <w:r w:rsidRPr="008E51E9">
        <w:rPr>
          <w:rFonts w:ascii="Times New Roman" w:hAnsi="Times New Roman"/>
          <w:i/>
        </w:rPr>
        <w:t xml:space="preserve"> U. L. Rev.</w:t>
      </w:r>
      <w:r w:rsidRPr="008E51E9">
        <w:rPr>
          <w:rFonts w:ascii="Times New Roman" w:hAnsi="Times New Roman"/>
        </w:rPr>
        <w:t xml:space="preserve"> 1.</w:t>
      </w:r>
    </w:p>
  </w:footnote>
  <w:footnote w:id="42">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spellStart"/>
      <w:proofErr w:type="gramStart"/>
      <w:r w:rsidRPr="008E51E9">
        <w:rPr>
          <w:rFonts w:ascii="Times New Roman" w:hAnsi="Times New Roman"/>
          <w:i/>
        </w:rPr>
        <w:t>Westdeutsche</w:t>
      </w:r>
      <w:proofErr w:type="spellEnd"/>
      <w:r w:rsidRPr="008E51E9">
        <w:rPr>
          <w:rFonts w:ascii="Times New Roman" w:hAnsi="Times New Roman"/>
          <w:i/>
        </w:rPr>
        <w:t xml:space="preserve"> </w:t>
      </w:r>
      <w:proofErr w:type="spellStart"/>
      <w:r w:rsidRPr="008E51E9">
        <w:rPr>
          <w:rFonts w:ascii="Times New Roman" w:hAnsi="Times New Roman"/>
          <w:i/>
        </w:rPr>
        <w:t>Landesbank</w:t>
      </w:r>
      <w:proofErr w:type="spellEnd"/>
      <w:r w:rsidRPr="008E51E9">
        <w:rPr>
          <w:rFonts w:ascii="Times New Roman" w:hAnsi="Times New Roman"/>
          <w:i/>
        </w:rPr>
        <w:t xml:space="preserve"> v Islington LBC</w:t>
      </w:r>
      <w:r w:rsidRPr="008E51E9">
        <w:rPr>
          <w:rFonts w:ascii="Times New Roman" w:hAnsi="Times New Roman"/>
        </w:rPr>
        <w:t xml:space="preserve"> [1996] AC 669.</w:t>
      </w:r>
      <w:proofErr w:type="gramEnd"/>
    </w:p>
  </w:footnote>
  <w:footnote w:id="43">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gramStart"/>
      <w:r w:rsidRPr="008E51E9">
        <w:rPr>
          <w:rFonts w:ascii="Times New Roman" w:hAnsi="Times New Roman"/>
          <w:i/>
        </w:rPr>
        <w:t xml:space="preserve">Henderson v </w:t>
      </w:r>
      <w:proofErr w:type="spellStart"/>
      <w:r w:rsidRPr="008E51E9">
        <w:rPr>
          <w:rFonts w:ascii="Times New Roman" w:hAnsi="Times New Roman"/>
          <w:i/>
        </w:rPr>
        <w:t>Merrett</w:t>
      </w:r>
      <w:proofErr w:type="spellEnd"/>
      <w:r w:rsidRPr="008E51E9">
        <w:rPr>
          <w:rFonts w:ascii="Times New Roman" w:hAnsi="Times New Roman"/>
          <w:i/>
        </w:rPr>
        <w:t xml:space="preserve"> Syndicates Ltd </w:t>
      </w:r>
      <w:r w:rsidRPr="008E51E9">
        <w:rPr>
          <w:rFonts w:ascii="Times New Roman" w:hAnsi="Times New Roman"/>
        </w:rPr>
        <w:t>[1995] 2 AC 145.</w:t>
      </w:r>
      <w:proofErr w:type="gramEnd"/>
    </w:p>
  </w:footnote>
  <w:footnote w:id="44">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gramStart"/>
      <w:r w:rsidRPr="008E51E9">
        <w:rPr>
          <w:rFonts w:ascii="Times New Roman" w:hAnsi="Times New Roman"/>
          <w:i/>
        </w:rPr>
        <w:t>Deutsche Morgan Grenfell v Commissioners of Inland Revenue</w:t>
      </w:r>
      <w:r w:rsidRPr="008E51E9">
        <w:rPr>
          <w:rFonts w:ascii="Times New Roman" w:hAnsi="Times New Roman"/>
        </w:rPr>
        <w:t xml:space="preserve"> [2006] UKHL 49; [2007] 1 AC 558.</w:t>
      </w:r>
      <w:proofErr w:type="gramEnd"/>
    </w:p>
  </w:footnote>
  <w:footnote w:id="45">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It is, for example, worth noting that claimants in commercial constructive or resulting trust cases are rarely arguing that the ‘trustee’ should have handled their assets differently (i.e., the action does not relate to the substance of the obligation) – simply that their ‘equitable’ interest in the assets trumps the priorities set out in insolvency law.</w:t>
      </w:r>
    </w:p>
  </w:footnote>
  <w:footnote w:id="46">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See, in this context, also H </w:t>
      </w:r>
      <w:proofErr w:type="spellStart"/>
      <w:r w:rsidRPr="008E51E9">
        <w:rPr>
          <w:rFonts w:ascii="Times New Roman" w:hAnsi="Times New Roman"/>
        </w:rPr>
        <w:t>Genn</w:t>
      </w:r>
      <w:proofErr w:type="spellEnd"/>
      <w:r w:rsidRPr="008E51E9">
        <w:rPr>
          <w:rFonts w:ascii="Times New Roman" w:hAnsi="Times New Roman"/>
        </w:rPr>
        <w:t xml:space="preserve">, </w:t>
      </w:r>
      <w:r w:rsidRPr="008E51E9">
        <w:rPr>
          <w:rFonts w:ascii="Times New Roman" w:hAnsi="Times New Roman"/>
          <w:i/>
        </w:rPr>
        <w:t>Judging Civil Justice</w:t>
      </w:r>
      <w:r w:rsidRPr="008E51E9">
        <w:rPr>
          <w:rFonts w:ascii="Times New Roman" w:hAnsi="Times New Roman"/>
        </w:rPr>
        <w:t xml:space="preserve"> (Cambridge: CUP, 2009).</w:t>
      </w:r>
    </w:p>
  </w:footnote>
  <w:footnote w:id="47">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gramStart"/>
      <w:r w:rsidRPr="008E51E9">
        <w:rPr>
          <w:rFonts w:ascii="Times New Roman" w:hAnsi="Times New Roman"/>
        </w:rPr>
        <w:t xml:space="preserve">(1879) LR 11 </w:t>
      </w:r>
      <w:proofErr w:type="spellStart"/>
      <w:r w:rsidRPr="008E51E9">
        <w:rPr>
          <w:rFonts w:ascii="Times New Roman" w:hAnsi="Times New Roman"/>
        </w:rPr>
        <w:t>Ch</w:t>
      </w:r>
      <w:proofErr w:type="spellEnd"/>
      <w:r w:rsidRPr="008E51E9">
        <w:rPr>
          <w:rFonts w:ascii="Times New Roman" w:hAnsi="Times New Roman"/>
        </w:rPr>
        <w:t xml:space="preserve"> D 852.</w:t>
      </w:r>
      <w:proofErr w:type="gramEnd"/>
    </w:p>
  </w:footnote>
  <w:footnote w:id="48">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gramStart"/>
      <w:r w:rsidRPr="008E51E9">
        <w:rPr>
          <w:rFonts w:ascii="Times New Roman" w:hAnsi="Times New Roman"/>
        </w:rPr>
        <w:t>AW Brian Simpson, ‘”</w:t>
      </w:r>
      <w:proofErr w:type="spellStart"/>
      <w:r w:rsidRPr="008E51E9">
        <w:rPr>
          <w:rFonts w:ascii="Times New Roman" w:hAnsi="Times New Roman"/>
        </w:rPr>
        <w:t>Coase</w:t>
      </w:r>
      <w:proofErr w:type="spellEnd"/>
      <w:r w:rsidRPr="008E51E9">
        <w:rPr>
          <w:rFonts w:ascii="Times New Roman" w:hAnsi="Times New Roman"/>
        </w:rPr>
        <w:t xml:space="preserve"> v </w:t>
      </w:r>
      <w:proofErr w:type="spellStart"/>
      <w:r w:rsidRPr="008E51E9">
        <w:rPr>
          <w:rFonts w:ascii="Times New Roman" w:hAnsi="Times New Roman"/>
        </w:rPr>
        <w:t>Pigou</w:t>
      </w:r>
      <w:proofErr w:type="spellEnd"/>
      <w:r w:rsidRPr="008E51E9">
        <w:rPr>
          <w:rFonts w:ascii="Times New Roman" w:hAnsi="Times New Roman"/>
        </w:rPr>
        <w:t xml:space="preserve">” </w:t>
      </w:r>
      <w:proofErr w:type="spellStart"/>
      <w:r w:rsidRPr="008E51E9">
        <w:rPr>
          <w:rFonts w:ascii="Times New Roman" w:hAnsi="Times New Roman"/>
        </w:rPr>
        <w:t>Reexamined</w:t>
      </w:r>
      <w:proofErr w:type="spellEnd"/>
      <w:r w:rsidRPr="008E51E9">
        <w:rPr>
          <w:rFonts w:ascii="Times New Roman" w:hAnsi="Times New Roman"/>
        </w:rPr>
        <w:t xml:space="preserve">’ (1996) 25 </w:t>
      </w:r>
      <w:r w:rsidRPr="008E51E9">
        <w:rPr>
          <w:rFonts w:ascii="Times New Roman" w:hAnsi="Times New Roman"/>
          <w:i/>
        </w:rPr>
        <w:t>Journal of Legal Studies</w:t>
      </w:r>
      <w:r w:rsidRPr="008E51E9">
        <w:rPr>
          <w:rFonts w:ascii="Times New Roman" w:hAnsi="Times New Roman"/>
        </w:rPr>
        <w:t xml:space="preserve"> 53; R. </w:t>
      </w:r>
      <w:proofErr w:type="spellStart"/>
      <w:r w:rsidRPr="008E51E9">
        <w:rPr>
          <w:rFonts w:ascii="Times New Roman" w:hAnsi="Times New Roman"/>
        </w:rPr>
        <w:t>Coase</w:t>
      </w:r>
      <w:proofErr w:type="spellEnd"/>
      <w:r w:rsidRPr="008E51E9">
        <w:rPr>
          <w:rFonts w:ascii="Times New Roman" w:hAnsi="Times New Roman"/>
        </w:rPr>
        <w:t xml:space="preserve">, “Law and Economics and Brian Simpson” (1996) 25 </w:t>
      </w:r>
      <w:r w:rsidRPr="008E51E9">
        <w:rPr>
          <w:rFonts w:ascii="Times New Roman" w:hAnsi="Times New Roman"/>
          <w:i/>
        </w:rPr>
        <w:t>Journal of Legal Studies</w:t>
      </w:r>
      <w:r w:rsidRPr="008E51E9">
        <w:rPr>
          <w:rFonts w:ascii="Times New Roman" w:hAnsi="Times New Roman"/>
        </w:rPr>
        <w:t xml:space="preserve"> 103.</w:t>
      </w:r>
      <w:proofErr w:type="gramEnd"/>
    </w:p>
  </w:footnote>
  <w:footnote w:id="49">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This, of course, presents a very clear parallel with </w:t>
      </w:r>
      <w:proofErr w:type="spellStart"/>
      <w:r w:rsidRPr="008E51E9">
        <w:rPr>
          <w:rFonts w:ascii="Times New Roman" w:hAnsi="Times New Roman"/>
        </w:rPr>
        <w:t>Milsom’s</w:t>
      </w:r>
      <w:proofErr w:type="spellEnd"/>
      <w:r w:rsidRPr="008E51E9">
        <w:rPr>
          <w:rFonts w:ascii="Times New Roman" w:hAnsi="Times New Roman"/>
        </w:rPr>
        <w:t xml:space="preserve"> account of legal change in mediaeval England which, again, were often driven by claimants choosing the forum and remedy that gave them the best chance of getting the type of remedy they sought.</w:t>
      </w:r>
    </w:p>
  </w:footnote>
  <w:footnote w:id="50">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r w:rsidRPr="008E51E9">
        <w:rPr>
          <w:rFonts w:ascii="Times New Roman" w:hAnsi="Times New Roman"/>
          <w:i/>
        </w:rPr>
        <w:t>Goad v Butcher</w:t>
      </w:r>
      <w:r w:rsidRPr="008E51E9">
        <w:rPr>
          <w:rFonts w:ascii="Times New Roman" w:hAnsi="Times New Roman"/>
        </w:rPr>
        <w:t xml:space="preserve"> [2011] EWCA </w:t>
      </w:r>
      <w:proofErr w:type="spellStart"/>
      <w:r w:rsidRPr="008E51E9">
        <w:rPr>
          <w:rFonts w:ascii="Times New Roman" w:hAnsi="Times New Roman"/>
        </w:rPr>
        <w:t>Civ</w:t>
      </w:r>
      <w:proofErr w:type="spellEnd"/>
      <w:r w:rsidRPr="008E51E9">
        <w:rPr>
          <w:rFonts w:ascii="Times New Roman" w:hAnsi="Times New Roman"/>
        </w:rPr>
        <w:t xml:space="preserve"> 158.</w:t>
      </w:r>
    </w:p>
  </w:footnote>
  <w:footnote w:id="51">
    <w:p w:rsidR="00162848" w:rsidRPr="008E51E9" w:rsidRDefault="00162848">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gramStart"/>
      <w:r w:rsidRPr="008E51E9">
        <w:rPr>
          <w:rFonts w:ascii="Times New Roman" w:hAnsi="Times New Roman"/>
        </w:rPr>
        <w:t>[1990] 2 AC 605.</w:t>
      </w:r>
      <w:proofErr w:type="gramEnd"/>
    </w:p>
  </w:footnote>
  <w:footnote w:id="52">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gramStart"/>
      <w:r w:rsidRPr="008E51E9">
        <w:rPr>
          <w:rFonts w:ascii="Times New Roman" w:hAnsi="Times New Roman"/>
        </w:rPr>
        <w:t>[2003] UKHL 66; [2004] 2 AC 42; Chapter 18 of this book.</w:t>
      </w:r>
      <w:proofErr w:type="gramEnd"/>
    </w:p>
  </w:footnote>
  <w:footnote w:id="53">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gramStart"/>
      <w:r w:rsidRPr="008E51E9">
        <w:rPr>
          <w:rFonts w:ascii="Times New Roman" w:hAnsi="Times New Roman"/>
        </w:rPr>
        <w:t>Chapter 16 of this book.</w:t>
      </w:r>
      <w:proofErr w:type="gramEnd"/>
    </w:p>
  </w:footnote>
  <w:footnote w:id="54">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gramStart"/>
      <w:r w:rsidRPr="008E51E9">
        <w:rPr>
          <w:rFonts w:ascii="Times New Roman" w:hAnsi="Times New Roman"/>
        </w:rPr>
        <w:t>Chapter 17 of this book.</w:t>
      </w:r>
      <w:proofErr w:type="gramEnd"/>
    </w:p>
  </w:footnote>
  <w:footnote w:id="55">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gramStart"/>
      <w:r w:rsidRPr="008E51E9">
        <w:rPr>
          <w:rFonts w:ascii="Times New Roman" w:hAnsi="Times New Roman"/>
        </w:rPr>
        <w:t>Chapter 20 of this book.</w:t>
      </w:r>
      <w:proofErr w:type="gramEnd"/>
    </w:p>
  </w:footnote>
  <w:footnote w:id="56">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gramStart"/>
      <w:r w:rsidRPr="008E51E9">
        <w:rPr>
          <w:rFonts w:ascii="Times New Roman" w:hAnsi="Times New Roman"/>
        </w:rPr>
        <w:t>Chapter 15 of this book.</w:t>
      </w:r>
      <w:proofErr w:type="gramEnd"/>
    </w:p>
  </w:footnote>
  <w:footnote w:id="57">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Starting with Sir William </w:t>
      </w:r>
      <w:proofErr w:type="spellStart"/>
      <w:r w:rsidRPr="008E51E9">
        <w:rPr>
          <w:rFonts w:ascii="Times New Roman" w:hAnsi="Times New Roman"/>
        </w:rPr>
        <w:t>Beveridge’s</w:t>
      </w:r>
      <w:proofErr w:type="spellEnd"/>
      <w:r w:rsidRPr="008E51E9">
        <w:rPr>
          <w:rFonts w:ascii="Times New Roman" w:hAnsi="Times New Roman"/>
        </w:rPr>
        <w:t xml:space="preserve"> </w:t>
      </w:r>
      <w:r w:rsidRPr="008E51E9">
        <w:rPr>
          <w:rFonts w:ascii="Times New Roman" w:hAnsi="Times New Roman"/>
          <w:i/>
        </w:rPr>
        <w:t xml:space="preserve">Report on Social Insurance and Allied Services </w:t>
      </w:r>
      <w:r w:rsidRPr="008E51E9">
        <w:rPr>
          <w:rFonts w:ascii="Times New Roman" w:hAnsi="Times New Roman"/>
        </w:rPr>
        <w:t>(1942, Cmd. 6404) (the ‘</w:t>
      </w:r>
      <w:proofErr w:type="spellStart"/>
      <w:r w:rsidRPr="008E51E9">
        <w:rPr>
          <w:rFonts w:ascii="Times New Roman" w:hAnsi="Times New Roman"/>
        </w:rPr>
        <w:t>Beveridge</w:t>
      </w:r>
      <w:proofErr w:type="spellEnd"/>
      <w:r w:rsidRPr="008E51E9">
        <w:rPr>
          <w:rFonts w:ascii="Times New Roman" w:hAnsi="Times New Roman"/>
        </w:rPr>
        <w:t xml:space="preserve"> Report’), and continuing through the work of John Fleming, Terence </w:t>
      </w:r>
      <w:proofErr w:type="spellStart"/>
      <w:r w:rsidRPr="008E51E9">
        <w:rPr>
          <w:rFonts w:ascii="Times New Roman" w:hAnsi="Times New Roman"/>
        </w:rPr>
        <w:t>Ison</w:t>
      </w:r>
      <w:proofErr w:type="spellEnd"/>
      <w:r w:rsidRPr="008E51E9">
        <w:rPr>
          <w:rFonts w:ascii="Times New Roman" w:hAnsi="Times New Roman"/>
        </w:rPr>
        <w:t xml:space="preserve">, Patrick </w:t>
      </w:r>
      <w:proofErr w:type="spellStart"/>
      <w:r w:rsidRPr="008E51E9">
        <w:rPr>
          <w:rFonts w:ascii="Times New Roman" w:hAnsi="Times New Roman"/>
        </w:rPr>
        <w:t>Atiyah</w:t>
      </w:r>
      <w:proofErr w:type="spellEnd"/>
      <w:r w:rsidRPr="008E51E9">
        <w:rPr>
          <w:rFonts w:ascii="Times New Roman" w:hAnsi="Times New Roman"/>
        </w:rPr>
        <w:t xml:space="preserve">, and the </w:t>
      </w:r>
      <w:r w:rsidRPr="008E51E9">
        <w:rPr>
          <w:rFonts w:ascii="Times New Roman" w:hAnsi="Times New Roman"/>
          <w:i/>
        </w:rPr>
        <w:t>Report of the Royal Commission on Civil Liability and Personal Injury</w:t>
      </w:r>
      <w:r w:rsidRPr="008E51E9">
        <w:rPr>
          <w:rFonts w:ascii="Times New Roman" w:hAnsi="Times New Roman"/>
        </w:rPr>
        <w:t xml:space="preserve"> (Colin Pearson Chair, 1978, </w:t>
      </w:r>
      <w:proofErr w:type="spellStart"/>
      <w:r w:rsidRPr="008E51E9">
        <w:rPr>
          <w:rFonts w:ascii="Times New Roman" w:hAnsi="Times New Roman"/>
        </w:rPr>
        <w:t>Cmd</w:t>
      </w:r>
      <w:proofErr w:type="spellEnd"/>
      <w:r w:rsidRPr="008E51E9">
        <w:rPr>
          <w:rFonts w:ascii="Times New Roman" w:hAnsi="Times New Roman"/>
        </w:rPr>
        <w:t xml:space="preserve"> 7054).  On the background to the </w:t>
      </w:r>
      <w:proofErr w:type="spellStart"/>
      <w:r w:rsidRPr="008E51E9">
        <w:rPr>
          <w:rFonts w:ascii="Times New Roman" w:hAnsi="Times New Roman"/>
        </w:rPr>
        <w:t>Beveridge</w:t>
      </w:r>
      <w:proofErr w:type="spellEnd"/>
      <w:r w:rsidRPr="008E51E9">
        <w:rPr>
          <w:rFonts w:ascii="Times New Roman" w:hAnsi="Times New Roman"/>
        </w:rPr>
        <w:t xml:space="preserve"> report itself, </w:t>
      </w:r>
      <w:proofErr w:type="gramStart"/>
      <w:r w:rsidRPr="008E51E9">
        <w:rPr>
          <w:rFonts w:ascii="Times New Roman" w:hAnsi="Times New Roman"/>
        </w:rPr>
        <w:t>see  B</w:t>
      </w:r>
      <w:proofErr w:type="gramEnd"/>
      <w:r w:rsidRPr="008E51E9">
        <w:rPr>
          <w:rFonts w:ascii="Times New Roman" w:hAnsi="Times New Roman"/>
        </w:rPr>
        <w:t xml:space="preserve">. Abel-Smith, ‘The </w:t>
      </w:r>
      <w:proofErr w:type="spellStart"/>
      <w:r w:rsidRPr="008E51E9">
        <w:rPr>
          <w:rFonts w:ascii="Times New Roman" w:hAnsi="Times New Roman"/>
        </w:rPr>
        <w:t>Beveridge</w:t>
      </w:r>
      <w:proofErr w:type="spellEnd"/>
      <w:r w:rsidRPr="008E51E9">
        <w:rPr>
          <w:rFonts w:ascii="Times New Roman" w:hAnsi="Times New Roman"/>
        </w:rPr>
        <w:t xml:space="preserve"> Report: Its Origins and Outcomes’ (1992) 45 International Social Security Review 5.</w:t>
      </w:r>
    </w:p>
  </w:footnote>
  <w:footnote w:id="58">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gramStart"/>
      <w:r w:rsidRPr="008E51E9">
        <w:rPr>
          <w:rFonts w:ascii="Times New Roman" w:hAnsi="Times New Roman"/>
        </w:rPr>
        <w:t>Chapter 14 of this book.</w:t>
      </w:r>
      <w:proofErr w:type="gramEnd"/>
    </w:p>
  </w:footnote>
  <w:footnote w:id="59">
    <w:p w:rsidR="00162848" w:rsidRPr="008E51E9" w:rsidRDefault="00162848" w:rsidP="00D74041">
      <w:pPr>
        <w:pStyle w:val="FootnoteText"/>
        <w:rPr>
          <w:rFonts w:ascii="Times New Roman" w:hAnsi="Times New Roman"/>
        </w:rPr>
      </w:pPr>
      <w:r w:rsidRPr="008E51E9">
        <w:rPr>
          <w:rStyle w:val="FootnoteReference"/>
          <w:rFonts w:ascii="Times New Roman" w:hAnsi="Times New Roman"/>
        </w:rPr>
        <w:footnoteRef/>
      </w:r>
      <w:r w:rsidRPr="008E51E9">
        <w:rPr>
          <w:rFonts w:ascii="Times New Roman" w:hAnsi="Times New Roman"/>
        </w:rPr>
        <w:t xml:space="preserve"> </w:t>
      </w:r>
      <w:proofErr w:type="spellStart"/>
      <w:r w:rsidRPr="008E51E9">
        <w:rPr>
          <w:rFonts w:ascii="Times New Roman" w:hAnsi="Times New Roman"/>
        </w:rPr>
        <w:t>Dworkin’s</w:t>
      </w:r>
      <w:proofErr w:type="spellEnd"/>
      <w:r w:rsidRPr="008E51E9">
        <w:rPr>
          <w:rFonts w:ascii="Times New Roman" w:hAnsi="Times New Roman"/>
        </w:rPr>
        <w:t xml:space="preserve"> original use of the metaphor was to say that the law is ‘drenched’ in theory.  See R </w:t>
      </w:r>
      <w:proofErr w:type="spellStart"/>
      <w:r w:rsidRPr="008E51E9">
        <w:rPr>
          <w:rFonts w:ascii="Times New Roman" w:hAnsi="Times New Roman"/>
        </w:rPr>
        <w:t>Dworkin</w:t>
      </w:r>
      <w:proofErr w:type="spellEnd"/>
      <w:r w:rsidRPr="008E51E9">
        <w:rPr>
          <w:rFonts w:ascii="Times New Roman" w:hAnsi="Times New Roman"/>
        </w:rPr>
        <w:t xml:space="preserve">, 'In praise of theory' (1997) 29 </w:t>
      </w:r>
      <w:r w:rsidRPr="008E51E9">
        <w:rPr>
          <w:rFonts w:ascii="Times New Roman" w:hAnsi="Times New Roman"/>
          <w:i/>
        </w:rPr>
        <w:t>Ariz. St. L.J.</w:t>
      </w:r>
      <w:r w:rsidRPr="008E51E9">
        <w:rPr>
          <w:rFonts w:ascii="Times New Roman" w:hAnsi="Times New Roman"/>
        </w:rPr>
        <w:t xml:space="preserve"> 353, 360.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35C0C"/>
    <w:multiLevelType w:val="hybridMultilevel"/>
    <w:tmpl w:val="63A8947A"/>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33551498"/>
    <w:multiLevelType w:val="hybridMultilevel"/>
    <w:tmpl w:val="DB04E54A"/>
    <w:lvl w:ilvl="0" w:tplc="5BDA3718">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3EE76A29"/>
    <w:multiLevelType w:val="hybridMultilevel"/>
    <w:tmpl w:val="2070AF6E"/>
    <w:lvl w:ilvl="0" w:tplc="1D20D042">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412B5DAD"/>
    <w:multiLevelType w:val="hybridMultilevel"/>
    <w:tmpl w:val="FA48307E"/>
    <w:lvl w:ilvl="0" w:tplc="8D9C40B6">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4C7204C0"/>
    <w:multiLevelType w:val="hybridMultilevel"/>
    <w:tmpl w:val="B92ECE1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06"/>
    <w:rsid w:val="00013A9B"/>
    <w:rsid w:val="00035613"/>
    <w:rsid w:val="00046BAB"/>
    <w:rsid w:val="00053374"/>
    <w:rsid w:val="00070B7B"/>
    <w:rsid w:val="00096EC0"/>
    <w:rsid w:val="000977F9"/>
    <w:rsid w:val="000A0B1F"/>
    <w:rsid w:val="000A55AF"/>
    <w:rsid w:val="000B6DAA"/>
    <w:rsid w:val="000C051B"/>
    <w:rsid w:val="000C39F1"/>
    <w:rsid w:val="000C402B"/>
    <w:rsid w:val="000D07AF"/>
    <w:rsid w:val="000D2073"/>
    <w:rsid w:val="000D46F3"/>
    <w:rsid w:val="000F4464"/>
    <w:rsid w:val="000F58AE"/>
    <w:rsid w:val="000F58DD"/>
    <w:rsid w:val="00100F0E"/>
    <w:rsid w:val="001567EF"/>
    <w:rsid w:val="00162848"/>
    <w:rsid w:val="00167B88"/>
    <w:rsid w:val="001709A2"/>
    <w:rsid w:val="00171430"/>
    <w:rsid w:val="00196A89"/>
    <w:rsid w:val="001A1724"/>
    <w:rsid w:val="001F1BA4"/>
    <w:rsid w:val="001F32ED"/>
    <w:rsid w:val="00200C4D"/>
    <w:rsid w:val="002126E8"/>
    <w:rsid w:val="0022433D"/>
    <w:rsid w:val="00256F38"/>
    <w:rsid w:val="0026239E"/>
    <w:rsid w:val="002A347D"/>
    <w:rsid w:val="002B5706"/>
    <w:rsid w:val="002D2143"/>
    <w:rsid w:val="002E5829"/>
    <w:rsid w:val="00300EBA"/>
    <w:rsid w:val="0030274F"/>
    <w:rsid w:val="00310CF6"/>
    <w:rsid w:val="003137AD"/>
    <w:rsid w:val="003138BF"/>
    <w:rsid w:val="003269CD"/>
    <w:rsid w:val="00337ED8"/>
    <w:rsid w:val="003569FE"/>
    <w:rsid w:val="003645B0"/>
    <w:rsid w:val="00391997"/>
    <w:rsid w:val="003A0170"/>
    <w:rsid w:val="003B1827"/>
    <w:rsid w:val="003B732B"/>
    <w:rsid w:val="003C123F"/>
    <w:rsid w:val="003C1C92"/>
    <w:rsid w:val="003C2665"/>
    <w:rsid w:val="003E0170"/>
    <w:rsid w:val="00416FC2"/>
    <w:rsid w:val="0042155C"/>
    <w:rsid w:val="00437BB2"/>
    <w:rsid w:val="00443C1C"/>
    <w:rsid w:val="00474E8E"/>
    <w:rsid w:val="004802FF"/>
    <w:rsid w:val="004A40F8"/>
    <w:rsid w:val="004A4277"/>
    <w:rsid w:val="004A478A"/>
    <w:rsid w:val="004A68DC"/>
    <w:rsid w:val="004C6E9E"/>
    <w:rsid w:val="004E42C8"/>
    <w:rsid w:val="0052518A"/>
    <w:rsid w:val="00525ED8"/>
    <w:rsid w:val="00551089"/>
    <w:rsid w:val="0056521D"/>
    <w:rsid w:val="00576F62"/>
    <w:rsid w:val="005818DA"/>
    <w:rsid w:val="00581D53"/>
    <w:rsid w:val="00587566"/>
    <w:rsid w:val="00591B02"/>
    <w:rsid w:val="005A04CD"/>
    <w:rsid w:val="005A6CFB"/>
    <w:rsid w:val="006439EB"/>
    <w:rsid w:val="00656F6F"/>
    <w:rsid w:val="0067732F"/>
    <w:rsid w:val="006902C0"/>
    <w:rsid w:val="006A6CB5"/>
    <w:rsid w:val="006E5041"/>
    <w:rsid w:val="00703658"/>
    <w:rsid w:val="00723ADE"/>
    <w:rsid w:val="00730CB3"/>
    <w:rsid w:val="0074015B"/>
    <w:rsid w:val="007506E5"/>
    <w:rsid w:val="007604AA"/>
    <w:rsid w:val="007614DE"/>
    <w:rsid w:val="00764CE3"/>
    <w:rsid w:val="00764FA3"/>
    <w:rsid w:val="007A1F50"/>
    <w:rsid w:val="007A2092"/>
    <w:rsid w:val="007F094E"/>
    <w:rsid w:val="008259E1"/>
    <w:rsid w:val="008407B8"/>
    <w:rsid w:val="008441F9"/>
    <w:rsid w:val="00856FB0"/>
    <w:rsid w:val="00872C15"/>
    <w:rsid w:val="008869D6"/>
    <w:rsid w:val="008C13C0"/>
    <w:rsid w:val="008C5FC8"/>
    <w:rsid w:val="008D0E8B"/>
    <w:rsid w:val="008D6E77"/>
    <w:rsid w:val="008E51E9"/>
    <w:rsid w:val="00913295"/>
    <w:rsid w:val="0093539F"/>
    <w:rsid w:val="009647A7"/>
    <w:rsid w:val="00982B00"/>
    <w:rsid w:val="009A1D54"/>
    <w:rsid w:val="009A61E7"/>
    <w:rsid w:val="009B6221"/>
    <w:rsid w:val="009E2258"/>
    <w:rsid w:val="009F4E23"/>
    <w:rsid w:val="009F5F09"/>
    <w:rsid w:val="00A05195"/>
    <w:rsid w:val="00A1544B"/>
    <w:rsid w:val="00A74D66"/>
    <w:rsid w:val="00A90D2E"/>
    <w:rsid w:val="00A94529"/>
    <w:rsid w:val="00AA13CD"/>
    <w:rsid w:val="00AC13AD"/>
    <w:rsid w:val="00AC3E49"/>
    <w:rsid w:val="00AC41E7"/>
    <w:rsid w:val="00AC7524"/>
    <w:rsid w:val="00AD7082"/>
    <w:rsid w:val="00AD7EA3"/>
    <w:rsid w:val="00AE00D8"/>
    <w:rsid w:val="00B11A77"/>
    <w:rsid w:val="00B30EED"/>
    <w:rsid w:val="00B47697"/>
    <w:rsid w:val="00B71A35"/>
    <w:rsid w:val="00B74EC1"/>
    <w:rsid w:val="00B90E53"/>
    <w:rsid w:val="00B97D30"/>
    <w:rsid w:val="00BA67FB"/>
    <w:rsid w:val="00BB4CD9"/>
    <w:rsid w:val="00BB626D"/>
    <w:rsid w:val="00BC38DB"/>
    <w:rsid w:val="00BD23EE"/>
    <w:rsid w:val="00C00CD1"/>
    <w:rsid w:val="00C32D9F"/>
    <w:rsid w:val="00C67C94"/>
    <w:rsid w:val="00C7566B"/>
    <w:rsid w:val="00C818D4"/>
    <w:rsid w:val="00C8775E"/>
    <w:rsid w:val="00C878E3"/>
    <w:rsid w:val="00CB2F99"/>
    <w:rsid w:val="00CB50D1"/>
    <w:rsid w:val="00CC2622"/>
    <w:rsid w:val="00CE2DD8"/>
    <w:rsid w:val="00CF15DF"/>
    <w:rsid w:val="00CF78D2"/>
    <w:rsid w:val="00D061C2"/>
    <w:rsid w:val="00D40F42"/>
    <w:rsid w:val="00D60033"/>
    <w:rsid w:val="00D74041"/>
    <w:rsid w:val="00D83BF1"/>
    <w:rsid w:val="00D9734F"/>
    <w:rsid w:val="00DB2B4A"/>
    <w:rsid w:val="00E218F8"/>
    <w:rsid w:val="00E557FA"/>
    <w:rsid w:val="00E710D9"/>
    <w:rsid w:val="00E77EB0"/>
    <w:rsid w:val="00E91416"/>
    <w:rsid w:val="00E95A37"/>
    <w:rsid w:val="00ED78EB"/>
    <w:rsid w:val="00EE1D8A"/>
    <w:rsid w:val="00EE3DEF"/>
    <w:rsid w:val="00EE5859"/>
    <w:rsid w:val="00F233D5"/>
    <w:rsid w:val="00F263BB"/>
    <w:rsid w:val="00F2657E"/>
    <w:rsid w:val="00F33D8C"/>
    <w:rsid w:val="00F91A00"/>
    <w:rsid w:val="00F939E3"/>
    <w:rsid w:val="00F9533E"/>
    <w:rsid w:val="00F95FC7"/>
    <w:rsid w:val="00F97D19"/>
    <w:rsid w:val="00FA0B53"/>
    <w:rsid w:val="00FB39A5"/>
    <w:rsid w:val="00FC1859"/>
    <w:rsid w:val="00FD6442"/>
    <w:rsid w:val="00FF0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D3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97D30"/>
    <w:pPr>
      <w:ind w:left="720"/>
      <w:contextualSpacing/>
    </w:pPr>
  </w:style>
  <w:style w:type="paragraph" w:styleId="FootnoteText">
    <w:name w:val="footnote text"/>
    <w:basedOn w:val="Normal"/>
    <w:link w:val="FootnoteTextChar"/>
    <w:uiPriority w:val="99"/>
    <w:rsid w:val="00B97D30"/>
    <w:pPr>
      <w:spacing w:after="0" w:line="240" w:lineRule="auto"/>
    </w:pPr>
    <w:rPr>
      <w:sz w:val="20"/>
      <w:szCs w:val="20"/>
      <w:lang w:eastAsia="zh-TW"/>
    </w:rPr>
  </w:style>
  <w:style w:type="character" w:customStyle="1" w:styleId="FootnoteTextChar">
    <w:name w:val="Footnote Text Char"/>
    <w:basedOn w:val="DefaultParagraphFont"/>
    <w:link w:val="FootnoteText"/>
    <w:uiPriority w:val="99"/>
    <w:locked/>
    <w:rsid w:val="00B97D30"/>
    <w:rPr>
      <w:sz w:val="20"/>
    </w:rPr>
  </w:style>
  <w:style w:type="character" w:styleId="FootnoteReference">
    <w:name w:val="footnote reference"/>
    <w:basedOn w:val="DefaultParagraphFont"/>
    <w:uiPriority w:val="99"/>
    <w:semiHidden/>
    <w:rsid w:val="00B97D30"/>
    <w:rPr>
      <w:rFonts w:cs="Times New Roman"/>
      <w:vertAlign w:val="superscript"/>
    </w:rPr>
  </w:style>
  <w:style w:type="paragraph" w:styleId="Header">
    <w:name w:val="header"/>
    <w:basedOn w:val="Normal"/>
    <w:link w:val="HeaderChar"/>
    <w:uiPriority w:val="99"/>
    <w:rsid w:val="003A0170"/>
    <w:pPr>
      <w:tabs>
        <w:tab w:val="center" w:pos="4513"/>
        <w:tab w:val="right" w:pos="9026"/>
      </w:tabs>
      <w:spacing w:after="0" w:line="240" w:lineRule="auto"/>
    </w:pPr>
    <w:rPr>
      <w:sz w:val="20"/>
      <w:szCs w:val="20"/>
      <w:lang w:eastAsia="zh-TW"/>
    </w:rPr>
  </w:style>
  <w:style w:type="character" w:customStyle="1" w:styleId="HeaderChar">
    <w:name w:val="Header Char"/>
    <w:basedOn w:val="DefaultParagraphFont"/>
    <w:link w:val="Header"/>
    <w:uiPriority w:val="99"/>
    <w:locked/>
    <w:rsid w:val="003A0170"/>
  </w:style>
  <w:style w:type="paragraph" w:styleId="Footer">
    <w:name w:val="footer"/>
    <w:basedOn w:val="Normal"/>
    <w:link w:val="FooterChar"/>
    <w:uiPriority w:val="99"/>
    <w:rsid w:val="003A0170"/>
    <w:pPr>
      <w:tabs>
        <w:tab w:val="center" w:pos="4513"/>
        <w:tab w:val="right" w:pos="9026"/>
      </w:tabs>
      <w:spacing w:after="0" w:line="240" w:lineRule="auto"/>
    </w:pPr>
    <w:rPr>
      <w:sz w:val="20"/>
      <w:szCs w:val="20"/>
      <w:lang w:eastAsia="zh-TW"/>
    </w:rPr>
  </w:style>
  <w:style w:type="character" w:customStyle="1" w:styleId="FooterChar">
    <w:name w:val="Footer Char"/>
    <w:basedOn w:val="DefaultParagraphFont"/>
    <w:link w:val="Footer"/>
    <w:uiPriority w:val="99"/>
    <w:locked/>
    <w:rsid w:val="003A0170"/>
  </w:style>
  <w:style w:type="character" w:styleId="CommentReference">
    <w:name w:val="annotation reference"/>
    <w:basedOn w:val="DefaultParagraphFont"/>
    <w:uiPriority w:val="99"/>
    <w:semiHidden/>
    <w:rsid w:val="00256F38"/>
    <w:rPr>
      <w:rFonts w:cs="Times New Roman"/>
      <w:sz w:val="16"/>
    </w:rPr>
  </w:style>
  <w:style w:type="paragraph" w:styleId="CommentText">
    <w:name w:val="annotation text"/>
    <w:basedOn w:val="Normal"/>
    <w:link w:val="CommentTextChar"/>
    <w:uiPriority w:val="99"/>
    <w:semiHidden/>
    <w:rsid w:val="00256F38"/>
    <w:pPr>
      <w:spacing w:line="240" w:lineRule="auto"/>
    </w:pPr>
    <w:rPr>
      <w:sz w:val="20"/>
      <w:szCs w:val="20"/>
      <w:lang w:eastAsia="zh-TW"/>
    </w:rPr>
  </w:style>
  <w:style w:type="character" w:customStyle="1" w:styleId="CommentTextChar">
    <w:name w:val="Comment Text Char"/>
    <w:basedOn w:val="DefaultParagraphFont"/>
    <w:link w:val="CommentText"/>
    <w:uiPriority w:val="99"/>
    <w:semiHidden/>
    <w:locked/>
    <w:rsid w:val="00256F38"/>
    <w:rPr>
      <w:sz w:val="20"/>
    </w:rPr>
  </w:style>
  <w:style w:type="paragraph" w:styleId="CommentSubject">
    <w:name w:val="annotation subject"/>
    <w:basedOn w:val="CommentText"/>
    <w:next w:val="CommentText"/>
    <w:link w:val="CommentSubjectChar"/>
    <w:uiPriority w:val="99"/>
    <w:semiHidden/>
    <w:rsid w:val="00256F38"/>
    <w:rPr>
      <w:b/>
    </w:rPr>
  </w:style>
  <w:style w:type="character" w:customStyle="1" w:styleId="CommentSubjectChar">
    <w:name w:val="Comment Subject Char"/>
    <w:basedOn w:val="CommentTextChar"/>
    <w:link w:val="CommentSubject"/>
    <w:uiPriority w:val="99"/>
    <w:semiHidden/>
    <w:locked/>
    <w:rsid w:val="00256F38"/>
    <w:rPr>
      <w:b/>
      <w:sz w:val="20"/>
    </w:rPr>
  </w:style>
  <w:style w:type="paragraph" w:styleId="BalloonText">
    <w:name w:val="Balloon Text"/>
    <w:basedOn w:val="Normal"/>
    <w:link w:val="BalloonTextChar"/>
    <w:uiPriority w:val="99"/>
    <w:semiHidden/>
    <w:rsid w:val="00256F38"/>
    <w:pPr>
      <w:spacing w:after="0" w:line="240" w:lineRule="auto"/>
    </w:pPr>
    <w:rPr>
      <w:rFonts w:ascii="Tahoma" w:hAnsi="Tahoma"/>
      <w:sz w:val="16"/>
      <w:szCs w:val="20"/>
      <w:lang w:eastAsia="zh-TW"/>
    </w:rPr>
  </w:style>
  <w:style w:type="character" w:customStyle="1" w:styleId="BalloonTextChar">
    <w:name w:val="Balloon Text Char"/>
    <w:basedOn w:val="DefaultParagraphFont"/>
    <w:link w:val="BalloonText"/>
    <w:uiPriority w:val="99"/>
    <w:semiHidden/>
    <w:locked/>
    <w:rsid w:val="00256F38"/>
    <w:rPr>
      <w:rFonts w:ascii="Tahoma" w:hAnsi="Tahom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D30"/>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97D30"/>
    <w:pPr>
      <w:ind w:left="720"/>
      <w:contextualSpacing/>
    </w:pPr>
  </w:style>
  <w:style w:type="paragraph" w:styleId="FootnoteText">
    <w:name w:val="footnote text"/>
    <w:basedOn w:val="Normal"/>
    <w:link w:val="FootnoteTextChar"/>
    <w:uiPriority w:val="99"/>
    <w:rsid w:val="00B97D30"/>
    <w:pPr>
      <w:spacing w:after="0" w:line="240" w:lineRule="auto"/>
    </w:pPr>
    <w:rPr>
      <w:sz w:val="20"/>
      <w:szCs w:val="20"/>
      <w:lang w:eastAsia="zh-TW"/>
    </w:rPr>
  </w:style>
  <w:style w:type="character" w:customStyle="1" w:styleId="FootnoteTextChar">
    <w:name w:val="Footnote Text Char"/>
    <w:basedOn w:val="DefaultParagraphFont"/>
    <w:link w:val="FootnoteText"/>
    <w:uiPriority w:val="99"/>
    <w:locked/>
    <w:rsid w:val="00B97D30"/>
    <w:rPr>
      <w:sz w:val="20"/>
    </w:rPr>
  </w:style>
  <w:style w:type="character" w:styleId="FootnoteReference">
    <w:name w:val="footnote reference"/>
    <w:basedOn w:val="DefaultParagraphFont"/>
    <w:uiPriority w:val="99"/>
    <w:semiHidden/>
    <w:rsid w:val="00B97D30"/>
    <w:rPr>
      <w:rFonts w:cs="Times New Roman"/>
      <w:vertAlign w:val="superscript"/>
    </w:rPr>
  </w:style>
  <w:style w:type="paragraph" w:styleId="Header">
    <w:name w:val="header"/>
    <w:basedOn w:val="Normal"/>
    <w:link w:val="HeaderChar"/>
    <w:uiPriority w:val="99"/>
    <w:rsid w:val="003A0170"/>
    <w:pPr>
      <w:tabs>
        <w:tab w:val="center" w:pos="4513"/>
        <w:tab w:val="right" w:pos="9026"/>
      </w:tabs>
      <w:spacing w:after="0" w:line="240" w:lineRule="auto"/>
    </w:pPr>
    <w:rPr>
      <w:sz w:val="20"/>
      <w:szCs w:val="20"/>
      <w:lang w:eastAsia="zh-TW"/>
    </w:rPr>
  </w:style>
  <w:style w:type="character" w:customStyle="1" w:styleId="HeaderChar">
    <w:name w:val="Header Char"/>
    <w:basedOn w:val="DefaultParagraphFont"/>
    <w:link w:val="Header"/>
    <w:uiPriority w:val="99"/>
    <w:locked/>
    <w:rsid w:val="003A0170"/>
  </w:style>
  <w:style w:type="paragraph" w:styleId="Footer">
    <w:name w:val="footer"/>
    <w:basedOn w:val="Normal"/>
    <w:link w:val="FooterChar"/>
    <w:uiPriority w:val="99"/>
    <w:rsid w:val="003A0170"/>
    <w:pPr>
      <w:tabs>
        <w:tab w:val="center" w:pos="4513"/>
        <w:tab w:val="right" w:pos="9026"/>
      </w:tabs>
      <w:spacing w:after="0" w:line="240" w:lineRule="auto"/>
    </w:pPr>
    <w:rPr>
      <w:sz w:val="20"/>
      <w:szCs w:val="20"/>
      <w:lang w:eastAsia="zh-TW"/>
    </w:rPr>
  </w:style>
  <w:style w:type="character" w:customStyle="1" w:styleId="FooterChar">
    <w:name w:val="Footer Char"/>
    <w:basedOn w:val="DefaultParagraphFont"/>
    <w:link w:val="Footer"/>
    <w:uiPriority w:val="99"/>
    <w:locked/>
    <w:rsid w:val="003A0170"/>
  </w:style>
  <w:style w:type="character" w:styleId="CommentReference">
    <w:name w:val="annotation reference"/>
    <w:basedOn w:val="DefaultParagraphFont"/>
    <w:uiPriority w:val="99"/>
    <w:semiHidden/>
    <w:rsid w:val="00256F38"/>
    <w:rPr>
      <w:rFonts w:cs="Times New Roman"/>
      <w:sz w:val="16"/>
    </w:rPr>
  </w:style>
  <w:style w:type="paragraph" w:styleId="CommentText">
    <w:name w:val="annotation text"/>
    <w:basedOn w:val="Normal"/>
    <w:link w:val="CommentTextChar"/>
    <w:uiPriority w:val="99"/>
    <w:semiHidden/>
    <w:rsid w:val="00256F38"/>
    <w:pPr>
      <w:spacing w:line="240" w:lineRule="auto"/>
    </w:pPr>
    <w:rPr>
      <w:sz w:val="20"/>
      <w:szCs w:val="20"/>
      <w:lang w:eastAsia="zh-TW"/>
    </w:rPr>
  </w:style>
  <w:style w:type="character" w:customStyle="1" w:styleId="CommentTextChar">
    <w:name w:val="Comment Text Char"/>
    <w:basedOn w:val="DefaultParagraphFont"/>
    <w:link w:val="CommentText"/>
    <w:uiPriority w:val="99"/>
    <w:semiHidden/>
    <w:locked/>
    <w:rsid w:val="00256F38"/>
    <w:rPr>
      <w:sz w:val="20"/>
    </w:rPr>
  </w:style>
  <w:style w:type="paragraph" w:styleId="CommentSubject">
    <w:name w:val="annotation subject"/>
    <w:basedOn w:val="CommentText"/>
    <w:next w:val="CommentText"/>
    <w:link w:val="CommentSubjectChar"/>
    <w:uiPriority w:val="99"/>
    <w:semiHidden/>
    <w:rsid w:val="00256F38"/>
    <w:rPr>
      <w:b/>
    </w:rPr>
  </w:style>
  <w:style w:type="character" w:customStyle="1" w:styleId="CommentSubjectChar">
    <w:name w:val="Comment Subject Char"/>
    <w:basedOn w:val="CommentTextChar"/>
    <w:link w:val="CommentSubject"/>
    <w:uiPriority w:val="99"/>
    <w:semiHidden/>
    <w:locked/>
    <w:rsid w:val="00256F38"/>
    <w:rPr>
      <w:b/>
      <w:sz w:val="20"/>
    </w:rPr>
  </w:style>
  <w:style w:type="paragraph" w:styleId="BalloonText">
    <w:name w:val="Balloon Text"/>
    <w:basedOn w:val="Normal"/>
    <w:link w:val="BalloonTextChar"/>
    <w:uiPriority w:val="99"/>
    <w:semiHidden/>
    <w:rsid w:val="00256F38"/>
    <w:pPr>
      <w:spacing w:after="0" w:line="240" w:lineRule="auto"/>
    </w:pPr>
    <w:rPr>
      <w:rFonts w:ascii="Tahoma" w:hAnsi="Tahoma"/>
      <w:sz w:val="16"/>
      <w:szCs w:val="20"/>
      <w:lang w:eastAsia="zh-TW"/>
    </w:rPr>
  </w:style>
  <w:style w:type="character" w:customStyle="1" w:styleId="BalloonTextChar">
    <w:name w:val="Balloon Text Char"/>
    <w:basedOn w:val="DefaultParagraphFont"/>
    <w:link w:val="BalloonText"/>
    <w:uiPriority w:val="99"/>
    <w:semiHidden/>
    <w:locked/>
    <w:rsid w:val="00256F38"/>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5501</Words>
  <Characters>31360</Characters>
  <Application>Microsoft Office Word</Application>
  <DocSecurity>0</DocSecurity>
  <Lines>261</Lines>
  <Paragraphs>73</Paragraphs>
  <ScaleCrop>false</ScaleCrop>
  <Company>Hewlett-Packard Company</Company>
  <LinksUpToDate>false</LinksUpToDate>
  <CharactersWithSpaces>36788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TT Arvind</dc:creator>
  <cp:lastModifiedBy>User</cp:lastModifiedBy>
  <cp:revision>3</cp:revision>
  <cp:lastPrinted>2012-03-08T08:55:00Z</cp:lastPrinted>
  <dcterms:created xsi:type="dcterms:W3CDTF">2012-04-14T08:35:00Z</dcterms:created>
  <dcterms:modified xsi:type="dcterms:W3CDTF">2012-04-14T08:39:00Z</dcterms:modified>
</cp:coreProperties>
</file>