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69" w:rsidRDefault="00CA2A69" w:rsidP="00626A06">
      <w:pPr>
        <w:spacing w:line="360" w:lineRule="auto"/>
        <w:jc w:val="both"/>
        <w:rPr>
          <w:rFonts w:ascii="Times New Roman" w:hAnsi="Times New Roman" w:cs="Times New Roman"/>
          <w:b/>
          <w:sz w:val="28"/>
          <w:szCs w:val="28"/>
        </w:rPr>
      </w:pPr>
      <w:r>
        <w:rPr>
          <w:rFonts w:ascii="Times New Roman" w:hAnsi="Times New Roman" w:cs="Times New Roman"/>
          <w:b/>
          <w:sz w:val="28"/>
          <w:szCs w:val="28"/>
        </w:rPr>
        <w:t>CHAPTER 8</w:t>
      </w:r>
    </w:p>
    <w:p w:rsidR="00CA2A69" w:rsidRDefault="00CA2A69" w:rsidP="00626A06">
      <w:pPr>
        <w:spacing w:line="360" w:lineRule="auto"/>
        <w:jc w:val="both"/>
        <w:rPr>
          <w:rFonts w:ascii="Times New Roman" w:hAnsi="Times New Roman" w:cs="Times New Roman"/>
          <w:b/>
          <w:sz w:val="28"/>
          <w:szCs w:val="28"/>
        </w:rPr>
      </w:pPr>
    </w:p>
    <w:p w:rsidR="00DD5A64" w:rsidRPr="007532ED" w:rsidRDefault="00261606" w:rsidP="00626A06">
      <w:pPr>
        <w:spacing w:line="360" w:lineRule="auto"/>
        <w:jc w:val="both"/>
        <w:rPr>
          <w:rFonts w:ascii="Times New Roman" w:hAnsi="Times New Roman" w:cs="Times New Roman"/>
          <w:b/>
          <w:sz w:val="28"/>
          <w:szCs w:val="28"/>
        </w:rPr>
      </w:pPr>
      <w:r w:rsidRPr="007532ED">
        <w:rPr>
          <w:rFonts w:ascii="Times New Roman" w:hAnsi="Times New Roman" w:cs="Times New Roman"/>
          <w:b/>
          <w:sz w:val="28"/>
          <w:szCs w:val="28"/>
        </w:rPr>
        <w:t>LAW REFORM (CONTRIBUTORY NEGLIGENCE) ACT 1945: COLLISIONS OF A DIFFERENT SORT</w:t>
      </w:r>
    </w:p>
    <w:p w:rsidR="0043757D" w:rsidRPr="00626A06" w:rsidRDefault="0043757D" w:rsidP="00626A06">
      <w:pPr>
        <w:spacing w:line="360" w:lineRule="auto"/>
        <w:jc w:val="both"/>
        <w:rPr>
          <w:rFonts w:ascii="Times New Roman" w:hAnsi="Times New Roman" w:cs="Times New Roman"/>
          <w:b/>
          <w:sz w:val="24"/>
          <w:szCs w:val="24"/>
        </w:rPr>
      </w:pPr>
      <w:r w:rsidRPr="00626A06">
        <w:rPr>
          <w:rFonts w:ascii="Times New Roman" w:hAnsi="Times New Roman" w:cs="Times New Roman"/>
          <w:b/>
          <w:sz w:val="24"/>
          <w:szCs w:val="24"/>
        </w:rPr>
        <w:t>Jenny Steele</w:t>
      </w:r>
      <w:r w:rsidR="00261606" w:rsidRPr="00626A06">
        <w:rPr>
          <w:rStyle w:val="FootnoteReference"/>
          <w:rFonts w:ascii="Times New Roman" w:hAnsi="Times New Roman" w:cs="Times New Roman"/>
          <w:b/>
          <w:sz w:val="24"/>
          <w:szCs w:val="24"/>
        </w:rPr>
        <w:footnoteReference w:customMarkFollows="1" w:id="1"/>
        <w:sym w:font="Symbol" w:char="F02A"/>
      </w:r>
    </w:p>
    <w:p w:rsidR="0043757D" w:rsidRPr="00626A06" w:rsidRDefault="0043757D" w:rsidP="00626A06">
      <w:pPr>
        <w:spacing w:line="360" w:lineRule="auto"/>
        <w:jc w:val="both"/>
        <w:rPr>
          <w:rFonts w:ascii="Times New Roman" w:hAnsi="Times New Roman" w:cs="Times New Roman"/>
          <w:sz w:val="24"/>
          <w:szCs w:val="24"/>
        </w:rPr>
      </w:pPr>
    </w:p>
    <w:p w:rsidR="00F96D12" w:rsidRPr="0069174C" w:rsidRDefault="0069174C" w:rsidP="0069174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I. </w:t>
      </w:r>
      <w:r w:rsidR="00F96D12" w:rsidRPr="0069174C">
        <w:rPr>
          <w:rFonts w:ascii="Times New Roman" w:hAnsi="Times New Roman" w:cs="Times New Roman"/>
          <w:b/>
          <w:sz w:val="28"/>
          <w:szCs w:val="28"/>
        </w:rPr>
        <w:t>Introduction</w:t>
      </w:r>
    </w:p>
    <w:p w:rsidR="00237832" w:rsidRPr="00626A06" w:rsidRDefault="00895526"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tort of negligence as we currently know it in English law emerged </w:t>
      </w:r>
      <w:r w:rsidR="00C001ED" w:rsidRPr="00626A06">
        <w:rPr>
          <w:rFonts w:ascii="Times New Roman" w:hAnsi="Times New Roman" w:cs="Times New Roman"/>
          <w:sz w:val="24"/>
          <w:szCs w:val="24"/>
        </w:rPr>
        <w:t xml:space="preserve">through significant developments </w:t>
      </w:r>
      <w:r w:rsidRPr="00626A06">
        <w:rPr>
          <w:rFonts w:ascii="Times New Roman" w:hAnsi="Times New Roman" w:cs="Times New Roman"/>
          <w:sz w:val="24"/>
          <w:szCs w:val="24"/>
        </w:rPr>
        <w:t xml:space="preserve">in the 1930s and 1940s. This assertion will typically bring to mind the case of </w:t>
      </w:r>
      <w:r w:rsidRPr="00626A06">
        <w:rPr>
          <w:rFonts w:ascii="Times New Roman" w:hAnsi="Times New Roman" w:cs="Times New Roman"/>
          <w:i/>
          <w:sz w:val="24"/>
          <w:szCs w:val="24"/>
        </w:rPr>
        <w:t xml:space="preserve">Donoghue v Stevenson </w:t>
      </w:r>
      <w:r w:rsidRPr="00626A06">
        <w:rPr>
          <w:rFonts w:ascii="Times New Roman" w:hAnsi="Times New Roman" w:cs="Times New Roman"/>
          <w:sz w:val="24"/>
          <w:szCs w:val="24"/>
        </w:rPr>
        <w:t xml:space="preserve">and the </w:t>
      </w:r>
      <w:r w:rsidR="00A7120E" w:rsidRPr="00626A06">
        <w:rPr>
          <w:rFonts w:ascii="Times New Roman" w:hAnsi="Times New Roman" w:cs="Times New Roman"/>
          <w:sz w:val="24"/>
          <w:szCs w:val="24"/>
        </w:rPr>
        <w:t xml:space="preserve">launch </w:t>
      </w:r>
      <w:r w:rsidRPr="00626A06">
        <w:rPr>
          <w:rFonts w:ascii="Times New Roman" w:hAnsi="Times New Roman" w:cs="Times New Roman"/>
          <w:sz w:val="24"/>
          <w:szCs w:val="24"/>
        </w:rPr>
        <w:t>of a general duty of care.</w:t>
      </w:r>
      <w:bookmarkStart w:id="0" w:name="_Ref319257509"/>
      <w:r w:rsidRPr="00626A06">
        <w:rPr>
          <w:rStyle w:val="FootnoteReference"/>
          <w:rFonts w:ascii="Times New Roman" w:hAnsi="Times New Roman" w:cs="Times New Roman"/>
          <w:sz w:val="24"/>
          <w:szCs w:val="24"/>
        </w:rPr>
        <w:footnoteReference w:id="2"/>
      </w:r>
      <w:bookmarkEnd w:id="0"/>
      <w:r w:rsidRPr="00626A06">
        <w:rPr>
          <w:rFonts w:ascii="Times New Roman" w:hAnsi="Times New Roman" w:cs="Times New Roman"/>
          <w:sz w:val="24"/>
          <w:szCs w:val="24"/>
        </w:rPr>
        <w:t xml:space="preserve"> </w:t>
      </w:r>
      <w:r w:rsidR="00A7120E" w:rsidRPr="00626A06">
        <w:rPr>
          <w:rFonts w:ascii="Times New Roman" w:hAnsi="Times New Roman" w:cs="Times New Roman"/>
          <w:sz w:val="24"/>
          <w:szCs w:val="24"/>
        </w:rPr>
        <w:t xml:space="preserve">But </w:t>
      </w:r>
      <w:r w:rsidRPr="00626A06">
        <w:rPr>
          <w:rFonts w:ascii="Times New Roman" w:hAnsi="Times New Roman" w:cs="Times New Roman"/>
          <w:sz w:val="24"/>
          <w:szCs w:val="24"/>
        </w:rPr>
        <w:t xml:space="preserve">there were other equally transformative developments in these two decades, </w:t>
      </w:r>
      <w:r w:rsidR="00A7120E" w:rsidRPr="00626A06">
        <w:rPr>
          <w:rFonts w:ascii="Times New Roman" w:hAnsi="Times New Roman" w:cs="Times New Roman"/>
          <w:sz w:val="24"/>
          <w:szCs w:val="24"/>
        </w:rPr>
        <w:t xml:space="preserve">which </w:t>
      </w:r>
      <w:r w:rsidRPr="00626A06">
        <w:rPr>
          <w:rFonts w:ascii="Times New Roman" w:hAnsi="Times New Roman" w:cs="Times New Roman"/>
          <w:sz w:val="24"/>
          <w:szCs w:val="24"/>
        </w:rPr>
        <w:t xml:space="preserve">did not flow from </w:t>
      </w:r>
      <w:r w:rsidRPr="00626A06">
        <w:rPr>
          <w:rFonts w:ascii="Times New Roman" w:hAnsi="Times New Roman" w:cs="Times New Roman"/>
          <w:i/>
          <w:sz w:val="24"/>
          <w:szCs w:val="24"/>
        </w:rPr>
        <w:t>Donoghue</w:t>
      </w:r>
      <w:r w:rsidRPr="00626A06">
        <w:rPr>
          <w:rFonts w:ascii="Times New Roman" w:hAnsi="Times New Roman" w:cs="Times New Roman"/>
          <w:sz w:val="24"/>
          <w:szCs w:val="24"/>
        </w:rPr>
        <w:t xml:space="preserve">. In fact it is doubtful whether they were even influenced very deeply by </w:t>
      </w:r>
      <w:r w:rsidRPr="00626A06">
        <w:rPr>
          <w:rFonts w:ascii="Times New Roman" w:hAnsi="Times New Roman" w:cs="Times New Roman"/>
          <w:i/>
          <w:sz w:val="24"/>
          <w:szCs w:val="24"/>
        </w:rPr>
        <w:t>Donoghue</w:t>
      </w:r>
      <w:r w:rsidRPr="00626A06">
        <w:rPr>
          <w:rFonts w:ascii="Times New Roman" w:hAnsi="Times New Roman" w:cs="Times New Roman"/>
          <w:sz w:val="24"/>
          <w:szCs w:val="24"/>
        </w:rPr>
        <w:t xml:space="preserve">, though their impact has </w:t>
      </w:r>
      <w:r w:rsidR="002B685F" w:rsidRPr="00626A06">
        <w:rPr>
          <w:rFonts w:ascii="Times New Roman" w:hAnsi="Times New Roman" w:cs="Times New Roman"/>
          <w:sz w:val="24"/>
          <w:szCs w:val="24"/>
        </w:rPr>
        <w:t xml:space="preserve">certainly </w:t>
      </w:r>
      <w:r w:rsidRPr="00626A06">
        <w:rPr>
          <w:rFonts w:ascii="Times New Roman" w:hAnsi="Times New Roman" w:cs="Times New Roman"/>
          <w:sz w:val="24"/>
          <w:szCs w:val="24"/>
        </w:rPr>
        <w:t xml:space="preserve">been intensified in combination with that case. These other developments include </w:t>
      </w:r>
      <w:r w:rsidR="00237832" w:rsidRPr="00626A06">
        <w:rPr>
          <w:rFonts w:ascii="Times New Roman" w:hAnsi="Times New Roman" w:cs="Times New Roman"/>
          <w:sz w:val="24"/>
          <w:szCs w:val="24"/>
        </w:rPr>
        <w:t xml:space="preserve">the </w:t>
      </w:r>
      <w:r w:rsidR="00C001ED" w:rsidRPr="00626A06">
        <w:rPr>
          <w:rFonts w:ascii="Times New Roman" w:hAnsi="Times New Roman" w:cs="Times New Roman"/>
          <w:sz w:val="24"/>
          <w:szCs w:val="24"/>
        </w:rPr>
        <w:t xml:space="preserve">resurgence </w:t>
      </w:r>
      <w:r w:rsidRPr="00626A06">
        <w:rPr>
          <w:rFonts w:ascii="Times New Roman" w:hAnsi="Times New Roman" w:cs="Times New Roman"/>
          <w:sz w:val="24"/>
          <w:szCs w:val="24"/>
        </w:rPr>
        <w:t xml:space="preserve">of tort liability with the repeal of the Workmen’s Compensation Acts </w:t>
      </w:r>
      <w:r w:rsidR="00237832" w:rsidRPr="00626A06">
        <w:rPr>
          <w:rFonts w:ascii="Times New Roman" w:hAnsi="Times New Roman" w:cs="Times New Roman"/>
          <w:sz w:val="24"/>
          <w:szCs w:val="24"/>
        </w:rPr>
        <w:t xml:space="preserve">in 1946 </w:t>
      </w:r>
      <w:r w:rsidRPr="00626A06">
        <w:rPr>
          <w:rFonts w:ascii="Times New Roman" w:hAnsi="Times New Roman" w:cs="Times New Roman"/>
          <w:sz w:val="24"/>
          <w:szCs w:val="24"/>
        </w:rPr>
        <w:t xml:space="preserve">and </w:t>
      </w:r>
      <w:r w:rsidR="00C001ED" w:rsidRPr="00626A06">
        <w:rPr>
          <w:rFonts w:ascii="Times New Roman" w:hAnsi="Times New Roman" w:cs="Times New Roman"/>
          <w:sz w:val="24"/>
          <w:szCs w:val="24"/>
        </w:rPr>
        <w:t xml:space="preserve">its survival despite the ambitious </w:t>
      </w:r>
      <w:r w:rsidRPr="00626A06">
        <w:rPr>
          <w:rFonts w:ascii="Times New Roman" w:hAnsi="Times New Roman" w:cs="Times New Roman"/>
          <w:sz w:val="24"/>
          <w:szCs w:val="24"/>
        </w:rPr>
        <w:t>national insurance</w:t>
      </w:r>
      <w:r w:rsidR="00C001ED" w:rsidRPr="00626A06">
        <w:rPr>
          <w:rFonts w:ascii="Times New Roman" w:hAnsi="Times New Roman" w:cs="Times New Roman"/>
          <w:sz w:val="24"/>
          <w:szCs w:val="24"/>
        </w:rPr>
        <w:t xml:space="preserve"> scheme introduced in this period</w:t>
      </w:r>
      <w:r w:rsidR="003F0A09">
        <w:rPr>
          <w:rFonts w:ascii="Times New Roman" w:hAnsi="Times New Roman" w:cs="Times New Roman"/>
          <w:sz w:val="24"/>
          <w:szCs w:val="24"/>
        </w:rPr>
        <w:t>,</w:t>
      </w:r>
      <w:r w:rsidR="008C25F1" w:rsidRPr="00626A06">
        <w:rPr>
          <w:rStyle w:val="FootnoteReference"/>
          <w:rFonts w:ascii="Times New Roman" w:hAnsi="Times New Roman" w:cs="Times New Roman"/>
          <w:sz w:val="24"/>
          <w:szCs w:val="24"/>
        </w:rPr>
        <w:footnoteReference w:id="3"/>
      </w:r>
      <w:r w:rsidRPr="00626A06">
        <w:rPr>
          <w:rFonts w:ascii="Times New Roman" w:hAnsi="Times New Roman" w:cs="Times New Roman"/>
          <w:sz w:val="24"/>
          <w:szCs w:val="24"/>
        </w:rPr>
        <w:t xml:space="preserve"> the further liberalisation represented by the abolition of Crown Immunity in 1947</w:t>
      </w:r>
      <w:r w:rsidR="003F0A09">
        <w:rPr>
          <w:rFonts w:ascii="Times New Roman" w:hAnsi="Times New Roman" w:cs="Times New Roman"/>
          <w:sz w:val="24"/>
          <w:szCs w:val="24"/>
        </w:rPr>
        <w:t>,</w:t>
      </w:r>
      <w:r w:rsidRPr="00626A06">
        <w:rPr>
          <w:rStyle w:val="FootnoteReference"/>
          <w:rFonts w:ascii="Times New Roman" w:hAnsi="Times New Roman" w:cs="Times New Roman"/>
          <w:sz w:val="24"/>
          <w:szCs w:val="24"/>
        </w:rPr>
        <w:footnoteReference w:id="4"/>
      </w:r>
      <w:r w:rsidRPr="00626A06">
        <w:rPr>
          <w:rFonts w:ascii="Times New Roman" w:hAnsi="Times New Roman" w:cs="Times New Roman"/>
          <w:sz w:val="24"/>
          <w:szCs w:val="24"/>
        </w:rPr>
        <w:t xml:space="preserve"> and, </w:t>
      </w:r>
      <w:r w:rsidR="006D19F3" w:rsidRPr="00626A06">
        <w:rPr>
          <w:rFonts w:ascii="Times New Roman" w:hAnsi="Times New Roman" w:cs="Times New Roman"/>
          <w:sz w:val="24"/>
          <w:szCs w:val="24"/>
        </w:rPr>
        <w:t xml:space="preserve">no doubt </w:t>
      </w:r>
      <w:r w:rsidRPr="00626A06">
        <w:rPr>
          <w:rFonts w:ascii="Times New Roman" w:hAnsi="Times New Roman" w:cs="Times New Roman"/>
          <w:sz w:val="24"/>
          <w:szCs w:val="24"/>
        </w:rPr>
        <w:t xml:space="preserve">less obviously, the </w:t>
      </w:r>
      <w:r w:rsidR="00DA54AB" w:rsidRPr="00626A06">
        <w:rPr>
          <w:rFonts w:ascii="Times New Roman" w:hAnsi="Times New Roman" w:cs="Times New Roman"/>
          <w:sz w:val="24"/>
          <w:szCs w:val="24"/>
        </w:rPr>
        <w:t xml:space="preserve">eventual </w:t>
      </w:r>
      <w:r w:rsidR="00A7120E" w:rsidRPr="00626A06">
        <w:rPr>
          <w:rFonts w:ascii="Times New Roman" w:hAnsi="Times New Roman" w:cs="Times New Roman"/>
          <w:sz w:val="24"/>
          <w:szCs w:val="24"/>
        </w:rPr>
        <w:t xml:space="preserve">exorcism </w:t>
      </w:r>
      <w:r w:rsidRPr="00626A06">
        <w:rPr>
          <w:rFonts w:ascii="Times New Roman" w:hAnsi="Times New Roman" w:cs="Times New Roman"/>
          <w:sz w:val="24"/>
          <w:szCs w:val="24"/>
        </w:rPr>
        <w:t>of absolutes associated with mid-nineteent</w:t>
      </w:r>
      <w:r w:rsidR="00A7120E" w:rsidRPr="00626A06">
        <w:rPr>
          <w:rFonts w:ascii="Times New Roman" w:hAnsi="Times New Roman" w:cs="Times New Roman"/>
          <w:sz w:val="24"/>
          <w:szCs w:val="24"/>
        </w:rPr>
        <w:t>h century common law, and importation</w:t>
      </w:r>
      <w:r w:rsidRPr="00626A06">
        <w:rPr>
          <w:rFonts w:ascii="Times New Roman" w:hAnsi="Times New Roman" w:cs="Times New Roman"/>
          <w:sz w:val="24"/>
          <w:szCs w:val="24"/>
        </w:rPr>
        <w:t xml:space="preserve"> of ideas </w:t>
      </w:r>
      <w:r w:rsidR="002B685F" w:rsidRPr="00626A06">
        <w:rPr>
          <w:rFonts w:ascii="Times New Roman" w:hAnsi="Times New Roman" w:cs="Times New Roman"/>
          <w:sz w:val="24"/>
          <w:szCs w:val="24"/>
        </w:rPr>
        <w:t xml:space="preserve">which enabled </w:t>
      </w:r>
      <w:r w:rsidR="00E70997" w:rsidRPr="00626A06">
        <w:rPr>
          <w:rFonts w:ascii="Times New Roman" w:hAnsi="Times New Roman" w:cs="Times New Roman"/>
          <w:sz w:val="24"/>
          <w:szCs w:val="24"/>
        </w:rPr>
        <w:t xml:space="preserve">the sharing of </w:t>
      </w:r>
      <w:r w:rsidRPr="00626A06">
        <w:rPr>
          <w:rFonts w:ascii="Times New Roman" w:hAnsi="Times New Roman" w:cs="Times New Roman"/>
          <w:sz w:val="24"/>
          <w:szCs w:val="24"/>
        </w:rPr>
        <w:t>responsibility and liability.</w:t>
      </w:r>
      <w:r w:rsidR="00E70997" w:rsidRPr="00626A06">
        <w:rPr>
          <w:rStyle w:val="FootnoteReference"/>
          <w:rFonts w:ascii="Times New Roman" w:hAnsi="Times New Roman" w:cs="Times New Roman"/>
          <w:sz w:val="24"/>
          <w:szCs w:val="24"/>
        </w:rPr>
        <w:footnoteReference w:id="5"/>
      </w:r>
      <w:r w:rsidRPr="00626A06">
        <w:rPr>
          <w:rFonts w:ascii="Times New Roman" w:hAnsi="Times New Roman" w:cs="Times New Roman"/>
          <w:sz w:val="24"/>
          <w:szCs w:val="24"/>
        </w:rPr>
        <w:t xml:space="preserve"> </w:t>
      </w:r>
      <w:r w:rsidR="00776584" w:rsidRPr="00626A06">
        <w:rPr>
          <w:rFonts w:ascii="Times New Roman" w:hAnsi="Times New Roman" w:cs="Times New Roman"/>
          <w:sz w:val="24"/>
          <w:szCs w:val="24"/>
        </w:rPr>
        <w:t xml:space="preserve">None of these developments required the </w:t>
      </w:r>
      <w:r w:rsidR="00776584" w:rsidRPr="00626A06">
        <w:rPr>
          <w:rFonts w:ascii="Times New Roman" w:hAnsi="Times New Roman" w:cs="Times New Roman"/>
          <w:sz w:val="24"/>
          <w:szCs w:val="24"/>
        </w:rPr>
        <w:lastRenderedPageBreak/>
        <w:t>emergence of a generalised duty of care since all could operate on the basis of previously recognised duties</w:t>
      </w:r>
      <w:r w:rsidR="007C21F2" w:rsidRPr="00626A06">
        <w:rPr>
          <w:rFonts w:ascii="Times New Roman" w:hAnsi="Times New Roman" w:cs="Times New Roman"/>
          <w:sz w:val="24"/>
          <w:szCs w:val="24"/>
        </w:rPr>
        <w:t>; and many of them are applicable to the law of tort in general, rather than narrowly to negligence</w:t>
      </w:r>
      <w:r w:rsidR="00776584" w:rsidRPr="00626A06">
        <w:rPr>
          <w:rFonts w:ascii="Times New Roman" w:hAnsi="Times New Roman" w:cs="Times New Roman"/>
          <w:sz w:val="24"/>
          <w:szCs w:val="24"/>
        </w:rPr>
        <w:t xml:space="preserve">. </w:t>
      </w:r>
      <w:r w:rsidR="002B685F" w:rsidRPr="00626A06">
        <w:rPr>
          <w:rFonts w:ascii="Times New Roman" w:hAnsi="Times New Roman" w:cs="Times New Roman"/>
          <w:sz w:val="24"/>
          <w:szCs w:val="24"/>
        </w:rPr>
        <w:t>A</w:t>
      </w:r>
      <w:r w:rsidR="00776584" w:rsidRPr="00626A06">
        <w:rPr>
          <w:rFonts w:ascii="Times New Roman" w:hAnsi="Times New Roman" w:cs="Times New Roman"/>
          <w:sz w:val="24"/>
          <w:szCs w:val="24"/>
        </w:rPr>
        <w:t>ll of them</w:t>
      </w:r>
      <w:r w:rsidR="002B685F" w:rsidRPr="00626A06">
        <w:rPr>
          <w:rFonts w:ascii="Times New Roman" w:hAnsi="Times New Roman" w:cs="Times New Roman"/>
          <w:sz w:val="24"/>
          <w:szCs w:val="24"/>
        </w:rPr>
        <w:t xml:space="preserve">, it will be noticed, were </w:t>
      </w:r>
      <w:r w:rsidR="006F09AB" w:rsidRPr="00626A06">
        <w:rPr>
          <w:rFonts w:ascii="Times New Roman" w:hAnsi="Times New Roman" w:cs="Times New Roman"/>
          <w:sz w:val="24"/>
          <w:szCs w:val="24"/>
        </w:rPr>
        <w:t xml:space="preserve">strongly </w:t>
      </w:r>
      <w:r w:rsidR="002B685F" w:rsidRPr="00626A06">
        <w:rPr>
          <w:rFonts w:ascii="Times New Roman" w:hAnsi="Times New Roman" w:cs="Times New Roman"/>
          <w:sz w:val="24"/>
          <w:szCs w:val="24"/>
        </w:rPr>
        <w:t>inf</w:t>
      </w:r>
      <w:r w:rsidR="00A7120E" w:rsidRPr="00626A06">
        <w:rPr>
          <w:rFonts w:ascii="Times New Roman" w:hAnsi="Times New Roman" w:cs="Times New Roman"/>
          <w:sz w:val="24"/>
          <w:szCs w:val="24"/>
        </w:rPr>
        <w:t>luenced by legislation.</w:t>
      </w:r>
    </w:p>
    <w:p w:rsidR="00895526" w:rsidRPr="00626A06" w:rsidRDefault="007C21F2"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w:t>
      </w:r>
      <w:r w:rsidR="00A7120E" w:rsidRPr="00626A06">
        <w:rPr>
          <w:rFonts w:ascii="Times New Roman" w:hAnsi="Times New Roman" w:cs="Times New Roman"/>
          <w:sz w:val="24"/>
          <w:szCs w:val="24"/>
        </w:rPr>
        <w:t xml:space="preserve">focus of this chapter is the </w:t>
      </w:r>
      <w:r w:rsidRPr="00626A06">
        <w:rPr>
          <w:rFonts w:ascii="Times New Roman" w:hAnsi="Times New Roman" w:cs="Times New Roman"/>
          <w:sz w:val="24"/>
          <w:szCs w:val="24"/>
        </w:rPr>
        <w:t>Law Reform (Contributory Negligence) Act 1945 (1945 Act)</w:t>
      </w:r>
      <w:r w:rsidR="00A7120E" w:rsidRPr="00626A06">
        <w:rPr>
          <w:rFonts w:ascii="Times New Roman" w:hAnsi="Times New Roman" w:cs="Times New Roman"/>
          <w:sz w:val="24"/>
          <w:szCs w:val="24"/>
        </w:rPr>
        <w:t>.</w:t>
      </w:r>
      <w:r w:rsidR="00977B7C" w:rsidRPr="00626A06">
        <w:rPr>
          <w:rFonts w:ascii="Times New Roman" w:hAnsi="Times New Roman" w:cs="Times New Roman"/>
          <w:sz w:val="24"/>
          <w:szCs w:val="24"/>
          <w:vertAlign w:val="superscript"/>
        </w:rPr>
        <w:footnoteReference w:id="6"/>
      </w:r>
      <w:r w:rsidR="00A7120E" w:rsidRPr="00626A06">
        <w:rPr>
          <w:rFonts w:ascii="Times New Roman" w:hAnsi="Times New Roman" w:cs="Times New Roman"/>
          <w:sz w:val="24"/>
          <w:szCs w:val="24"/>
        </w:rPr>
        <w:t xml:space="preserve"> This Act</w:t>
      </w:r>
      <w:r w:rsidRPr="00626A06">
        <w:rPr>
          <w:rFonts w:ascii="Times New Roman" w:hAnsi="Times New Roman" w:cs="Times New Roman"/>
          <w:sz w:val="24"/>
          <w:szCs w:val="24"/>
        </w:rPr>
        <w:t xml:space="preserve"> is </w:t>
      </w:r>
      <w:r w:rsidR="00A7120E" w:rsidRPr="00626A06">
        <w:rPr>
          <w:rFonts w:ascii="Times New Roman" w:hAnsi="Times New Roman" w:cs="Times New Roman"/>
          <w:sz w:val="24"/>
          <w:szCs w:val="24"/>
        </w:rPr>
        <w:t>illustrative of several of the</w:t>
      </w:r>
      <w:r w:rsidRPr="00626A06">
        <w:rPr>
          <w:rFonts w:ascii="Times New Roman" w:hAnsi="Times New Roman" w:cs="Times New Roman"/>
          <w:sz w:val="24"/>
          <w:szCs w:val="24"/>
        </w:rPr>
        <w:t xml:space="preserve"> strands of development</w:t>
      </w:r>
      <w:r w:rsidR="00A7120E" w:rsidRPr="00626A06">
        <w:rPr>
          <w:rFonts w:ascii="Times New Roman" w:hAnsi="Times New Roman" w:cs="Times New Roman"/>
          <w:sz w:val="24"/>
          <w:szCs w:val="24"/>
        </w:rPr>
        <w:t xml:space="preserve"> just identified</w:t>
      </w:r>
      <w:r w:rsidR="006D19F3" w:rsidRPr="00626A06">
        <w:rPr>
          <w:rFonts w:ascii="Times New Roman" w:hAnsi="Times New Roman" w:cs="Times New Roman"/>
          <w:sz w:val="24"/>
          <w:szCs w:val="24"/>
        </w:rPr>
        <w:t xml:space="preserve">, but is </w:t>
      </w:r>
      <w:r w:rsidR="00683E06" w:rsidRPr="00626A06">
        <w:rPr>
          <w:rFonts w:ascii="Times New Roman" w:hAnsi="Times New Roman" w:cs="Times New Roman"/>
          <w:sz w:val="24"/>
          <w:szCs w:val="24"/>
        </w:rPr>
        <w:t xml:space="preserve">most evidently </w:t>
      </w:r>
      <w:r w:rsidR="006D19F3" w:rsidRPr="00626A06">
        <w:rPr>
          <w:rFonts w:ascii="Times New Roman" w:hAnsi="Times New Roman" w:cs="Times New Roman"/>
          <w:sz w:val="24"/>
          <w:szCs w:val="24"/>
        </w:rPr>
        <w:t>bound up with the last</w:t>
      </w:r>
      <w:r w:rsidR="00A7120E" w:rsidRPr="00626A06">
        <w:rPr>
          <w:rFonts w:ascii="Times New Roman" w:hAnsi="Times New Roman" w:cs="Times New Roman"/>
          <w:sz w:val="24"/>
          <w:szCs w:val="24"/>
        </w:rPr>
        <w:t xml:space="preserve"> – the exorcism of absolutes</w:t>
      </w:r>
      <w:r w:rsidR="003C7304" w:rsidRPr="00626A06">
        <w:rPr>
          <w:rFonts w:ascii="Times New Roman" w:hAnsi="Times New Roman" w:cs="Times New Roman"/>
          <w:sz w:val="24"/>
          <w:szCs w:val="24"/>
        </w:rPr>
        <w:t>.</w:t>
      </w:r>
      <w:r w:rsidR="00A7120E" w:rsidRPr="00626A06">
        <w:rPr>
          <w:rStyle w:val="FootnoteReference"/>
          <w:rFonts w:ascii="Times New Roman" w:hAnsi="Times New Roman" w:cs="Times New Roman"/>
          <w:sz w:val="24"/>
          <w:szCs w:val="24"/>
        </w:rPr>
        <w:footnoteReference w:id="7"/>
      </w:r>
      <w:r w:rsidRPr="00626A06">
        <w:rPr>
          <w:rFonts w:ascii="Times New Roman" w:hAnsi="Times New Roman" w:cs="Times New Roman"/>
          <w:sz w:val="24"/>
          <w:szCs w:val="24"/>
        </w:rPr>
        <w:t xml:space="preserve"> </w:t>
      </w:r>
      <w:r w:rsidR="006F09AB" w:rsidRPr="00626A06">
        <w:rPr>
          <w:rFonts w:ascii="Times New Roman" w:hAnsi="Times New Roman" w:cs="Times New Roman"/>
          <w:sz w:val="24"/>
          <w:szCs w:val="24"/>
        </w:rPr>
        <w:t xml:space="preserve">It exemplifies </w:t>
      </w:r>
      <w:r w:rsidR="006124C1" w:rsidRPr="00626A06">
        <w:rPr>
          <w:rFonts w:ascii="Times New Roman" w:hAnsi="Times New Roman" w:cs="Times New Roman"/>
          <w:sz w:val="24"/>
          <w:szCs w:val="24"/>
        </w:rPr>
        <w:t xml:space="preserve">the sharing of responsibility and denial of ideas of sole </w:t>
      </w:r>
      <w:r w:rsidR="00A15875" w:rsidRPr="00626A06">
        <w:rPr>
          <w:rFonts w:ascii="Times New Roman" w:hAnsi="Times New Roman" w:cs="Times New Roman"/>
          <w:sz w:val="24"/>
          <w:szCs w:val="24"/>
        </w:rPr>
        <w:t xml:space="preserve">responsibility or sole </w:t>
      </w:r>
      <w:r w:rsidR="006124C1" w:rsidRPr="00626A06">
        <w:rPr>
          <w:rFonts w:ascii="Times New Roman" w:hAnsi="Times New Roman" w:cs="Times New Roman"/>
          <w:sz w:val="24"/>
          <w:szCs w:val="24"/>
        </w:rPr>
        <w:t>cause</w:t>
      </w:r>
      <w:r w:rsidR="006F09AB" w:rsidRPr="00626A06">
        <w:rPr>
          <w:rFonts w:ascii="Times New Roman" w:hAnsi="Times New Roman" w:cs="Times New Roman"/>
          <w:sz w:val="24"/>
          <w:szCs w:val="24"/>
        </w:rPr>
        <w:t xml:space="preserve">. </w:t>
      </w:r>
      <w:r w:rsidR="006124C1" w:rsidRPr="00626A06">
        <w:rPr>
          <w:rFonts w:ascii="Times New Roman" w:hAnsi="Times New Roman" w:cs="Times New Roman"/>
          <w:sz w:val="24"/>
          <w:szCs w:val="24"/>
        </w:rPr>
        <w:t xml:space="preserve">It is </w:t>
      </w:r>
      <w:r w:rsidR="00AB69CB" w:rsidRPr="00626A06">
        <w:rPr>
          <w:rFonts w:ascii="Times New Roman" w:hAnsi="Times New Roman" w:cs="Times New Roman"/>
          <w:sz w:val="24"/>
          <w:szCs w:val="24"/>
        </w:rPr>
        <w:t xml:space="preserve">a key mover in the </w:t>
      </w:r>
      <w:r w:rsidR="006124C1" w:rsidRPr="00626A06">
        <w:rPr>
          <w:rFonts w:ascii="Times New Roman" w:hAnsi="Times New Roman" w:cs="Times New Roman"/>
          <w:sz w:val="24"/>
          <w:szCs w:val="24"/>
        </w:rPr>
        <w:t>trend towards ‘shades of grey’ in the law of tort, which has undoubtedly enabled the advance of liability by drawing in more parties,</w:t>
      </w:r>
      <w:r w:rsidR="00B87E8E" w:rsidRPr="00626A06">
        <w:rPr>
          <w:rFonts w:ascii="Times New Roman" w:hAnsi="Times New Roman" w:cs="Times New Roman"/>
          <w:sz w:val="24"/>
          <w:szCs w:val="24"/>
        </w:rPr>
        <w:t xml:space="preserve"> in more circumstances,</w:t>
      </w:r>
      <w:r w:rsidR="006124C1" w:rsidRPr="00626A06">
        <w:rPr>
          <w:rFonts w:ascii="Times New Roman" w:hAnsi="Times New Roman" w:cs="Times New Roman"/>
          <w:sz w:val="24"/>
          <w:szCs w:val="24"/>
        </w:rPr>
        <w:t xml:space="preserve"> to its reach</w:t>
      </w:r>
      <w:r w:rsidR="009F5022" w:rsidRPr="00626A06">
        <w:rPr>
          <w:rFonts w:ascii="Times New Roman" w:hAnsi="Times New Roman" w:cs="Times New Roman"/>
          <w:sz w:val="24"/>
          <w:szCs w:val="24"/>
        </w:rPr>
        <w:t xml:space="preserve"> – and which is not immune from reversal</w:t>
      </w:r>
      <w:r w:rsidR="006124C1" w:rsidRPr="00626A06">
        <w:rPr>
          <w:rFonts w:ascii="Times New Roman" w:hAnsi="Times New Roman" w:cs="Times New Roman"/>
          <w:sz w:val="24"/>
          <w:szCs w:val="24"/>
        </w:rPr>
        <w:t>.</w:t>
      </w:r>
      <w:bookmarkStart w:id="1" w:name="_Ref319260791"/>
      <w:r w:rsidR="00356720" w:rsidRPr="00626A06">
        <w:rPr>
          <w:rStyle w:val="FootnoteReference"/>
          <w:rFonts w:ascii="Times New Roman" w:hAnsi="Times New Roman" w:cs="Times New Roman"/>
          <w:sz w:val="24"/>
          <w:szCs w:val="24"/>
        </w:rPr>
        <w:footnoteReference w:id="8"/>
      </w:r>
      <w:bookmarkEnd w:id="1"/>
      <w:r w:rsidR="00B87E8E" w:rsidRPr="00626A06">
        <w:rPr>
          <w:rFonts w:ascii="Times New Roman" w:hAnsi="Times New Roman" w:cs="Times New Roman"/>
          <w:sz w:val="24"/>
          <w:szCs w:val="24"/>
        </w:rPr>
        <w:t xml:space="preserve"> Further, </w:t>
      </w:r>
      <w:r w:rsidR="00746447" w:rsidRPr="00626A06">
        <w:rPr>
          <w:rFonts w:ascii="Times New Roman" w:hAnsi="Times New Roman" w:cs="Times New Roman"/>
          <w:sz w:val="24"/>
          <w:szCs w:val="24"/>
        </w:rPr>
        <w:t xml:space="preserve">as will be explained, </w:t>
      </w:r>
      <w:r w:rsidR="00B87E8E" w:rsidRPr="00626A06">
        <w:rPr>
          <w:rFonts w:ascii="Times New Roman" w:hAnsi="Times New Roman" w:cs="Times New Roman"/>
          <w:sz w:val="24"/>
          <w:szCs w:val="24"/>
        </w:rPr>
        <w:t>t</w:t>
      </w:r>
      <w:r w:rsidR="00A15875" w:rsidRPr="00626A06">
        <w:rPr>
          <w:rFonts w:ascii="Times New Roman" w:hAnsi="Times New Roman" w:cs="Times New Roman"/>
          <w:sz w:val="24"/>
          <w:szCs w:val="24"/>
        </w:rPr>
        <w:t>he way in which the eventual wording of the Act was influenced into an entirely novel form, not modelled on existing mariti</w:t>
      </w:r>
      <w:r w:rsidR="00C6534C" w:rsidRPr="00626A06">
        <w:rPr>
          <w:rFonts w:ascii="Times New Roman" w:hAnsi="Times New Roman" w:cs="Times New Roman"/>
          <w:sz w:val="24"/>
          <w:szCs w:val="24"/>
        </w:rPr>
        <w:t>me rules as originally recommended</w:t>
      </w:r>
      <w:r w:rsidR="00A15875" w:rsidRPr="00626A06">
        <w:rPr>
          <w:rFonts w:ascii="Times New Roman" w:hAnsi="Times New Roman" w:cs="Times New Roman"/>
          <w:sz w:val="24"/>
          <w:szCs w:val="24"/>
        </w:rPr>
        <w:t xml:space="preserve">, is indicative of changing perceptions of personal injury liability in particular, since this was very clearly the focus of its framers. </w:t>
      </w:r>
      <w:r w:rsidR="00237832" w:rsidRPr="00626A06">
        <w:rPr>
          <w:rFonts w:ascii="Times New Roman" w:hAnsi="Times New Roman" w:cs="Times New Roman"/>
          <w:sz w:val="24"/>
          <w:szCs w:val="24"/>
        </w:rPr>
        <w:t>It is suggested that a</w:t>
      </w:r>
      <w:r w:rsidR="006124C1" w:rsidRPr="00626A06">
        <w:rPr>
          <w:rFonts w:ascii="Times New Roman" w:hAnsi="Times New Roman" w:cs="Times New Roman"/>
          <w:sz w:val="24"/>
          <w:szCs w:val="24"/>
        </w:rPr>
        <w:t>ttention to the</w:t>
      </w:r>
      <w:r w:rsidRPr="00626A06">
        <w:rPr>
          <w:rFonts w:ascii="Times New Roman" w:hAnsi="Times New Roman" w:cs="Times New Roman"/>
          <w:sz w:val="24"/>
          <w:szCs w:val="24"/>
        </w:rPr>
        <w:t xml:space="preserve"> origins </w:t>
      </w:r>
      <w:r w:rsidR="006124C1" w:rsidRPr="00626A06">
        <w:rPr>
          <w:rFonts w:ascii="Times New Roman" w:hAnsi="Times New Roman" w:cs="Times New Roman"/>
          <w:sz w:val="24"/>
          <w:szCs w:val="24"/>
        </w:rPr>
        <w:t xml:space="preserve">of the 1945 Act </w:t>
      </w:r>
      <w:r w:rsidRPr="00626A06">
        <w:rPr>
          <w:rFonts w:ascii="Times New Roman" w:hAnsi="Times New Roman" w:cs="Times New Roman"/>
          <w:sz w:val="24"/>
          <w:szCs w:val="24"/>
        </w:rPr>
        <w:t xml:space="preserve">and the historical place which it occupies </w:t>
      </w:r>
      <w:r w:rsidR="00237832" w:rsidRPr="00626A06">
        <w:rPr>
          <w:rFonts w:ascii="Times New Roman" w:hAnsi="Times New Roman" w:cs="Times New Roman"/>
          <w:sz w:val="24"/>
          <w:szCs w:val="24"/>
        </w:rPr>
        <w:t xml:space="preserve">will </w:t>
      </w:r>
      <w:r w:rsidR="00A15875" w:rsidRPr="00626A06">
        <w:rPr>
          <w:rFonts w:ascii="Times New Roman" w:hAnsi="Times New Roman" w:cs="Times New Roman"/>
          <w:sz w:val="24"/>
          <w:szCs w:val="24"/>
        </w:rPr>
        <w:t xml:space="preserve">therefore </w:t>
      </w:r>
      <w:r w:rsidRPr="00626A06">
        <w:rPr>
          <w:rFonts w:ascii="Times New Roman" w:hAnsi="Times New Roman" w:cs="Times New Roman"/>
          <w:sz w:val="24"/>
          <w:szCs w:val="24"/>
        </w:rPr>
        <w:t xml:space="preserve">clarify the significance of </w:t>
      </w:r>
      <w:r w:rsidR="00237832" w:rsidRPr="00626A06">
        <w:rPr>
          <w:rFonts w:ascii="Times New Roman" w:hAnsi="Times New Roman" w:cs="Times New Roman"/>
          <w:sz w:val="24"/>
          <w:szCs w:val="24"/>
        </w:rPr>
        <w:t xml:space="preserve">some of </w:t>
      </w:r>
      <w:r w:rsidR="00A15875" w:rsidRPr="00626A06">
        <w:rPr>
          <w:rFonts w:ascii="Times New Roman" w:hAnsi="Times New Roman" w:cs="Times New Roman"/>
          <w:sz w:val="24"/>
          <w:szCs w:val="24"/>
        </w:rPr>
        <w:t>the</w:t>
      </w:r>
      <w:r w:rsidRPr="00626A06">
        <w:rPr>
          <w:rFonts w:ascii="Times New Roman" w:hAnsi="Times New Roman" w:cs="Times New Roman"/>
          <w:sz w:val="24"/>
          <w:szCs w:val="24"/>
        </w:rPr>
        <w:t xml:space="preserve"> less heralded</w:t>
      </w:r>
      <w:r w:rsidR="00A15875" w:rsidRPr="00626A06">
        <w:rPr>
          <w:rFonts w:ascii="Times New Roman" w:hAnsi="Times New Roman" w:cs="Times New Roman"/>
          <w:sz w:val="24"/>
          <w:szCs w:val="24"/>
        </w:rPr>
        <w:t>, but extremely significant</w:t>
      </w:r>
      <w:r w:rsidRPr="00626A06">
        <w:rPr>
          <w:rFonts w:ascii="Times New Roman" w:hAnsi="Times New Roman" w:cs="Times New Roman"/>
          <w:sz w:val="24"/>
          <w:szCs w:val="24"/>
        </w:rPr>
        <w:t xml:space="preserve"> elements in the emergence of today’s law of tort.</w:t>
      </w:r>
      <w:r w:rsidR="005C7437" w:rsidRPr="00626A06">
        <w:rPr>
          <w:rFonts w:ascii="Times New Roman" w:hAnsi="Times New Roman" w:cs="Times New Roman"/>
          <w:sz w:val="24"/>
          <w:szCs w:val="24"/>
        </w:rPr>
        <w:t xml:space="preserve"> It will also, in doing so, underline the</w:t>
      </w:r>
      <w:r w:rsidR="00BC1EFA" w:rsidRPr="00626A06">
        <w:rPr>
          <w:rFonts w:ascii="Times New Roman" w:hAnsi="Times New Roman" w:cs="Times New Roman"/>
          <w:sz w:val="24"/>
          <w:szCs w:val="24"/>
        </w:rPr>
        <w:t xml:space="preserve"> far-reaching</w:t>
      </w:r>
      <w:r w:rsidR="005C7437" w:rsidRPr="00626A06">
        <w:rPr>
          <w:rFonts w:ascii="Times New Roman" w:hAnsi="Times New Roman" w:cs="Times New Roman"/>
          <w:sz w:val="24"/>
          <w:szCs w:val="24"/>
        </w:rPr>
        <w:t xml:space="preserve"> importance of statutory influence in</w:t>
      </w:r>
      <w:r w:rsidR="00B87E8E" w:rsidRPr="00626A06">
        <w:rPr>
          <w:rFonts w:ascii="Times New Roman" w:hAnsi="Times New Roman" w:cs="Times New Roman"/>
          <w:sz w:val="24"/>
          <w:szCs w:val="24"/>
        </w:rPr>
        <w:t xml:space="preserve"> shaping the common law</w:t>
      </w:r>
      <w:r w:rsidR="005C7437" w:rsidRPr="00626A06">
        <w:rPr>
          <w:rFonts w:ascii="Times New Roman" w:hAnsi="Times New Roman" w:cs="Times New Roman"/>
          <w:sz w:val="24"/>
          <w:szCs w:val="24"/>
        </w:rPr>
        <w:t>.</w:t>
      </w:r>
    </w:p>
    <w:p w:rsidR="00F0730F" w:rsidRPr="00626A06" w:rsidRDefault="00F0730F"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In the next two sections, I </w:t>
      </w:r>
      <w:r w:rsidR="00BC1EFA" w:rsidRPr="00626A06">
        <w:rPr>
          <w:rFonts w:ascii="Times New Roman" w:hAnsi="Times New Roman" w:cs="Times New Roman"/>
          <w:sz w:val="24"/>
          <w:szCs w:val="24"/>
        </w:rPr>
        <w:t xml:space="preserve">briefly outline the nature of </w:t>
      </w:r>
      <w:r w:rsidR="00746447" w:rsidRPr="00626A06">
        <w:rPr>
          <w:rFonts w:ascii="Times New Roman" w:hAnsi="Times New Roman" w:cs="Times New Roman"/>
          <w:sz w:val="24"/>
          <w:szCs w:val="24"/>
        </w:rPr>
        <w:t xml:space="preserve">the 1945 Act and </w:t>
      </w:r>
      <w:r w:rsidRPr="00626A06">
        <w:rPr>
          <w:rFonts w:ascii="Times New Roman" w:hAnsi="Times New Roman" w:cs="Times New Roman"/>
          <w:sz w:val="24"/>
          <w:szCs w:val="24"/>
        </w:rPr>
        <w:t xml:space="preserve">introduce </w:t>
      </w:r>
      <w:r w:rsidR="00344736" w:rsidRPr="00626A06">
        <w:rPr>
          <w:rFonts w:ascii="Times New Roman" w:hAnsi="Times New Roman" w:cs="Times New Roman"/>
          <w:sz w:val="24"/>
          <w:szCs w:val="24"/>
        </w:rPr>
        <w:t xml:space="preserve">elements of </w:t>
      </w:r>
      <w:r w:rsidRPr="00626A06">
        <w:rPr>
          <w:rFonts w:ascii="Times New Roman" w:hAnsi="Times New Roman" w:cs="Times New Roman"/>
          <w:sz w:val="24"/>
          <w:szCs w:val="24"/>
        </w:rPr>
        <w:t xml:space="preserve">the legal and political context of the reform. In the following section, I briefly highlight certain features of the operation of the contributory negligence defence today, in order to provide some context for the discussion of the reform process. In the remainder of the discussion, I first consider the origins of the reform proposal in </w:t>
      </w:r>
      <w:r w:rsidR="00A146AC" w:rsidRPr="00626A06">
        <w:rPr>
          <w:rFonts w:ascii="Times New Roman" w:hAnsi="Times New Roman" w:cs="Times New Roman"/>
          <w:sz w:val="24"/>
          <w:szCs w:val="24"/>
        </w:rPr>
        <w:t xml:space="preserve">the Law Revision </w:t>
      </w:r>
      <w:r w:rsidR="00A146AC" w:rsidRPr="00626A06">
        <w:rPr>
          <w:rFonts w:ascii="Times New Roman" w:hAnsi="Times New Roman" w:cs="Times New Roman"/>
          <w:sz w:val="24"/>
          <w:szCs w:val="24"/>
        </w:rPr>
        <w:lastRenderedPageBreak/>
        <w:t xml:space="preserve">Committee’s </w:t>
      </w:r>
      <w:r w:rsidRPr="00626A06">
        <w:rPr>
          <w:rFonts w:ascii="Times New Roman" w:hAnsi="Times New Roman" w:cs="Times New Roman"/>
          <w:sz w:val="24"/>
          <w:szCs w:val="24"/>
        </w:rPr>
        <w:t>8</w:t>
      </w:r>
      <w:r w:rsidRPr="00626A06">
        <w:rPr>
          <w:rFonts w:ascii="Times New Roman" w:hAnsi="Times New Roman" w:cs="Times New Roman"/>
          <w:sz w:val="24"/>
          <w:szCs w:val="24"/>
          <w:vertAlign w:val="superscript"/>
        </w:rPr>
        <w:t>th</w:t>
      </w:r>
      <w:r w:rsidRPr="00626A06">
        <w:rPr>
          <w:rFonts w:ascii="Times New Roman" w:hAnsi="Times New Roman" w:cs="Times New Roman"/>
          <w:sz w:val="24"/>
          <w:szCs w:val="24"/>
        </w:rPr>
        <w:t xml:space="preserve"> Report</w:t>
      </w:r>
      <w:r w:rsidR="00A146AC" w:rsidRPr="00626A06">
        <w:rPr>
          <w:rFonts w:ascii="Times New Roman" w:hAnsi="Times New Roman" w:cs="Times New Roman"/>
          <w:sz w:val="24"/>
          <w:szCs w:val="24"/>
        </w:rPr>
        <w:t xml:space="preserve"> (LRC</w:t>
      </w:r>
      <w:r w:rsidR="00B0033C">
        <w:rPr>
          <w:rFonts w:ascii="Times New Roman" w:hAnsi="Times New Roman" w:cs="Times New Roman"/>
          <w:sz w:val="24"/>
          <w:szCs w:val="24"/>
        </w:rPr>
        <w:t>’s</w:t>
      </w:r>
      <w:r w:rsidR="00A146AC" w:rsidRPr="00626A06">
        <w:rPr>
          <w:rFonts w:ascii="Times New Roman" w:hAnsi="Times New Roman" w:cs="Times New Roman"/>
          <w:sz w:val="24"/>
          <w:szCs w:val="24"/>
        </w:rPr>
        <w:t xml:space="preserve"> 8</w:t>
      </w:r>
      <w:r w:rsidR="00A146AC" w:rsidRPr="00626A06">
        <w:rPr>
          <w:rFonts w:ascii="Times New Roman" w:hAnsi="Times New Roman" w:cs="Times New Roman"/>
          <w:sz w:val="24"/>
          <w:szCs w:val="24"/>
          <w:vertAlign w:val="superscript"/>
        </w:rPr>
        <w:t>th</w:t>
      </w:r>
      <w:r w:rsidR="00A146AC" w:rsidRPr="00626A06">
        <w:rPr>
          <w:rFonts w:ascii="Times New Roman" w:hAnsi="Times New Roman" w:cs="Times New Roman"/>
          <w:sz w:val="24"/>
          <w:szCs w:val="24"/>
        </w:rPr>
        <w:t xml:space="preserve"> Report)</w:t>
      </w:r>
      <w:r w:rsidRPr="00626A06">
        <w:rPr>
          <w:rFonts w:ascii="Times New Roman" w:hAnsi="Times New Roman" w:cs="Times New Roman"/>
          <w:sz w:val="24"/>
          <w:szCs w:val="24"/>
        </w:rPr>
        <w:t>,</w:t>
      </w:r>
      <w:bookmarkStart w:id="2" w:name="_Ref319267705"/>
      <w:r w:rsidR="00A146AC" w:rsidRPr="00626A06">
        <w:rPr>
          <w:rStyle w:val="FootnoteReference"/>
          <w:rFonts w:ascii="Times New Roman" w:hAnsi="Times New Roman" w:cs="Times New Roman"/>
          <w:sz w:val="24"/>
          <w:szCs w:val="24"/>
        </w:rPr>
        <w:footnoteReference w:id="9"/>
      </w:r>
      <w:bookmarkEnd w:id="2"/>
      <w:r w:rsidRPr="00626A06">
        <w:rPr>
          <w:rFonts w:ascii="Times New Roman" w:hAnsi="Times New Roman" w:cs="Times New Roman"/>
          <w:sz w:val="24"/>
          <w:szCs w:val="24"/>
        </w:rPr>
        <w:t xml:space="preserve"> touching on general features of the Law Revision Committee and its work, and exploring both its reasoning and its recommendation where contributory negligence was concerned</w:t>
      </w:r>
      <w:r w:rsidR="00A146AC" w:rsidRPr="00626A06">
        <w:rPr>
          <w:rFonts w:ascii="Times New Roman" w:hAnsi="Times New Roman" w:cs="Times New Roman"/>
          <w:sz w:val="24"/>
          <w:szCs w:val="24"/>
        </w:rPr>
        <w:t xml:space="preserve">. </w:t>
      </w:r>
      <w:r w:rsidRPr="00626A06">
        <w:rPr>
          <w:rFonts w:ascii="Times New Roman" w:hAnsi="Times New Roman" w:cs="Times New Roman"/>
          <w:sz w:val="24"/>
          <w:szCs w:val="24"/>
        </w:rPr>
        <w:t>Second, and turning to the process of enactment, I reflect upon the way in which this lawyers’ proposal became embroiled in larger questions about compensation and support for illness and injury.</w:t>
      </w:r>
      <w:r w:rsidR="00A146AC" w:rsidRPr="00626A06">
        <w:rPr>
          <w:rFonts w:ascii="Times New Roman" w:hAnsi="Times New Roman" w:cs="Times New Roman"/>
          <w:sz w:val="24"/>
          <w:szCs w:val="24"/>
        </w:rPr>
        <w:t xml:space="preserve"> Finally</w:t>
      </w:r>
      <w:r w:rsidRPr="00626A06">
        <w:rPr>
          <w:rFonts w:ascii="Times New Roman" w:hAnsi="Times New Roman" w:cs="Times New Roman"/>
          <w:sz w:val="24"/>
          <w:szCs w:val="24"/>
        </w:rPr>
        <w:t xml:space="preserve">, I consider major drafting changes made to the Bill (actually more than one Bill given </w:t>
      </w:r>
      <w:r w:rsidR="00BC1EFA" w:rsidRPr="00626A06">
        <w:rPr>
          <w:rFonts w:ascii="Times New Roman" w:hAnsi="Times New Roman" w:cs="Times New Roman"/>
          <w:sz w:val="24"/>
          <w:szCs w:val="24"/>
        </w:rPr>
        <w:t xml:space="preserve">a </w:t>
      </w:r>
      <w:r w:rsidRPr="00626A06">
        <w:rPr>
          <w:rFonts w:ascii="Times New Roman" w:hAnsi="Times New Roman" w:cs="Times New Roman"/>
          <w:sz w:val="24"/>
          <w:szCs w:val="24"/>
        </w:rPr>
        <w:t xml:space="preserve">failed attempt at reform in 1943), and the reasons for them, and discuss what this process might reveal about the </w:t>
      </w:r>
      <w:r w:rsidR="00BC1EFA" w:rsidRPr="00626A06">
        <w:rPr>
          <w:rFonts w:ascii="Times New Roman" w:hAnsi="Times New Roman" w:cs="Times New Roman"/>
          <w:sz w:val="24"/>
          <w:szCs w:val="24"/>
        </w:rPr>
        <w:t>law of tort as we</w:t>
      </w:r>
      <w:r w:rsidRPr="00626A06">
        <w:rPr>
          <w:rFonts w:ascii="Times New Roman" w:hAnsi="Times New Roman" w:cs="Times New Roman"/>
          <w:sz w:val="24"/>
          <w:szCs w:val="24"/>
        </w:rPr>
        <w:t xml:space="preserve"> know </w:t>
      </w:r>
      <w:r w:rsidR="00BC1EFA" w:rsidRPr="00626A06">
        <w:rPr>
          <w:rFonts w:ascii="Times New Roman" w:hAnsi="Times New Roman" w:cs="Times New Roman"/>
          <w:sz w:val="24"/>
          <w:szCs w:val="24"/>
        </w:rPr>
        <w:t xml:space="preserve">it </w:t>
      </w:r>
      <w:r w:rsidRPr="00626A06">
        <w:rPr>
          <w:rFonts w:ascii="Times New Roman" w:hAnsi="Times New Roman" w:cs="Times New Roman"/>
          <w:sz w:val="24"/>
          <w:szCs w:val="24"/>
        </w:rPr>
        <w:t xml:space="preserve">today. </w:t>
      </w:r>
      <w:r w:rsidR="009A3615" w:rsidRPr="00626A06">
        <w:rPr>
          <w:rFonts w:ascii="Times New Roman" w:hAnsi="Times New Roman" w:cs="Times New Roman"/>
          <w:sz w:val="24"/>
          <w:szCs w:val="24"/>
        </w:rPr>
        <w:t xml:space="preserve"> </w:t>
      </w:r>
    </w:p>
    <w:p w:rsidR="005C7437" w:rsidRPr="00626A06" w:rsidRDefault="005C7437" w:rsidP="00626A06">
      <w:pPr>
        <w:spacing w:line="360" w:lineRule="auto"/>
        <w:jc w:val="both"/>
        <w:rPr>
          <w:rFonts w:ascii="Times New Roman" w:hAnsi="Times New Roman" w:cs="Times New Roman"/>
          <w:sz w:val="24"/>
          <w:szCs w:val="24"/>
        </w:rPr>
      </w:pPr>
    </w:p>
    <w:p w:rsidR="005C7437" w:rsidRPr="0069174C" w:rsidRDefault="0069174C" w:rsidP="0069174C">
      <w:pPr>
        <w:spacing w:line="360" w:lineRule="auto"/>
        <w:jc w:val="both"/>
        <w:rPr>
          <w:rFonts w:ascii="Times New Roman" w:hAnsi="Times New Roman" w:cs="Times New Roman"/>
          <w:b/>
          <w:sz w:val="28"/>
          <w:szCs w:val="28"/>
        </w:rPr>
      </w:pPr>
      <w:r w:rsidRPr="0069174C">
        <w:rPr>
          <w:rFonts w:ascii="Times New Roman" w:hAnsi="Times New Roman" w:cs="Times New Roman"/>
          <w:b/>
          <w:sz w:val="28"/>
          <w:szCs w:val="28"/>
        </w:rPr>
        <w:t xml:space="preserve">II. </w:t>
      </w:r>
      <w:r w:rsidR="00986B1D" w:rsidRPr="0069174C">
        <w:rPr>
          <w:rFonts w:ascii="Times New Roman" w:hAnsi="Times New Roman" w:cs="Times New Roman"/>
          <w:b/>
          <w:sz w:val="28"/>
          <w:szCs w:val="28"/>
        </w:rPr>
        <w:t>S</w:t>
      </w:r>
      <w:r w:rsidR="00B95388" w:rsidRPr="0069174C">
        <w:rPr>
          <w:rFonts w:ascii="Times New Roman" w:hAnsi="Times New Roman" w:cs="Times New Roman"/>
          <w:b/>
          <w:sz w:val="28"/>
          <w:szCs w:val="28"/>
        </w:rPr>
        <w:t xml:space="preserve">ection 1 and </w:t>
      </w:r>
      <w:r>
        <w:rPr>
          <w:rFonts w:ascii="Times New Roman" w:hAnsi="Times New Roman" w:cs="Times New Roman"/>
          <w:b/>
          <w:sz w:val="28"/>
          <w:szCs w:val="28"/>
        </w:rPr>
        <w:t>the P</w:t>
      </w:r>
      <w:r w:rsidR="00A30F9A" w:rsidRPr="0069174C">
        <w:rPr>
          <w:rFonts w:ascii="Times New Roman" w:hAnsi="Times New Roman" w:cs="Times New Roman"/>
          <w:b/>
          <w:sz w:val="28"/>
          <w:szCs w:val="28"/>
        </w:rPr>
        <w:t xml:space="preserve">aradigm of </w:t>
      </w:r>
      <w:r>
        <w:rPr>
          <w:rFonts w:ascii="Times New Roman" w:hAnsi="Times New Roman" w:cs="Times New Roman"/>
          <w:b/>
          <w:sz w:val="28"/>
          <w:szCs w:val="28"/>
        </w:rPr>
        <w:t>Negligence T</w:t>
      </w:r>
      <w:r w:rsidR="00B95388" w:rsidRPr="0069174C">
        <w:rPr>
          <w:rFonts w:ascii="Times New Roman" w:hAnsi="Times New Roman" w:cs="Times New Roman"/>
          <w:b/>
          <w:sz w:val="28"/>
          <w:szCs w:val="28"/>
        </w:rPr>
        <w:t>hinking</w:t>
      </w:r>
    </w:p>
    <w:p w:rsidR="006D5182" w:rsidRPr="00626A06" w:rsidRDefault="00081C8D"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Section 1 of the 1945 Act </w:t>
      </w:r>
      <w:r w:rsidR="002A635B" w:rsidRPr="00626A06">
        <w:rPr>
          <w:rFonts w:ascii="Times New Roman" w:hAnsi="Times New Roman" w:cs="Times New Roman"/>
          <w:sz w:val="24"/>
          <w:szCs w:val="24"/>
        </w:rPr>
        <w:t>abolishes the rule by which contributory negligence on the part of the claimant was a complete bar to success in a claim</w:t>
      </w:r>
      <w:r w:rsidR="00842F43">
        <w:rPr>
          <w:rFonts w:ascii="Times New Roman" w:hAnsi="Times New Roman" w:cs="Times New Roman"/>
          <w:sz w:val="24"/>
          <w:szCs w:val="24"/>
        </w:rPr>
        <w:t>,</w:t>
      </w:r>
      <w:r w:rsidR="002A635B" w:rsidRPr="00626A06">
        <w:rPr>
          <w:rFonts w:ascii="Times New Roman" w:hAnsi="Times New Roman" w:cs="Times New Roman"/>
          <w:sz w:val="24"/>
          <w:szCs w:val="24"/>
        </w:rPr>
        <w:t xml:space="preserve"> but </w:t>
      </w:r>
      <w:r w:rsidRPr="00626A06">
        <w:rPr>
          <w:rFonts w:ascii="Times New Roman" w:hAnsi="Times New Roman" w:cs="Times New Roman"/>
          <w:sz w:val="24"/>
          <w:szCs w:val="24"/>
        </w:rPr>
        <w:t>requires a reduction in the claimant’s damages where the claimant’s fault has contributed to the harm suffered.</w:t>
      </w:r>
      <w:r w:rsidR="00EF6E16" w:rsidRPr="00626A06">
        <w:rPr>
          <w:rFonts w:ascii="Times New Roman" w:hAnsi="Times New Roman" w:cs="Times New Roman"/>
          <w:sz w:val="24"/>
          <w:szCs w:val="24"/>
        </w:rPr>
        <w:t xml:space="preserve"> This reduction is to be as the court thinks ‘just and equitable’.</w:t>
      </w:r>
      <w:r w:rsidRPr="00626A06">
        <w:rPr>
          <w:rFonts w:ascii="Times New Roman" w:hAnsi="Times New Roman" w:cs="Times New Roman"/>
          <w:sz w:val="24"/>
          <w:szCs w:val="24"/>
        </w:rPr>
        <w:t xml:space="preserve"> </w:t>
      </w:r>
      <w:r w:rsidR="00CC633D" w:rsidRPr="00626A06">
        <w:rPr>
          <w:rFonts w:ascii="Times New Roman" w:hAnsi="Times New Roman" w:cs="Times New Roman"/>
          <w:sz w:val="24"/>
          <w:szCs w:val="24"/>
        </w:rPr>
        <w:t>W</w:t>
      </w:r>
      <w:r w:rsidR="008D0142" w:rsidRPr="00626A06">
        <w:rPr>
          <w:rFonts w:ascii="Times New Roman" w:hAnsi="Times New Roman" w:cs="Times New Roman"/>
          <w:sz w:val="24"/>
          <w:szCs w:val="24"/>
        </w:rPr>
        <w:t xml:space="preserve">hen first </w:t>
      </w:r>
      <w:r w:rsidR="00967506" w:rsidRPr="00626A06">
        <w:rPr>
          <w:rFonts w:ascii="Times New Roman" w:hAnsi="Times New Roman" w:cs="Times New Roman"/>
          <w:sz w:val="24"/>
          <w:szCs w:val="24"/>
        </w:rPr>
        <w:t xml:space="preserve">included </w:t>
      </w:r>
      <w:r w:rsidR="008D0142" w:rsidRPr="00626A06">
        <w:rPr>
          <w:rFonts w:ascii="Times New Roman" w:hAnsi="Times New Roman" w:cs="Times New Roman"/>
          <w:sz w:val="24"/>
          <w:szCs w:val="24"/>
        </w:rPr>
        <w:t>as part of a draft Bill</w:t>
      </w:r>
      <w:r w:rsidR="00CC633D" w:rsidRPr="00626A06">
        <w:rPr>
          <w:rFonts w:ascii="Times New Roman" w:hAnsi="Times New Roman" w:cs="Times New Roman"/>
          <w:sz w:val="24"/>
          <w:szCs w:val="24"/>
        </w:rPr>
        <w:t>, the reform</w:t>
      </w:r>
      <w:r w:rsidR="008D0142" w:rsidRPr="00626A06">
        <w:rPr>
          <w:rFonts w:ascii="Times New Roman" w:hAnsi="Times New Roman" w:cs="Times New Roman"/>
          <w:sz w:val="24"/>
          <w:szCs w:val="24"/>
        </w:rPr>
        <w:t xml:space="preserve"> </w:t>
      </w:r>
      <w:r w:rsidR="00CA2AFF" w:rsidRPr="00626A06">
        <w:rPr>
          <w:rFonts w:ascii="Times New Roman" w:hAnsi="Times New Roman" w:cs="Times New Roman"/>
          <w:sz w:val="24"/>
          <w:szCs w:val="24"/>
        </w:rPr>
        <w:t>was</w:t>
      </w:r>
      <w:r w:rsidR="002A635B" w:rsidRPr="00626A06">
        <w:rPr>
          <w:rFonts w:ascii="Times New Roman" w:hAnsi="Times New Roman" w:cs="Times New Roman"/>
          <w:sz w:val="24"/>
          <w:szCs w:val="24"/>
        </w:rPr>
        <w:t xml:space="preserve"> very different: it was</w:t>
      </w:r>
      <w:r w:rsidR="008D0142" w:rsidRPr="00626A06">
        <w:rPr>
          <w:rFonts w:ascii="Times New Roman" w:hAnsi="Times New Roman" w:cs="Times New Roman"/>
          <w:sz w:val="24"/>
          <w:szCs w:val="24"/>
        </w:rPr>
        <w:t xml:space="preserve"> expressed </w:t>
      </w:r>
      <w:r w:rsidR="00DB5BBF" w:rsidRPr="00626A06">
        <w:rPr>
          <w:rFonts w:ascii="Times New Roman" w:hAnsi="Times New Roman" w:cs="Times New Roman"/>
          <w:sz w:val="24"/>
          <w:szCs w:val="24"/>
        </w:rPr>
        <w:t xml:space="preserve">as introducing </w:t>
      </w:r>
      <w:r w:rsidR="008D77A4" w:rsidRPr="00626A06">
        <w:rPr>
          <w:rFonts w:ascii="Times New Roman" w:hAnsi="Times New Roman" w:cs="Times New Roman"/>
          <w:sz w:val="24"/>
          <w:szCs w:val="24"/>
        </w:rPr>
        <w:t xml:space="preserve">apportionment of liability </w:t>
      </w:r>
      <w:r w:rsidR="00EF62F6" w:rsidRPr="00626A06">
        <w:rPr>
          <w:rFonts w:ascii="Times New Roman" w:hAnsi="Times New Roman" w:cs="Times New Roman"/>
          <w:sz w:val="24"/>
          <w:szCs w:val="24"/>
        </w:rPr>
        <w:t>between parties whose fault had caused loss</w:t>
      </w:r>
      <w:r w:rsidR="008D77A4" w:rsidRPr="00626A06">
        <w:rPr>
          <w:rFonts w:ascii="Times New Roman" w:hAnsi="Times New Roman" w:cs="Times New Roman"/>
          <w:sz w:val="24"/>
          <w:szCs w:val="24"/>
        </w:rPr>
        <w:t>.</w:t>
      </w:r>
      <w:r w:rsidR="00A87304" w:rsidRPr="00626A06">
        <w:rPr>
          <w:rStyle w:val="FootnoteReference"/>
          <w:rFonts w:ascii="Times New Roman" w:hAnsi="Times New Roman" w:cs="Times New Roman"/>
          <w:sz w:val="24"/>
          <w:szCs w:val="24"/>
        </w:rPr>
        <w:footnoteReference w:id="10"/>
      </w:r>
      <w:r w:rsidR="003A449C" w:rsidRPr="00626A06">
        <w:rPr>
          <w:rFonts w:ascii="Times New Roman" w:hAnsi="Times New Roman" w:cs="Times New Roman"/>
          <w:sz w:val="24"/>
          <w:szCs w:val="24"/>
        </w:rPr>
        <w:t xml:space="preserve"> </w:t>
      </w:r>
      <w:r w:rsidR="00F21098" w:rsidRPr="00626A06">
        <w:rPr>
          <w:rFonts w:ascii="Times New Roman" w:hAnsi="Times New Roman" w:cs="Times New Roman"/>
          <w:sz w:val="24"/>
          <w:szCs w:val="24"/>
        </w:rPr>
        <w:t>This treated both (or all) parties as potentially liable to one anoth</w:t>
      </w:r>
      <w:bookmarkStart w:id="3" w:name="_GoBack"/>
      <w:bookmarkEnd w:id="3"/>
      <w:r w:rsidR="00F21098" w:rsidRPr="00626A06">
        <w:rPr>
          <w:rFonts w:ascii="Times New Roman" w:hAnsi="Times New Roman" w:cs="Times New Roman"/>
          <w:sz w:val="24"/>
          <w:szCs w:val="24"/>
        </w:rPr>
        <w:t xml:space="preserve">er; requiring the full damage to be divided according to fault. </w:t>
      </w:r>
      <w:r w:rsidR="003A449C" w:rsidRPr="00626A06">
        <w:rPr>
          <w:rFonts w:ascii="Times New Roman" w:hAnsi="Times New Roman" w:cs="Times New Roman"/>
          <w:sz w:val="24"/>
          <w:szCs w:val="24"/>
        </w:rPr>
        <w:t>The difference between these ideas</w:t>
      </w:r>
      <w:r w:rsidR="002A635B" w:rsidRPr="00626A06">
        <w:rPr>
          <w:rFonts w:ascii="Times New Roman" w:hAnsi="Times New Roman" w:cs="Times New Roman"/>
          <w:sz w:val="24"/>
          <w:szCs w:val="24"/>
        </w:rPr>
        <w:t xml:space="preserve"> will be further explained below</w:t>
      </w:r>
      <w:r w:rsidRPr="00626A06">
        <w:rPr>
          <w:rFonts w:ascii="Times New Roman" w:hAnsi="Times New Roman" w:cs="Times New Roman"/>
          <w:sz w:val="24"/>
          <w:szCs w:val="24"/>
        </w:rPr>
        <w:t xml:space="preserve">. </w:t>
      </w:r>
      <w:r w:rsidR="00F21098" w:rsidRPr="00626A06">
        <w:rPr>
          <w:rFonts w:ascii="Times New Roman" w:hAnsi="Times New Roman" w:cs="Times New Roman"/>
          <w:sz w:val="24"/>
          <w:szCs w:val="24"/>
        </w:rPr>
        <w:t xml:space="preserve">The </w:t>
      </w:r>
      <w:r w:rsidR="008D77A4" w:rsidRPr="00626A06">
        <w:rPr>
          <w:rFonts w:ascii="Times New Roman" w:hAnsi="Times New Roman" w:cs="Times New Roman"/>
          <w:sz w:val="24"/>
          <w:szCs w:val="24"/>
        </w:rPr>
        <w:t xml:space="preserve">apportionment </w:t>
      </w:r>
      <w:r w:rsidR="00EF6E16" w:rsidRPr="00626A06">
        <w:rPr>
          <w:rFonts w:ascii="Times New Roman" w:hAnsi="Times New Roman" w:cs="Times New Roman"/>
          <w:sz w:val="24"/>
          <w:szCs w:val="24"/>
        </w:rPr>
        <w:t xml:space="preserve">of liability </w:t>
      </w:r>
      <w:r w:rsidR="008D77A4" w:rsidRPr="00626A06">
        <w:rPr>
          <w:rFonts w:ascii="Times New Roman" w:hAnsi="Times New Roman" w:cs="Times New Roman"/>
          <w:sz w:val="24"/>
          <w:szCs w:val="24"/>
        </w:rPr>
        <w:t>on the basis of degrees of fault</w:t>
      </w:r>
      <w:r w:rsidR="0038629C" w:rsidRPr="00626A06">
        <w:rPr>
          <w:rFonts w:ascii="Times New Roman" w:hAnsi="Times New Roman" w:cs="Times New Roman"/>
          <w:sz w:val="24"/>
          <w:szCs w:val="24"/>
        </w:rPr>
        <w:t xml:space="preserve"> </w:t>
      </w:r>
      <w:r w:rsidR="008D77A4" w:rsidRPr="00626A06">
        <w:rPr>
          <w:rFonts w:ascii="Times New Roman" w:hAnsi="Times New Roman" w:cs="Times New Roman"/>
          <w:sz w:val="24"/>
          <w:szCs w:val="24"/>
        </w:rPr>
        <w:t>was</w:t>
      </w:r>
      <w:r w:rsidR="00EF62F6" w:rsidRPr="00626A06">
        <w:rPr>
          <w:rFonts w:ascii="Times New Roman" w:hAnsi="Times New Roman" w:cs="Times New Roman"/>
          <w:sz w:val="24"/>
          <w:szCs w:val="24"/>
        </w:rPr>
        <w:t xml:space="preserve"> </w:t>
      </w:r>
      <w:r w:rsidR="00F713DF" w:rsidRPr="00626A06">
        <w:rPr>
          <w:rFonts w:ascii="Times New Roman" w:hAnsi="Times New Roman" w:cs="Times New Roman"/>
          <w:sz w:val="24"/>
          <w:szCs w:val="24"/>
        </w:rPr>
        <w:t xml:space="preserve">very closely </w:t>
      </w:r>
      <w:r w:rsidR="00EF62F6" w:rsidRPr="00626A06">
        <w:rPr>
          <w:rFonts w:ascii="Times New Roman" w:hAnsi="Times New Roman" w:cs="Times New Roman"/>
          <w:sz w:val="24"/>
          <w:szCs w:val="24"/>
        </w:rPr>
        <w:t>modelled on Admiralty practice</w:t>
      </w:r>
      <w:r w:rsidR="00967506" w:rsidRPr="00626A06">
        <w:rPr>
          <w:rFonts w:ascii="Times New Roman" w:hAnsi="Times New Roman" w:cs="Times New Roman"/>
          <w:sz w:val="24"/>
          <w:szCs w:val="24"/>
        </w:rPr>
        <w:t xml:space="preserve"> </w:t>
      </w:r>
      <w:r w:rsidR="007F18F5" w:rsidRPr="00626A06">
        <w:rPr>
          <w:rFonts w:ascii="Times New Roman" w:hAnsi="Times New Roman" w:cs="Times New Roman"/>
          <w:sz w:val="24"/>
          <w:szCs w:val="24"/>
        </w:rPr>
        <w:t xml:space="preserve">in cases of collision at sea, </w:t>
      </w:r>
      <w:r w:rsidR="00967506" w:rsidRPr="00626A06">
        <w:rPr>
          <w:rFonts w:ascii="Times New Roman" w:hAnsi="Times New Roman" w:cs="Times New Roman"/>
          <w:sz w:val="24"/>
          <w:szCs w:val="24"/>
        </w:rPr>
        <w:t>as refined by the Maritime Conventions Act 1911 (1911 Act)</w:t>
      </w:r>
      <w:r w:rsidR="00EF62F6" w:rsidRPr="00626A06">
        <w:rPr>
          <w:rFonts w:ascii="Times New Roman" w:hAnsi="Times New Roman" w:cs="Times New Roman"/>
          <w:sz w:val="24"/>
          <w:szCs w:val="24"/>
        </w:rPr>
        <w:t>.</w:t>
      </w:r>
      <w:bookmarkStart w:id="4" w:name="_Ref319256382"/>
      <w:r w:rsidR="00EF62F6" w:rsidRPr="00626A06">
        <w:rPr>
          <w:rStyle w:val="FootnoteReference"/>
          <w:rFonts w:ascii="Times New Roman" w:hAnsi="Times New Roman" w:cs="Times New Roman"/>
          <w:sz w:val="24"/>
          <w:szCs w:val="24"/>
        </w:rPr>
        <w:footnoteReference w:id="11"/>
      </w:r>
      <w:bookmarkEnd w:id="4"/>
      <w:r w:rsidR="00EF62F6" w:rsidRPr="00626A06">
        <w:rPr>
          <w:rFonts w:ascii="Times New Roman" w:hAnsi="Times New Roman" w:cs="Times New Roman"/>
          <w:sz w:val="24"/>
          <w:szCs w:val="24"/>
        </w:rPr>
        <w:t xml:space="preserve"> </w:t>
      </w:r>
      <w:r w:rsidR="00956E4B" w:rsidRPr="00626A06">
        <w:rPr>
          <w:rFonts w:ascii="Times New Roman" w:hAnsi="Times New Roman" w:cs="Times New Roman"/>
          <w:sz w:val="24"/>
          <w:szCs w:val="24"/>
        </w:rPr>
        <w:t>A</w:t>
      </w:r>
      <w:r w:rsidR="007B1683" w:rsidRPr="00626A06">
        <w:rPr>
          <w:rFonts w:ascii="Times New Roman" w:hAnsi="Times New Roman" w:cs="Times New Roman"/>
          <w:sz w:val="24"/>
          <w:szCs w:val="24"/>
        </w:rPr>
        <w:t xml:space="preserve">s a model for reform of personal injury, this provision suffers from serious shortcomings, which were </w:t>
      </w:r>
      <w:r w:rsidR="00F21098" w:rsidRPr="00626A06">
        <w:rPr>
          <w:rFonts w:ascii="Times New Roman" w:hAnsi="Times New Roman" w:cs="Times New Roman"/>
          <w:sz w:val="24"/>
          <w:szCs w:val="24"/>
        </w:rPr>
        <w:t xml:space="preserve">gradually </w:t>
      </w:r>
      <w:r w:rsidR="007B1683" w:rsidRPr="00626A06">
        <w:rPr>
          <w:rFonts w:ascii="Times New Roman" w:hAnsi="Times New Roman" w:cs="Times New Roman"/>
          <w:sz w:val="24"/>
          <w:szCs w:val="24"/>
        </w:rPr>
        <w:t xml:space="preserve">exposed during the process of enactment. </w:t>
      </w:r>
      <w:r w:rsidR="00612F83" w:rsidRPr="00626A06">
        <w:rPr>
          <w:rFonts w:ascii="Times New Roman" w:hAnsi="Times New Roman" w:cs="Times New Roman"/>
          <w:sz w:val="24"/>
          <w:szCs w:val="24"/>
        </w:rPr>
        <w:t>The effect was that i</w:t>
      </w:r>
      <w:r w:rsidR="00F713DF" w:rsidRPr="00626A06">
        <w:rPr>
          <w:rFonts w:ascii="Times New Roman" w:hAnsi="Times New Roman" w:cs="Times New Roman"/>
          <w:sz w:val="24"/>
          <w:szCs w:val="24"/>
        </w:rPr>
        <w:t xml:space="preserve">nstead of </w:t>
      </w:r>
      <w:r w:rsidR="007211C5" w:rsidRPr="00626A06">
        <w:rPr>
          <w:rFonts w:ascii="Times New Roman" w:hAnsi="Times New Roman" w:cs="Times New Roman"/>
          <w:sz w:val="24"/>
          <w:szCs w:val="24"/>
        </w:rPr>
        <w:t>pulling</w:t>
      </w:r>
      <w:r w:rsidR="00F713DF" w:rsidRPr="00626A06">
        <w:rPr>
          <w:rFonts w:ascii="Times New Roman" w:hAnsi="Times New Roman" w:cs="Times New Roman"/>
          <w:sz w:val="24"/>
          <w:szCs w:val="24"/>
        </w:rPr>
        <w:t xml:space="preserve"> a set of </w:t>
      </w:r>
      <w:r w:rsidR="007211C5" w:rsidRPr="00626A06">
        <w:rPr>
          <w:rFonts w:ascii="Times New Roman" w:hAnsi="Times New Roman" w:cs="Times New Roman"/>
          <w:sz w:val="24"/>
          <w:szCs w:val="24"/>
        </w:rPr>
        <w:t xml:space="preserve">existing </w:t>
      </w:r>
      <w:r w:rsidR="00943B73" w:rsidRPr="00626A06">
        <w:rPr>
          <w:rFonts w:ascii="Times New Roman" w:hAnsi="Times New Roman" w:cs="Times New Roman"/>
          <w:sz w:val="24"/>
          <w:szCs w:val="24"/>
        </w:rPr>
        <w:t xml:space="preserve">terms and </w:t>
      </w:r>
      <w:r w:rsidR="00F713DF" w:rsidRPr="00626A06">
        <w:rPr>
          <w:rFonts w:ascii="Times New Roman" w:hAnsi="Times New Roman" w:cs="Times New Roman"/>
          <w:sz w:val="24"/>
          <w:szCs w:val="24"/>
        </w:rPr>
        <w:t xml:space="preserve">concepts from one part of the lawyer’s store cupboard of precedents to another (a staple feature of legal evolution and one of the causes of </w:t>
      </w:r>
      <w:r w:rsidR="007243B6" w:rsidRPr="00626A06">
        <w:rPr>
          <w:rFonts w:ascii="Times New Roman" w:hAnsi="Times New Roman" w:cs="Times New Roman"/>
          <w:sz w:val="24"/>
          <w:szCs w:val="24"/>
        </w:rPr>
        <w:t xml:space="preserve">conceptual </w:t>
      </w:r>
      <w:r w:rsidR="00F713DF" w:rsidRPr="00626A06">
        <w:rPr>
          <w:rFonts w:ascii="Times New Roman" w:hAnsi="Times New Roman" w:cs="Times New Roman"/>
          <w:sz w:val="24"/>
          <w:szCs w:val="24"/>
        </w:rPr>
        <w:lastRenderedPageBreak/>
        <w:t>cross-fertilisation in the law),</w:t>
      </w:r>
      <w:bookmarkStart w:id="5" w:name="_Ref319256554"/>
      <w:r w:rsidR="00F713DF" w:rsidRPr="00626A06">
        <w:rPr>
          <w:rStyle w:val="FootnoteReference"/>
          <w:rFonts w:ascii="Times New Roman" w:hAnsi="Times New Roman" w:cs="Times New Roman"/>
          <w:sz w:val="24"/>
          <w:szCs w:val="24"/>
        </w:rPr>
        <w:footnoteReference w:id="12"/>
      </w:r>
      <w:bookmarkEnd w:id="5"/>
      <w:r w:rsidR="00F713DF" w:rsidRPr="00626A06">
        <w:rPr>
          <w:rFonts w:ascii="Times New Roman" w:hAnsi="Times New Roman" w:cs="Times New Roman"/>
          <w:sz w:val="24"/>
          <w:szCs w:val="24"/>
        </w:rPr>
        <w:t xml:space="preserve"> a much more novel provision was created.</w:t>
      </w:r>
      <w:r w:rsidR="007243B6" w:rsidRPr="00626A06">
        <w:rPr>
          <w:rStyle w:val="FootnoteReference"/>
          <w:rFonts w:ascii="Times New Roman" w:hAnsi="Times New Roman" w:cs="Times New Roman"/>
          <w:sz w:val="24"/>
          <w:szCs w:val="24"/>
        </w:rPr>
        <w:footnoteReference w:id="13"/>
      </w:r>
      <w:r w:rsidR="00F1528A" w:rsidRPr="00626A06">
        <w:rPr>
          <w:rFonts w:ascii="Times New Roman" w:hAnsi="Times New Roman" w:cs="Times New Roman"/>
          <w:sz w:val="24"/>
          <w:szCs w:val="24"/>
        </w:rPr>
        <w:t xml:space="preserve"> That this novelty flowed from questions asked by a Committee concerned primarily with industrial injury underlines the influence of wider changes on this lawyers’ reform.</w:t>
      </w:r>
    </w:p>
    <w:p w:rsidR="00652FCD" w:rsidRPr="00626A06" w:rsidRDefault="00127918"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This could be described as </w:t>
      </w:r>
      <w:r w:rsidR="00A7364D" w:rsidRPr="00626A06">
        <w:rPr>
          <w:rFonts w:ascii="Times New Roman" w:hAnsi="Times New Roman" w:cs="Times New Roman"/>
          <w:sz w:val="24"/>
          <w:szCs w:val="24"/>
        </w:rPr>
        <w:t xml:space="preserve">merely </w:t>
      </w:r>
      <w:r w:rsidRPr="00626A06">
        <w:rPr>
          <w:rFonts w:ascii="Times New Roman" w:hAnsi="Times New Roman" w:cs="Times New Roman"/>
          <w:sz w:val="24"/>
          <w:szCs w:val="24"/>
        </w:rPr>
        <w:t>an accident of history</w:t>
      </w:r>
      <w:r w:rsidR="007211C5" w:rsidRPr="00626A06">
        <w:rPr>
          <w:rFonts w:ascii="Times New Roman" w:hAnsi="Times New Roman" w:cs="Times New Roman"/>
          <w:sz w:val="24"/>
          <w:szCs w:val="24"/>
        </w:rPr>
        <w:t xml:space="preserve">, but the </w:t>
      </w:r>
      <w:r w:rsidR="00A62167" w:rsidRPr="00626A06">
        <w:rPr>
          <w:rFonts w:ascii="Times New Roman" w:hAnsi="Times New Roman" w:cs="Times New Roman"/>
          <w:sz w:val="24"/>
          <w:szCs w:val="24"/>
        </w:rPr>
        <w:t xml:space="preserve">major drafting change </w:t>
      </w:r>
      <w:r w:rsidR="007243B6" w:rsidRPr="00626A06">
        <w:rPr>
          <w:rFonts w:ascii="Times New Roman" w:hAnsi="Times New Roman" w:cs="Times New Roman"/>
          <w:sz w:val="24"/>
          <w:szCs w:val="24"/>
        </w:rPr>
        <w:t xml:space="preserve">can </w:t>
      </w:r>
      <w:r w:rsidR="00B95388" w:rsidRPr="00626A06">
        <w:rPr>
          <w:rFonts w:ascii="Times New Roman" w:hAnsi="Times New Roman" w:cs="Times New Roman"/>
          <w:sz w:val="24"/>
          <w:szCs w:val="24"/>
        </w:rPr>
        <w:t xml:space="preserve">instead </w:t>
      </w:r>
      <w:r w:rsidR="007243B6" w:rsidRPr="00626A06">
        <w:rPr>
          <w:rFonts w:ascii="Times New Roman" w:hAnsi="Times New Roman" w:cs="Times New Roman"/>
          <w:sz w:val="24"/>
          <w:szCs w:val="24"/>
        </w:rPr>
        <w:t xml:space="preserve">be seen </w:t>
      </w:r>
      <w:r w:rsidR="00BC44F9" w:rsidRPr="00626A06">
        <w:rPr>
          <w:rFonts w:ascii="Times New Roman" w:hAnsi="Times New Roman" w:cs="Times New Roman"/>
          <w:sz w:val="24"/>
          <w:szCs w:val="24"/>
        </w:rPr>
        <w:t xml:space="preserve">as both reflecting, and </w:t>
      </w:r>
      <w:r w:rsidR="007B1683" w:rsidRPr="00626A06">
        <w:rPr>
          <w:rFonts w:ascii="Times New Roman" w:hAnsi="Times New Roman" w:cs="Times New Roman"/>
          <w:sz w:val="24"/>
          <w:szCs w:val="24"/>
        </w:rPr>
        <w:t xml:space="preserve">significantly </w:t>
      </w:r>
      <w:r w:rsidR="00BC44F9" w:rsidRPr="00626A06">
        <w:rPr>
          <w:rFonts w:ascii="Times New Roman" w:hAnsi="Times New Roman" w:cs="Times New Roman"/>
          <w:sz w:val="24"/>
          <w:szCs w:val="24"/>
        </w:rPr>
        <w:t>influencing</w:t>
      </w:r>
      <w:r w:rsidRPr="00626A06">
        <w:rPr>
          <w:rFonts w:ascii="Times New Roman" w:hAnsi="Times New Roman" w:cs="Times New Roman"/>
          <w:sz w:val="24"/>
          <w:szCs w:val="24"/>
        </w:rPr>
        <w:t xml:space="preserve"> the trajectory of </w:t>
      </w:r>
      <w:r w:rsidR="00E80CD9" w:rsidRPr="00626A06">
        <w:rPr>
          <w:rFonts w:ascii="Times New Roman" w:hAnsi="Times New Roman" w:cs="Times New Roman"/>
          <w:sz w:val="24"/>
          <w:szCs w:val="24"/>
        </w:rPr>
        <w:t>development</w:t>
      </w:r>
      <w:r w:rsidRPr="00626A06">
        <w:rPr>
          <w:rFonts w:ascii="Times New Roman" w:hAnsi="Times New Roman" w:cs="Times New Roman"/>
          <w:sz w:val="24"/>
          <w:szCs w:val="24"/>
        </w:rPr>
        <w:t xml:space="preserve"> in the law</w:t>
      </w:r>
      <w:r w:rsidR="007243B6" w:rsidRPr="00626A06">
        <w:rPr>
          <w:rFonts w:ascii="Times New Roman" w:hAnsi="Times New Roman" w:cs="Times New Roman"/>
          <w:sz w:val="24"/>
          <w:szCs w:val="24"/>
        </w:rPr>
        <w:t xml:space="preserve"> of tort for personal injury</w:t>
      </w:r>
      <w:r w:rsidRPr="00626A06">
        <w:rPr>
          <w:rFonts w:ascii="Times New Roman" w:hAnsi="Times New Roman" w:cs="Times New Roman"/>
          <w:sz w:val="24"/>
          <w:szCs w:val="24"/>
        </w:rPr>
        <w:t xml:space="preserve">. </w:t>
      </w:r>
      <w:r w:rsidR="00943B73" w:rsidRPr="00626A06">
        <w:rPr>
          <w:rFonts w:ascii="Times New Roman" w:hAnsi="Times New Roman" w:cs="Times New Roman"/>
          <w:sz w:val="24"/>
          <w:szCs w:val="24"/>
        </w:rPr>
        <w:t>The</w:t>
      </w:r>
      <w:r w:rsidR="00692E06" w:rsidRPr="00626A06">
        <w:rPr>
          <w:rFonts w:ascii="Times New Roman" w:hAnsi="Times New Roman" w:cs="Times New Roman"/>
          <w:sz w:val="24"/>
          <w:szCs w:val="24"/>
        </w:rPr>
        <w:t xml:space="preserve"> provision</w:t>
      </w:r>
      <w:r w:rsidR="00943B73" w:rsidRPr="00626A06">
        <w:rPr>
          <w:rFonts w:ascii="Times New Roman" w:hAnsi="Times New Roman" w:cs="Times New Roman"/>
          <w:sz w:val="24"/>
          <w:szCs w:val="24"/>
        </w:rPr>
        <w:t xml:space="preserve"> as finally enacted</w:t>
      </w:r>
      <w:r w:rsidR="00692E06" w:rsidRPr="00626A06">
        <w:rPr>
          <w:rFonts w:ascii="Times New Roman" w:hAnsi="Times New Roman" w:cs="Times New Roman"/>
          <w:sz w:val="24"/>
          <w:szCs w:val="24"/>
        </w:rPr>
        <w:t xml:space="preserve"> is more closely suited to the frame of thinking associated with the modern </w:t>
      </w:r>
      <w:r w:rsidR="00C31A45" w:rsidRPr="00626A06">
        <w:rPr>
          <w:rFonts w:ascii="Times New Roman" w:hAnsi="Times New Roman" w:cs="Times New Roman"/>
          <w:sz w:val="24"/>
          <w:szCs w:val="24"/>
        </w:rPr>
        <w:t xml:space="preserve">law of </w:t>
      </w:r>
      <w:r w:rsidR="00692E06" w:rsidRPr="00626A06">
        <w:rPr>
          <w:rFonts w:ascii="Times New Roman" w:hAnsi="Times New Roman" w:cs="Times New Roman"/>
          <w:sz w:val="24"/>
          <w:szCs w:val="24"/>
        </w:rPr>
        <w:t xml:space="preserve">tort </w:t>
      </w:r>
      <w:r w:rsidR="00943B73" w:rsidRPr="00626A06">
        <w:rPr>
          <w:rFonts w:ascii="Times New Roman" w:hAnsi="Times New Roman" w:cs="Times New Roman"/>
          <w:sz w:val="24"/>
          <w:szCs w:val="24"/>
        </w:rPr>
        <w:t>in personal injury cases</w:t>
      </w:r>
      <w:r w:rsidR="00E3119D" w:rsidRPr="00626A06">
        <w:rPr>
          <w:rFonts w:ascii="Times New Roman" w:hAnsi="Times New Roman" w:cs="Times New Roman"/>
          <w:sz w:val="24"/>
          <w:szCs w:val="24"/>
        </w:rPr>
        <w:t xml:space="preserve"> than the maritime model</w:t>
      </w:r>
      <w:r w:rsidR="00692E06" w:rsidRPr="00626A06">
        <w:rPr>
          <w:rFonts w:ascii="Times New Roman" w:hAnsi="Times New Roman" w:cs="Times New Roman"/>
          <w:sz w:val="24"/>
          <w:szCs w:val="24"/>
        </w:rPr>
        <w:t>,</w:t>
      </w:r>
      <w:r w:rsidR="00A62167" w:rsidRPr="00626A06">
        <w:rPr>
          <w:rFonts w:ascii="Times New Roman" w:hAnsi="Times New Roman" w:cs="Times New Roman"/>
          <w:sz w:val="24"/>
          <w:szCs w:val="24"/>
        </w:rPr>
        <w:t xml:space="preserve"> and has </w:t>
      </w:r>
      <w:r w:rsidR="00E3119D" w:rsidRPr="00626A06">
        <w:rPr>
          <w:rFonts w:ascii="Times New Roman" w:hAnsi="Times New Roman" w:cs="Times New Roman"/>
          <w:sz w:val="24"/>
          <w:szCs w:val="24"/>
        </w:rPr>
        <w:t xml:space="preserve">undoubtedly </w:t>
      </w:r>
      <w:r w:rsidR="00A62167" w:rsidRPr="00626A06">
        <w:rPr>
          <w:rFonts w:ascii="Times New Roman" w:hAnsi="Times New Roman" w:cs="Times New Roman"/>
          <w:sz w:val="24"/>
          <w:szCs w:val="24"/>
        </w:rPr>
        <w:t>influenced that frame of thinking</w:t>
      </w:r>
      <w:r w:rsidR="007B1683" w:rsidRPr="00626A06">
        <w:rPr>
          <w:rFonts w:ascii="Times New Roman" w:hAnsi="Times New Roman" w:cs="Times New Roman"/>
          <w:sz w:val="24"/>
          <w:szCs w:val="24"/>
        </w:rPr>
        <w:t>. This is because</w:t>
      </w:r>
      <w:r w:rsidR="00692E06" w:rsidRPr="00626A06">
        <w:rPr>
          <w:rFonts w:ascii="Times New Roman" w:hAnsi="Times New Roman" w:cs="Times New Roman"/>
          <w:sz w:val="24"/>
          <w:szCs w:val="24"/>
        </w:rPr>
        <w:t xml:space="preserve"> it focuses on the claimant’s injury and </w:t>
      </w:r>
      <w:r w:rsidR="007243B6" w:rsidRPr="00626A06">
        <w:rPr>
          <w:rFonts w:ascii="Times New Roman" w:hAnsi="Times New Roman" w:cs="Times New Roman"/>
          <w:sz w:val="24"/>
          <w:szCs w:val="24"/>
        </w:rPr>
        <w:t xml:space="preserve">extent of the </w:t>
      </w:r>
      <w:r w:rsidR="00612F83" w:rsidRPr="00626A06">
        <w:rPr>
          <w:rFonts w:ascii="Times New Roman" w:hAnsi="Times New Roman" w:cs="Times New Roman"/>
          <w:sz w:val="24"/>
          <w:szCs w:val="24"/>
        </w:rPr>
        <w:t xml:space="preserve">defendant’s </w:t>
      </w:r>
      <w:r w:rsidR="00692E06" w:rsidRPr="00626A06">
        <w:rPr>
          <w:rFonts w:ascii="Times New Roman" w:hAnsi="Times New Roman" w:cs="Times New Roman"/>
          <w:sz w:val="24"/>
          <w:szCs w:val="24"/>
        </w:rPr>
        <w:t>responsibility</w:t>
      </w:r>
      <w:r w:rsidR="007243B6" w:rsidRPr="00626A06">
        <w:rPr>
          <w:rFonts w:ascii="Times New Roman" w:hAnsi="Times New Roman" w:cs="Times New Roman"/>
          <w:sz w:val="24"/>
          <w:szCs w:val="24"/>
        </w:rPr>
        <w:t xml:space="preserve"> for</w:t>
      </w:r>
      <w:r w:rsidR="006D5182" w:rsidRPr="00626A06">
        <w:rPr>
          <w:rFonts w:ascii="Times New Roman" w:hAnsi="Times New Roman" w:cs="Times New Roman"/>
          <w:sz w:val="24"/>
          <w:szCs w:val="24"/>
        </w:rPr>
        <w:t xml:space="preserve"> it</w:t>
      </w:r>
      <w:r w:rsidR="00692E06" w:rsidRPr="00626A06">
        <w:rPr>
          <w:rFonts w:ascii="Times New Roman" w:hAnsi="Times New Roman" w:cs="Times New Roman"/>
          <w:sz w:val="24"/>
          <w:szCs w:val="24"/>
        </w:rPr>
        <w:t xml:space="preserve">, rather than the sharing of </w:t>
      </w:r>
      <w:r w:rsidR="007C1ACF" w:rsidRPr="00626A06">
        <w:rPr>
          <w:rFonts w:ascii="Times New Roman" w:hAnsi="Times New Roman" w:cs="Times New Roman"/>
          <w:sz w:val="24"/>
          <w:szCs w:val="24"/>
        </w:rPr>
        <w:t xml:space="preserve">liability </w:t>
      </w:r>
      <w:r w:rsidR="00692E06" w:rsidRPr="00626A06">
        <w:rPr>
          <w:rFonts w:ascii="Times New Roman" w:hAnsi="Times New Roman" w:cs="Times New Roman"/>
          <w:sz w:val="24"/>
          <w:szCs w:val="24"/>
        </w:rPr>
        <w:t xml:space="preserve">between parties </w:t>
      </w:r>
      <w:r w:rsidR="00EA0EB5" w:rsidRPr="00626A06">
        <w:rPr>
          <w:rFonts w:ascii="Times New Roman" w:hAnsi="Times New Roman" w:cs="Times New Roman"/>
          <w:sz w:val="24"/>
          <w:szCs w:val="24"/>
        </w:rPr>
        <w:t xml:space="preserve">more or less </w:t>
      </w:r>
      <w:r w:rsidR="00692E06" w:rsidRPr="00626A06">
        <w:rPr>
          <w:rFonts w:ascii="Times New Roman" w:hAnsi="Times New Roman" w:cs="Times New Roman"/>
          <w:sz w:val="24"/>
          <w:szCs w:val="24"/>
        </w:rPr>
        <w:t xml:space="preserve">equally exposed to loss. </w:t>
      </w:r>
      <w:r w:rsidR="00A62167" w:rsidRPr="00626A06">
        <w:rPr>
          <w:rFonts w:ascii="Times New Roman" w:hAnsi="Times New Roman" w:cs="Times New Roman"/>
          <w:sz w:val="24"/>
          <w:szCs w:val="24"/>
        </w:rPr>
        <w:t xml:space="preserve">It is </w:t>
      </w:r>
      <w:r w:rsidR="0031167C" w:rsidRPr="00626A06">
        <w:rPr>
          <w:rFonts w:ascii="Times New Roman" w:hAnsi="Times New Roman" w:cs="Times New Roman"/>
          <w:sz w:val="24"/>
          <w:szCs w:val="24"/>
        </w:rPr>
        <w:t xml:space="preserve">therefore </w:t>
      </w:r>
      <w:r w:rsidR="00A62167" w:rsidRPr="00626A06">
        <w:rPr>
          <w:rFonts w:ascii="Times New Roman" w:hAnsi="Times New Roman" w:cs="Times New Roman"/>
          <w:sz w:val="24"/>
          <w:szCs w:val="24"/>
        </w:rPr>
        <w:t>strongly centred on injury</w:t>
      </w:r>
      <w:r w:rsidR="0093355B" w:rsidRPr="00626A06">
        <w:rPr>
          <w:rFonts w:ascii="Times New Roman" w:hAnsi="Times New Roman" w:cs="Times New Roman"/>
          <w:sz w:val="24"/>
          <w:szCs w:val="24"/>
        </w:rPr>
        <w:t>, and the causal link with another party’s</w:t>
      </w:r>
      <w:r w:rsidR="00A62167" w:rsidRPr="00626A06">
        <w:rPr>
          <w:rFonts w:ascii="Times New Roman" w:hAnsi="Times New Roman" w:cs="Times New Roman"/>
          <w:sz w:val="24"/>
          <w:szCs w:val="24"/>
        </w:rPr>
        <w:t xml:space="preserve"> </w:t>
      </w:r>
      <w:r w:rsidR="00EA0EB5" w:rsidRPr="00626A06">
        <w:rPr>
          <w:rFonts w:ascii="Times New Roman" w:hAnsi="Times New Roman" w:cs="Times New Roman"/>
          <w:sz w:val="24"/>
          <w:szCs w:val="24"/>
        </w:rPr>
        <w:t>de</w:t>
      </w:r>
      <w:r w:rsidR="00A62167" w:rsidRPr="00626A06">
        <w:rPr>
          <w:rFonts w:ascii="Times New Roman" w:hAnsi="Times New Roman" w:cs="Times New Roman"/>
          <w:sz w:val="24"/>
          <w:szCs w:val="24"/>
        </w:rPr>
        <w:t>fault</w:t>
      </w:r>
      <w:r w:rsidR="00F1528A" w:rsidRPr="00626A06">
        <w:rPr>
          <w:rFonts w:ascii="Times New Roman" w:hAnsi="Times New Roman" w:cs="Times New Roman"/>
          <w:sz w:val="24"/>
          <w:szCs w:val="24"/>
        </w:rPr>
        <w:t xml:space="preserve">, </w:t>
      </w:r>
      <w:r w:rsidR="00634139" w:rsidRPr="00626A06">
        <w:rPr>
          <w:rFonts w:ascii="Times New Roman" w:hAnsi="Times New Roman" w:cs="Times New Roman"/>
          <w:sz w:val="24"/>
          <w:szCs w:val="24"/>
        </w:rPr>
        <w:t>accepting that this</w:t>
      </w:r>
      <w:r w:rsidR="00DC2A67" w:rsidRPr="00626A06">
        <w:rPr>
          <w:rFonts w:ascii="Times New Roman" w:hAnsi="Times New Roman" w:cs="Times New Roman"/>
          <w:sz w:val="24"/>
          <w:szCs w:val="24"/>
        </w:rPr>
        <w:t xml:space="preserve"> may </w:t>
      </w:r>
      <w:r w:rsidR="00F1528A" w:rsidRPr="00626A06">
        <w:rPr>
          <w:rFonts w:ascii="Times New Roman" w:hAnsi="Times New Roman" w:cs="Times New Roman"/>
          <w:sz w:val="24"/>
          <w:szCs w:val="24"/>
        </w:rPr>
        <w:t>be a matter of degree</w:t>
      </w:r>
      <w:r w:rsidR="00A62167" w:rsidRPr="00626A06">
        <w:rPr>
          <w:rFonts w:ascii="Times New Roman" w:hAnsi="Times New Roman" w:cs="Times New Roman"/>
          <w:sz w:val="24"/>
          <w:szCs w:val="24"/>
        </w:rPr>
        <w:t xml:space="preserve">. </w:t>
      </w:r>
      <w:r w:rsidRPr="00626A06">
        <w:rPr>
          <w:rFonts w:ascii="Times New Roman" w:hAnsi="Times New Roman" w:cs="Times New Roman"/>
          <w:sz w:val="24"/>
          <w:szCs w:val="24"/>
        </w:rPr>
        <w:t xml:space="preserve">Further, </w:t>
      </w:r>
      <w:r w:rsidR="00F1528A" w:rsidRPr="00626A06">
        <w:rPr>
          <w:rFonts w:ascii="Times New Roman" w:hAnsi="Times New Roman" w:cs="Times New Roman"/>
          <w:sz w:val="24"/>
          <w:szCs w:val="24"/>
        </w:rPr>
        <w:t xml:space="preserve">while </w:t>
      </w:r>
      <w:r w:rsidRPr="00626A06">
        <w:rPr>
          <w:rFonts w:ascii="Times New Roman" w:hAnsi="Times New Roman" w:cs="Times New Roman"/>
          <w:sz w:val="24"/>
          <w:szCs w:val="24"/>
        </w:rPr>
        <w:t>the wording was significantly altered during the process of enactment, the</w:t>
      </w:r>
      <w:r w:rsidR="00A62167" w:rsidRPr="00626A06">
        <w:rPr>
          <w:rFonts w:ascii="Times New Roman" w:hAnsi="Times New Roman" w:cs="Times New Roman"/>
          <w:sz w:val="24"/>
          <w:szCs w:val="24"/>
        </w:rPr>
        <w:t xml:space="preserve"> actual </w:t>
      </w:r>
      <w:r w:rsidRPr="00626A06">
        <w:rPr>
          <w:rFonts w:ascii="Times New Roman" w:hAnsi="Times New Roman" w:cs="Times New Roman"/>
          <w:sz w:val="24"/>
          <w:szCs w:val="24"/>
        </w:rPr>
        <w:t xml:space="preserve">impact of those words has </w:t>
      </w:r>
      <w:r w:rsidR="00E80CD9" w:rsidRPr="00626A06">
        <w:rPr>
          <w:rFonts w:ascii="Times New Roman" w:hAnsi="Times New Roman" w:cs="Times New Roman"/>
          <w:sz w:val="24"/>
          <w:szCs w:val="24"/>
        </w:rPr>
        <w:t xml:space="preserve">in turn </w:t>
      </w:r>
      <w:r w:rsidRPr="00626A06">
        <w:rPr>
          <w:rFonts w:ascii="Times New Roman" w:hAnsi="Times New Roman" w:cs="Times New Roman"/>
          <w:sz w:val="24"/>
          <w:szCs w:val="24"/>
        </w:rPr>
        <w:t xml:space="preserve">been </w:t>
      </w:r>
      <w:r w:rsidR="007211C5" w:rsidRPr="00626A06">
        <w:rPr>
          <w:rFonts w:ascii="Times New Roman" w:hAnsi="Times New Roman" w:cs="Times New Roman"/>
          <w:sz w:val="24"/>
          <w:szCs w:val="24"/>
        </w:rPr>
        <w:t xml:space="preserve">altered </w:t>
      </w:r>
      <w:r w:rsidRPr="00626A06">
        <w:rPr>
          <w:rFonts w:ascii="Times New Roman" w:hAnsi="Times New Roman" w:cs="Times New Roman"/>
          <w:sz w:val="24"/>
          <w:szCs w:val="24"/>
        </w:rPr>
        <w:t xml:space="preserve">by surrounding changes, particularly </w:t>
      </w:r>
      <w:r w:rsidR="00692E06" w:rsidRPr="00626A06">
        <w:rPr>
          <w:rFonts w:ascii="Times New Roman" w:hAnsi="Times New Roman" w:cs="Times New Roman"/>
          <w:sz w:val="24"/>
          <w:szCs w:val="24"/>
        </w:rPr>
        <w:t xml:space="preserve">by </w:t>
      </w:r>
      <w:r w:rsidRPr="00626A06">
        <w:rPr>
          <w:rFonts w:ascii="Times New Roman" w:hAnsi="Times New Roman" w:cs="Times New Roman"/>
          <w:sz w:val="24"/>
          <w:szCs w:val="24"/>
        </w:rPr>
        <w:t xml:space="preserve">shifting notions of responsibility </w:t>
      </w:r>
      <w:r w:rsidR="001F5717" w:rsidRPr="00626A06">
        <w:rPr>
          <w:rFonts w:ascii="Times New Roman" w:hAnsi="Times New Roman" w:cs="Times New Roman"/>
          <w:sz w:val="24"/>
          <w:szCs w:val="24"/>
        </w:rPr>
        <w:t xml:space="preserve">encapsulated in </w:t>
      </w:r>
      <w:r w:rsidRPr="00626A06">
        <w:rPr>
          <w:rFonts w:ascii="Times New Roman" w:hAnsi="Times New Roman" w:cs="Times New Roman"/>
          <w:sz w:val="24"/>
          <w:szCs w:val="24"/>
        </w:rPr>
        <w:t>concepts such as ‘remoteness’ and duty.</w:t>
      </w:r>
      <w:r w:rsidR="00E80CD9" w:rsidRPr="00626A06">
        <w:rPr>
          <w:rFonts w:ascii="Times New Roman" w:hAnsi="Times New Roman" w:cs="Times New Roman"/>
          <w:sz w:val="24"/>
          <w:szCs w:val="24"/>
        </w:rPr>
        <w:t xml:space="preserve"> The full extent of change now effected by the statute </w:t>
      </w:r>
      <w:r w:rsidR="003960E8" w:rsidRPr="00626A06">
        <w:rPr>
          <w:rFonts w:ascii="Times New Roman" w:hAnsi="Times New Roman" w:cs="Times New Roman"/>
          <w:sz w:val="24"/>
          <w:szCs w:val="24"/>
        </w:rPr>
        <w:t xml:space="preserve">demonstrably </w:t>
      </w:r>
      <w:r w:rsidR="00E80CD9" w:rsidRPr="00626A06">
        <w:rPr>
          <w:rFonts w:ascii="Times New Roman" w:hAnsi="Times New Roman" w:cs="Times New Roman"/>
          <w:sz w:val="24"/>
          <w:szCs w:val="24"/>
        </w:rPr>
        <w:t>goes beyond the intentions of those who devised it</w:t>
      </w:r>
      <w:r w:rsidR="007243B6" w:rsidRPr="00626A06">
        <w:rPr>
          <w:rFonts w:ascii="Times New Roman" w:hAnsi="Times New Roman" w:cs="Times New Roman"/>
          <w:sz w:val="24"/>
          <w:szCs w:val="24"/>
        </w:rPr>
        <w:t xml:space="preserve">, but the 1945 Act and the influences upon it </w:t>
      </w:r>
      <w:r w:rsidR="00D233B5" w:rsidRPr="00626A06">
        <w:rPr>
          <w:rFonts w:ascii="Times New Roman" w:hAnsi="Times New Roman" w:cs="Times New Roman"/>
          <w:sz w:val="24"/>
          <w:szCs w:val="24"/>
        </w:rPr>
        <w:t xml:space="preserve">provide important information about </w:t>
      </w:r>
      <w:r w:rsidR="007243B6" w:rsidRPr="00626A06">
        <w:rPr>
          <w:rFonts w:ascii="Times New Roman" w:hAnsi="Times New Roman" w:cs="Times New Roman"/>
          <w:sz w:val="24"/>
          <w:szCs w:val="24"/>
        </w:rPr>
        <w:t>the ‘genealogy’ of modern tort law</w:t>
      </w:r>
      <w:r w:rsidR="00E80CD9" w:rsidRPr="00626A06">
        <w:rPr>
          <w:rFonts w:ascii="Times New Roman" w:hAnsi="Times New Roman" w:cs="Times New Roman"/>
          <w:sz w:val="24"/>
          <w:szCs w:val="24"/>
        </w:rPr>
        <w:t>.</w:t>
      </w:r>
      <w:r w:rsidR="005A381A" w:rsidRPr="00626A06">
        <w:rPr>
          <w:rFonts w:ascii="Times New Roman" w:hAnsi="Times New Roman" w:cs="Times New Roman"/>
          <w:sz w:val="24"/>
          <w:szCs w:val="24"/>
          <w:vertAlign w:val="superscript"/>
        </w:rPr>
        <w:footnoteReference w:id="14"/>
      </w:r>
      <w:r w:rsidR="00A62167" w:rsidRPr="00626A06">
        <w:rPr>
          <w:rFonts w:ascii="Times New Roman" w:hAnsi="Times New Roman" w:cs="Times New Roman"/>
          <w:sz w:val="24"/>
          <w:szCs w:val="24"/>
        </w:rPr>
        <w:t xml:space="preserve"> </w:t>
      </w:r>
    </w:p>
    <w:p w:rsidR="007F18F5" w:rsidRPr="00626A06" w:rsidRDefault="00BC44F9"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To put the point in </w:t>
      </w:r>
      <w:r w:rsidR="009E7C8E" w:rsidRPr="00626A06">
        <w:rPr>
          <w:rFonts w:ascii="Times New Roman" w:hAnsi="Times New Roman" w:cs="Times New Roman"/>
          <w:sz w:val="24"/>
          <w:szCs w:val="24"/>
        </w:rPr>
        <w:t xml:space="preserve">more explicitly </w:t>
      </w:r>
      <w:r w:rsidRPr="00626A06">
        <w:rPr>
          <w:rFonts w:ascii="Times New Roman" w:hAnsi="Times New Roman" w:cs="Times New Roman"/>
          <w:sz w:val="24"/>
          <w:szCs w:val="24"/>
        </w:rPr>
        <w:t>‘evolutionary’ terms, the retention of the Admiralty collision rule f</w:t>
      </w:r>
      <w:r w:rsidR="007C1ACF" w:rsidRPr="00626A06">
        <w:rPr>
          <w:rFonts w:ascii="Times New Roman" w:hAnsi="Times New Roman" w:cs="Times New Roman"/>
          <w:sz w:val="24"/>
          <w:szCs w:val="24"/>
        </w:rPr>
        <w:t>or maritime cases after 1873 could</w:t>
      </w:r>
      <w:r w:rsidRPr="00626A06">
        <w:rPr>
          <w:rFonts w:ascii="Times New Roman" w:hAnsi="Times New Roman" w:cs="Times New Roman"/>
          <w:sz w:val="24"/>
          <w:szCs w:val="24"/>
        </w:rPr>
        <w:t xml:space="preserve"> be seen as an unconscious exercise in legal biodiversity, the previously belittled ‘rough justice’ of the maritime rule </w:t>
      </w:r>
      <w:r w:rsidR="008471C5" w:rsidRPr="00626A06">
        <w:rPr>
          <w:rFonts w:ascii="Times New Roman" w:hAnsi="Times New Roman" w:cs="Times New Roman"/>
          <w:sz w:val="24"/>
          <w:szCs w:val="24"/>
        </w:rPr>
        <w:t>later</w:t>
      </w:r>
      <w:r w:rsidR="00634139" w:rsidRPr="00626A06">
        <w:rPr>
          <w:rFonts w:ascii="Times New Roman" w:hAnsi="Times New Roman" w:cs="Times New Roman"/>
          <w:sz w:val="24"/>
          <w:szCs w:val="24"/>
        </w:rPr>
        <w:t xml:space="preserve"> being </w:t>
      </w:r>
      <w:r w:rsidR="00956E4B" w:rsidRPr="00626A06">
        <w:rPr>
          <w:rFonts w:ascii="Times New Roman" w:hAnsi="Times New Roman" w:cs="Times New Roman"/>
          <w:sz w:val="24"/>
          <w:szCs w:val="24"/>
        </w:rPr>
        <w:t xml:space="preserve">used to </w:t>
      </w:r>
      <w:r w:rsidR="00634139" w:rsidRPr="00626A06">
        <w:rPr>
          <w:rFonts w:ascii="Times New Roman" w:hAnsi="Times New Roman" w:cs="Times New Roman"/>
          <w:sz w:val="24"/>
          <w:szCs w:val="24"/>
        </w:rPr>
        <w:t xml:space="preserve">instigate far-reaching change in the </w:t>
      </w:r>
      <w:r w:rsidR="009E7C8E" w:rsidRPr="00626A06">
        <w:rPr>
          <w:rFonts w:ascii="Times New Roman" w:hAnsi="Times New Roman" w:cs="Times New Roman"/>
          <w:sz w:val="24"/>
          <w:szCs w:val="24"/>
        </w:rPr>
        <w:t xml:space="preserve">very </w:t>
      </w:r>
      <w:r w:rsidR="00634139" w:rsidRPr="00626A06">
        <w:rPr>
          <w:rFonts w:ascii="Times New Roman" w:hAnsi="Times New Roman" w:cs="Times New Roman"/>
          <w:sz w:val="24"/>
          <w:szCs w:val="24"/>
        </w:rPr>
        <w:t xml:space="preserve">common law </w:t>
      </w:r>
      <w:r w:rsidR="00652FCD" w:rsidRPr="00626A06">
        <w:rPr>
          <w:rFonts w:ascii="Times New Roman" w:hAnsi="Times New Roman" w:cs="Times New Roman"/>
          <w:sz w:val="24"/>
          <w:szCs w:val="24"/>
        </w:rPr>
        <w:t xml:space="preserve">which </w:t>
      </w:r>
      <w:r w:rsidR="009E7C8E" w:rsidRPr="00626A06">
        <w:rPr>
          <w:rFonts w:ascii="Times New Roman" w:hAnsi="Times New Roman" w:cs="Times New Roman"/>
          <w:sz w:val="24"/>
          <w:szCs w:val="24"/>
        </w:rPr>
        <w:t xml:space="preserve">had </w:t>
      </w:r>
      <w:r w:rsidR="00652FCD" w:rsidRPr="00626A06">
        <w:rPr>
          <w:rFonts w:ascii="Times New Roman" w:hAnsi="Times New Roman" w:cs="Times New Roman"/>
          <w:sz w:val="24"/>
          <w:szCs w:val="24"/>
        </w:rPr>
        <w:t>so nearly engulfed it</w:t>
      </w:r>
      <w:r w:rsidRPr="00626A06">
        <w:rPr>
          <w:rFonts w:ascii="Times New Roman" w:hAnsi="Times New Roman" w:cs="Times New Roman"/>
          <w:sz w:val="24"/>
          <w:szCs w:val="24"/>
        </w:rPr>
        <w:t xml:space="preserve">. This </w:t>
      </w:r>
      <w:r w:rsidR="00A70E1D" w:rsidRPr="00626A06">
        <w:rPr>
          <w:rFonts w:ascii="Times New Roman" w:hAnsi="Times New Roman" w:cs="Times New Roman"/>
          <w:sz w:val="24"/>
          <w:szCs w:val="24"/>
        </w:rPr>
        <w:t xml:space="preserve">broadly commercial </w:t>
      </w:r>
      <w:r w:rsidRPr="00626A06">
        <w:rPr>
          <w:rFonts w:ascii="Times New Roman" w:hAnsi="Times New Roman" w:cs="Times New Roman"/>
          <w:sz w:val="24"/>
          <w:szCs w:val="24"/>
        </w:rPr>
        <w:t xml:space="preserve">heritage </w:t>
      </w:r>
      <w:r w:rsidR="00A70E1D" w:rsidRPr="00626A06">
        <w:rPr>
          <w:rFonts w:ascii="Times New Roman" w:hAnsi="Times New Roman" w:cs="Times New Roman"/>
          <w:sz w:val="24"/>
          <w:szCs w:val="24"/>
        </w:rPr>
        <w:t xml:space="preserve">continues to be </w:t>
      </w:r>
      <w:r w:rsidRPr="00626A06">
        <w:rPr>
          <w:rFonts w:ascii="Times New Roman" w:hAnsi="Times New Roman" w:cs="Times New Roman"/>
          <w:sz w:val="24"/>
          <w:szCs w:val="24"/>
        </w:rPr>
        <w:t>of undoubted significance</w:t>
      </w:r>
      <w:r w:rsidR="00A70E1D" w:rsidRPr="00626A06">
        <w:rPr>
          <w:rFonts w:ascii="Times New Roman" w:hAnsi="Times New Roman" w:cs="Times New Roman"/>
          <w:sz w:val="24"/>
          <w:szCs w:val="24"/>
        </w:rPr>
        <w:t>, as we will see</w:t>
      </w:r>
      <w:r w:rsidR="00634139" w:rsidRPr="00626A06">
        <w:rPr>
          <w:rFonts w:ascii="Times New Roman" w:hAnsi="Times New Roman" w:cs="Times New Roman"/>
          <w:sz w:val="24"/>
          <w:szCs w:val="24"/>
        </w:rPr>
        <w:t>. But the</w:t>
      </w:r>
      <w:r w:rsidRPr="00626A06">
        <w:rPr>
          <w:rFonts w:ascii="Times New Roman" w:hAnsi="Times New Roman" w:cs="Times New Roman"/>
          <w:sz w:val="24"/>
          <w:szCs w:val="24"/>
        </w:rPr>
        <w:t xml:space="preserve"> reform as finally enacted</w:t>
      </w:r>
      <w:r w:rsidR="00634139" w:rsidRPr="00626A06">
        <w:rPr>
          <w:rFonts w:ascii="Times New Roman" w:hAnsi="Times New Roman" w:cs="Times New Roman"/>
          <w:sz w:val="24"/>
          <w:szCs w:val="24"/>
        </w:rPr>
        <w:t xml:space="preserve"> illustrates </w:t>
      </w:r>
      <w:r w:rsidR="008471C5" w:rsidRPr="00626A06">
        <w:rPr>
          <w:rFonts w:ascii="Times New Roman" w:hAnsi="Times New Roman" w:cs="Times New Roman"/>
          <w:sz w:val="24"/>
          <w:szCs w:val="24"/>
        </w:rPr>
        <w:t>a different kind of evolutionary process</w:t>
      </w:r>
      <w:r w:rsidRPr="00626A06">
        <w:rPr>
          <w:rFonts w:ascii="Times New Roman" w:hAnsi="Times New Roman" w:cs="Times New Roman"/>
          <w:sz w:val="24"/>
          <w:szCs w:val="24"/>
        </w:rPr>
        <w:t xml:space="preserve">. </w:t>
      </w:r>
      <w:r w:rsidR="00634139" w:rsidRPr="00626A06">
        <w:rPr>
          <w:rFonts w:ascii="Times New Roman" w:hAnsi="Times New Roman" w:cs="Times New Roman"/>
          <w:sz w:val="24"/>
          <w:szCs w:val="24"/>
        </w:rPr>
        <w:t>Lord Simon’s provision</w:t>
      </w:r>
      <w:r w:rsidRPr="00626A06">
        <w:rPr>
          <w:rFonts w:ascii="Times New Roman" w:hAnsi="Times New Roman" w:cs="Times New Roman"/>
          <w:sz w:val="24"/>
          <w:szCs w:val="24"/>
        </w:rPr>
        <w:t xml:space="preserve"> could be described as </w:t>
      </w:r>
      <w:r w:rsidR="008471C5" w:rsidRPr="00626A06">
        <w:rPr>
          <w:rFonts w:ascii="Times New Roman" w:hAnsi="Times New Roman" w:cs="Times New Roman"/>
          <w:sz w:val="24"/>
          <w:szCs w:val="24"/>
        </w:rPr>
        <w:t xml:space="preserve">taking </w:t>
      </w:r>
      <w:r w:rsidRPr="00626A06">
        <w:rPr>
          <w:rFonts w:ascii="Times New Roman" w:hAnsi="Times New Roman" w:cs="Times New Roman"/>
          <w:sz w:val="24"/>
          <w:szCs w:val="24"/>
        </w:rPr>
        <w:t>an ‘evolutionary leap’, creating a new provision or ‘concept’</w:t>
      </w:r>
      <w:r w:rsidR="008471C5" w:rsidRPr="00626A06">
        <w:rPr>
          <w:rFonts w:ascii="Times New Roman" w:hAnsi="Times New Roman" w:cs="Times New Roman"/>
          <w:sz w:val="24"/>
          <w:szCs w:val="24"/>
        </w:rPr>
        <w:t xml:space="preserve"> (reduction of</w:t>
      </w:r>
      <w:r w:rsidRPr="00626A06">
        <w:rPr>
          <w:rFonts w:ascii="Times New Roman" w:hAnsi="Times New Roman" w:cs="Times New Roman"/>
          <w:sz w:val="24"/>
          <w:szCs w:val="24"/>
        </w:rPr>
        <w:t xml:space="preserve"> damages</w:t>
      </w:r>
      <w:r w:rsidR="008471C5" w:rsidRPr="00626A06">
        <w:rPr>
          <w:rFonts w:ascii="Times New Roman" w:hAnsi="Times New Roman" w:cs="Times New Roman"/>
          <w:sz w:val="24"/>
          <w:szCs w:val="24"/>
        </w:rPr>
        <w:t>, not sharing of liability</w:t>
      </w:r>
      <w:r w:rsidRPr="00626A06">
        <w:rPr>
          <w:rFonts w:ascii="Times New Roman" w:hAnsi="Times New Roman" w:cs="Times New Roman"/>
          <w:sz w:val="24"/>
          <w:szCs w:val="24"/>
        </w:rPr>
        <w:t xml:space="preserve">) with a new type of focus on responsibility. </w:t>
      </w:r>
      <w:r w:rsidR="00A70E1D" w:rsidRPr="00626A06">
        <w:rPr>
          <w:rFonts w:ascii="Times New Roman" w:hAnsi="Times New Roman" w:cs="Times New Roman"/>
          <w:sz w:val="24"/>
          <w:szCs w:val="24"/>
        </w:rPr>
        <w:t>The legislative history shows that i</w:t>
      </w:r>
      <w:r w:rsidRPr="00626A06">
        <w:rPr>
          <w:rFonts w:ascii="Times New Roman" w:hAnsi="Times New Roman" w:cs="Times New Roman"/>
          <w:sz w:val="24"/>
          <w:szCs w:val="24"/>
        </w:rPr>
        <w:t xml:space="preserve">ndustrial accidents, rather than ships and cars, provided the context for this leap to seem necessary. As </w:t>
      </w:r>
      <w:r w:rsidR="000806EF" w:rsidRPr="00626A06">
        <w:rPr>
          <w:rFonts w:ascii="Times New Roman" w:hAnsi="Times New Roman" w:cs="Times New Roman"/>
          <w:sz w:val="24"/>
          <w:szCs w:val="24"/>
        </w:rPr>
        <w:t xml:space="preserve">current </w:t>
      </w:r>
      <w:r w:rsidRPr="00626A06">
        <w:rPr>
          <w:rFonts w:ascii="Times New Roman" w:hAnsi="Times New Roman" w:cs="Times New Roman"/>
          <w:sz w:val="24"/>
          <w:szCs w:val="24"/>
        </w:rPr>
        <w:t xml:space="preserve">evolutionary </w:t>
      </w:r>
      <w:r w:rsidRPr="00626A06">
        <w:rPr>
          <w:rFonts w:ascii="Times New Roman" w:hAnsi="Times New Roman" w:cs="Times New Roman"/>
          <w:sz w:val="24"/>
          <w:szCs w:val="24"/>
        </w:rPr>
        <w:lastRenderedPageBreak/>
        <w:t>approaches to law would predict,</w:t>
      </w:r>
      <w:bookmarkStart w:id="6" w:name="_Ref319266841"/>
      <w:r w:rsidR="00A70E1D" w:rsidRPr="00626A06">
        <w:rPr>
          <w:rStyle w:val="FootnoteReference"/>
          <w:rFonts w:ascii="Times New Roman" w:hAnsi="Times New Roman" w:cs="Times New Roman"/>
          <w:sz w:val="24"/>
          <w:szCs w:val="24"/>
        </w:rPr>
        <w:footnoteReference w:id="15"/>
      </w:r>
      <w:bookmarkEnd w:id="6"/>
      <w:r w:rsidRPr="00626A06">
        <w:rPr>
          <w:rFonts w:ascii="Times New Roman" w:hAnsi="Times New Roman" w:cs="Times New Roman"/>
          <w:sz w:val="24"/>
          <w:szCs w:val="24"/>
        </w:rPr>
        <w:t xml:space="preserve"> in </w:t>
      </w:r>
      <w:r w:rsidR="00C56419" w:rsidRPr="00626A06">
        <w:rPr>
          <w:rFonts w:ascii="Times New Roman" w:hAnsi="Times New Roman" w:cs="Times New Roman"/>
          <w:sz w:val="24"/>
          <w:szCs w:val="24"/>
        </w:rPr>
        <w:t xml:space="preserve">no sense </w:t>
      </w:r>
      <w:r w:rsidRPr="00626A06">
        <w:rPr>
          <w:rFonts w:ascii="Times New Roman" w:hAnsi="Times New Roman" w:cs="Times New Roman"/>
          <w:sz w:val="24"/>
          <w:szCs w:val="24"/>
        </w:rPr>
        <w:t xml:space="preserve">was the eventual impact of the change fully appreciated, or fully within the intentions of the law-makers. The paradigmatic nature of responsibility sharing and of the </w:t>
      </w:r>
      <w:r w:rsidR="007C1ACF" w:rsidRPr="00626A06">
        <w:rPr>
          <w:rFonts w:ascii="Times New Roman" w:hAnsi="Times New Roman" w:cs="Times New Roman"/>
          <w:sz w:val="24"/>
          <w:szCs w:val="24"/>
        </w:rPr>
        <w:t xml:space="preserve">exorcism of absolutes </w:t>
      </w:r>
      <w:r w:rsidR="007C1ACF" w:rsidRPr="00626A06">
        <w:rPr>
          <w:rFonts w:ascii="Times New Roman" w:hAnsi="Times New Roman" w:cs="Times New Roman"/>
          <w:i/>
          <w:sz w:val="24"/>
          <w:szCs w:val="24"/>
        </w:rPr>
        <w:t>could</w:t>
      </w:r>
      <w:r w:rsidR="007C1ACF" w:rsidRPr="00626A06">
        <w:rPr>
          <w:rFonts w:ascii="Times New Roman" w:hAnsi="Times New Roman" w:cs="Times New Roman"/>
          <w:sz w:val="24"/>
          <w:szCs w:val="24"/>
        </w:rPr>
        <w:t xml:space="preserve"> only become clear over time;</w:t>
      </w:r>
      <w:r w:rsidR="00A70E1D" w:rsidRPr="00626A06">
        <w:rPr>
          <w:rFonts w:ascii="Times New Roman" w:hAnsi="Times New Roman" w:cs="Times New Roman"/>
          <w:sz w:val="24"/>
          <w:szCs w:val="24"/>
        </w:rPr>
        <w:t xml:space="preserve"> and</w:t>
      </w:r>
      <w:r w:rsidR="007C1ACF" w:rsidRPr="00626A06">
        <w:rPr>
          <w:rFonts w:ascii="Times New Roman" w:hAnsi="Times New Roman" w:cs="Times New Roman"/>
          <w:sz w:val="24"/>
          <w:szCs w:val="24"/>
        </w:rPr>
        <w:t xml:space="preserve"> whether these developments are beneficial, still less functionally ideal, is a</w:t>
      </w:r>
      <w:r w:rsidR="00A70E1D" w:rsidRPr="00626A06">
        <w:rPr>
          <w:rFonts w:ascii="Times New Roman" w:hAnsi="Times New Roman" w:cs="Times New Roman"/>
          <w:sz w:val="24"/>
          <w:szCs w:val="24"/>
        </w:rPr>
        <w:t>n entirely</w:t>
      </w:r>
      <w:r w:rsidR="007C1ACF" w:rsidRPr="00626A06">
        <w:rPr>
          <w:rFonts w:ascii="Times New Roman" w:hAnsi="Times New Roman" w:cs="Times New Roman"/>
          <w:sz w:val="24"/>
          <w:szCs w:val="24"/>
        </w:rPr>
        <w:t xml:space="preserve"> different question</w:t>
      </w:r>
      <w:r w:rsidR="00A70E1D" w:rsidRPr="00626A06">
        <w:rPr>
          <w:rFonts w:ascii="Times New Roman" w:hAnsi="Times New Roman" w:cs="Times New Roman"/>
          <w:sz w:val="24"/>
          <w:szCs w:val="24"/>
        </w:rPr>
        <w:t>,</w:t>
      </w:r>
      <w:r w:rsidR="007C1ACF" w:rsidRPr="00626A06">
        <w:rPr>
          <w:rFonts w:ascii="Times New Roman" w:hAnsi="Times New Roman" w:cs="Times New Roman"/>
          <w:sz w:val="24"/>
          <w:szCs w:val="24"/>
        </w:rPr>
        <w:t xml:space="preserve"> on which views are undoubtedly still adapting.</w:t>
      </w:r>
      <w:r w:rsidRPr="00626A06">
        <w:rPr>
          <w:rFonts w:ascii="Times New Roman" w:hAnsi="Times New Roman" w:cs="Times New Roman"/>
          <w:sz w:val="24"/>
          <w:szCs w:val="24"/>
        </w:rPr>
        <w:t xml:space="preserve"> </w:t>
      </w:r>
    </w:p>
    <w:p w:rsidR="0051396A" w:rsidRPr="00626A06" w:rsidRDefault="008471C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Illustrating</w:t>
      </w:r>
      <w:r w:rsidR="0015081E" w:rsidRPr="00626A06">
        <w:rPr>
          <w:rFonts w:ascii="Times New Roman" w:hAnsi="Times New Roman" w:cs="Times New Roman"/>
          <w:sz w:val="24"/>
          <w:szCs w:val="24"/>
        </w:rPr>
        <w:t xml:space="preserve"> the significance of the step taken</w:t>
      </w:r>
      <w:r w:rsidR="00A03AA0" w:rsidRPr="00626A06">
        <w:rPr>
          <w:rFonts w:ascii="Times New Roman" w:hAnsi="Times New Roman" w:cs="Times New Roman"/>
          <w:sz w:val="24"/>
          <w:szCs w:val="24"/>
        </w:rPr>
        <w:t>, c</w:t>
      </w:r>
      <w:r w:rsidR="00B00051" w:rsidRPr="00626A06">
        <w:rPr>
          <w:rFonts w:ascii="Times New Roman" w:hAnsi="Times New Roman" w:cs="Times New Roman"/>
          <w:sz w:val="24"/>
          <w:szCs w:val="24"/>
        </w:rPr>
        <w:t xml:space="preserve">ontributory negligence </w:t>
      </w:r>
      <w:r w:rsidR="003E1A25" w:rsidRPr="00626A06">
        <w:rPr>
          <w:rFonts w:ascii="Times New Roman" w:hAnsi="Times New Roman" w:cs="Times New Roman"/>
          <w:sz w:val="24"/>
          <w:szCs w:val="24"/>
        </w:rPr>
        <w:t xml:space="preserve">in its revised form </w:t>
      </w:r>
      <w:r w:rsidR="00A33131" w:rsidRPr="00626A06">
        <w:rPr>
          <w:rFonts w:ascii="Times New Roman" w:hAnsi="Times New Roman" w:cs="Times New Roman"/>
          <w:sz w:val="24"/>
          <w:szCs w:val="24"/>
        </w:rPr>
        <w:t xml:space="preserve">has come to be </w:t>
      </w:r>
      <w:r w:rsidR="001F653C" w:rsidRPr="00626A06">
        <w:rPr>
          <w:rFonts w:ascii="Times New Roman" w:hAnsi="Times New Roman" w:cs="Times New Roman"/>
          <w:sz w:val="24"/>
          <w:szCs w:val="24"/>
        </w:rPr>
        <w:t xml:space="preserve">regarded </w:t>
      </w:r>
      <w:r w:rsidR="003E1A25" w:rsidRPr="00626A06">
        <w:rPr>
          <w:rFonts w:ascii="Times New Roman" w:hAnsi="Times New Roman" w:cs="Times New Roman"/>
          <w:sz w:val="24"/>
          <w:szCs w:val="24"/>
        </w:rPr>
        <w:t xml:space="preserve">by </w:t>
      </w:r>
      <w:r w:rsidR="00F25D62" w:rsidRPr="00626A06">
        <w:rPr>
          <w:rFonts w:ascii="Times New Roman" w:hAnsi="Times New Roman" w:cs="Times New Roman"/>
          <w:sz w:val="24"/>
          <w:szCs w:val="24"/>
        </w:rPr>
        <w:t xml:space="preserve">many </w:t>
      </w:r>
      <w:r w:rsidR="001F653C" w:rsidRPr="00626A06">
        <w:rPr>
          <w:rFonts w:ascii="Times New Roman" w:hAnsi="Times New Roman" w:cs="Times New Roman"/>
          <w:sz w:val="24"/>
          <w:szCs w:val="24"/>
        </w:rPr>
        <w:t xml:space="preserve">as the pre-eminent defence in the modern law of tort, </w:t>
      </w:r>
      <w:r w:rsidR="003E1A25" w:rsidRPr="00626A06">
        <w:rPr>
          <w:rFonts w:ascii="Times New Roman" w:hAnsi="Times New Roman" w:cs="Times New Roman"/>
          <w:sz w:val="24"/>
          <w:szCs w:val="24"/>
        </w:rPr>
        <w:t xml:space="preserve">not only </w:t>
      </w:r>
      <w:r w:rsidR="001F653C" w:rsidRPr="00626A06">
        <w:rPr>
          <w:rFonts w:ascii="Times New Roman" w:hAnsi="Times New Roman" w:cs="Times New Roman"/>
          <w:sz w:val="24"/>
          <w:szCs w:val="24"/>
        </w:rPr>
        <w:t>in terms of the frequen</w:t>
      </w:r>
      <w:r w:rsidR="003E1A25" w:rsidRPr="00626A06">
        <w:rPr>
          <w:rFonts w:ascii="Times New Roman" w:hAnsi="Times New Roman" w:cs="Times New Roman"/>
          <w:sz w:val="24"/>
          <w:szCs w:val="24"/>
        </w:rPr>
        <w:t>cy with which it is applied, but also</w:t>
      </w:r>
      <w:r w:rsidR="001F653C" w:rsidRPr="00626A06">
        <w:rPr>
          <w:rFonts w:ascii="Times New Roman" w:hAnsi="Times New Roman" w:cs="Times New Roman"/>
          <w:sz w:val="24"/>
          <w:szCs w:val="24"/>
        </w:rPr>
        <w:t xml:space="preserve"> in terms of its suitability for (most of) this area of law today.</w:t>
      </w:r>
      <w:r w:rsidR="003D4B44" w:rsidRPr="00626A06">
        <w:rPr>
          <w:rStyle w:val="FootnoteReference"/>
          <w:rFonts w:ascii="Times New Roman" w:hAnsi="Times New Roman" w:cs="Times New Roman"/>
          <w:sz w:val="24"/>
          <w:szCs w:val="24"/>
        </w:rPr>
        <w:footnoteReference w:id="16"/>
      </w:r>
      <w:r w:rsidR="00C17906" w:rsidRPr="00626A06">
        <w:rPr>
          <w:rFonts w:ascii="Times New Roman" w:hAnsi="Times New Roman" w:cs="Times New Roman"/>
          <w:sz w:val="24"/>
          <w:szCs w:val="24"/>
        </w:rPr>
        <w:t xml:space="preserve"> </w:t>
      </w:r>
      <w:r w:rsidR="00F1528A" w:rsidRPr="00626A06">
        <w:rPr>
          <w:rFonts w:ascii="Times New Roman" w:hAnsi="Times New Roman" w:cs="Times New Roman"/>
          <w:sz w:val="24"/>
          <w:szCs w:val="24"/>
        </w:rPr>
        <w:t xml:space="preserve">For example, the late Tony Weir in his </w:t>
      </w:r>
      <w:r w:rsidR="00F1528A" w:rsidRPr="00626A06">
        <w:rPr>
          <w:rFonts w:ascii="Times New Roman" w:hAnsi="Times New Roman" w:cs="Times New Roman"/>
          <w:i/>
          <w:sz w:val="24"/>
          <w:szCs w:val="24"/>
        </w:rPr>
        <w:t xml:space="preserve">Introduction to the Law of Tort </w:t>
      </w:r>
      <w:r w:rsidR="00F1528A" w:rsidRPr="00626A06">
        <w:rPr>
          <w:rFonts w:ascii="Times New Roman" w:hAnsi="Times New Roman" w:cs="Times New Roman"/>
          <w:sz w:val="24"/>
          <w:szCs w:val="24"/>
        </w:rPr>
        <w:t>entitled his chapter on defences ‘Contributory Negligence’, dealing with ‘other defences’ towards the end of the same chapter.</w:t>
      </w:r>
      <w:bookmarkStart w:id="7" w:name="_Ref319260708"/>
      <w:r w:rsidR="00F1528A" w:rsidRPr="00626A06">
        <w:rPr>
          <w:rStyle w:val="FootnoteReference"/>
          <w:rFonts w:ascii="Times New Roman" w:hAnsi="Times New Roman" w:cs="Times New Roman"/>
          <w:sz w:val="24"/>
          <w:szCs w:val="24"/>
        </w:rPr>
        <w:footnoteReference w:id="17"/>
      </w:r>
      <w:bookmarkEnd w:id="7"/>
      <w:r w:rsidR="00F1528A" w:rsidRPr="00626A06">
        <w:rPr>
          <w:rFonts w:ascii="Times New Roman" w:hAnsi="Times New Roman" w:cs="Times New Roman"/>
          <w:sz w:val="24"/>
          <w:szCs w:val="24"/>
        </w:rPr>
        <w:t xml:space="preserve"> </w:t>
      </w:r>
      <w:r w:rsidR="0051396A" w:rsidRPr="00626A06">
        <w:rPr>
          <w:rFonts w:ascii="Times New Roman" w:hAnsi="Times New Roman" w:cs="Times New Roman"/>
          <w:sz w:val="24"/>
          <w:szCs w:val="24"/>
        </w:rPr>
        <w:t xml:space="preserve">In </w:t>
      </w:r>
      <w:proofErr w:type="spellStart"/>
      <w:r w:rsidR="0051396A" w:rsidRPr="00626A06">
        <w:rPr>
          <w:rFonts w:ascii="Times New Roman" w:hAnsi="Times New Roman" w:cs="Times New Roman"/>
          <w:i/>
          <w:sz w:val="24"/>
          <w:szCs w:val="24"/>
        </w:rPr>
        <w:t>Vellino</w:t>
      </w:r>
      <w:proofErr w:type="spellEnd"/>
      <w:r w:rsidR="0051396A" w:rsidRPr="00626A06">
        <w:rPr>
          <w:rFonts w:ascii="Times New Roman" w:hAnsi="Times New Roman" w:cs="Times New Roman"/>
          <w:i/>
          <w:sz w:val="24"/>
          <w:szCs w:val="24"/>
        </w:rPr>
        <w:t xml:space="preserve"> v Chief Constable of the Greater Manchester Police</w:t>
      </w:r>
      <w:r w:rsidR="0051396A" w:rsidRPr="00626A06">
        <w:rPr>
          <w:rFonts w:ascii="Times New Roman" w:hAnsi="Times New Roman" w:cs="Times New Roman"/>
          <w:sz w:val="24"/>
          <w:szCs w:val="24"/>
        </w:rPr>
        <w:t>,</w:t>
      </w:r>
      <w:r w:rsidR="00C31A45" w:rsidRPr="00626A06">
        <w:rPr>
          <w:rFonts w:ascii="Times New Roman" w:hAnsi="Times New Roman" w:cs="Times New Roman"/>
          <w:sz w:val="24"/>
          <w:szCs w:val="24"/>
          <w:vertAlign w:val="superscript"/>
        </w:rPr>
        <w:footnoteReference w:id="18"/>
      </w:r>
      <w:r w:rsidR="00C31A45" w:rsidRPr="00626A06">
        <w:rPr>
          <w:rFonts w:ascii="Times New Roman" w:hAnsi="Times New Roman" w:cs="Times New Roman"/>
          <w:sz w:val="24"/>
          <w:szCs w:val="24"/>
        </w:rPr>
        <w:t xml:space="preserve"> </w:t>
      </w:r>
      <w:proofErr w:type="spellStart"/>
      <w:r w:rsidR="0051396A" w:rsidRPr="00626A06">
        <w:rPr>
          <w:rFonts w:ascii="Times New Roman" w:hAnsi="Times New Roman" w:cs="Times New Roman"/>
          <w:sz w:val="24"/>
          <w:szCs w:val="24"/>
        </w:rPr>
        <w:t>Sedley</w:t>
      </w:r>
      <w:proofErr w:type="spellEnd"/>
      <w:r w:rsidR="0051396A" w:rsidRPr="00626A06">
        <w:rPr>
          <w:rFonts w:ascii="Times New Roman" w:hAnsi="Times New Roman" w:cs="Times New Roman"/>
          <w:sz w:val="24"/>
          <w:szCs w:val="24"/>
        </w:rPr>
        <w:t xml:space="preserve"> LJ considered an argument (drawn from breach of statutory duty cases) that a defence of </w:t>
      </w:r>
      <w:r w:rsidR="0051396A" w:rsidRPr="00626A06">
        <w:rPr>
          <w:rFonts w:ascii="Times New Roman" w:hAnsi="Times New Roman" w:cs="Times New Roman"/>
          <w:i/>
          <w:sz w:val="24"/>
          <w:szCs w:val="24"/>
        </w:rPr>
        <w:t xml:space="preserve">ex </w:t>
      </w:r>
      <w:proofErr w:type="spellStart"/>
      <w:r w:rsidR="0051396A" w:rsidRPr="00626A06">
        <w:rPr>
          <w:rFonts w:ascii="Times New Roman" w:hAnsi="Times New Roman" w:cs="Times New Roman"/>
          <w:i/>
          <w:sz w:val="24"/>
          <w:szCs w:val="24"/>
        </w:rPr>
        <w:t>turpi</w:t>
      </w:r>
      <w:proofErr w:type="spellEnd"/>
      <w:r w:rsidR="0051396A" w:rsidRPr="00626A06">
        <w:rPr>
          <w:rFonts w:ascii="Times New Roman" w:hAnsi="Times New Roman" w:cs="Times New Roman"/>
          <w:i/>
          <w:sz w:val="24"/>
          <w:szCs w:val="24"/>
        </w:rPr>
        <w:t xml:space="preserve"> </w:t>
      </w:r>
      <w:proofErr w:type="spellStart"/>
      <w:r w:rsidR="0051396A" w:rsidRPr="00626A06">
        <w:rPr>
          <w:rFonts w:ascii="Times New Roman" w:hAnsi="Times New Roman" w:cs="Times New Roman"/>
          <w:i/>
          <w:sz w:val="24"/>
          <w:szCs w:val="24"/>
        </w:rPr>
        <w:t>causa</w:t>
      </w:r>
      <w:proofErr w:type="spellEnd"/>
      <w:r w:rsidR="0051396A" w:rsidRPr="00626A06">
        <w:rPr>
          <w:rFonts w:ascii="Times New Roman" w:hAnsi="Times New Roman" w:cs="Times New Roman"/>
          <w:i/>
          <w:sz w:val="24"/>
          <w:szCs w:val="24"/>
        </w:rPr>
        <w:t xml:space="preserve"> </w:t>
      </w:r>
      <w:r w:rsidR="0051396A" w:rsidRPr="00626A06">
        <w:rPr>
          <w:rFonts w:ascii="Times New Roman" w:hAnsi="Times New Roman" w:cs="Times New Roman"/>
          <w:sz w:val="24"/>
          <w:szCs w:val="24"/>
        </w:rPr>
        <w:t xml:space="preserve">in the law of tort was </w:t>
      </w:r>
      <w:r w:rsidR="002D77BF" w:rsidRPr="00626A06">
        <w:rPr>
          <w:rFonts w:ascii="Times New Roman" w:hAnsi="Times New Roman" w:cs="Times New Roman"/>
          <w:sz w:val="24"/>
          <w:szCs w:val="24"/>
        </w:rPr>
        <w:t xml:space="preserve">actually </w:t>
      </w:r>
      <w:r w:rsidR="0051396A" w:rsidRPr="00626A06">
        <w:rPr>
          <w:rFonts w:ascii="Times New Roman" w:hAnsi="Times New Roman" w:cs="Times New Roman"/>
          <w:i/>
          <w:sz w:val="24"/>
          <w:szCs w:val="24"/>
        </w:rPr>
        <w:t>inconsistent with</w:t>
      </w:r>
      <w:r w:rsidR="0051396A" w:rsidRPr="00626A06">
        <w:rPr>
          <w:rFonts w:ascii="Times New Roman" w:hAnsi="Times New Roman" w:cs="Times New Roman"/>
          <w:sz w:val="24"/>
          <w:szCs w:val="24"/>
        </w:rPr>
        <w:t xml:space="preserve"> the 1945 Act</w:t>
      </w:r>
      <w:r w:rsidR="002D77BF" w:rsidRPr="00626A06">
        <w:rPr>
          <w:rFonts w:ascii="Times New Roman" w:hAnsi="Times New Roman" w:cs="Times New Roman"/>
          <w:sz w:val="24"/>
          <w:szCs w:val="24"/>
        </w:rPr>
        <w:t>. He rejected this</w:t>
      </w:r>
      <w:r w:rsidR="0051396A" w:rsidRPr="00626A06">
        <w:rPr>
          <w:rFonts w:ascii="Times New Roman" w:hAnsi="Times New Roman" w:cs="Times New Roman"/>
          <w:sz w:val="24"/>
          <w:szCs w:val="24"/>
        </w:rPr>
        <w:t>,</w:t>
      </w:r>
      <w:r w:rsidR="002D77BF" w:rsidRPr="00626A06">
        <w:rPr>
          <w:rFonts w:ascii="Times New Roman" w:hAnsi="Times New Roman" w:cs="Times New Roman"/>
          <w:sz w:val="24"/>
          <w:szCs w:val="24"/>
        </w:rPr>
        <w:t xml:space="preserve"> but nevertheless</w:t>
      </w:r>
      <w:r w:rsidR="0051396A" w:rsidRPr="00626A06">
        <w:rPr>
          <w:rFonts w:ascii="Times New Roman" w:hAnsi="Times New Roman" w:cs="Times New Roman"/>
          <w:sz w:val="24"/>
          <w:szCs w:val="24"/>
        </w:rPr>
        <w:t xml:space="preserve"> concluded that ‘the power to apportion liability between claimant and defendant in tort actions of all kinds has afforded a far more appropriate tool for doing justice than the blunt instrument of turpitude’.</w:t>
      </w:r>
      <w:r w:rsidR="00C31A45" w:rsidRPr="00626A06">
        <w:rPr>
          <w:rStyle w:val="FootnoteReference"/>
          <w:rFonts w:ascii="Times New Roman" w:hAnsi="Times New Roman" w:cs="Times New Roman"/>
          <w:sz w:val="24"/>
          <w:szCs w:val="24"/>
        </w:rPr>
        <w:footnoteReference w:id="19"/>
      </w:r>
      <w:r w:rsidR="00C31A45" w:rsidRPr="00626A06">
        <w:rPr>
          <w:rFonts w:ascii="Times New Roman" w:hAnsi="Times New Roman" w:cs="Times New Roman"/>
          <w:sz w:val="24"/>
          <w:szCs w:val="24"/>
        </w:rPr>
        <w:t xml:space="preserve"> H</w:t>
      </w:r>
      <w:r w:rsidR="0051396A" w:rsidRPr="00626A06">
        <w:rPr>
          <w:rFonts w:ascii="Times New Roman" w:hAnsi="Times New Roman" w:cs="Times New Roman"/>
          <w:sz w:val="24"/>
          <w:szCs w:val="24"/>
        </w:rPr>
        <w:t>e could ‘see little substantive justice in … sacrificing a judicial apportionment of responsibility on the altar of a doctrinaire refusal to adjudicate’,</w:t>
      </w:r>
      <w:r w:rsidR="0051396A" w:rsidRPr="00626A06">
        <w:rPr>
          <w:rStyle w:val="FootnoteReference"/>
          <w:rFonts w:ascii="Times New Roman" w:hAnsi="Times New Roman" w:cs="Times New Roman"/>
          <w:sz w:val="24"/>
          <w:szCs w:val="24"/>
        </w:rPr>
        <w:footnoteReference w:id="20"/>
      </w:r>
      <w:r w:rsidR="0051396A" w:rsidRPr="00626A06">
        <w:rPr>
          <w:rFonts w:ascii="Times New Roman" w:hAnsi="Times New Roman" w:cs="Times New Roman"/>
          <w:sz w:val="24"/>
          <w:szCs w:val="24"/>
        </w:rPr>
        <w:t xml:space="preserve"> and would have awarded reduced damages.</w:t>
      </w:r>
      <w:bookmarkStart w:id="8" w:name="_Ref319266845"/>
      <w:r w:rsidR="0051396A" w:rsidRPr="00626A06">
        <w:rPr>
          <w:rFonts w:ascii="Times New Roman" w:hAnsi="Times New Roman" w:cs="Times New Roman"/>
          <w:sz w:val="24"/>
          <w:szCs w:val="24"/>
          <w:vertAlign w:val="superscript"/>
        </w:rPr>
        <w:footnoteReference w:id="21"/>
      </w:r>
      <w:bookmarkEnd w:id="8"/>
      <w:r w:rsidR="0051396A" w:rsidRPr="00626A06">
        <w:rPr>
          <w:rFonts w:ascii="Times New Roman" w:hAnsi="Times New Roman" w:cs="Times New Roman"/>
          <w:sz w:val="24"/>
          <w:szCs w:val="24"/>
        </w:rPr>
        <w:t xml:space="preserve"> These remarks exemplify an idea that shared responsibility is the most appropriate </w:t>
      </w:r>
      <w:r w:rsidR="00C31A45" w:rsidRPr="00626A06">
        <w:rPr>
          <w:rFonts w:ascii="Times New Roman" w:hAnsi="Times New Roman" w:cs="Times New Roman"/>
          <w:sz w:val="24"/>
          <w:szCs w:val="24"/>
        </w:rPr>
        <w:t xml:space="preserve">and most nuanced </w:t>
      </w:r>
      <w:r w:rsidR="0051396A" w:rsidRPr="00626A06">
        <w:rPr>
          <w:rFonts w:ascii="Times New Roman" w:hAnsi="Times New Roman" w:cs="Times New Roman"/>
          <w:sz w:val="24"/>
          <w:szCs w:val="24"/>
        </w:rPr>
        <w:t>response. The different view of the majority shows that this is open to disagreement and change, and illustrates the potential ebb and f</w:t>
      </w:r>
      <w:r w:rsidR="00C31A45" w:rsidRPr="00626A06">
        <w:rPr>
          <w:rFonts w:ascii="Times New Roman" w:hAnsi="Times New Roman" w:cs="Times New Roman"/>
          <w:sz w:val="24"/>
          <w:szCs w:val="24"/>
        </w:rPr>
        <w:t>low of ideas of responsibility.</w:t>
      </w:r>
      <w:r w:rsidR="00C31A45" w:rsidRPr="00626A06">
        <w:rPr>
          <w:rStyle w:val="FootnoteReference"/>
          <w:rFonts w:ascii="Times New Roman" w:hAnsi="Times New Roman" w:cs="Times New Roman"/>
          <w:sz w:val="24"/>
          <w:szCs w:val="24"/>
        </w:rPr>
        <w:footnoteReference w:id="22"/>
      </w:r>
    </w:p>
    <w:p w:rsidR="00F25D62" w:rsidRPr="00626A06" w:rsidRDefault="00F25D62" w:rsidP="00626A06">
      <w:pPr>
        <w:spacing w:line="360" w:lineRule="auto"/>
        <w:jc w:val="both"/>
        <w:rPr>
          <w:rFonts w:ascii="Times New Roman" w:hAnsi="Times New Roman" w:cs="Times New Roman"/>
          <w:sz w:val="24"/>
          <w:szCs w:val="24"/>
        </w:rPr>
      </w:pPr>
    </w:p>
    <w:p w:rsidR="00F25D62" w:rsidRPr="0069174C" w:rsidRDefault="0069174C" w:rsidP="0069174C">
      <w:pPr>
        <w:spacing w:line="360" w:lineRule="auto"/>
        <w:jc w:val="both"/>
        <w:rPr>
          <w:rFonts w:ascii="Times New Roman" w:hAnsi="Times New Roman" w:cs="Times New Roman"/>
          <w:b/>
          <w:sz w:val="28"/>
          <w:szCs w:val="28"/>
        </w:rPr>
      </w:pPr>
      <w:r w:rsidRPr="0069174C">
        <w:rPr>
          <w:rFonts w:ascii="Times New Roman" w:hAnsi="Times New Roman" w:cs="Times New Roman"/>
          <w:b/>
          <w:sz w:val="28"/>
          <w:szCs w:val="28"/>
        </w:rPr>
        <w:lastRenderedPageBreak/>
        <w:t xml:space="preserve">III. </w:t>
      </w:r>
      <w:r w:rsidR="009B7D38" w:rsidRPr="0069174C">
        <w:rPr>
          <w:rFonts w:ascii="Times New Roman" w:hAnsi="Times New Roman" w:cs="Times New Roman"/>
          <w:b/>
          <w:sz w:val="28"/>
          <w:szCs w:val="28"/>
        </w:rPr>
        <w:t>R</w:t>
      </w:r>
      <w:r w:rsidRPr="0069174C">
        <w:rPr>
          <w:rFonts w:ascii="Times New Roman" w:hAnsi="Times New Roman" w:cs="Times New Roman"/>
          <w:b/>
          <w:sz w:val="28"/>
          <w:szCs w:val="28"/>
        </w:rPr>
        <w:t>oad T</w:t>
      </w:r>
      <w:r w:rsidR="004E5E0F" w:rsidRPr="0069174C">
        <w:rPr>
          <w:rFonts w:ascii="Times New Roman" w:hAnsi="Times New Roman" w:cs="Times New Roman"/>
          <w:b/>
          <w:sz w:val="28"/>
          <w:szCs w:val="28"/>
        </w:rPr>
        <w:t xml:space="preserve">raffic and </w:t>
      </w:r>
      <w:r w:rsidRPr="0069174C">
        <w:rPr>
          <w:rFonts w:ascii="Times New Roman" w:hAnsi="Times New Roman" w:cs="Times New Roman"/>
          <w:b/>
          <w:sz w:val="28"/>
          <w:szCs w:val="28"/>
        </w:rPr>
        <w:t>Industrial A</w:t>
      </w:r>
      <w:r w:rsidR="004E5E0F" w:rsidRPr="0069174C">
        <w:rPr>
          <w:rFonts w:ascii="Times New Roman" w:hAnsi="Times New Roman" w:cs="Times New Roman"/>
          <w:b/>
          <w:sz w:val="28"/>
          <w:szCs w:val="28"/>
        </w:rPr>
        <w:t>ccidents</w:t>
      </w:r>
    </w:p>
    <w:p w:rsidR="00FD6A7E" w:rsidRPr="00626A06" w:rsidRDefault="00C31A4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proposed </w:t>
      </w:r>
      <w:r w:rsidR="005431B7" w:rsidRPr="00626A06">
        <w:rPr>
          <w:rFonts w:ascii="Times New Roman" w:hAnsi="Times New Roman" w:cs="Times New Roman"/>
          <w:sz w:val="24"/>
          <w:szCs w:val="24"/>
        </w:rPr>
        <w:t>reform</w:t>
      </w:r>
      <w:r w:rsidR="001275AA" w:rsidRPr="00626A06">
        <w:rPr>
          <w:rFonts w:ascii="Times New Roman" w:hAnsi="Times New Roman" w:cs="Times New Roman"/>
          <w:sz w:val="24"/>
          <w:szCs w:val="24"/>
        </w:rPr>
        <w:t xml:space="preserve"> </w:t>
      </w:r>
      <w:r w:rsidR="0045272F" w:rsidRPr="00626A06">
        <w:rPr>
          <w:rFonts w:ascii="Times New Roman" w:hAnsi="Times New Roman" w:cs="Times New Roman"/>
          <w:sz w:val="24"/>
          <w:szCs w:val="24"/>
        </w:rPr>
        <w:t xml:space="preserve">of contributory negligence </w:t>
      </w:r>
      <w:r w:rsidR="001275AA" w:rsidRPr="00626A06">
        <w:rPr>
          <w:rFonts w:ascii="Times New Roman" w:hAnsi="Times New Roman" w:cs="Times New Roman"/>
          <w:sz w:val="24"/>
          <w:szCs w:val="24"/>
        </w:rPr>
        <w:t>was initially put to Parliament with a controversial exclusion for claims by employees against their employers</w:t>
      </w:r>
      <w:r w:rsidR="00C456B5" w:rsidRPr="00626A06">
        <w:rPr>
          <w:rFonts w:ascii="Times New Roman" w:hAnsi="Times New Roman" w:cs="Times New Roman"/>
          <w:sz w:val="24"/>
          <w:szCs w:val="24"/>
        </w:rPr>
        <w:t xml:space="preserve">. In the process it raised a degree of </w:t>
      </w:r>
      <w:r w:rsidR="00F16218" w:rsidRPr="00626A06">
        <w:rPr>
          <w:rFonts w:ascii="Times New Roman" w:hAnsi="Times New Roman" w:cs="Times New Roman"/>
          <w:sz w:val="24"/>
          <w:szCs w:val="24"/>
        </w:rPr>
        <w:t xml:space="preserve">political attention </w:t>
      </w:r>
      <w:r w:rsidR="00C456B5" w:rsidRPr="00626A06">
        <w:rPr>
          <w:rFonts w:ascii="Times New Roman" w:hAnsi="Times New Roman" w:cs="Times New Roman"/>
          <w:sz w:val="24"/>
          <w:szCs w:val="24"/>
        </w:rPr>
        <w:t xml:space="preserve">which was unwelcome to </w:t>
      </w:r>
      <w:r w:rsidR="009434E2" w:rsidRPr="00626A06">
        <w:rPr>
          <w:rFonts w:ascii="Times New Roman" w:hAnsi="Times New Roman" w:cs="Times New Roman"/>
          <w:sz w:val="24"/>
          <w:szCs w:val="24"/>
        </w:rPr>
        <w:t xml:space="preserve">a Home Office </w:t>
      </w:r>
      <w:r w:rsidR="00C456B5" w:rsidRPr="00626A06">
        <w:rPr>
          <w:rFonts w:ascii="Times New Roman" w:hAnsi="Times New Roman" w:cs="Times New Roman"/>
          <w:sz w:val="24"/>
          <w:szCs w:val="24"/>
        </w:rPr>
        <w:t xml:space="preserve">seeking to resolve the </w:t>
      </w:r>
      <w:r w:rsidR="009434E2" w:rsidRPr="00626A06">
        <w:rPr>
          <w:rFonts w:ascii="Times New Roman" w:hAnsi="Times New Roman" w:cs="Times New Roman"/>
          <w:sz w:val="24"/>
          <w:szCs w:val="24"/>
        </w:rPr>
        <w:t xml:space="preserve">very </w:t>
      </w:r>
      <w:r w:rsidR="00C456B5" w:rsidRPr="00626A06">
        <w:rPr>
          <w:rFonts w:ascii="Times New Roman" w:hAnsi="Times New Roman" w:cs="Times New Roman"/>
          <w:sz w:val="24"/>
          <w:szCs w:val="24"/>
        </w:rPr>
        <w:t xml:space="preserve">future of damages </w:t>
      </w:r>
      <w:r w:rsidR="009434E2" w:rsidRPr="00626A06">
        <w:rPr>
          <w:rFonts w:ascii="Times New Roman" w:hAnsi="Times New Roman" w:cs="Times New Roman"/>
          <w:sz w:val="24"/>
          <w:szCs w:val="24"/>
        </w:rPr>
        <w:t xml:space="preserve">alongside industrial injury benefits </w:t>
      </w:r>
      <w:r w:rsidR="00C456B5" w:rsidRPr="00626A06">
        <w:rPr>
          <w:rFonts w:ascii="Times New Roman" w:hAnsi="Times New Roman" w:cs="Times New Roman"/>
          <w:sz w:val="24"/>
          <w:szCs w:val="24"/>
        </w:rPr>
        <w:t xml:space="preserve">after the </w:t>
      </w:r>
      <w:r w:rsidR="009434E2" w:rsidRPr="00626A06">
        <w:rPr>
          <w:rFonts w:ascii="Times New Roman" w:hAnsi="Times New Roman" w:cs="Times New Roman"/>
          <w:sz w:val="24"/>
          <w:szCs w:val="24"/>
        </w:rPr>
        <w:t>Report on Social Insurance and Allied Services (</w:t>
      </w:r>
      <w:proofErr w:type="spellStart"/>
      <w:r w:rsidR="00C456B5" w:rsidRPr="00626A06">
        <w:rPr>
          <w:rFonts w:ascii="Times New Roman" w:hAnsi="Times New Roman" w:cs="Times New Roman"/>
          <w:sz w:val="24"/>
          <w:szCs w:val="24"/>
        </w:rPr>
        <w:t>Beveridge</w:t>
      </w:r>
      <w:proofErr w:type="spellEnd"/>
      <w:r w:rsidR="00C456B5" w:rsidRPr="00626A06">
        <w:rPr>
          <w:rFonts w:ascii="Times New Roman" w:hAnsi="Times New Roman" w:cs="Times New Roman"/>
          <w:sz w:val="24"/>
          <w:szCs w:val="24"/>
        </w:rPr>
        <w:t xml:space="preserve"> Report</w:t>
      </w:r>
      <w:r w:rsidR="009434E2" w:rsidRPr="00626A06">
        <w:rPr>
          <w:rFonts w:ascii="Times New Roman" w:hAnsi="Times New Roman" w:cs="Times New Roman"/>
          <w:sz w:val="24"/>
          <w:szCs w:val="24"/>
        </w:rPr>
        <w:t>)</w:t>
      </w:r>
      <w:r w:rsidR="00370363" w:rsidRPr="00626A06">
        <w:rPr>
          <w:rFonts w:ascii="Times New Roman" w:hAnsi="Times New Roman" w:cs="Times New Roman"/>
          <w:sz w:val="24"/>
          <w:szCs w:val="24"/>
        </w:rPr>
        <w:t>,</w:t>
      </w:r>
      <w:bookmarkStart w:id="9" w:name="_Ref319260958"/>
      <w:r w:rsidR="00850FED" w:rsidRPr="00626A06">
        <w:rPr>
          <w:rStyle w:val="FootnoteReference"/>
          <w:rFonts w:ascii="Times New Roman" w:hAnsi="Times New Roman" w:cs="Times New Roman"/>
          <w:sz w:val="24"/>
          <w:szCs w:val="24"/>
        </w:rPr>
        <w:footnoteReference w:id="23"/>
      </w:r>
      <w:bookmarkEnd w:id="9"/>
      <w:r w:rsidR="00370363" w:rsidRPr="00626A06">
        <w:rPr>
          <w:rFonts w:ascii="Times New Roman" w:hAnsi="Times New Roman" w:cs="Times New Roman"/>
          <w:sz w:val="24"/>
          <w:szCs w:val="24"/>
        </w:rPr>
        <w:t xml:space="preserve"> and the encounter with discussions around this Report were decisive in the creation of a novel, rather than an ‘off the shelf’, provision. </w:t>
      </w:r>
      <w:r w:rsidR="00075C75" w:rsidRPr="00626A06">
        <w:rPr>
          <w:rFonts w:ascii="Times New Roman" w:hAnsi="Times New Roman" w:cs="Times New Roman"/>
          <w:sz w:val="24"/>
          <w:szCs w:val="24"/>
        </w:rPr>
        <w:t>It is the collision between a lawyers</w:t>
      </w:r>
      <w:r w:rsidR="003A6900" w:rsidRPr="00626A06">
        <w:rPr>
          <w:rFonts w:ascii="Times New Roman" w:hAnsi="Times New Roman" w:cs="Times New Roman"/>
          <w:sz w:val="24"/>
          <w:szCs w:val="24"/>
        </w:rPr>
        <w:t>’</w:t>
      </w:r>
      <w:r w:rsidR="00075C75" w:rsidRPr="00626A06">
        <w:rPr>
          <w:rFonts w:ascii="Times New Roman" w:hAnsi="Times New Roman" w:cs="Times New Roman"/>
          <w:sz w:val="24"/>
          <w:szCs w:val="24"/>
        </w:rPr>
        <w:t xml:space="preserve"> reform, broad in effect but narrow in its field of </w:t>
      </w:r>
      <w:proofErr w:type="gramStart"/>
      <w:r w:rsidR="00075C75" w:rsidRPr="00626A06">
        <w:rPr>
          <w:rFonts w:ascii="Times New Roman" w:hAnsi="Times New Roman" w:cs="Times New Roman"/>
          <w:sz w:val="24"/>
          <w:szCs w:val="24"/>
        </w:rPr>
        <w:t>vision,</w:t>
      </w:r>
      <w:proofErr w:type="gramEnd"/>
      <w:r w:rsidR="00075C75" w:rsidRPr="00626A06">
        <w:rPr>
          <w:rFonts w:ascii="Times New Roman" w:hAnsi="Times New Roman" w:cs="Times New Roman"/>
          <w:sz w:val="24"/>
          <w:szCs w:val="24"/>
        </w:rPr>
        <w:t xml:space="preserve"> and these debates about the future of social provision for (amongst others) illness and incapacity, that gives the reform process much of its interest. </w:t>
      </w:r>
      <w:r w:rsidR="006D5182" w:rsidRPr="00626A06">
        <w:rPr>
          <w:rFonts w:ascii="Times New Roman" w:hAnsi="Times New Roman" w:cs="Times New Roman"/>
          <w:sz w:val="24"/>
          <w:szCs w:val="24"/>
        </w:rPr>
        <w:t>T</w:t>
      </w:r>
      <w:r w:rsidR="007211C5" w:rsidRPr="00626A06">
        <w:rPr>
          <w:rFonts w:ascii="Times New Roman" w:hAnsi="Times New Roman" w:cs="Times New Roman"/>
          <w:sz w:val="24"/>
          <w:szCs w:val="24"/>
        </w:rPr>
        <w:t xml:space="preserve">he </w:t>
      </w:r>
      <w:r w:rsidR="00663BC1" w:rsidRPr="00626A06">
        <w:rPr>
          <w:rFonts w:ascii="Times New Roman" w:hAnsi="Times New Roman" w:cs="Times New Roman"/>
          <w:sz w:val="24"/>
          <w:szCs w:val="24"/>
        </w:rPr>
        <w:t xml:space="preserve">history also </w:t>
      </w:r>
      <w:r w:rsidR="007211C5" w:rsidRPr="00626A06">
        <w:rPr>
          <w:rFonts w:ascii="Times New Roman" w:hAnsi="Times New Roman" w:cs="Times New Roman"/>
          <w:sz w:val="24"/>
          <w:szCs w:val="24"/>
        </w:rPr>
        <w:t xml:space="preserve">illustrates </w:t>
      </w:r>
      <w:r w:rsidR="00663BC1" w:rsidRPr="00626A06">
        <w:rPr>
          <w:rFonts w:ascii="Times New Roman" w:hAnsi="Times New Roman" w:cs="Times New Roman"/>
          <w:sz w:val="24"/>
          <w:szCs w:val="24"/>
        </w:rPr>
        <w:t xml:space="preserve">the process by which legal reform </w:t>
      </w:r>
      <w:r w:rsidR="00D32E8A" w:rsidRPr="00626A06">
        <w:rPr>
          <w:rFonts w:ascii="Times New Roman" w:hAnsi="Times New Roman" w:cs="Times New Roman"/>
          <w:sz w:val="24"/>
          <w:szCs w:val="24"/>
        </w:rPr>
        <w:t xml:space="preserve">may both </w:t>
      </w:r>
      <w:r w:rsidR="00663BC1" w:rsidRPr="00626A06">
        <w:rPr>
          <w:rFonts w:ascii="Times New Roman" w:hAnsi="Times New Roman" w:cs="Times New Roman"/>
          <w:sz w:val="24"/>
          <w:szCs w:val="24"/>
        </w:rPr>
        <w:t>influence</w:t>
      </w:r>
      <w:r w:rsidR="00D32E8A" w:rsidRPr="00626A06">
        <w:rPr>
          <w:rFonts w:ascii="Times New Roman" w:hAnsi="Times New Roman" w:cs="Times New Roman"/>
          <w:sz w:val="24"/>
          <w:szCs w:val="24"/>
        </w:rPr>
        <w:t>, and be</w:t>
      </w:r>
      <w:r w:rsidR="00663BC1" w:rsidRPr="00626A06">
        <w:rPr>
          <w:rFonts w:ascii="Times New Roman" w:hAnsi="Times New Roman" w:cs="Times New Roman"/>
          <w:sz w:val="24"/>
          <w:szCs w:val="24"/>
        </w:rPr>
        <w:t xml:space="preserve"> influenced by, broader processes of change</w:t>
      </w:r>
      <w:r w:rsidR="00BE2625" w:rsidRPr="00626A06">
        <w:rPr>
          <w:rFonts w:ascii="Times New Roman" w:hAnsi="Times New Roman" w:cs="Times New Roman"/>
          <w:sz w:val="24"/>
          <w:szCs w:val="24"/>
        </w:rPr>
        <w:t>.</w:t>
      </w:r>
      <w:r w:rsidR="00663BC1" w:rsidRPr="00626A06">
        <w:rPr>
          <w:rFonts w:ascii="Times New Roman" w:hAnsi="Times New Roman" w:cs="Times New Roman"/>
          <w:sz w:val="24"/>
          <w:szCs w:val="24"/>
        </w:rPr>
        <w:t xml:space="preserve"> </w:t>
      </w:r>
      <w:r w:rsidR="006551FB" w:rsidRPr="00626A06">
        <w:rPr>
          <w:rFonts w:ascii="Times New Roman" w:hAnsi="Times New Roman" w:cs="Times New Roman"/>
          <w:sz w:val="24"/>
          <w:szCs w:val="24"/>
        </w:rPr>
        <w:t xml:space="preserve"> </w:t>
      </w:r>
    </w:p>
    <w:p w:rsidR="000B23D8" w:rsidRPr="00626A06" w:rsidRDefault="004E5E0F"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From a distance</w:t>
      </w:r>
      <w:r w:rsidR="00D038A2" w:rsidRPr="00626A06">
        <w:rPr>
          <w:rFonts w:ascii="Times New Roman" w:hAnsi="Times New Roman" w:cs="Times New Roman"/>
          <w:sz w:val="24"/>
          <w:szCs w:val="24"/>
        </w:rPr>
        <w:t>, the reform of contributory negligence</w:t>
      </w:r>
      <w:r w:rsidR="0095646F" w:rsidRPr="00626A06">
        <w:rPr>
          <w:rFonts w:ascii="Times New Roman" w:hAnsi="Times New Roman" w:cs="Times New Roman"/>
          <w:sz w:val="24"/>
          <w:szCs w:val="24"/>
        </w:rPr>
        <w:t xml:space="preserve"> seems to fit seamlessly with </w:t>
      </w:r>
      <w:r w:rsidR="0045272F" w:rsidRPr="00626A06">
        <w:rPr>
          <w:rFonts w:ascii="Times New Roman" w:hAnsi="Times New Roman" w:cs="Times New Roman"/>
          <w:sz w:val="24"/>
          <w:szCs w:val="24"/>
        </w:rPr>
        <w:t xml:space="preserve">the </w:t>
      </w:r>
      <w:r w:rsidR="005F79AE" w:rsidRPr="00626A06">
        <w:rPr>
          <w:rFonts w:ascii="Times New Roman" w:hAnsi="Times New Roman" w:cs="Times New Roman"/>
          <w:sz w:val="24"/>
          <w:szCs w:val="24"/>
        </w:rPr>
        <w:t xml:space="preserve">Labour government’s </w:t>
      </w:r>
      <w:r w:rsidR="0095646F" w:rsidRPr="00626A06">
        <w:rPr>
          <w:rFonts w:ascii="Times New Roman" w:hAnsi="Times New Roman" w:cs="Times New Roman"/>
          <w:sz w:val="24"/>
          <w:szCs w:val="24"/>
        </w:rPr>
        <w:t>post-War reforms</w:t>
      </w:r>
      <w:r w:rsidR="00D038A2" w:rsidRPr="00626A06">
        <w:rPr>
          <w:rFonts w:ascii="Times New Roman" w:hAnsi="Times New Roman" w:cs="Times New Roman"/>
          <w:sz w:val="24"/>
          <w:szCs w:val="24"/>
        </w:rPr>
        <w:t xml:space="preserve">. </w:t>
      </w:r>
      <w:r w:rsidR="0095646F" w:rsidRPr="00626A06">
        <w:rPr>
          <w:rFonts w:ascii="Times New Roman" w:hAnsi="Times New Roman" w:cs="Times New Roman"/>
          <w:sz w:val="24"/>
          <w:szCs w:val="24"/>
        </w:rPr>
        <w:t>In its pre-1945 form,</w:t>
      </w:r>
      <w:r w:rsidR="00D038A2" w:rsidRPr="00626A06">
        <w:rPr>
          <w:rFonts w:ascii="Times New Roman" w:hAnsi="Times New Roman" w:cs="Times New Roman"/>
          <w:sz w:val="24"/>
          <w:szCs w:val="24"/>
        </w:rPr>
        <w:t xml:space="preserve"> the doctrine</w:t>
      </w:r>
      <w:r w:rsidR="008B33FB" w:rsidRPr="00626A06">
        <w:rPr>
          <w:rFonts w:ascii="Times New Roman" w:hAnsi="Times New Roman" w:cs="Times New Roman"/>
          <w:sz w:val="24"/>
          <w:szCs w:val="24"/>
        </w:rPr>
        <w:t xml:space="preserve"> was recognised to be one of the legal ‘fictions’ which </w:t>
      </w:r>
      <w:r w:rsidR="0045272F" w:rsidRPr="00626A06">
        <w:rPr>
          <w:rFonts w:ascii="Times New Roman" w:hAnsi="Times New Roman" w:cs="Times New Roman"/>
          <w:sz w:val="24"/>
          <w:szCs w:val="24"/>
        </w:rPr>
        <w:t xml:space="preserve">had </w:t>
      </w:r>
      <w:r w:rsidR="008B33FB" w:rsidRPr="00626A06">
        <w:rPr>
          <w:rFonts w:ascii="Times New Roman" w:hAnsi="Times New Roman" w:cs="Times New Roman"/>
          <w:sz w:val="24"/>
          <w:szCs w:val="24"/>
        </w:rPr>
        <w:t>severely restricted the usefulness of common law for injured workers</w:t>
      </w:r>
      <w:r w:rsidR="006D5182" w:rsidRPr="00626A06">
        <w:rPr>
          <w:rFonts w:ascii="Times New Roman" w:hAnsi="Times New Roman" w:cs="Times New Roman"/>
          <w:sz w:val="24"/>
          <w:szCs w:val="24"/>
        </w:rPr>
        <w:t>.</w:t>
      </w:r>
      <w:r w:rsidR="00C17906" w:rsidRPr="00626A06">
        <w:rPr>
          <w:rFonts w:ascii="Times New Roman" w:hAnsi="Times New Roman" w:cs="Times New Roman"/>
          <w:sz w:val="24"/>
          <w:szCs w:val="24"/>
          <w:vertAlign w:val="superscript"/>
        </w:rPr>
        <w:footnoteReference w:id="24"/>
      </w:r>
      <w:r w:rsidR="00FB6B19" w:rsidRPr="00626A06">
        <w:rPr>
          <w:rFonts w:ascii="Times New Roman" w:hAnsi="Times New Roman" w:cs="Times New Roman"/>
          <w:sz w:val="24"/>
          <w:szCs w:val="24"/>
        </w:rPr>
        <w:t xml:space="preserve"> </w:t>
      </w:r>
      <w:r w:rsidR="008B33FB" w:rsidRPr="00626A06">
        <w:rPr>
          <w:rFonts w:ascii="Times New Roman" w:hAnsi="Times New Roman" w:cs="Times New Roman"/>
          <w:sz w:val="24"/>
          <w:szCs w:val="24"/>
        </w:rPr>
        <w:t>But t</w:t>
      </w:r>
      <w:r w:rsidR="00D70744" w:rsidRPr="00626A06">
        <w:rPr>
          <w:rFonts w:ascii="Times New Roman" w:hAnsi="Times New Roman" w:cs="Times New Roman"/>
          <w:sz w:val="24"/>
          <w:szCs w:val="24"/>
        </w:rPr>
        <w:t xml:space="preserve">he </w:t>
      </w:r>
      <w:r w:rsidR="00153B92" w:rsidRPr="00626A06">
        <w:rPr>
          <w:rFonts w:ascii="Times New Roman" w:hAnsi="Times New Roman" w:cs="Times New Roman"/>
          <w:sz w:val="24"/>
          <w:szCs w:val="24"/>
        </w:rPr>
        <w:t>reform of contributory negligence was</w:t>
      </w:r>
      <w:r w:rsidR="00591A68" w:rsidRPr="00626A06">
        <w:rPr>
          <w:rFonts w:ascii="Times New Roman" w:hAnsi="Times New Roman" w:cs="Times New Roman"/>
          <w:sz w:val="24"/>
          <w:szCs w:val="24"/>
        </w:rPr>
        <w:t xml:space="preserve"> not part of the post-War legislative programme. Lord Simon narrowly secured </w:t>
      </w:r>
      <w:r w:rsidR="000B23D8" w:rsidRPr="00626A06">
        <w:rPr>
          <w:rFonts w:ascii="Times New Roman" w:hAnsi="Times New Roman" w:cs="Times New Roman"/>
          <w:sz w:val="24"/>
          <w:szCs w:val="24"/>
        </w:rPr>
        <w:t xml:space="preserve">the </w:t>
      </w:r>
      <w:r w:rsidR="00591A68" w:rsidRPr="00626A06">
        <w:rPr>
          <w:rFonts w:ascii="Times New Roman" w:hAnsi="Times New Roman" w:cs="Times New Roman"/>
          <w:sz w:val="24"/>
          <w:szCs w:val="24"/>
        </w:rPr>
        <w:t>enactment in June 1945, before the end of the War, which he considered a matter of some priority.</w:t>
      </w:r>
      <w:r w:rsidR="00591A68" w:rsidRPr="00626A06">
        <w:rPr>
          <w:rStyle w:val="FootnoteReference"/>
          <w:rFonts w:ascii="Times New Roman" w:hAnsi="Times New Roman" w:cs="Times New Roman"/>
          <w:sz w:val="24"/>
          <w:szCs w:val="24"/>
        </w:rPr>
        <w:footnoteReference w:id="25"/>
      </w:r>
      <w:r w:rsidR="00591A68" w:rsidRPr="00626A06">
        <w:rPr>
          <w:rFonts w:ascii="Times New Roman" w:hAnsi="Times New Roman" w:cs="Times New Roman"/>
          <w:sz w:val="24"/>
          <w:szCs w:val="24"/>
        </w:rPr>
        <w:t xml:space="preserve"> Its origins lie in </w:t>
      </w:r>
      <w:r w:rsidR="007407CD" w:rsidRPr="00626A06">
        <w:rPr>
          <w:rFonts w:ascii="Times New Roman" w:hAnsi="Times New Roman" w:cs="Times New Roman"/>
          <w:sz w:val="24"/>
          <w:szCs w:val="24"/>
        </w:rPr>
        <w:t xml:space="preserve">the concerns of lawyers, </w:t>
      </w:r>
      <w:r w:rsidR="0045272F" w:rsidRPr="00626A06">
        <w:rPr>
          <w:rFonts w:ascii="Times New Roman" w:hAnsi="Times New Roman" w:cs="Times New Roman"/>
          <w:sz w:val="24"/>
          <w:szCs w:val="24"/>
        </w:rPr>
        <w:t xml:space="preserve">as expressed </w:t>
      </w:r>
      <w:r w:rsidR="0066194B" w:rsidRPr="00626A06">
        <w:rPr>
          <w:rFonts w:ascii="Times New Roman" w:hAnsi="Times New Roman" w:cs="Times New Roman"/>
          <w:sz w:val="24"/>
          <w:szCs w:val="24"/>
        </w:rPr>
        <w:t xml:space="preserve">in </w:t>
      </w:r>
      <w:r w:rsidR="00DF0673">
        <w:rPr>
          <w:rFonts w:ascii="Times New Roman" w:hAnsi="Times New Roman" w:cs="Times New Roman"/>
          <w:sz w:val="24"/>
          <w:szCs w:val="24"/>
        </w:rPr>
        <w:t xml:space="preserve">the </w:t>
      </w:r>
      <w:r w:rsidR="00347F40" w:rsidRPr="00626A06">
        <w:rPr>
          <w:rFonts w:ascii="Times New Roman" w:hAnsi="Times New Roman" w:cs="Times New Roman"/>
          <w:sz w:val="24"/>
          <w:szCs w:val="24"/>
        </w:rPr>
        <w:t>LRC</w:t>
      </w:r>
      <w:r w:rsidR="00B0033C">
        <w:rPr>
          <w:rFonts w:ascii="Times New Roman" w:hAnsi="Times New Roman" w:cs="Times New Roman"/>
          <w:sz w:val="24"/>
          <w:szCs w:val="24"/>
        </w:rPr>
        <w:t>’s</w:t>
      </w:r>
      <w:r w:rsidR="00347F40" w:rsidRPr="00626A06">
        <w:rPr>
          <w:rFonts w:ascii="Times New Roman" w:hAnsi="Times New Roman" w:cs="Times New Roman"/>
          <w:sz w:val="24"/>
          <w:szCs w:val="24"/>
        </w:rPr>
        <w:t xml:space="preserve"> 8</w:t>
      </w:r>
      <w:r w:rsidR="00347F40" w:rsidRPr="00626A06">
        <w:rPr>
          <w:rFonts w:ascii="Times New Roman" w:hAnsi="Times New Roman" w:cs="Times New Roman"/>
          <w:sz w:val="24"/>
          <w:szCs w:val="24"/>
          <w:vertAlign w:val="superscript"/>
        </w:rPr>
        <w:t>th</w:t>
      </w:r>
      <w:r w:rsidR="00767881" w:rsidRPr="00626A06">
        <w:rPr>
          <w:rFonts w:ascii="Times New Roman" w:hAnsi="Times New Roman" w:cs="Times New Roman"/>
          <w:sz w:val="24"/>
          <w:szCs w:val="24"/>
        </w:rPr>
        <w:t xml:space="preserve"> Report</w:t>
      </w:r>
      <w:r w:rsidR="00822AD9" w:rsidRPr="00626A06">
        <w:rPr>
          <w:rFonts w:ascii="Times New Roman" w:hAnsi="Times New Roman" w:cs="Times New Roman"/>
          <w:sz w:val="24"/>
          <w:szCs w:val="24"/>
        </w:rPr>
        <w:t>.</w:t>
      </w:r>
      <w:r w:rsidR="00370A47" w:rsidRPr="00626A06">
        <w:rPr>
          <w:rFonts w:ascii="Times New Roman" w:hAnsi="Times New Roman" w:cs="Times New Roman"/>
          <w:sz w:val="24"/>
          <w:szCs w:val="24"/>
        </w:rPr>
        <w:t xml:space="preserve"> </w:t>
      </w:r>
      <w:r w:rsidR="000B23D8" w:rsidRPr="00626A06">
        <w:rPr>
          <w:rFonts w:ascii="Times New Roman" w:hAnsi="Times New Roman" w:cs="Times New Roman"/>
          <w:sz w:val="24"/>
          <w:szCs w:val="24"/>
        </w:rPr>
        <w:t>More strikingly given the history of the defence</w:t>
      </w:r>
      <w:r w:rsidR="00812C6F" w:rsidRPr="00626A06">
        <w:rPr>
          <w:rFonts w:ascii="Times New Roman" w:hAnsi="Times New Roman" w:cs="Times New Roman"/>
          <w:sz w:val="24"/>
          <w:szCs w:val="24"/>
        </w:rPr>
        <w:t xml:space="preserve"> and judicial development of the law in the 1930s</w:t>
      </w:r>
      <w:r w:rsidR="000B23D8" w:rsidRPr="00626A06">
        <w:rPr>
          <w:rFonts w:ascii="Times New Roman" w:hAnsi="Times New Roman" w:cs="Times New Roman"/>
          <w:sz w:val="24"/>
          <w:szCs w:val="24"/>
        </w:rPr>
        <w:t>, cases of injury to workmen were not mentioned</w:t>
      </w:r>
      <w:r w:rsidR="0045272F" w:rsidRPr="00626A06">
        <w:rPr>
          <w:rFonts w:ascii="Times New Roman" w:hAnsi="Times New Roman" w:cs="Times New Roman"/>
          <w:sz w:val="24"/>
          <w:szCs w:val="24"/>
        </w:rPr>
        <w:t xml:space="preserve"> in the report</w:t>
      </w:r>
      <w:r w:rsidR="005431B7" w:rsidRPr="00626A06">
        <w:rPr>
          <w:rFonts w:ascii="Times New Roman" w:hAnsi="Times New Roman" w:cs="Times New Roman"/>
          <w:sz w:val="24"/>
          <w:szCs w:val="24"/>
        </w:rPr>
        <w:t xml:space="preserve">, other than through a recommendation that contributory negligence </w:t>
      </w:r>
      <w:r w:rsidR="00115205" w:rsidRPr="00626A06">
        <w:rPr>
          <w:rFonts w:ascii="Times New Roman" w:hAnsi="Times New Roman" w:cs="Times New Roman"/>
          <w:sz w:val="24"/>
          <w:szCs w:val="24"/>
        </w:rPr>
        <w:t xml:space="preserve">should continue to have </w:t>
      </w:r>
      <w:r w:rsidR="005431B7" w:rsidRPr="00626A06">
        <w:rPr>
          <w:rFonts w:ascii="Times New Roman" w:hAnsi="Times New Roman" w:cs="Times New Roman"/>
          <w:sz w:val="24"/>
          <w:szCs w:val="24"/>
        </w:rPr>
        <w:t>no application under</w:t>
      </w:r>
      <w:r w:rsidR="00812C6F" w:rsidRPr="00626A06">
        <w:rPr>
          <w:rFonts w:ascii="Times New Roman" w:hAnsi="Times New Roman" w:cs="Times New Roman"/>
          <w:sz w:val="24"/>
          <w:szCs w:val="24"/>
        </w:rPr>
        <w:t xml:space="preserve"> the Workmen’s Compensation Act </w:t>
      </w:r>
      <w:r w:rsidR="00812C6F" w:rsidRPr="00626A06">
        <w:rPr>
          <w:rFonts w:ascii="Times New Roman" w:hAnsi="Times New Roman" w:cs="Times New Roman"/>
          <w:sz w:val="24"/>
          <w:szCs w:val="24"/>
        </w:rPr>
        <w:lastRenderedPageBreak/>
        <w:t>1925</w:t>
      </w:r>
      <w:r w:rsidR="005431B7" w:rsidRPr="00626A06">
        <w:rPr>
          <w:rFonts w:ascii="Times New Roman" w:hAnsi="Times New Roman" w:cs="Times New Roman"/>
          <w:sz w:val="24"/>
          <w:szCs w:val="24"/>
        </w:rPr>
        <w:t>.</w:t>
      </w:r>
      <w:r w:rsidR="00804764" w:rsidRPr="00626A06">
        <w:rPr>
          <w:rStyle w:val="FootnoteReference"/>
          <w:rFonts w:ascii="Times New Roman" w:hAnsi="Times New Roman" w:cs="Times New Roman"/>
          <w:sz w:val="24"/>
          <w:szCs w:val="24"/>
        </w:rPr>
        <w:footnoteReference w:id="26"/>
      </w:r>
      <w:r w:rsidR="005431B7" w:rsidRPr="00626A06">
        <w:rPr>
          <w:rFonts w:ascii="Times New Roman" w:hAnsi="Times New Roman" w:cs="Times New Roman"/>
          <w:sz w:val="24"/>
          <w:szCs w:val="24"/>
        </w:rPr>
        <w:t xml:space="preserve"> </w:t>
      </w:r>
      <w:r w:rsidR="00822AD9" w:rsidRPr="00626A06">
        <w:rPr>
          <w:rFonts w:ascii="Times New Roman" w:hAnsi="Times New Roman" w:cs="Times New Roman"/>
          <w:sz w:val="24"/>
          <w:szCs w:val="24"/>
        </w:rPr>
        <w:t>Despite the breadth of application of the 1945 Act</w:t>
      </w:r>
      <w:r w:rsidR="00FD6A7E" w:rsidRPr="00626A06">
        <w:rPr>
          <w:rFonts w:ascii="Times New Roman" w:hAnsi="Times New Roman" w:cs="Times New Roman"/>
          <w:sz w:val="24"/>
          <w:szCs w:val="24"/>
        </w:rPr>
        <w:t>,</w:t>
      </w:r>
      <w:r w:rsidR="00822AD9" w:rsidRPr="00626A06">
        <w:rPr>
          <w:rFonts w:ascii="Times New Roman" w:hAnsi="Times New Roman" w:cs="Times New Roman"/>
          <w:sz w:val="24"/>
          <w:szCs w:val="24"/>
        </w:rPr>
        <w:t xml:space="preserve"> the concerns of its framers</w:t>
      </w:r>
      <w:r w:rsidR="009B1FA0" w:rsidRPr="00626A06">
        <w:rPr>
          <w:rFonts w:ascii="Times New Roman" w:hAnsi="Times New Roman" w:cs="Times New Roman"/>
          <w:sz w:val="24"/>
          <w:szCs w:val="24"/>
        </w:rPr>
        <w:t xml:space="preserve"> would</w:t>
      </w:r>
      <w:r w:rsidR="00822AD9" w:rsidRPr="00626A06">
        <w:rPr>
          <w:rFonts w:ascii="Times New Roman" w:hAnsi="Times New Roman" w:cs="Times New Roman"/>
          <w:sz w:val="24"/>
          <w:szCs w:val="24"/>
        </w:rPr>
        <w:t xml:space="preserve"> appear</w:t>
      </w:r>
      <w:r w:rsidR="00977FA2" w:rsidRPr="00626A06">
        <w:rPr>
          <w:rFonts w:ascii="Times New Roman" w:hAnsi="Times New Roman" w:cs="Times New Roman"/>
          <w:sz w:val="24"/>
          <w:szCs w:val="24"/>
        </w:rPr>
        <w:t xml:space="preserve">, both from the Report and from the </w:t>
      </w:r>
      <w:r w:rsidR="00B761A3" w:rsidRPr="00626A06">
        <w:rPr>
          <w:rFonts w:ascii="Times New Roman" w:hAnsi="Times New Roman" w:cs="Times New Roman"/>
          <w:sz w:val="24"/>
          <w:szCs w:val="24"/>
        </w:rPr>
        <w:t xml:space="preserve">later arguments in its support from </w:t>
      </w:r>
      <w:r w:rsidR="00977FA2" w:rsidRPr="00626A06">
        <w:rPr>
          <w:rFonts w:ascii="Times New Roman" w:hAnsi="Times New Roman" w:cs="Times New Roman"/>
          <w:sz w:val="24"/>
          <w:szCs w:val="24"/>
        </w:rPr>
        <w:t>Lord Simon,</w:t>
      </w:r>
      <w:r w:rsidR="00822AD9" w:rsidRPr="00626A06">
        <w:rPr>
          <w:rFonts w:ascii="Times New Roman" w:hAnsi="Times New Roman" w:cs="Times New Roman"/>
          <w:sz w:val="24"/>
          <w:szCs w:val="24"/>
        </w:rPr>
        <w:t xml:space="preserve"> to have been </w:t>
      </w:r>
      <w:r w:rsidR="006464BB" w:rsidRPr="00626A06">
        <w:rPr>
          <w:rFonts w:ascii="Times New Roman" w:hAnsi="Times New Roman" w:cs="Times New Roman"/>
          <w:sz w:val="24"/>
          <w:szCs w:val="24"/>
        </w:rPr>
        <w:t xml:space="preserve">almost entirely </w:t>
      </w:r>
      <w:r w:rsidR="00822AD9" w:rsidRPr="00626A06">
        <w:rPr>
          <w:rFonts w:ascii="Times New Roman" w:hAnsi="Times New Roman" w:cs="Times New Roman"/>
          <w:sz w:val="24"/>
          <w:szCs w:val="24"/>
        </w:rPr>
        <w:t>focused</w:t>
      </w:r>
      <w:r w:rsidR="0025272E" w:rsidRPr="00626A06">
        <w:rPr>
          <w:rFonts w:ascii="Times New Roman" w:hAnsi="Times New Roman" w:cs="Times New Roman"/>
          <w:sz w:val="24"/>
          <w:szCs w:val="24"/>
        </w:rPr>
        <w:t xml:space="preserve"> on road traffic accidents.</w:t>
      </w:r>
      <w:bookmarkStart w:id="10" w:name="_Ref319261609"/>
      <w:r w:rsidR="0025272E" w:rsidRPr="00626A06">
        <w:rPr>
          <w:rStyle w:val="FootnoteReference"/>
          <w:rFonts w:ascii="Times New Roman" w:hAnsi="Times New Roman" w:cs="Times New Roman"/>
          <w:sz w:val="24"/>
          <w:szCs w:val="24"/>
        </w:rPr>
        <w:footnoteReference w:id="27"/>
      </w:r>
      <w:bookmarkEnd w:id="10"/>
      <w:r w:rsidR="003E0466" w:rsidRPr="00626A06">
        <w:rPr>
          <w:rFonts w:ascii="Times New Roman" w:hAnsi="Times New Roman" w:cs="Times New Roman"/>
          <w:sz w:val="24"/>
          <w:szCs w:val="24"/>
        </w:rPr>
        <w:t xml:space="preserve"> </w:t>
      </w:r>
      <w:r w:rsidR="007407CD" w:rsidRPr="00626A06">
        <w:rPr>
          <w:rFonts w:ascii="Times New Roman" w:hAnsi="Times New Roman" w:cs="Times New Roman"/>
          <w:sz w:val="24"/>
          <w:szCs w:val="24"/>
        </w:rPr>
        <w:t>The process of reform therefore illustrates the dominance of road traffic in shaping legal attitudes to tort liability</w:t>
      </w:r>
      <w:r w:rsidR="00767881" w:rsidRPr="00626A06">
        <w:rPr>
          <w:rFonts w:ascii="Times New Roman" w:hAnsi="Times New Roman" w:cs="Times New Roman"/>
          <w:sz w:val="24"/>
          <w:szCs w:val="24"/>
        </w:rPr>
        <w:t>. At the same time</w:t>
      </w:r>
      <w:r w:rsidR="007407CD" w:rsidRPr="00626A06">
        <w:rPr>
          <w:rFonts w:ascii="Times New Roman" w:hAnsi="Times New Roman" w:cs="Times New Roman"/>
          <w:sz w:val="24"/>
          <w:szCs w:val="24"/>
        </w:rPr>
        <w:t xml:space="preserve">, </w:t>
      </w:r>
      <w:r w:rsidR="00767881" w:rsidRPr="00626A06">
        <w:rPr>
          <w:rFonts w:ascii="Times New Roman" w:hAnsi="Times New Roman" w:cs="Times New Roman"/>
          <w:sz w:val="24"/>
          <w:szCs w:val="24"/>
        </w:rPr>
        <w:t>t</w:t>
      </w:r>
      <w:r w:rsidR="007407CD" w:rsidRPr="00626A06">
        <w:rPr>
          <w:rFonts w:ascii="Times New Roman" w:hAnsi="Times New Roman" w:cs="Times New Roman"/>
          <w:sz w:val="24"/>
          <w:szCs w:val="24"/>
        </w:rPr>
        <w:t xml:space="preserve">he </w:t>
      </w:r>
      <w:r w:rsidR="00D313EF" w:rsidRPr="00626A06">
        <w:rPr>
          <w:rFonts w:ascii="Times New Roman" w:hAnsi="Times New Roman" w:cs="Times New Roman"/>
          <w:sz w:val="24"/>
          <w:szCs w:val="24"/>
        </w:rPr>
        <w:t>p</w:t>
      </w:r>
      <w:r w:rsidR="00466C12" w:rsidRPr="00626A06">
        <w:rPr>
          <w:rFonts w:ascii="Times New Roman" w:hAnsi="Times New Roman" w:cs="Times New Roman"/>
          <w:sz w:val="24"/>
          <w:szCs w:val="24"/>
        </w:rPr>
        <w:t xml:space="preserve">resence of industrial accidents as an irritating and delaying factor </w:t>
      </w:r>
      <w:r w:rsidR="007407CD" w:rsidRPr="00626A06">
        <w:rPr>
          <w:rFonts w:ascii="Times New Roman" w:hAnsi="Times New Roman" w:cs="Times New Roman"/>
          <w:sz w:val="24"/>
          <w:szCs w:val="24"/>
        </w:rPr>
        <w:t xml:space="preserve">was significant </w:t>
      </w:r>
      <w:r w:rsidR="002661CF">
        <w:rPr>
          <w:rFonts w:ascii="Times New Roman" w:hAnsi="Times New Roman" w:cs="Times New Roman"/>
          <w:sz w:val="24"/>
          <w:szCs w:val="24"/>
        </w:rPr>
        <w:t xml:space="preserve">for the nature of </w:t>
      </w:r>
      <w:r w:rsidR="00466C12" w:rsidRPr="00626A06">
        <w:rPr>
          <w:rFonts w:ascii="Times New Roman" w:hAnsi="Times New Roman" w:cs="Times New Roman"/>
          <w:sz w:val="24"/>
          <w:szCs w:val="24"/>
        </w:rPr>
        <w:t>the</w:t>
      </w:r>
      <w:r w:rsidR="007407CD" w:rsidRPr="00626A06">
        <w:rPr>
          <w:rFonts w:ascii="Times New Roman" w:hAnsi="Times New Roman" w:cs="Times New Roman"/>
          <w:sz w:val="24"/>
          <w:szCs w:val="24"/>
        </w:rPr>
        <w:t xml:space="preserve"> eventual</w:t>
      </w:r>
      <w:r w:rsidR="00466C12" w:rsidRPr="00626A06">
        <w:rPr>
          <w:rFonts w:ascii="Times New Roman" w:hAnsi="Times New Roman" w:cs="Times New Roman"/>
          <w:sz w:val="24"/>
          <w:szCs w:val="24"/>
        </w:rPr>
        <w:t xml:space="preserve"> reform.</w:t>
      </w:r>
      <w:r w:rsidR="00237FD1" w:rsidRPr="00626A06">
        <w:rPr>
          <w:rFonts w:ascii="Times New Roman" w:hAnsi="Times New Roman" w:cs="Times New Roman"/>
          <w:sz w:val="24"/>
          <w:szCs w:val="24"/>
        </w:rPr>
        <w:t xml:space="preserve"> </w:t>
      </w:r>
    </w:p>
    <w:p w:rsidR="00E0043F" w:rsidRPr="00626A06" w:rsidRDefault="0039090F"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Returning to </w:t>
      </w:r>
      <w:r w:rsidR="003A6900" w:rsidRPr="00626A06">
        <w:rPr>
          <w:rFonts w:ascii="Times New Roman" w:hAnsi="Times New Roman" w:cs="Times New Roman"/>
          <w:sz w:val="24"/>
          <w:szCs w:val="24"/>
        </w:rPr>
        <w:t>the</w:t>
      </w:r>
      <w:r w:rsidR="00F73F34" w:rsidRPr="00626A06">
        <w:rPr>
          <w:rFonts w:ascii="Times New Roman" w:hAnsi="Times New Roman" w:cs="Times New Roman"/>
          <w:sz w:val="24"/>
          <w:szCs w:val="24"/>
        </w:rPr>
        <w:t xml:space="preserve"> reformers’</w:t>
      </w:r>
      <w:r w:rsidR="003A6900" w:rsidRPr="00626A06">
        <w:rPr>
          <w:rFonts w:ascii="Times New Roman" w:hAnsi="Times New Roman" w:cs="Times New Roman"/>
          <w:sz w:val="24"/>
          <w:szCs w:val="24"/>
        </w:rPr>
        <w:t xml:space="preserve"> focus on </w:t>
      </w:r>
      <w:r w:rsidRPr="00626A06">
        <w:rPr>
          <w:rFonts w:ascii="Times New Roman" w:hAnsi="Times New Roman" w:cs="Times New Roman"/>
          <w:sz w:val="24"/>
          <w:szCs w:val="24"/>
        </w:rPr>
        <w:t>road traffic, t</w:t>
      </w:r>
      <w:r w:rsidR="00AD6F7B" w:rsidRPr="00626A06">
        <w:rPr>
          <w:rFonts w:ascii="Times New Roman" w:hAnsi="Times New Roman" w:cs="Times New Roman"/>
          <w:sz w:val="24"/>
          <w:szCs w:val="24"/>
        </w:rPr>
        <w:t xml:space="preserve">he </w:t>
      </w:r>
      <w:r w:rsidR="00115205" w:rsidRPr="00626A06">
        <w:rPr>
          <w:rFonts w:ascii="Times New Roman" w:hAnsi="Times New Roman" w:cs="Times New Roman"/>
          <w:sz w:val="24"/>
          <w:szCs w:val="24"/>
        </w:rPr>
        <w:t>potential</w:t>
      </w:r>
      <w:r w:rsidR="00E0043F" w:rsidRPr="00626A06">
        <w:rPr>
          <w:rFonts w:ascii="Times New Roman" w:hAnsi="Times New Roman" w:cs="Times New Roman"/>
          <w:sz w:val="24"/>
          <w:szCs w:val="24"/>
        </w:rPr>
        <w:t xml:space="preserve"> for</w:t>
      </w:r>
      <w:r w:rsidR="00115205" w:rsidRPr="00626A06">
        <w:rPr>
          <w:rFonts w:ascii="Times New Roman" w:hAnsi="Times New Roman" w:cs="Times New Roman"/>
          <w:sz w:val="24"/>
          <w:szCs w:val="24"/>
        </w:rPr>
        <w:t xml:space="preserve"> </w:t>
      </w:r>
      <w:r w:rsidR="00AD6F7B" w:rsidRPr="00626A06">
        <w:rPr>
          <w:rFonts w:ascii="Times New Roman" w:hAnsi="Times New Roman" w:cs="Times New Roman"/>
          <w:sz w:val="24"/>
          <w:szCs w:val="24"/>
        </w:rPr>
        <w:t xml:space="preserve">unfairness in such cases had been </w:t>
      </w:r>
      <w:r w:rsidR="00E0043F" w:rsidRPr="00626A06">
        <w:rPr>
          <w:rFonts w:ascii="Times New Roman" w:hAnsi="Times New Roman" w:cs="Times New Roman"/>
          <w:sz w:val="24"/>
          <w:szCs w:val="24"/>
        </w:rPr>
        <w:t>highlighted</w:t>
      </w:r>
      <w:r w:rsidR="00AD6F7B" w:rsidRPr="00626A06">
        <w:rPr>
          <w:rFonts w:ascii="Times New Roman" w:hAnsi="Times New Roman" w:cs="Times New Roman"/>
          <w:sz w:val="24"/>
          <w:szCs w:val="24"/>
        </w:rPr>
        <w:t xml:space="preserve"> by</w:t>
      </w:r>
      <w:r w:rsidR="009C2DF3" w:rsidRPr="00626A06">
        <w:rPr>
          <w:rFonts w:ascii="Times New Roman" w:hAnsi="Times New Roman" w:cs="Times New Roman"/>
          <w:sz w:val="24"/>
          <w:szCs w:val="24"/>
        </w:rPr>
        <w:t>, for example,</w:t>
      </w:r>
      <w:r w:rsidR="00A11B6D" w:rsidRPr="00626A06">
        <w:rPr>
          <w:rFonts w:ascii="Times New Roman" w:hAnsi="Times New Roman" w:cs="Times New Roman"/>
          <w:sz w:val="24"/>
          <w:szCs w:val="24"/>
        </w:rPr>
        <w:t xml:space="preserve"> the case of </w:t>
      </w:r>
      <w:r w:rsidR="00AD6F7B" w:rsidRPr="00626A06">
        <w:rPr>
          <w:rFonts w:ascii="Times New Roman" w:hAnsi="Times New Roman" w:cs="Times New Roman"/>
          <w:i/>
          <w:sz w:val="24"/>
          <w:szCs w:val="24"/>
        </w:rPr>
        <w:t>McLean v Bell</w:t>
      </w:r>
      <w:r w:rsidR="00E0043F" w:rsidRPr="00626A06">
        <w:rPr>
          <w:rFonts w:ascii="Times New Roman" w:hAnsi="Times New Roman" w:cs="Times New Roman"/>
          <w:sz w:val="24"/>
          <w:szCs w:val="24"/>
        </w:rPr>
        <w:t>.</w:t>
      </w:r>
      <w:bookmarkStart w:id="11" w:name="_Ref319261674"/>
      <w:r w:rsidR="00AD6F7B" w:rsidRPr="00626A06">
        <w:rPr>
          <w:rStyle w:val="FootnoteReference"/>
          <w:rFonts w:ascii="Times New Roman" w:hAnsi="Times New Roman" w:cs="Times New Roman"/>
          <w:sz w:val="24"/>
          <w:szCs w:val="24"/>
        </w:rPr>
        <w:footnoteReference w:id="28"/>
      </w:r>
      <w:bookmarkEnd w:id="11"/>
      <w:r w:rsidR="00AD6F7B" w:rsidRPr="00626A06">
        <w:rPr>
          <w:rFonts w:ascii="Times New Roman" w:hAnsi="Times New Roman" w:cs="Times New Roman"/>
          <w:sz w:val="24"/>
          <w:szCs w:val="24"/>
        </w:rPr>
        <w:t xml:space="preserve"> </w:t>
      </w:r>
      <w:r w:rsidR="00E0043F" w:rsidRPr="00626A06">
        <w:rPr>
          <w:rFonts w:ascii="Times New Roman" w:hAnsi="Times New Roman" w:cs="Times New Roman"/>
          <w:sz w:val="24"/>
          <w:szCs w:val="24"/>
        </w:rPr>
        <w:t>A</w:t>
      </w:r>
      <w:r w:rsidR="00AD6F7B" w:rsidRPr="00626A06">
        <w:rPr>
          <w:rFonts w:ascii="Times New Roman" w:hAnsi="Times New Roman" w:cs="Times New Roman"/>
          <w:sz w:val="24"/>
          <w:szCs w:val="24"/>
        </w:rPr>
        <w:t xml:space="preserve"> girl crossing a </w:t>
      </w:r>
      <w:r w:rsidR="00E0043F" w:rsidRPr="00626A06">
        <w:rPr>
          <w:rFonts w:ascii="Times New Roman" w:hAnsi="Times New Roman" w:cs="Times New Roman"/>
          <w:sz w:val="24"/>
          <w:szCs w:val="24"/>
        </w:rPr>
        <w:t xml:space="preserve">Glasgow </w:t>
      </w:r>
      <w:r w:rsidR="00AD6F7B" w:rsidRPr="00626A06">
        <w:rPr>
          <w:rFonts w:ascii="Times New Roman" w:hAnsi="Times New Roman" w:cs="Times New Roman"/>
          <w:sz w:val="24"/>
          <w:szCs w:val="24"/>
        </w:rPr>
        <w:t xml:space="preserve">street </w:t>
      </w:r>
      <w:r w:rsidR="00F52058" w:rsidRPr="00626A06">
        <w:rPr>
          <w:rFonts w:ascii="Times New Roman" w:hAnsi="Times New Roman" w:cs="Times New Roman"/>
          <w:sz w:val="24"/>
          <w:szCs w:val="24"/>
        </w:rPr>
        <w:t xml:space="preserve">after alighting from a tram </w:t>
      </w:r>
      <w:r w:rsidR="00AD6F7B" w:rsidRPr="00626A06">
        <w:rPr>
          <w:rFonts w:ascii="Times New Roman" w:hAnsi="Times New Roman" w:cs="Times New Roman"/>
          <w:sz w:val="24"/>
          <w:szCs w:val="24"/>
        </w:rPr>
        <w:t>had been knocked down</w:t>
      </w:r>
      <w:r w:rsidR="00F52058" w:rsidRPr="00626A06">
        <w:rPr>
          <w:rFonts w:ascii="Times New Roman" w:hAnsi="Times New Roman" w:cs="Times New Roman"/>
          <w:sz w:val="24"/>
          <w:szCs w:val="24"/>
        </w:rPr>
        <w:t xml:space="preserve"> by a car</w:t>
      </w:r>
      <w:r w:rsidR="004F2B18" w:rsidRPr="00626A06">
        <w:rPr>
          <w:rFonts w:ascii="Times New Roman" w:hAnsi="Times New Roman" w:cs="Times New Roman"/>
          <w:sz w:val="24"/>
          <w:szCs w:val="24"/>
        </w:rPr>
        <w:t>. It appears from the report that she was</w:t>
      </w:r>
      <w:r w:rsidR="00F52058" w:rsidRPr="00626A06">
        <w:rPr>
          <w:rFonts w:ascii="Times New Roman" w:hAnsi="Times New Roman" w:cs="Times New Roman"/>
          <w:sz w:val="24"/>
          <w:szCs w:val="24"/>
        </w:rPr>
        <w:t xml:space="preserve"> dragged by the car for some 20 yards before it stopped</w:t>
      </w:r>
      <w:r w:rsidR="00E0043F" w:rsidRPr="00626A06">
        <w:rPr>
          <w:rFonts w:ascii="Times New Roman" w:hAnsi="Times New Roman" w:cs="Times New Roman"/>
          <w:sz w:val="24"/>
          <w:szCs w:val="24"/>
        </w:rPr>
        <w:t>,</w:t>
      </w:r>
      <w:r w:rsidR="004F2B18" w:rsidRPr="00626A06">
        <w:rPr>
          <w:rFonts w:ascii="Times New Roman" w:hAnsi="Times New Roman" w:cs="Times New Roman"/>
          <w:sz w:val="24"/>
          <w:szCs w:val="24"/>
        </w:rPr>
        <w:t xml:space="preserve"> and sustained</w:t>
      </w:r>
      <w:r w:rsidR="00F52058" w:rsidRPr="00626A06">
        <w:rPr>
          <w:rFonts w:ascii="Times New Roman" w:hAnsi="Times New Roman" w:cs="Times New Roman"/>
          <w:sz w:val="24"/>
          <w:szCs w:val="24"/>
        </w:rPr>
        <w:t xml:space="preserve"> ‘very serious injuries’</w:t>
      </w:r>
      <w:r w:rsidR="00E0043F" w:rsidRPr="00626A06">
        <w:rPr>
          <w:rFonts w:ascii="Times New Roman" w:hAnsi="Times New Roman" w:cs="Times New Roman"/>
          <w:sz w:val="24"/>
          <w:szCs w:val="24"/>
        </w:rPr>
        <w:t xml:space="preserve"> from which </w:t>
      </w:r>
      <w:r w:rsidR="002101F7" w:rsidRPr="00626A06">
        <w:rPr>
          <w:rFonts w:ascii="Times New Roman" w:hAnsi="Times New Roman" w:cs="Times New Roman"/>
          <w:sz w:val="24"/>
          <w:szCs w:val="24"/>
        </w:rPr>
        <w:t xml:space="preserve">it was said </w:t>
      </w:r>
      <w:r w:rsidR="00E0043F" w:rsidRPr="00626A06">
        <w:rPr>
          <w:rFonts w:ascii="Times New Roman" w:hAnsi="Times New Roman" w:cs="Times New Roman"/>
          <w:sz w:val="24"/>
          <w:szCs w:val="24"/>
        </w:rPr>
        <w:t>‘she may never recover’</w:t>
      </w:r>
      <w:r w:rsidR="00AD6F7B" w:rsidRPr="00626A06">
        <w:rPr>
          <w:rFonts w:ascii="Times New Roman" w:hAnsi="Times New Roman" w:cs="Times New Roman"/>
          <w:sz w:val="24"/>
          <w:szCs w:val="24"/>
        </w:rPr>
        <w:t>.</w:t>
      </w:r>
      <w:r w:rsidR="00F52058" w:rsidRPr="00626A06">
        <w:rPr>
          <w:rStyle w:val="FootnoteReference"/>
          <w:rFonts w:ascii="Times New Roman" w:hAnsi="Times New Roman" w:cs="Times New Roman"/>
          <w:sz w:val="24"/>
          <w:szCs w:val="24"/>
        </w:rPr>
        <w:footnoteReference w:id="29"/>
      </w:r>
      <w:r w:rsidR="00F52058" w:rsidRPr="00626A06">
        <w:rPr>
          <w:rFonts w:ascii="Times New Roman" w:hAnsi="Times New Roman" w:cs="Times New Roman"/>
          <w:sz w:val="24"/>
          <w:szCs w:val="24"/>
        </w:rPr>
        <w:t xml:space="preserve"> </w:t>
      </w:r>
      <w:r w:rsidR="00692E06" w:rsidRPr="00626A06">
        <w:rPr>
          <w:rFonts w:ascii="Times New Roman" w:hAnsi="Times New Roman" w:cs="Times New Roman"/>
          <w:sz w:val="24"/>
          <w:szCs w:val="24"/>
        </w:rPr>
        <w:t>I</w:t>
      </w:r>
      <w:r w:rsidR="00F915A9" w:rsidRPr="00626A06">
        <w:rPr>
          <w:rFonts w:ascii="Times New Roman" w:hAnsi="Times New Roman" w:cs="Times New Roman"/>
          <w:sz w:val="24"/>
          <w:szCs w:val="24"/>
        </w:rPr>
        <w:t>n order to secure her damages she</w:t>
      </w:r>
      <w:r w:rsidR="00AD6F7B" w:rsidRPr="00626A06">
        <w:rPr>
          <w:rFonts w:ascii="Times New Roman" w:hAnsi="Times New Roman" w:cs="Times New Roman"/>
          <w:sz w:val="24"/>
          <w:szCs w:val="24"/>
        </w:rPr>
        <w:t xml:space="preserve"> had to pursue her claim to the House of Lords as, in the words of a memorandum prepared for the Law Revision Committee ‘the insurance company had twice succeeded in getting a verdict in her favour set aside…</w:t>
      </w:r>
      <w:proofErr w:type="gramStart"/>
      <w:r w:rsidR="00AD6F7B" w:rsidRPr="00626A06">
        <w:rPr>
          <w:rFonts w:ascii="Times New Roman" w:hAnsi="Times New Roman" w:cs="Times New Roman"/>
          <w:sz w:val="24"/>
          <w:szCs w:val="24"/>
        </w:rPr>
        <w:t>’.</w:t>
      </w:r>
      <w:bookmarkStart w:id="12" w:name="_Ref319272821"/>
      <w:proofErr w:type="gramEnd"/>
      <w:r w:rsidR="00AD6F7B" w:rsidRPr="00626A06">
        <w:rPr>
          <w:rFonts w:ascii="Times New Roman" w:hAnsi="Times New Roman" w:cs="Times New Roman"/>
          <w:sz w:val="24"/>
          <w:szCs w:val="24"/>
          <w:vertAlign w:val="superscript"/>
        </w:rPr>
        <w:footnoteReference w:id="30"/>
      </w:r>
      <w:bookmarkEnd w:id="12"/>
      <w:r w:rsidR="00E13191" w:rsidRPr="00626A06">
        <w:rPr>
          <w:rFonts w:ascii="Times New Roman" w:hAnsi="Times New Roman" w:cs="Times New Roman"/>
          <w:sz w:val="24"/>
          <w:szCs w:val="24"/>
        </w:rPr>
        <w:t xml:space="preserve"> </w:t>
      </w:r>
      <w:r w:rsidR="00F52058" w:rsidRPr="00626A06">
        <w:rPr>
          <w:rFonts w:ascii="Times New Roman" w:hAnsi="Times New Roman" w:cs="Times New Roman"/>
          <w:sz w:val="24"/>
          <w:szCs w:val="24"/>
        </w:rPr>
        <w:t>On each occasion, it was held by the Second Division that the jury’s decision was contrary to the weight of the evidence</w:t>
      </w:r>
      <w:r w:rsidR="00B16271" w:rsidRPr="00626A06">
        <w:rPr>
          <w:rFonts w:ascii="Times New Roman" w:hAnsi="Times New Roman" w:cs="Times New Roman"/>
          <w:sz w:val="24"/>
          <w:szCs w:val="24"/>
        </w:rPr>
        <w:t xml:space="preserve">: </w:t>
      </w:r>
      <w:r w:rsidR="00F52058" w:rsidRPr="00626A06">
        <w:rPr>
          <w:rFonts w:ascii="Times New Roman" w:hAnsi="Times New Roman" w:cs="Times New Roman"/>
          <w:sz w:val="24"/>
          <w:szCs w:val="24"/>
        </w:rPr>
        <w:t>there was contributory negligence on the part of the girl</w:t>
      </w:r>
      <w:r w:rsidR="00E0043F" w:rsidRPr="00626A06">
        <w:rPr>
          <w:rFonts w:ascii="Times New Roman" w:hAnsi="Times New Roman" w:cs="Times New Roman"/>
          <w:sz w:val="24"/>
          <w:szCs w:val="24"/>
        </w:rPr>
        <w:t>,</w:t>
      </w:r>
      <w:r w:rsidR="00F52058" w:rsidRPr="00626A06">
        <w:rPr>
          <w:rFonts w:ascii="Times New Roman" w:hAnsi="Times New Roman" w:cs="Times New Roman"/>
          <w:sz w:val="24"/>
          <w:szCs w:val="24"/>
        </w:rPr>
        <w:t xml:space="preserve"> </w:t>
      </w:r>
      <w:r w:rsidR="00560295" w:rsidRPr="00626A06">
        <w:rPr>
          <w:rFonts w:ascii="Times New Roman" w:hAnsi="Times New Roman" w:cs="Times New Roman"/>
          <w:sz w:val="24"/>
          <w:szCs w:val="24"/>
        </w:rPr>
        <w:t xml:space="preserve">and as </w:t>
      </w:r>
      <w:r w:rsidR="00D8291A" w:rsidRPr="00626A06">
        <w:rPr>
          <w:rFonts w:ascii="Times New Roman" w:hAnsi="Times New Roman" w:cs="Times New Roman"/>
          <w:sz w:val="24"/>
          <w:szCs w:val="24"/>
        </w:rPr>
        <w:t xml:space="preserve">a matter of law, she could not succeed in her claim. </w:t>
      </w:r>
      <w:r w:rsidR="00F52058" w:rsidRPr="00626A06">
        <w:rPr>
          <w:rFonts w:ascii="Times New Roman" w:hAnsi="Times New Roman" w:cs="Times New Roman"/>
          <w:sz w:val="24"/>
          <w:szCs w:val="24"/>
        </w:rPr>
        <w:t>On appeal to the House of Lords, the key judgment was delivered by Lord Wright, Chair of the Law Revision Committee at the time of its 8</w:t>
      </w:r>
      <w:r w:rsidR="00F52058" w:rsidRPr="00626A06">
        <w:rPr>
          <w:rFonts w:ascii="Times New Roman" w:hAnsi="Times New Roman" w:cs="Times New Roman"/>
          <w:sz w:val="24"/>
          <w:szCs w:val="24"/>
          <w:vertAlign w:val="superscript"/>
        </w:rPr>
        <w:t>th</w:t>
      </w:r>
      <w:r w:rsidR="00F52058" w:rsidRPr="00626A06">
        <w:rPr>
          <w:rFonts w:ascii="Times New Roman" w:hAnsi="Times New Roman" w:cs="Times New Roman"/>
          <w:sz w:val="24"/>
          <w:szCs w:val="24"/>
        </w:rPr>
        <w:t xml:space="preserve"> Report. He </w:t>
      </w:r>
      <w:r w:rsidR="004E5BB3" w:rsidRPr="00626A06">
        <w:rPr>
          <w:rFonts w:ascii="Times New Roman" w:hAnsi="Times New Roman" w:cs="Times New Roman"/>
          <w:sz w:val="24"/>
          <w:szCs w:val="24"/>
        </w:rPr>
        <w:t xml:space="preserve">argued </w:t>
      </w:r>
      <w:r w:rsidR="00F52058" w:rsidRPr="00626A06">
        <w:rPr>
          <w:rFonts w:ascii="Times New Roman" w:hAnsi="Times New Roman" w:cs="Times New Roman"/>
          <w:sz w:val="24"/>
          <w:szCs w:val="24"/>
        </w:rPr>
        <w:t xml:space="preserve">that </w:t>
      </w:r>
      <w:r w:rsidR="00E0043F" w:rsidRPr="00626A06">
        <w:rPr>
          <w:rFonts w:ascii="Times New Roman" w:hAnsi="Times New Roman" w:cs="Times New Roman"/>
          <w:sz w:val="24"/>
          <w:szCs w:val="24"/>
        </w:rPr>
        <w:t xml:space="preserve">even if the girl had contributed to the accident through inattentiveness, this </w:t>
      </w:r>
      <w:r w:rsidR="00F52058" w:rsidRPr="00626A06">
        <w:rPr>
          <w:rFonts w:ascii="Times New Roman" w:hAnsi="Times New Roman" w:cs="Times New Roman"/>
          <w:sz w:val="24"/>
          <w:szCs w:val="24"/>
        </w:rPr>
        <w:t xml:space="preserve">was </w:t>
      </w:r>
      <w:r w:rsidR="00E0043F" w:rsidRPr="00626A06">
        <w:rPr>
          <w:rFonts w:ascii="Times New Roman" w:hAnsi="Times New Roman" w:cs="Times New Roman"/>
          <w:sz w:val="24"/>
          <w:szCs w:val="24"/>
        </w:rPr>
        <w:t>not decisive against her</w:t>
      </w:r>
      <w:r w:rsidR="00777DC3" w:rsidRPr="00626A06">
        <w:rPr>
          <w:rFonts w:ascii="Times New Roman" w:hAnsi="Times New Roman" w:cs="Times New Roman"/>
          <w:sz w:val="24"/>
          <w:szCs w:val="24"/>
        </w:rPr>
        <w:t xml:space="preserve">: the </w:t>
      </w:r>
      <w:r w:rsidR="00E0043F" w:rsidRPr="00626A06">
        <w:rPr>
          <w:rFonts w:ascii="Times New Roman" w:hAnsi="Times New Roman" w:cs="Times New Roman"/>
          <w:sz w:val="24"/>
          <w:szCs w:val="24"/>
        </w:rPr>
        <w:t xml:space="preserve">jury </w:t>
      </w:r>
      <w:r w:rsidR="00D8291A" w:rsidRPr="00626A06">
        <w:rPr>
          <w:rFonts w:ascii="Times New Roman" w:hAnsi="Times New Roman" w:cs="Times New Roman"/>
          <w:sz w:val="24"/>
          <w:szCs w:val="24"/>
        </w:rPr>
        <w:t xml:space="preserve">was </w:t>
      </w:r>
      <w:r w:rsidR="004E5BB3" w:rsidRPr="00626A06">
        <w:rPr>
          <w:rFonts w:ascii="Times New Roman" w:hAnsi="Times New Roman" w:cs="Times New Roman"/>
          <w:sz w:val="24"/>
          <w:szCs w:val="24"/>
        </w:rPr>
        <w:t xml:space="preserve">therefore </w:t>
      </w:r>
      <w:r w:rsidR="00D8291A" w:rsidRPr="00626A06">
        <w:rPr>
          <w:rFonts w:ascii="Times New Roman" w:hAnsi="Times New Roman" w:cs="Times New Roman"/>
          <w:sz w:val="24"/>
          <w:szCs w:val="24"/>
        </w:rPr>
        <w:t xml:space="preserve">free to </w:t>
      </w:r>
      <w:r w:rsidR="00E0043F" w:rsidRPr="00626A06">
        <w:rPr>
          <w:rFonts w:ascii="Times New Roman" w:hAnsi="Times New Roman" w:cs="Times New Roman"/>
          <w:sz w:val="24"/>
          <w:szCs w:val="24"/>
        </w:rPr>
        <w:t xml:space="preserve">decide which </w:t>
      </w:r>
      <w:r w:rsidR="00777DC3" w:rsidRPr="00626A06">
        <w:rPr>
          <w:rFonts w:ascii="Times New Roman" w:hAnsi="Times New Roman" w:cs="Times New Roman"/>
          <w:sz w:val="24"/>
          <w:szCs w:val="24"/>
        </w:rPr>
        <w:t xml:space="preserve">act of carelessness </w:t>
      </w:r>
      <w:r w:rsidR="00E0043F" w:rsidRPr="00626A06">
        <w:rPr>
          <w:rFonts w:ascii="Times New Roman" w:hAnsi="Times New Roman" w:cs="Times New Roman"/>
          <w:sz w:val="24"/>
          <w:szCs w:val="24"/>
        </w:rPr>
        <w:t>was the operating cause of the accident</w:t>
      </w:r>
      <w:r w:rsidR="004E5BB3" w:rsidRPr="00626A06">
        <w:rPr>
          <w:rFonts w:ascii="Times New Roman" w:hAnsi="Times New Roman" w:cs="Times New Roman"/>
          <w:sz w:val="24"/>
          <w:szCs w:val="24"/>
        </w:rPr>
        <w:t>, and its decision should stand</w:t>
      </w:r>
      <w:r w:rsidR="00E0043F" w:rsidRPr="00626A06">
        <w:rPr>
          <w:rFonts w:ascii="Times New Roman" w:hAnsi="Times New Roman" w:cs="Times New Roman"/>
          <w:sz w:val="24"/>
          <w:szCs w:val="24"/>
        </w:rPr>
        <w:t xml:space="preserve">. </w:t>
      </w:r>
      <w:r w:rsidR="001C4C8D" w:rsidRPr="00626A06">
        <w:rPr>
          <w:rFonts w:ascii="Times New Roman" w:hAnsi="Times New Roman" w:cs="Times New Roman"/>
          <w:sz w:val="24"/>
          <w:szCs w:val="24"/>
        </w:rPr>
        <w:t xml:space="preserve">By ‘operating cause’, the House meant ‘legal cause’. </w:t>
      </w:r>
      <w:r w:rsidR="00E0043F" w:rsidRPr="00626A06">
        <w:rPr>
          <w:rFonts w:ascii="Times New Roman" w:hAnsi="Times New Roman" w:cs="Times New Roman"/>
          <w:sz w:val="24"/>
          <w:szCs w:val="24"/>
        </w:rPr>
        <w:t xml:space="preserve">The case illustrates that fine decisions </w:t>
      </w:r>
      <w:r w:rsidR="00777DC3" w:rsidRPr="00626A06">
        <w:rPr>
          <w:rFonts w:ascii="Times New Roman" w:hAnsi="Times New Roman" w:cs="Times New Roman"/>
          <w:sz w:val="24"/>
          <w:szCs w:val="24"/>
        </w:rPr>
        <w:t xml:space="preserve">as to legal cause </w:t>
      </w:r>
      <w:r w:rsidR="00571A03" w:rsidRPr="00626A06">
        <w:rPr>
          <w:rFonts w:ascii="Times New Roman" w:hAnsi="Times New Roman" w:cs="Times New Roman"/>
          <w:sz w:val="24"/>
          <w:szCs w:val="24"/>
        </w:rPr>
        <w:t>– in this instance, on the part of a jury</w:t>
      </w:r>
      <w:r w:rsidR="00AD48AE" w:rsidRPr="00626A06">
        <w:rPr>
          <w:rFonts w:ascii="Times New Roman" w:hAnsi="Times New Roman" w:cs="Times New Roman"/>
          <w:sz w:val="24"/>
          <w:szCs w:val="24"/>
        </w:rPr>
        <w:t xml:space="preserve"> – </w:t>
      </w:r>
      <w:r w:rsidR="00E0043F" w:rsidRPr="00626A06">
        <w:rPr>
          <w:rFonts w:ascii="Times New Roman" w:hAnsi="Times New Roman" w:cs="Times New Roman"/>
          <w:sz w:val="24"/>
          <w:szCs w:val="24"/>
        </w:rPr>
        <w:t xml:space="preserve">would make the decisive difference between compensation, and no compensation. </w:t>
      </w:r>
      <w:r w:rsidRPr="00626A06">
        <w:rPr>
          <w:rFonts w:ascii="Times New Roman" w:hAnsi="Times New Roman" w:cs="Times New Roman"/>
          <w:sz w:val="24"/>
          <w:szCs w:val="24"/>
        </w:rPr>
        <w:t>It also illustrates how ‘legal cause’ was used by the courts to evade contributory negligence doctrine. As we will see, the Law Revision Committee did not int</w:t>
      </w:r>
      <w:r w:rsidR="008E799D" w:rsidRPr="00626A06">
        <w:rPr>
          <w:rFonts w:ascii="Times New Roman" w:hAnsi="Times New Roman" w:cs="Times New Roman"/>
          <w:sz w:val="24"/>
          <w:szCs w:val="24"/>
        </w:rPr>
        <w:t xml:space="preserve">end </w:t>
      </w:r>
      <w:r w:rsidR="008E799D" w:rsidRPr="00626A06">
        <w:rPr>
          <w:rFonts w:ascii="Times New Roman" w:hAnsi="Times New Roman" w:cs="Times New Roman"/>
          <w:sz w:val="24"/>
          <w:szCs w:val="24"/>
        </w:rPr>
        <w:lastRenderedPageBreak/>
        <w:t>to sweep away legal cause in its earlier form</w:t>
      </w:r>
      <w:r w:rsidRPr="00626A06">
        <w:rPr>
          <w:rFonts w:ascii="Times New Roman" w:hAnsi="Times New Roman" w:cs="Times New Roman"/>
          <w:sz w:val="24"/>
          <w:szCs w:val="24"/>
        </w:rPr>
        <w:t>, though</w:t>
      </w:r>
      <w:r w:rsidR="00942A1F" w:rsidRPr="00626A06">
        <w:rPr>
          <w:rFonts w:ascii="Times New Roman" w:hAnsi="Times New Roman" w:cs="Times New Roman"/>
          <w:sz w:val="24"/>
          <w:szCs w:val="24"/>
        </w:rPr>
        <w:t xml:space="preserve"> this has been an unintended consequence of the Act in harmony with other developments</w:t>
      </w:r>
      <w:r w:rsidRPr="00626A06">
        <w:rPr>
          <w:rFonts w:ascii="Times New Roman" w:hAnsi="Times New Roman" w:cs="Times New Roman"/>
          <w:sz w:val="24"/>
          <w:szCs w:val="24"/>
        </w:rPr>
        <w:t>.</w:t>
      </w:r>
    </w:p>
    <w:p w:rsidR="00113CFF" w:rsidRPr="00626A06" w:rsidRDefault="0039090F"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P</w:t>
      </w:r>
      <w:r w:rsidR="00BD712C" w:rsidRPr="00626A06">
        <w:rPr>
          <w:rFonts w:ascii="Times New Roman" w:hAnsi="Times New Roman" w:cs="Times New Roman"/>
          <w:sz w:val="24"/>
          <w:szCs w:val="24"/>
        </w:rPr>
        <w:t xml:space="preserve">roposing his reform, </w:t>
      </w:r>
      <w:r w:rsidR="00756622" w:rsidRPr="00626A06">
        <w:rPr>
          <w:rFonts w:ascii="Times New Roman" w:hAnsi="Times New Roman" w:cs="Times New Roman"/>
          <w:sz w:val="24"/>
          <w:szCs w:val="24"/>
        </w:rPr>
        <w:t>Lord Simon</w:t>
      </w:r>
      <w:r w:rsidRPr="00626A06">
        <w:rPr>
          <w:rFonts w:ascii="Times New Roman" w:hAnsi="Times New Roman" w:cs="Times New Roman"/>
          <w:sz w:val="24"/>
          <w:szCs w:val="24"/>
        </w:rPr>
        <w:t xml:space="preserve"> remained preoccupied with road traffic. He</w:t>
      </w:r>
      <w:r w:rsidR="00756622" w:rsidRPr="00626A06">
        <w:rPr>
          <w:rFonts w:ascii="Times New Roman" w:hAnsi="Times New Roman" w:cs="Times New Roman"/>
          <w:sz w:val="24"/>
          <w:szCs w:val="24"/>
        </w:rPr>
        <w:t xml:space="preserve"> explained that ‘the ordinary case’ </w:t>
      </w:r>
      <w:r w:rsidR="008B597E" w:rsidRPr="00626A06">
        <w:rPr>
          <w:rFonts w:ascii="Times New Roman" w:hAnsi="Times New Roman" w:cs="Times New Roman"/>
          <w:sz w:val="24"/>
          <w:szCs w:val="24"/>
        </w:rPr>
        <w:t xml:space="preserve">to be dealt with </w:t>
      </w:r>
      <w:r w:rsidR="00756622" w:rsidRPr="00626A06">
        <w:rPr>
          <w:rFonts w:ascii="Times New Roman" w:hAnsi="Times New Roman" w:cs="Times New Roman"/>
          <w:sz w:val="24"/>
          <w:szCs w:val="24"/>
        </w:rPr>
        <w:t xml:space="preserve">was the road traffic </w:t>
      </w:r>
      <w:proofErr w:type="gramStart"/>
      <w:r w:rsidR="00756622" w:rsidRPr="00626A06">
        <w:rPr>
          <w:rFonts w:ascii="Times New Roman" w:hAnsi="Times New Roman" w:cs="Times New Roman"/>
          <w:sz w:val="24"/>
          <w:szCs w:val="24"/>
        </w:rPr>
        <w:t>accident</w:t>
      </w:r>
      <w:r w:rsidR="00DD6936" w:rsidRPr="00626A06">
        <w:rPr>
          <w:rFonts w:ascii="Times New Roman" w:hAnsi="Times New Roman" w:cs="Times New Roman"/>
          <w:sz w:val="24"/>
          <w:szCs w:val="24"/>
        </w:rPr>
        <w:t>,</w:t>
      </w:r>
      <w:proofErr w:type="gramEnd"/>
      <w:r w:rsidR="00DD6936" w:rsidRPr="00626A06">
        <w:rPr>
          <w:rFonts w:ascii="Times New Roman" w:hAnsi="Times New Roman" w:cs="Times New Roman"/>
          <w:sz w:val="24"/>
          <w:szCs w:val="24"/>
        </w:rPr>
        <w:t xml:space="preserve"> the type of case which he said occupied the majority of time of the courts of King’s Bench</w:t>
      </w:r>
      <w:r w:rsidR="00756622" w:rsidRPr="00626A06">
        <w:rPr>
          <w:rFonts w:ascii="Times New Roman" w:hAnsi="Times New Roman" w:cs="Times New Roman"/>
          <w:sz w:val="24"/>
          <w:szCs w:val="24"/>
        </w:rPr>
        <w:t>.</w:t>
      </w:r>
      <w:r w:rsidR="00C61245" w:rsidRPr="00626A06">
        <w:rPr>
          <w:rStyle w:val="FootnoteReference"/>
          <w:rFonts w:ascii="Times New Roman" w:hAnsi="Times New Roman" w:cs="Times New Roman"/>
          <w:sz w:val="24"/>
          <w:szCs w:val="24"/>
        </w:rPr>
        <w:footnoteReference w:id="31"/>
      </w:r>
      <w:r w:rsidR="00756622" w:rsidRPr="00626A06">
        <w:rPr>
          <w:rFonts w:ascii="Times New Roman" w:hAnsi="Times New Roman" w:cs="Times New Roman"/>
          <w:sz w:val="24"/>
          <w:szCs w:val="24"/>
        </w:rPr>
        <w:t xml:space="preserve"> </w:t>
      </w:r>
      <w:r w:rsidR="00B2555D" w:rsidRPr="00626A06">
        <w:rPr>
          <w:rFonts w:ascii="Times New Roman" w:hAnsi="Times New Roman" w:cs="Times New Roman"/>
          <w:sz w:val="24"/>
          <w:szCs w:val="24"/>
        </w:rPr>
        <w:t>The reform</w:t>
      </w:r>
      <w:r w:rsidR="00822AD9" w:rsidRPr="00626A06">
        <w:rPr>
          <w:rFonts w:ascii="Times New Roman" w:hAnsi="Times New Roman" w:cs="Times New Roman"/>
          <w:sz w:val="24"/>
          <w:szCs w:val="24"/>
        </w:rPr>
        <w:t xml:space="preserve"> was </w:t>
      </w:r>
      <w:r w:rsidR="00121652" w:rsidRPr="00626A06">
        <w:rPr>
          <w:rFonts w:ascii="Times New Roman" w:hAnsi="Times New Roman" w:cs="Times New Roman"/>
          <w:sz w:val="24"/>
          <w:szCs w:val="24"/>
        </w:rPr>
        <w:t xml:space="preserve">put forward </w:t>
      </w:r>
      <w:r w:rsidR="00822AD9" w:rsidRPr="00626A06">
        <w:rPr>
          <w:rFonts w:ascii="Times New Roman" w:hAnsi="Times New Roman" w:cs="Times New Roman"/>
          <w:sz w:val="24"/>
          <w:szCs w:val="24"/>
        </w:rPr>
        <w:t>as a</w:t>
      </w:r>
      <w:r w:rsidR="00121652" w:rsidRPr="00626A06">
        <w:rPr>
          <w:rFonts w:ascii="Times New Roman" w:hAnsi="Times New Roman" w:cs="Times New Roman"/>
          <w:sz w:val="24"/>
          <w:szCs w:val="24"/>
        </w:rPr>
        <w:t xml:space="preserve"> fair and</w:t>
      </w:r>
      <w:r w:rsidR="00822AD9" w:rsidRPr="00626A06">
        <w:rPr>
          <w:rFonts w:ascii="Times New Roman" w:hAnsi="Times New Roman" w:cs="Times New Roman"/>
          <w:sz w:val="24"/>
          <w:szCs w:val="24"/>
        </w:rPr>
        <w:t xml:space="preserve"> logical step by which the law of collisions on land would be brought into line with the law of collisions at sea.</w:t>
      </w:r>
      <w:r w:rsidR="00357C04" w:rsidRPr="00626A06">
        <w:rPr>
          <w:rFonts w:ascii="Times New Roman" w:hAnsi="Times New Roman" w:cs="Times New Roman"/>
          <w:sz w:val="24"/>
          <w:szCs w:val="24"/>
        </w:rPr>
        <w:t xml:space="preserve"> Lord Simon wanted, as he put it, to secure ‘fair play</w:t>
      </w:r>
      <w:r w:rsidR="00BD2EC5" w:rsidRPr="00626A06">
        <w:rPr>
          <w:rFonts w:ascii="Times New Roman" w:hAnsi="Times New Roman" w:cs="Times New Roman"/>
          <w:sz w:val="24"/>
          <w:szCs w:val="24"/>
        </w:rPr>
        <w:t>’</w:t>
      </w:r>
      <w:r w:rsidR="00357C04" w:rsidRPr="00626A06">
        <w:rPr>
          <w:rFonts w:ascii="Times New Roman" w:hAnsi="Times New Roman" w:cs="Times New Roman"/>
          <w:sz w:val="24"/>
          <w:szCs w:val="24"/>
        </w:rPr>
        <w:t xml:space="preserve"> for </w:t>
      </w:r>
      <w:r w:rsidR="00BD2EC5" w:rsidRPr="00626A06">
        <w:rPr>
          <w:rFonts w:ascii="Times New Roman" w:hAnsi="Times New Roman" w:cs="Times New Roman"/>
          <w:sz w:val="24"/>
          <w:szCs w:val="24"/>
        </w:rPr>
        <w:t>‘</w:t>
      </w:r>
      <w:r w:rsidR="00357C04" w:rsidRPr="00626A06">
        <w:rPr>
          <w:rFonts w:ascii="Times New Roman" w:hAnsi="Times New Roman" w:cs="Times New Roman"/>
          <w:sz w:val="24"/>
          <w:szCs w:val="24"/>
        </w:rPr>
        <w:t xml:space="preserve">the </w:t>
      </w:r>
      <w:r w:rsidR="002F6B74" w:rsidRPr="00626A06">
        <w:rPr>
          <w:rFonts w:ascii="Times New Roman" w:hAnsi="Times New Roman" w:cs="Times New Roman"/>
          <w:sz w:val="24"/>
          <w:szCs w:val="24"/>
        </w:rPr>
        <w:t xml:space="preserve">ordinary </w:t>
      </w:r>
      <w:r w:rsidR="00357C04" w:rsidRPr="00626A06">
        <w:rPr>
          <w:rFonts w:ascii="Times New Roman" w:hAnsi="Times New Roman" w:cs="Times New Roman"/>
          <w:sz w:val="24"/>
          <w:szCs w:val="24"/>
        </w:rPr>
        <w:t>wayfarer’.</w:t>
      </w:r>
      <w:r w:rsidR="00357C04" w:rsidRPr="00626A06">
        <w:rPr>
          <w:rStyle w:val="FootnoteReference"/>
          <w:rFonts w:ascii="Times New Roman" w:hAnsi="Times New Roman" w:cs="Times New Roman"/>
          <w:sz w:val="24"/>
          <w:szCs w:val="24"/>
        </w:rPr>
        <w:footnoteReference w:id="32"/>
      </w:r>
      <w:r w:rsidR="0015233C" w:rsidRPr="00626A06">
        <w:rPr>
          <w:rFonts w:ascii="Times New Roman" w:hAnsi="Times New Roman" w:cs="Times New Roman"/>
          <w:sz w:val="24"/>
          <w:szCs w:val="24"/>
        </w:rPr>
        <w:t xml:space="preserve"> </w:t>
      </w:r>
    </w:p>
    <w:p w:rsidR="008A6AB5" w:rsidRPr="00626A06" w:rsidRDefault="005E393B"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Even so, t</w:t>
      </w:r>
      <w:r w:rsidR="00D8291A" w:rsidRPr="00626A06">
        <w:rPr>
          <w:rFonts w:ascii="Times New Roman" w:hAnsi="Times New Roman" w:cs="Times New Roman"/>
          <w:sz w:val="24"/>
          <w:szCs w:val="24"/>
        </w:rPr>
        <w:t>he initial exclusion of employee</w:t>
      </w:r>
      <w:r w:rsidR="003036D5" w:rsidRPr="00626A06">
        <w:rPr>
          <w:rFonts w:ascii="Times New Roman" w:hAnsi="Times New Roman" w:cs="Times New Roman"/>
          <w:sz w:val="24"/>
          <w:szCs w:val="24"/>
        </w:rPr>
        <w:t xml:space="preserve">s’ claims against employers was </w:t>
      </w:r>
      <w:r w:rsidR="00420C45" w:rsidRPr="00626A06">
        <w:rPr>
          <w:rFonts w:ascii="Times New Roman" w:hAnsi="Times New Roman" w:cs="Times New Roman"/>
          <w:sz w:val="24"/>
          <w:szCs w:val="24"/>
        </w:rPr>
        <w:t xml:space="preserve">not Lord Simon’s idea, </w:t>
      </w:r>
      <w:r w:rsidRPr="00626A06">
        <w:rPr>
          <w:rFonts w:ascii="Times New Roman" w:hAnsi="Times New Roman" w:cs="Times New Roman"/>
          <w:sz w:val="24"/>
          <w:szCs w:val="24"/>
        </w:rPr>
        <w:t xml:space="preserve">for the significance of these claims did not cross his mind. Rather, the exclusion </w:t>
      </w:r>
      <w:r w:rsidR="00420C45" w:rsidRPr="00626A06">
        <w:rPr>
          <w:rFonts w:ascii="Times New Roman" w:hAnsi="Times New Roman" w:cs="Times New Roman"/>
          <w:sz w:val="24"/>
          <w:szCs w:val="24"/>
        </w:rPr>
        <w:t xml:space="preserve">came </w:t>
      </w:r>
      <w:r w:rsidR="003036D5" w:rsidRPr="00626A06">
        <w:rPr>
          <w:rFonts w:ascii="Times New Roman" w:hAnsi="Times New Roman" w:cs="Times New Roman"/>
          <w:sz w:val="24"/>
          <w:szCs w:val="24"/>
        </w:rPr>
        <w:t xml:space="preserve">at </w:t>
      </w:r>
      <w:r w:rsidR="00D46E2E" w:rsidRPr="00626A06">
        <w:rPr>
          <w:rFonts w:ascii="Times New Roman" w:hAnsi="Times New Roman" w:cs="Times New Roman"/>
          <w:sz w:val="24"/>
          <w:szCs w:val="24"/>
        </w:rPr>
        <w:t>the instigation of the Home Office</w:t>
      </w:r>
      <w:r w:rsidRPr="00626A06">
        <w:rPr>
          <w:rFonts w:ascii="Times New Roman" w:hAnsi="Times New Roman" w:cs="Times New Roman"/>
          <w:sz w:val="24"/>
          <w:szCs w:val="24"/>
        </w:rPr>
        <w:t>. This</w:t>
      </w:r>
      <w:r w:rsidR="00D46E2E" w:rsidRPr="00626A06">
        <w:rPr>
          <w:rFonts w:ascii="Times New Roman" w:hAnsi="Times New Roman" w:cs="Times New Roman"/>
          <w:sz w:val="24"/>
          <w:szCs w:val="24"/>
        </w:rPr>
        <w:t xml:space="preserve"> state of affairs </w:t>
      </w:r>
      <w:r w:rsidR="008F3414" w:rsidRPr="00626A06">
        <w:rPr>
          <w:rFonts w:ascii="Times New Roman" w:hAnsi="Times New Roman" w:cs="Times New Roman"/>
          <w:sz w:val="24"/>
          <w:szCs w:val="24"/>
        </w:rPr>
        <w:t>appears surprising:</w:t>
      </w:r>
      <w:r w:rsidR="00C936CA" w:rsidRPr="00626A06">
        <w:rPr>
          <w:rFonts w:ascii="Times New Roman" w:hAnsi="Times New Roman" w:cs="Times New Roman"/>
          <w:sz w:val="24"/>
          <w:szCs w:val="24"/>
        </w:rPr>
        <w:t xml:space="preserve"> </w:t>
      </w:r>
      <w:r w:rsidR="00AA664D" w:rsidRPr="00626A06">
        <w:rPr>
          <w:rFonts w:ascii="Times New Roman" w:hAnsi="Times New Roman" w:cs="Times New Roman"/>
          <w:sz w:val="24"/>
          <w:szCs w:val="24"/>
        </w:rPr>
        <w:t xml:space="preserve">in a war-time coalition, </w:t>
      </w:r>
      <w:r w:rsidR="009A35CC" w:rsidRPr="00626A06">
        <w:rPr>
          <w:rFonts w:ascii="Times New Roman" w:hAnsi="Times New Roman" w:cs="Times New Roman"/>
          <w:sz w:val="24"/>
          <w:szCs w:val="24"/>
        </w:rPr>
        <w:t xml:space="preserve">a Labour Home Secretary </w:t>
      </w:r>
      <w:r w:rsidR="0015233C" w:rsidRPr="00626A06">
        <w:rPr>
          <w:rFonts w:ascii="Times New Roman" w:hAnsi="Times New Roman" w:cs="Times New Roman"/>
          <w:sz w:val="24"/>
          <w:szCs w:val="24"/>
        </w:rPr>
        <w:t xml:space="preserve">(Herbert Morrison) </w:t>
      </w:r>
      <w:r w:rsidR="009A35CC" w:rsidRPr="00626A06">
        <w:rPr>
          <w:rFonts w:ascii="Times New Roman" w:hAnsi="Times New Roman" w:cs="Times New Roman"/>
          <w:sz w:val="24"/>
          <w:szCs w:val="24"/>
        </w:rPr>
        <w:t>was confirming that employees sho</w:t>
      </w:r>
      <w:r w:rsidR="008F3414" w:rsidRPr="00626A06">
        <w:rPr>
          <w:rFonts w:ascii="Times New Roman" w:hAnsi="Times New Roman" w:cs="Times New Roman"/>
          <w:sz w:val="24"/>
          <w:szCs w:val="24"/>
        </w:rPr>
        <w:t xml:space="preserve">uld be excluded from </w:t>
      </w:r>
      <w:r w:rsidR="009A35CC" w:rsidRPr="00626A06">
        <w:rPr>
          <w:rFonts w:ascii="Times New Roman" w:hAnsi="Times New Roman" w:cs="Times New Roman"/>
          <w:sz w:val="24"/>
          <w:szCs w:val="24"/>
        </w:rPr>
        <w:t>a measure</w:t>
      </w:r>
      <w:r w:rsidR="00357C04" w:rsidRPr="00626A06">
        <w:rPr>
          <w:rFonts w:ascii="Times New Roman" w:hAnsi="Times New Roman" w:cs="Times New Roman"/>
          <w:sz w:val="24"/>
          <w:szCs w:val="24"/>
        </w:rPr>
        <w:t xml:space="preserve"> </w:t>
      </w:r>
      <w:r w:rsidR="00B82DE7" w:rsidRPr="00626A06">
        <w:rPr>
          <w:rFonts w:ascii="Times New Roman" w:hAnsi="Times New Roman" w:cs="Times New Roman"/>
          <w:sz w:val="24"/>
          <w:szCs w:val="24"/>
        </w:rPr>
        <w:t xml:space="preserve">abolishing </w:t>
      </w:r>
      <w:r w:rsidR="0085203C" w:rsidRPr="00626A06">
        <w:rPr>
          <w:rFonts w:ascii="Times New Roman" w:hAnsi="Times New Roman" w:cs="Times New Roman"/>
          <w:sz w:val="24"/>
          <w:szCs w:val="24"/>
        </w:rPr>
        <w:t xml:space="preserve">what was </w:t>
      </w:r>
      <w:r w:rsidR="00357C04" w:rsidRPr="00626A06">
        <w:rPr>
          <w:rFonts w:ascii="Times New Roman" w:hAnsi="Times New Roman" w:cs="Times New Roman"/>
          <w:sz w:val="24"/>
          <w:szCs w:val="24"/>
        </w:rPr>
        <w:t>des</w:t>
      </w:r>
      <w:r w:rsidR="00F506B6" w:rsidRPr="00626A06">
        <w:rPr>
          <w:rFonts w:ascii="Times New Roman" w:hAnsi="Times New Roman" w:cs="Times New Roman"/>
          <w:sz w:val="24"/>
          <w:szCs w:val="24"/>
        </w:rPr>
        <w:t xml:space="preserve">cribed at around the same time (admittedly </w:t>
      </w:r>
      <w:r w:rsidR="00357C04" w:rsidRPr="00626A06">
        <w:rPr>
          <w:rFonts w:ascii="Times New Roman" w:hAnsi="Times New Roman" w:cs="Times New Roman"/>
          <w:sz w:val="24"/>
          <w:szCs w:val="24"/>
        </w:rPr>
        <w:t>on</w:t>
      </w:r>
      <w:r w:rsidR="00F506B6" w:rsidRPr="00626A06">
        <w:rPr>
          <w:rFonts w:ascii="Times New Roman" w:hAnsi="Times New Roman" w:cs="Times New Roman"/>
          <w:sz w:val="24"/>
          <w:szCs w:val="24"/>
        </w:rPr>
        <w:t xml:space="preserve"> the other side of the Atlantic)</w:t>
      </w:r>
      <w:r w:rsidR="00357C04" w:rsidRPr="00626A06">
        <w:rPr>
          <w:rFonts w:ascii="Times New Roman" w:hAnsi="Times New Roman" w:cs="Times New Roman"/>
          <w:sz w:val="24"/>
          <w:szCs w:val="24"/>
        </w:rPr>
        <w:t xml:space="preserve"> as ‘the harshest doctrine known to the common law of the nineteenth century’</w:t>
      </w:r>
      <w:r w:rsidR="009B1FA0" w:rsidRPr="00626A06">
        <w:rPr>
          <w:rFonts w:ascii="Times New Roman" w:hAnsi="Times New Roman" w:cs="Times New Roman"/>
          <w:sz w:val="24"/>
          <w:szCs w:val="24"/>
        </w:rPr>
        <w:t>.</w:t>
      </w:r>
      <w:bookmarkStart w:id="13" w:name="_Ref319262074"/>
      <w:r w:rsidR="00357C04" w:rsidRPr="00626A06">
        <w:rPr>
          <w:rStyle w:val="FootnoteReference"/>
          <w:rFonts w:ascii="Times New Roman" w:hAnsi="Times New Roman" w:cs="Times New Roman"/>
          <w:sz w:val="24"/>
          <w:szCs w:val="24"/>
        </w:rPr>
        <w:footnoteReference w:id="33"/>
      </w:r>
      <w:bookmarkEnd w:id="13"/>
      <w:r w:rsidR="0006366F" w:rsidRPr="00626A06">
        <w:rPr>
          <w:rFonts w:ascii="Times New Roman" w:hAnsi="Times New Roman" w:cs="Times New Roman"/>
          <w:sz w:val="24"/>
          <w:szCs w:val="24"/>
        </w:rPr>
        <w:t xml:space="preserve"> Much more recently, the old doctr</w:t>
      </w:r>
      <w:r w:rsidR="003036D5" w:rsidRPr="00626A06">
        <w:rPr>
          <w:rFonts w:ascii="Times New Roman" w:hAnsi="Times New Roman" w:cs="Times New Roman"/>
          <w:sz w:val="24"/>
          <w:szCs w:val="24"/>
        </w:rPr>
        <w:t>ine has been referred to as ‘vi</w:t>
      </w:r>
      <w:r w:rsidR="0006366F" w:rsidRPr="00626A06">
        <w:rPr>
          <w:rFonts w:ascii="Times New Roman" w:hAnsi="Times New Roman" w:cs="Times New Roman"/>
          <w:sz w:val="24"/>
          <w:szCs w:val="24"/>
        </w:rPr>
        <w:t>cious’.</w:t>
      </w:r>
      <w:r w:rsidR="0006366F" w:rsidRPr="00626A06">
        <w:rPr>
          <w:rStyle w:val="FootnoteReference"/>
          <w:rFonts w:ascii="Times New Roman" w:hAnsi="Times New Roman" w:cs="Times New Roman"/>
          <w:sz w:val="24"/>
          <w:szCs w:val="24"/>
        </w:rPr>
        <w:footnoteReference w:id="34"/>
      </w:r>
      <w:r w:rsidR="00FD336C" w:rsidRPr="00626A06">
        <w:rPr>
          <w:rFonts w:ascii="Times New Roman" w:hAnsi="Times New Roman" w:cs="Times New Roman"/>
          <w:sz w:val="24"/>
          <w:szCs w:val="24"/>
        </w:rPr>
        <w:t xml:space="preserve"> The role of the Home Office</w:t>
      </w:r>
      <w:r w:rsidR="009A35CC" w:rsidRPr="00626A06">
        <w:rPr>
          <w:rFonts w:ascii="Times New Roman" w:hAnsi="Times New Roman" w:cs="Times New Roman"/>
          <w:sz w:val="24"/>
          <w:szCs w:val="24"/>
        </w:rPr>
        <w:t xml:space="preserve"> can only be understood in the context of the relative roles played by common law and workmen’s compensation in </w:t>
      </w:r>
      <w:r w:rsidR="00703E0A" w:rsidRPr="00626A06">
        <w:rPr>
          <w:rFonts w:ascii="Times New Roman" w:hAnsi="Times New Roman" w:cs="Times New Roman"/>
          <w:sz w:val="24"/>
          <w:szCs w:val="24"/>
        </w:rPr>
        <w:t xml:space="preserve">respect of </w:t>
      </w:r>
      <w:r w:rsidR="009A35CC" w:rsidRPr="00626A06">
        <w:rPr>
          <w:rFonts w:ascii="Times New Roman" w:hAnsi="Times New Roman" w:cs="Times New Roman"/>
          <w:sz w:val="24"/>
          <w:szCs w:val="24"/>
        </w:rPr>
        <w:t xml:space="preserve">work injuries at this </w:t>
      </w:r>
      <w:r w:rsidR="00C725A7" w:rsidRPr="00626A06">
        <w:rPr>
          <w:rFonts w:ascii="Times New Roman" w:hAnsi="Times New Roman" w:cs="Times New Roman"/>
          <w:sz w:val="24"/>
          <w:szCs w:val="24"/>
        </w:rPr>
        <w:t>time</w:t>
      </w:r>
      <w:r w:rsidR="00703E0A" w:rsidRPr="00626A06">
        <w:rPr>
          <w:rFonts w:ascii="Times New Roman" w:hAnsi="Times New Roman" w:cs="Times New Roman"/>
          <w:sz w:val="24"/>
          <w:szCs w:val="24"/>
        </w:rPr>
        <w:t>, and the continuing negotiations over the future of both</w:t>
      </w:r>
      <w:r w:rsidR="00A00FFD" w:rsidRPr="00626A06">
        <w:rPr>
          <w:rFonts w:ascii="Times New Roman" w:hAnsi="Times New Roman" w:cs="Times New Roman"/>
          <w:sz w:val="24"/>
          <w:szCs w:val="24"/>
        </w:rPr>
        <w:t xml:space="preserve"> in light of the </w:t>
      </w:r>
      <w:proofErr w:type="spellStart"/>
      <w:r w:rsidR="00A00FFD" w:rsidRPr="00626A06">
        <w:rPr>
          <w:rFonts w:ascii="Times New Roman" w:hAnsi="Times New Roman" w:cs="Times New Roman"/>
          <w:sz w:val="24"/>
          <w:szCs w:val="24"/>
        </w:rPr>
        <w:t>Beveridge</w:t>
      </w:r>
      <w:proofErr w:type="spellEnd"/>
      <w:r w:rsidR="00A00FFD" w:rsidRPr="00626A06">
        <w:rPr>
          <w:rFonts w:ascii="Times New Roman" w:hAnsi="Times New Roman" w:cs="Times New Roman"/>
          <w:sz w:val="24"/>
          <w:szCs w:val="24"/>
        </w:rPr>
        <w:t xml:space="preserve"> Report</w:t>
      </w:r>
      <w:r w:rsidR="008F0D6B" w:rsidRPr="00626A06">
        <w:rPr>
          <w:rFonts w:ascii="Times New Roman" w:hAnsi="Times New Roman" w:cs="Times New Roman"/>
          <w:sz w:val="24"/>
          <w:szCs w:val="24"/>
        </w:rPr>
        <w:t>, to which we will return</w:t>
      </w:r>
      <w:r w:rsidR="00C725A7" w:rsidRPr="00626A06">
        <w:rPr>
          <w:rFonts w:ascii="Times New Roman" w:hAnsi="Times New Roman" w:cs="Times New Roman"/>
          <w:sz w:val="24"/>
          <w:szCs w:val="24"/>
        </w:rPr>
        <w:t>.</w:t>
      </w:r>
    </w:p>
    <w:p w:rsidR="0026577C" w:rsidRPr="00626A06" w:rsidRDefault="0026577C" w:rsidP="00626A06">
      <w:pPr>
        <w:spacing w:line="360" w:lineRule="auto"/>
        <w:jc w:val="both"/>
        <w:rPr>
          <w:rFonts w:ascii="Times New Roman" w:hAnsi="Times New Roman" w:cs="Times New Roman"/>
          <w:b/>
          <w:sz w:val="24"/>
          <w:szCs w:val="24"/>
        </w:rPr>
      </w:pPr>
    </w:p>
    <w:p w:rsidR="00856E88" w:rsidRPr="0069174C" w:rsidRDefault="0069174C" w:rsidP="0069174C">
      <w:pPr>
        <w:spacing w:line="360" w:lineRule="auto"/>
        <w:jc w:val="both"/>
        <w:rPr>
          <w:rFonts w:ascii="Times New Roman" w:hAnsi="Times New Roman" w:cs="Times New Roman"/>
          <w:b/>
          <w:sz w:val="28"/>
          <w:szCs w:val="28"/>
        </w:rPr>
      </w:pPr>
      <w:r w:rsidRPr="0069174C">
        <w:rPr>
          <w:rFonts w:ascii="Times New Roman" w:hAnsi="Times New Roman" w:cs="Times New Roman"/>
          <w:b/>
          <w:sz w:val="28"/>
          <w:szCs w:val="28"/>
        </w:rPr>
        <w:t xml:space="preserve">IV. </w:t>
      </w:r>
      <w:r w:rsidR="00A84CE5" w:rsidRPr="0069174C">
        <w:rPr>
          <w:rFonts w:ascii="Times New Roman" w:hAnsi="Times New Roman" w:cs="Times New Roman"/>
          <w:b/>
          <w:sz w:val="28"/>
          <w:szCs w:val="28"/>
        </w:rPr>
        <w:t xml:space="preserve">The </w:t>
      </w:r>
      <w:r w:rsidRPr="0069174C">
        <w:rPr>
          <w:rFonts w:ascii="Times New Roman" w:hAnsi="Times New Roman" w:cs="Times New Roman"/>
          <w:b/>
          <w:sz w:val="28"/>
          <w:szCs w:val="28"/>
        </w:rPr>
        <w:t xml:space="preserve">Present Role of the Defence: Some Observations </w:t>
      </w:r>
    </w:p>
    <w:p w:rsidR="00A91C81" w:rsidRPr="00626A06" w:rsidRDefault="00FD24B0"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Before looking further at the origins of the 1945 Act, it is worth considering some features of its operation today. </w:t>
      </w:r>
      <w:r w:rsidR="00A02E70" w:rsidRPr="00626A06">
        <w:rPr>
          <w:rFonts w:ascii="Times New Roman" w:hAnsi="Times New Roman" w:cs="Times New Roman"/>
          <w:sz w:val="24"/>
          <w:szCs w:val="24"/>
        </w:rPr>
        <w:t>I</w:t>
      </w:r>
      <w:r w:rsidR="0026577C" w:rsidRPr="00626A06">
        <w:rPr>
          <w:rFonts w:ascii="Times New Roman" w:hAnsi="Times New Roman" w:cs="Times New Roman"/>
          <w:sz w:val="24"/>
          <w:szCs w:val="24"/>
        </w:rPr>
        <w:t>n cases of tort liability involving personal injury</w:t>
      </w:r>
      <w:r w:rsidR="00EB18B6" w:rsidRPr="00626A06">
        <w:rPr>
          <w:rFonts w:ascii="Times New Roman" w:hAnsi="Times New Roman" w:cs="Times New Roman"/>
          <w:sz w:val="24"/>
          <w:szCs w:val="24"/>
        </w:rPr>
        <w:t>,</w:t>
      </w:r>
      <w:r w:rsidR="0026577C" w:rsidRPr="00626A06">
        <w:rPr>
          <w:rFonts w:ascii="Times New Roman" w:hAnsi="Times New Roman" w:cs="Times New Roman"/>
          <w:sz w:val="24"/>
          <w:szCs w:val="24"/>
        </w:rPr>
        <w:t xml:space="preserve"> </w:t>
      </w:r>
      <w:r w:rsidR="00A02E70" w:rsidRPr="00626A06">
        <w:rPr>
          <w:rFonts w:ascii="Times New Roman" w:hAnsi="Times New Roman" w:cs="Times New Roman"/>
          <w:sz w:val="24"/>
          <w:szCs w:val="24"/>
        </w:rPr>
        <w:t xml:space="preserve">the </w:t>
      </w:r>
      <w:r w:rsidR="00EB18B6" w:rsidRPr="00626A06">
        <w:rPr>
          <w:rFonts w:ascii="Times New Roman" w:hAnsi="Times New Roman" w:cs="Times New Roman"/>
          <w:sz w:val="24"/>
          <w:szCs w:val="24"/>
        </w:rPr>
        <w:t xml:space="preserve">reformed </w:t>
      </w:r>
      <w:r w:rsidR="00A02E70" w:rsidRPr="00626A06">
        <w:rPr>
          <w:rFonts w:ascii="Times New Roman" w:hAnsi="Times New Roman" w:cs="Times New Roman"/>
          <w:sz w:val="24"/>
          <w:szCs w:val="24"/>
        </w:rPr>
        <w:t xml:space="preserve">defence </w:t>
      </w:r>
      <w:r w:rsidR="0026577C" w:rsidRPr="00626A06">
        <w:rPr>
          <w:rFonts w:ascii="Times New Roman" w:hAnsi="Times New Roman" w:cs="Times New Roman"/>
          <w:sz w:val="24"/>
          <w:szCs w:val="24"/>
        </w:rPr>
        <w:t>is used on a daily basis</w:t>
      </w:r>
      <w:r w:rsidR="0088792B" w:rsidRPr="00626A06">
        <w:rPr>
          <w:rFonts w:ascii="Times New Roman" w:hAnsi="Times New Roman" w:cs="Times New Roman"/>
          <w:sz w:val="24"/>
          <w:szCs w:val="24"/>
        </w:rPr>
        <w:t>. It is applied</w:t>
      </w:r>
      <w:r w:rsidR="0026577C" w:rsidRPr="00626A06">
        <w:rPr>
          <w:rFonts w:ascii="Times New Roman" w:hAnsi="Times New Roman" w:cs="Times New Roman"/>
          <w:sz w:val="24"/>
          <w:szCs w:val="24"/>
        </w:rPr>
        <w:t xml:space="preserve"> regularly by courts, but </w:t>
      </w:r>
      <w:r w:rsidR="008932CC" w:rsidRPr="00626A06">
        <w:rPr>
          <w:rFonts w:ascii="Times New Roman" w:hAnsi="Times New Roman" w:cs="Times New Roman"/>
          <w:sz w:val="24"/>
          <w:szCs w:val="24"/>
        </w:rPr>
        <w:t xml:space="preserve">is used </w:t>
      </w:r>
      <w:r w:rsidR="0026577C" w:rsidRPr="00626A06">
        <w:rPr>
          <w:rFonts w:ascii="Times New Roman" w:hAnsi="Times New Roman" w:cs="Times New Roman"/>
          <w:sz w:val="24"/>
          <w:szCs w:val="24"/>
        </w:rPr>
        <w:t xml:space="preserve">much more frequently by </w:t>
      </w:r>
      <w:r w:rsidR="0026577C" w:rsidRPr="00626A06">
        <w:rPr>
          <w:rFonts w:ascii="Times New Roman" w:hAnsi="Times New Roman" w:cs="Times New Roman"/>
          <w:sz w:val="24"/>
          <w:szCs w:val="24"/>
        </w:rPr>
        <w:lastRenderedPageBreak/>
        <w:t xml:space="preserve">parties (including of course insurers) negotiating settlements. Thus the statute’s </w:t>
      </w:r>
      <w:r w:rsidR="006E7342" w:rsidRPr="00626A06">
        <w:rPr>
          <w:rFonts w:ascii="Times New Roman" w:hAnsi="Times New Roman" w:cs="Times New Roman"/>
          <w:sz w:val="24"/>
          <w:szCs w:val="24"/>
        </w:rPr>
        <w:t xml:space="preserve">core provision that damages are to be reduced according </w:t>
      </w:r>
      <w:r w:rsidR="0026577C" w:rsidRPr="00626A06">
        <w:rPr>
          <w:rFonts w:ascii="Times New Roman" w:hAnsi="Times New Roman" w:cs="Times New Roman"/>
          <w:sz w:val="24"/>
          <w:szCs w:val="24"/>
        </w:rPr>
        <w:t>to the judgment of ‘the court’ as to what would be just and equitable</w:t>
      </w:r>
      <w:r w:rsidR="003D7BD4" w:rsidRPr="00626A06">
        <w:rPr>
          <w:rStyle w:val="FootnoteReference"/>
          <w:rFonts w:ascii="Times New Roman" w:hAnsi="Times New Roman" w:cs="Times New Roman"/>
          <w:sz w:val="24"/>
          <w:szCs w:val="24"/>
        </w:rPr>
        <w:footnoteReference w:id="35"/>
      </w:r>
      <w:r w:rsidR="0026577C" w:rsidRPr="00626A06">
        <w:rPr>
          <w:rFonts w:ascii="Times New Roman" w:hAnsi="Times New Roman" w:cs="Times New Roman"/>
          <w:sz w:val="24"/>
          <w:szCs w:val="24"/>
        </w:rPr>
        <w:t xml:space="preserve"> rarely reflects the impact of the modern defence</w:t>
      </w:r>
      <w:r w:rsidR="00377866" w:rsidRPr="00626A06">
        <w:rPr>
          <w:rFonts w:ascii="Times New Roman" w:hAnsi="Times New Roman" w:cs="Times New Roman"/>
          <w:sz w:val="24"/>
          <w:szCs w:val="24"/>
        </w:rPr>
        <w:t>. Far more often</w:t>
      </w:r>
      <w:r w:rsidR="0026577C" w:rsidRPr="00626A06">
        <w:rPr>
          <w:rFonts w:ascii="Times New Roman" w:hAnsi="Times New Roman" w:cs="Times New Roman"/>
          <w:sz w:val="24"/>
          <w:szCs w:val="24"/>
        </w:rPr>
        <w:t>,</w:t>
      </w:r>
      <w:r w:rsidR="00377866" w:rsidRPr="00626A06">
        <w:rPr>
          <w:rFonts w:ascii="Times New Roman" w:hAnsi="Times New Roman" w:cs="Times New Roman"/>
          <w:sz w:val="24"/>
          <w:szCs w:val="24"/>
        </w:rPr>
        <w:t xml:space="preserve"> </w:t>
      </w:r>
      <w:r w:rsidR="009930C5" w:rsidRPr="00626A06">
        <w:rPr>
          <w:rFonts w:ascii="Times New Roman" w:hAnsi="Times New Roman" w:cs="Times New Roman"/>
          <w:sz w:val="24"/>
          <w:szCs w:val="24"/>
        </w:rPr>
        <w:t xml:space="preserve">‘contributory negligence’ </w:t>
      </w:r>
      <w:r w:rsidR="0026577C" w:rsidRPr="00626A06">
        <w:rPr>
          <w:rFonts w:ascii="Times New Roman" w:hAnsi="Times New Roman" w:cs="Times New Roman"/>
          <w:sz w:val="24"/>
          <w:szCs w:val="24"/>
        </w:rPr>
        <w:t>operates to reduce the level of settlements.</w:t>
      </w:r>
      <w:r w:rsidR="00417C3A" w:rsidRPr="00626A06">
        <w:rPr>
          <w:rFonts w:ascii="Times New Roman" w:hAnsi="Times New Roman" w:cs="Times New Roman"/>
          <w:sz w:val="24"/>
          <w:szCs w:val="24"/>
        </w:rPr>
        <w:t xml:space="preserve"> It is therefore operated chiefly b</w:t>
      </w:r>
      <w:r w:rsidR="00370FF0" w:rsidRPr="00626A06">
        <w:rPr>
          <w:rFonts w:ascii="Times New Roman" w:hAnsi="Times New Roman" w:cs="Times New Roman"/>
          <w:sz w:val="24"/>
          <w:szCs w:val="24"/>
        </w:rPr>
        <w:t>y lawyers and other negotiators,</w:t>
      </w:r>
      <w:bookmarkStart w:id="14" w:name="_Ref319262758"/>
      <w:r w:rsidR="0026577C" w:rsidRPr="00626A06">
        <w:rPr>
          <w:rFonts w:ascii="Times New Roman" w:hAnsi="Times New Roman" w:cs="Times New Roman"/>
          <w:sz w:val="24"/>
          <w:szCs w:val="24"/>
          <w:vertAlign w:val="superscript"/>
        </w:rPr>
        <w:footnoteReference w:id="36"/>
      </w:r>
      <w:bookmarkEnd w:id="14"/>
      <w:r w:rsidR="00950D05" w:rsidRPr="00626A06">
        <w:rPr>
          <w:rFonts w:ascii="Times New Roman" w:hAnsi="Times New Roman" w:cs="Times New Roman"/>
          <w:sz w:val="24"/>
          <w:szCs w:val="24"/>
        </w:rPr>
        <w:t xml:space="preserve"> rather than by</w:t>
      </w:r>
      <w:r w:rsidR="00370FF0" w:rsidRPr="00626A06">
        <w:rPr>
          <w:rFonts w:ascii="Times New Roman" w:hAnsi="Times New Roman" w:cs="Times New Roman"/>
          <w:sz w:val="24"/>
          <w:szCs w:val="24"/>
        </w:rPr>
        <w:t xml:space="preserve"> court</w:t>
      </w:r>
      <w:r w:rsidR="00950D05" w:rsidRPr="00626A06">
        <w:rPr>
          <w:rFonts w:ascii="Times New Roman" w:hAnsi="Times New Roman" w:cs="Times New Roman"/>
          <w:sz w:val="24"/>
          <w:szCs w:val="24"/>
        </w:rPr>
        <w:t>s</w:t>
      </w:r>
      <w:r w:rsidR="00370FF0" w:rsidRPr="00626A06">
        <w:rPr>
          <w:rFonts w:ascii="Times New Roman" w:hAnsi="Times New Roman" w:cs="Times New Roman"/>
          <w:sz w:val="24"/>
          <w:szCs w:val="24"/>
        </w:rPr>
        <w:t>.</w:t>
      </w:r>
      <w:r w:rsidR="00377866" w:rsidRPr="00626A06">
        <w:rPr>
          <w:rFonts w:ascii="Times New Roman" w:hAnsi="Times New Roman" w:cs="Times New Roman"/>
          <w:sz w:val="24"/>
          <w:szCs w:val="24"/>
        </w:rPr>
        <w:t xml:space="preserve"> </w:t>
      </w:r>
      <w:r w:rsidR="004B65F8" w:rsidRPr="00626A06">
        <w:rPr>
          <w:rFonts w:ascii="Times New Roman" w:hAnsi="Times New Roman" w:cs="Times New Roman"/>
          <w:sz w:val="24"/>
          <w:szCs w:val="24"/>
        </w:rPr>
        <w:t xml:space="preserve">The exact impact of contributory negligence is not easy to identify. </w:t>
      </w:r>
      <w:r w:rsidR="005F0DEE" w:rsidRPr="00626A06">
        <w:rPr>
          <w:rFonts w:ascii="Times New Roman" w:hAnsi="Times New Roman" w:cs="Times New Roman"/>
          <w:sz w:val="24"/>
          <w:szCs w:val="24"/>
        </w:rPr>
        <w:t xml:space="preserve">In the UK, </w:t>
      </w:r>
      <w:r w:rsidR="00EB18B6" w:rsidRPr="00626A06">
        <w:rPr>
          <w:rFonts w:ascii="Times New Roman" w:hAnsi="Times New Roman" w:cs="Times New Roman"/>
          <w:sz w:val="24"/>
          <w:szCs w:val="24"/>
        </w:rPr>
        <w:t xml:space="preserve">valuable </w:t>
      </w:r>
      <w:r w:rsidR="005F0DEE" w:rsidRPr="00626A06">
        <w:rPr>
          <w:rFonts w:ascii="Times New Roman" w:hAnsi="Times New Roman" w:cs="Times New Roman"/>
          <w:sz w:val="24"/>
          <w:szCs w:val="24"/>
        </w:rPr>
        <w:t xml:space="preserve">empirical evidence in respect of </w:t>
      </w:r>
      <w:r w:rsidR="00EB18B6" w:rsidRPr="00626A06">
        <w:rPr>
          <w:rFonts w:ascii="Times New Roman" w:hAnsi="Times New Roman" w:cs="Times New Roman"/>
          <w:sz w:val="24"/>
          <w:szCs w:val="24"/>
        </w:rPr>
        <w:t xml:space="preserve">the manner of its </w:t>
      </w:r>
      <w:r w:rsidR="005F0DEE" w:rsidRPr="00626A06">
        <w:rPr>
          <w:rFonts w:ascii="Times New Roman" w:hAnsi="Times New Roman" w:cs="Times New Roman"/>
          <w:sz w:val="24"/>
          <w:szCs w:val="24"/>
        </w:rPr>
        <w:t>operation</w:t>
      </w:r>
      <w:r w:rsidR="00EB18B6" w:rsidRPr="00626A06">
        <w:rPr>
          <w:rFonts w:ascii="Times New Roman" w:hAnsi="Times New Roman" w:cs="Times New Roman"/>
          <w:sz w:val="24"/>
          <w:szCs w:val="24"/>
        </w:rPr>
        <w:t>, and to some extent its scale</w:t>
      </w:r>
      <w:r w:rsidR="005F0DEE" w:rsidRPr="00626A06">
        <w:rPr>
          <w:rFonts w:ascii="Times New Roman" w:hAnsi="Times New Roman" w:cs="Times New Roman"/>
          <w:sz w:val="24"/>
          <w:szCs w:val="24"/>
        </w:rPr>
        <w:t xml:space="preserve"> </w:t>
      </w:r>
      <w:r w:rsidR="004B65F8" w:rsidRPr="00626A06">
        <w:rPr>
          <w:rFonts w:ascii="Times New Roman" w:hAnsi="Times New Roman" w:cs="Times New Roman"/>
          <w:sz w:val="24"/>
          <w:szCs w:val="24"/>
        </w:rPr>
        <w:t>is available in</w:t>
      </w:r>
      <w:r w:rsidR="00643220" w:rsidRPr="00626A06">
        <w:rPr>
          <w:rFonts w:ascii="Times New Roman" w:hAnsi="Times New Roman" w:cs="Times New Roman"/>
          <w:sz w:val="24"/>
          <w:szCs w:val="24"/>
        </w:rPr>
        <w:t xml:space="preserve"> Harris </w:t>
      </w:r>
      <w:r w:rsidR="00643220" w:rsidRPr="00D7285D">
        <w:rPr>
          <w:rFonts w:ascii="Times New Roman" w:hAnsi="Times New Roman" w:cs="Times New Roman"/>
          <w:i/>
          <w:sz w:val="24"/>
          <w:szCs w:val="24"/>
        </w:rPr>
        <w:t>et al</w:t>
      </w:r>
      <w:r w:rsidR="00377866" w:rsidRPr="00626A06">
        <w:rPr>
          <w:rFonts w:ascii="Times New Roman" w:hAnsi="Times New Roman" w:cs="Times New Roman"/>
          <w:sz w:val="24"/>
          <w:szCs w:val="24"/>
        </w:rPr>
        <w:t>,</w:t>
      </w:r>
      <w:r w:rsidR="00643220" w:rsidRPr="00626A06">
        <w:rPr>
          <w:rFonts w:ascii="Times New Roman" w:hAnsi="Times New Roman" w:cs="Times New Roman"/>
          <w:sz w:val="24"/>
          <w:szCs w:val="24"/>
        </w:rPr>
        <w:t xml:space="preserve"> </w:t>
      </w:r>
      <w:r w:rsidR="00643220" w:rsidRPr="00626A06">
        <w:rPr>
          <w:rFonts w:ascii="Times New Roman" w:hAnsi="Times New Roman" w:cs="Times New Roman"/>
          <w:i/>
          <w:sz w:val="24"/>
          <w:szCs w:val="24"/>
        </w:rPr>
        <w:t>Compensation and Support for Illness and Injury</w:t>
      </w:r>
      <w:r w:rsidR="00643220" w:rsidRPr="00626A06">
        <w:rPr>
          <w:rFonts w:ascii="Times New Roman" w:hAnsi="Times New Roman" w:cs="Times New Roman"/>
          <w:sz w:val="24"/>
          <w:szCs w:val="24"/>
        </w:rPr>
        <w:t xml:space="preserve"> (Oxford Survey)</w:t>
      </w:r>
      <w:r w:rsidR="00EB18B6" w:rsidRPr="00626A06">
        <w:rPr>
          <w:rFonts w:ascii="Times New Roman" w:hAnsi="Times New Roman" w:cs="Times New Roman"/>
          <w:sz w:val="24"/>
          <w:szCs w:val="24"/>
        </w:rPr>
        <w:t>.</w:t>
      </w:r>
      <w:bookmarkStart w:id="15" w:name="_Ref319262423"/>
      <w:r w:rsidR="00643220" w:rsidRPr="00626A06">
        <w:rPr>
          <w:rStyle w:val="FootnoteReference"/>
          <w:rFonts w:ascii="Times New Roman" w:hAnsi="Times New Roman" w:cs="Times New Roman"/>
          <w:sz w:val="24"/>
          <w:szCs w:val="24"/>
        </w:rPr>
        <w:footnoteReference w:id="37"/>
      </w:r>
      <w:bookmarkEnd w:id="15"/>
      <w:r w:rsidR="00643220" w:rsidRPr="00626A06">
        <w:rPr>
          <w:rFonts w:ascii="Times New Roman" w:hAnsi="Times New Roman" w:cs="Times New Roman"/>
          <w:sz w:val="24"/>
          <w:szCs w:val="24"/>
        </w:rPr>
        <w:t xml:space="preserve"> </w:t>
      </w:r>
    </w:p>
    <w:p w:rsidR="00E34E0F" w:rsidRPr="00626A06" w:rsidRDefault="00345084"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w:t>
      </w:r>
      <w:r w:rsidR="00457113" w:rsidRPr="00626A06">
        <w:rPr>
          <w:rFonts w:ascii="Times New Roman" w:hAnsi="Times New Roman" w:cs="Times New Roman"/>
          <w:sz w:val="24"/>
          <w:szCs w:val="24"/>
        </w:rPr>
        <w:t xml:space="preserve">continuing </w:t>
      </w:r>
      <w:r w:rsidR="003A6900" w:rsidRPr="00626A06">
        <w:rPr>
          <w:rFonts w:ascii="Times New Roman" w:hAnsi="Times New Roman" w:cs="Times New Roman"/>
          <w:sz w:val="24"/>
          <w:szCs w:val="24"/>
        </w:rPr>
        <w:t xml:space="preserve">value of the </w:t>
      </w:r>
      <w:r w:rsidRPr="00626A06">
        <w:rPr>
          <w:rFonts w:ascii="Times New Roman" w:hAnsi="Times New Roman" w:cs="Times New Roman"/>
          <w:sz w:val="24"/>
          <w:szCs w:val="24"/>
        </w:rPr>
        <w:t>Oxford Survey</w:t>
      </w:r>
      <w:r w:rsidR="00A91C81" w:rsidRPr="00626A06">
        <w:rPr>
          <w:rFonts w:ascii="Times New Roman" w:hAnsi="Times New Roman" w:cs="Times New Roman"/>
          <w:sz w:val="24"/>
          <w:szCs w:val="24"/>
        </w:rPr>
        <w:t xml:space="preserve"> </w:t>
      </w:r>
      <w:r w:rsidR="00457113" w:rsidRPr="00626A06">
        <w:rPr>
          <w:rFonts w:ascii="Times New Roman" w:hAnsi="Times New Roman" w:cs="Times New Roman"/>
          <w:sz w:val="24"/>
          <w:szCs w:val="24"/>
        </w:rPr>
        <w:t xml:space="preserve">lies in the fact that it </w:t>
      </w:r>
      <w:r w:rsidR="0082784E" w:rsidRPr="00626A06">
        <w:rPr>
          <w:rFonts w:ascii="Times New Roman" w:hAnsi="Times New Roman" w:cs="Times New Roman"/>
          <w:sz w:val="24"/>
          <w:szCs w:val="24"/>
        </w:rPr>
        <w:t xml:space="preserve">focused specifically on contributory negligence as </w:t>
      </w:r>
      <w:r w:rsidR="00AE37C7" w:rsidRPr="00626A06">
        <w:rPr>
          <w:rFonts w:ascii="Times New Roman" w:hAnsi="Times New Roman" w:cs="Times New Roman"/>
          <w:sz w:val="24"/>
          <w:szCs w:val="24"/>
        </w:rPr>
        <w:t xml:space="preserve">an element </w:t>
      </w:r>
      <w:r w:rsidR="0082784E" w:rsidRPr="00626A06">
        <w:rPr>
          <w:rFonts w:ascii="Times New Roman" w:hAnsi="Times New Roman" w:cs="Times New Roman"/>
          <w:sz w:val="24"/>
          <w:szCs w:val="24"/>
        </w:rPr>
        <w:t xml:space="preserve">of </w:t>
      </w:r>
      <w:r w:rsidRPr="00626A06">
        <w:rPr>
          <w:rFonts w:ascii="Times New Roman" w:hAnsi="Times New Roman" w:cs="Times New Roman"/>
          <w:sz w:val="24"/>
          <w:szCs w:val="24"/>
        </w:rPr>
        <w:t>its</w:t>
      </w:r>
      <w:r w:rsidR="0082784E" w:rsidRPr="00626A06">
        <w:rPr>
          <w:rFonts w:ascii="Times New Roman" w:hAnsi="Times New Roman" w:cs="Times New Roman"/>
          <w:sz w:val="24"/>
          <w:szCs w:val="24"/>
        </w:rPr>
        <w:t xml:space="preserve"> research design.</w:t>
      </w:r>
      <w:r w:rsidR="00C77B43" w:rsidRPr="00626A06">
        <w:rPr>
          <w:rStyle w:val="FootnoteReference"/>
          <w:rFonts w:ascii="Times New Roman" w:hAnsi="Times New Roman" w:cs="Times New Roman"/>
          <w:sz w:val="24"/>
          <w:szCs w:val="24"/>
        </w:rPr>
        <w:footnoteReference w:id="38"/>
      </w:r>
      <w:r w:rsidR="0082784E" w:rsidRPr="00626A06">
        <w:rPr>
          <w:rFonts w:ascii="Times New Roman" w:hAnsi="Times New Roman" w:cs="Times New Roman"/>
          <w:sz w:val="24"/>
          <w:szCs w:val="24"/>
        </w:rPr>
        <w:t xml:space="preserve"> </w:t>
      </w:r>
      <w:r w:rsidR="00190934" w:rsidRPr="00626A06">
        <w:rPr>
          <w:rFonts w:ascii="Times New Roman" w:hAnsi="Times New Roman" w:cs="Times New Roman"/>
          <w:sz w:val="24"/>
          <w:szCs w:val="24"/>
        </w:rPr>
        <w:t>A</w:t>
      </w:r>
      <w:r w:rsidR="00A91C81" w:rsidRPr="00626A06">
        <w:rPr>
          <w:rFonts w:ascii="Times New Roman" w:hAnsi="Times New Roman" w:cs="Times New Roman"/>
          <w:sz w:val="24"/>
          <w:szCs w:val="24"/>
        </w:rPr>
        <w:t>round half of settlements in the Oxford survey were reported, by legal advisors, to have been reduced to reflect a potential element of contributory negligence.</w:t>
      </w:r>
      <w:r w:rsidR="004C177D" w:rsidRPr="00626A06">
        <w:rPr>
          <w:rFonts w:ascii="Times New Roman" w:hAnsi="Times New Roman" w:cs="Times New Roman"/>
          <w:sz w:val="24"/>
          <w:szCs w:val="24"/>
        </w:rPr>
        <w:t xml:space="preserve"> In the majority of these, the claimant had </w:t>
      </w:r>
      <w:r w:rsidR="00E247F6" w:rsidRPr="00626A06">
        <w:rPr>
          <w:rFonts w:ascii="Times New Roman" w:hAnsi="Times New Roman" w:cs="Times New Roman"/>
          <w:sz w:val="24"/>
          <w:szCs w:val="24"/>
        </w:rPr>
        <w:t xml:space="preserve">initially </w:t>
      </w:r>
      <w:r w:rsidR="004C177D" w:rsidRPr="00626A06">
        <w:rPr>
          <w:rFonts w:ascii="Times New Roman" w:hAnsi="Times New Roman" w:cs="Times New Roman"/>
          <w:sz w:val="24"/>
          <w:szCs w:val="24"/>
        </w:rPr>
        <w:t>taken the view that someone else was entirely to blame.</w:t>
      </w:r>
      <w:r w:rsidR="00941BCB" w:rsidRPr="00626A06">
        <w:rPr>
          <w:rFonts w:ascii="Times New Roman" w:hAnsi="Times New Roman" w:cs="Times New Roman"/>
          <w:sz w:val="24"/>
          <w:szCs w:val="24"/>
        </w:rPr>
        <w:t xml:space="preserve"> </w:t>
      </w:r>
      <w:r w:rsidR="009B1FA0" w:rsidRPr="00626A06">
        <w:rPr>
          <w:rFonts w:ascii="Times New Roman" w:hAnsi="Times New Roman" w:cs="Times New Roman"/>
          <w:sz w:val="24"/>
          <w:szCs w:val="24"/>
        </w:rPr>
        <w:t xml:space="preserve">Harris </w:t>
      </w:r>
      <w:r w:rsidR="007B1C92" w:rsidRPr="00626A06">
        <w:rPr>
          <w:rFonts w:ascii="Times New Roman" w:hAnsi="Times New Roman" w:cs="Times New Roman"/>
          <w:sz w:val="24"/>
          <w:szCs w:val="24"/>
        </w:rPr>
        <w:t xml:space="preserve">further </w:t>
      </w:r>
      <w:r w:rsidR="009B1FA0" w:rsidRPr="00626A06">
        <w:rPr>
          <w:rFonts w:ascii="Times New Roman" w:hAnsi="Times New Roman" w:cs="Times New Roman"/>
          <w:sz w:val="24"/>
          <w:szCs w:val="24"/>
        </w:rPr>
        <w:t>argued</w:t>
      </w:r>
      <w:r w:rsidR="00CF7B48" w:rsidRPr="00626A06">
        <w:rPr>
          <w:rFonts w:ascii="Times New Roman" w:hAnsi="Times New Roman" w:cs="Times New Roman"/>
          <w:sz w:val="24"/>
          <w:szCs w:val="24"/>
        </w:rPr>
        <w:t xml:space="preserve"> </w:t>
      </w:r>
      <w:r w:rsidR="00A91C81" w:rsidRPr="00626A06">
        <w:rPr>
          <w:rFonts w:ascii="Times New Roman" w:hAnsi="Times New Roman" w:cs="Times New Roman"/>
          <w:sz w:val="24"/>
          <w:szCs w:val="24"/>
        </w:rPr>
        <w:t xml:space="preserve">that the possibility of contributory negligence is one of the ‘litigation risks’ which </w:t>
      </w:r>
      <w:r w:rsidRPr="00626A06">
        <w:rPr>
          <w:rFonts w:ascii="Times New Roman" w:hAnsi="Times New Roman" w:cs="Times New Roman"/>
          <w:sz w:val="24"/>
          <w:szCs w:val="24"/>
        </w:rPr>
        <w:t xml:space="preserve">are </w:t>
      </w:r>
      <w:r w:rsidR="005F7C09" w:rsidRPr="00626A06">
        <w:rPr>
          <w:rFonts w:ascii="Times New Roman" w:hAnsi="Times New Roman" w:cs="Times New Roman"/>
          <w:sz w:val="24"/>
          <w:szCs w:val="24"/>
        </w:rPr>
        <w:t>negotiating weapons</w:t>
      </w:r>
      <w:r w:rsidR="004C177D" w:rsidRPr="00626A06">
        <w:rPr>
          <w:rFonts w:ascii="Times New Roman" w:hAnsi="Times New Roman" w:cs="Times New Roman"/>
          <w:sz w:val="24"/>
          <w:szCs w:val="24"/>
        </w:rPr>
        <w:t xml:space="preserve"> (or ‘bargaining chips’)</w:t>
      </w:r>
      <w:r w:rsidR="004C177D" w:rsidRPr="00626A06">
        <w:rPr>
          <w:rStyle w:val="FootnoteReference"/>
          <w:rFonts w:ascii="Times New Roman" w:hAnsi="Times New Roman" w:cs="Times New Roman"/>
          <w:sz w:val="24"/>
          <w:szCs w:val="24"/>
        </w:rPr>
        <w:footnoteReference w:id="39"/>
      </w:r>
      <w:r w:rsidR="005F7C09" w:rsidRPr="00626A06">
        <w:rPr>
          <w:rFonts w:ascii="Times New Roman" w:hAnsi="Times New Roman" w:cs="Times New Roman"/>
          <w:sz w:val="24"/>
          <w:szCs w:val="24"/>
        </w:rPr>
        <w:t xml:space="preserve"> </w:t>
      </w:r>
      <w:r w:rsidRPr="00626A06">
        <w:rPr>
          <w:rFonts w:ascii="Times New Roman" w:hAnsi="Times New Roman" w:cs="Times New Roman"/>
          <w:sz w:val="24"/>
          <w:szCs w:val="24"/>
        </w:rPr>
        <w:t>available to</w:t>
      </w:r>
      <w:r w:rsidR="00A91C81" w:rsidRPr="00626A06">
        <w:rPr>
          <w:rFonts w:ascii="Times New Roman" w:hAnsi="Times New Roman" w:cs="Times New Roman"/>
          <w:sz w:val="24"/>
          <w:szCs w:val="24"/>
        </w:rPr>
        <w:t xml:space="preserve"> defendants and must be assessed by claimants’ advisors in determining whether to accept an offer.</w:t>
      </w:r>
      <w:r w:rsidR="004C177D" w:rsidRPr="00626A06">
        <w:rPr>
          <w:rFonts w:ascii="Times New Roman" w:hAnsi="Times New Roman" w:cs="Times New Roman"/>
          <w:sz w:val="24"/>
          <w:szCs w:val="24"/>
        </w:rPr>
        <w:t xml:space="preserve"> As he put it, ‘[t]his legal doctrine places a powerful negotiating weapon in the hands of the defendant’s solicitors or insurance company, which is extensively used’.</w:t>
      </w:r>
      <w:r w:rsidR="004C177D" w:rsidRPr="00626A06">
        <w:rPr>
          <w:rStyle w:val="FootnoteReference"/>
          <w:rFonts w:ascii="Times New Roman" w:hAnsi="Times New Roman" w:cs="Times New Roman"/>
          <w:sz w:val="24"/>
          <w:szCs w:val="24"/>
        </w:rPr>
        <w:footnoteReference w:id="40"/>
      </w:r>
      <w:r w:rsidR="00A91C81" w:rsidRPr="00626A06">
        <w:rPr>
          <w:rFonts w:ascii="Times New Roman" w:hAnsi="Times New Roman" w:cs="Times New Roman"/>
          <w:sz w:val="24"/>
          <w:szCs w:val="24"/>
        </w:rPr>
        <w:t xml:space="preserve"> </w:t>
      </w:r>
      <w:r w:rsidR="00125067" w:rsidRPr="00626A06">
        <w:rPr>
          <w:rFonts w:ascii="Times New Roman" w:hAnsi="Times New Roman" w:cs="Times New Roman"/>
          <w:sz w:val="24"/>
          <w:szCs w:val="24"/>
        </w:rPr>
        <w:t>Of course, contributory negligence is not the sole ‘litigation risk’. But it is capable of affecting claimants whose case, in terms of the principles of liabilit</w:t>
      </w:r>
      <w:r w:rsidR="002101F7" w:rsidRPr="00626A06">
        <w:rPr>
          <w:rFonts w:ascii="Times New Roman" w:hAnsi="Times New Roman" w:cs="Times New Roman"/>
          <w:sz w:val="24"/>
          <w:szCs w:val="24"/>
        </w:rPr>
        <w:t>y</w:t>
      </w:r>
      <w:r w:rsidR="009B1FA0" w:rsidRPr="00626A06">
        <w:rPr>
          <w:rFonts w:ascii="Times New Roman" w:hAnsi="Times New Roman" w:cs="Times New Roman"/>
          <w:sz w:val="24"/>
          <w:szCs w:val="24"/>
        </w:rPr>
        <w:t>, appears</w:t>
      </w:r>
      <w:r w:rsidR="00125067" w:rsidRPr="00626A06">
        <w:rPr>
          <w:rFonts w:ascii="Times New Roman" w:hAnsi="Times New Roman" w:cs="Times New Roman"/>
          <w:sz w:val="24"/>
          <w:szCs w:val="24"/>
        </w:rPr>
        <w:t xml:space="preserve"> relatively clear-cut, and </w:t>
      </w:r>
      <w:r w:rsidR="00491E50" w:rsidRPr="00626A06">
        <w:rPr>
          <w:rFonts w:ascii="Times New Roman" w:hAnsi="Times New Roman" w:cs="Times New Roman"/>
          <w:sz w:val="24"/>
          <w:szCs w:val="24"/>
        </w:rPr>
        <w:t xml:space="preserve">it </w:t>
      </w:r>
      <w:r w:rsidR="00125067" w:rsidRPr="00626A06">
        <w:rPr>
          <w:rFonts w:ascii="Times New Roman" w:hAnsi="Times New Roman" w:cs="Times New Roman"/>
          <w:sz w:val="24"/>
          <w:szCs w:val="24"/>
        </w:rPr>
        <w:t>may be folded into other discussions around the quantum of damages.</w:t>
      </w:r>
      <w:r w:rsidR="00125067" w:rsidRPr="00626A06">
        <w:rPr>
          <w:rStyle w:val="FootnoteReference"/>
          <w:rFonts w:ascii="Times New Roman" w:hAnsi="Times New Roman" w:cs="Times New Roman"/>
          <w:sz w:val="24"/>
          <w:szCs w:val="24"/>
        </w:rPr>
        <w:footnoteReference w:id="41"/>
      </w:r>
      <w:r w:rsidR="00125067" w:rsidRPr="00626A06">
        <w:rPr>
          <w:rFonts w:ascii="Times New Roman" w:hAnsi="Times New Roman" w:cs="Times New Roman"/>
          <w:sz w:val="24"/>
          <w:szCs w:val="24"/>
        </w:rPr>
        <w:t xml:space="preserve"> </w:t>
      </w:r>
    </w:p>
    <w:p w:rsidR="003F43AA" w:rsidRPr="00626A06" w:rsidRDefault="0082784E"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lastRenderedPageBreak/>
        <w:t xml:space="preserve">In terms of the pattern of compensation for the victims of tort, there is an added significance </w:t>
      </w:r>
      <w:r w:rsidR="00E247F6" w:rsidRPr="00626A06">
        <w:rPr>
          <w:rFonts w:ascii="Times New Roman" w:hAnsi="Times New Roman" w:cs="Times New Roman"/>
          <w:sz w:val="24"/>
          <w:szCs w:val="24"/>
        </w:rPr>
        <w:t xml:space="preserve">to reductions of damages </w:t>
      </w:r>
      <w:r w:rsidRPr="00626A06">
        <w:rPr>
          <w:rFonts w:ascii="Times New Roman" w:hAnsi="Times New Roman" w:cs="Times New Roman"/>
          <w:sz w:val="24"/>
          <w:szCs w:val="24"/>
        </w:rPr>
        <w:t xml:space="preserve">because few personal injury claimants carry first party insurance. </w:t>
      </w:r>
      <w:r w:rsidR="00E247F6" w:rsidRPr="00626A06">
        <w:rPr>
          <w:rFonts w:ascii="Times New Roman" w:hAnsi="Times New Roman" w:cs="Times New Roman"/>
          <w:sz w:val="24"/>
          <w:szCs w:val="24"/>
        </w:rPr>
        <w:t>Such r</w:t>
      </w:r>
      <w:r w:rsidRPr="00626A06">
        <w:rPr>
          <w:rFonts w:ascii="Times New Roman" w:hAnsi="Times New Roman" w:cs="Times New Roman"/>
          <w:sz w:val="24"/>
          <w:szCs w:val="24"/>
        </w:rPr>
        <w:t xml:space="preserve">eductions in damages therefore typically lead to </w:t>
      </w:r>
      <w:r w:rsidR="00125067" w:rsidRPr="00626A06">
        <w:rPr>
          <w:rFonts w:ascii="Times New Roman" w:hAnsi="Times New Roman" w:cs="Times New Roman"/>
          <w:sz w:val="24"/>
          <w:szCs w:val="24"/>
        </w:rPr>
        <w:t xml:space="preserve">uncompensated and </w:t>
      </w:r>
      <w:r w:rsidRPr="00626A06">
        <w:rPr>
          <w:rFonts w:ascii="Times New Roman" w:hAnsi="Times New Roman" w:cs="Times New Roman"/>
          <w:sz w:val="24"/>
          <w:szCs w:val="24"/>
        </w:rPr>
        <w:t>uninsured elements of loss.</w:t>
      </w:r>
      <w:r w:rsidR="00697A40" w:rsidRPr="00626A06">
        <w:rPr>
          <w:rStyle w:val="FootnoteReference"/>
          <w:rFonts w:ascii="Times New Roman" w:hAnsi="Times New Roman" w:cs="Times New Roman"/>
          <w:sz w:val="24"/>
          <w:szCs w:val="24"/>
        </w:rPr>
        <w:footnoteReference w:id="42"/>
      </w:r>
      <w:r w:rsidR="009B1FA0" w:rsidRPr="00626A06">
        <w:rPr>
          <w:rFonts w:ascii="Times New Roman" w:hAnsi="Times New Roman" w:cs="Times New Roman"/>
          <w:sz w:val="24"/>
          <w:szCs w:val="24"/>
        </w:rPr>
        <w:t xml:space="preserve"> In this respect, contributory negligence </w:t>
      </w:r>
      <w:r w:rsidR="00E42A24" w:rsidRPr="00626A06">
        <w:rPr>
          <w:rFonts w:ascii="Times New Roman" w:hAnsi="Times New Roman" w:cs="Times New Roman"/>
          <w:sz w:val="24"/>
          <w:szCs w:val="24"/>
        </w:rPr>
        <w:t xml:space="preserve">in its proportionate form </w:t>
      </w:r>
      <w:r w:rsidR="00E247F6" w:rsidRPr="00626A06">
        <w:rPr>
          <w:rFonts w:ascii="Times New Roman" w:hAnsi="Times New Roman" w:cs="Times New Roman"/>
          <w:sz w:val="24"/>
          <w:szCs w:val="24"/>
        </w:rPr>
        <w:t>i</w:t>
      </w:r>
      <w:r w:rsidR="00E42A24" w:rsidRPr="00626A06">
        <w:rPr>
          <w:rFonts w:ascii="Times New Roman" w:hAnsi="Times New Roman" w:cs="Times New Roman"/>
          <w:sz w:val="24"/>
          <w:szCs w:val="24"/>
        </w:rPr>
        <w:t xml:space="preserve">s </w:t>
      </w:r>
      <w:r w:rsidRPr="00626A06">
        <w:rPr>
          <w:rFonts w:ascii="Times New Roman" w:hAnsi="Times New Roman" w:cs="Times New Roman"/>
          <w:sz w:val="24"/>
          <w:szCs w:val="24"/>
        </w:rPr>
        <w:t xml:space="preserve">a </w:t>
      </w:r>
      <w:r w:rsidR="003D7092" w:rsidRPr="00626A06">
        <w:rPr>
          <w:rFonts w:ascii="Times New Roman" w:hAnsi="Times New Roman" w:cs="Times New Roman"/>
          <w:sz w:val="24"/>
          <w:szCs w:val="24"/>
        </w:rPr>
        <w:t xml:space="preserve">striking </w:t>
      </w:r>
      <w:r w:rsidR="00E42A24" w:rsidRPr="00626A06">
        <w:rPr>
          <w:rFonts w:ascii="Times New Roman" w:hAnsi="Times New Roman" w:cs="Times New Roman"/>
          <w:sz w:val="24"/>
          <w:szCs w:val="24"/>
        </w:rPr>
        <w:t xml:space="preserve">embodiment </w:t>
      </w:r>
      <w:r w:rsidRPr="00626A06">
        <w:rPr>
          <w:rFonts w:ascii="Times New Roman" w:hAnsi="Times New Roman" w:cs="Times New Roman"/>
          <w:sz w:val="24"/>
          <w:szCs w:val="24"/>
        </w:rPr>
        <w:t>of the fault principle</w:t>
      </w:r>
      <w:r w:rsidR="00E42A24" w:rsidRPr="00626A06">
        <w:rPr>
          <w:rFonts w:ascii="Times New Roman" w:hAnsi="Times New Roman" w:cs="Times New Roman"/>
          <w:sz w:val="24"/>
          <w:szCs w:val="24"/>
        </w:rPr>
        <w:t>,</w:t>
      </w:r>
      <w:r w:rsidRPr="00626A06">
        <w:rPr>
          <w:rFonts w:ascii="Times New Roman" w:hAnsi="Times New Roman" w:cs="Times New Roman"/>
          <w:sz w:val="24"/>
          <w:szCs w:val="24"/>
        </w:rPr>
        <w:t xml:space="preserve"> </w:t>
      </w:r>
      <w:r w:rsidR="000A69FA" w:rsidRPr="00626A06">
        <w:rPr>
          <w:rFonts w:ascii="Times New Roman" w:hAnsi="Times New Roman" w:cs="Times New Roman"/>
          <w:sz w:val="24"/>
          <w:szCs w:val="24"/>
        </w:rPr>
        <w:t xml:space="preserve">despite its heritage in a practical rule of maritime commerce, </w:t>
      </w:r>
      <w:r w:rsidR="005F7C09" w:rsidRPr="00626A06">
        <w:rPr>
          <w:rFonts w:ascii="Times New Roman" w:hAnsi="Times New Roman" w:cs="Times New Roman"/>
          <w:sz w:val="24"/>
          <w:szCs w:val="24"/>
        </w:rPr>
        <w:t xml:space="preserve">since it treats </w:t>
      </w:r>
      <w:r w:rsidR="00E62FB7" w:rsidRPr="00626A06">
        <w:rPr>
          <w:rFonts w:ascii="Times New Roman" w:hAnsi="Times New Roman" w:cs="Times New Roman"/>
          <w:sz w:val="24"/>
          <w:szCs w:val="24"/>
        </w:rPr>
        <w:t xml:space="preserve">an element of </w:t>
      </w:r>
      <w:r w:rsidR="005F7C09" w:rsidRPr="00626A06">
        <w:rPr>
          <w:rFonts w:ascii="Times New Roman" w:hAnsi="Times New Roman" w:cs="Times New Roman"/>
          <w:sz w:val="24"/>
          <w:szCs w:val="24"/>
        </w:rPr>
        <w:t xml:space="preserve">uncompensated loss as justifiable on the basis of personal responsibility. </w:t>
      </w:r>
      <w:r w:rsidR="003F43AA" w:rsidRPr="00626A06">
        <w:rPr>
          <w:rFonts w:ascii="Times New Roman" w:hAnsi="Times New Roman" w:cs="Times New Roman"/>
          <w:sz w:val="24"/>
          <w:szCs w:val="24"/>
        </w:rPr>
        <w:t>But rarely is that judgment of responsibility made by a court. Rather, the chance of such a judgment operates</w:t>
      </w:r>
      <w:r w:rsidR="00E247F6" w:rsidRPr="00626A06">
        <w:rPr>
          <w:rFonts w:ascii="Times New Roman" w:hAnsi="Times New Roman" w:cs="Times New Roman"/>
          <w:sz w:val="24"/>
          <w:szCs w:val="24"/>
        </w:rPr>
        <w:t xml:space="preserve"> to influence bargaining and decision-making positions</w:t>
      </w:r>
      <w:r w:rsidR="009340C0" w:rsidRPr="00626A06">
        <w:rPr>
          <w:rFonts w:ascii="Times New Roman" w:hAnsi="Times New Roman" w:cs="Times New Roman"/>
          <w:sz w:val="24"/>
          <w:szCs w:val="24"/>
        </w:rPr>
        <w:t xml:space="preserve">. </w:t>
      </w:r>
      <w:r w:rsidR="00420C45" w:rsidRPr="00626A06">
        <w:rPr>
          <w:rFonts w:ascii="Times New Roman" w:hAnsi="Times New Roman" w:cs="Times New Roman"/>
          <w:sz w:val="24"/>
          <w:szCs w:val="24"/>
        </w:rPr>
        <w:t>We can illustrate this by r</w:t>
      </w:r>
      <w:r w:rsidR="009B1FA0" w:rsidRPr="00626A06">
        <w:rPr>
          <w:rFonts w:ascii="Times New Roman" w:hAnsi="Times New Roman" w:cs="Times New Roman"/>
          <w:sz w:val="24"/>
          <w:szCs w:val="24"/>
        </w:rPr>
        <w:t xml:space="preserve">eturning to </w:t>
      </w:r>
      <w:r w:rsidR="003F43AA" w:rsidRPr="00626A06">
        <w:rPr>
          <w:rFonts w:ascii="Times New Roman" w:hAnsi="Times New Roman" w:cs="Times New Roman"/>
          <w:i/>
          <w:sz w:val="24"/>
          <w:szCs w:val="24"/>
        </w:rPr>
        <w:t>McLean v Bell</w:t>
      </w:r>
      <w:r w:rsidR="009B720D" w:rsidRPr="00626A06">
        <w:rPr>
          <w:rFonts w:ascii="Times New Roman" w:hAnsi="Times New Roman" w:cs="Times New Roman"/>
          <w:sz w:val="24"/>
          <w:szCs w:val="24"/>
        </w:rPr>
        <w:t>.</w:t>
      </w:r>
      <w:r w:rsidR="003F43AA" w:rsidRPr="00626A06">
        <w:rPr>
          <w:rStyle w:val="FootnoteReference"/>
          <w:rFonts w:ascii="Times New Roman" w:hAnsi="Times New Roman" w:cs="Times New Roman"/>
          <w:sz w:val="24"/>
          <w:szCs w:val="24"/>
        </w:rPr>
        <w:footnoteReference w:id="43"/>
      </w:r>
      <w:r w:rsidR="000C3C7D" w:rsidRPr="00626A06">
        <w:rPr>
          <w:rFonts w:ascii="Times New Roman" w:hAnsi="Times New Roman" w:cs="Times New Roman"/>
          <w:sz w:val="24"/>
          <w:szCs w:val="24"/>
        </w:rPr>
        <w:t xml:space="preserve"> </w:t>
      </w:r>
      <w:r w:rsidR="009B720D" w:rsidRPr="00626A06">
        <w:rPr>
          <w:rFonts w:ascii="Times New Roman" w:hAnsi="Times New Roman" w:cs="Times New Roman"/>
          <w:sz w:val="24"/>
          <w:szCs w:val="24"/>
        </w:rPr>
        <w:t>I</w:t>
      </w:r>
      <w:r w:rsidR="003F43AA" w:rsidRPr="00626A06">
        <w:rPr>
          <w:rFonts w:ascii="Times New Roman" w:hAnsi="Times New Roman" w:cs="Times New Roman"/>
          <w:sz w:val="24"/>
          <w:szCs w:val="24"/>
        </w:rPr>
        <w:t xml:space="preserve">t seems certain that such a claimant today would not be forced to take </w:t>
      </w:r>
      <w:r w:rsidR="003F10C6" w:rsidRPr="00626A06">
        <w:rPr>
          <w:rFonts w:ascii="Times New Roman" w:hAnsi="Times New Roman" w:cs="Times New Roman"/>
          <w:sz w:val="24"/>
          <w:szCs w:val="24"/>
        </w:rPr>
        <w:t xml:space="preserve">her </w:t>
      </w:r>
      <w:r w:rsidR="003F43AA" w:rsidRPr="00626A06">
        <w:rPr>
          <w:rFonts w:ascii="Times New Roman" w:hAnsi="Times New Roman" w:cs="Times New Roman"/>
          <w:sz w:val="24"/>
          <w:szCs w:val="24"/>
        </w:rPr>
        <w:t>case to the House of Lords in order to secure damages – nor, indeed, to court at all. On the other hand, it also seems certain that the claimant’s damages would be reduced through settlement to reflect a degree of contributory negligence. The route taken by the House of Lords in that case, to secure full compensation, would be virtually unattainable.</w:t>
      </w:r>
      <w:r w:rsidR="00491E50" w:rsidRPr="00626A06">
        <w:rPr>
          <w:rStyle w:val="FootnoteReference"/>
          <w:rFonts w:ascii="Times New Roman" w:hAnsi="Times New Roman" w:cs="Times New Roman"/>
          <w:sz w:val="24"/>
          <w:szCs w:val="24"/>
        </w:rPr>
        <w:footnoteReference w:id="44"/>
      </w:r>
      <w:r w:rsidR="003F43AA" w:rsidRPr="00626A06">
        <w:rPr>
          <w:rFonts w:ascii="Times New Roman" w:hAnsi="Times New Roman" w:cs="Times New Roman"/>
          <w:sz w:val="24"/>
          <w:szCs w:val="24"/>
        </w:rPr>
        <w:t xml:space="preserve"> Practically, more claims are met </w:t>
      </w:r>
      <w:r w:rsidR="009B1FA0" w:rsidRPr="00626A06">
        <w:rPr>
          <w:rFonts w:ascii="Times New Roman" w:hAnsi="Times New Roman" w:cs="Times New Roman"/>
          <w:sz w:val="24"/>
          <w:szCs w:val="24"/>
        </w:rPr>
        <w:t xml:space="preserve">since the 1945 Act, </w:t>
      </w:r>
      <w:r w:rsidR="003F43AA" w:rsidRPr="00626A06">
        <w:rPr>
          <w:rFonts w:ascii="Times New Roman" w:hAnsi="Times New Roman" w:cs="Times New Roman"/>
          <w:sz w:val="24"/>
          <w:szCs w:val="24"/>
        </w:rPr>
        <w:t>and few of these require a court to determine liability. But at least a substantial number of claims for personal injury are subject to reductions. And those reductions, unlike the defendant’s liability, will tend to reflect the fault principle in their impact as well as in</w:t>
      </w:r>
      <w:r w:rsidR="000C3C7D" w:rsidRPr="00626A06">
        <w:rPr>
          <w:rFonts w:ascii="Times New Roman" w:hAnsi="Times New Roman" w:cs="Times New Roman"/>
          <w:sz w:val="24"/>
          <w:szCs w:val="24"/>
        </w:rPr>
        <w:t xml:space="preserve"> principle</w:t>
      </w:r>
      <w:r w:rsidR="003F43AA" w:rsidRPr="00626A06">
        <w:rPr>
          <w:rFonts w:ascii="Times New Roman" w:hAnsi="Times New Roman" w:cs="Times New Roman"/>
          <w:sz w:val="24"/>
          <w:szCs w:val="24"/>
        </w:rPr>
        <w:t>, because this portion of the loss will generally be uninsured.</w:t>
      </w:r>
      <w:r w:rsidR="00CD629F" w:rsidRPr="00626A06">
        <w:rPr>
          <w:rFonts w:ascii="Times New Roman" w:hAnsi="Times New Roman" w:cs="Times New Roman"/>
          <w:sz w:val="24"/>
          <w:szCs w:val="24"/>
        </w:rPr>
        <w:t xml:space="preserve"> </w:t>
      </w:r>
      <w:r w:rsidR="00192FB1" w:rsidRPr="00626A06">
        <w:rPr>
          <w:rFonts w:ascii="Times New Roman" w:hAnsi="Times New Roman" w:cs="Times New Roman"/>
          <w:sz w:val="24"/>
          <w:szCs w:val="24"/>
        </w:rPr>
        <w:t>A full-blooded fault principle is wielded primarily by</w:t>
      </w:r>
      <w:r w:rsidR="00491E50" w:rsidRPr="00626A06">
        <w:rPr>
          <w:rFonts w:ascii="Times New Roman" w:hAnsi="Times New Roman" w:cs="Times New Roman"/>
          <w:sz w:val="24"/>
          <w:szCs w:val="24"/>
        </w:rPr>
        <w:t xml:space="preserve"> insurers and other negotiators and is not the precision instrument it may appear to be.</w:t>
      </w:r>
    </w:p>
    <w:p w:rsidR="00814538" w:rsidRPr="00626A06" w:rsidRDefault="00F25760"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This point about the association with fault leads</w:t>
      </w:r>
      <w:r w:rsidR="00542A23" w:rsidRPr="00626A06">
        <w:rPr>
          <w:rFonts w:ascii="Times New Roman" w:hAnsi="Times New Roman" w:cs="Times New Roman"/>
          <w:sz w:val="24"/>
          <w:szCs w:val="24"/>
        </w:rPr>
        <w:t xml:space="preserve"> </w:t>
      </w:r>
      <w:r w:rsidR="00491E50" w:rsidRPr="00626A06">
        <w:rPr>
          <w:rFonts w:ascii="Times New Roman" w:hAnsi="Times New Roman" w:cs="Times New Roman"/>
          <w:sz w:val="24"/>
          <w:szCs w:val="24"/>
        </w:rPr>
        <w:t xml:space="preserve">to </w:t>
      </w:r>
      <w:r w:rsidRPr="00626A06">
        <w:rPr>
          <w:rFonts w:ascii="Times New Roman" w:hAnsi="Times New Roman" w:cs="Times New Roman"/>
          <w:sz w:val="24"/>
          <w:szCs w:val="24"/>
        </w:rPr>
        <w:t xml:space="preserve">a different aspect of the role of </w:t>
      </w:r>
      <w:r w:rsidR="00E34E0F" w:rsidRPr="00626A06">
        <w:rPr>
          <w:rFonts w:ascii="Times New Roman" w:hAnsi="Times New Roman" w:cs="Times New Roman"/>
          <w:sz w:val="24"/>
          <w:szCs w:val="24"/>
        </w:rPr>
        <w:t>contributory negligence</w:t>
      </w:r>
      <w:r w:rsidRPr="00626A06">
        <w:rPr>
          <w:rFonts w:ascii="Times New Roman" w:hAnsi="Times New Roman" w:cs="Times New Roman"/>
          <w:sz w:val="24"/>
          <w:szCs w:val="24"/>
        </w:rPr>
        <w:t xml:space="preserve">. </w:t>
      </w:r>
      <w:r w:rsidR="003B44C8" w:rsidRPr="00626A06">
        <w:rPr>
          <w:rFonts w:ascii="Times New Roman" w:hAnsi="Times New Roman" w:cs="Times New Roman"/>
          <w:sz w:val="24"/>
          <w:szCs w:val="24"/>
        </w:rPr>
        <w:t>I</w:t>
      </w:r>
      <w:r w:rsidR="003D7092" w:rsidRPr="00626A06">
        <w:rPr>
          <w:rFonts w:ascii="Times New Roman" w:hAnsi="Times New Roman" w:cs="Times New Roman"/>
          <w:sz w:val="24"/>
          <w:szCs w:val="24"/>
        </w:rPr>
        <w:t xml:space="preserve">t has already been pointed out that </w:t>
      </w:r>
      <w:r w:rsidR="0026577C" w:rsidRPr="00626A06">
        <w:rPr>
          <w:rFonts w:ascii="Times New Roman" w:hAnsi="Times New Roman" w:cs="Times New Roman"/>
          <w:sz w:val="24"/>
          <w:szCs w:val="24"/>
        </w:rPr>
        <w:t xml:space="preserve">the partial defence is sometimes seen as quintessentially suited to the modern law of tort, or at least to the part of the law of tort which deals with personal injury. </w:t>
      </w:r>
      <w:r w:rsidR="000A735B" w:rsidRPr="00626A06">
        <w:rPr>
          <w:rFonts w:ascii="Times New Roman" w:hAnsi="Times New Roman" w:cs="Times New Roman"/>
          <w:sz w:val="24"/>
          <w:szCs w:val="24"/>
        </w:rPr>
        <w:t>I</w:t>
      </w:r>
      <w:r w:rsidR="005F7C09" w:rsidRPr="00626A06">
        <w:rPr>
          <w:rFonts w:ascii="Times New Roman" w:hAnsi="Times New Roman" w:cs="Times New Roman"/>
          <w:sz w:val="24"/>
          <w:szCs w:val="24"/>
        </w:rPr>
        <w:t>t offers</w:t>
      </w:r>
      <w:r w:rsidR="0026577C" w:rsidRPr="00626A06">
        <w:rPr>
          <w:rFonts w:ascii="Times New Roman" w:hAnsi="Times New Roman" w:cs="Times New Roman"/>
          <w:sz w:val="24"/>
          <w:szCs w:val="24"/>
        </w:rPr>
        <w:t xml:space="preserve"> a refinement of the fault principle, which it strongly reflects despite not being confined to cases of carelessness or deliberate harm, in that it allows division </w:t>
      </w:r>
      <w:r w:rsidR="00CF1F4E" w:rsidRPr="00626A06">
        <w:rPr>
          <w:rFonts w:ascii="Times New Roman" w:hAnsi="Times New Roman" w:cs="Times New Roman"/>
          <w:sz w:val="24"/>
          <w:szCs w:val="24"/>
        </w:rPr>
        <w:t xml:space="preserve">in a very wide range of circumstances </w:t>
      </w:r>
      <w:r w:rsidR="0026577C" w:rsidRPr="00626A06">
        <w:rPr>
          <w:rFonts w:ascii="Times New Roman" w:hAnsi="Times New Roman" w:cs="Times New Roman"/>
          <w:sz w:val="24"/>
          <w:szCs w:val="24"/>
        </w:rPr>
        <w:t>according to relative responsibility</w:t>
      </w:r>
      <w:r w:rsidR="002E40E4" w:rsidRPr="00626A06">
        <w:rPr>
          <w:rFonts w:ascii="Times New Roman" w:hAnsi="Times New Roman" w:cs="Times New Roman"/>
          <w:sz w:val="24"/>
          <w:szCs w:val="24"/>
        </w:rPr>
        <w:t xml:space="preserve">. </w:t>
      </w:r>
      <w:r w:rsidR="00B12C55" w:rsidRPr="00626A06">
        <w:rPr>
          <w:rFonts w:ascii="Times New Roman" w:hAnsi="Times New Roman" w:cs="Times New Roman"/>
          <w:sz w:val="24"/>
          <w:szCs w:val="24"/>
        </w:rPr>
        <w:t xml:space="preserve">One result of this is that </w:t>
      </w:r>
      <w:r w:rsidR="002E40E4" w:rsidRPr="00626A06">
        <w:rPr>
          <w:rFonts w:ascii="Times New Roman" w:hAnsi="Times New Roman" w:cs="Times New Roman"/>
          <w:sz w:val="24"/>
          <w:szCs w:val="24"/>
        </w:rPr>
        <w:t xml:space="preserve">it </w:t>
      </w:r>
      <w:r w:rsidR="00CF1F4E" w:rsidRPr="00626A06">
        <w:rPr>
          <w:rFonts w:ascii="Times New Roman" w:hAnsi="Times New Roman" w:cs="Times New Roman"/>
          <w:sz w:val="24"/>
          <w:szCs w:val="24"/>
        </w:rPr>
        <w:t xml:space="preserve">gives courts the capacity to mediate between situations in which </w:t>
      </w:r>
      <w:r w:rsidR="00A758B6" w:rsidRPr="00626A06">
        <w:rPr>
          <w:rFonts w:ascii="Times New Roman" w:hAnsi="Times New Roman" w:cs="Times New Roman"/>
          <w:sz w:val="24"/>
          <w:szCs w:val="24"/>
        </w:rPr>
        <w:t>arguments based on</w:t>
      </w:r>
      <w:r w:rsidR="00CF1F4E" w:rsidRPr="00626A06">
        <w:rPr>
          <w:rFonts w:ascii="Times New Roman" w:hAnsi="Times New Roman" w:cs="Times New Roman"/>
          <w:sz w:val="24"/>
          <w:szCs w:val="24"/>
        </w:rPr>
        <w:t xml:space="preserve"> individual claimant responsibility (for example in cases of drug-taking</w:t>
      </w:r>
      <w:r w:rsidR="00814538" w:rsidRPr="00626A06">
        <w:rPr>
          <w:rFonts w:ascii="Times New Roman" w:hAnsi="Times New Roman" w:cs="Times New Roman"/>
          <w:sz w:val="24"/>
          <w:szCs w:val="24"/>
        </w:rPr>
        <w:t>,</w:t>
      </w:r>
      <w:r w:rsidR="00CF1F4E" w:rsidRPr="00626A06">
        <w:rPr>
          <w:rFonts w:ascii="Times New Roman" w:hAnsi="Times New Roman" w:cs="Times New Roman"/>
          <w:sz w:val="24"/>
          <w:szCs w:val="24"/>
        </w:rPr>
        <w:t xml:space="preserve"> suicide</w:t>
      </w:r>
      <w:r w:rsidR="00814538" w:rsidRPr="00626A06">
        <w:rPr>
          <w:rFonts w:ascii="Times New Roman" w:hAnsi="Times New Roman" w:cs="Times New Roman"/>
          <w:sz w:val="24"/>
          <w:szCs w:val="24"/>
        </w:rPr>
        <w:t>, and foolhardy risks</w:t>
      </w:r>
      <w:r w:rsidR="00CF1F4E" w:rsidRPr="00626A06">
        <w:rPr>
          <w:rFonts w:ascii="Times New Roman" w:hAnsi="Times New Roman" w:cs="Times New Roman"/>
          <w:sz w:val="24"/>
          <w:szCs w:val="24"/>
        </w:rPr>
        <w:t xml:space="preserve">) and </w:t>
      </w:r>
      <w:r w:rsidR="00A758B6" w:rsidRPr="00626A06">
        <w:rPr>
          <w:rFonts w:ascii="Times New Roman" w:hAnsi="Times New Roman" w:cs="Times New Roman"/>
          <w:sz w:val="24"/>
          <w:szCs w:val="24"/>
        </w:rPr>
        <w:t>arguments based on</w:t>
      </w:r>
      <w:r w:rsidR="00CF1F4E" w:rsidRPr="00626A06">
        <w:rPr>
          <w:rFonts w:ascii="Times New Roman" w:hAnsi="Times New Roman" w:cs="Times New Roman"/>
          <w:sz w:val="24"/>
          <w:szCs w:val="24"/>
        </w:rPr>
        <w:t xml:space="preserve"> defendant responsibility (for example </w:t>
      </w:r>
      <w:r w:rsidR="00814538" w:rsidRPr="00626A06">
        <w:rPr>
          <w:rFonts w:ascii="Times New Roman" w:hAnsi="Times New Roman" w:cs="Times New Roman"/>
          <w:sz w:val="24"/>
          <w:szCs w:val="24"/>
        </w:rPr>
        <w:t xml:space="preserve">in </w:t>
      </w:r>
      <w:r w:rsidR="00814538" w:rsidRPr="00626A06">
        <w:rPr>
          <w:rFonts w:ascii="Times New Roman" w:hAnsi="Times New Roman" w:cs="Times New Roman"/>
          <w:sz w:val="24"/>
          <w:szCs w:val="24"/>
        </w:rPr>
        <w:lastRenderedPageBreak/>
        <w:t>cases involving</w:t>
      </w:r>
      <w:r w:rsidR="00CF1F4E" w:rsidRPr="00626A06">
        <w:rPr>
          <w:rFonts w:ascii="Times New Roman" w:hAnsi="Times New Roman" w:cs="Times New Roman"/>
          <w:sz w:val="24"/>
          <w:szCs w:val="24"/>
        </w:rPr>
        <w:t xml:space="preserve"> protection of the </w:t>
      </w:r>
      <w:r w:rsidR="00082A87" w:rsidRPr="00626A06">
        <w:rPr>
          <w:rFonts w:ascii="Times New Roman" w:hAnsi="Times New Roman" w:cs="Times New Roman"/>
          <w:sz w:val="24"/>
          <w:szCs w:val="24"/>
        </w:rPr>
        <w:t xml:space="preserve">dependent or </w:t>
      </w:r>
      <w:r w:rsidR="00CF1F4E" w:rsidRPr="00626A06">
        <w:rPr>
          <w:rFonts w:ascii="Times New Roman" w:hAnsi="Times New Roman" w:cs="Times New Roman"/>
          <w:sz w:val="24"/>
          <w:szCs w:val="24"/>
        </w:rPr>
        <w:t xml:space="preserve">vulnerable or health, safety and risk reduction more generally) may otherwise come into </w:t>
      </w:r>
      <w:r w:rsidR="007D2FCF" w:rsidRPr="00626A06">
        <w:rPr>
          <w:rFonts w:ascii="Times New Roman" w:hAnsi="Times New Roman" w:cs="Times New Roman"/>
          <w:sz w:val="24"/>
          <w:szCs w:val="24"/>
        </w:rPr>
        <w:t>irreconcil</w:t>
      </w:r>
      <w:r w:rsidR="00A758B6" w:rsidRPr="00626A06">
        <w:rPr>
          <w:rFonts w:ascii="Times New Roman" w:hAnsi="Times New Roman" w:cs="Times New Roman"/>
          <w:sz w:val="24"/>
          <w:szCs w:val="24"/>
        </w:rPr>
        <w:t xml:space="preserve">able </w:t>
      </w:r>
      <w:r w:rsidR="00CF1F4E" w:rsidRPr="00626A06">
        <w:rPr>
          <w:rFonts w:ascii="Times New Roman" w:hAnsi="Times New Roman" w:cs="Times New Roman"/>
          <w:sz w:val="24"/>
          <w:szCs w:val="24"/>
        </w:rPr>
        <w:t>conflict.</w:t>
      </w:r>
      <w:r w:rsidR="00A758B6" w:rsidRPr="00626A06">
        <w:rPr>
          <w:rFonts w:ascii="Times New Roman" w:hAnsi="Times New Roman" w:cs="Times New Roman"/>
          <w:sz w:val="24"/>
          <w:szCs w:val="24"/>
        </w:rPr>
        <w:t xml:space="preserve"> </w:t>
      </w:r>
      <w:r w:rsidR="00F45A00" w:rsidRPr="00626A06">
        <w:rPr>
          <w:rFonts w:ascii="Times New Roman" w:hAnsi="Times New Roman" w:cs="Times New Roman"/>
          <w:sz w:val="24"/>
          <w:szCs w:val="24"/>
        </w:rPr>
        <w:t xml:space="preserve">The way of making these positions commensurable is through adjustments to quantum of damage. </w:t>
      </w:r>
    </w:p>
    <w:p w:rsidR="0026577C" w:rsidRPr="00626A06" w:rsidRDefault="003420D3"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On the other hand, this outlook too may be susceptible to change. R</w:t>
      </w:r>
      <w:r w:rsidR="0098430E" w:rsidRPr="00626A06">
        <w:rPr>
          <w:rFonts w:ascii="Times New Roman" w:hAnsi="Times New Roman" w:cs="Times New Roman"/>
          <w:sz w:val="24"/>
          <w:szCs w:val="24"/>
        </w:rPr>
        <w:t xml:space="preserve">eduction in damages </w:t>
      </w:r>
      <w:r w:rsidR="00CF1F4E" w:rsidRPr="00626A06">
        <w:rPr>
          <w:rFonts w:ascii="Times New Roman" w:hAnsi="Times New Roman" w:cs="Times New Roman"/>
          <w:sz w:val="24"/>
          <w:szCs w:val="24"/>
        </w:rPr>
        <w:t xml:space="preserve">is </w:t>
      </w:r>
      <w:r w:rsidR="00CF1F4E" w:rsidRPr="00626A06">
        <w:rPr>
          <w:rFonts w:ascii="Times New Roman" w:hAnsi="Times New Roman" w:cs="Times New Roman"/>
          <w:i/>
          <w:sz w:val="24"/>
          <w:szCs w:val="24"/>
        </w:rPr>
        <w:t xml:space="preserve">not </w:t>
      </w:r>
      <w:r w:rsidR="00CF1F4E" w:rsidRPr="00626A06">
        <w:rPr>
          <w:rFonts w:ascii="Times New Roman" w:hAnsi="Times New Roman" w:cs="Times New Roman"/>
          <w:sz w:val="24"/>
          <w:szCs w:val="24"/>
        </w:rPr>
        <w:t>always seen as</w:t>
      </w:r>
      <w:r w:rsidR="002F4214" w:rsidRPr="00626A06">
        <w:rPr>
          <w:rFonts w:ascii="Times New Roman" w:hAnsi="Times New Roman" w:cs="Times New Roman"/>
          <w:sz w:val="24"/>
          <w:szCs w:val="24"/>
        </w:rPr>
        <w:t xml:space="preserve"> sufficiently reflecting the responsibility of one party or the other</w:t>
      </w:r>
      <w:r w:rsidR="00CF1F4E" w:rsidRPr="00626A06">
        <w:rPr>
          <w:rFonts w:ascii="Times New Roman" w:hAnsi="Times New Roman" w:cs="Times New Roman"/>
          <w:sz w:val="24"/>
          <w:szCs w:val="24"/>
        </w:rPr>
        <w:t xml:space="preserve">, even if courts now have to find different routes (no duty, or </w:t>
      </w:r>
      <w:r w:rsidR="00CF1F4E" w:rsidRPr="00626A06">
        <w:rPr>
          <w:rFonts w:ascii="Times New Roman" w:hAnsi="Times New Roman" w:cs="Times New Roman"/>
          <w:i/>
          <w:sz w:val="24"/>
          <w:szCs w:val="24"/>
        </w:rPr>
        <w:t xml:space="preserve">ex </w:t>
      </w:r>
      <w:proofErr w:type="spellStart"/>
      <w:r w:rsidR="00CF1F4E" w:rsidRPr="00626A06">
        <w:rPr>
          <w:rFonts w:ascii="Times New Roman" w:hAnsi="Times New Roman" w:cs="Times New Roman"/>
          <w:i/>
          <w:sz w:val="24"/>
          <w:szCs w:val="24"/>
        </w:rPr>
        <w:t>turpi</w:t>
      </w:r>
      <w:proofErr w:type="spellEnd"/>
      <w:r w:rsidR="00CF1F4E" w:rsidRPr="00626A06">
        <w:rPr>
          <w:rFonts w:ascii="Times New Roman" w:hAnsi="Times New Roman" w:cs="Times New Roman"/>
          <w:i/>
          <w:sz w:val="24"/>
          <w:szCs w:val="24"/>
        </w:rPr>
        <w:t xml:space="preserve"> </w:t>
      </w:r>
      <w:proofErr w:type="spellStart"/>
      <w:r w:rsidR="00CF1F4E" w:rsidRPr="00626A06">
        <w:rPr>
          <w:rFonts w:ascii="Times New Roman" w:hAnsi="Times New Roman" w:cs="Times New Roman"/>
          <w:i/>
          <w:sz w:val="24"/>
          <w:szCs w:val="24"/>
        </w:rPr>
        <w:t>causa</w:t>
      </w:r>
      <w:proofErr w:type="spellEnd"/>
      <w:r w:rsidR="00CF1F4E" w:rsidRPr="00626A06">
        <w:rPr>
          <w:rFonts w:ascii="Times New Roman" w:hAnsi="Times New Roman" w:cs="Times New Roman"/>
          <w:i/>
          <w:sz w:val="24"/>
          <w:szCs w:val="24"/>
        </w:rPr>
        <w:t xml:space="preserve">, </w:t>
      </w:r>
      <w:r w:rsidR="00CF1F4E" w:rsidRPr="00626A06">
        <w:rPr>
          <w:rFonts w:ascii="Times New Roman" w:hAnsi="Times New Roman" w:cs="Times New Roman"/>
          <w:sz w:val="24"/>
          <w:szCs w:val="24"/>
        </w:rPr>
        <w:t xml:space="preserve">for example) to </w:t>
      </w:r>
      <w:r w:rsidR="0098430E" w:rsidRPr="00626A06">
        <w:rPr>
          <w:rFonts w:ascii="Times New Roman" w:hAnsi="Times New Roman" w:cs="Times New Roman"/>
          <w:sz w:val="24"/>
          <w:szCs w:val="24"/>
        </w:rPr>
        <w:t>avoid it</w:t>
      </w:r>
      <w:r w:rsidR="00CF1F4E" w:rsidRPr="00626A06">
        <w:rPr>
          <w:rFonts w:ascii="Times New Roman" w:hAnsi="Times New Roman" w:cs="Times New Roman"/>
          <w:sz w:val="24"/>
          <w:szCs w:val="24"/>
        </w:rPr>
        <w:t xml:space="preserve">. </w:t>
      </w:r>
      <w:r w:rsidR="000D7E77" w:rsidRPr="00626A06">
        <w:rPr>
          <w:rFonts w:ascii="Times New Roman" w:hAnsi="Times New Roman" w:cs="Times New Roman"/>
          <w:sz w:val="24"/>
          <w:szCs w:val="24"/>
        </w:rPr>
        <w:t>O</w:t>
      </w:r>
      <w:r w:rsidR="00C12A90" w:rsidRPr="00626A06">
        <w:rPr>
          <w:rFonts w:ascii="Times New Roman" w:hAnsi="Times New Roman" w:cs="Times New Roman"/>
          <w:sz w:val="24"/>
          <w:szCs w:val="24"/>
        </w:rPr>
        <w:t>ne</w:t>
      </w:r>
      <w:r w:rsidR="000A735B" w:rsidRPr="00626A06">
        <w:rPr>
          <w:rFonts w:ascii="Times New Roman" w:hAnsi="Times New Roman" w:cs="Times New Roman"/>
          <w:sz w:val="24"/>
          <w:szCs w:val="24"/>
        </w:rPr>
        <w:t xml:space="preserve"> </w:t>
      </w:r>
      <w:r w:rsidR="00B12C55" w:rsidRPr="00626A06">
        <w:rPr>
          <w:rFonts w:ascii="Times New Roman" w:hAnsi="Times New Roman" w:cs="Times New Roman"/>
          <w:sz w:val="24"/>
          <w:szCs w:val="24"/>
        </w:rPr>
        <w:t>perspective has been</w:t>
      </w:r>
      <w:r w:rsidR="00A16508" w:rsidRPr="00626A06">
        <w:rPr>
          <w:rFonts w:ascii="Times New Roman" w:hAnsi="Times New Roman" w:cs="Times New Roman"/>
          <w:sz w:val="24"/>
          <w:szCs w:val="24"/>
        </w:rPr>
        <w:t xml:space="preserve"> that the rise of contributory negligence in a relative form renders </w:t>
      </w:r>
      <w:r w:rsidR="0098430E" w:rsidRPr="00626A06">
        <w:rPr>
          <w:rFonts w:ascii="Times New Roman" w:hAnsi="Times New Roman" w:cs="Times New Roman"/>
          <w:sz w:val="24"/>
          <w:szCs w:val="24"/>
        </w:rPr>
        <w:t>some</w:t>
      </w:r>
      <w:r w:rsidR="00A16508" w:rsidRPr="00626A06">
        <w:rPr>
          <w:rFonts w:ascii="Times New Roman" w:hAnsi="Times New Roman" w:cs="Times New Roman"/>
          <w:sz w:val="24"/>
          <w:szCs w:val="24"/>
        </w:rPr>
        <w:t xml:space="preserve"> complete defences less appropriate.</w:t>
      </w:r>
      <w:r w:rsidR="00A16508" w:rsidRPr="00626A06">
        <w:rPr>
          <w:rStyle w:val="FootnoteReference"/>
          <w:rFonts w:ascii="Times New Roman" w:hAnsi="Times New Roman" w:cs="Times New Roman"/>
          <w:sz w:val="24"/>
          <w:szCs w:val="24"/>
        </w:rPr>
        <w:footnoteReference w:id="45"/>
      </w:r>
      <w:r w:rsidR="00A16508" w:rsidRPr="00626A06">
        <w:rPr>
          <w:rFonts w:ascii="Times New Roman" w:hAnsi="Times New Roman" w:cs="Times New Roman"/>
          <w:sz w:val="24"/>
          <w:szCs w:val="24"/>
        </w:rPr>
        <w:t xml:space="preserve"> </w:t>
      </w:r>
      <w:r w:rsidR="00CA5530" w:rsidRPr="00626A06">
        <w:rPr>
          <w:rFonts w:ascii="Times New Roman" w:hAnsi="Times New Roman" w:cs="Times New Roman"/>
          <w:sz w:val="24"/>
          <w:szCs w:val="24"/>
        </w:rPr>
        <w:t>Indeed i</w:t>
      </w:r>
      <w:r w:rsidR="00A16508" w:rsidRPr="00626A06">
        <w:rPr>
          <w:rFonts w:ascii="Times New Roman" w:hAnsi="Times New Roman" w:cs="Times New Roman"/>
          <w:sz w:val="24"/>
          <w:szCs w:val="24"/>
        </w:rPr>
        <w:t xml:space="preserve">t was suggested </w:t>
      </w:r>
      <w:r w:rsidR="00443E96" w:rsidRPr="00626A06">
        <w:rPr>
          <w:rFonts w:ascii="Times New Roman" w:hAnsi="Times New Roman" w:cs="Times New Roman"/>
          <w:sz w:val="24"/>
          <w:szCs w:val="24"/>
        </w:rPr>
        <w:t xml:space="preserve">very </w:t>
      </w:r>
      <w:r w:rsidR="00A16508" w:rsidRPr="00626A06">
        <w:rPr>
          <w:rFonts w:ascii="Times New Roman" w:hAnsi="Times New Roman" w:cs="Times New Roman"/>
          <w:sz w:val="24"/>
          <w:szCs w:val="24"/>
        </w:rPr>
        <w:t xml:space="preserve">soon after enactment that there ought as a consequence of the 1945 Act </w:t>
      </w:r>
      <w:r w:rsidR="00443E96" w:rsidRPr="00626A06">
        <w:rPr>
          <w:rFonts w:ascii="Times New Roman" w:hAnsi="Times New Roman" w:cs="Times New Roman"/>
          <w:sz w:val="24"/>
          <w:szCs w:val="24"/>
        </w:rPr>
        <w:t xml:space="preserve">and its logic </w:t>
      </w:r>
      <w:r w:rsidR="00A16508" w:rsidRPr="00626A06">
        <w:rPr>
          <w:rFonts w:ascii="Times New Roman" w:hAnsi="Times New Roman" w:cs="Times New Roman"/>
          <w:sz w:val="24"/>
          <w:szCs w:val="24"/>
        </w:rPr>
        <w:t xml:space="preserve">to be less willingness to </w:t>
      </w:r>
      <w:r w:rsidR="00192FB1" w:rsidRPr="00626A06">
        <w:rPr>
          <w:rFonts w:ascii="Times New Roman" w:hAnsi="Times New Roman" w:cs="Times New Roman"/>
          <w:sz w:val="24"/>
          <w:szCs w:val="24"/>
        </w:rPr>
        <w:t xml:space="preserve">reject a causal link between breach and </w:t>
      </w:r>
      <w:r w:rsidR="00A16508" w:rsidRPr="00626A06">
        <w:rPr>
          <w:rFonts w:ascii="Times New Roman" w:hAnsi="Times New Roman" w:cs="Times New Roman"/>
          <w:sz w:val="24"/>
          <w:szCs w:val="24"/>
        </w:rPr>
        <w:t>damage</w:t>
      </w:r>
      <w:r w:rsidR="008B5910" w:rsidRPr="00626A06">
        <w:rPr>
          <w:rFonts w:ascii="Times New Roman" w:hAnsi="Times New Roman" w:cs="Times New Roman"/>
          <w:sz w:val="24"/>
          <w:szCs w:val="24"/>
        </w:rPr>
        <w:t xml:space="preserve">, </w:t>
      </w:r>
      <w:r w:rsidR="00443E96" w:rsidRPr="00626A06">
        <w:rPr>
          <w:rFonts w:ascii="Times New Roman" w:hAnsi="Times New Roman" w:cs="Times New Roman"/>
          <w:sz w:val="24"/>
          <w:szCs w:val="24"/>
        </w:rPr>
        <w:t xml:space="preserve">replacing legal causation questions with responsibility sharing, </w:t>
      </w:r>
      <w:r w:rsidR="008B5910" w:rsidRPr="00626A06">
        <w:rPr>
          <w:rFonts w:ascii="Times New Roman" w:hAnsi="Times New Roman" w:cs="Times New Roman"/>
          <w:sz w:val="24"/>
          <w:szCs w:val="24"/>
        </w:rPr>
        <w:t xml:space="preserve">though </w:t>
      </w:r>
      <w:r w:rsidR="00443E96" w:rsidRPr="00626A06">
        <w:rPr>
          <w:rFonts w:ascii="Times New Roman" w:hAnsi="Times New Roman" w:cs="Times New Roman"/>
          <w:sz w:val="24"/>
          <w:szCs w:val="24"/>
        </w:rPr>
        <w:t xml:space="preserve">as we will see </w:t>
      </w:r>
      <w:r w:rsidR="008B5910" w:rsidRPr="00626A06">
        <w:rPr>
          <w:rFonts w:ascii="Times New Roman" w:hAnsi="Times New Roman" w:cs="Times New Roman"/>
          <w:sz w:val="24"/>
          <w:szCs w:val="24"/>
        </w:rPr>
        <w:t xml:space="preserve">there is </w:t>
      </w:r>
      <w:r w:rsidR="00443E96" w:rsidRPr="00626A06">
        <w:rPr>
          <w:rFonts w:ascii="Times New Roman" w:hAnsi="Times New Roman" w:cs="Times New Roman"/>
          <w:sz w:val="24"/>
          <w:szCs w:val="24"/>
        </w:rPr>
        <w:t xml:space="preserve">conclusive </w:t>
      </w:r>
      <w:r w:rsidR="00A16508" w:rsidRPr="00626A06">
        <w:rPr>
          <w:rFonts w:ascii="Times New Roman" w:hAnsi="Times New Roman" w:cs="Times New Roman"/>
          <w:sz w:val="24"/>
          <w:szCs w:val="24"/>
        </w:rPr>
        <w:t>evidence that neither the Law Revision Committee, nor Lord Simon, shared this</w:t>
      </w:r>
      <w:r w:rsidR="00FB2C47" w:rsidRPr="00626A06">
        <w:rPr>
          <w:rFonts w:ascii="Times New Roman" w:hAnsi="Times New Roman" w:cs="Times New Roman"/>
          <w:sz w:val="24"/>
          <w:szCs w:val="24"/>
        </w:rPr>
        <w:t xml:space="preserve"> view</w:t>
      </w:r>
      <w:r w:rsidR="00A16508" w:rsidRPr="00626A06">
        <w:rPr>
          <w:rFonts w:ascii="Times New Roman" w:hAnsi="Times New Roman" w:cs="Times New Roman"/>
          <w:sz w:val="24"/>
          <w:szCs w:val="24"/>
        </w:rPr>
        <w:t>.</w:t>
      </w:r>
      <w:r w:rsidR="00A16508" w:rsidRPr="00626A06">
        <w:rPr>
          <w:rStyle w:val="FootnoteReference"/>
          <w:rFonts w:ascii="Times New Roman" w:hAnsi="Times New Roman" w:cs="Times New Roman"/>
          <w:sz w:val="24"/>
          <w:szCs w:val="24"/>
        </w:rPr>
        <w:footnoteReference w:id="46"/>
      </w:r>
      <w:r w:rsidR="00A16508" w:rsidRPr="00626A06">
        <w:rPr>
          <w:rFonts w:ascii="Times New Roman" w:hAnsi="Times New Roman" w:cs="Times New Roman"/>
          <w:sz w:val="24"/>
          <w:szCs w:val="24"/>
        </w:rPr>
        <w:t xml:space="preserve"> </w:t>
      </w:r>
      <w:r w:rsidR="000D7E77" w:rsidRPr="00626A06">
        <w:rPr>
          <w:rFonts w:ascii="Times New Roman" w:hAnsi="Times New Roman" w:cs="Times New Roman"/>
          <w:sz w:val="24"/>
          <w:szCs w:val="24"/>
        </w:rPr>
        <w:t>But this is not always the</w:t>
      </w:r>
      <w:r w:rsidR="007708D9" w:rsidRPr="00626A06">
        <w:rPr>
          <w:rFonts w:ascii="Times New Roman" w:hAnsi="Times New Roman" w:cs="Times New Roman"/>
          <w:sz w:val="24"/>
          <w:szCs w:val="24"/>
        </w:rPr>
        <w:t xml:space="preserve"> approach taken</w:t>
      </w:r>
      <w:r w:rsidR="000D7E77" w:rsidRPr="00626A06">
        <w:rPr>
          <w:rFonts w:ascii="Times New Roman" w:hAnsi="Times New Roman" w:cs="Times New Roman"/>
          <w:sz w:val="24"/>
          <w:szCs w:val="24"/>
        </w:rPr>
        <w:t xml:space="preserve">. </w:t>
      </w:r>
      <w:r w:rsidR="00E04694" w:rsidRPr="00626A06">
        <w:rPr>
          <w:rFonts w:ascii="Times New Roman" w:hAnsi="Times New Roman" w:cs="Times New Roman"/>
          <w:sz w:val="24"/>
          <w:szCs w:val="24"/>
        </w:rPr>
        <w:t>Reduction of damages</w:t>
      </w:r>
      <w:r w:rsidR="002D2DCC" w:rsidRPr="00626A06">
        <w:rPr>
          <w:rFonts w:ascii="Times New Roman" w:hAnsi="Times New Roman" w:cs="Times New Roman"/>
          <w:sz w:val="24"/>
          <w:szCs w:val="24"/>
        </w:rPr>
        <w:t xml:space="preserve"> </w:t>
      </w:r>
      <w:r w:rsidR="00192FB1" w:rsidRPr="00626A06">
        <w:rPr>
          <w:rFonts w:ascii="Times New Roman" w:hAnsi="Times New Roman" w:cs="Times New Roman"/>
          <w:sz w:val="24"/>
          <w:szCs w:val="24"/>
        </w:rPr>
        <w:t>frequently</w:t>
      </w:r>
      <w:r w:rsidR="002D2DCC" w:rsidRPr="00626A06">
        <w:rPr>
          <w:rFonts w:ascii="Times New Roman" w:hAnsi="Times New Roman" w:cs="Times New Roman"/>
          <w:sz w:val="24"/>
          <w:szCs w:val="24"/>
        </w:rPr>
        <w:t xml:space="preserve"> appears fair; and sometimes it provides a useful compromise position. But at other times it is still avoided, rather as the old total defence was avoided</w:t>
      </w:r>
      <w:r w:rsidR="001F1C54" w:rsidRPr="00626A06">
        <w:rPr>
          <w:rFonts w:ascii="Times New Roman" w:hAnsi="Times New Roman" w:cs="Times New Roman"/>
          <w:sz w:val="24"/>
          <w:szCs w:val="24"/>
        </w:rPr>
        <w:t>, though the available arguments have changed</w:t>
      </w:r>
      <w:r w:rsidR="002D2DCC" w:rsidRPr="00626A06">
        <w:rPr>
          <w:rFonts w:ascii="Times New Roman" w:hAnsi="Times New Roman" w:cs="Times New Roman"/>
          <w:sz w:val="24"/>
          <w:szCs w:val="24"/>
        </w:rPr>
        <w:t>.</w:t>
      </w:r>
    </w:p>
    <w:p w:rsidR="002D2DCC" w:rsidRPr="00626A06" w:rsidRDefault="002D2DCC" w:rsidP="00626A06">
      <w:pPr>
        <w:spacing w:line="360" w:lineRule="auto"/>
        <w:jc w:val="both"/>
        <w:rPr>
          <w:rFonts w:ascii="Times New Roman" w:hAnsi="Times New Roman" w:cs="Times New Roman"/>
          <w:sz w:val="24"/>
          <w:szCs w:val="24"/>
        </w:rPr>
      </w:pPr>
    </w:p>
    <w:p w:rsidR="00856E88" w:rsidRPr="0069174C" w:rsidRDefault="0069174C" w:rsidP="0069174C">
      <w:pPr>
        <w:spacing w:line="360" w:lineRule="auto"/>
        <w:jc w:val="both"/>
        <w:rPr>
          <w:rFonts w:ascii="Times New Roman" w:hAnsi="Times New Roman" w:cs="Times New Roman"/>
          <w:b/>
          <w:sz w:val="28"/>
          <w:szCs w:val="28"/>
        </w:rPr>
      </w:pPr>
      <w:r w:rsidRPr="0069174C">
        <w:rPr>
          <w:rFonts w:ascii="Times New Roman" w:hAnsi="Times New Roman" w:cs="Times New Roman"/>
          <w:b/>
          <w:sz w:val="28"/>
          <w:szCs w:val="28"/>
        </w:rPr>
        <w:t xml:space="preserve">V. </w:t>
      </w:r>
      <w:r w:rsidR="00856E88" w:rsidRPr="0069174C">
        <w:rPr>
          <w:rFonts w:ascii="Times New Roman" w:hAnsi="Times New Roman" w:cs="Times New Roman"/>
          <w:b/>
          <w:sz w:val="28"/>
          <w:szCs w:val="28"/>
        </w:rPr>
        <w:t>Origins: the Law Revision Committee</w:t>
      </w:r>
    </w:p>
    <w:p w:rsidR="00240F6E" w:rsidRPr="00626A06" w:rsidRDefault="00B12C5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As we have seen, t</w:t>
      </w:r>
      <w:r w:rsidR="00C209DF" w:rsidRPr="00626A06">
        <w:rPr>
          <w:rFonts w:ascii="Times New Roman" w:hAnsi="Times New Roman" w:cs="Times New Roman"/>
          <w:sz w:val="24"/>
          <w:szCs w:val="24"/>
        </w:rPr>
        <w:t xml:space="preserve">he 1945 Act was part of a sequence of reforms </w:t>
      </w:r>
      <w:r w:rsidR="008C110C" w:rsidRPr="00626A06">
        <w:rPr>
          <w:rFonts w:ascii="Times New Roman" w:hAnsi="Times New Roman" w:cs="Times New Roman"/>
          <w:sz w:val="24"/>
          <w:szCs w:val="24"/>
        </w:rPr>
        <w:t>origin</w:t>
      </w:r>
      <w:r w:rsidR="00C209DF" w:rsidRPr="00626A06">
        <w:rPr>
          <w:rFonts w:ascii="Times New Roman" w:hAnsi="Times New Roman" w:cs="Times New Roman"/>
          <w:sz w:val="24"/>
          <w:szCs w:val="24"/>
        </w:rPr>
        <w:t xml:space="preserve">ating in </w:t>
      </w:r>
      <w:r w:rsidR="00E11B78" w:rsidRPr="00626A06">
        <w:rPr>
          <w:rFonts w:ascii="Times New Roman" w:hAnsi="Times New Roman" w:cs="Times New Roman"/>
          <w:sz w:val="24"/>
          <w:szCs w:val="24"/>
        </w:rPr>
        <w:t>pre-War r</w:t>
      </w:r>
      <w:r w:rsidR="00C209DF" w:rsidRPr="00626A06">
        <w:rPr>
          <w:rFonts w:ascii="Times New Roman" w:hAnsi="Times New Roman" w:cs="Times New Roman"/>
          <w:sz w:val="24"/>
          <w:szCs w:val="24"/>
        </w:rPr>
        <w:t xml:space="preserve">eports </w:t>
      </w:r>
      <w:r w:rsidR="008C110C" w:rsidRPr="00626A06">
        <w:rPr>
          <w:rFonts w:ascii="Times New Roman" w:hAnsi="Times New Roman" w:cs="Times New Roman"/>
          <w:sz w:val="24"/>
          <w:szCs w:val="24"/>
        </w:rPr>
        <w:t>of the Law Revision Committee</w:t>
      </w:r>
      <w:r w:rsidR="00C209DF" w:rsidRPr="00626A06">
        <w:rPr>
          <w:rFonts w:ascii="Times New Roman" w:hAnsi="Times New Roman" w:cs="Times New Roman"/>
          <w:sz w:val="24"/>
          <w:szCs w:val="24"/>
        </w:rPr>
        <w:t>.</w:t>
      </w:r>
      <w:r w:rsidR="00E61BAE" w:rsidRPr="00626A06">
        <w:rPr>
          <w:rFonts w:ascii="Times New Roman" w:hAnsi="Times New Roman" w:cs="Times New Roman"/>
          <w:sz w:val="24"/>
          <w:szCs w:val="24"/>
          <w:vertAlign w:val="superscript"/>
        </w:rPr>
        <w:t xml:space="preserve"> </w:t>
      </w:r>
      <w:r w:rsidR="00E61BAE" w:rsidRPr="00626A06">
        <w:rPr>
          <w:rFonts w:ascii="Times New Roman" w:hAnsi="Times New Roman" w:cs="Times New Roman"/>
          <w:sz w:val="24"/>
          <w:szCs w:val="24"/>
          <w:vertAlign w:val="superscript"/>
        </w:rPr>
        <w:footnoteReference w:id="47"/>
      </w:r>
      <w:r w:rsidR="000101EE" w:rsidRPr="00626A06">
        <w:rPr>
          <w:rFonts w:ascii="Times New Roman" w:hAnsi="Times New Roman" w:cs="Times New Roman"/>
          <w:sz w:val="24"/>
          <w:szCs w:val="24"/>
        </w:rPr>
        <w:t xml:space="preserve"> This was</w:t>
      </w:r>
      <w:r w:rsidR="008C110C" w:rsidRPr="00626A06">
        <w:rPr>
          <w:rFonts w:ascii="Times New Roman" w:hAnsi="Times New Roman" w:cs="Times New Roman"/>
          <w:sz w:val="24"/>
          <w:szCs w:val="24"/>
        </w:rPr>
        <w:t xml:space="preserve"> </w:t>
      </w:r>
      <w:r w:rsidR="00D83F9D" w:rsidRPr="00626A06">
        <w:rPr>
          <w:rFonts w:ascii="Times New Roman" w:hAnsi="Times New Roman" w:cs="Times New Roman"/>
          <w:sz w:val="24"/>
          <w:szCs w:val="24"/>
        </w:rPr>
        <w:t xml:space="preserve">quintessentially </w:t>
      </w:r>
      <w:r w:rsidR="00240F6E" w:rsidRPr="00626A06">
        <w:rPr>
          <w:rFonts w:ascii="Times New Roman" w:hAnsi="Times New Roman" w:cs="Times New Roman"/>
          <w:sz w:val="24"/>
          <w:szCs w:val="24"/>
        </w:rPr>
        <w:t xml:space="preserve">a </w:t>
      </w:r>
      <w:r w:rsidR="008C110C" w:rsidRPr="00626A06">
        <w:rPr>
          <w:rFonts w:ascii="Times New Roman" w:hAnsi="Times New Roman" w:cs="Times New Roman"/>
          <w:sz w:val="24"/>
          <w:szCs w:val="24"/>
        </w:rPr>
        <w:t>Committee of lawyers</w:t>
      </w:r>
      <w:r w:rsidR="00240F6E" w:rsidRPr="00626A06">
        <w:rPr>
          <w:rFonts w:ascii="Times New Roman" w:hAnsi="Times New Roman" w:cs="Times New Roman"/>
          <w:sz w:val="24"/>
          <w:szCs w:val="24"/>
        </w:rPr>
        <w:t>. The Committee was</w:t>
      </w:r>
      <w:r w:rsidR="006A2064" w:rsidRPr="00626A06">
        <w:rPr>
          <w:rFonts w:ascii="Times New Roman" w:hAnsi="Times New Roman" w:cs="Times New Roman"/>
          <w:sz w:val="24"/>
          <w:szCs w:val="24"/>
        </w:rPr>
        <w:t xml:space="preserve"> formally</w:t>
      </w:r>
      <w:r w:rsidR="008C110C" w:rsidRPr="00626A06">
        <w:rPr>
          <w:rFonts w:ascii="Times New Roman" w:hAnsi="Times New Roman" w:cs="Times New Roman"/>
          <w:sz w:val="24"/>
          <w:szCs w:val="24"/>
        </w:rPr>
        <w:t xml:space="preserve"> </w:t>
      </w:r>
      <w:r w:rsidR="000101EE" w:rsidRPr="00626A06">
        <w:rPr>
          <w:rFonts w:ascii="Times New Roman" w:hAnsi="Times New Roman" w:cs="Times New Roman"/>
          <w:sz w:val="24"/>
          <w:szCs w:val="24"/>
        </w:rPr>
        <w:t xml:space="preserve">appointed </w:t>
      </w:r>
      <w:r w:rsidR="00771102" w:rsidRPr="00626A06">
        <w:rPr>
          <w:rFonts w:ascii="Times New Roman" w:hAnsi="Times New Roman" w:cs="Times New Roman"/>
          <w:sz w:val="24"/>
          <w:szCs w:val="24"/>
        </w:rPr>
        <w:t xml:space="preserve">in 1934 </w:t>
      </w:r>
      <w:r w:rsidR="000101EE" w:rsidRPr="00626A06">
        <w:rPr>
          <w:rFonts w:ascii="Times New Roman" w:hAnsi="Times New Roman" w:cs="Times New Roman"/>
          <w:sz w:val="24"/>
          <w:szCs w:val="24"/>
        </w:rPr>
        <w:t>by</w:t>
      </w:r>
      <w:r w:rsidR="00771102" w:rsidRPr="00626A06">
        <w:rPr>
          <w:rFonts w:ascii="Times New Roman" w:hAnsi="Times New Roman" w:cs="Times New Roman"/>
          <w:sz w:val="24"/>
          <w:szCs w:val="24"/>
        </w:rPr>
        <w:t xml:space="preserve"> the then</w:t>
      </w:r>
      <w:r w:rsidR="000101EE" w:rsidRPr="00626A06">
        <w:rPr>
          <w:rFonts w:ascii="Times New Roman" w:hAnsi="Times New Roman" w:cs="Times New Roman"/>
          <w:sz w:val="24"/>
          <w:szCs w:val="24"/>
        </w:rPr>
        <w:t xml:space="preserve"> </w:t>
      </w:r>
      <w:r w:rsidR="00240F6E" w:rsidRPr="00626A06">
        <w:rPr>
          <w:rFonts w:ascii="Times New Roman" w:hAnsi="Times New Roman" w:cs="Times New Roman"/>
          <w:sz w:val="24"/>
          <w:szCs w:val="24"/>
        </w:rPr>
        <w:t xml:space="preserve">Lord Chancellor </w:t>
      </w:r>
      <w:r w:rsidR="000101EE" w:rsidRPr="00626A06">
        <w:rPr>
          <w:rFonts w:ascii="Times New Roman" w:hAnsi="Times New Roman" w:cs="Times New Roman"/>
          <w:sz w:val="24"/>
          <w:szCs w:val="24"/>
        </w:rPr>
        <w:t xml:space="preserve">Viscount </w:t>
      </w:r>
      <w:proofErr w:type="spellStart"/>
      <w:r w:rsidR="000101EE" w:rsidRPr="00626A06">
        <w:rPr>
          <w:rFonts w:ascii="Times New Roman" w:hAnsi="Times New Roman" w:cs="Times New Roman"/>
          <w:sz w:val="24"/>
          <w:szCs w:val="24"/>
        </w:rPr>
        <w:t>Sankey</w:t>
      </w:r>
      <w:proofErr w:type="spellEnd"/>
      <w:r w:rsidR="000101EE" w:rsidRPr="00626A06">
        <w:rPr>
          <w:rFonts w:ascii="Times New Roman" w:hAnsi="Times New Roman" w:cs="Times New Roman"/>
          <w:sz w:val="24"/>
          <w:szCs w:val="24"/>
        </w:rPr>
        <w:t>,</w:t>
      </w:r>
      <w:r w:rsidR="00240F6E" w:rsidRPr="00626A06">
        <w:rPr>
          <w:rFonts w:ascii="Times New Roman" w:hAnsi="Times New Roman" w:cs="Times New Roman"/>
          <w:sz w:val="24"/>
          <w:szCs w:val="24"/>
        </w:rPr>
        <w:t xml:space="preserve"> and it was the </w:t>
      </w:r>
      <w:r w:rsidR="00D83F9D" w:rsidRPr="00626A06">
        <w:rPr>
          <w:rFonts w:ascii="Times New Roman" w:hAnsi="Times New Roman" w:cs="Times New Roman"/>
          <w:sz w:val="24"/>
          <w:szCs w:val="24"/>
        </w:rPr>
        <w:t xml:space="preserve">successive </w:t>
      </w:r>
      <w:r w:rsidR="00240F6E" w:rsidRPr="00626A06">
        <w:rPr>
          <w:rFonts w:ascii="Times New Roman" w:hAnsi="Times New Roman" w:cs="Times New Roman"/>
          <w:sz w:val="24"/>
          <w:szCs w:val="24"/>
        </w:rPr>
        <w:t>Lord Chancellors who referred questions to the Committee. I</w:t>
      </w:r>
      <w:r w:rsidR="000101EE" w:rsidRPr="00626A06">
        <w:rPr>
          <w:rFonts w:ascii="Times New Roman" w:hAnsi="Times New Roman" w:cs="Times New Roman"/>
          <w:sz w:val="24"/>
          <w:szCs w:val="24"/>
        </w:rPr>
        <w:t xml:space="preserve">t appears </w:t>
      </w:r>
      <w:r w:rsidR="00B744F8" w:rsidRPr="00626A06">
        <w:rPr>
          <w:rFonts w:ascii="Times New Roman" w:hAnsi="Times New Roman" w:cs="Times New Roman"/>
          <w:sz w:val="24"/>
          <w:szCs w:val="24"/>
        </w:rPr>
        <w:t xml:space="preserve">from the available correspondence </w:t>
      </w:r>
      <w:r w:rsidR="00240F6E" w:rsidRPr="00626A06">
        <w:rPr>
          <w:rFonts w:ascii="Times New Roman" w:hAnsi="Times New Roman" w:cs="Times New Roman"/>
          <w:sz w:val="24"/>
          <w:szCs w:val="24"/>
        </w:rPr>
        <w:t xml:space="preserve">however </w:t>
      </w:r>
      <w:r w:rsidR="000101EE" w:rsidRPr="00626A06">
        <w:rPr>
          <w:rFonts w:ascii="Times New Roman" w:hAnsi="Times New Roman" w:cs="Times New Roman"/>
          <w:sz w:val="24"/>
          <w:szCs w:val="24"/>
        </w:rPr>
        <w:t xml:space="preserve">that the guiding spirit behind </w:t>
      </w:r>
      <w:r w:rsidR="00FD1291" w:rsidRPr="00626A06">
        <w:rPr>
          <w:rFonts w:ascii="Times New Roman" w:hAnsi="Times New Roman" w:cs="Times New Roman"/>
          <w:sz w:val="24"/>
          <w:szCs w:val="24"/>
        </w:rPr>
        <w:t xml:space="preserve">its </w:t>
      </w:r>
      <w:r w:rsidR="000101EE" w:rsidRPr="00626A06">
        <w:rPr>
          <w:rFonts w:ascii="Times New Roman" w:hAnsi="Times New Roman" w:cs="Times New Roman"/>
          <w:sz w:val="24"/>
          <w:szCs w:val="24"/>
        </w:rPr>
        <w:t xml:space="preserve">establishment was </w:t>
      </w:r>
      <w:r w:rsidR="00AB3F97" w:rsidRPr="00626A06">
        <w:rPr>
          <w:rFonts w:ascii="Times New Roman" w:hAnsi="Times New Roman" w:cs="Times New Roman"/>
          <w:sz w:val="24"/>
          <w:szCs w:val="24"/>
        </w:rPr>
        <w:t xml:space="preserve">Permanent Secretary </w:t>
      </w:r>
      <w:proofErr w:type="spellStart"/>
      <w:r w:rsidR="00240F6E" w:rsidRPr="00626A06">
        <w:rPr>
          <w:rFonts w:ascii="Times New Roman" w:hAnsi="Times New Roman" w:cs="Times New Roman"/>
          <w:sz w:val="24"/>
          <w:szCs w:val="24"/>
        </w:rPr>
        <w:t>Claud</w:t>
      </w:r>
      <w:proofErr w:type="spellEnd"/>
      <w:r w:rsidR="000101EE" w:rsidRPr="00626A06">
        <w:rPr>
          <w:rFonts w:ascii="Times New Roman" w:hAnsi="Times New Roman" w:cs="Times New Roman"/>
          <w:sz w:val="24"/>
          <w:szCs w:val="24"/>
        </w:rPr>
        <w:t xml:space="preserve"> Schuster</w:t>
      </w:r>
      <w:r w:rsidR="006A2064" w:rsidRPr="00626A06">
        <w:rPr>
          <w:rFonts w:ascii="Times New Roman" w:hAnsi="Times New Roman" w:cs="Times New Roman"/>
          <w:sz w:val="24"/>
          <w:szCs w:val="24"/>
        </w:rPr>
        <w:t>.</w:t>
      </w:r>
      <w:r w:rsidR="00AB3F97" w:rsidRPr="00626A06">
        <w:rPr>
          <w:rStyle w:val="FootnoteReference"/>
          <w:rFonts w:ascii="Times New Roman" w:hAnsi="Times New Roman" w:cs="Times New Roman"/>
          <w:sz w:val="24"/>
          <w:szCs w:val="24"/>
        </w:rPr>
        <w:footnoteReference w:id="48"/>
      </w:r>
      <w:r w:rsidR="006A2064" w:rsidRPr="00626A06">
        <w:rPr>
          <w:rFonts w:ascii="Times New Roman" w:hAnsi="Times New Roman" w:cs="Times New Roman"/>
          <w:sz w:val="24"/>
          <w:szCs w:val="24"/>
        </w:rPr>
        <w:t xml:space="preserve"> Schuster </w:t>
      </w:r>
      <w:r w:rsidR="00A6399E" w:rsidRPr="00626A06">
        <w:rPr>
          <w:rFonts w:ascii="Times New Roman" w:hAnsi="Times New Roman" w:cs="Times New Roman"/>
          <w:sz w:val="24"/>
          <w:szCs w:val="24"/>
        </w:rPr>
        <w:t xml:space="preserve">seems to have been inspired by a </w:t>
      </w:r>
      <w:r w:rsidR="00082A87" w:rsidRPr="00626A06">
        <w:rPr>
          <w:rFonts w:ascii="Times New Roman" w:hAnsi="Times New Roman" w:cs="Times New Roman"/>
          <w:sz w:val="24"/>
          <w:szCs w:val="24"/>
        </w:rPr>
        <w:t xml:space="preserve">debate </w:t>
      </w:r>
      <w:r w:rsidR="00A6399E" w:rsidRPr="00626A06">
        <w:rPr>
          <w:rFonts w:ascii="Times New Roman" w:hAnsi="Times New Roman" w:cs="Times New Roman"/>
          <w:sz w:val="24"/>
          <w:szCs w:val="24"/>
        </w:rPr>
        <w:t>in the House of Commons to propose</w:t>
      </w:r>
      <w:r w:rsidR="00240F6E" w:rsidRPr="00626A06">
        <w:rPr>
          <w:rFonts w:ascii="Times New Roman" w:hAnsi="Times New Roman" w:cs="Times New Roman"/>
          <w:sz w:val="24"/>
          <w:szCs w:val="24"/>
        </w:rPr>
        <w:t xml:space="preserve"> to the Lord Chancellor that such a </w:t>
      </w:r>
      <w:r w:rsidR="00240F6E" w:rsidRPr="00626A06">
        <w:rPr>
          <w:rFonts w:ascii="Times New Roman" w:hAnsi="Times New Roman" w:cs="Times New Roman"/>
          <w:sz w:val="24"/>
          <w:szCs w:val="24"/>
        </w:rPr>
        <w:lastRenderedPageBreak/>
        <w:t xml:space="preserve">Committee should exist, also </w:t>
      </w:r>
      <w:r w:rsidR="00D83F9D" w:rsidRPr="00626A06">
        <w:rPr>
          <w:rFonts w:ascii="Times New Roman" w:hAnsi="Times New Roman" w:cs="Times New Roman"/>
          <w:sz w:val="24"/>
          <w:szCs w:val="24"/>
        </w:rPr>
        <w:t xml:space="preserve">strongly </w:t>
      </w:r>
      <w:r w:rsidR="00240F6E" w:rsidRPr="00626A06">
        <w:rPr>
          <w:rFonts w:ascii="Times New Roman" w:hAnsi="Times New Roman" w:cs="Times New Roman"/>
          <w:sz w:val="24"/>
          <w:szCs w:val="24"/>
        </w:rPr>
        <w:t xml:space="preserve">influencing its composition and the questions </w:t>
      </w:r>
      <w:r w:rsidR="00D83F9D" w:rsidRPr="00626A06">
        <w:rPr>
          <w:rFonts w:ascii="Times New Roman" w:hAnsi="Times New Roman" w:cs="Times New Roman"/>
          <w:sz w:val="24"/>
          <w:szCs w:val="24"/>
        </w:rPr>
        <w:t xml:space="preserve">with which </w:t>
      </w:r>
      <w:r w:rsidR="00240F6E" w:rsidRPr="00626A06">
        <w:rPr>
          <w:rFonts w:ascii="Times New Roman" w:hAnsi="Times New Roman" w:cs="Times New Roman"/>
          <w:sz w:val="24"/>
          <w:szCs w:val="24"/>
        </w:rPr>
        <w:t>it would initially be asked to de</w:t>
      </w:r>
      <w:r w:rsidR="00D83F9D" w:rsidRPr="00626A06">
        <w:rPr>
          <w:rFonts w:ascii="Times New Roman" w:hAnsi="Times New Roman" w:cs="Times New Roman"/>
          <w:sz w:val="24"/>
          <w:szCs w:val="24"/>
        </w:rPr>
        <w:t>al</w:t>
      </w:r>
      <w:r w:rsidR="000101EE" w:rsidRPr="00626A06">
        <w:rPr>
          <w:rFonts w:ascii="Times New Roman" w:hAnsi="Times New Roman" w:cs="Times New Roman"/>
          <w:sz w:val="24"/>
          <w:szCs w:val="24"/>
        </w:rPr>
        <w:t>.</w:t>
      </w:r>
      <w:bookmarkStart w:id="16" w:name="_Ref319267945"/>
      <w:r w:rsidR="000101EE" w:rsidRPr="00626A06">
        <w:rPr>
          <w:rStyle w:val="FootnoteReference"/>
          <w:rFonts w:ascii="Times New Roman" w:hAnsi="Times New Roman" w:cs="Times New Roman"/>
          <w:sz w:val="24"/>
          <w:szCs w:val="24"/>
        </w:rPr>
        <w:footnoteReference w:id="49"/>
      </w:r>
      <w:bookmarkEnd w:id="16"/>
      <w:r w:rsidR="000101EE" w:rsidRPr="00626A06">
        <w:rPr>
          <w:rFonts w:ascii="Times New Roman" w:hAnsi="Times New Roman" w:cs="Times New Roman"/>
          <w:sz w:val="24"/>
          <w:szCs w:val="24"/>
        </w:rPr>
        <w:t xml:space="preserve"> </w:t>
      </w:r>
    </w:p>
    <w:p w:rsidR="00616560" w:rsidRPr="00626A06" w:rsidRDefault="000101EE"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w:t>
      </w:r>
      <w:r w:rsidR="009340C0" w:rsidRPr="00626A06">
        <w:rPr>
          <w:rFonts w:ascii="Times New Roman" w:hAnsi="Times New Roman" w:cs="Times New Roman"/>
          <w:sz w:val="24"/>
          <w:szCs w:val="24"/>
        </w:rPr>
        <w:t xml:space="preserve">Committee </w:t>
      </w:r>
      <w:r w:rsidR="008C110C" w:rsidRPr="00626A06">
        <w:rPr>
          <w:rFonts w:ascii="Times New Roman" w:hAnsi="Times New Roman" w:cs="Times New Roman"/>
          <w:sz w:val="24"/>
          <w:szCs w:val="24"/>
        </w:rPr>
        <w:t>achieved</w:t>
      </w:r>
      <w:r w:rsidR="00E11B78" w:rsidRPr="00626A06">
        <w:rPr>
          <w:rFonts w:ascii="Times New Roman" w:hAnsi="Times New Roman" w:cs="Times New Roman"/>
          <w:sz w:val="24"/>
          <w:szCs w:val="24"/>
        </w:rPr>
        <w:t xml:space="preserve"> significant </w:t>
      </w:r>
      <w:r w:rsidR="008C110C" w:rsidRPr="00626A06">
        <w:rPr>
          <w:rFonts w:ascii="Times New Roman" w:hAnsi="Times New Roman" w:cs="Times New Roman"/>
          <w:sz w:val="24"/>
          <w:szCs w:val="24"/>
        </w:rPr>
        <w:t xml:space="preserve">reforms of civil liability during the 1930s </w:t>
      </w:r>
      <w:r w:rsidR="00DA09F4" w:rsidRPr="00626A06">
        <w:rPr>
          <w:rFonts w:ascii="Times New Roman" w:hAnsi="Times New Roman" w:cs="Times New Roman"/>
          <w:sz w:val="24"/>
          <w:szCs w:val="24"/>
        </w:rPr>
        <w:t>and 40s</w:t>
      </w:r>
      <w:r w:rsidR="00E11B78" w:rsidRPr="00626A06">
        <w:rPr>
          <w:rFonts w:ascii="Times New Roman" w:hAnsi="Times New Roman" w:cs="Times New Roman"/>
          <w:sz w:val="24"/>
          <w:szCs w:val="24"/>
        </w:rPr>
        <w:t xml:space="preserve">. Indeed </w:t>
      </w:r>
      <w:r w:rsidR="009340C0" w:rsidRPr="00626A06">
        <w:rPr>
          <w:rFonts w:ascii="Times New Roman" w:hAnsi="Times New Roman" w:cs="Times New Roman"/>
          <w:sz w:val="24"/>
          <w:szCs w:val="24"/>
        </w:rPr>
        <w:t xml:space="preserve">its </w:t>
      </w:r>
      <w:r w:rsidR="008C110C" w:rsidRPr="00626A06">
        <w:rPr>
          <w:rFonts w:ascii="Times New Roman" w:hAnsi="Times New Roman" w:cs="Times New Roman"/>
          <w:sz w:val="24"/>
          <w:szCs w:val="24"/>
        </w:rPr>
        <w:t xml:space="preserve">influence </w:t>
      </w:r>
      <w:r w:rsidR="009340C0" w:rsidRPr="00626A06">
        <w:rPr>
          <w:rFonts w:ascii="Times New Roman" w:hAnsi="Times New Roman" w:cs="Times New Roman"/>
          <w:sz w:val="24"/>
          <w:szCs w:val="24"/>
        </w:rPr>
        <w:t>o</w:t>
      </w:r>
      <w:r w:rsidR="00DA09F4" w:rsidRPr="00626A06">
        <w:rPr>
          <w:rFonts w:ascii="Times New Roman" w:hAnsi="Times New Roman" w:cs="Times New Roman"/>
          <w:sz w:val="24"/>
          <w:szCs w:val="24"/>
        </w:rPr>
        <w:t xml:space="preserve">n the shape of </w:t>
      </w:r>
      <w:r w:rsidR="00E61BAE" w:rsidRPr="00626A06">
        <w:rPr>
          <w:rFonts w:ascii="Times New Roman" w:hAnsi="Times New Roman" w:cs="Times New Roman"/>
          <w:sz w:val="24"/>
          <w:szCs w:val="24"/>
        </w:rPr>
        <w:t xml:space="preserve">civil liability </w:t>
      </w:r>
      <w:r w:rsidR="008C110C" w:rsidRPr="00626A06">
        <w:rPr>
          <w:rFonts w:ascii="Times New Roman" w:hAnsi="Times New Roman" w:cs="Times New Roman"/>
          <w:sz w:val="24"/>
          <w:szCs w:val="24"/>
        </w:rPr>
        <w:t xml:space="preserve">has </w:t>
      </w:r>
      <w:r w:rsidR="00E11B78" w:rsidRPr="00626A06">
        <w:rPr>
          <w:rFonts w:ascii="Times New Roman" w:hAnsi="Times New Roman" w:cs="Times New Roman"/>
          <w:sz w:val="24"/>
          <w:szCs w:val="24"/>
        </w:rPr>
        <w:t xml:space="preserve">arguably </w:t>
      </w:r>
      <w:r w:rsidR="008C110C" w:rsidRPr="00626A06">
        <w:rPr>
          <w:rFonts w:ascii="Times New Roman" w:hAnsi="Times New Roman" w:cs="Times New Roman"/>
          <w:sz w:val="24"/>
          <w:szCs w:val="24"/>
        </w:rPr>
        <w:t xml:space="preserve">not been </w:t>
      </w:r>
      <w:r w:rsidR="00E11B78" w:rsidRPr="00626A06">
        <w:rPr>
          <w:rFonts w:ascii="Times New Roman" w:hAnsi="Times New Roman" w:cs="Times New Roman"/>
          <w:sz w:val="24"/>
          <w:szCs w:val="24"/>
        </w:rPr>
        <w:t xml:space="preserve">sufficiently </w:t>
      </w:r>
      <w:r w:rsidR="008C110C" w:rsidRPr="00626A06">
        <w:rPr>
          <w:rFonts w:ascii="Times New Roman" w:hAnsi="Times New Roman" w:cs="Times New Roman"/>
          <w:sz w:val="24"/>
          <w:szCs w:val="24"/>
        </w:rPr>
        <w:t xml:space="preserve">appreciated. </w:t>
      </w:r>
      <w:r w:rsidR="00616560" w:rsidRPr="00626A06">
        <w:rPr>
          <w:rFonts w:ascii="Times New Roman" w:hAnsi="Times New Roman" w:cs="Times New Roman"/>
          <w:sz w:val="24"/>
          <w:szCs w:val="24"/>
        </w:rPr>
        <w:t xml:space="preserve">While the attention of common lawyers tends to be focused on </w:t>
      </w:r>
      <w:r w:rsidR="00616560" w:rsidRPr="00626A06">
        <w:rPr>
          <w:rFonts w:ascii="Times New Roman" w:hAnsi="Times New Roman" w:cs="Times New Roman"/>
          <w:i/>
          <w:sz w:val="24"/>
          <w:szCs w:val="24"/>
        </w:rPr>
        <w:t xml:space="preserve">Donoghue v Stevenson </w:t>
      </w:r>
      <w:r w:rsidR="00616560" w:rsidRPr="00626A06">
        <w:rPr>
          <w:rFonts w:ascii="Times New Roman" w:hAnsi="Times New Roman" w:cs="Times New Roman"/>
          <w:sz w:val="24"/>
          <w:szCs w:val="24"/>
        </w:rPr>
        <w:t>as the key influence on the development of the law of tort during this period,</w:t>
      </w:r>
      <w:r w:rsidR="0072603D" w:rsidRPr="00626A06">
        <w:rPr>
          <w:rFonts w:ascii="Times New Roman" w:hAnsi="Times New Roman" w:cs="Times New Roman"/>
          <w:sz w:val="24"/>
          <w:szCs w:val="24"/>
          <w:vertAlign w:val="superscript"/>
        </w:rPr>
        <w:footnoteReference w:id="50"/>
      </w:r>
      <w:r w:rsidR="00616560" w:rsidRPr="00626A06">
        <w:rPr>
          <w:rFonts w:ascii="Times New Roman" w:hAnsi="Times New Roman" w:cs="Times New Roman"/>
          <w:sz w:val="24"/>
          <w:szCs w:val="24"/>
        </w:rPr>
        <w:t xml:space="preserve"> it is by no means clear that this case was more significant than the body of legislation which introduced the first provision for contribution between </w:t>
      </w:r>
      <w:proofErr w:type="spellStart"/>
      <w:r w:rsidR="00616560" w:rsidRPr="00626A06">
        <w:rPr>
          <w:rFonts w:ascii="Times New Roman" w:hAnsi="Times New Roman" w:cs="Times New Roman"/>
          <w:sz w:val="24"/>
          <w:szCs w:val="24"/>
        </w:rPr>
        <w:t>tortfe</w:t>
      </w:r>
      <w:r w:rsidR="008409E2" w:rsidRPr="00626A06">
        <w:rPr>
          <w:rFonts w:ascii="Times New Roman" w:hAnsi="Times New Roman" w:cs="Times New Roman"/>
          <w:sz w:val="24"/>
          <w:szCs w:val="24"/>
        </w:rPr>
        <w:t>asors</w:t>
      </w:r>
      <w:proofErr w:type="spellEnd"/>
      <w:r w:rsidR="00496379">
        <w:rPr>
          <w:rFonts w:ascii="Times New Roman" w:hAnsi="Times New Roman" w:cs="Times New Roman"/>
          <w:sz w:val="24"/>
          <w:szCs w:val="24"/>
        </w:rPr>
        <w:t>,</w:t>
      </w:r>
      <w:r w:rsidR="008409E2" w:rsidRPr="00626A06">
        <w:rPr>
          <w:rFonts w:ascii="Times New Roman" w:hAnsi="Times New Roman" w:cs="Times New Roman"/>
          <w:sz w:val="24"/>
          <w:szCs w:val="24"/>
        </w:rPr>
        <w:t xml:space="preserve"> the reduction</w:t>
      </w:r>
      <w:r w:rsidR="00616560" w:rsidRPr="00626A06">
        <w:rPr>
          <w:rFonts w:ascii="Times New Roman" w:hAnsi="Times New Roman" w:cs="Times New Roman"/>
          <w:sz w:val="24"/>
          <w:szCs w:val="24"/>
        </w:rPr>
        <w:t xml:space="preserve"> of damages </w:t>
      </w:r>
      <w:r w:rsidR="00DE45A1" w:rsidRPr="00626A06">
        <w:rPr>
          <w:rFonts w:ascii="Times New Roman" w:hAnsi="Times New Roman" w:cs="Times New Roman"/>
          <w:sz w:val="24"/>
          <w:szCs w:val="24"/>
        </w:rPr>
        <w:t xml:space="preserve">for </w:t>
      </w:r>
      <w:r w:rsidR="00616560" w:rsidRPr="00626A06">
        <w:rPr>
          <w:rFonts w:ascii="Times New Roman" w:hAnsi="Times New Roman" w:cs="Times New Roman"/>
          <w:sz w:val="24"/>
          <w:szCs w:val="24"/>
        </w:rPr>
        <w:t>contributory negligence</w:t>
      </w:r>
      <w:r w:rsidR="00496379">
        <w:rPr>
          <w:rFonts w:ascii="Times New Roman" w:hAnsi="Times New Roman" w:cs="Times New Roman"/>
          <w:sz w:val="24"/>
          <w:szCs w:val="24"/>
        </w:rPr>
        <w:t>,</w:t>
      </w:r>
      <w:r w:rsidR="00616560" w:rsidRPr="00626A06">
        <w:rPr>
          <w:rFonts w:ascii="Times New Roman" w:hAnsi="Times New Roman" w:cs="Times New Roman"/>
          <w:sz w:val="24"/>
          <w:szCs w:val="24"/>
        </w:rPr>
        <w:t xml:space="preserve"> and the survival of actions on the death of </w:t>
      </w:r>
      <w:proofErr w:type="spellStart"/>
      <w:r w:rsidR="00616560" w:rsidRPr="00626A06">
        <w:rPr>
          <w:rFonts w:ascii="Times New Roman" w:hAnsi="Times New Roman" w:cs="Times New Roman"/>
          <w:sz w:val="24"/>
          <w:szCs w:val="24"/>
        </w:rPr>
        <w:t>tortfeasors</w:t>
      </w:r>
      <w:proofErr w:type="spellEnd"/>
      <w:r w:rsidR="00616560" w:rsidRPr="00626A06">
        <w:rPr>
          <w:rFonts w:ascii="Times New Roman" w:hAnsi="Times New Roman" w:cs="Times New Roman"/>
          <w:sz w:val="24"/>
          <w:szCs w:val="24"/>
        </w:rPr>
        <w:t xml:space="preserve"> and claimants. This was in addition to reforms and intended reforms </w:t>
      </w:r>
      <w:r w:rsidR="00DF6023" w:rsidRPr="00626A06">
        <w:rPr>
          <w:rFonts w:ascii="Times New Roman" w:hAnsi="Times New Roman" w:cs="Times New Roman"/>
          <w:sz w:val="24"/>
          <w:szCs w:val="24"/>
        </w:rPr>
        <w:t>to the law of contract. While lawyers</w:t>
      </w:r>
      <w:r w:rsidR="00616560" w:rsidRPr="00626A06">
        <w:rPr>
          <w:rFonts w:ascii="Times New Roman" w:hAnsi="Times New Roman" w:cs="Times New Roman"/>
          <w:sz w:val="24"/>
          <w:szCs w:val="24"/>
        </w:rPr>
        <w:t xml:space="preserve"> are eager to find patterns in case</w:t>
      </w:r>
      <w:r w:rsidR="00192CE7">
        <w:rPr>
          <w:rFonts w:ascii="Times New Roman" w:hAnsi="Times New Roman" w:cs="Times New Roman"/>
          <w:sz w:val="24"/>
          <w:szCs w:val="24"/>
        </w:rPr>
        <w:t>-</w:t>
      </w:r>
      <w:r w:rsidR="00616560" w:rsidRPr="00626A06">
        <w:rPr>
          <w:rFonts w:ascii="Times New Roman" w:hAnsi="Times New Roman" w:cs="Times New Roman"/>
          <w:sz w:val="24"/>
          <w:szCs w:val="24"/>
        </w:rPr>
        <w:t xml:space="preserve">law, no attempt has been made to identify the common threads in these </w:t>
      </w:r>
      <w:r w:rsidR="0072603D" w:rsidRPr="00626A06">
        <w:rPr>
          <w:rFonts w:ascii="Times New Roman" w:hAnsi="Times New Roman" w:cs="Times New Roman"/>
          <w:sz w:val="24"/>
          <w:szCs w:val="24"/>
        </w:rPr>
        <w:t xml:space="preserve">statutory </w:t>
      </w:r>
      <w:r w:rsidR="00616560" w:rsidRPr="00626A06">
        <w:rPr>
          <w:rFonts w:ascii="Times New Roman" w:hAnsi="Times New Roman" w:cs="Times New Roman"/>
          <w:sz w:val="24"/>
          <w:szCs w:val="24"/>
        </w:rPr>
        <w:t xml:space="preserve">reforms, or their </w:t>
      </w:r>
      <w:r w:rsidR="0072603D" w:rsidRPr="00626A06">
        <w:rPr>
          <w:rFonts w:ascii="Times New Roman" w:hAnsi="Times New Roman" w:cs="Times New Roman"/>
          <w:sz w:val="24"/>
          <w:szCs w:val="24"/>
        </w:rPr>
        <w:t xml:space="preserve">lasting </w:t>
      </w:r>
      <w:r w:rsidR="00B12C55" w:rsidRPr="00626A06">
        <w:rPr>
          <w:rFonts w:ascii="Times New Roman" w:hAnsi="Times New Roman" w:cs="Times New Roman"/>
          <w:sz w:val="24"/>
          <w:szCs w:val="24"/>
        </w:rPr>
        <w:t>influence. I</w:t>
      </w:r>
      <w:r w:rsidR="00616560" w:rsidRPr="00626A06">
        <w:rPr>
          <w:rFonts w:ascii="Times New Roman" w:hAnsi="Times New Roman" w:cs="Times New Roman"/>
          <w:sz w:val="24"/>
          <w:szCs w:val="24"/>
        </w:rPr>
        <w:t>t is significant that these reforms have in common an approach to the sharing of responsibility and division of liability and/or damages</w:t>
      </w:r>
      <w:r w:rsidR="008F5A41" w:rsidRPr="00626A06">
        <w:rPr>
          <w:rFonts w:ascii="Times New Roman" w:hAnsi="Times New Roman" w:cs="Times New Roman"/>
          <w:sz w:val="24"/>
          <w:szCs w:val="24"/>
        </w:rPr>
        <w:t xml:space="preserve">, and </w:t>
      </w:r>
      <w:r w:rsidR="00082A87" w:rsidRPr="00626A06">
        <w:rPr>
          <w:rFonts w:ascii="Times New Roman" w:hAnsi="Times New Roman" w:cs="Times New Roman"/>
          <w:sz w:val="24"/>
          <w:szCs w:val="24"/>
        </w:rPr>
        <w:t xml:space="preserve">a </w:t>
      </w:r>
      <w:r w:rsidR="008F5A41" w:rsidRPr="00626A06">
        <w:rPr>
          <w:rFonts w:ascii="Times New Roman" w:hAnsi="Times New Roman" w:cs="Times New Roman"/>
          <w:sz w:val="24"/>
          <w:szCs w:val="24"/>
        </w:rPr>
        <w:t xml:space="preserve">pecuniary </w:t>
      </w:r>
      <w:r w:rsidR="00A20F35" w:rsidRPr="00626A06">
        <w:rPr>
          <w:rFonts w:ascii="Times New Roman" w:hAnsi="Times New Roman" w:cs="Times New Roman"/>
          <w:sz w:val="24"/>
          <w:szCs w:val="24"/>
        </w:rPr>
        <w:t>interpretation</w:t>
      </w:r>
      <w:r w:rsidR="008F5A41" w:rsidRPr="00626A06">
        <w:rPr>
          <w:rFonts w:ascii="Times New Roman" w:hAnsi="Times New Roman" w:cs="Times New Roman"/>
          <w:sz w:val="24"/>
          <w:szCs w:val="24"/>
        </w:rPr>
        <w:t xml:space="preserve"> of harm. They </w:t>
      </w:r>
      <w:r w:rsidR="00DB5CE0" w:rsidRPr="00626A06">
        <w:rPr>
          <w:rFonts w:ascii="Times New Roman" w:hAnsi="Times New Roman" w:cs="Times New Roman"/>
          <w:sz w:val="24"/>
          <w:szCs w:val="24"/>
        </w:rPr>
        <w:t xml:space="preserve">apply a sense of fairness </w:t>
      </w:r>
      <w:r w:rsidR="008F5A41" w:rsidRPr="00626A06">
        <w:rPr>
          <w:rFonts w:ascii="Times New Roman" w:hAnsi="Times New Roman" w:cs="Times New Roman"/>
          <w:sz w:val="24"/>
          <w:szCs w:val="24"/>
        </w:rPr>
        <w:t>to the law of tort, and particularly the law of damages</w:t>
      </w:r>
      <w:r w:rsidR="00DB5CE0" w:rsidRPr="00626A06">
        <w:rPr>
          <w:rFonts w:ascii="Times New Roman" w:hAnsi="Times New Roman" w:cs="Times New Roman"/>
          <w:sz w:val="24"/>
          <w:szCs w:val="24"/>
        </w:rPr>
        <w:t>, which was strongly influenced by commercial practice</w:t>
      </w:r>
      <w:r w:rsidR="008F5A41" w:rsidRPr="00626A06">
        <w:rPr>
          <w:rFonts w:ascii="Times New Roman" w:hAnsi="Times New Roman" w:cs="Times New Roman"/>
          <w:sz w:val="24"/>
          <w:szCs w:val="24"/>
        </w:rPr>
        <w:t>.</w:t>
      </w:r>
      <w:r w:rsidR="00880255" w:rsidRPr="00626A06">
        <w:rPr>
          <w:rStyle w:val="FootnoteReference"/>
          <w:rFonts w:ascii="Times New Roman" w:hAnsi="Times New Roman" w:cs="Times New Roman"/>
          <w:sz w:val="24"/>
          <w:szCs w:val="24"/>
        </w:rPr>
        <w:footnoteReference w:id="51"/>
      </w:r>
      <w:r w:rsidR="00082A87" w:rsidRPr="00626A06">
        <w:rPr>
          <w:rFonts w:ascii="Times New Roman" w:hAnsi="Times New Roman" w:cs="Times New Roman"/>
          <w:sz w:val="24"/>
          <w:szCs w:val="24"/>
        </w:rPr>
        <w:t xml:space="preserve"> </w:t>
      </w:r>
      <w:r w:rsidR="00030907" w:rsidRPr="00626A06">
        <w:rPr>
          <w:rFonts w:ascii="Times New Roman" w:hAnsi="Times New Roman" w:cs="Times New Roman"/>
          <w:sz w:val="24"/>
          <w:szCs w:val="24"/>
        </w:rPr>
        <w:t>Commercial fairness is apt to produce legal rules around which parties will make their own arrangements</w:t>
      </w:r>
      <w:r w:rsidR="000A735B" w:rsidRPr="00626A06">
        <w:rPr>
          <w:rFonts w:ascii="Times New Roman" w:hAnsi="Times New Roman" w:cs="Times New Roman"/>
          <w:sz w:val="24"/>
          <w:szCs w:val="24"/>
        </w:rPr>
        <w:t xml:space="preserve">, and which may raise </w:t>
      </w:r>
      <w:r w:rsidR="005837F9" w:rsidRPr="00626A06">
        <w:rPr>
          <w:rFonts w:ascii="Times New Roman" w:hAnsi="Times New Roman" w:cs="Times New Roman"/>
          <w:sz w:val="24"/>
          <w:szCs w:val="24"/>
        </w:rPr>
        <w:t xml:space="preserve">distinct </w:t>
      </w:r>
      <w:r w:rsidR="000A735B" w:rsidRPr="00626A06">
        <w:rPr>
          <w:rFonts w:ascii="Times New Roman" w:hAnsi="Times New Roman" w:cs="Times New Roman"/>
          <w:sz w:val="24"/>
          <w:szCs w:val="24"/>
        </w:rPr>
        <w:t>implications for personal injury claimants</w:t>
      </w:r>
      <w:r w:rsidR="00A20F35" w:rsidRPr="00626A06">
        <w:rPr>
          <w:rFonts w:ascii="Times New Roman" w:hAnsi="Times New Roman" w:cs="Times New Roman"/>
          <w:sz w:val="24"/>
          <w:szCs w:val="24"/>
        </w:rPr>
        <w:t xml:space="preserve"> (rather as the law of contract </w:t>
      </w:r>
      <w:r w:rsidR="00C12A90" w:rsidRPr="00626A06">
        <w:rPr>
          <w:rFonts w:ascii="Times New Roman" w:hAnsi="Times New Roman" w:cs="Times New Roman"/>
          <w:sz w:val="24"/>
          <w:szCs w:val="24"/>
        </w:rPr>
        <w:t xml:space="preserve">may raise </w:t>
      </w:r>
      <w:r w:rsidR="009340C0" w:rsidRPr="00626A06">
        <w:rPr>
          <w:rFonts w:ascii="Times New Roman" w:hAnsi="Times New Roman" w:cs="Times New Roman"/>
          <w:sz w:val="24"/>
          <w:szCs w:val="24"/>
        </w:rPr>
        <w:t xml:space="preserve">particular </w:t>
      </w:r>
      <w:r w:rsidR="00A20F35" w:rsidRPr="00626A06">
        <w:rPr>
          <w:rFonts w:ascii="Times New Roman" w:hAnsi="Times New Roman" w:cs="Times New Roman"/>
          <w:sz w:val="24"/>
          <w:szCs w:val="24"/>
        </w:rPr>
        <w:t>issues for ‘consumers’)</w:t>
      </w:r>
      <w:r w:rsidR="00030907" w:rsidRPr="00626A06">
        <w:rPr>
          <w:rFonts w:ascii="Times New Roman" w:hAnsi="Times New Roman" w:cs="Times New Roman"/>
          <w:sz w:val="24"/>
          <w:szCs w:val="24"/>
        </w:rPr>
        <w:t xml:space="preserve">. </w:t>
      </w:r>
      <w:r w:rsidR="00B12C55" w:rsidRPr="00626A06">
        <w:rPr>
          <w:rFonts w:ascii="Times New Roman" w:hAnsi="Times New Roman" w:cs="Times New Roman"/>
          <w:sz w:val="24"/>
          <w:szCs w:val="24"/>
        </w:rPr>
        <w:t xml:space="preserve">This commercial context to personal injury law is not often noted, in much the same way that essential processes of indemnity and contribution are filtered out by legal theory. </w:t>
      </w:r>
      <w:r w:rsidR="00082A87" w:rsidRPr="00626A06">
        <w:rPr>
          <w:rFonts w:ascii="Times New Roman" w:hAnsi="Times New Roman" w:cs="Times New Roman"/>
          <w:sz w:val="24"/>
          <w:szCs w:val="24"/>
        </w:rPr>
        <w:t xml:space="preserve">It might also be noted that these </w:t>
      </w:r>
      <w:r w:rsidR="009211E4" w:rsidRPr="00626A06">
        <w:rPr>
          <w:rFonts w:ascii="Times New Roman" w:hAnsi="Times New Roman" w:cs="Times New Roman"/>
          <w:sz w:val="24"/>
          <w:szCs w:val="24"/>
        </w:rPr>
        <w:t xml:space="preserve">statutes </w:t>
      </w:r>
      <w:r w:rsidR="00082A87" w:rsidRPr="00626A06">
        <w:rPr>
          <w:rFonts w:ascii="Times New Roman" w:hAnsi="Times New Roman" w:cs="Times New Roman"/>
          <w:sz w:val="24"/>
          <w:szCs w:val="24"/>
        </w:rPr>
        <w:t xml:space="preserve">affect all negligence claims and much else </w:t>
      </w:r>
      <w:r w:rsidR="00082A87" w:rsidRPr="00626A06">
        <w:rPr>
          <w:rFonts w:ascii="Times New Roman" w:hAnsi="Times New Roman" w:cs="Times New Roman"/>
          <w:sz w:val="24"/>
          <w:szCs w:val="24"/>
        </w:rPr>
        <w:lastRenderedPageBreak/>
        <w:t xml:space="preserve">besides. Despite its famous generalisation, </w:t>
      </w:r>
      <w:r w:rsidR="00082A87" w:rsidRPr="00626A06">
        <w:rPr>
          <w:rFonts w:ascii="Times New Roman" w:hAnsi="Times New Roman" w:cs="Times New Roman"/>
          <w:i/>
          <w:sz w:val="24"/>
          <w:szCs w:val="24"/>
        </w:rPr>
        <w:t xml:space="preserve">Donoghue </w:t>
      </w:r>
      <w:r w:rsidR="00082A87" w:rsidRPr="00626A06">
        <w:rPr>
          <w:rFonts w:ascii="Times New Roman" w:hAnsi="Times New Roman" w:cs="Times New Roman"/>
          <w:sz w:val="24"/>
          <w:szCs w:val="24"/>
        </w:rPr>
        <w:t xml:space="preserve">could be argued not to have altered the key cases of road and work injuries. Even the important area of negligence around the margins of contractual duties might have developed </w:t>
      </w:r>
      <w:r w:rsidR="002D2DCC" w:rsidRPr="00626A06">
        <w:rPr>
          <w:rFonts w:ascii="Times New Roman" w:hAnsi="Times New Roman" w:cs="Times New Roman"/>
          <w:sz w:val="24"/>
          <w:szCs w:val="24"/>
        </w:rPr>
        <w:t xml:space="preserve">to a considerable extent </w:t>
      </w:r>
      <w:r w:rsidR="00082A87" w:rsidRPr="00626A06">
        <w:rPr>
          <w:rFonts w:ascii="Times New Roman" w:hAnsi="Times New Roman" w:cs="Times New Roman"/>
          <w:sz w:val="24"/>
          <w:szCs w:val="24"/>
        </w:rPr>
        <w:t>without the embellishment of the ‘neighbour principle’.</w:t>
      </w:r>
      <w:r w:rsidR="002D2DCC" w:rsidRPr="00626A06">
        <w:rPr>
          <w:rStyle w:val="FootnoteReference"/>
          <w:rFonts w:ascii="Times New Roman" w:hAnsi="Times New Roman" w:cs="Times New Roman"/>
          <w:sz w:val="24"/>
          <w:szCs w:val="24"/>
        </w:rPr>
        <w:footnoteReference w:id="52"/>
      </w:r>
      <w:r w:rsidR="00030907" w:rsidRPr="00626A06">
        <w:rPr>
          <w:rFonts w:ascii="Times New Roman" w:hAnsi="Times New Roman" w:cs="Times New Roman"/>
          <w:sz w:val="24"/>
          <w:szCs w:val="24"/>
        </w:rPr>
        <w:t xml:space="preserve"> In core personal injury cases, these reforms </w:t>
      </w:r>
      <w:r w:rsidR="00C12A90" w:rsidRPr="00626A06">
        <w:rPr>
          <w:rFonts w:ascii="Times New Roman" w:hAnsi="Times New Roman" w:cs="Times New Roman"/>
          <w:sz w:val="24"/>
          <w:szCs w:val="24"/>
        </w:rPr>
        <w:t xml:space="preserve">may </w:t>
      </w:r>
      <w:r w:rsidR="00030907" w:rsidRPr="00626A06">
        <w:rPr>
          <w:rFonts w:ascii="Times New Roman" w:hAnsi="Times New Roman" w:cs="Times New Roman"/>
          <w:sz w:val="24"/>
          <w:szCs w:val="24"/>
        </w:rPr>
        <w:t xml:space="preserve">have been more significant than </w:t>
      </w:r>
      <w:r w:rsidR="00030907" w:rsidRPr="00626A06">
        <w:rPr>
          <w:rFonts w:ascii="Times New Roman" w:hAnsi="Times New Roman" w:cs="Times New Roman"/>
          <w:i/>
          <w:sz w:val="24"/>
          <w:szCs w:val="24"/>
        </w:rPr>
        <w:t xml:space="preserve">Donoghue </w:t>
      </w:r>
      <w:r w:rsidR="00030907" w:rsidRPr="00626A06">
        <w:rPr>
          <w:rFonts w:ascii="Times New Roman" w:hAnsi="Times New Roman" w:cs="Times New Roman"/>
          <w:sz w:val="24"/>
          <w:szCs w:val="24"/>
        </w:rPr>
        <w:t>in shaping the law</w:t>
      </w:r>
      <w:r w:rsidR="00C12A90" w:rsidRPr="00626A06">
        <w:rPr>
          <w:rFonts w:ascii="Times New Roman" w:hAnsi="Times New Roman" w:cs="Times New Roman"/>
          <w:sz w:val="24"/>
          <w:szCs w:val="24"/>
        </w:rPr>
        <w:t xml:space="preserve">, although </w:t>
      </w:r>
      <w:r w:rsidR="00C12A90" w:rsidRPr="00626A06">
        <w:rPr>
          <w:rFonts w:ascii="Times New Roman" w:hAnsi="Times New Roman" w:cs="Times New Roman"/>
          <w:i/>
          <w:sz w:val="24"/>
          <w:szCs w:val="24"/>
        </w:rPr>
        <w:t xml:space="preserve">Donoghue </w:t>
      </w:r>
      <w:r w:rsidR="00C12A90" w:rsidRPr="00626A06">
        <w:rPr>
          <w:rFonts w:ascii="Times New Roman" w:hAnsi="Times New Roman" w:cs="Times New Roman"/>
          <w:sz w:val="24"/>
          <w:szCs w:val="24"/>
        </w:rPr>
        <w:t>too has undoubtedly had effects beyond those applicable to ‘duty’</w:t>
      </w:r>
      <w:r w:rsidR="00030907" w:rsidRPr="00626A06">
        <w:rPr>
          <w:rFonts w:ascii="Times New Roman" w:hAnsi="Times New Roman" w:cs="Times New Roman"/>
          <w:sz w:val="24"/>
          <w:szCs w:val="24"/>
        </w:rPr>
        <w:t>.</w:t>
      </w:r>
      <w:r w:rsidR="009340C0" w:rsidRPr="00626A06">
        <w:rPr>
          <w:rStyle w:val="FootnoteReference"/>
          <w:rFonts w:ascii="Times New Roman" w:hAnsi="Times New Roman" w:cs="Times New Roman"/>
          <w:sz w:val="24"/>
          <w:szCs w:val="24"/>
        </w:rPr>
        <w:footnoteReference w:id="53"/>
      </w:r>
    </w:p>
    <w:p w:rsidR="00732D3C" w:rsidRPr="00626A06" w:rsidRDefault="008C110C"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terms of reference of the Committee were explicitly linked to the reform of ‘legal </w:t>
      </w:r>
      <w:r w:rsidR="00DA09F4" w:rsidRPr="00626A06">
        <w:rPr>
          <w:rFonts w:ascii="Times New Roman" w:hAnsi="Times New Roman" w:cs="Times New Roman"/>
          <w:sz w:val="24"/>
          <w:szCs w:val="24"/>
        </w:rPr>
        <w:t xml:space="preserve">maxims and </w:t>
      </w:r>
      <w:r w:rsidRPr="00626A06">
        <w:rPr>
          <w:rFonts w:ascii="Times New Roman" w:hAnsi="Times New Roman" w:cs="Times New Roman"/>
          <w:sz w:val="24"/>
          <w:szCs w:val="24"/>
        </w:rPr>
        <w:t>doctrines’</w:t>
      </w:r>
      <w:r w:rsidR="00DA09F4" w:rsidRPr="00626A06">
        <w:rPr>
          <w:rFonts w:ascii="Times New Roman" w:hAnsi="Times New Roman" w:cs="Times New Roman"/>
          <w:sz w:val="24"/>
          <w:szCs w:val="24"/>
        </w:rPr>
        <w:t>.</w:t>
      </w:r>
      <w:r w:rsidR="00E11B78" w:rsidRPr="00626A06">
        <w:rPr>
          <w:rStyle w:val="FootnoteReference"/>
          <w:rFonts w:ascii="Times New Roman" w:hAnsi="Times New Roman" w:cs="Times New Roman"/>
          <w:sz w:val="24"/>
          <w:szCs w:val="24"/>
        </w:rPr>
        <w:footnoteReference w:id="54"/>
      </w:r>
      <w:r w:rsidR="00DA09F4" w:rsidRPr="00626A06">
        <w:rPr>
          <w:rFonts w:ascii="Times New Roman" w:hAnsi="Times New Roman" w:cs="Times New Roman"/>
          <w:sz w:val="24"/>
          <w:szCs w:val="24"/>
        </w:rPr>
        <w:t xml:space="preserve"> </w:t>
      </w:r>
      <w:r w:rsidR="005C3BC9" w:rsidRPr="00626A06">
        <w:rPr>
          <w:rFonts w:ascii="Times New Roman" w:hAnsi="Times New Roman" w:cs="Times New Roman"/>
          <w:sz w:val="24"/>
          <w:szCs w:val="24"/>
        </w:rPr>
        <w:t>T</w:t>
      </w:r>
      <w:r w:rsidR="00DA09F4" w:rsidRPr="00626A06">
        <w:rPr>
          <w:rFonts w:ascii="Times New Roman" w:hAnsi="Times New Roman" w:cs="Times New Roman"/>
          <w:sz w:val="24"/>
          <w:szCs w:val="24"/>
        </w:rPr>
        <w:t>he</w:t>
      </w:r>
      <w:r w:rsidR="0052740B" w:rsidRPr="00626A06">
        <w:rPr>
          <w:rFonts w:ascii="Times New Roman" w:hAnsi="Times New Roman" w:cs="Times New Roman"/>
          <w:sz w:val="24"/>
          <w:szCs w:val="24"/>
        </w:rPr>
        <w:t xml:space="preserve"> </w:t>
      </w:r>
      <w:r w:rsidR="007A1F70" w:rsidRPr="00626A06">
        <w:rPr>
          <w:rFonts w:ascii="Times New Roman" w:hAnsi="Times New Roman" w:cs="Times New Roman"/>
          <w:sz w:val="24"/>
          <w:szCs w:val="24"/>
        </w:rPr>
        <w:t xml:space="preserve">aim was not, as </w:t>
      </w:r>
      <w:proofErr w:type="spellStart"/>
      <w:r w:rsidR="007A1F70" w:rsidRPr="00626A06">
        <w:rPr>
          <w:rFonts w:ascii="Times New Roman" w:hAnsi="Times New Roman" w:cs="Times New Roman"/>
          <w:sz w:val="24"/>
          <w:szCs w:val="24"/>
        </w:rPr>
        <w:t>Claud</w:t>
      </w:r>
      <w:proofErr w:type="spellEnd"/>
      <w:r w:rsidRPr="00626A06">
        <w:rPr>
          <w:rFonts w:ascii="Times New Roman" w:hAnsi="Times New Roman" w:cs="Times New Roman"/>
          <w:sz w:val="24"/>
          <w:szCs w:val="24"/>
        </w:rPr>
        <w:t xml:space="preserve"> Schuster put it in a letter proposing the Committee </w:t>
      </w:r>
      <w:r w:rsidR="003405E8" w:rsidRPr="00626A06">
        <w:rPr>
          <w:rFonts w:ascii="Times New Roman" w:hAnsi="Times New Roman" w:cs="Times New Roman"/>
          <w:sz w:val="24"/>
          <w:szCs w:val="24"/>
        </w:rPr>
        <w:t>to the Master of the Rolls</w:t>
      </w:r>
      <w:r w:rsidRPr="00626A06">
        <w:rPr>
          <w:rFonts w:ascii="Times New Roman" w:hAnsi="Times New Roman" w:cs="Times New Roman"/>
          <w:sz w:val="24"/>
          <w:szCs w:val="24"/>
        </w:rPr>
        <w:t>, to deal with ‘</w:t>
      </w:r>
      <w:r w:rsidR="00CC11A6" w:rsidRPr="00626A06">
        <w:rPr>
          <w:rFonts w:ascii="Times New Roman" w:hAnsi="Times New Roman" w:cs="Times New Roman"/>
          <w:sz w:val="24"/>
          <w:szCs w:val="24"/>
        </w:rPr>
        <w:t>questions where any political issue arises’</w:t>
      </w:r>
      <w:r w:rsidRPr="00626A06">
        <w:rPr>
          <w:rFonts w:ascii="Times New Roman" w:hAnsi="Times New Roman" w:cs="Times New Roman"/>
          <w:sz w:val="24"/>
          <w:szCs w:val="24"/>
        </w:rPr>
        <w:t>.</w:t>
      </w:r>
      <w:r w:rsidR="00CC11A6" w:rsidRPr="00626A06">
        <w:rPr>
          <w:rStyle w:val="FootnoteReference"/>
          <w:rFonts w:ascii="Times New Roman" w:hAnsi="Times New Roman" w:cs="Times New Roman"/>
          <w:sz w:val="24"/>
          <w:szCs w:val="24"/>
        </w:rPr>
        <w:footnoteReference w:id="55"/>
      </w:r>
      <w:r w:rsidRPr="00626A06">
        <w:rPr>
          <w:rFonts w:ascii="Times New Roman" w:hAnsi="Times New Roman" w:cs="Times New Roman"/>
          <w:sz w:val="24"/>
          <w:szCs w:val="24"/>
        </w:rPr>
        <w:t xml:space="preserve"> </w:t>
      </w:r>
      <w:r w:rsidR="00240F6E" w:rsidRPr="00626A06">
        <w:rPr>
          <w:rFonts w:ascii="Times New Roman" w:hAnsi="Times New Roman" w:cs="Times New Roman"/>
          <w:sz w:val="24"/>
          <w:szCs w:val="24"/>
        </w:rPr>
        <w:t xml:space="preserve">This </w:t>
      </w:r>
      <w:r w:rsidR="0065546F" w:rsidRPr="00626A06">
        <w:rPr>
          <w:rFonts w:ascii="Times New Roman" w:hAnsi="Times New Roman" w:cs="Times New Roman"/>
          <w:sz w:val="24"/>
          <w:szCs w:val="24"/>
        </w:rPr>
        <w:t xml:space="preserve">division between legal and political questions </w:t>
      </w:r>
      <w:r w:rsidR="00240F6E" w:rsidRPr="00626A06">
        <w:rPr>
          <w:rFonts w:ascii="Times New Roman" w:hAnsi="Times New Roman" w:cs="Times New Roman"/>
          <w:sz w:val="24"/>
          <w:szCs w:val="24"/>
        </w:rPr>
        <w:t>may be thought to have been consciously aimed at improving the chances of reform</w:t>
      </w:r>
      <w:r w:rsidR="007A1F70" w:rsidRPr="00626A06">
        <w:rPr>
          <w:rFonts w:ascii="Times New Roman" w:hAnsi="Times New Roman" w:cs="Times New Roman"/>
          <w:sz w:val="24"/>
          <w:szCs w:val="24"/>
        </w:rPr>
        <w:t xml:space="preserve">, given Schuster’s expressed view </w:t>
      </w:r>
      <w:r w:rsidR="00CE1640" w:rsidRPr="00626A06">
        <w:rPr>
          <w:rFonts w:ascii="Times New Roman" w:hAnsi="Times New Roman" w:cs="Times New Roman"/>
          <w:sz w:val="24"/>
          <w:szCs w:val="24"/>
        </w:rPr>
        <w:t xml:space="preserve">about the Commons </w:t>
      </w:r>
      <w:r w:rsidR="007A1F70" w:rsidRPr="00626A06">
        <w:rPr>
          <w:rFonts w:ascii="Times New Roman" w:hAnsi="Times New Roman" w:cs="Times New Roman"/>
          <w:sz w:val="24"/>
          <w:szCs w:val="24"/>
        </w:rPr>
        <w:t>that ‘one tires of ploughing sand’</w:t>
      </w:r>
      <w:r w:rsidR="00240F6E" w:rsidRPr="00626A06">
        <w:rPr>
          <w:rFonts w:ascii="Times New Roman" w:hAnsi="Times New Roman" w:cs="Times New Roman"/>
          <w:sz w:val="24"/>
          <w:szCs w:val="24"/>
        </w:rPr>
        <w:t>.</w:t>
      </w:r>
      <w:r w:rsidR="007A1F70" w:rsidRPr="00626A06">
        <w:rPr>
          <w:rStyle w:val="FootnoteReference"/>
          <w:rFonts w:ascii="Times New Roman" w:hAnsi="Times New Roman" w:cs="Times New Roman"/>
          <w:sz w:val="24"/>
          <w:szCs w:val="24"/>
        </w:rPr>
        <w:footnoteReference w:id="56"/>
      </w:r>
      <w:r w:rsidR="00240F6E" w:rsidRPr="00626A06">
        <w:rPr>
          <w:rFonts w:ascii="Times New Roman" w:hAnsi="Times New Roman" w:cs="Times New Roman"/>
          <w:sz w:val="24"/>
          <w:szCs w:val="24"/>
        </w:rPr>
        <w:t xml:space="preserve"> </w:t>
      </w:r>
      <w:r w:rsidR="00F74706" w:rsidRPr="00626A06">
        <w:rPr>
          <w:rFonts w:ascii="Times New Roman" w:hAnsi="Times New Roman" w:cs="Times New Roman"/>
          <w:sz w:val="24"/>
          <w:szCs w:val="24"/>
        </w:rPr>
        <w:t xml:space="preserve">Much of the Committee’s work </w:t>
      </w:r>
      <w:r w:rsidR="005C3BC9" w:rsidRPr="00626A06">
        <w:rPr>
          <w:rFonts w:ascii="Times New Roman" w:hAnsi="Times New Roman" w:cs="Times New Roman"/>
          <w:sz w:val="24"/>
          <w:szCs w:val="24"/>
        </w:rPr>
        <w:t>dealt</w:t>
      </w:r>
      <w:r w:rsidR="00732D3C" w:rsidRPr="00626A06">
        <w:rPr>
          <w:rFonts w:ascii="Times New Roman" w:hAnsi="Times New Roman" w:cs="Times New Roman"/>
          <w:sz w:val="24"/>
          <w:szCs w:val="24"/>
        </w:rPr>
        <w:t xml:space="preserve"> with issues where the common law had arrived at results</w:t>
      </w:r>
      <w:r w:rsidR="00677E16" w:rsidRPr="00626A06">
        <w:rPr>
          <w:rFonts w:ascii="Times New Roman" w:hAnsi="Times New Roman" w:cs="Times New Roman"/>
          <w:sz w:val="24"/>
          <w:szCs w:val="24"/>
        </w:rPr>
        <w:t xml:space="preserve"> </w:t>
      </w:r>
      <w:r w:rsidR="005753A2" w:rsidRPr="00626A06">
        <w:rPr>
          <w:rFonts w:ascii="Times New Roman" w:hAnsi="Times New Roman" w:cs="Times New Roman"/>
          <w:sz w:val="24"/>
          <w:szCs w:val="24"/>
        </w:rPr>
        <w:t xml:space="preserve">(‘doctrines’) </w:t>
      </w:r>
      <w:r w:rsidR="00677E16" w:rsidRPr="00626A06">
        <w:rPr>
          <w:rFonts w:ascii="Times New Roman" w:hAnsi="Times New Roman" w:cs="Times New Roman"/>
          <w:sz w:val="24"/>
          <w:szCs w:val="24"/>
        </w:rPr>
        <w:t>which the courts themselves considered unsatisfactory</w:t>
      </w:r>
      <w:r w:rsidR="00732D3C" w:rsidRPr="00626A06">
        <w:rPr>
          <w:rFonts w:ascii="Times New Roman" w:hAnsi="Times New Roman" w:cs="Times New Roman"/>
          <w:sz w:val="24"/>
          <w:szCs w:val="24"/>
        </w:rPr>
        <w:t xml:space="preserve">. </w:t>
      </w:r>
      <w:r w:rsidR="00E11B78" w:rsidRPr="00626A06">
        <w:rPr>
          <w:rFonts w:ascii="Times New Roman" w:hAnsi="Times New Roman" w:cs="Times New Roman"/>
          <w:sz w:val="24"/>
          <w:szCs w:val="24"/>
        </w:rPr>
        <w:t xml:space="preserve">The Committee’s work was </w:t>
      </w:r>
      <w:r w:rsidR="00812400" w:rsidRPr="00626A06">
        <w:rPr>
          <w:rFonts w:ascii="Times New Roman" w:hAnsi="Times New Roman" w:cs="Times New Roman"/>
          <w:sz w:val="24"/>
          <w:szCs w:val="24"/>
        </w:rPr>
        <w:t xml:space="preserve">thus </w:t>
      </w:r>
      <w:r w:rsidR="004F5F50" w:rsidRPr="00626A06">
        <w:rPr>
          <w:rFonts w:ascii="Times New Roman" w:hAnsi="Times New Roman" w:cs="Times New Roman"/>
          <w:sz w:val="24"/>
          <w:szCs w:val="24"/>
        </w:rPr>
        <w:t xml:space="preserve">consciously </w:t>
      </w:r>
      <w:r w:rsidR="007A1F70" w:rsidRPr="00626A06">
        <w:rPr>
          <w:rFonts w:ascii="Times New Roman" w:hAnsi="Times New Roman" w:cs="Times New Roman"/>
          <w:sz w:val="24"/>
          <w:szCs w:val="24"/>
        </w:rPr>
        <w:t xml:space="preserve">defined as </w:t>
      </w:r>
      <w:r w:rsidR="00E11B78" w:rsidRPr="00626A06">
        <w:rPr>
          <w:rFonts w:ascii="Times New Roman" w:hAnsi="Times New Roman" w:cs="Times New Roman"/>
          <w:sz w:val="24"/>
          <w:szCs w:val="24"/>
        </w:rPr>
        <w:t xml:space="preserve">lawyers’ work and </w:t>
      </w:r>
      <w:r w:rsidRPr="00626A06">
        <w:rPr>
          <w:rFonts w:ascii="Times New Roman" w:hAnsi="Times New Roman" w:cs="Times New Roman"/>
          <w:sz w:val="24"/>
          <w:szCs w:val="24"/>
        </w:rPr>
        <w:t>the methods adopted were not consultative</w:t>
      </w:r>
      <w:r w:rsidR="00E11B78" w:rsidRPr="00626A06">
        <w:rPr>
          <w:rFonts w:ascii="Times New Roman" w:hAnsi="Times New Roman" w:cs="Times New Roman"/>
          <w:sz w:val="24"/>
          <w:szCs w:val="24"/>
        </w:rPr>
        <w:t xml:space="preserve"> – nor was the Committee representative in its membership</w:t>
      </w:r>
      <w:r w:rsidRPr="00626A06">
        <w:rPr>
          <w:rFonts w:ascii="Times New Roman" w:hAnsi="Times New Roman" w:cs="Times New Roman"/>
          <w:sz w:val="24"/>
          <w:szCs w:val="24"/>
        </w:rPr>
        <w:t>.</w:t>
      </w:r>
      <w:r w:rsidR="00E11B78" w:rsidRPr="00626A06">
        <w:rPr>
          <w:rStyle w:val="FootnoteReference"/>
          <w:rFonts w:ascii="Times New Roman" w:hAnsi="Times New Roman" w:cs="Times New Roman"/>
          <w:sz w:val="24"/>
          <w:szCs w:val="24"/>
        </w:rPr>
        <w:footnoteReference w:id="57"/>
      </w:r>
      <w:r w:rsidR="00DA09F4" w:rsidRPr="00626A06">
        <w:rPr>
          <w:rFonts w:ascii="Times New Roman" w:hAnsi="Times New Roman" w:cs="Times New Roman"/>
          <w:sz w:val="24"/>
          <w:szCs w:val="24"/>
        </w:rPr>
        <w:t xml:space="preserve"> </w:t>
      </w:r>
    </w:p>
    <w:p w:rsidR="007A1F70" w:rsidRPr="00626A06" w:rsidRDefault="000D0AFD"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Continuing the apolitical theme, t</w:t>
      </w:r>
      <w:r w:rsidR="00DA09F4" w:rsidRPr="00626A06">
        <w:rPr>
          <w:rFonts w:ascii="Times New Roman" w:hAnsi="Times New Roman" w:cs="Times New Roman"/>
          <w:sz w:val="24"/>
          <w:szCs w:val="24"/>
        </w:rPr>
        <w:t>he reform</w:t>
      </w:r>
      <w:r w:rsidR="00C209DF" w:rsidRPr="00626A06">
        <w:rPr>
          <w:rFonts w:ascii="Times New Roman" w:hAnsi="Times New Roman" w:cs="Times New Roman"/>
          <w:sz w:val="24"/>
          <w:szCs w:val="24"/>
        </w:rPr>
        <w:t xml:space="preserve"> proposed </w:t>
      </w:r>
      <w:r w:rsidR="00677E16" w:rsidRPr="00626A06">
        <w:rPr>
          <w:rFonts w:ascii="Times New Roman" w:hAnsi="Times New Roman" w:cs="Times New Roman"/>
          <w:sz w:val="24"/>
          <w:szCs w:val="24"/>
        </w:rPr>
        <w:t xml:space="preserve">in </w:t>
      </w:r>
      <w:r w:rsidR="00520256">
        <w:rPr>
          <w:rFonts w:ascii="Times New Roman" w:hAnsi="Times New Roman" w:cs="Times New Roman"/>
          <w:sz w:val="24"/>
          <w:szCs w:val="24"/>
        </w:rPr>
        <w:t xml:space="preserve">the </w:t>
      </w:r>
      <w:r w:rsidR="00677E16" w:rsidRPr="00626A06">
        <w:rPr>
          <w:rFonts w:ascii="Times New Roman" w:hAnsi="Times New Roman" w:cs="Times New Roman"/>
          <w:sz w:val="24"/>
          <w:szCs w:val="24"/>
        </w:rPr>
        <w:t>LRC</w:t>
      </w:r>
      <w:r w:rsidR="00B0033C">
        <w:rPr>
          <w:rFonts w:ascii="Times New Roman" w:hAnsi="Times New Roman" w:cs="Times New Roman"/>
          <w:sz w:val="24"/>
          <w:szCs w:val="24"/>
        </w:rPr>
        <w:t>’s</w:t>
      </w:r>
      <w:r w:rsidR="00677E16" w:rsidRPr="00626A06">
        <w:rPr>
          <w:rFonts w:ascii="Times New Roman" w:hAnsi="Times New Roman" w:cs="Times New Roman"/>
          <w:sz w:val="24"/>
          <w:szCs w:val="24"/>
        </w:rPr>
        <w:t xml:space="preserve"> 8</w:t>
      </w:r>
      <w:r w:rsidR="00677E16" w:rsidRPr="00626A06">
        <w:rPr>
          <w:rFonts w:ascii="Times New Roman" w:hAnsi="Times New Roman" w:cs="Times New Roman"/>
          <w:sz w:val="24"/>
          <w:szCs w:val="24"/>
          <w:vertAlign w:val="superscript"/>
        </w:rPr>
        <w:t>th</w:t>
      </w:r>
      <w:r w:rsidR="007A1F70" w:rsidRPr="00626A06">
        <w:rPr>
          <w:rFonts w:ascii="Times New Roman" w:hAnsi="Times New Roman" w:cs="Times New Roman"/>
          <w:sz w:val="24"/>
          <w:szCs w:val="24"/>
          <w:vertAlign w:val="superscript"/>
        </w:rPr>
        <w:t xml:space="preserve"> </w:t>
      </w:r>
      <w:r w:rsidR="007A1F70" w:rsidRPr="00626A06">
        <w:rPr>
          <w:rFonts w:ascii="Times New Roman" w:hAnsi="Times New Roman" w:cs="Times New Roman"/>
          <w:sz w:val="24"/>
          <w:szCs w:val="24"/>
        </w:rPr>
        <w:t xml:space="preserve">Report </w:t>
      </w:r>
      <w:r w:rsidR="00732D3C" w:rsidRPr="00626A06">
        <w:rPr>
          <w:rFonts w:ascii="Times New Roman" w:hAnsi="Times New Roman" w:cs="Times New Roman"/>
          <w:sz w:val="24"/>
          <w:szCs w:val="24"/>
        </w:rPr>
        <w:t>was expressed to be based in</w:t>
      </w:r>
      <w:r w:rsidR="00F331C5" w:rsidRPr="00626A06">
        <w:rPr>
          <w:rFonts w:ascii="Times New Roman" w:hAnsi="Times New Roman" w:cs="Times New Roman"/>
          <w:sz w:val="24"/>
          <w:szCs w:val="24"/>
        </w:rPr>
        <w:t xml:space="preserve"> simple</w:t>
      </w:r>
      <w:r w:rsidR="00732D3C" w:rsidRPr="00626A06">
        <w:rPr>
          <w:rFonts w:ascii="Times New Roman" w:hAnsi="Times New Roman" w:cs="Times New Roman"/>
          <w:sz w:val="24"/>
          <w:szCs w:val="24"/>
        </w:rPr>
        <w:t xml:space="preserve"> fairness. Its terms suggest</w:t>
      </w:r>
      <w:r w:rsidR="00DA09F4" w:rsidRPr="00626A06">
        <w:rPr>
          <w:rFonts w:ascii="Times New Roman" w:hAnsi="Times New Roman" w:cs="Times New Roman"/>
          <w:sz w:val="24"/>
          <w:szCs w:val="24"/>
        </w:rPr>
        <w:t xml:space="preserve"> a</w:t>
      </w:r>
      <w:r w:rsidR="00C209DF" w:rsidRPr="00626A06">
        <w:rPr>
          <w:rFonts w:ascii="Times New Roman" w:hAnsi="Times New Roman" w:cs="Times New Roman"/>
          <w:sz w:val="24"/>
          <w:szCs w:val="24"/>
        </w:rPr>
        <w:t xml:space="preserve"> conviction that reform </w:t>
      </w:r>
      <w:r w:rsidR="00732D3C" w:rsidRPr="00626A06">
        <w:rPr>
          <w:rFonts w:ascii="Times New Roman" w:hAnsi="Times New Roman" w:cs="Times New Roman"/>
          <w:sz w:val="24"/>
          <w:szCs w:val="24"/>
        </w:rPr>
        <w:t xml:space="preserve">of such issues </w:t>
      </w:r>
      <w:r w:rsidR="00C209DF" w:rsidRPr="00626A06">
        <w:rPr>
          <w:rFonts w:ascii="Times New Roman" w:hAnsi="Times New Roman" w:cs="Times New Roman"/>
          <w:sz w:val="24"/>
          <w:szCs w:val="24"/>
        </w:rPr>
        <w:t>was a matter of principle</w:t>
      </w:r>
      <w:r w:rsidR="00D33362" w:rsidRPr="00626A06">
        <w:rPr>
          <w:rFonts w:ascii="Times New Roman" w:hAnsi="Times New Roman" w:cs="Times New Roman"/>
          <w:sz w:val="24"/>
          <w:szCs w:val="24"/>
        </w:rPr>
        <w:t xml:space="preserve"> (not, here, to be contrasted with practical fairness),</w:t>
      </w:r>
      <w:r w:rsidR="00C209DF" w:rsidRPr="00626A06">
        <w:rPr>
          <w:rFonts w:ascii="Times New Roman" w:hAnsi="Times New Roman" w:cs="Times New Roman"/>
          <w:sz w:val="24"/>
          <w:szCs w:val="24"/>
        </w:rPr>
        <w:t xml:space="preserve"> and that its impact in a variety of contexts did not need laborious consideration. </w:t>
      </w:r>
      <w:r w:rsidR="007A1F70" w:rsidRPr="00626A06">
        <w:rPr>
          <w:rFonts w:ascii="Times New Roman" w:hAnsi="Times New Roman" w:cs="Times New Roman"/>
          <w:sz w:val="24"/>
          <w:szCs w:val="24"/>
        </w:rPr>
        <w:t xml:space="preserve">The Committee </w:t>
      </w:r>
      <w:r w:rsidR="00CE1640" w:rsidRPr="00626A06">
        <w:rPr>
          <w:rFonts w:ascii="Times New Roman" w:hAnsi="Times New Roman" w:cs="Times New Roman"/>
          <w:sz w:val="24"/>
          <w:szCs w:val="24"/>
        </w:rPr>
        <w:t xml:space="preserve">largely </w:t>
      </w:r>
      <w:r w:rsidR="007A1F70" w:rsidRPr="00626A06">
        <w:rPr>
          <w:rFonts w:ascii="Times New Roman" w:hAnsi="Times New Roman" w:cs="Times New Roman"/>
          <w:sz w:val="24"/>
          <w:szCs w:val="24"/>
        </w:rPr>
        <w:t xml:space="preserve">confined </w:t>
      </w:r>
      <w:r w:rsidR="00CE1640" w:rsidRPr="00626A06">
        <w:rPr>
          <w:rFonts w:ascii="Times New Roman" w:hAnsi="Times New Roman" w:cs="Times New Roman"/>
          <w:sz w:val="24"/>
          <w:szCs w:val="24"/>
        </w:rPr>
        <w:t xml:space="preserve">itself </w:t>
      </w:r>
      <w:r w:rsidR="007A1F70" w:rsidRPr="00626A06">
        <w:rPr>
          <w:rFonts w:ascii="Times New Roman" w:hAnsi="Times New Roman" w:cs="Times New Roman"/>
          <w:sz w:val="24"/>
          <w:szCs w:val="24"/>
        </w:rPr>
        <w:t>to analysis of case</w:t>
      </w:r>
      <w:r w:rsidR="00A91D93">
        <w:rPr>
          <w:rFonts w:ascii="Times New Roman" w:hAnsi="Times New Roman" w:cs="Times New Roman"/>
          <w:sz w:val="24"/>
          <w:szCs w:val="24"/>
        </w:rPr>
        <w:t>-</w:t>
      </w:r>
      <w:r w:rsidR="007A1F70" w:rsidRPr="00626A06">
        <w:rPr>
          <w:rFonts w:ascii="Times New Roman" w:hAnsi="Times New Roman" w:cs="Times New Roman"/>
          <w:sz w:val="24"/>
          <w:szCs w:val="24"/>
        </w:rPr>
        <w:t>law</w:t>
      </w:r>
      <w:r w:rsidR="00CE1640" w:rsidRPr="00626A06">
        <w:rPr>
          <w:rFonts w:ascii="Times New Roman" w:hAnsi="Times New Roman" w:cs="Times New Roman"/>
          <w:sz w:val="24"/>
          <w:szCs w:val="24"/>
        </w:rPr>
        <w:t xml:space="preserve">, </w:t>
      </w:r>
      <w:r w:rsidR="00B44FCD" w:rsidRPr="00626A06">
        <w:rPr>
          <w:rFonts w:ascii="Times New Roman" w:hAnsi="Times New Roman" w:cs="Times New Roman"/>
          <w:sz w:val="24"/>
          <w:szCs w:val="24"/>
        </w:rPr>
        <w:t xml:space="preserve">but </w:t>
      </w:r>
      <w:r w:rsidR="00CE1640" w:rsidRPr="00626A06">
        <w:rPr>
          <w:rFonts w:ascii="Times New Roman" w:hAnsi="Times New Roman" w:cs="Times New Roman"/>
          <w:sz w:val="24"/>
          <w:szCs w:val="24"/>
        </w:rPr>
        <w:t>e</w:t>
      </w:r>
      <w:r w:rsidR="007A1F70" w:rsidRPr="00626A06">
        <w:rPr>
          <w:rFonts w:ascii="Times New Roman" w:hAnsi="Times New Roman" w:cs="Times New Roman"/>
          <w:sz w:val="24"/>
          <w:szCs w:val="24"/>
        </w:rPr>
        <w:t xml:space="preserve">ven then, </w:t>
      </w:r>
      <w:r w:rsidR="00C209DF" w:rsidRPr="00626A06">
        <w:rPr>
          <w:rFonts w:ascii="Times New Roman" w:hAnsi="Times New Roman" w:cs="Times New Roman"/>
          <w:sz w:val="24"/>
          <w:szCs w:val="24"/>
        </w:rPr>
        <w:t>every one of the instances discussed was an illustration of one kind of case, namely collisions</w:t>
      </w:r>
      <w:r w:rsidR="007A1F70" w:rsidRPr="00626A06">
        <w:rPr>
          <w:rFonts w:ascii="Times New Roman" w:hAnsi="Times New Roman" w:cs="Times New Roman"/>
          <w:sz w:val="24"/>
          <w:szCs w:val="24"/>
        </w:rPr>
        <w:t xml:space="preserve"> (on land, or at sea)</w:t>
      </w:r>
      <w:r w:rsidR="00C209DF" w:rsidRPr="00626A06">
        <w:rPr>
          <w:rFonts w:ascii="Times New Roman" w:hAnsi="Times New Roman" w:cs="Times New Roman"/>
          <w:sz w:val="24"/>
          <w:szCs w:val="24"/>
        </w:rPr>
        <w:t>.</w:t>
      </w:r>
      <w:r w:rsidR="00DA09F4" w:rsidRPr="00626A06">
        <w:rPr>
          <w:rFonts w:ascii="Times New Roman" w:hAnsi="Times New Roman" w:cs="Times New Roman"/>
          <w:sz w:val="24"/>
          <w:szCs w:val="24"/>
        </w:rPr>
        <w:t xml:space="preserve"> </w:t>
      </w:r>
      <w:r w:rsidR="0099407F" w:rsidRPr="00626A06">
        <w:rPr>
          <w:rFonts w:ascii="Times New Roman" w:hAnsi="Times New Roman" w:cs="Times New Roman"/>
          <w:sz w:val="24"/>
          <w:szCs w:val="24"/>
        </w:rPr>
        <w:t xml:space="preserve">It was </w:t>
      </w:r>
      <w:r w:rsidR="00C209DF" w:rsidRPr="00626A06">
        <w:rPr>
          <w:rFonts w:ascii="Times New Roman" w:hAnsi="Times New Roman" w:cs="Times New Roman"/>
          <w:sz w:val="24"/>
          <w:szCs w:val="24"/>
        </w:rPr>
        <w:t xml:space="preserve">simply argued that the Admiralty rule </w:t>
      </w:r>
      <w:r w:rsidR="00575B13" w:rsidRPr="00626A06">
        <w:rPr>
          <w:rFonts w:ascii="Times New Roman" w:hAnsi="Times New Roman" w:cs="Times New Roman"/>
          <w:sz w:val="24"/>
          <w:szCs w:val="24"/>
        </w:rPr>
        <w:t xml:space="preserve">applying </w:t>
      </w:r>
      <w:r w:rsidR="00C209DF" w:rsidRPr="00626A06">
        <w:rPr>
          <w:rFonts w:ascii="Times New Roman" w:hAnsi="Times New Roman" w:cs="Times New Roman"/>
          <w:sz w:val="24"/>
          <w:szCs w:val="24"/>
        </w:rPr>
        <w:t>to collisions between ships</w:t>
      </w:r>
      <w:r w:rsidR="00732D3C" w:rsidRPr="00626A06">
        <w:rPr>
          <w:rFonts w:ascii="Times New Roman" w:hAnsi="Times New Roman" w:cs="Times New Roman"/>
          <w:sz w:val="24"/>
          <w:szCs w:val="24"/>
        </w:rPr>
        <w:t xml:space="preserve">, which allowed for </w:t>
      </w:r>
      <w:r w:rsidR="00732D3C" w:rsidRPr="00626A06">
        <w:rPr>
          <w:rFonts w:ascii="Times New Roman" w:hAnsi="Times New Roman" w:cs="Times New Roman"/>
          <w:sz w:val="24"/>
          <w:szCs w:val="24"/>
        </w:rPr>
        <w:lastRenderedPageBreak/>
        <w:t>‘apportionment of liability’ according to degrees of fault,</w:t>
      </w:r>
      <w:r w:rsidR="00C209DF" w:rsidRPr="00626A06">
        <w:rPr>
          <w:rFonts w:ascii="Times New Roman" w:hAnsi="Times New Roman" w:cs="Times New Roman"/>
          <w:sz w:val="24"/>
          <w:szCs w:val="24"/>
        </w:rPr>
        <w:t xml:space="preserve"> </w:t>
      </w:r>
      <w:r w:rsidR="00677E16" w:rsidRPr="00626A06">
        <w:rPr>
          <w:rFonts w:ascii="Times New Roman" w:hAnsi="Times New Roman" w:cs="Times New Roman"/>
          <w:sz w:val="24"/>
          <w:szCs w:val="24"/>
        </w:rPr>
        <w:t xml:space="preserve">was the fairest, and </w:t>
      </w:r>
      <w:r w:rsidR="00C209DF" w:rsidRPr="00626A06">
        <w:rPr>
          <w:rFonts w:ascii="Times New Roman" w:hAnsi="Times New Roman" w:cs="Times New Roman"/>
          <w:sz w:val="24"/>
          <w:szCs w:val="24"/>
        </w:rPr>
        <w:t xml:space="preserve">should also be applied to collisions on land. </w:t>
      </w:r>
      <w:r w:rsidR="00D646B9" w:rsidRPr="00626A06">
        <w:rPr>
          <w:rFonts w:ascii="Times New Roman" w:hAnsi="Times New Roman" w:cs="Times New Roman"/>
          <w:sz w:val="24"/>
          <w:szCs w:val="24"/>
        </w:rPr>
        <w:t xml:space="preserve">The Committee issued </w:t>
      </w:r>
      <w:r w:rsidR="007A1F70" w:rsidRPr="00626A06">
        <w:rPr>
          <w:rFonts w:ascii="Times New Roman" w:hAnsi="Times New Roman" w:cs="Times New Roman"/>
          <w:sz w:val="24"/>
          <w:szCs w:val="24"/>
        </w:rPr>
        <w:t>its proposal in simple terms</w:t>
      </w:r>
      <w:r w:rsidR="009F5DE5" w:rsidRPr="00626A06">
        <w:rPr>
          <w:rFonts w:ascii="Times New Roman" w:hAnsi="Times New Roman" w:cs="Times New Roman"/>
          <w:sz w:val="24"/>
          <w:szCs w:val="24"/>
        </w:rPr>
        <w:t xml:space="preserve"> as follows</w:t>
      </w:r>
      <w:r w:rsidR="007A1F70" w:rsidRPr="00626A06">
        <w:rPr>
          <w:rFonts w:ascii="Times New Roman" w:hAnsi="Times New Roman" w:cs="Times New Roman"/>
          <w:sz w:val="24"/>
          <w:szCs w:val="24"/>
        </w:rPr>
        <w:t>:</w:t>
      </w:r>
    </w:p>
    <w:p w:rsidR="00677E16" w:rsidRPr="00626A06" w:rsidRDefault="007A1F70" w:rsidP="00626A06">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That in cases where damage has been caused by the fault of two or more persons the tribunal trying the case (whether that tribunal be judge or jury) shall apportion the liability in the degree to which each party is found to be in fault.</w:t>
      </w:r>
      <w:r w:rsidR="00685774" w:rsidRPr="00626A06">
        <w:rPr>
          <w:rStyle w:val="FootnoteReference"/>
          <w:rFonts w:ascii="Times New Roman" w:hAnsi="Times New Roman" w:cs="Times New Roman"/>
          <w:sz w:val="24"/>
          <w:szCs w:val="24"/>
        </w:rPr>
        <w:footnoteReference w:id="58"/>
      </w:r>
    </w:p>
    <w:p w:rsidR="00685774" w:rsidRPr="00626A06" w:rsidRDefault="00685774"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This </w:t>
      </w:r>
      <w:r w:rsidR="00D04E67" w:rsidRPr="00626A06">
        <w:rPr>
          <w:rFonts w:ascii="Times New Roman" w:hAnsi="Times New Roman" w:cs="Times New Roman"/>
          <w:sz w:val="24"/>
          <w:szCs w:val="24"/>
        </w:rPr>
        <w:t>was intended to replicate the effect of s</w:t>
      </w:r>
      <w:r w:rsidR="00842F43">
        <w:rPr>
          <w:rFonts w:ascii="Times New Roman" w:hAnsi="Times New Roman" w:cs="Times New Roman"/>
          <w:sz w:val="24"/>
          <w:szCs w:val="24"/>
        </w:rPr>
        <w:t xml:space="preserve">ection </w:t>
      </w:r>
      <w:r w:rsidR="00D04E67" w:rsidRPr="00626A06">
        <w:rPr>
          <w:rFonts w:ascii="Times New Roman" w:hAnsi="Times New Roman" w:cs="Times New Roman"/>
          <w:sz w:val="24"/>
          <w:szCs w:val="24"/>
        </w:rPr>
        <w:t>1</w:t>
      </w:r>
      <w:r w:rsidRPr="00626A06">
        <w:rPr>
          <w:rFonts w:ascii="Times New Roman" w:hAnsi="Times New Roman" w:cs="Times New Roman"/>
          <w:sz w:val="24"/>
          <w:szCs w:val="24"/>
        </w:rPr>
        <w:t xml:space="preserve"> </w:t>
      </w:r>
      <w:r w:rsidR="00842F43">
        <w:rPr>
          <w:rFonts w:ascii="Times New Roman" w:hAnsi="Times New Roman" w:cs="Times New Roman"/>
          <w:sz w:val="24"/>
          <w:szCs w:val="24"/>
        </w:rPr>
        <w:t xml:space="preserve">of </w:t>
      </w:r>
      <w:r w:rsidR="00D04E67" w:rsidRPr="00626A06">
        <w:rPr>
          <w:rFonts w:ascii="Times New Roman" w:hAnsi="Times New Roman" w:cs="Times New Roman"/>
          <w:sz w:val="24"/>
          <w:szCs w:val="24"/>
        </w:rPr>
        <w:t>the 1911 Act</w:t>
      </w:r>
      <w:r w:rsidR="00514FB1" w:rsidRPr="00626A06">
        <w:rPr>
          <w:rFonts w:ascii="Times New Roman" w:hAnsi="Times New Roman" w:cs="Times New Roman"/>
          <w:sz w:val="24"/>
          <w:szCs w:val="24"/>
        </w:rPr>
        <w:t>. Indeed the model was so close that the Comm</w:t>
      </w:r>
      <w:r w:rsidRPr="00626A06">
        <w:rPr>
          <w:rFonts w:ascii="Times New Roman" w:hAnsi="Times New Roman" w:cs="Times New Roman"/>
          <w:sz w:val="24"/>
          <w:szCs w:val="24"/>
        </w:rPr>
        <w:t>ittee thought there would be no need expressly</w:t>
      </w:r>
      <w:r w:rsidR="00D04E67" w:rsidRPr="00626A06">
        <w:rPr>
          <w:rFonts w:ascii="Times New Roman" w:hAnsi="Times New Roman" w:cs="Times New Roman"/>
          <w:sz w:val="24"/>
          <w:szCs w:val="24"/>
        </w:rPr>
        <w:t xml:space="preserve"> to provide</w:t>
      </w:r>
      <w:r w:rsidRPr="00626A06">
        <w:rPr>
          <w:rFonts w:ascii="Times New Roman" w:hAnsi="Times New Roman" w:cs="Times New Roman"/>
          <w:sz w:val="24"/>
          <w:szCs w:val="24"/>
        </w:rPr>
        <w:t xml:space="preserve"> that </w:t>
      </w:r>
      <w:r w:rsidR="00753EC7" w:rsidRPr="00626A06">
        <w:rPr>
          <w:rFonts w:ascii="Times New Roman" w:hAnsi="Times New Roman" w:cs="Times New Roman"/>
          <w:sz w:val="24"/>
          <w:szCs w:val="24"/>
        </w:rPr>
        <w:t xml:space="preserve">the Admiralty rule </w:t>
      </w:r>
      <w:r w:rsidRPr="00626A06">
        <w:rPr>
          <w:rFonts w:ascii="Times New Roman" w:hAnsi="Times New Roman" w:cs="Times New Roman"/>
          <w:sz w:val="24"/>
          <w:szCs w:val="24"/>
        </w:rPr>
        <w:t xml:space="preserve">was unaffected by the reform: </w:t>
      </w:r>
      <w:r w:rsidR="00A30979" w:rsidRPr="00626A06">
        <w:rPr>
          <w:rFonts w:ascii="Times New Roman" w:hAnsi="Times New Roman" w:cs="Times New Roman"/>
          <w:sz w:val="24"/>
          <w:szCs w:val="24"/>
        </w:rPr>
        <w:t xml:space="preserve">the proposal </w:t>
      </w:r>
      <w:r w:rsidRPr="00626A06">
        <w:rPr>
          <w:rFonts w:ascii="Times New Roman" w:hAnsi="Times New Roman" w:cs="Times New Roman"/>
          <w:sz w:val="24"/>
          <w:szCs w:val="24"/>
        </w:rPr>
        <w:t>simply ‘</w:t>
      </w:r>
      <w:r w:rsidR="00D04E67" w:rsidRPr="00626A06">
        <w:rPr>
          <w:rFonts w:ascii="Times New Roman" w:hAnsi="Times New Roman" w:cs="Times New Roman"/>
          <w:sz w:val="24"/>
          <w:szCs w:val="24"/>
        </w:rPr>
        <w:t>assimilate</w:t>
      </w:r>
      <w:r w:rsidR="00A30979" w:rsidRPr="00626A06">
        <w:rPr>
          <w:rFonts w:ascii="Times New Roman" w:hAnsi="Times New Roman" w:cs="Times New Roman"/>
          <w:sz w:val="24"/>
          <w:szCs w:val="24"/>
        </w:rPr>
        <w:t>s Common Law to that of the Court of Admiralty</w:t>
      </w:r>
      <w:r w:rsidRPr="00626A06">
        <w:rPr>
          <w:rFonts w:ascii="Times New Roman" w:hAnsi="Times New Roman" w:cs="Times New Roman"/>
          <w:sz w:val="24"/>
          <w:szCs w:val="24"/>
        </w:rPr>
        <w:t>’.</w:t>
      </w:r>
      <w:r w:rsidR="00A30979" w:rsidRPr="00626A06">
        <w:rPr>
          <w:rStyle w:val="FootnoteReference"/>
          <w:rFonts w:ascii="Times New Roman" w:hAnsi="Times New Roman" w:cs="Times New Roman"/>
          <w:sz w:val="24"/>
          <w:szCs w:val="24"/>
        </w:rPr>
        <w:footnoteReference w:id="59"/>
      </w:r>
      <w:r w:rsidRPr="00626A06">
        <w:rPr>
          <w:rFonts w:ascii="Times New Roman" w:hAnsi="Times New Roman" w:cs="Times New Roman"/>
          <w:sz w:val="24"/>
          <w:szCs w:val="24"/>
        </w:rPr>
        <w:t xml:space="preserve"> </w:t>
      </w:r>
      <w:r w:rsidR="00F60F5A" w:rsidRPr="00626A06">
        <w:rPr>
          <w:rFonts w:ascii="Times New Roman" w:hAnsi="Times New Roman" w:cs="Times New Roman"/>
          <w:sz w:val="24"/>
          <w:szCs w:val="24"/>
        </w:rPr>
        <w:t>Since this is precisely what Lord Simon set out to do, i</w:t>
      </w:r>
      <w:r w:rsidR="00D04E67" w:rsidRPr="00626A06">
        <w:rPr>
          <w:rFonts w:ascii="Times New Roman" w:hAnsi="Times New Roman" w:cs="Times New Roman"/>
          <w:sz w:val="24"/>
          <w:szCs w:val="24"/>
        </w:rPr>
        <w:t>t is worth considering the relevant part of the 1911 Act</w:t>
      </w:r>
      <w:r w:rsidRPr="00626A06">
        <w:rPr>
          <w:rFonts w:ascii="Times New Roman" w:hAnsi="Times New Roman" w:cs="Times New Roman"/>
          <w:sz w:val="24"/>
          <w:szCs w:val="24"/>
        </w:rPr>
        <w:t>:</w:t>
      </w:r>
    </w:p>
    <w:p w:rsidR="00677E16" w:rsidRPr="00626A06" w:rsidRDefault="00A91D93" w:rsidP="00626A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685774" w:rsidRPr="00626A06">
        <w:rPr>
          <w:rFonts w:ascii="Times New Roman" w:hAnsi="Times New Roman" w:cs="Times New Roman"/>
          <w:sz w:val="24"/>
          <w:szCs w:val="24"/>
        </w:rPr>
        <w:t>Where, by the fault of two or more vessels, damage or loss is caused to one or more of those vessels, to their cargoes or freight, or to any property on board, the liability to make good the damage or loss shall be in proportion to the degree to which each vessel was in fault.</w:t>
      </w:r>
      <w:r>
        <w:rPr>
          <w:rFonts w:ascii="Times New Roman" w:hAnsi="Times New Roman" w:cs="Times New Roman"/>
          <w:sz w:val="24"/>
          <w:szCs w:val="24"/>
        </w:rPr>
        <w:t>’</w:t>
      </w:r>
      <w:r w:rsidR="00685774" w:rsidRPr="00626A06">
        <w:rPr>
          <w:rFonts w:ascii="Times New Roman" w:hAnsi="Times New Roman" w:cs="Times New Roman"/>
          <w:sz w:val="24"/>
          <w:szCs w:val="24"/>
        </w:rPr>
        <w:t xml:space="preserve"> </w:t>
      </w:r>
    </w:p>
    <w:p w:rsidR="00753EC7" w:rsidRPr="00626A06" w:rsidRDefault="0099407F"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T</w:t>
      </w:r>
      <w:r w:rsidR="00753EC7" w:rsidRPr="00626A06">
        <w:rPr>
          <w:rFonts w:ascii="Times New Roman" w:hAnsi="Times New Roman" w:cs="Times New Roman"/>
          <w:sz w:val="24"/>
          <w:szCs w:val="24"/>
        </w:rPr>
        <w:t xml:space="preserve">his provision is expressly confined to property damage. Section 2 </w:t>
      </w:r>
      <w:r w:rsidR="007B1224" w:rsidRPr="00626A06">
        <w:rPr>
          <w:rFonts w:ascii="Times New Roman" w:hAnsi="Times New Roman" w:cs="Times New Roman"/>
          <w:sz w:val="24"/>
          <w:szCs w:val="24"/>
        </w:rPr>
        <w:t xml:space="preserve">of the 1911 Act </w:t>
      </w:r>
      <w:r w:rsidR="00753EC7" w:rsidRPr="00626A06">
        <w:rPr>
          <w:rFonts w:ascii="Times New Roman" w:hAnsi="Times New Roman" w:cs="Times New Roman"/>
          <w:sz w:val="24"/>
          <w:szCs w:val="24"/>
        </w:rPr>
        <w:t>dealt with personal injury and death</w:t>
      </w:r>
      <w:r w:rsidR="007B1224" w:rsidRPr="00626A06">
        <w:rPr>
          <w:rFonts w:ascii="Times New Roman" w:hAnsi="Times New Roman" w:cs="Times New Roman"/>
          <w:sz w:val="24"/>
          <w:szCs w:val="24"/>
        </w:rPr>
        <w:t xml:space="preserve"> in maritime collisions</w:t>
      </w:r>
      <w:r w:rsidR="00753EC7" w:rsidRPr="00626A06">
        <w:rPr>
          <w:rFonts w:ascii="Times New Roman" w:hAnsi="Times New Roman" w:cs="Times New Roman"/>
          <w:sz w:val="24"/>
          <w:szCs w:val="24"/>
        </w:rPr>
        <w:t>:</w:t>
      </w:r>
    </w:p>
    <w:p w:rsidR="001D42A9" w:rsidRPr="00626A06" w:rsidRDefault="00207C6C" w:rsidP="00626A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753EC7" w:rsidRPr="00626A06">
        <w:rPr>
          <w:rFonts w:ascii="Times New Roman" w:hAnsi="Times New Roman" w:cs="Times New Roman"/>
          <w:sz w:val="24"/>
          <w:szCs w:val="24"/>
        </w:rPr>
        <w:t>Where loss of life or personal injuries are suffered by any person on board a vessel owing to the fault of that vessel and of any other vessel or vessels, the liability of the owners of the vessels shall be joint and several …</w:t>
      </w:r>
      <w:r>
        <w:rPr>
          <w:rFonts w:ascii="Times New Roman" w:hAnsi="Times New Roman" w:cs="Times New Roman"/>
          <w:sz w:val="24"/>
          <w:szCs w:val="24"/>
        </w:rPr>
        <w:t>’</w:t>
      </w:r>
      <w:r w:rsidR="00753EC7" w:rsidRPr="00626A06">
        <w:rPr>
          <w:rFonts w:ascii="Times New Roman" w:hAnsi="Times New Roman" w:cs="Times New Roman"/>
          <w:sz w:val="24"/>
          <w:szCs w:val="24"/>
        </w:rPr>
        <w:t>.</w:t>
      </w:r>
    </w:p>
    <w:p w:rsidR="00753EC7" w:rsidRPr="00626A06" w:rsidRDefault="00D04E67"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terms of the personal injury provision are quite different and this is because it deals with a quite different issue. The injured </w:t>
      </w:r>
      <w:r w:rsidRPr="00626A06">
        <w:rPr>
          <w:rFonts w:ascii="Times New Roman" w:hAnsi="Times New Roman" w:cs="Times New Roman"/>
          <w:i/>
          <w:sz w:val="24"/>
          <w:szCs w:val="24"/>
        </w:rPr>
        <w:t>person</w:t>
      </w:r>
      <w:r w:rsidRPr="00626A06">
        <w:rPr>
          <w:rFonts w:ascii="Times New Roman" w:hAnsi="Times New Roman" w:cs="Times New Roman"/>
          <w:sz w:val="24"/>
          <w:szCs w:val="24"/>
        </w:rPr>
        <w:t xml:space="preserve"> in the second provision is not the </w:t>
      </w:r>
      <w:r w:rsidRPr="00626A06">
        <w:rPr>
          <w:rFonts w:ascii="Times New Roman" w:hAnsi="Times New Roman" w:cs="Times New Roman"/>
          <w:i/>
          <w:sz w:val="24"/>
          <w:szCs w:val="24"/>
        </w:rPr>
        <w:t>vessel</w:t>
      </w:r>
      <w:r w:rsidRPr="00626A06">
        <w:rPr>
          <w:rFonts w:ascii="Times New Roman" w:hAnsi="Times New Roman" w:cs="Times New Roman"/>
          <w:sz w:val="24"/>
          <w:szCs w:val="24"/>
        </w:rPr>
        <w:t xml:space="preserve"> at fault in the first.</w:t>
      </w:r>
      <w:r w:rsidR="00DE232B" w:rsidRPr="00626A06">
        <w:rPr>
          <w:rFonts w:ascii="Times New Roman" w:hAnsi="Times New Roman" w:cs="Times New Roman"/>
          <w:sz w:val="24"/>
          <w:szCs w:val="24"/>
        </w:rPr>
        <w:t xml:space="preserve"> The liability of a vessel may depend on the fault of various members of her crew, and is shorthand for the liability of, generally, the </w:t>
      </w:r>
      <w:proofErr w:type="spellStart"/>
      <w:r w:rsidR="00DE232B" w:rsidRPr="00626A06">
        <w:rPr>
          <w:rFonts w:ascii="Times New Roman" w:hAnsi="Times New Roman" w:cs="Times New Roman"/>
          <w:sz w:val="24"/>
          <w:szCs w:val="24"/>
        </w:rPr>
        <w:t>shipowner</w:t>
      </w:r>
      <w:proofErr w:type="spellEnd"/>
      <w:r w:rsidR="00DE232B" w:rsidRPr="00626A06">
        <w:rPr>
          <w:rFonts w:ascii="Times New Roman" w:hAnsi="Times New Roman" w:cs="Times New Roman"/>
          <w:sz w:val="24"/>
          <w:szCs w:val="24"/>
        </w:rPr>
        <w:t>.</w:t>
      </w:r>
      <w:r w:rsidRPr="00626A06">
        <w:rPr>
          <w:rFonts w:ascii="Times New Roman" w:hAnsi="Times New Roman" w:cs="Times New Roman"/>
          <w:sz w:val="24"/>
          <w:szCs w:val="24"/>
        </w:rPr>
        <w:t xml:space="preserve"> </w:t>
      </w:r>
      <w:r w:rsidR="001E4228" w:rsidRPr="00626A06">
        <w:rPr>
          <w:rFonts w:ascii="Times New Roman" w:hAnsi="Times New Roman" w:cs="Times New Roman"/>
          <w:sz w:val="24"/>
          <w:szCs w:val="24"/>
        </w:rPr>
        <w:t xml:space="preserve">The first </w:t>
      </w:r>
      <w:r w:rsidRPr="00626A06">
        <w:rPr>
          <w:rFonts w:ascii="Times New Roman" w:hAnsi="Times New Roman" w:cs="Times New Roman"/>
          <w:sz w:val="24"/>
          <w:szCs w:val="24"/>
        </w:rPr>
        <w:t xml:space="preserve">provision deals with the question of how the </w:t>
      </w:r>
      <w:r w:rsidRPr="00626A06">
        <w:rPr>
          <w:rFonts w:ascii="Times New Roman" w:hAnsi="Times New Roman" w:cs="Times New Roman"/>
          <w:i/>
          <w:sz w:val="24"/>
          <w:szCs w:val="24"/>
        </w:rPr>
        <w:t xml:space="preserve">total liability </w:t>
      </w:r>
      <w:r w:rsidRPr="00626A06">
        <w:rPr>
          <w:rFonts w:ascii="Times New Roman" w:hAnsi="Times New Roman" w:cs="Times New Roman"/>
          <w:sz w:val="24"/>
          <w:szCs w:val="24"/>
        </w:rPr>
        <w:t xml:space="preserve">for property loss is divided where two or more </w:t>
      </w:r>
      <w:r w:rsidR="0099407F" w:rsidRPr="00626A06">
        <w:rPr>
          <w:rFonts w:ascii="Times New Roman" w:hAnsi="Times New Roman" w:cs="Times New Roman"/>
          <w:sz w:val="24"/>
          <w:szCs w:val="24"/>
        </w:rPr>
        <w:t>‘</w:t>
      </w:r>
      <w:r w:rsidRPr="00626A06">
        <w:rPr>
          <w:rFonts w:ascii="Times New Roman" w:hAnsi="Times New Roman" w:cs="Times New Roman"/>
          <w:sz w:val="24"/>
          <w:szCs w:val="24"/>
        </w:rPr>
        <w:t>ships</w:t>
      </w:r>
      <w:r w:rsidR="0099407F" w:rsidRPr="00626A06">
        <w:rPr>
          <w:rFonts w:ascii="Times New Roman" w:hAnsi="Times New Roman" w:cs="Times New Roman"/>
          <w:sz w:val="24"/>
          <w:szCs w:val="24"/>
        </w:rPr>
        <w:t>’</w:t>
      </w:r>
      <w:r w:rsidRPr="00626A06">
        <w:rPr>
          <w:rFonts w:ascii="Times New Roman" w:hAnsi="Times New Roman" w:cs="Times New Roman"/>
          <w:sz w:val="24"/>
          <w:szCs w:val="24"/>
        </w:rPr>
        <w:t xml:space="preserve"> </w:t>
      </w:r>
      <w:r w:rsidR="00DE232B" w:rsidRPr="00626A06">
        <w:rPr>
          <w:rFonts w:ascii="Times New Roman" w:hAnsi="Times New Roman" w:cs="Times New Roman"/>
          <w:sz w:val="24"/>
          <w:szCs w:val="24"/>
        </w:rPr>
        <w:t xml:space="preserve">(understood in this way) </w:t>
      </w:r>
      <w:r w:rsidRPr="00626A06">
        <w:rPr>
          <w:rFonts w:ascii="Times New Roman" w:hAnsi="Times New Roman" w:cs="Times New Roman"/>
          <w:sz w:val="24"/>
          <w:szCs w:val="24"/>
        </w:rPr>
        <w:t xml:space="preserve">are at fault in a collision. </w:t>
      </w:r>
      <w:r w:rsidR="00DE232B" w:rsidRPr="00626A06">
        <w:rPr>
          <w:rFonts w:ascii="Times New Roman" w:hAnsi="Times New Roman" w:cs="Times New Roman"/>
          <w:sz w:val="24"/>
          <w:szCs w:val="24"/>
        </w:rPr>
        <w:t xml:space="preserve">Generally speaking, both ships (and their cargo) will suffer damage. </w:t>
      </w:r>
      <w:r w:rsidR="00E51AC6" w:rsidRPr="00626A06">
        <w:rPr>
          <w:rFonts w:ascii="Times New Roman" w:hAnsi="Times New Roman" w:cs="Times New Roman"/>
          <w:sz w:val="24"/>
          <w:szCs w:val="24"/>
        </w:rPr>
        <w:t>In its origins, t</w:t>
      </w:r>
      <w:r w:rsidR="00DE232B" w:rsidRPr="00626A06">
        <w:rPr>
          <w:rFonts w:ascii="Times New Roman" w:hAnsi="Times New Roman" w:cs="Times New Roman"/>
          <w:sz w:val="24"/>
          <w:szCs w:val="24"/>
        </w:rPr>
        <w:t xml:space="preserve">he </w:t>
      </w:r>
      <w:r w:rsidR="00D05CCC" w:rsidRPr="00626A06">
        <w:rPr>
          <w:rFonts w:ascii="Times New Roman" w:hAnsi="Times New Roman" w:cs="Times New Roman"/>
          <w:sz w:val="24"/>
          <w:szCs w:val="24"/>
        </w:rPr>
        <w:t>A</w:t>
      </w:r>
      <w:r w:rsidR="003041E4" w:rsidRPr="00626A06">
        <w:rPr>
          <w:rFonts w:ascii="Times New Roman" w:hAnsi="Times New Roman" w:cs="Times New Roman"/>
          <w:sz w:val="24"/>
          <w:szCs w:val="24"/>
        </w:rPr>
        <w:t xml:space="preserve">dmiralty </w:t>
      </w:r>
      <w:r w:rsidR="00DE232B" w:rsidRPr="00626A06">
        <w:rPr>
          <w:rFonts w:ascii="Times New Roman" w:hAnsi="Times New Roman" w:cs="Times New Roman"/>
          <w:sz w:val="24"/>
          <w:szCs w:val="24"/>
        </w:rPr>
        <w:t xml:space="preserve">rule was </w:t>
      </w:r>
      <w:r w:rsidR="003041E4" w:rsidRPr="00626A06">
        <w:rPr>
          <w:rFonts w:ascii="Times New Roman" w:hAnsi="Times New Roman" w:cs="Times New Roman"/>
          <w:sz w:val="24"/>
          <w:szCs w:val="24"/>
        </w:rPr>
        <w:t xml:space="preserve">a response to </w:t>
      </w:r>
      <w:r w:rsidR="00DE232B" w:rsidRPr="00626A06">
        <w:rPr>
          <w:rFonts w:ascii="Times New Roman" w:hAnsi="Times New Roman" w:cs="Times New Roman"/>
          <w:sz w:val="24"/>
          <w:szCs w:val="24"/>
        </w:rPr>
        <w:t>a recognised hazard of maritime commerce and was not about reduction of damage</w:t>
      </w:r>
      <w:r w:rsidR="003041E4" w:rsidRPr="00626A06">
        <w:rPr>
          <w:rFonts w:ascii="Times New Roman" w:hAnsi="Times New Roman" w:cs="Times New Roman"/>
          <w:sz w:val="24"/>
          <w:szCs w:val="24"/>
        </w:rPr>
        <w:t>s</w:t>
      </w:r>
      <w:r w:rsidR="00DE232B" w:rsidRPr="00626A06">
        <w:rPr>
          <w:rFonts w:ascii="Times New Roman" w:hAnsi="Times New Roman" w:cs="Times New Roman"/>
          <w:sz w:val="24"/>
          <w:szCs w:val="24"/>
        </w:rPr>
        <w:t xml:space="preserve"> so much as sharing of loss. </w:t>
      </w:r>
      <w:r w:rsidRPr="00626A06">
        <w:rPr>
          <w:rFonts w:ascii="Times New Roman" w:hAnsi="Times New Roman" w:cs="Times New Roman"/>
          <w:sz w:val="24"/>
          <w:szCs w:val="24"/>
        </w:rPr>
        <w:t xml:space="preserve">The second </w:t>
      </w:r>
      <w:r w:rsidR="00E610C7" w:rsidRPr="00626A06">
        <w:rPr>
          <w:rFonts w:ascii="Times New Roman" w:hAnsi="Times New Roman" w:cs="Times New Roman"/>
          <w:sz w:val="24"/>
          <w:szCs w:val="24"/>
        </w:rPr>
        <w:t xml:space="preserve">provision </w:t>
      </w:r>
      <w:r w:rsidRPr="00626A06">
        <w:rPr>
          <w:rFonts w:ascii="Times New Roman" w:hAnsi="Times New Roman" w:cs="Times New Roman"/>
          <w:sz w:val="24"/>
          <w:szCs w:val="24"/>
        </w:rPr>
        <w:t xml:space="preserve">deals with the question of </w:t>
      </w:r>
      <w:r w:rsidRPr="00626A06">
        <w:rPr>
          <w:rFonts w:ascii="Times New Roman" w:hAnsi="Times New Roman" w:cs="Times New Roman"/>
          <w:i/>
          <w:sz w:val="24"/>
          <w:szCs w:val="24"/>
        </w:rPr>
        <w:t xml:space="preserve">which vessel </w:t>
      </w:r>
      <w:r w:rsidRPr="00626A06">
        <w:rPr>
          <w:rFonts w:ascii="Times New Roman" w:hAnsi="Times New Roman" w:cs="Times New Roman"/>
          <w:sz w:val="24"/>
          <w:szCs w:val="24"/>
        </w:rPr>
        <w:t xml:space="preserve">is liable to those injured in the collision, with the answer that both are liable. </w:t>
      </w:r>
      <w:r w:rsidR="001E4228" w:rsidRPr="00626A06">
        <w:rPr>
          <w:rFonts w:ascii="Times New Roman" w:hAnsi="Times New Roman" w:cs="Times New Roman"/>
          <w:sz w:val="24"/>
          <w:szCs w:val="24"/>
        </w:rPr>
        <w:t xml:space="preserve">This is </w:t>
      </w:r>
      <w:r w:rsidR="00E610C7" w:rsidRPr="00626A06">
        <w:rPr>
          <w:rFonts w:ascii="Times New Roman" w:hAnsi="Times New Roman" w:cs="Times New Roman"/>
          <w:sz w:val="24"/>
          <w:szCs w:val="24"/>
        </w:rPr>
        <w:t xml:space="preserve">a </w:t>
      </w:r>
      <w:r w:rsidR="001E4228" w:rsidRPr="00626A06">
        <w:rPr>
          <w:rFonts w:ascii="Times New Roman" w:hAnsi="Times New Roman" w:cs="Times New Roman"/>
          <w:sz w:val="24"/>
          <w:szCs w:val="24"/>
        </w:rPr>
        <w:t xml:space="preserve">sign that the model of the </w:t>
      </w:r>
      <w:r w:rsidR="001E4228" w:rsidRPr="00626A06">
        <w:rPr>
          <w:rFonts w:ascii="Times New Roman" w:hAnsi="Times New Roman" w:cs="Times New Roman"/>
          <w:sz w:val="24"/>
          <w:szCs w:val="24"/>
        </w:rPr>
        <w:lastRenderedPageBreak/>
        <w:t xml:space="preserve">maritime property rule does not easily translate to road traffic accidents, despite the terms of </w:t>
      </w:r>
      <w:r w:rsidR="00207C6C">
        <w:rPr>
          <w:rFonts w:ascii="Times New Roman" w:hAnsi="Times New Roman" w:cs="Times New Roman"/>
          <w:sz w:val="24"/>
          <w:szCs w:val="24"/>
        </w:rPr>
        <w:t xml:space="preserve">the </w:t>
      </w:r>
      <w:r w:rsidR="001E4228" w:rsidRPr="00626A06">
        <w:rPr>
          <w:rFonts w:ascii="Times New Roman" w:hAnsi="Times New Roman" w:cs="Times New Roman"/>
          <w:sz w:val="24"/>
          <w:szCs w:val="24"/>
        </w:rPr>
        <w:t>LRC</w:t>
      </w:r>
      <w:r w:rsidR="00207C6C">
        <w:rPr>
          <w:rFonts w:ascii="Times New Roman" w:hAnsi="Times New Roman" w:cs="Times New Roman"/>
          <w:sz w:val="24"/>
          <w:szCs w:val="24"/>
        </w:rPr>
        <w:t>’s</w:t>
      </w:r>
      <w:r w:rsidR="001E4228" w:rsidRPr="00626A06">
        <w:rPr>
          <w:rFonts w:ascii="Times New Roman" w:hAnsi="Times New Roman" w:cs="Times New Roman"/>
          <w:sz w:val="24"/>
          <w:szCs w:val="24"/>
        </w:rPr>
        <w:t xml:space="preserve"> 8</w:t>
      </w:r>
      <w:r w:rsidR="001E4228" w:rsidRPr="00626A06">
        <w:rPr>
          <w:rFonts w:ascii="Times New Roman" w:hAnsi="Times New Roman" w:cs="Times New Roman"/>
          <w:sz w:val="24"/>
          <w:szCs w:val="24"/>
          <w:vertAlign w:val="superscript"/>
        </w:rPr>
        <w:t>th</w:t>
      </w:r>
      <w:r w:rsidR="001E4228" w:rsidRPr="00626A06">
        <w:rPr>
          <w:rFonts w:ascii="Times New Roman" w:hAnsi="Times New Roman" w:cs="Times New Roman"/>
          <w:sz w:val="24"/>
          <w:szCs w:val="24"/>
        </w:rPr>
        <w:t xml:space="preserve"> Report. </w:t>
      </w:r>
      <w:r w:rsidR="001D42A9" w:rsidRPr="00626A06">
        <w:rPr>
          <w:rFonts w:ascii="Times New Roman" w:hAnsi="Times New Roman" w:cs="Times New Roman"/>
          <w:sz w:val="24"/>
          <w:szCs w:val="24"/>
        </w:rPr>
        <w:t>We do not divide liability for motor accidents acco</w:t>
      </w:r>
      <w:r w:rsidRPr="00626A06">
        <w:rPr>
          <w:rFonts w:ascii="Times New Roman" w:hAnsi="Times New Roman" w:cs="Times New Roman"/>
          <w:sz w:val="24"/>
          <w:szCs w:val="24"/>
        </w:rPr>
        <w:t>rding to the negligence of ‘vehicles</w:t>
      </w:r>
      <w:r w:rsidR="001D42A9" w:rsidRPr="00626A06">
        <w:rPr>
          <w:rFonts w:ascii="Times New Roman" w:hAnsi="Times New Roman" w:cs="Times New Roman"/>
          <w:sz w:val="24"/>
          <w:szCs w:val="24"/>
        </w:rPr>
        <w:t>’, but according to the negligence of individuals who may be drivers, passengers, pedestrians, cyclists,</w:t>
      </w:r>
      <w:r w:rsidRPr="00626A06">
        <w:rPr>
          <w:rFonts w:ascii="Times New Roman" w:hAnsi="Times New Roman" w:cs="Times New Roman"/>
          <w:sz w:val="24"/>
          <w:szCs w:val="24"/>
        </w:rPr>
        <w:t xml:space="preserve"> and so on, and any of these might be injured, or suffer property damage</w:t>
      </w:r>
      <w:r w:rsidR="001D42A9" w:rsidRPr="00626A06">
        <w:rPr>
          <w:rFonts w:ascii="Times New Roman" w:hAnsi="Times New Roman" w:cs="Times New Roman"/>
          <w:sz w:val="24"/>
          <w:szCs w:val="24"/>
        </w:rPr>
        <w:t xml:space="preserve">. </w:t>
      </w:r>
      <w:r w:rsidR="0078087B" w:rsidRPr="00626A06">
        <w:rPr>
          <w:rFonts w:ascii="Times New Roman" w:hAnsi="Times New Roman" w:cs="Times New Roman"/>
          <w:sz w:val="24"/>
          <w:szCs w:val="24"/>
        </w:rPr>
        <w:t xml:space="preserve">Indeed, the Admiralty courts </w:t>
      </w:r>
      <w:r w:rsidR="00DE4B53" w:rsidRPr="00626A06">
        <w:rPr>
          <w:rFonts w:ascii="Times New Roman" w:hAnsi="Times New Roman" w:cs="Times New Roman"/>
          <w:sz w:val="24"/>
          <w:szCs w:val="24"/>
        </w:rPr>
        <w:t xml:space="preserve">before the 1911 Act </w:t>
      </w:r>
      <w:r w:rsidR="0078087B" w:rsidRPr="00626A06">
        <w:rPr>
          <w:rFonts w:ascii="Times New Roman" w:hAnsi="Times New Roman" w:cs="Times New Roman"/>
          <w:sz w:val="24"/>
          <w:szCs w:val="24"/>
        </w:rPr>
        <w:t xml:space="preserve">had no jurisdiction over personal injury claims, which were </w:t>
      </w:r>
      <w:r w:rsidR="00E51AC6" w:rsidRPr="00626A06">
        <w:rPr>
          <w:rFonts w:ascii="Times New Roman" w:hAnsi="Times New Roman" w:cs="Times New Roman"/>
          <w:sz w:val="24"/>
          <w:szCs w:val="24"/>
        </w:rPr>
        <w:t xml:space="preserve">therefore </w:t>
      </w:r>
      <w:r w:rsidR="0078087B" w:rsidRPr="00626A06">
        <w:rPr>
          <w:rFonts w:ascii="Times New Roman" w:hAnsi="Times New Roman" w:cs="Times New Roman"/>
          <w:sz w:val="24"/>
          <w:szCs w:val="24"/>
        </w:rPr>
        <w:t xml:space="preserve">not treated in terms </w:t>
      </w:r>
      <w:r w:rsidR="00E51AC6" w:rsidRPr="00626A06">
        <w:rPr>
          <w:rFonts w:ascii="Times New Roman" w:hAnsi="Times New Roman" w:cs="Times New Roman"/>
          <w:sz w:val="24"/>
          <w:szCs w:val="24"/>
        </w:rPr>
        <w:t>of the relative liability of the colliding</w:t>
      </w:r>
      <w:r w:rsidR="0078087B" w:rsidRPr="00626A06">
        <w:rPr>
          <w:rFonts w:ascii="Times New Roman" w:hAnsi="Times New Roman" w:cs="Times New Roman"/>
          <w:sz w:val="24"/>
          <w:szCs w:val="24"/>
        </w:rPr>
        <w:t xml:space="preserve"> vessels; and the Fatal Accidents Act of 1846 did not confer power on the Admiralty Court to try an action for damages for death. Such actions were the subject of common law principles, and </w:t>
      </w:r>
      <w:r w:rsidR="00DE4B53" w:rsidRPr="00626A06">
        <w:rPr>
          <w:rFonts w:ascii="Times New Roman" w:hAnsi="Times New Roman" w:cs="Times New Roman"/>
          <w:sz w:val="24"/>
          <w:szCs w:val="24"/>
        </w:rPr>
        <w:t>the rule of division of loss did not apply to such claims. T</w:t>
      </w:r>
      <w:r w:rsidR="0078087B" w:rsidRPr="00626A06">
        <w:rPr>
          <w:rFonts w:ascii="Times New Roman" w:hAnsi="Times New Roman" w:cs="Times New Roman"/>
          <w:sz w:val="24"/>
          <w:szCs w:val="24"/>
        </w:rPr>
        <w:t>his</w:t>
      </w:r>
      <w:r w:rsidR="00DE4B53" w:rsidRPr="00626A06">
        <w:rPr>
          <w:rFonts w:ascii="Times New Roman" w:hAnsi="Times New Roman" w:cs="Times New Roman"/>
          <w:sz w:val="24"/>
          <w:szCs w:val="24"/>
        </w:rPr>
        <w:t xml:space="preserve"> was to the advantage of passengers and</w:t>
      </w:r>
      <w:r w:rsidR="00E51AC6" w:rsidRPr="00626A06">
        <w:rPr>
          <w:rFonts w:ascii="Times New Roman" w:hAnsi="Times New Roman" w:cs="Times New Roman"/>
          <w:sz w:val="24"/>
          <w:szCs w:val="24"/>
        </w:rPr>
        <w:t xml:space="preserve"> those members of the crew who</w:t>
      </w:r>
      <w:r w:rsidR="00DE4B53" w:rsidRPr="00626A06">
        <w:rPr>
          <w:rFonts w:ascii="Times New Roman" w:hAnsi="Times New Roman" w:cs="Times New Roman"/>
          <w:sz w:val="24"/>
          <w:szCs w:val="24"/>
        </w:rPr>
        <w:t xml:space="preserve"> had not through their own fault contributed to the collision;</w:t>
      </w:r>
      <w:r w:rsidR="004873FE" w:rsidRPr="00626A06">
        <w:rPr>
          <w:rStyle w:val="FootnoteReference"/>
          <w:rFonts w:ascii="Times New Roman" w:hAnsi="Times New Roman" w:cs="Times New Roman"/>
          <w:sz w:val="24"/>
          <w:szCs w:val="24"/>
        </w:rPr>
        <w:footnoteReference w:id="60"/>
      </w:r>
      <w:r w:rsidR="00DE4B53" w:rsidRPr="00626A06">
        <w:rPr>
          <w:rFonts w:ascii="Times New Roman" w:hAnsi="Times New Roman" w:cs="Times New Roman"/>
          <w:sz w:val="24"/>
          <w:szCs w:val="24"/>
        </w:rPr>
        <w:t xml:space="preserve"> and the principle</w:t>
      </w:r>
      <w:r w:rsidR="0078087B" w:rsidRPr="00626A06">
        <w:rPr>
          <w:rFonts w:ascii="Times New Roman" w:hAnsi="Times New Roman" w:cs="Times New Roman"/>
          <w:sz w:val="24"/>
          <w:szCs w:val="24"/>
        </w:rPr>
        <w:t xml:space="preserve"> remained under the 1911 Act</w:t>
      </w:r>
      <w:r w:rsidR="00DE4B53" w:rsidRPr="00626A06">
        <w:rPr>
          <w:rFonts w:ascii="Times New Roman" w:hAnsi="Times New Roman" w:cs="Times New Roman"/>
          <w:sz w:val="24"/>
          <w:szCs w:val="24"/>
        </w:rPr>
        <w:t xml:space="preserve"> despite changes in competence</w:t>
      </w:r>
      <w:r w:rsidR="0078087B" w:rsidRPr="00626A06">
        <w:rPr>
          <w:rFonts w:ascii="Times New Roman" w:hAnsi="Times New Roman" w:cs="Times New Roman"/>
          <w:sz w:val="24"/>
          <w:szCs w:val="24"/>
        </w:rPr>
        <w:t>.</w:t>
      </w:r>
      <w:r w:rsidR="0078087B" w:rsidRPr="00626A06">
        <w:rPr>
          <w:rStyle w:val="FootnoteReference"/>
          <w:rFonts w:ascii="Times New Roman" w:hAnsi="Times New Roman" w:cs="Times New Roman"/>
          <w:sz w:val="24"/>
          <w:szCs w:val="24"/>
        </w:rPr>
        <w:footnoteReference w:id="61"/>
      </w:r>
      <w:r w:rsidR="00DE4B53" w:rsidRPr="00626A06">
        <w:rPr>
          <w:rFonts w:ascii="Times New Roman" w:hAnsi="Times New Roman" w:cs="Times New Roman"/>
          <w:sz w:val="24"/>
          <w:szCs w:val="24"/>
        </w:rPr>
        <w:t xml:space="preserve"> This makes it all the more surprising that this precedent should have been </w:t>
      </w:r>
      <w:r w:rsidR="00E51AC6" w:rsidRPr="00626A06">
        <w:rPr>
          <w:rFonts w:ascii="Times New Roman" w:hAnsi="Times New Roman" w:cs="Times New Roman"/>
          <w:sz w:val="24"/>
          <w:szCs w:val="24"/>
        </w:rPr>
        <w:t xml:space="preserve">proposed </w:t>
      </w:r>
      <w:r w:rsidR="00DE4B53" w:rsidRPr="00626A06">
        <w:rPr>
          <w:rFonts w:ascii="Times New Roman" w:hAnsi="Times New Roman" w:cs="Times New Roman"/>
          <w:sz w:val="24"/>
          <w:szCs w:val="24"/>
        </w:rPr>
        <w:t>as the model for personal injuries on the roads.</w:t>
      </w:r>
    </w:p>
    <w:p w:rsidR="006D0037" w:rsidRPr="00626A06" w:rsidRDefault="001E4228"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Continuing this theme</w:t>
      </w:r>
      <w:r w:rsidR="00DA09F4" w:rsidRPr="00626A06">
        <w:rPr>
          <w:rFonts w:ascii="Times New Roman" w:hAnsi="Times New Roman" w:cs="Times New Roman"/>
          <w:sz w:val="24"/>
          <w:szCs w:val="24"/>
        </w:rPr>
        <w:t xml:space="preserve">, the terms </w:t>
      </w:r>
      <w:r w:rsidR="001D42A9" w:rsidRPr="00626A06">
        <w:rPr>
          <w:rFonts w:ascii="Times New Roman" w:hAnsi="Times New Roman" w:cs="Times New Roman"/>
          <w:sz w:val="24"/>
          <w:szCs w:val="24"/>
        </w:rPr>
        <w:t>of the Committee’s Recommendation, and of s</w:t>
      </w:r>
      <w:r w:rsidR="00207C6C">
        <w:rPr>
          <w:rFonts w:ascii="Times New Roman" w:hAnsi="Times New Roman" w:cs="Times New Roman"/>
          <w:sz w:val="24"/>
          <w:szCs w:val="24"/>
        </w:rPr>
        <w:t xml:space="preserve">ection </w:t>
      </w:r>
      <w:r w:rsidR="001D42A9" w:rsidRPr="00626A06">
        <w:rPr>
          <w:rFonts w:ascii="Times New Roman" w:hAnsi="Times New Roman" w:cs="Times New Roman"/>
          <w:sz w:val="24"/>
          <w:szCs w:val="24"/>
        </w:rPr>
        <w:t xml:space="preserve">1 </w:t>
      </w:r>
      <w:r w:rsidR="000F2EC8" w:rsidRPr="00626A06">
        <w:rPr>
          <w:rFonts w:ascii="Times New Roman" w:hAnsi="Times New Roman" w:cs="Times New Roman"/>
          <w:sz w:val="24"/>
          <w:szCs w:val="24"/>
        </w:rPr>
        <w:t>of the 1911 Act</w:t>
      </w:r>
      <w:r w:rsidRPr="00626A06">
        <w:rPr>
          <w:rFonts w:ascii="Times New Roman" w:hAnsi="Times New Roman" w:cs="Times New Roman"/>
          <w:sz w:val="24"/>
          <w:szCs w:val="24"/>
        </w:rPr>
        <w:t xml:space="preserve"> </w:t>
      </w:r>
      <w:r w:rsidR="001D42A9" w:rsidRPr="00626A06">
        <w:rPr>
          <w:rFonts w:ascii="Times New Roman" w:hAnsi="Times New Roman" w:cs="Times New Roman"/>
          <w:sz w:val="24"/>
          <w:szCs w:val="24"/>
        </w:rPr>
        <w:t xml:space="preserve">on which it was modelled, </w:t>
      </w:r>
      <w:r w:rsidR="00DA09F4" w:rsidRPr="00626A06">
        <w:rPr>
          <w:rFonts w:ascii="Times New Roman" w:hAnsi="Times New Roman" w:cs="Times New Roman"/>
          <w:sz w:val="24"/>
          <w:szCs w:val="24"/>
        </w:rPr>
        <w:t xml:space="preserve">when compared with the </w:t>
      </w:r>
      <w:r w:rsidR="00752814" w:rsidRPr="00626A06">
        <w:rPr>
          <w:rFonts w:ascii="Times New Roman" w:hAnsi="Times New Roman" w:cs="Times New Roman"/>
          <w:sz w:val="24"/>
          <w:szCs w:val="24"/>
        </w:rPr>
        <w:t xml:space="preserve">eventual </w:t>
      </w:r>
      <w:r w:rsidR="00DA09F4" w:rsidRPr="00626A06">
        <w:rPr>
          <w:rFonts w:ascii="Times New Roman" w:hAnsi="Times New Roman" w:cs="Times New Roman"/>
          <w:sz w:val="24"/>
          <w:szCs w:val="24"/>
        </w:rPr>
        <w:t xml:space="preserve">provisions of the 1945 Act give a clue to some of the key issues which complicated </w:t>
      </w:r>
      <w:r w:rsidR="001D42A9" w:rsidRPr="00626A06">
        <w:rPr>
          <w:rFonts w:ascii="Times New Roman" w:hAnsi="Times New Roman" w:cs="Times New Roman"/>
          <w:sz w:val="24"/>
          <w:szCs w:val="24"/>
        </w:rPr>
        <w:t>its drafting</w:t>
      </w:r>
      <w:r w:rsidR="00677E16" w:rsidRPr="00626A06">
        <w:rPr>
          <w:rFonts w:ascii="Times New Roman" w:hAnsi="Times New Roman" w:cs="Times New Roman"/>
          <w:sz w:val="24"/>
          <w:szCs w:val="24"/>
        </w:rPr>
        <w:t xml:space="preserve">. </w:t>
      </w:r>
      <w:r w:rsidR="00AB68C8" w:rsidRPr="00626A06">
        <w:rPr>
          <w:rFonts w:ascii="Times New Roman" w:hAnsi="Times New Roman" w:cs="Times New Roman"/>
          <w:sz w:val="24"/>
          <w:szCs w:val="24"/>
        </w:rPr>
        <w:t xml:space="preserve">Section 1 of </w:t>
      </w:r>
      <w:r w:rsidR="00752814" w:rsidRPr="00626A06">
        <w:rPr>
          <w:rFonts w:ascii="Times New Roman" w:hAnsi="Times New Roman" w:cs="Times New Roman"/>
          <w:sz w:val="24"/>
          <w:szCs w:val="24"/>
        </w:rPr>
        <w:t>the 1911 Act</w:t>
      </w:r>
      <w:r w:rsidR="001D42A9" w:rsidRPr="00626A06">
        <w:rPr>
          <w:rFonts w:ascii="Times New Roman" w:hAnsi="Times New Roman" w:cs="Times New Roman"/>
          <w:sz w:val="24"/>
          <w:szCs w:val="24"/>
        </w:rPr>
        <w:t xml:space="preserve"> is</w:t>
      </w:r>
      <w:r w:rsidR="00677E16" w:rsidRPr="00626A06">
        <w:rPr>
          <w:rFonts w:ascii="Times New Roman" w:hAnsi="Times New Roman" w:cs="Times New Roman"/>
          <w:sz w:val="24"/>
          <w:szCs w:val="24"/>
        </w:rPr>
        <w:t xml:space="preserve"> premised on the </w:t>
      </w:r>
      <w:r w:rsidR="001D42A9" w:rsidRPr="00626A06">
        <w:rPr>
          <w:rFonts w:ascii="Times New Roman" w:hAnsi="Times New Roman" w:cs="Times New Roman"/>
          <w:sz w:val="24"/>
          <w:szCs w:val="24"/>
        </w:rPr>
        <w:t>possibility or even the likelihood that both parties (in the maritime case, both ‘vessels’) have</w:t>
      </w:r>
      <w:r w:rsidR="00677E16" w:rsidRPr="00626A06">
        <w:rPr>
          <w:rFonts w:ascii="Times New Roman" w:hAnsi="Times New Roman" w:cs="Times New Roman"/>
          <w:sz w:val="24"/>
          <w:szCs w:val="24"/>
        </w:rPr>
        <w:t xml:space="preserve"> suffered harm</w:t>
      </w:r>
      <w:r w:rsidR="00BB6D44">
        <w:rPr>
          <w:rFonts w:ascii="Times New Roman" w:hAnsi="Times New Roman" w:cs="Times New Roman"/>
          <w:sz w:val="24"/>
          <w:szCs w:val="24"/>
        </w:rPr>
        <w:t>,</w:t>
      </w:r>
      <w:r w:rsidR="00DD383F" w:rsidRPr="00626A06">
        <w:rPr>
          <w:rFonts w:ascii="Times New Roman" w:hAnsi="Times New Roman" w:cs="Times New Roman"/>
          <w:sz w:val="24"/>
          <w:szCs w:val="24"/>
        </w:rPr>
        <w:t xml:space="preserve"> and that each is potentially liable to the other</w:t>
      </w:r>
      <w:r w:rsidR="00677E16" w:rsidRPr="00626A06">
        <w:rPr>
          <w:rFonts w:ascii="Times New Roman" w:hAnsi="Times New Roman" w:cs="Times New Roman"/>
          <w:sz w:val="24"/>
          <w:szCs w:val="24"/>
        </w:rPr>
        <w:t xml:space="preserve">. </w:t>
      </w:r>
      <w:r w:rsidR="00E65A57" w:rsidRPr="00626A06">
        <w:rPr>
          <w:rFonts w:ascii="Times New Roman" w:hAnsi="Times New Roman" w:cs="Times New Roman"/>
          <w:sz w:val="24"/>
          <w:szCs w:val="24"/>
        </w:rPr>
        <w:t>W</w:t>
      </w:r>
      <w:r w:rsidR="00DD383F" w:rsidRPr="00626A06">
        <w:rPr>
          <w:rFonts w:ascii="Times New Roman" w:hAnsi="Times New Roman" w:cs="Times New Roman"/>
          <w:sz w:val="24"/>
          <w:szCs w:val="24"/>
        </w:rPr>
        <w:t>here maritime collisions were concerned</w:t>
      </w:r>
      <w:r w:rsidR="00E610C7" w:rsidRPr="00626A06">
        <w:rPr>
          <w:rFonts w:ascii="Times New Roman" w:hAnsi="Times New Roman" w:cs="Times New Roman"/>
          <w:sz w:val="24"/>
          <w:szCs w:val="24"/>
        </w:rPr>
        <w:t xml:space="preserve">, the usual approach was to determine </w:t>
      </w:r>
      <w:r w:rsidR="00DD383F" w:rsidRPr="00626A06">
        <w:rPr>
          <w:rFonts w:ascii="Times New Roman" w:hAnsi="Times New Roman" w:cs="Times New Roman"/>
          <w:sz w:val="24"/>
          <w:szCs w:val="24"/>
        </w:rPr>
        <w:t xml:space="preserve">liability </w:t>
      </w:r>
      <w:r w:rsidR="00E610C7" w:rsidRPr="00626A06">
        <w:rPr>
          <w:rFonts w:ascii="Times New Roman" w:hAnsi="Times New Roman" w:cs="Times New Roman"/>
          <w:sz w:val="24"/>
          <w:szCs w:val="24"/>
        </w:rPr>
        <w:t>‘</w:t>
      </w:r>
      <w:r w:rsidR="00DD383F" w:rsidRPr="00626A06">
        <w:rPr>
          <w:rFonts w:ascii="Times New Roman" w:hAnsi="Times New Roman" w:cs="Times New Roman"/>
          <w:sz w:val="24"/>
          <w:szCs w:val="24"/>
        </w:rPr>
        <w:t>in consolidated cross-actions in which each party attributes the whole blame to the other party’.</w:t>
      </w:r>
      <w:r w:rsidR="00DD383F" w:rsidRPr="00626A06">
        <w:rPr>
          <w:rStyle w:val="FootnoteReference"/>
          <w:rFonts w:ascii="Times New Roman" w:hAnsi="Times New Roman" w:cs="Times New Roman"/>
          <w:sz w:val="24"/>
          <w:szCs w:val="24"/>
        </w:rPr>
        <w:footnoteReference w:id="62"/>
      </w:r>
      <w:r w:rsidR="00BB6D44">
        <w:rPr>
          <w:rFonts w:ascii="Times New Roman" w:hAnsi="Times New Roman" w:cs="Times New Roman"/>
          <w:sz w:val="24"/>
          <w:szCs w:val="24"/>
        </w:rPr>
        <w:t xml:space="preserve"> </w:t>
      </w:r>
      <w:r w:rsidR="003A714F" w:rsidRPr="00626A06">
        <w:rPr>
          <w:rFonts w:ascii="Times New Roman" w:hAnsi="Times New Roman" w:cs="Times New Roman"/>
          <w:sz w:val="24"/>
          <w:szCs w:val="24"/>
        </w:rPr>
        <w:t xml:space="preserve">Courts applying the </w:t>
      </w:r>
      <w:r w:rsidR="001D42A9" w:rsidRPr="00626A06">
        <w:rPr>
          <w:rFonts w:ascii="Times New Roman" w:hAnsi="Times New Roman" w:cs="Times New Roman"/>
          <w:sz w:val="24"/>
          <w:szCs w:val="24"/>
        </w:rPr>
        <w:t xml:space="preserve">Admiralty rule </w:t>
      </w:r>
      <w:r w:rsidR="003A714F" w:rsidRPr="00626A06">
        <w:rPr>
          <w:rFonts w:ascii="Times New Roman" w:hAnsi="Times New Roman" w:cs="Times New Roman"/>
          <w:sz w:val="24"/>
          <w:szCs w:val="24"/>
        </w:rPr>
        <w:t>would</w:t>
      </w:r>
      <w:r w:rsidR="001D42A9" w:rsidRPr="00626A06">
        <w:rPr>
          <w:rFonts w:ascii="Times New Roman" w:hAnsi="Times New Roman" w:cs="Times New Roman"/>
          <w:sz w:val="24"/>
          <w:szCs w:val="24"/>
        </w:rPr>
        <w:t xml:space="preserve"> add the total damage together and divide it according to fault, </w:t>
      </w:r>
      <w:r w:rsidR="00DD383F" w:rsidRPr="00626A06">
        <w:rPr>
          <w:rFonts w:ascii="Times New Roman" w:hAnsi="Times New Roman" w:cs="Times New Roman"/>
          <w:sz w:val="24"/>
          <w:szCs w:val="24"/>
        </w:rPr>
        <w:t>producing liability on one side only</w:t>
      </w:r>
      <w:r w:rsidR="00E610C7" w:rsidRPr="00626A06">
        <w:rPr>
          <w:rFonts w:ascii="Times New Roman" w:hAnsi="Times New Roman" w:cs="Times New Roman"/>
          <w:sz w:val="24"/>
          <w:szCs w:val="24"/>
        </w:rPr>
        <w:t xml:space="preserve"> (treated as a ‘single damage’)</w:t>
      </w:r>
      <w:r w:rsidR="00DD383F" w:rsidRPr="00626A06">
        <w:rPr>
          <w:rFonts w:ascii="Times New Roman" w:hAnsi="Times New Roman" w:cs="Times New Roman"/>
          <w:sz w:val="24"/>
          <w:szCs w:val="24"/>
        </w:rPr>
        <w:t>.</w:t>
      </w:r>
      <w:r w:rsidR="00E65A57" w:rsidRPr="00626A06">
        <w:rPr>
          <w:rFonts w:ascii="Times New Roman" w:hAnsi="Times New Roman" w:cs="Times New Roman"/>
          <w:sz w:val="24"/>
          <w:szCs w:val="24"/>
        </w:rPr>
        <w:t xml:space="preserve"> </w:t>
      </w:r>
      <w:r w:rsidR="00DD383F" w:rsidRPr="00626A06">
        <w:rPr>
          <w:rFonts w:ascii="Times New Roman" w:hAnsi="Times New Roman" w:cs="Times New Roman"/>
          <w:sz w:val="24"/>
          <w:szCs w:val="24"/>
        </w:rPr>
        <w:t>T</w:t>
      </w:r>
      <w:r w:rsidR="001D42A9" w:rsidRPr="00626A06">
        <w:rPr>
          <w:rFonts w:ascii="Times New Roman" w:hAnsi="Times New Roman" w:cs="Times New Roman"/>
          <w:sz w:val="24"/>
          <w:szCs w:val="24"/>
        </w:rPr>
        <w:t>his was replicated in the first draft of the</w:t>
      </w:r>
      <w:r w:rsidR="006D0037" w:rsidRPr="00626A06">
        <w:rPr>
          <w:rFonts w:ascii="Times New Roman" w:hAnsi="Times New Roman" w:cs="Times New Roman"/>
          <w:sz w:val="24"/>
          <w:szCs w:val="24"/>
        </w:rPr>
        <w:t xml:space="preserve"> reform, clause 3 of the Law Reform (Frustrated Contracts and Contributory Negligence) Bill 1943:</w:t>
      </w:r>
    </w:p>
    <w:p w:rsidR="006D0037" w:rsidRPr="00626A06" w:rsidRDefault="00BB6D44" w:rsidP="00626A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sidR="006D0037" w:rsidRPr="00626A06">
        <w:rPr>
          <w:rFonts w:ascii="Times New Roman" w:hAnsi="Times New Roman" w:cs="Times New Roman"/>
          <w:sz w:val="24"/>
          <w:szCs w:val="24"/>
        </w:rPr>
        <w:t>Where, as the result of the fault of two or more persons, damage (including loss of life or personal injury) is caused to one or more of those persons, the defence of contributory negligence shall not lie against any of those persons, but the liability in respect of the whole of the damage so caused shall be apportioned among those persons according to the degree to which each of those persons was at fault.</w:t>
      </w:r>
      <w:r>
        <w:rPr>
          <w:rFonts w:ascii="Times New Roman" w:hAnsi="Times New Roman" w:cs="Times New Roman"/>
          <w:sz w:val="24"/>
          <w:szCs w:val="24"/>
        </w:rPr>
        <w:t>’</w:t>
      </w:r>
      <w:r w:rsidR="006D0037" w:rsidRPr="00626A06">
        <w:rPr>
          <w:rStyle w:val="FootnoteReference"/>
          <w:rFonts w:ascii="Times New Roman" w:hAnsi="Times New Roman" w:cs="Times New Roman"/>
          <w:sz w:val="24"/>
          <w:szCs w:val="24"/>
        </w:rPr>
        <w:footnoteReference w:id="63"/>
      </w:r>
    </w:p>
    <w:p w:rsidR="001D42A9" w:rsidRPr="00626A06" w:rsidRDefault="00736A91"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If applied in </w:t>
      </w:r>
      <w:r w:rsidR="00383E4E" w:rsidRPr="00626A06">
        <w:rPr>
          <w:rFonts w:ascii="Times New Roman" w:hAnsi="Times New Roman" w:cs="Times New Roman"/>
          <w:sz w:val="24"/>
          <w:szCs w:val="24"/>
        </w:rPr>
        <w:t xml:space="preserve">an ordinary </w:t>
      </w:r>
      <w:r w:rsidRPr="00626A06">
        <w:rPr>
          <w:rFonts w:ascii="Times New Roman" w:hAnsi="Times New Roman" w:cs="Times New Roman"/>
          <w:sz w:val="24"/>
          <w:szCs w:val="24"/>
        </w:rPr>
        <w:t>road traffic accident</w:t>
      </w:r>
      <w:r w:rsidR="00383E4E" w:rsidRPr="00626A06">
        <w:rPr>
          <w:rFonts w:ascii="Times New Roman" w:hAnsi="Times New Roman" w:cs="Times New Roman"/>
          <w:sz w:val="24"/>
          <w:szCs w:val="24"/>
        </w:rPr>
        <w:t>, w</w:t>
      </w:r>
      <w:r w:rsidR="00752814" w:rsidRPr="00626A06">
        <w:rPr>
          <w:rFonts w:ascii="Times New Roman" w:hAnsi="Times New Roman" w:cs="Times New Roman"/>
          <w:sz w:val="24"/>
          <w:szCs w:val="24"/>
        </w:rPr>
        <w:t xml:space="preserve">as it always to be necessary to determine what damage the defendant </w:t>
      </w:r>
      <w:r w:rsidR="00CE1640" w:rsidRPr="00626A06">
        <w:rPr>
          <w:rFonts w:ascii="Times New Roman" w:hAnsi="Times New Roman" w:cs="Times New Roman"/>
          <w:sz w:val="24"/>
          <w:szCs w:val="24"/>
        </w:rPr>
        <w:t>– and indeed anyone else</w:t>
      </w:r>
      <w:r w:rsidR="00192CE7" w:rsidRPr="00626A06">
        <w:rPr>
          <w:rFonts w:ascii="Times New Roman" w:hAnsi="Times New Roman" w:cs="Times New Roman"/>
          <w:sz w:val="24"/>
          <w:szCs w:val="24"/>
        </w:rPr>
        <w:t xml:space="preserve"> – </w:t>
      </w:r>
      <w:r w:rsidR="00752814" w:rsidRPr="00626A06">
        <w:rPr>
          <w:rFonts w:ascii="Times New Roman" w:hAnsi="Times New Roman" w:cs="Times New Roman"/>
          <w:sz w:val="24"/>
          <w:szCs w:val="24"/>
        </w:rPr>
        <w:t xml:space="preserve">had suffered before determining what was due </w:t>
      </w:r>
      <w:r w:rsidR="00752814" w:rsidRPr="00626A06">
        <w:rPr>
          <w:rFonts w:ascii="Times New Roman" w:hAnsi="Times New Roman" w:cs="Times New Roman"/>
          <w:i/>
          <w:sz w:val="24"/>
          <w:szCs w:val="24"/>
        </w:rPr>
        <w:t>to</w:t>
      </w:r>
      <w:r w:rsidR="00752814" w:rsidRPr="00626A06">
        <w:rPr>
          <w:rFonts w:ascii="Times New Roman" w:hAnsi="Times New Roman" w:cs="Times New Roman"/>
          <w:sz w:val="24"/>
          <w:szCs w:val="24"/>
        </w:rPr>
        <w:t xml:space="preserve"> the claima</w:t>
      </w:r>
      <w:r w:rsidRPr="00626A06">
        <w:rPr>
          <w:rFonts w:ascii="Times New Roman" w:hAnsi="Times New Roman" w:cs="Times New Roman"/>
          <w:sz w:val="24"/>
          <w:szCs w:val="24"/>
        </w:rPr>
        <w:t>nt</w:t>
      </w:r>
      <w:r w:rsidR="003A31BE" w:rsidRPr="00626A06">
        <w:rPr>
          <w:rFonts w:ascii="Times New Roman" w:hAnsi="Times New Roman" w:cs="Times New Roman"/>
          <w:sz w:val="24"/>
          <w:szCs w:val="24"/>
        </w:rPr>
        <w:t xml:space="preserve"> – or, potentially, </w:t>
      </w:r>
      <w:r w:rsidR="003A31BE" w:rsidRPr="00626A06">
        <w:rPr>
          <w:rFonts w:ascii="Times New Roman" w:hAnsi="Times New Roman" w:cs="Times New Roman"/>
          <w:i/>
          <w:sz w:val="24"/>
          <w:szCs w:val="24"/>
        </w:rPr>
        <w:t xml:space="preserve">from </w:t>
      </w:r>
      <w:r w:rsidR="003A31BE" w:rsidRPr="00626A06">
        <w:rPr>
          <w:rFonts w:ascii="Times New Roman" w:hAnsi="Times New Roman" w:cs="Times New Roman"/>
          <w:sz w:val="24"/>
          <w:szCs w:val="24"/>
        </w:rPr>
        <w:t>the claimant</w:t>
      </w:r>
      <w:r w:rsidRPr="00626A06">
        <w:rPr>
          <w:rFonts w:ascii="Times New Roman" w:hAnsi="Times New Roman" w:cs="Times New Roman"/>
          <w:sz w:val="24"/>
          <w:szCs w:val="24"/>
        </w:rPr>
        <w:t>?</w:t>
      </w:r>
      <w:r w:rsidR="003A31BE" w:rsidRPr="00626A06">
        <w:rPr>
          <w:rStyle w:val="FootnoteReference"/>
          <w:rFonts w:ascii="Times New Roman" w:hAnsi="Times New Roman" w:cs="Times New Roman"/>
          <w:sz w:val="24"/>
          <w:szCs w:val="24"/>
        </w:rPr>
        <w:footnoteReference w:id="64"/>
      </w:r>
      <w:r w:rsidRPr="00626A06">
        <w:rPr>
          <w:rFonts w:ascii="Times New Roman" w:hAnsi="Times New Roman" w:cs="Times New Roman"/>
          <w:sz w:val="24"/>
          <w:szCs w:val="24"/>
        </w:rPr>
        <w:t xml:space="preserve"> The</w:t>
      </w:r>
      <w:r w:rsidR="00752814" w:rsidRPr="00626A06">
        <w:rPr>
          <w:rFonts w:ascii="Times New Roman" w:hAnsi="Times New Roman" w:cs="Times New Roman"/>
          <w:sz w:val="24"/>
          <w:szCs w:val="24"/>
        </w:rPr>
        <w:t xml:space="preserve"> inappropriateness was magnified in an industrial context given the difference in economic status between claimant and defendant.</w:t>
      </w:r>
      <w:r w:rsidR="0014511A" w:rsidRPr="00626A06">
        <w:rPr>
          <w:rFonts w:ascii="Times New Roman" w:hAnsi="Times New Roman" w:cs="Times New Roman"/>
          <w:sz w:val="24"/>
          <w:szCs w:val="24"/>
        </w:rPr>
        <w:t xml:space="preserve"> For example, were the relatives of a dead miner to be held to account for a proportion of the damage to the fabric of the mine,</w:t>
      </w:r>
      <w:r w:rsidR="00E75420" w:rsidRPr="00626A06">
        <w:rPr>
          <w:rFonts w:ascii="Times New Roman" w:hAnsi="Times New Roman" w:cs="Times New Roman"/>
          <w:sz w:val="24"/>
          <w:szCs w:val="24"/>
        </w:rPr>
        <w:t xml:space="preserve"> or to expensive machinery,</w:t>
      </w:r>
      <w:r w:rsidR="0014511A" w:rsidRPr="00626A06">
        <w:rPr>
          <w:rFonts w:ascii="Times New Roman" w:hAnsi="Times New Roman" w:cs="Times New Roman"/>
          <w:sz w:val="24"/>
          <w:szCs w:val="24"/>
        </w:rPr>
        <w:t xml:space="preserve"> if he had been partly to blame for the accident that led to his death?</w:t>
      </w:r>
      <w:r w:rsidR="00752814" w:rsidRPr="00626A06">
        <w:rPr>
          <w:rFonts w:ascii="Times New Roman" w:hAnsi="Times New Roman" w:cs="Times New Roman"/>
          <w:sz w:val="24"/>
          <w:szCs w:val="24"/>
        </w:rPr>
        <w:t xml:space="preserve"> </w:t>
      </w:r>
      <w:r w:rsidR="00B1331B" w:rsidRPr="00626A06">
        <w:rPr>
          <w:rFonts w:ascii="Times New Roman" w:hAnsi="Times New Roman" w:cs="Times New Roman"/>
          <w:sz w:val="24"/>
          <w:szCs w:val="24"/>
        </w:rPr>
        <w:t>This</w:t>
      </w:r>
      <w:r w:rsidR="002437FA" w:rsidRPr="00626A06">
        <w:rPr>
          <w:rFonts w:ascii="Times New Roman" w:hAnsi="Times New Roman" w:cs="Times New Roman"/>
          <w:sz w:val="24"/>
          <w:szCs w:val="24"/>
        </w:rPr>
        <w:t xml:space="preserve"> original version, like the Admiralty Rule, had much in common with </w:t>
      </w:r>
      <w:r w:rsidR="0063388E" w:rsidRPr="00626A06">
        <w:rPr>
          <w:rFonts w:ascii="Times New Roman" w:hAnsi="Times New Roman" w:cs="Times New Roman"/>
          <w:sz w:val="24"/>
          <w:szCs w:val="24"/>
        </w:rPr>
        <w:t xml:space="preserve">contribution </w:t>
      </w:r>
      <w:r w:rsidR="002437FA" w:rsidRPr="00626A06">
        <w:rPr>
          <w:rFonts w:ascii="Times New Roman" w:hAnsi="Times New Roman" w:cs="Times New Roman"/>
          <w:sz w:val="24"/>
          <w:szCs w:val="24"/>
        </w:rPr>
        <w:t xml:space="preserve">between </w:t>
      </w:r>
      <w:proofErr w:type="spellStart"/>
      <w:r w:rsidR="002437FA" w:rsidRPr="00626A06">
        <w:rPr>
          <w:rFonts w:ascii="Times New Roman" w:hAnsi="Times New Roman" w:cs="Times New Roman"/>
          <w:sz w:val="24"/>
          <w:szCs w:val="24"/>
        </w:rPr>
        <w:t>tortfeasors</w:t>
      </w:r>
      <w:proofErr w:type="spellEnd"/>
      <w:r w:rsidR="002437FA" w:rsidRPr="00626A06">
        <w:rPr>
          <w:rFonts w:ascii="Times New Roman" w:hAnsi="Times New Roman" w:cs="Times New Roman"/>
          <w:sz w:val="24"/>
          <w:szCs w:val="24"/>
        </w:rPr>
        <w:t>.</w:t>
      </w:r>
      <w:r w:rsidR="00117191" w:rsidRPr="00626A06">
        <w:rPr>
          <w:rStyle w:val="FootnoteReference"/>
          <w:rFonts w:ascii="Times New Roman" w:hAnsi="Times New Roman" w:cs="Times New Roman"/>
          <w:sz w:val="24"/>
          <w:szCs w:val="24"/>
        </w:rPr>
        <w:footnoteReference w:id="65"/>
      </w:r>
      <w:r w:rsidR="0065546F" w:rsidRPr="00626A06">
        <w:rPr>
          <w:rFonts w:ascii="Times New Roman" w:hAnsi="Times New Roman" w:cs="Times New Roman"/>
          <w:sz w:val="24"/>
          <w:szCs w:val="24"/>
        </w:rPr>
        <w:t xml:space="preserve"> </w:t>
      </w:r>
    </w:p>
    <w:p w:rsidR="002437FA" w:rsidRPr="00626A06" w:rsidRDefault="002437FA"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Apart from these observations about the brevity of the proposal (and the fact that it proved to be not quite suitable), it is also notable how many things are </w:t>
      </w:r>
      <w:r w:rsidR="001B4967" w:rsidRPr="00626A06">
        <w:rPr>
          <w:rFonts w:ascii="Times New Roman" w:hAnsi="Times New Roman" w:cs="Times New Roman"/>
          <w:sz w:val="24"/>
          <w:szCs w:val="24"/>
        </w:rPr>
        <w:t xml:space="preserve">absent from </w:t>
      </w:r>
      <w:r w:rsidRPr="00626A06">
        <w:rPr>
          <w:rFonts w:ascii="Times New Roman" w:hAnsi="Times New Roman" w:cs="Times New Roman"/>
          <w:sz w:val="24"/>
          <w:szCs w:val="24"/>
        </w:rPr>
        <w:t xml:space="preserve">the Report. Some of these omissions are probably entirely symptomatic of the general approach to the Committee and its role. Others, </w:t>
      </w:r>
      <w:r w:rsidR="00E47455" w:rsidRPr="00626A06">
        <w:rPr>
          <w:rFonts w:ascii="Times New Roman" w:hAnsi="Times New Roman" w:cs="Times New Roman"/>
          <w:sz w:val="24"/>
          <w:szCs w:val="24"/>
        </w:rPr>
        <w:t>a</w:t>
      </w:r>
      <w:r w:rsidR="00CE1640" w:rsidRPr="00626A06">
        <w:rPr>
          <w:rFonts w:ascii="Times New Roman" w:hAnsi="Times New Roman" w:cs="Times New Roman"/>
          <w:sz w:val="24"/>
          <w:szCs w:val="24"/>
        </w:rPr>
        <w:t xml:space="preserve">nd particularly the lack of reference to </w:t>
      </w:r>
      <w:r w:rsidR="00E47455" w:rsidRPr="00626A06">
        <w:rPr>
          <w:rFonts w:ascii="Times New Roman" w:hAnsi="Times New Roman" w:cs="Times New Roman"/>
          <w:sz w:val="24"/>
          <w:szCs w:val="24"/>
        </w:rPr>
        <w:t>case</w:t>
      </w:r>
      <w:r w:rsidR="00192CE7">
        <w:rPr>
          <w:rFonts w:ascii="Times New Roman" w:hAnsi="Times New Roman" w:cs="Times New Roman"/>
          <w:sz w:val="24"/>
          <w:szCs w:val="24"/>
        </w:rPr>
        <w:t>-</w:t>
      </w:r>
      <w:r w:rsidR="00E47455" w:rsidRPr="00626A06">
        <w:rPr>
          <w:rFonts w:ascii="Times New Roman" w:hAnsi="Times New Roman" w:cs="Times New Roman"/>
          <w:sz w:val="24"/>
          <w:szCs w:val="24"/>
        </w:rPr>
        <w:t>law relating to employees</w:t>
      </w:r>
      <w:r w:rsidR="00385E58" w:rsidRPr="00626A06">
        <w:rPr>
          <w:rFonts w:ascii="Times New Roman" w:hAnsi="Times New Roman" w:cs="Times New Roman"/>
          <w:sz w:val="24"/>
          <w:szCs w:val="24"/>
        </w:rPr>
        <w:t xml:space="preserve"> for injuries at work</w:t>
      </w:r>
      <w:r w:rsidRPr="00626A06">
        <w:rPr>
          <w:rFonts w:ascii="Times New Roman" w:hAnsi="Times New Roman" w:cs="Times New Roman"/>
          <w:sz w:val="24"/>
          <w:szCs w:val="24"/>
        </w:rPr>
        <w:t>, are more mysterious.</w:t>
      </w:r>
    </w:p>
    <w:p w:rsidR="00677E16" w:rsidRPr="00626A06" w:rsidRDefault="00B215C4"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First, t</w:t>
      </w:r>
      <w:r w:rsidR="00677E16" w:rsidRPr="00626A06">
        <w:rPr>
          <w:rFonts w:ascii="Times New Roman" w:hAnsi="Times New Roman" w:cs="Times New Roman"/>
          <w:sz w:val="24"/>
          <w:szCs w:val="24"/>
        </w:rPr>
        <w:t xml:space="preserve">he Committee </w:t>
      </w:r>
      <w:r w:rsidRPr="00626A06">
        <w:rPr>
          <w:rFonts w:ascii="Times New Roman" w:hAnsi="Times New Roman" w:cs="Times New Roman"/>
          <w:sz w:val="24"/>
          <w:szCs w:val="24"/>
        </w:rPr>
        <w:t>apparently</w:t>
      </w:r>
      <w:r w:rsidR="00867BF1" w:rsidRPr="00626A06">
        <w:rPr>
          <w:rFonts w:ascii="Times New Roman" w:hAnsi="Times New Roman" w:cs="Times New Roman"/>
          <w:sz w:val="24"/>
          <w:szCs w:val="24"/>
        </w:rPr>
        <w:t xml:space="preserve"> did not seek or receive the views of ‘interested’ parties</w:t>
      </w:r>
      <w:r w:rsidR="003F2673" w:rsidRPr="00626A06">
        <w:rPr>
          <w:rFonts w:ascii="Times New Roman" w:hAnsi="Times New Roman" w:cs="Times New Roman"/>
          <w:sz w:val="24"/>
          <w:szCs w:val="24"/>
        </w:rPr>
        <w:t>, such as insurers or (since the focus was on road accidents) solicitors conducting personal injury work</w:t>
      </w:r>
      <w:r w:rsidRPr="00626A06">
        <w:rPr>
          <w:rFonts w:ascii="Times New Roman" w:hAnsi="Times New Roman" w:cs="Times New Roman"/>
          <w:sz w:val="24"/>
          <w:szCs w:val="24"/>
        </w:rPr>
        <w:t xml:space="preserve">. </w:t>
      </w:r>
      <w:r w:rsidR="00E47455" w:rsidRPr="00626A06">
        <w:rPr>
          <w:rFonts w:ascii="Times New Roman" w:hAnsi="Times New Roman" w:cs="Times New Roman"/>
          <w:sz w:val="24"/>
          <w:szCs w:val="24"/>
        </w:rPr>
        <w:t xml:space="preserve">This was consistent with the general approach of the Committee, which was not </w:t>
      </w:r>
      <w:r w:rsidR="00736A91" w:rsidRPr="00626A06">
        <w:rPr>
          <w:rFonts w:ascii="Times New Roman" w:hAnsi="Times New Roman" w:cs="Times New Roman"/>
          <w:sz w:val="24"/>
          <w:szCs w:val="24"/>
        </w:rPr>
        <w:t>c</w:t>
      </w:r>
      <w:r w:rsidR="00677E16" w:rsidRPr="00626A06">
        <w:rPr>
          <w:rFonts w:ascii="Times New Roman" w:hAnsi="Times New Roman" w:cs="Times New Roman"/>
          <w:sz w:val="24"/>
          <w:szCs w:val="24"/>
        </w:rPr>
        <w:t>onsultative.</w:t>
      </w:r>
      <w:r w:rsidR="00C7269C" w:rsidRPr="00626A06">
        <w:rPr>
          <w:rStyle w:val="FootnoteReference"/>
          <w:rFonts w:ascii="Times New Roman" w:hAnsi="Times New Roman" w:cs="Times New Roman"/>
          <w:sz w:val="24"/>
          <w:szCs w:val="24"/>
        </w:rPr>
        <w:footnoteReference w:id="66"/>
      </w:r>
      <w:r w:rsidR="00677E16" w:rsidRPr="00626A06">
        <w:rPr>
          <w:rFonts w:ascii="Times New Roman" w:hAnsi="Times New Roman" w:cs="Times New Roman"/>
          <w:sz w:val="24"/>
          <w:szCs w:val="24"/>
        </w:rPr>
        <w:t xml:space="preserve"> Only one letter on file suggests any fact-finding </w:t>
      </w:r>
      <w:r w:rsidR="00E47455" w:rsidRPr="00626A06">
        <w:rPr>
          <w:rFonts w:ascii="Times New Roman" w:hAnsi="Times New Roman" w:cs="Times New Roman"/>
          <w:sz w:val="24"/>
          <w:szCs w:val="24"/>
        </w:rPr>
        <w:t>about the</w:t>
      </w:r>
      <w:r w:rsidR="00EC5B50" w:rsidRPr="00626A06">
        <w:rPr>
          <w:rFonts w:ascii="Times New Roman" w:hAnsi="Times New Roman" w:cs="Times New Roman"/>
          <w:sz w:val="24"/>
          <w:szCs w:val="24"/>
        </w:rPr>
        <w:t xml:space="preserve"> likely effect on the insurance</w:t>
      </w:r>
      <w:r w:rsidR="00E47455" w:rsidRPr="00626A06">
        <w:rPr>
          <w:rFonts w:ascii="Times New Roman" w:hAnsi="Times New Roman" w:cs="Times New Roman"/>
          <w:sz w:val="24"/>
          <w:szCs w:val="24"/>
        </w:rPr>
        <w:t xml:space="preserve"> position. This was </w:t>
      </w:r>
      <w:r w:rsidR="001117FC" w:rsidRPr="00626A06">
        <w:rPr>
          <w:rFonts w:ascii="Times New Roman" w:hAnsi="Times New Roman" w:cs="Times New Roman"/>
          <w:sz w:val="24"/>
          <w:szCs w:val="24"/>
        </w:rPr>
        <w:t xml:space="preserve">a reply </w:t>
      </w:r>
      <w:r w:rsidR="00E47455" w:rsidRPr="00626A06">
        <w:rPr>
          <w:rFonts w:ascii="Times New Roman" w:hAnsi="Times New Roman" w:cs="Times New Roman"/>
          <w:sz w:val="24"/>
          <w:szCs w:val="24"/>
        </w:rPr>
        <w:t xml:space="preserve">to AL </w:t>
      </w:r>
      <w:proofErr w:type="spellStart"/>
      <w:r w:rsidR="00E47455" w:rsidRPr="00626A06">
        <w:rPr>
          <w:rFonts w:ascii="Times New Roman" w:hAnsi="Times New Roman" w:cs="Times New Roman"/>
          <w:sz w:val="24"/>
          <w:szCs w:val="24"/>
        </w:rPr>
        <w:t>Goodhart</w:t>
      </w:r>
      <w:proofErr w:type="spellEnd"/>
      <w:r w:rsidR="00E47455" w:rsidRPr="00626A06">
        <w:rPr>
          <w:rFonts w:ascii="Times New Roman" w:hAnsi="Times New Roman" w:cs="Times New Roman"/>
          <w:sz w:val="24"/>
          <w:szCs w:val="24"/>
        </w:rPr>
        <w:t xml:space="preserve"> from the</w:t>
      </w:r>
      <w:r w:rsidR="00D92828" w:rsidRPr="00626A06">
        <w:rPr>
          <w:rFonts w:ascii="Times New Roman" w:hAnsi="Times New Roman" w:cs="Times New Roman"/>
          <w:sz w:val="24"/>
          <w:szCs w:val="24"/>
        </w:rPr>
        <w:t xml:space="preserve"> Ontario Department of Insurance</w:t>
      </w:r>
      <w:r w:rsidR="00E47455" w:rsidRPr="00626A06">
        <w:rPr>
          <w:rFonts w:ascii="Times New Roman" w:hAnsi="Times New Roman" w:cs="Times New Roman"/>
          <w:sz w:val="24"/>
          <w:szCs w:val="24"/>
        </w:rPr>
        <w:t xml:space="preserve">, confirming that </w:t>
      </w:r>
      <w:r w:rsidR="00D92828" w:rsidRPr="00626A06">
        <w:rPr>
          <w:rFonts w:ascii="Times New Roman" w:hAnsi="Times New Roman" w:cs="Times New Roman"/>
          <w:sz w:val="24"/>
          <w:szCs w:val="24"/>
        </w:rPr>
        <w:t xml:space="preserve">third party </w:t>
      </w:r>
      <w:r w:rsidR="00E47455" w:rsidRPr="00626A06">
        <w:rPr>
          <w:rFonts w:ascii="Times New Roman" w:hAnsi="Times New Roman" w:cs="Times New Roman"/>
          <w:sz w:val="24"/>
          <w:szCs w:val="24"/>
        </w:rPr>
        <w:t xml:space="preserve">insurance premiums </w:t>
      </w:r>
      <w:r w:rsidR="00D92828" w:rsidRPr="00626A06">
        <w:rPr>
          <w:rFonts w:ascii="Times New Roman" w:hAnsi="Times New Roman" w:cs="Times New Roman"/>
          <w:sz w:val="24"/>
          <w:szCs w:val="24"/>
        </w:rPr>
        <w:t>were ‘at present lower than they were during the years 1929 and 1930’</w:t>
      </w:r>
      <w:r w:rsidR="00677E16" w:rsidRPr="00626A06">
        <w:rPr>
          <w:rFonts w:ascii="Times New Roman" w:hAnsi="Times New Roman" w:cs="Times New Roman"/>
          <w:sz w:val="24"/>
          <w:szCs w:val="24"/>
        </w:rPr>
        <w:t>.</w:t>
      </w:r>
      <w:r w:rsidR="00D92828" w:rsidRPr="00626A06">
        <w:rPr>
          <w:rStyle w:val="FootnoteReference"/>
          <w:rFonts w:ascii="Times New Roman" w:hAnsi="Times New Roman" w:cs="Times New Roman"/>
          <w:sz w:val="24"/>
          <w:szCs w:val="24"/>
        </w:rPr>
        <w:footnoteReference w:id="67"/>
      </w:r>
      <w:r w:rsidR="00677E16" w:rsidRPr="00626A06">
        <w:rPr>
          <w:rFonts w:ascii="Times New Roman" w:hAnsi="Times New Roman" w:cs="Times New Roman"/>
          <w:sz w:val="24"/>
          <w:szCs w:val="24"/>
        </w:rPr>
        <w:t xml:space="preserve"> </w:t>
      </w:r>
      <w:r w:rsidR="00E47455" w:rsidRPr="00626A06">
        <w:rPr>
          <w:rFonts w:ascii="Times New Roman" w:hAnsi="Times New Roman" w:cs="Times New Roman"/>
          <w:sz w:val="24"/>
          <w:szCs w:val="24"/>
        </w:rPr>
        <w:t xml:space="preserve">This suggests that insurance costs were at least in the </w:t>
      </w:r>
      <w:r w:rsidR="00E47455" w:rsidRPr="00626A06">
        <w:rPr>
          <w:rFonts w:ascii="Times New Roman" w:hAnsi="Times New Roman" w:cs="Times New Roman"/>
          <w:sz w:val="24"/>
          <w:szCs w:val="24"/>
        </w:rPr>
        <w:lastRenderedPageBreak/>
        <w:t>mind</w:t>
      </w:r>
      <w:r w:rsidR="00867BF1" w:rsidRPr="00626A06">
        <w:rPr>
          <w:rFonts w:ascii="Times New Roman" w:hAnsi="Times New Roman" w:cs="Times New Roman"/>
          <w:sz w:val="24"/>
          <w:szCs w:val="24"/>
        </w:rPr>
        <w:t>s</w:t>
      </w:r>
      <w:r w:rsidR="00E47455" w:rsidRPr="00626A06">
        <w:rPr>
          <w:rFonts w:ascii="Times New Roman" w:hAnsi="Times New Roman" w:cs="Times New Roman"/>
          <w:sz w:val="24"/>
          <w:szCs w:val="24"/>
        </w:rPr>
        <w:t xml:space="preserve"> of the reformers,</w:t>
      </w:r>
      <w:r w:rsidR="00E47455" w:rsidRPr="00626A06">
        <w:rPr>
          <w:rStyle w:val="FootnoteReference"/>
          <w:rFonts w:ascii="Times New Roman" w:hAnsi="Times New Roman" w:cs="Times New Roman"/>
          <w:sz w:val="24"/>
          <w:szCs w:val="24"/>
        </w:rPr>
        <w:footnoteReference w:id="68"/>
      </w:r>
      <w:r w:rsidR="00E47455" w:rsidRPr="00626A06">
        <w:rPr>
          <w:rFonts w:ascii="Times New Roman" w:hAnsi="Times New Roman" w:cs="Times New Roman"/>
          <w:sz w:val="24"/>
          <w:szCs w:val="24"/>
        </w:rPr>
        <w:t xml:space="preserve"> though one would have thought that the difference between marine insurance</w:t>
      </w:r>
      <w:r w:rsidR="00111781" w:rsidRPr="00626A06">
        <w:rPr>
          <w:rFonts w:ascii="Times New Roman" w:hAnsi="Times New Roman" w:cs="Times New Roman"/>
          <w:sz w:val="24"/>
          <w:szCs w:val="24"/>
        </w:rPr>
        <w:t xml:space="preserve"> for </w:t>
      </w:r>
      <w:r w:rsidR="006C3EBF" w:rsidRPr="00626A06">
        <w:rPr>
          <w:rFonts w:ascii="Times New Roman" w:hAnsi="Times New Roman" w:cs="Times New Roman"/>
          <w:sz w:val="24"/>
          <w:szCs w:val="24"/>
        </w:rPr>
        <w:t xml:space="preserve">collision </w:t>
      </w:r>
      <w:r w:rsidR="00111781" w:rsidRPr="00626A06">
        <w:rPr>
          <w:rFonts w:ascii="Times New Roman" w:hAnsi="Times New Roman" w:cs="Times New Roman"/>
          <w:sz w:val="24"/>
          <w:szCs w:val="24"/>
        </w:rPr>
        <w:t>damage</w:t>
      </w:r>
      <w:r w:rsidR="00E47455" w:rsidRPr="00626A06">
        <w:rPr>
          <w:rFonts w:ascii="Times New Roman" w:hAnsi="Times New Roman" w:cs="Times New Roman"/>
          <w:sz w:val="24"/>
          <w:szCs w:val="24"/>
        </w:rPr>
        <w:t>, and motor insurance</w:t>
      </w:r>
      <w:r w:rsidR="00111781" w:rsidRPr="00626A06">
        <w:rPr>
          <w:rFonts w:ascii="Times New Roman" w:hAnsi="Times New Roman" w:cs="Times New Roman"/>
          <w:sz w:val="24"/>
          <w:szCs w:val="24"/>
        </w:rPr>
        <w:t xml:space="preserve"> for personal injury liabilities</w:t>
      </w:r>
      <w:r w:rsidR="00E47455" w:rsidRPr="00626A06">
        <w:rPr>
          <w:rFonts w:ascii="Times New Roman" w:hAnsi="Times New Roman" w:cs="Times New Roman"/>
          <w:sz w:val="24"/>
          <w:szCs w:val="24"/>
        </w:rPr>
        <w:t xml:space="preserve"> </w:t>
      </w:r>
      <w:r w:rsidR="00CE1640" w:rsidRPr="00626A06">
        <w:rPr>
          <w:rFonts w:ascii="Times New Roman" w:hAnsi="Times New Roman" w:cs="Times New Roman"/>
          <w:sz w:val="24"/>
          <w:szCs w:val="24"/>
        </w:rPr>
        <w:t>(then quite newly subject to a compulsory third party regime)</w:t>
      </w:r>
      <w:r w:rsidR="006C3EBF" w:rsidRPr="00626A06">
        <w:rPr>
          <w:rFonts w:ascii="Times New Roman" w:hAnsi="Times New Roman" w:cs="Times New Roman"/>
          <w:sz w:val="24"/>
          <w:szCs w:val="24"/>
        </w:rPr>
        <w:t xml:space="preserve">, </w:t>
      </w:r>
      <w:r w:rsidR="00E47455" w:rsidRPr="00626A06">
        <w:rPr>
          <w:rFonts w:ascii="Times New Roman" w:hAnsi="Times New Roman" w:cs="Times New Roman"/>
          <w:sz w:val="24"/>
          <w:szCs w:val="24"/>
        </w:rPr>
        <w:t>would have been worth exploring.</w:t>
      </w:r>
      <w:r w:rsidR="00867BF1" w:rsidRPr="00626A06">
        <w:rPr>
          <w:rFonts w:ascii="Times New Roman" w:hAnsi="Times New Roman" w:cs="Times New Roman"/>
          <w:sz w:val="24"/>
          <w:szCs w:val="24"/>
        </w:rPr>
        <w:t xml:space="preserve"> </w:t>
      </w:r>
    </w:p>
    <w:p w:rsidR="005A3765" w:rsidRPr="00626A06" w:rsidRDefault="004660C6"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most glaring </w:t>
      </w:r>
      <w:r w:rsidR="0054455C" w:rsidRPr="00626A06">
        <w:rPr>
          <w:rFonts w:ascii="Times New Roman" w:hAnsi="Times New Roman" w:cs="Times New Roman"/>
          <w:sz w:val="24"/>
          <w:szCs w:val="24"/>
        </w:rPr>
        <w:t xml:space="preserve">omission </w:t>
      </w:r>
      <w:r w:rsidRPr="00626A06">
        <w:rPr>
          <w:rFonts w:ascii="Times New Roman" w:hAnsi="Times New Roman" w:cs="Times New Roman"/>
          <w:sz w:val="24"/>
          <w:szCs w:val="24"/>
        </w:rPr>
        <w:t xml:space="preserve">however </w:t>
      </w:r>
      <w:r w:rsidR="0054455C" w:rsidRPr="00626A06">
        <w:rPr>
          <w:rFonts w:ascii="Times New Roman" w:hAnsi="Times New Roman" w:cs="Times New Roman"/>
          <w:sz w:val="24"/>
          <w:szCs w:val="24"/>
        </w:rPr>
        <w:t xml:space="preserve">is any </w:t>
      </w:r>
      <w:r w:rsidRPr="00626A06">
        <w:rPr>
          <w:rFonts w:ascii="Times New Roman" w:hAnsi="Times New Roman" w:cs="Times New Roman"/>
          <w:sz w:val="24"/>
          <w:szCs w:val="24"/>
        </w:rPr>
        <w:t xml:space="preserve">single </w:t>
      </w:r>
      <w:r w:rsidR="0054455C" w:rsidRPr="00626A06">
        <w:rPr>
          <w:rFonts w:ascii="Times New Roman" w:hAnsi="Times New Roman" w:cs="Times New Roman"/>
          <w:sz w:val="24"/>
          <w:szCs w:val="24"/>
        </w:rPr>
        <w:t>reference to employment claims</w:t>
      </w:r>
      <w:r w:rsidRPr="00626A06">
        <w:rPr>
          <w:rFonts w:ascii="Times New Roman" w:hAnsi="Times New Roman" w:cs="Times New Roman"/>
          <w:sz w:val="24"/>
          <w:szCs w:val="24"/>
        </w:rPr>
        <w:t xml:space="preserve"> at common law</w:t>
      </w:r>
      <w:r w:rsidR="0054455C" w:rsidRPr="00626A06">
        <w:rPr>
          <w:rFonts w:ascii="Times New Roman" w:hAnsi="Times New Roman" w:cs="Times New Roman"/>
          <w:sz w:val="24"/>
          <w:szCs w:val="24"/>
        </w:rPr>
        <w:t>.</w:t>
      </w:r>
      <w:r w:rsidRPr="00626A06">
        <w:rPr>
          <w:rFonts w:ascii="Times New Roman" w:hAnsi="Times New Roman" w:cs="Times New Roman"/>
          <w:sz w:val="24"/>
          <w:szCs w:val="24"/>
        </w:rPr>
        <w:t xml:space="preserve"> </w:t>
      </w:r>
      <w:r w:rsidR="003D4D61" w:rsidRPr="00626A06">
        <w:rPr>
          <w:rFonts w:ascii="Times New Roman" w:hAnsi="Times New Roman" w:cs="Times New Roman"/>
          <w:sz w:val="24"/>
          <w:szCs w:val="24"/>
        </w:rPr>
        <w:t>F</w:t>
      </w:r>
      <w:r w:rsidR="0054455C" w:rsidRPr="00626A06">
        <w:rPr>
          <w:rFonts w:ascii="Times New Roman" w:hAnsi="Times New Roman" w:cs="Times New Roman"/>
          <w:sz w:val="24"/>
          <w:szCs w:val="24"/>
        </w:rPr>
        <w:t>ew people could have been more aware of the</w:t>
      </w:r>
      <w:r w:rsidR="003D4D61" w:rsidRPr="00626A06">
        <w:rPr>
          <w:rFonts w:ascii="Times New Roman" w:hAnsi="Times New Roman" w:cs="Times New Roman"/>
          <w:sz w:val="24"/>
          <w:szCs w:val="24"/>
        </w:rPr>
        <w:t xml:space="preserve"> role of contributory negligence</w:t>
      </w:r>
      <w:r w:rsidR="0054455C" w:rsidRPr="00626A06">
        <w:rPr>
          <w:rFonts w:ascii="Times New Roman" w:hAnsi="Times New Roman" w:cs="Times New Roman"/>
          <w:sz w:val="24"/>
          <w:szCs w:val="24"/>
        </w:rPr>
        <w:t xml:space="preserve"> in such cases than Lord</w:t>
      </w:r>
      <w:r w:rsidR="00867BF1" w:rsidRPr="00626A06">
        <w:rPr>
          <w:rFonts w:ascii="Times New Roman" w:hAnsi="Times New Roman" w:cs="Times New Roman"/>
          <w:sz w:val="24"/>
          <w:szCs w:val="24"/>
        </w:rPr>
        <w:t>s Wright</w:t>
      </w:r>
      <w:r w:rsidR="0054455C" w:rsidRPr="00626A06">
        <w:rPr>
          <w:rFonts w:ascii="Times New Roman" w:hAnsi="Times New Roman" w:cs="Times New Roman"/>
          <w:sz w:val="24"/>
          <w:szCs w:val="24"/>
        </w:rPr>
        <w:t xml:space="preserve"> and Porter. Both were involved in hearing the case of </w:t>
      </w:r>
      <w:r w:rsidR="0054455C" w:rsidRPr="00626A06">
        <w:rPr>
          <w:rFonts w:ascii="Times New Roman" w:hAnsi="Times New Roman" w:cs="Times New Roman"/>
          <w:i/>
          <w:sz w:val="24"/>
          <w:szCs w:val="24"/>
        </w:rPr>
        <w:t xml:space="preserve">Caswell v Powell </w:t>
      </w:r>
      <w:proofErr w:type="spellStart"/>
      <w:r w:rsidR="0054455C" w:rsidRPr="00626A06">
        <w:rPr>
          <w:rFonts w:ascii="Times New Roman" w:hAnsi="Times New Roman" w:cs="Times New Roman"/>
          <w:i/>
          <w:sz w:val="24"/>
          <w:szCs w:val="24"/>
        </w:rPr>
        <w:t>Duffryn</w:t>
      </w:r>
      <w:proofErr w:type="spellEnd"/>
      <w:r w:rsidR="0054455C" w:rsidRPr="00626A06">
        <w:rPr>
          <w:rFonts w:ascii="Times New Roman" w:hAnsi="Times New Roman" w:cs="Times New Roman"/>
          <w:i/>
          <w:sz w:val="24"/>
          <w:szCs w:val="24"/>
        </w:rPr>
        <w:t xml:space="preserve"> Associated Collieries </w:t>
      </w:r>
      <w:r w:rsidR="0054455C" w:rsidRPr="00626A06">
        <w:rPr>
          <w:rFonts w:ascii="Times New Roman" w:hAnsi="Times New Roman" w:cs="Times New Roman"/>
          <w:sz w:val="24"/>
          <w:szCs w:val="24"/>
        </w:rPr>
        <w:t xml:space="preserve">at the </w:t>
      </w:r>
      <w:r w:rsidR="00117191" w:rsidRPr="00626A06">
        <w:rPr>
          <w:rFonts w:ascii="Times New Roman" w:hAnsi="Times New Roman" w:cs="Times New Roman"/>
          <w:sz w:val="24"/>
          <w:szCs w:val="24"/>
        </w:rPr>
        <w:t xml:space="preserve">very </w:t>
      </w:r>
      <w:r w:rsidR="0054455C" w:rsidRPr="00626A06">
        <w:rPr>
          <w:rFonts w:ascii="Times New Roman" w:hAnsi="Times New Roman" w:cs="Times New Roman"/>
          <w:sz w:val="24"/>
          <w:szCs w:val="24"/>
        </w:rPr>
        <w:t>time the Report was published.</w:t>
      </w:r>
      <w:bookmarkStart w:id="17" w:name="_Ref319269040"/>
      <w:r w:rsidR="00117191" w:rsidRPr="00626A06">
        <w:rPr>
          <w:rStyle w:val="FootnoteReference"/>
          <w:rFonts w:ascii="Times New Roman" w:hAnsi="Times New Roman" w:cs="Times New Roman"/>
          <w:sz w:val="24"/>
          <w:szCs w:val="24"/>
        </w:rPr>
        <w:footnoteReference w:id="69"/>
      </w:r>
      <w:bookmarkEnd w:id="17"/>
      <w:r w:rsidR="0054455C" w:rsidRPr="00626A06">
        <w:rPr>
          <w:rFonts w:ascii="Times New Roman" w:hAnsi="Times New Roman" w:cs="Times New Roman"/>
          <w:sz w:val="24"/>
          <w:szCs w:val="24"/>
        </w:rPr>
        <w:t xml:space="preserve"> Lord Wright had, before that, been centrally involved in the decision in </w:t>
      </w:r>
      <w:r w:rsidR="0054455C" w:rsidRPr="00626A06">
        <w:rPr>
          <w:rFonts w:ascii="Times New Roman" w:hAnsi="Times New Roman" w:cs="Times New Roman"/>
          <w:i/>
          <w:sz w:val="24"/>
          <w:szCs w:val="24"/>
        </w:rPr>
        <w:t>Flower v Ebbw Vale Steel, Iron and Coal Company Ltd</w:t>
      </w:r>
      <w:r w:rsidR="0054455C" w:rsidRPr="00626A06">
        <w:rPr>
          <w:rFonts w:ascii="Times New Roman" w:hAnsi="Times New Roman" w:cs="Times New Roman"/>
          <w:sz w:val="24"/>
          <w:szCs w:val="24"/>
        </w:rPr>
        <w:t>.</w:t>
      </w:r>
      <w:r w:rsidR="00117191" w:rsidRPr="00626A06">
        <w:rPr>
          <w:rStyle w:val="FootnoteReference"/>
          <w:rFonts w:ascii="Times New Roman" w:hAnsi="Times New Roman" w:cs="Times New Roman"/>
          <w:sz w:val="24"/>
          <w:szCs w:val="24"/>
        </w:rPr>
        <w:footnoteReference w:id="70"/>
      </w:r>
      <w:r w:rsidR="0054455C" w:rsidRPr="00626A06">
        <w:rPr>
          <w:rFonts w:ascii="Times New Roman" w:hAnsi="Times New Roman" w:cs="Times New Roman"/>
          <w:sz w:val="24"/>
          <w:szCs w:val="24"/>
        </w:rPr>
        <w:t xml:space="preserve"> In both of these cases,</w:t>
      </w:r>
      <w:r w:rsidR="00F86ACC" w:rsidRPr="00626A06">
        <w:rPr>
          <w:rFonts w:ascii="Times New Roman" w:hAnsi="Times New Roman" w:cs="Times New Roman"/>
          <w:sz w:val="24"/>
          <w:szCs w:val="24"/>
        </w:rPr>
        <w:t xml:space="preserve"> while accepting that contributory negligence was an available defence in an action for breach of statutory duty,</w:t>
      </w:r>
      <w:r w:rsidR="0054455C" w:rsidRPr="00626A06">
        <w:rPr>
          <w:rFonts w:ascii="Times New Roman" w:hAnsi="Times New Roman" w:cs="Times New Roman"/>
          <w:sz w:val="24"/>
          <w:szCs w:val="24"/>
        </w:rPr>
        <w:t xml:space="preserve"> </w:t>
      </w:r>
      <w:r w:rsidR="005B4BF0" w:rsidRPr="00626A06">
        <w:rPr>
          <w:rFonts w:ascii="Times New Roman" w:hAnsi="Times New Roman" w:cs="Times New Roman"/>
          <w:sz w:val="24"/>
          <w:szCs w:val="24"/>
        </w:rPr>
        <w:t>Lord Wright</w:t>
      </w:r>
      <w:r w:rsidR="0054455C" w:rsidRPr="00626A06">
        <w:rPr>
          <w:rFonts w:ascii="Times New Roman" w:hAnsi="Times New Roman" w:cs="Times New Roman"/>
          <w:sz w:val="24"/>
          <w:szCs w:val="24"/>
        </w:rPr>
        <w:t xml:space="preserve"> argued strongly that very tight criteria applied to the contributory negligence defence in cases where the defendant had breached</w:t>
      </w:r>
      <w:r w:rsidR="008527BA" w:rsidRPr="00626A06">
        <w:rPr>
          <w:rFonts w:ascii="Times New Roman" w:hAnsi="Times New Roman" w:cs="Times New Roman"/>
          <w:sz w:val="24"/>
          <w:szCs w:val="24"/>
        </w:rPr>
        <w:t xml:space="preserve"> </w:t>
      </w:r>
      <w:r w:rsidR="007E69CB" w:rsidRPr="00626A06">
        <w:rPr>
          <w:rFonts w:ascii="Times New Roman" w:hAnsi="Times New Roman" w:cs="Times New Roman"/>
          <w:sz w:val="24"/>
          <w:szCs w:val="24"/>
        </w:rPr>
        <w:t>a statutory duty</w:t>
      </w:r>
      <w:r w:rsidR="006E204C" w:rsidRPr="00626A06">
        <w:rPr>
          <w:rFonts w:ascii="Times New Roman" w:hAnsi="Times New Roman" w:cs="Times New Roman"/>
          <w:sz w:val="24"/>
          <w:szCs w:val="24"/>
        </w:rPr>
        <w:t>, plainly intending to limit its application in such cases</w:t>
      </w:r>
      <w:r w:rsidR="0054455C" w:rsidRPr="00626A06">
        <w:rPr>
          <w:rFonts w:ascii="Times New Roman" w:hAnsi="Times New Roman" w:cs="Times New Roman"/>
          <w:sz w:val="24"/>
          <w:szCs w:val="24"/>
        </w:rPr>
        <w:t>.</w:t>
      </w:r>
      <w:r w:rsidR="00EE6E88" w:rsidRPr="00626A06">
        <w:rPr>
          <w:rFonts w:ascii="Times New Roman" w:hAnsi="Times New Roman" w:cs="Times New Roman"/>
          <w:sz w:val="24"/>
          <w:szCs w:val="24"/>
        </w:rPr>
        <w:t xml:space="preserve"> </w:t>
      </w:r>
      <w:r w:rsidR="00F86ACC" w:rsidRPr="00626A06">
        <w:rPr>
          <w:rFonts w:ascii="Times New Roman" w:hAnsi="Times New Roman" w:cs="Times New Roman"/>
          <w:sz w:val="24"/>
          <w:szCs w:val="24"/>
        </w:rPr>
        <w:t xml:space="preserve">In </w:t>
      </w:r>
      <w:r w:rsidR="00F86ACC" w:rsidRPr="00626A06">
        <w:rPr>
          <w:rFonts w:ascii="Times New Roman" w:hAnsi="Times New Roman" w:cs="Times New Roman"/>
          <w:i/>
          <w:sz w:val="24"/>
          <w:szCs w:val="24"/>
        </w:rPr>
        <w:t>Flower</w:t>
      </w:r>
      <w:r w:rsidR="00F86ACC" w:rsidRPr="00626A06">
        <w:rPr>
          <w:rFonts w:ascii="Times New Roman" w:hAnsi="Times New Roman" w:cs="Times New Roman"/>
          <w:sz w:val="24"/>
          <w:szCs w:val="24"/>
        </w:rPr>
        <w:t>, Lord Wright had been the only member of the House of Lords prepared to make a statement as to the applicable principles, rather than merely reinstating the judge’s opinion of the facts.</w:t>
      </w:r>
      <w:r w:rsidR="00EE6E88" w:rsidRPr="00626A06">
        <w:rPr>
          <w:rFonts w:ascii="Times New Roman" w:hAnsi="Times New Roman" w:cs="Times New Roman"/>
          <w:sz w:val="24"/>
          <w:szCs w:val="24"/>
          <w:vertAlign w:val="superscript"/>
        </w:rPr>
        <w:t xml:space="preserve"> </w:t>
      </w:r>
      <w:bookmarkStart w:id="18" w:name="_Ref319261294"/>
      <w:r w:rsidR="00EE6E88" w:rsidRPr="00626A06">
        <w:rPr>
          <w:rFonts w:ascii="Times New Roman" w:hAnsi="Times New Roman" w:cs="Times New Roman"/>
          <w:sz w:val="24"/>
          <w:szCs w:val="24"/>
          <w:vertAlign w:val="superscript"/>
        </w:rPr>
        <w:footnoteReference w:id="71"/>
      </w:r>
      <w:bookmarkEnd w:id="18"/>
      <w:r w:rsidR="00EE6E88" w:rsidRPr="00626A06">
        <w:rPr>
          <w:rFonts w:ascii="Times New Roman" w:hAnsi="Times New Roman" w:cs="Times New Roman"/>
          <w:sz w:val="24"/>
          <w:szCs w:val="24"/>
          <w:vertAlign w:val="superscript"/>
        </w:rPr>
        <w:t xml:space="preserve"> </w:t>
      </w:r>
      <w:r w:rsidR="006C290A" w:rsidRPr="00626A06">
        <w:rPr>
          <w:rFonts w:ascii="Times New Roman" w:hAnsi="Times New Roman" w:cs="Times New Roman"/>
          <w:sz w:val="24"/>
          <w:szCs w:val="24"/>
        </w:rPr>
        <w:t xml:space="preserve">A similar approach to the relevant principles was articulated by another member of the Committee, Goddard LJ, after the Report. In </w:t>
      </w:r>
      <w:r w:rsidR="006C290A" w:rsidRPr="00626A06">
        <w:rPr>
          <w:rFonts w:ascii="Times New Roman" w:hAnsi="Times New Roman" w:cs="Times New Roman"/>
          <w:i/>
          <w:sz w:val="24"/>
          <w:szCs w:val="24"/>
        </w:rPr>
        <w:t>Hutchinson v London and North Eastern Railway</w:t>
      </w:r>
      <w:r w:rsidR="006C290A" w:rsidRPr="00626A06">
        <w:rPr>
          <w:rFonts w:ascii="Times New Roman" w:hAnsi="Times New Roman" w:cs="Times New Roman"/>
          <w:sz w:val="24"/>
          <w:szCs w:val="24"/>
        </w:rPr>
        <w:t>,</w:t>
      </w:r>
      <w:bookmarkStart w:id="19" w:name="_Ref319269680"/>
      <w:r w:rsidR="006C290A" w:rsidRPr="00626A06">
        <w:rPr>
          <w:rStyle w:val="FootnoteReference"/>
          <w:rFonts w:ascii="Times New Roman" w:hAnsi="Times New Roman" w:cs="Times New Roman"/>
          <w:sz w:val="24"/>
          <w:szCs w:val="24"/>
        </w:rPr>
        <w:footnoteReference w:id="72"/>
      </w:r>
      <w:bookmarkEnd w:id="19"/>
      <w:r w:rsidR="006C290A" w:rsidRPr="00626A06">
        <w:rPr>
          <w:rFonts w:ascii="Times New Roman" w:hAnsi="Times New Roman" w:cs="Times New Roman"/>
          <w:sz w:val="24"/>
          <w:szCs w:val="24"/>
        </w:rPr>
        <w:t xml:space="preserve"> Goddard LJ said that it was ‘only too common’ to see pleas of contributory negligence where an employer had breached a statutory duty. In such a case, ‘I always direct myself to be exceedingly chary of finding contributory negligence where the contributory negligence alleged was the very thing which the statutory duty of the employer was designed to prevent’.</w:t>
      </w:r>
      <w:r w:rsidR="001D48BE" w:rsidRPr="00626A06">
        <w:rPr>
          <w:rFonts w:ascii="Times New Roman" w:hAnsi="Times New Roman" w:cs="Times New Roman"/>
          <w:sz w:val="24"/>
          <w:szCs w:val="24"/>
        </w:rPr>
        <w:t xml:space="preserve"> But the direction of development was not </w:t>
      </w:r>
      <w:r w:rsidR="001D48BE" w:rsidRPr="00626A06">
        <w:rPr>
          <w:rFonts w:ascii="Times New Roman" w:hAnsi="Times New Roman" w:cs="Times New Roman"/>
          <w:sz w:val="24"/>
          <w:szCs w:val="24"/>
        </w:rPr>
        <w:lastRenderedPageBreak/>
        <w:t xml:space="preserve">uniform. </w:t>
      </w:r>
      <w:r w:rsidR="00EB6D44" w:rsidRPr="00626A06">
        <w:rPr>
          <w:rFonts w:ascii="Times New Roman" w:hAnsi="Times New Roman" w:cs="Times New Roman"/>
          <w:sz w:val="24"/>
          <w:szCs w:val="24"/>
        </w:rPr>
        <w:t>I</w:t>
      </w:r>
      <w:r w:rsidR="00160289" w:rsidRPr="00626A06">
        <w:rPr>
          <w:rFonts w:ascii="Times New Roman" w:hAnsi="Times New Roman" w:cs="Times New Roman"/>
          <w:sz w:val="24"/>
          <w:szCs w:val="24"/>
        </w:rPr>
        <w:t xml:space="preserve">t was </w:t>
      </w:r>
      <w:r w:rsidR="001D48BE" w:rsidRPr="00626A06">
        <w:rPr>
          <w:rFonts w:ascii="Times New Roman" w:hAnsi="Times New Roman" w:cs="Times New Roman"/>
          <w:sz w:val="24"/>
          <w:szCs w:val="24"/>
        </w:rPr>
        <w:t xml:space="preserve">Lord Simon </w:t>
      </w:r>
      <w:r w:rsidR="00407913" w:rsidRPr="00626A06">
        <w:rPr>
          <w:rFonts w:ascii="Times New Roman" w:hAnsi="Times New Roman" w:cs="Times New Roman"/>
          <w:sz w:val="24"/>
          <w:szCs w:val="24"/>
        </w:rPr>
        <w:t xml:space="preserve">himself </w:t>
      </w:r>
      <w:r w:rsidR="00160289" w:rsidRPr="00626A06">
        <w:rPr>
          <w:rFonts w:ascii="Times New Roman" w:hAnsi="Times New Roman" w:cs="Times New Roman"/>
          <w:sz w:val="24"/>
          <w:szCs w:val="24"/>
        </w:rPr>
        <w:t>who</w:t>
      </w:r>
      <w:r w:rsidR="001D48BE" w:rsidRPr="00626A06">
        <w:rPr>
          <w:rFonts w:ascii="Times New Roman" w:hAnsi="Times New Roman" w:cs="Times New Roman"/>
          <w:sz w:val="24"/>
          <w:szCs w:val="24"/>
        </w:rPr>
        <w:t xml:space="preserve"> concluded </w:t>
      </w:r>
      <w:r w:rsidR="00160289" w:rsidRPr="00626A06">
        <w:rPr>
          <w:rFonts w:ascii="Times New Roman" w:hAnsi="Times New Roman" w:cs="Times New Roman"/>
          <w:sz w:val="24"/>
          <w:szCs w:val="24"/>
        </w:rPr>
        <w:t xml:space="preserve">in 1940 </w:t>
      </w:r>
      <w:r w:rsidR="001D48BE" w:rsidRPr="00626A06">
        <w:rPr>
          <w:rFonts w:ascii="Times New Roman" w:hAnsi="Times New Roman" w:cs="Times New Roman"/>
          <w:sz w:val="24"/>
          <w:szCs w:val="24"/>
        </w:rPr>
        <w:t xml:space="preserve">that a teenage apprentice who had caught his fingers in an unguarded circular saw </w:t>
      </w:r>
      <w:r w:rsidR="00B92987" w:rsidRPr="00626A06">
        <w:rPr>
          <w:rFonts w:ascii="Times New Roman" w:hAnsi="Times New Roman" w:cs="Times New Roman"/>
          <w:sz w:val="24"/>
          <w:szCs w:val="24"/>
        </w:rPr>
        <w:t xml:space="preserve">was </w:t>
      </w:r>
      <w:r w:rsidR="001D48BE" w:rsidRPr="00626A06">
        <w:rPr>
          <w:rFonts w:ascii="Times New Roman" w:hAnsi="Times New Roman" w:cs="Times New Roman"/>
          <w:sz w:val="24"/>
          <w:szCs w:val="24"/>
        </w:rPr>
        <w:t>unable to recover for his loss because although the employer was in breach of statutory duty, the child was not using a ‘push stick’ as</w:t>
      </w:r>
      <w:r w:rsidR="00E610C7" w:rsidRPr="00626A06">
        <w:rPr>
          <w:rFonts w:ascii="Times New Roman" w:hAnsi="Times New Roman" w:cs="Times New Roman"/>
          <w:sz w:val="24"/>
          <w:szCs w:val="24"/>
        </w:rPr>
        <w:t xml:space="preserve"> instructed</w:t>
      </w:r>
      <w:r w:rsidR="001D48BE" w:rsidRPr="00626A06">
        <w:rPr>
          <w:rFonts w:ascii="Times New Roman" w:hAnsi="Times New Roman" w:cs="Times New Roman"/>
          <w:sz w:val="24"/>
          <w:szCs w:val="24"/>
        </w:rPr>
        <w:t>.</w:t>
      </w:r>
      <w:r w:rsidR="00407913" w:rsidRPr="00626A06">
        <w:rPr>
          <w:rFonts w:ascii="Times New Roman" w:hAnsi="Times New Roman" w:cs="Times New Roman"/>
          <w:sz w:val="24"/>
          <w:szCs w:val="24"/>
        </w:rPr>
        <w:t xml:space="preserve"> Lord </w:t>
      </w:r>
      <w:proofErr w:type="spellStart"/>
      <w:r w:rsidR="00407913" w:rsidRPr="00626A06">
        <w:rPr>
          <w:rFonts w:ascii="Times New Roman" w:hAnsi="Times New Roman" w:cs="Times New Roman"/>
          <w:sz w:val="24"/>
          <w:szCs w:val="24"/>
        </w:rPr>
        <w:t>Atkin</w:t>
      </w:r>
      <w:proofErr w:type="spellEnd"/>
      <w:r w:rsidR="00407913" w:rsidRPr="00626A06">
        <w:rPr>
          <w:rFonts w:ascii="Times New Roman" w:hAnsi="Times New Roman" w:cs="Times New Roman"/>
          <w:sz w:val="24"/>
          <w:szCs w:val="24"/>
        </w:rPr>
        <w:t xml:space="preserve"> reluctantly acquiesced</w:t>
      </w:r>
      <w:r w:rsidR="0062584D" w:rsidRPr="00626A06">
        <w:rPr>
          <w:rFonts w:ascii="Times New Roman" w:hAnsi="Times New Roman" w:cs="Times New Roman"/>
          <w:sz w:val="24"/>
          <w:szCs w:val="24"/>
        </w:rPr>
        <w:t xml:space="preserve"> but was clearly concerned about undermining </w:t>
      </w:r>
      <w:r w:rsidR="0062584D" w:rsidRPr="00626A06">
        <w:rPr>
          <w:rFonts w:ascii="Times New Roman" w:hAnsi="Times New Roman" w:cs="Times New Roman"/>
          <w:i/>
          <w:sz w:val="24"/>
          <w:szCs w:val="24"/>
        </w:rPr>
        <w:t>Caswell</w:t>
      </w:r>
      <w:r w:rsidR="00407913" w:rsidRPr="00626A06">
        <w:rPr>
          <w:rFonts w:ascii="Times New Roman" w:hAnsi="Times New Roman" w:cs="Times New Roman"/>
          <w:sz w:val="24"/>
          <w:szCs w:val="24"/>
        </w:rPr>
        <w:t>; the other judges merely concurred.</w:t>
      </w:r>
      <w:r w:rsidR="001D48BE" w:rsidRPr="00626A06">
        <w:rPr>
          <w:rStyle w:val="FootnoteReference"/>
          <w:rFonts w:ascii="Times New Roman" w:hAnsi="Times New Roman" w:cs="Times New Roman"/>
          <w:sz w:val="24"/>
          <w:szCs w:val="24"/>
        </w:rPr>
        <w:footnoteReference w:id="73"/>
      </w:r>
      <w:r w:rsidR="000A1F6E" w:rsidRPr="00626A06">
        <w:rPr>
          <w:rFonts w:ascii="Times New Roman" w:hAnsi="Times New Roman" w:cs="Times New Roman"/>
          <w:sz w:val="24"/>
          <w:szCs w:val="24"/>
        </w:rPr>
        <w:t xml:space="preserve"> There may have been considerable distance between Lord Simon, and the Committee members whose recommendations he was pursuing, when it came to the unmentioned category of employee claims.</w:t>
      </w:r>
    </w:p>
    <w:p w:rsidR="00CD30A9" w:rsidRPr="00626A06" w:rsidRDefault="00F86ACC"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Notably, in </w:t>
      </w:r>
      <w:r w:rsidRPr="00626A06">
        <w:rPr>
          <w:rFonts w:ascii="Times New Roman" w:hAnsi="Times New Roman" w:cs="Times New Roman"/>
          <w:i/>
          <w:sz w:val="24"/>
          <w:szCs w:val="24"/>
        </w:rPr>
        <w:t xml:space="preserve">Caswell </w:t>
      </w:r>
      <w:r w:rsidRPr="00626A06">
        <w:rPr>
          <w:rFonts w:ascii="Times New Roman" w:hAnsi="Times New Roman" w:cs="Times New Roman"/>
          <w:sz w:val="24"/>
          <w:szCs w:val="24"/>
        </w:rPr>
        <w:t xml:space="preserve">Lord Wright </w:t>
      </w:r>
      <w:r w:rsidR="008527BA" w:rsidRPr="00626A06">
        <w:rPr>
          <w:rFonts w:ascii="Times New Roman" w:hAnsi="Times New Roman" w:cs="Times New Roman"/>
          <w:sz w:val="24"/>
          <w:szCs w:val="24"/>
        </w:rPr>
        <w:t xml:space="preserve">used </w:t>
      </w:r>
      <w:r w:rsidR="009E7548" w:rsidRPr="00626A06">
        <w:rPr>
          <w:rFonts w:ascii="Times New Roman" w:hAnsi="Times New Roman" w:cs="Times New Roman"/>
          <w:sz w:val="24"/>
          <w:szCs w:val="24"/>
        </w:rPr>
        <w:t xml:space="preserve">notions </w:t>
      </w:r>
      <w:r w:rsidR="0037192B" w:rsidRPr="00626A06">
        <w:rPr>
          <w:rFonts w:ascii="Times New Roman" w:hAnsi="Times New Roman" w:cs="Times New Roman"/>
          <w:sz w:val="24"/>
          <w:szCs w:val="24"/>
        </w:rPr>
        <w:t xml:space="preserve">of </w:t>
      </w:r>
      <w:r w:rsidR="005A3765" w:rsidRPr="00626A06">
        <w:rPr>
          <w:rFonts w:ascii="Times New Roman" w:hAnsi="Times New Roman" w:cs="Times New Roman"/>
          <w:sz w:val="24"/>
          <w:szCs w:val="24"/>
        </w:rPr>
        <w:t xml:space="preserve">legal </w:t>
      </w:r>
      <w:r w:rsidR="0037192B" w:rsidRPr="00626A06">
        <w:rPr>
          <w:rFonts w:ascii="Times New Roman" w:hAnsi="Times New Roman" w:cs="Times New Roman"/>
          <w:sz w:val="24"/>
          <w:szCs w:val="24"/>
        </w:rPr>
        <w:t>or proximate cause</w:t>
      </w:r>
      <w:r w:rsidR="009E7548" w:rsidRPr="00626A06">
        <w:rPr>
          <w:rFonts w:ascii="Times New Roman" w:hAnsi="Times New Roman" w:cs="Times New Roman"/>
          <w:sz w:val="24"/>
          <w:szCs w:val="24"/>
        </w:rPr>
        <w:t>, referring to</w:t>
      </w:r>
      <w:r w:rsidR="0037192B" w:rsidRPr="00626A06">
        <w:rPr>
          <w:rFonts w:ascii="Times New Roman" w:hAnsi="Times New Roman" w:cs="Times New Roman"/>
          <w:sz w:val="24"/>
          <w:szCs w:val="24"/>
        </w:rPr>
        <w:t xml:space="preserve"> </w:t>
      </w:r>
      <w:r w:rsidRPr="00626A06">
        <w:rPr>
          <w:rFonts w:ascii="Times New Roman" w:hAnsi="Times New Roman" w:cs="Times New Roman"/>
          <w:i/>
          <w:sz w:val="24"/>
          <w:szCs w:val="24"/>
        </w:rPr>
        <w:t>Swadling v Cooper</w:t>
      </w:r>
      <w:r w:rsidR="00117191" w:rsidRPr="00626A06">
        <w:rPr>
          <w:rFonts w:ascii="Times New Roman" w:hAnsi="Times New Roman" w:cs="Times New Roman"/>
          <w:sz w:val="24"/>
          <w:szCs w:val="24"/>
        </w:rPr>
        <w:t>,</w:t>
      </w:r>
      <w:bookmarkStart w:id="20" w:name="_Ref319267826"/>
      <w:r w:rsidR="00753D8C" w:rsidRPr="00626A06">
        <w:rPr>
          <w:rStyle w:val="FootnoteReference"/>
          <w:rFonts w:ascii="Times New Roman" w:hAnsi="Times New Roman" w:cs="Times New Roman"/>
          <w:sz w:val="24"/>
          <w:szCs w:val="24"/>
        </w:rPr>
        <w:footnoteReference w:id="74"/>
      </w:r>
      <w:bookmarkEnd w:id="20"/>
      <w:r w:rsidR="00117191" w:rsidRPr="00626A06">
        <w:rPr>
          <w:rFonts w:ascii="Times New Roman" w:hAnsi="Times New Roman" w:cs="Times New Roman"/>
          <w:sz w:val="24"/>
          <w:szCs w:val="24"/>
        </w:rPr>
        <w:t xml:space="preserve"> one of the </w:t>
      </w:r>
      <w:r w:rsidR="00D303ED" w:rsidRPr="00626A06">
        <w:rPr>
          <w:rFonts w:ascii="Times New Roman" w:hAnsi="Times New Roman" w:cs="Times New Roman"/>
          <w:sz w:val="24"/>
          <w:szCs w:val="24"/>
        </w:rPr>
        <w:t xml:space="preserve">road traffic </w:t>
      </w:r>
      <w:r w:rsidR="00117191" w:rsidRPr="00626A06">
        <w:rPr>
          <w:rFonts w:ascii="Times New Roman" w:hAnsi="Times New Roman" w:cs="Times New Roman"/>
          <w:sz w:val="24"/>
          <w:szCs w:val="24"/>
        </w:rPr>
        <w:t xml:space="preserve">cases discussed in </w:t>
      </w:r>
      <w:r w:rsidR="00520256">
        <w:rPr>
          <w:rFonts w:ascii="Times New Roman" w:hAnsi="Times New Roman" w:cs="Times New Roman"/>
          <w:sz w:val="24"/>
          <w:szCs w:val="24"/>
        </w:rPr>
        <w:t xml:space="preserve">the </w:t>
      </w:r>
      <w:r w:rsidR="00117191" w:rsidRPr="00626A06">
        <w:rPr>
          <w:rFonts w:ascii="Times New Roman" w:hAnsi="Times New Roman" w:cs="Times New Roman"/>
          <w:sz w:val="24"/>
          <w:szCs w:val="24"/>
        </w:rPr>
        <w:t>LRC</w:t>
      </w:r>
      <w:r w:rsidR="00B0033C">
        <w:rPr>
          <w:rFonts w:ascii="Times New Roman" w:hAnsi="Times New Roman" w:cs="Times New Roman"/>
          <w:sz w:val="24"/>
          <w:szCs w:val="24"/>
        </w:rPr>
        <w:t>’s</w:t>
      </w:r>
      <w:r w:rsidR="00117191" w:rsidRPr="00626A06">
        <w:rPr>
          <w:rFonts w:ascii="Times New Roman" w:hAnsi="Times New Roman" w:cs="Times New Roman"/>
          <w:sz w:val="24"/>
          <w:szCs w:val="24"/>
        </w:rPr>
        <w:t xml:space="preserve"> 8</w:t>
      </w:r>
      <w:r w:rsidR="00117191" w:rsidRPr="00626A06">
        <w:rPr>
          <w:rFonts w:ascii="Times New Roman" w:hAnsi="Times New Roman" w:cs="Times New Roman"/>
          <w:sz w:val="24"/>
          <w:szCs w:val="24"/>
          <w:vertAlign w:val="superscript"/>
        </w:rPr>
        <w:t>th</w:t>
      </w:r>
      <w:r w:rsidR="00117191" w:rsidRPr="00626A06">
        <w:rPr>
          <w:rFonts w:ascii="Times New Roman" w:hAnsi="Times New Roman" w:cs="Times New Roman"/>
          <w:sz w:val="24"/>
          <w:szCs w:val="24"/>
        </w:rPr>
        <w:t xml:space="preserve"> Report,</w:t>
      </w:r>
      <w:r w:rsidRPr="00626A06">
        <w:rPr>
          <w:rFonts w:ascii="Times New Roman" w:hAnsi="Times New Roman" w:cs="Times New Roman"/>
          <w:i/>
          <w:sz w:val="24"/>
          <w:szCs w:val="24"/>
        </w:rPr>
        <w:t xml:space="preserve"> </w:t>
      </w:r>
      <w:r w:rsidR="00117191" w:rsidRPr="00626A06">
        <w:rPr>
          <w:rFonts w:ascii="Times New Roman" w:hAnsi="Times New Roman" w:cs="Times New Roman"/>
          <w:sz w:val="24"/>
          <w:szCs w:val="24"/>
        </w:rPr>
        <w:t xml:space="preserve">in order to </w:t>
      </w:r>
      <w:r w:rsidR="0062584D" w:rsidRPr="00626A06">
        <w:rPr>
          <w:rFonts w:ascii="Times New Roman" w:hAnsi="Times New Roman" w:cs="Times New Roman"/>
          <w:sz w:val="24"/>
          <w:szCs w:val="24"/>
        </w:rPr>
        <w:t xml:space="preserve">outline the circumstances in which a </w:t>
      </w:r>
      <w:r w:rsidRPr="00626A06">
        <w:rPr>
          <w:rFonts w:ascii="Times New Roman" w:hAnsi="Times New Roman" w:cs="Times New Roman"/>
          <w:sz w:val="24"/>
          <w:szCs w:val="24"/>
        </w:rPr>
        <w:t>defendant’s breach of duty</w:t>
      </w:r>
      <w:r w:rsidR="00117191" w:rsidRPr="00626A06">
        <w:rPr>
          <w:rFonts w:ascii="Times New Roman" w:hAnsi="Times New Roman" w:cs="Times New Roman"/>
          <w:sz w:val="24"/>
          <w:szCs w:val="24"/>
        </w:rPr>
        <w:t>, not the claimant’s carelessness,</w:t>
      </w:r>
      <w:r w:rsidRPr="00626A06">
        <w:rPr>
          <w:rFonts w:ascii="Times New Roman" w:hAnsi="Times New Roman" w:cs="Times New Roman"/>
          <w:sz w:val="24"/>
          <w:szCs w:val="24"/>
        </w:rPr>
        <w:t xml:space="preserve"> </w:t>
      </w:r>
      <w:r w:rsidR="0062584D" w:rsidRPr="00626A06">
        <w:rPr>
          <w:rFonts w:ascii="Times New Roman" w:hAnsi="Times New Roman" w:cs="Times New Roman"/>
          <w:sz w:val="24"/>
          <w:szCs w:val="24"/>
        </w:rPr>
        <w:t>would be considered</w:t>
      </w:r>
      <w:r w:rsidRPr="00626A06">
        <w:rPr>
          <w:rFonts w:ascii="Times New Roman" w:hAnsi="Times New Roman" w:cs="Times New Roman"/>
          <w:sz w:val="24"/>
          <w:szCs w:val="24"/>
        </w:rPr>
        <w:t xml:space="preserve"> the </w:t>
      </w:r>
      <w:r w:rsidR="00D303ED" w:rsidRPr="00626A06">
        <w:rPr>
          <w:rFonts w:ascii="Times New Roman" w:hAnsi="Times New Roman" w:cs="Times New Roman"/>
          <w:sz w:val="24"/>
          <w:szCs w:val="24"/>
        </w:rPr>
        <w:t xml:space="preserve">legal </w:t>
      </w:r>
      <w:r w:rsidRPr="00626A06">
        <w:rPr>
          <w:rFonts w:ascii="Times New Roman" w:hAnsi="Times New Roman" w:cs="Times New Roman"/>
          <w:sz w:val="24"/>
          <w:szCs w:val="24"/>
        </w:rPr>
        <w:t xml:space="preserve">cause of the accident. </w:t>
      </w:r>
      <w:r w:rsidR="0037192B" w:rsidRPr="00626A06">
        <w:rPr>
          <w:rFonts w:ascii="Times New Roman" w:hAnsi="Times New Roman" w:cs="Times New Roman"/>
          <w:sz w:val="24"/>
          <w:szCs w:val="24"/>
        </w:rPr>
        <w:t xml:space="preserve">Not only does </w:t>
      </w:r>
      <w:r w:rsidR="006C290A" w:rsidRPr="00626A06">
        <w:rPr>
          <w:rFonts w:ascii="Times New Roman" w:hAnsi="Times New Roman" w:cs="Times New Roman"/>
          <w:sz w:val="24"/>
          <w:szCs w:val="24"/>
        </w:rPr>
        <w:t xml:space="preserve">Lord Wright’s use of </w:t>
      </w:r>
      <w:r w:rsidR="006C290A" w:rsidRPr="00626A06">
        <w:rPr>
          <w:rFonts w:ascii="Times New Roman" w:hAnsi="Times New Roman" w:cs="Times New Roman"/>
          <w:i/>
          <w:sz w:val="24"/>
          <w:szCs w:val="24"/>
        </w:rPr>
        <w:t xml:space="preserve">Swadling v Cooper </w:t>
      </w:r>
      <w:r w:rsidR="0037192B" w:rsidRPr="00626A06">
        <w:rPr>
          <w:rFonts w:ascii="Times New Roman" w:hAnsi="Times New Roman" w:cs="Times New Roman"/>
          <w:sz w:val="24"/>
          <w:szCs w:val="24"/>
        </w:rPr>
        <w:t xml:space="preserve">show cross-fertilisation between these classes of case, not replicated in </w:t>
      </w:r>
      <w:r w:rsidR="00520256">
        <w:rPr>
          <w:rFonts w:ascii="Times New Roman" w:hAnsi="Times New Roman" w:cs="Times New Roman"/>
          <w:sz w:val="24"/>
          <w:szCs w:val="24"/>
        </w:rPr>
        <w:t xml:space="preserve">the </w:t>
      </w:r>
      <w:r w:rsidR="0037192B" w:rsidRPr="00626A06">
        <w:rPr>
          <w:rFonts w:ascii="Times New Roman" w:hAnsi="Times New Roman" w:cs="Times New Roman"/>
          <w:sz w:val="24"/>
          <w:szCs w:val="24"/>
        </w:rPr>
        <w:t>LRC</w:t>
      </w:r>
      <w:r w:rsidR="00B0033C">
        <w:rPr>
          <w:rFonts w:ascii="Times New Roman" w:hAnsi="Times New Roman" w:cs="Times New Roman"/>
          <w:sz w:val="24"/>
          <w:szCs w:val="24"/>
        </w:rPr>
        <w:t>’s</w:t>
      </w:r>
      <w:r w:rsidR="0037192B" w:rsidRPr="00626A06">
        <w:rPr>
          <w:rFonts w:ascii="Times New Roman" w:hAnsi="Times New Roman" w:cs="Times New Roman"/>
          <w:sz w:val="24"/>
          <w:szCs w:val="24"/>
        </w:rPr>
        <w:t xml:space="preserve"> 8</w:t>
      </w:r>
      <w:r w:rsidR="0037192B" w:rsidRPr="00626A06">
        <w:rPr>
          <w:rFonts w:ascii="Times New Roman" w:hAnsi="Times New Roman" w:cs="Times New Roman"/>
          <w:sz w:val="24"/>
          <w:szCs w:val="24"/>
          <w:vertAlign w:val="superscript"/>
        </w:rPr>
        <w:t>th</w:t>
      </w:r>
      <w:r w:rsidR="0037192B" w:rsidRPr="00626A06">
        <w:rPr>
          <w:rFonts w:ascii="Times New Roman" w:hAnsi="Times New Roman" w:cs="Times New Roman"/>
          <w:sz w:val="24"/>
          <w:szCs w:val="24"/>
        </w:rPr>
        <w:t xml:space="preserve"> Report, but it </w:t>
      </w:r>
      <w:r w:rsidR="00E74DE4" w:rsidRPr="00626A06">
        <w:rPr>
          <w:rFonts w:ascii="Times New Roman" w:hAnsi="Times New Roman" w:cs="Times New Roman"/>
          <w:sz w:val="24"/>
          <w:szCs w:val="24"/>
        </w:rPr>
        <w:t xml:space="preserve">might appear to </w:t>
      </w:r>
      <w:r w:rsidR="0062584D" w:rsidRPr="00626A06">
        <w:rPr>
          <w:rFonts w:ascii="Times New Roman" w:hAnsi="Times New Roman" w:cs="Times New Roman"/>
          <w:sz w:val="24"/>
          <w:szCs w:val="24"/>
        </w:rPr>
        <w:t>employ</w:t>
      </w:r>
      <w:r w:rsidR="00E74DE4" w:rsidRPr="00626A06">
        <w:rPr>
          <w:rFonts w:ascii="Times New Roman" w:hAnsi="Times New Roman" w:cs="Times New Roman"/>
          <w:sz w:val="24"/>
          <w:szCs w:val="24"/>
        </w:rPr>
        <w:t xml:space="preserve"> </w:t>
      </w:r>
      <w:r w:rsidRPr="00626A06">
        <w:rPr>
          <w:rFonts w:ascii="Times New Roman" w:hAnsi="Times New Roman" w:cs="Times New Roman"/>
          <w:sz w:val="24"/>
          <w:szCs w:val="24"/>
        </w:rPr>
        <w:t>the very approach which the Report was designed to sweep away</w:t>
      </w:r>
      <w:r w:rsidR="0037192B" w:rsidRPr="00626A06">
        <w:rPr>
          <w:rFonts w:ascii="Times New Roman" w:hAnsi="Times New Roman" w:cs="Times New Roman"/>
          <w:sz w:val="24"/>
          <w:szCs w:val="24"/>
        </w:rPr>
        <w:t xml:space="preserve">. </w:t>
      </w:r>
      <w:r w:rsidR="00CD30A9" w:rsidRPr="00626A06">
        <w:rPr>
          <w:rFonts w:ascii="Times New Roman" w:hAnsi="Times New Roman" w:cs="Times New Roman"/>
          <w:sz w:val="24"/>
          <w:szCs w:val="24"/>
        </w:rPr>
        <w:t>This leads to the important question of how broad the reach of the reform was intended to be.</w:t>
      </w:r>
    </w:p>
    <w:p w:rsidR="00944D98" w:rsidRPr="00626A06" w:rsidRDefault="0037192B"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In fact</w:t>
      </w:r>
      <w:r w:rsidR="00F0130E" w:rsidRPr="00626A06">
        <w:rPr>
          <w:rFonts w:ascii="Times New Roman" w:hAnsi="Times New Roman" w:cs="Times New Roman"/>
          <w:sz w:val="24"/>
          <w:szCs w:val="24"/>
        </w:rPr>
        <w:t xml:space="preserve">, </w:t>
      </w:r>
      <w:r w:rsidR="007A6F5D" w:rsidRPr="00626A06">
        <w:rPr>
          <w:rFonts w:ascii="Times New Roman" w:hAnsi="Times New Roman" w:cs="Times New Roman"/>
          <w:sz w:val="24"/>
          <w:szCs w:val="24"/>
        </w:rPr>
        <w:t>the approach taken in these cases</w:t>
      </w:r>
      <w:r w:rsidR="00F0130E" w:rsidRPr="00626A06">
        <w:rPr>
          <w:rFonts w:ascii="Times New Roman" w:hAnsi="Times New Roman" w:cs="Times New Roman"/>
          <w:sz w:val="24"/>
          <w:szCs w:val="24"/>
        </w:rPr>
        <w:t xml:space="preserve"> helps to explain a</w:t>
      </w:r>
      <w:r w:rsidR="00D303ED" w:rsidRPr="00626A06">
        <w:rPr>
          <w:rFonts w:ascii="Times New Roman" w:hAnsi="Times New Roman" w:cs="Times New Roman"/>
          <w:sz w:val="24"/>
          <w:szCs w:val="24"/>
        </w:rPr>
        <w:t>n</w:t>
      </w:r>
      <w:r w:rsidR="00F0130E" w:rsidRPr="00626A06">
        <w:rPr>
          <w:rFonts w:ascii="Times New Roman" w:hAnsi="Times New Roman" w:cs="Times New Roman"/>
          <w:sz w:val="24"/>
          <w:szCs w:val="24"/>
        </w:rPr>
        <w:t xml:space="preserve"> </w:t>
      </w:r>
      <w:r w:rsidRPr="00626A06">
        <w:rPr>
          <w:rFonts w:ascii="Times New Roman" w:hAnsi="Times New Roman" w:cs="Times New Roman"/>
          <w:sz w:val="24"/>
          <w:szCs w:val="24"/>
        </w:rPr>
        <w:t>underlying complexity in</w:t>
      </w:r>
      <w:r w:rsidR="00D303ED" w:rsidRPr="00626A06">
        <w:rPr>
          <w:rFonts w:ascii="Times New Roman" w:hAnsi="Times New Roman" w:cs="Times New Roman"/>
          <w:sz w:val="24"/>
          <w:szCs w:val="24"/>
        </w:rPr>
        <w:t xml:space="preserve"> the argument of </w:t>
      </w:r>
      <w:r w:rsidR="004A374F">
        <w:rPr>
          <w:rFonts w:ascii="Times New Roman" w:hAnsi="Times New Roman" w:cs="Times New Roman"/>
          <w:sz w:val="24"/>
          <w:szCs w:val="24"/>
        </w:rPr>
        <w:t xml:space="preserve">the </w:t>
      </w:r>
      <w:r w:rsidR="00D303ED" w:rsidRPr="00626A06">
        <w:rPr>
          <w:rFonts w:ascii="Times New Roman" w:hAnsi="Times New Roman" w:cs="Times New Roman"/>
          <w:sz w:val="24"/>
          <w:szCs w:val="24"/>
        </w:rPr>
        <w:t>LRC</w:t>
      </w:r>
      <w:r w:rsidR="00B0033C">
        <w:rPr>
          <w:rFonts w:ascii="Times New Roman" w:hAnsi="Times New Roman" w:cs="Times New Roman"/>
          <w:sz w:val="24"/>
          <w:szCs w:val="24"/>
        </w:rPr>
        <w:t>’s</w:t>
      </w:r>
      <w:r w:rsidR="00D303ED" w:rsidRPr="00626A06">
        <w:rPr>
          <w:rFonts w:ascii="Times New Roman" w:hAnsi="Times New Roman" w:cs="Times New Roman"/>
          <w:sz w:val="24"/>
          <w:szCs w:val="24"/>
        </w:rPr>
        <w:t xml:space="preserve"> 8</w:t>
      </w:r>
      <w:r w:rsidR="00D303ED" w:rsidRPr="00626A06">
        <w:rPr>
          <w:rFonts w:ascii="Times New Roman" w:hAnsi="Times New Roman" w:cs="Times New Roman"/>
          <w:sz w:val="24"/>
          <w:szCs w:val="24"/>
          <w:vertAlign w:val="superscript"/>
        </w:rPr>
        <w:t>th</w:t>
      </w:r>
      <w:r w:rsidR="00D303ED" w:rsidRPr="00626A06">
        <w:rPr>
          <w:rFonts w:ascii="Times New Roman" w:hAnsi="Times New Roman" w:cs="Times New Roman"/>
          <w:sz w:val="24"/>
          <w:szCs w:val="24"/>
        </w:rPr>
        <w:t xml:space="preserve"> Report which is not captured in its brief recommendation looked at alone</w:t>
      </w:r>
      <w:r w:rsidR="00F86ACC" w:rsidRPr="00626A06">
        <w:rPr>
          <w:rFonts w:ascii="Times New Roman" w:hAnsi="Times New Roman" w:cs="Times New Roman"/>
          <w:sz w:val="24"/>
          <w:szCs w:val="24"/>
        </w:rPr>
        <w:t>.</w:t>
      </w:r>
      <w:r w:rsidR="00342C84" w:rsidRPr="00626A06">
        <w:rPr>
          <w:rFonts w:ascii="Times New Roman" w:hAnsi="Times New Roman" w:cs="Times New Roman"/>
          <w:sz w:val="24"/>
          <w:szCs w:val="24"/>
        </w:rPr>
        <w:t xml:space="preserve"> From this, we can see both that the impact of a legal reform may be intensified by </w:t>
      </w:r>
      <w:r w:rsidR="00E65A57" w:rsidRPr="00626A06">
        <w:rPr>
          <w:rFonts w:ascii="Times New Roman" w:hAnsi="Times New Roman" w:cs="Times New Roman"/>
          <w:sz w:val="24"/>
          <w:szCs w:val="24"/>
        </w:rPr>
        <w:t xml:space="preserve">putting in motion, or interacting with, </w:t>
      </w:r>
      <w:r w:rsidR="00342C84" w:rsidRPr="00626A06">
        <w:rPr>
          <w:rFonts w:ascii="Times New Roman" w:hAnsi="Times New Roman" w:cs="Times New Roman"/>
          <w:sz w:val="24"/>
          <w:szCs w:val="24"/>
        </w:rPr>
        <w:t>other changes in legal concepts</w:t>
      </w:r>
      <w:r w:rsidR="004A374F">
        <w:rPr>
          <w:rFonts w:ascii="Times New Roman" w:hAnsi="Times New Roman" w:cs="Times New Roman"/>
          <w:sz w:val="24"/>
          <w:szCs w:val="24"/>
        </w:rPr>
        <w:t>,</w:t>
      </w:r>
      <w:r w:rsidR="00342C84" w:rsidRPr="00626A06">
        <w:rPr>
          <w:rFonts w:ascii="Times New Roman" w:hAnsi="Times New Roman" w:cs="Times New Roman"/>
          <w:sz w:val="24"/>
          <w:szCs w:val="24"/>
        </w:rPr>
        <w:t xml:space="preserve"> and that the Committee may have been trying to protect its own judicial project of reform where industrial injuries were concerned.</w:t>
      </w:r>
      <w:r w:rsidR="00245D15" w:rsidRPr="00626A06">
        <w:rPr>
          <w:rFonts w:ascii="Times New Roman" w:hAnsi="Times New Roman" w:cs="Times New Roman"/>
          <w:sz w:val="24"/>
          <w:szCs w:val="24"/>
        </w:rPr>
        <w:t xml:space="preserve"> </w:t>
      </w:r>
      <w:r w:rsidR="004A374F">
        <w:rPr>
          <w:rFonts w:ascii="Times New Roman" w:hAnsi="Times New Roman" w:cs="Times New Roman"/>
          <w:sz w:val="24"/>
          <w:szCs w:val="24"/>
        </w:rPr>
        <w:t xml:space="preserve">The </w:t>
      </w:r>
      <w:r w:rsidR="00245D15" w:rsidRPr="00626A06">
        <w:rPr>
          <w:rFonts w:ascii="Times New Roman" w:hAnsi="Times New Roman" w:cs="Times New Roman"/>
          <w:sz w:val="24"/>
          <w:szCs w:val="24"/>
        </w:rPr>
        <w:t>LRC</w:t>
      </w:r>
      <w:r w:rsidR="00B0033C">
        <w:rPr>
          <w:rFonts w:ascii="Times New Roman" w:hAnsi="Times New Roman" w:cs="Times New Roman"/>
          <w:sz w:val="24"/>
          <w:szCs w:val="24"/>
        </w:rPr>
        <w:t>’s</w:t>
      </w:r>
      <w:r w:rsidR="00245D15" w:rsidRPr="00626A06">
        <w:rPr>
          <w:rFonts w:ascii="Times New Roman" w:hAnsi="Times New Roman" w:cs="Times New Roman"/>
          <w:sz w:val="24"/>
          <w:szCs w:val="24"/>
        </w:rPr>
        <w:t xml:space="preserve"> 8</w:t>
      </w:r>
      <w:r w:rsidR="00245D15" w:rsidRPr="00626A06">
        <w:rPr>
          <w:rFonts w:ascii="Times New Roman" w:hAnsi="Times New Roman" w:cs="Times New Roman"/>
          <w:sz w:val="24"/>
          <w:szCs w:val="24"/>
          <w:vertAlign w:val="superscript"/>
        </w:rPr>
        <w:t>th</w:t>
      </w:r>
      <w:r w:rsidR="00245D15" w:rsidRPr="00626A06">
        <w:rPr>
          <w:rFonts w:ascii="Times New Roman" w:hAnsi="Times New Roman" w:cs="Times New Roman"/>
          <w:sz w:val="24"/>
          <w:szCs w:val="24"/>
        </w:rPr>
        <w:t xml:space="preserve"> Report </w:t>
      </w:r>
      <w:r w:rsidR="00D303ED" w:rsidRPr="00626A06">
        <w:rPr>
          <w:rFonts w:ascii="Times New Roman" w:hAnsi="Times New Roman" w:cs="Times New Roman"/>
          <w:sz w:val="24"/>
          <w:szCs w:val="24"/>
        </w:rPr>
        <w:t>reserved</w:t>
      </w:r>
      <w:r w:rsidR="00245D15" w:rsidRPr="00626A06">
        <w:rPr>
          <w:rFonts w:ascii="Times New Roman" w:hAnsi="Times New Roman" w:cs="Times New Roman"/>
          <w:sz w:val="24"/>
          <w:szCs w:val="24"/>
        </w:rPr>
        <w:t xml:space="preserve"> the </w:t>
      </w:r>
      <w:r w:rsidR="00294008" w:rsidRPr="00626A06">
        <w:rPr>
          <w:rFonts w:ascii="Times New Roman" w:hAnsi="Times New Roman" w:cs="Times New Roman"/>
          <w:sz w:val="24"/>
          <w:szCs w:val="24"/>
        </w:rPr>
        <w:t xml:space="preserve">position by which </w:t>
      </w:r>
      <w:r w:rsidR="00245D15" w:rsidRPr="00626A06">
        <w:rPr>
          <w:rFonts w:ascii="Times New Roman" w:hAnsi="Times New Roman" w:cs="Times New Roman"/>
          <w:sz w:val="24"/>
          <w:szCs w:val="24"/>
        </w:rPr>
        <w:t xml:space="preserve">the fault of one of the parties may be considered to be the sole </w:t>
      </w:r>
      <w:r w:rsidR="00CD30A9" w:rsidRPr="00626A06">
        <w:rPr>
          <w:rFonts w:ascii="Times New Roman" w:hAnsi="Times New Roman" w:cs="Times New Roman"/>
          <w:sz w:val="24"/>
          <w:szCs w:val="24"/>
        </w:rPr>
        <w:t xml:space="preserve">legal </w:t>
      </w:r>
      <w:r w:rsidR="00245D15" w:rsidRPr="00626A06">
        <w:rPr>
          <w:rFonts w:ascii="Times New Roman" w:hAnsi="Times New Roman" w:cs="Times New Roman"/>
          <w:sz w:val="24"/>
          <w:szCs w:val="24"/>
        </w:rPr>
        <w:t xml:space="preserve">cause of an accident, even where both are at fault, and both may be said to </w:t>
      </w:r>
      <w:r w:rsidR="00D303ED" w:rsidRPr="00626A06">
        <w:rPr>
          <w:rFonts w:ascii="Times New Roman" w:hAnsi="Times New Roman" w:cs="Times New Roman"/>
          <w:sz w:val="24"/>
          <w:szCs w:val="24"/>
        </w:rPr>
        <w:t xml:space="preserve">be a </w:t>
      </w:r>
      <w:r w:rsidR="00D303ED" w:rsidRPr="00626A06">
        <w:rPr>
          <w:rFonts w:ascii="Times New Roman" w:hAnsi="Times New Roman" w:cs="Times New Roman"/>
          <w:i/>
          <w:sz w:val="24"/>
          <w:szCs w:val="24"/>
        </w:rPr>
        <w:t xml:space="preserve">sine qua non </w:t>
      </w:r>
      <w:r w:rsidR="00D303ED" w:rsidRPr="00626A06">
        <w:rPr>
          <w:rFonts w:ascii="Times New Roman" w:hAnsi="Times New Roman" w:cs="Times New Roman"/>
          <w:sz w:val="24"/>
          <w:szCs w:val="24"/>
        </w:rPr>
        <w:t>of the damage</w:t>
      </w:r>
      <w:r w:rsidR="00245D15" w:rsidRPr="00626A06">
        <w:rPr>
          <w:rFonts w:ascii="Times New Roman" w:hAnsi="Times New Roman" w:cs="Times New Roman"/>
          <w:sz w:val="24"/>
          <w:szCs w:val="24"/>
        </w:rPr>
        <w:t>.</w:t>
      </w:r>
      <w:r w:rsidRPr="00626A06">
        <w:rPr>
          <w:rFonts w:ascii="Times New Roman" w:hAnsi="Times New Roman" w:cs="Times New Roman"/>
          <w:sz w:val="24"/>
          <w:szCs w:val="24"/>
        </w:rPr>
        <w:t xml:space="preserve"> </w:t>
      </w:r>
      <w:r w:rsidR="00CD30A9" w:rsidRPr="00626A06">
        <w:rPr>
          <w:rFonts w:ascii="Times New Roman" w:hAnsi="Times New Roman" w:cs="Times New Roman"/>
          <w:sz w:val="24"/>
          <w:szCs w:val="24"/>
        </w:rPr>
        <w:t xml:space="preserve">This was captured by the Committee in terms of ‘causation’, by which was </w:t>
      </w:r>
      <w:r w:rsidR="00EE6E88" w:rsidRPr="00626A06">
        <w:rPr>
          <w:rFonts w:ascii="Times New Roman" w:hAnsi="Times New Roman" w:cs="Times New Roman"/>
          <w:sz w:val="24"/>
          <w:szCs w:val="24"/>
        </w:rPr>
        <w:t xml:space="preserve">plainly </w:t>
      </w:r>
      <w:r w:rsidR="00CD30A9" w:rsidRPr="00626A06">
        <w:rPr>
          <w:rFonts w:ascii="Times New Roman" w:hAnsi="Times New Roman" w:cs="Times New Roman"/>
          <w:sz w:val="24"/>
          <w:szCs w:val="24"/>
        </w:rPr>
        <w:t xml:space="preserve">meant </w:t>
      </w:r>
      <w:r w:rsidR="00CD30A9" w:rsidRPr="00626A06">
        <w:rPr>
          <w:rFonts w:ascii="Times New Roman" w:hAnsi="Times New Roman" w:cs="Times New Roman"/>
          <w:i/>
          <w:sz w:val="24"/>
          <w:szCs w:val="24"/>
        </w:rPr>
        <w:t xml:space="preserve">legal </w:t>
      </w:r>
      <w:r w:rsidR="00CD30A9" w:rsidRPr="00626A06">
        <w:rPr>
          <w:rFonts w:ascii="Times New Roman" w:hAnsi="Times New Roman" w:cs="Times New Roman"/>
          <w:sz w:val="24"/>
          <w:szCs w:val="24"/>
        </w:rPr>
        <w:t xml:space="preserve">rather than ‘factual’ causation. </w:t>
      </w:r>
      <w:r w:rsidR="00E610C7" w:rsidRPr="00626A06">
        <w:rPr>
          <w:rFonts w:ascii="Times New Roman" w:hAnsi="Times New Roman" w:cs="Times New Roman"/>
          <w:sz w:val="24"/>
          <w:szCs w:val="24"/>
        </w:rPr>
        <w:t>As already hinted, w</w:t>
      </w:r>
      <w:r w:rsidR="00CD30A9" w:rsidRPr="00626A06">
        <w:rPr>
          <w:rFonts w:ascii="Times New Roman" w:hAnsi="Times New Roman" w:cs="Times New Roman"/>
          <w:sz w:val="24"/>
          <w:szCs w:val="24"/>
        </w:rPr>
        <w:t xml:space="preserve">hat the Committee had in mind was something more </w:t>
      </w:r>
      <w:r w:rsidR="00EB6D44" w:rsidRPr="00626A06">
        <w:rPr>
          <w:rFonts w:ascii="Times New Roman" w:hAnsi="Times New Roman" w:cs="Times New Roman"/>
          <w:sz w:val="24"/>
          <w:szCs w:val="24"/>
        </w:rPr>
        <w:t xml:space="preserve">multi-faceted </w:t>
      </w:r>
      <w:r w:rsidR="00CD30A9" w:rsidRPr="00626A06">
        <w:rPr>
          <w:rFonts w:ascii="Times New Roman" w:hAnsi="Times New Roman" w:cs="Times New Roman"/>
          <w:sz w:val="24"/>
          <w:szCs w:val="24"/>
        </w:rPr>
        <w:t xml:space="preserve">than today’s approach to </w:t>
      </w:r>
      <w:r w:rsidR="00C01818" w:rsidRPr="00626A06">
        <w:rPr>
          <w:rFonts w:ascii="Times New Roman" w:hAnsi="Times New Roman" w:cs="Times New Roman"/>
          <w:sz w:val="24"/>
          <w:szCs w:val="24"/>
        </w:rPr>
        <w:t>legal cause (or what is left of it)</w:t>
      </w:r>
      <w:r w:rsidR="00EE6E88" w:rsidRPr="00626A06">
        <w:rPr>
          <w:rFonts w:ascii="Times New Roman" w:hAnsi="Times New Roman" w:cs="Times New Roman"/>
          <w:sz w:val="24"/>
          <w:szCs w:val="24"/>
        </w:rPr>
        <w:t xml:space="preserve">, which is typically </w:t>
      </w:r>
      <w:r w:rsidR="00EE6E88" w:rsidRPr="00626A06">
        <w:rPr>
          <w:rFonts w:ascii="Times New Roman" w:hAnsi="Times New Roman" w:cs="Times New Roman"/>
          <w:sz w:val="24"/>
          <w:szCs w:val="24"/>
        </w:rPr>
        <w:lastRenderedPageBreak/>
        <w:t>expressed</w:t>
      </w:r>
      <w:r w:rsidR="00C01818" w:rsidRPr="00626A06">
        <w:rPr>
          <w:rFonts w:ascii="Times New Roman" w:hAnsi="Times New Roman" w:cs="Times New Roman"/>
          <w:sz w:val="24"/>
          <w:szCs w:val="24"/>
        </w:rPr>
        <w:t xml:space="preserve"> in terms of </w:t>
      </w:r>
      <w:r w:rsidR="00CD30A9" w:rsidRPr="00626A06">
        <w:rPr>
          <w:rFonts w:ascii="Times New Roman" w:hAnsi="Times New Roman" w:cs="Times New Roman"/>
          <w:sz w:val="24"/>
          <w:szCs w:val="24"/>
        </w:rPr>
        <w:t>‘remoteness’ bas</w:t>
      </w:r>
      <w:r w:rsidR="00EB6D44" w:rsidRPr="00626A06">
        <w:rPr>
          <w:rFonts w:ascii="Times New Roman" w:hAnsi="Times New Roman" w:cs="Times New Roman"/>
          <w:sz w:val="24"/>
          <w:szCs w:val="24"/>
        </w:rPr>
        <w:t>ed on reasonable foreseeability</w:t>
      </w:r>
      <w:r w:rsidR="000A1F6E" w:rsidRPr="00626A06">
        <w:rPr>
          <w:rFonts w:ascii="Times New Roman" w:hAnsi="Times New Roman" w:cs="Times New Roman"/>
          <w:sz w:val="24"/>
          <w:szCs w:val="24"/>
        </w:rPr>
        <w:t xml:space="preserve"> (or, much more recently, in terms of ‘scope of duty’)</w:t>
      </w:r>
      <w:r w:rsidR="00EB6D44" w:rsidRPr="00626A06">
        <w:rPr>
          <w:rFonts w:ascii="Times New Roman" w:hAnsi="Times New Roman" w:cs="Times New Roman"/>
          <w:sz w:val="24"/>
          <w:szCs w:val="24"/>
        </w:rPr>
        <w:t>.</w:t>
      </w:r>
      <w:r w:rsidR="00CD30A9" w:rsidRPr="00626A06">
        <w:rPr>
          <w:rStyle w:val="FootnoteReference"/>
          <w:rFonts w:ascii="Times New Roman" w:hAnsi="Times New Roman" w:cs="Times New Roman"/>
          <w:sz w:val="24"/>
          <w:szCs w:val="24"/>
        </w:rPr>
        <w:footnoteReference w:id="75"/>
      </w:r>
      <w:r w:rsidR="00CD30A9" w:rsidRPr="00626A06">
        <w:rPr>
          <w:rFonts w:ascii="Times New Roman" w:hAnsi="Times New Roman" w:cs="Times New Roman"/>
          <w:sz w:val="24"/>
          <w:szCs w:val="24"/>
        </w:rPr>
        <w:t xml:space="preserve"> </w:t>
      </w:r>
    </w:p>
    <w:p w:rsidR="00F86ACC" w:rsidRPr="00626A06" w:rsidRDefault="000A1F6E"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Remoteness, compared to legal cause, </w:t>
      </w:r>
      <w:r w:rsidR="00EB6D44" w:rsidRPr="00626A06">
        <w:rPr>
          <w:rFonts w:ascii="Times New Roman" w:hAnsi="Times New Roman" w:cs="Times New Roman"/>
          <w:sz w:val="24"/>
          <w:szCs w:val="24"/>
        </w:rPr>
        <w:t>is intended to be a simpler notion which does not engage in fictions</w:t>
      </w:r>
      <w:r w:rsidR="00E65A57" w:rsidRPr="00626A06">
        <w:rPr>
          <w:rFonts w:ascii="Times New Roman" w:hAnsi="Times New Roman" w:cs="Times New Roman"/>
          <w:sz w:val="24"/>
          <w:szCs w:val="24"/>
        </w:rPr>
        <w:t>. Importantly</w:t>
      </w:r>
      <w:r w:rsidR="00EB6D44" w:rsidRPr="00626A06">
        <w:rPr>
          <w:rFonts w:ascii="Times New Roman" w:hAnsi="Times New Roman" w:cs="Times New Roman"/>
          <w:sz w:val="24"/>
          <w:szCs w:val="24"/>
        </w:rPr>
        <w:t>,</w:t>
      </w:r>
      <w:r w:rsidR="008B2156" w:rsidRPr="00626A06">
        <w:rPr>
          <w:rFonts w:ascii="Times New Roman" w:hAnsi="Times New Roman" w:cs="Times New Roman"/>
          <w:sz w:val="24"/>
          <w:szCs w:val="24"/>
        </w:rPr>
        <w:t xml:space="preserve"> </w:t>
      </w:r>
      <w:r w:rsidR="00EB6D44" w:rsidRPr="00626A06">
        <w:rPr>
          <w:rFonts w:ascii="Times New Roman" w:hAnsi="Times New Roman" w:cs="Times New Roman"/>
          <w:sz w:val="24"/>
          <w:szCs w:val="24"/>
        </w:rPr>
        <w:t xml:space="preserve">it also does not aim to equip courts to </w:t>
      </w:r>
      <w:r w:rsidR="00CD30A9" w:rsidRPr="00626A06">
        <w:rPr>
          <w:rFonts w:ascii="Times New Roman" w:hAnsi="Times New Roman" w:cs="Times New Roman"/>
          <w:sz w:val="24"/>
          <w:szCs w:val="24"/>
        </w:rPr>
        <w:t xml:space="preserve">select </w:t>
      </w:r>
      <w:r w:rsidR="00CD30A9" w:rsidRPr="00626A06">
        <w:rPr>
          <w:rFonts w:ascii="Times New Roman" w:hAnsi="Times New Roman" w:cs="Times New Roman"/>
          <w:i/>
          <w:sz w:val="24"/>
          <w:szCs w:val="24"/>
        </w:rPr>
        <w:t>between competing causes</w:t>
      </w:r>
      <w:r w:rsidR="00693BDA" w:rsidRPr="00626A06">
        <w:rPr>
          <w:rFonts w:ascii="Times New Roman" w:hAnsi="Times New Roman" w:cs="Times New Roman"/>
          <w:sz w:val="24"/>
          <w:szCs w:val="24"/>
        </w:rPr>
        <w:t>, asking only about the connection between the defendant’s breach, and the damage suffered – notwithstanding any rival causes.</w:t>
      </w:r>
      <w:r w:rsidR="00944D98" w:rsidRPr="00626A06">
        <w:rPr>
          <w:rFonts w:ascii="Times New Roman" w:hAnsi="Times New Roman" w:cs="Times New Roman"/>
          <w:sz w:val="24"/>
          <w:szCs w:val="24"/>
        </w:rPr>
        <w:t xml:space="preserve"> This reflects a general recognition of multiple causes and sharing of </w:t>
      </w:r>
      <w:r w:rsidR="00E610C7" w:rsidRPr="00626A06">
        <w:rPr>
          <w:rFonts w:ascii="Times New Roman" w:hAnsi="Times New Roman" w:cs="Times New Roman"/>
          <w:sz w:val="24"/>
          <w:szCs w:val="24"/>
        </w:rPr>
        <w:t>responsibility</w:t>
      </w:r>
      <w:r w:rsidR="00944D98" w:rsidRPr="00626A06">
        <w:rPr>
          <w:rFonts w:ascii="Times New Roman" w:hAnsi="Times New Roman" w:cs="Times New Roman"/>
          <w:sz w:val="24"/>
          <w:szCs w:val="24"/>
        </w:rPr>
        <w:t xml:space="preserve">, fundamental to the loss-spreading effects of tort law today. Even so, ‘legal cause’ </w:t>
      </w:r>
      <w:r w:rsidR="00E610C7" w:rsidRPr="00626A06">
        <w:rPr>
          <w:rFonts w:ascii="Times New Roman" w:hAnsi="Times New Roman" w:cs="Times New Roman"/>
          <w:sz w:val="24"/>
          <w:szCs w:val="24"/>
        </w:rPr>
        <w:t xml:space="preserve">in its older sense </w:t>
      </w:r>
      <w:r w:rsidR="00944D98" w:rsidRPr="00626A06">
        <w:rPr>
          <w:rFonts w:ascii="Times New Roman" w:hAnsi="Times New Roman" w:cs="Times New Roman"/>
          <w:sz w:val="24"/>
          <w:szCs w:val="24"/>
        </w:rPr>
        <w:t>has not entirely disappeared.</w:t>
      </w:r>
      <w:r w:rsidR="00693BDA" w:rsidRPr="00626A06">
        <w:rPr>
          <w:rFonts w:ascii="Times New Roman" w:hAnsi="Times New Roman" w:cs="Times New Roman"/>
          <w:sz w:val="24"/>
          <w:szCs w:val="24"/>
        </w:rPr>
        <w:t xml:space="preserve"> </w:t>
      </w:r>
      <w:r w:rsidR="000C2CBD" w:rsidRPr="00626A06">
        <w:rPr>
          <w:rFonts w:ascii="Times New Roman" w:hAnsi="Times New Roman" w:cs="Times New Roman"/>
          <w:sz w:val="24"/>
          <w:szCs w:val="24"/>
        </w:rPr>
        <w:t xml:space="preserve">The awkward persistence of </w:t>
      </w:r>
      <w:r w:rsidR="00B26BAA" w:rsidRPr="00626A06">
        <w:rPr>
          <w:rFonts w:ascii="Times New Roman" w:hAnsi="Times New Roman" w:cs="Times New Roman"/>
          <w:sz w:val="24"/>
          <w:szCs w:val="24"/>
        </w:rPr>
        <w:t xml:space="preserve">thinking in terms of </w:t>
      </w:r>
      <w:proofErr w:type="spellStart"/>
      <w:r w:rsidR="000C2CBD" w:rsidRPr="00626A06">
        <w:rPr>
          <w:rFonts w:ascii="Times New Roman" w:hAnsi="Times New Roman" w:cs="Times New Roman"/>
          <w:i/>
          <w:sz w:val="24"/>
          <w:szCs w:val="24"/>
        </w:rPr>
        <w:t>novus</w:t>
      </w:r>
      <w:proofErr w:type="spellEnd"/>
      <w:r w:rsidR="000C2CBD" w:rsidRPr="00626A06">
        <w:rPr>
          <w:rFonts w:ascii="Times New Roman" w:hAnsi="Times New Roman" w:cs="Times New Roman"/>
          <w:i/>
          <w:sz w:val="24"/>
          <w:szCs w:val="24"/>
        </w:rPr>
        <w:t xml:space="preserve"> </w:t>
      </w:r>
      <w:proofErr w:type="spellStart"/>
      <w:r w:rsidR="000C2CBD" w:rsidRPr="00626A06">
        <w:rPr>
          <w:rFonts w:ascii="Times New Roman" w:hAnsi="Times New Roman" w:cs="Times New Roman"/>
          <w:i/>
          <w:sz w:val="24"/>
          <w:szCs w:val="24"/>
        </w:rPr>
        <w:t>actus</w:t>
      </w:r>
      <w:proofErr w:type="spellEnd"/>
      <w:r w:rsidR="000C2CBD" w:rsidRPr="00626A06">
        <w:rPr>
          <w:rFonts w:ascii="Times New Roman" w:hAnsi="Times New Roman" w:cs="Times New Roman"/>
          <w:i/>
          <w:sz w:val="24"/>
          <w:szCs w:val="24"/>
        </w:rPr>
        <w:t xml:space="preserve"> </w:t>
      </w:r>
      <w:r w:rsidR="000C2CBD" w:rsidRPr="00626A06">
        <w:rPr>
          <w:rFonts w:ascii="Times New Roman" w:hAnsi="Times New Roman" w:cs="Times New Roman"/>
          <w:sz w:val="24"/>
          <w:szCs w:val="24"/>
        </w:rPr>
        <w:t>(breaks in the chain of causation)</w:t>
      </w:r>
      <w:r w:rsidR="00B26BAA" w:rsidRPr="00626A06">
        <w:rPr>
          <w:rFonts w:ascii="Times New Roman" w:hAnsi="Times New Roman" w:cs="Times New Roman"/>
          <w:sz w:val="24"/>
          <w:szCs w:val="24"/>
        </w:rPr>
        <w:t>, for example,</w:t>
      </w:r>
      <w:r w:rsidR="000C2CBD" w:rsidRPr="00626A06">
        <w:rPr>
          <w:rFonts w:ascii="Times New Roman" w:hAnsi="Times New Roman" w:cs="Times New Roman"/>
          <w:sz w:val="24"/>
          <w:szCs w:val="24"/>
        </w:rPr>
        <w:t xml:space="preserve"> is recognised to be a symptom of the difficulties involved in ridding the law of the language of </w:t>
      </w:r>
      <w:r w:rsidR="00236BDF" w:rsidRPr="00626A06">
        <w:rPr>
          <w:rFonts w:ascii="Times New Roman" w:hAnsi="Times New Roman" w:cs="Times New Roman"/>
          <w:sz w:val="24"/>
          <w:szCs w:val="24"/>
        </w:rPr>
        <w:t xml:space="preserve">all aspects of </w:t>
      </w:r>
      <w:r w:rsidR="000C2CBD" w:rsidRPr="00626A06">
        <w:rPr>
          <w:rFonts w:ascii="Times New Roman" w:hAnsi="Times New Roman" w:cs="Times New Roman"/>
          <w:sz w:val="24"/>
          <w:szCs w:val="24"/>
        </w:rPr>
        <w:t xml:space="preserve">legal cause. </w:t>
      </w:r>
      <w:r w:rsidR="002202A4">
        <w:rPr>
          <w:rFonts w:ascii="Times New Roman" w:hAnsi="Times New Roman" w:cs="Times New Roman"/>
          <w:sz w:val="24"/>
          <w:szCs w:val="24"/>
        </w:rPr>
        <w:t xml:space="preserve">The </w:t>
      </w:r>
      <w:r w:rsidR="0037192B" w:rsidRPr="00626A06">
        <w:rPr>
          <w:rFonts w:ascii="Times New Roman" w:hAnsi="Times New Roman" w:cs="Times New Roman"/>
          <w:sz w:val="24"/>
          <w:szCs w:val="24"/>
        </w:rPr>
        <w:t>LRC</w:t>
      </w:r>
      <w:r w:rsidR="00B0033C">
        <w:rPr>
          <w:rFonts w:ascii="Times New Roman" w:hAnsi="Times New Roman" w:cs="Times New Roman"/>
          <w:sz w:val="24"/>
          <w:szCs w:val="24"/>
        </w:rPr>
        <w:t>’s</w:t>
      </w:r>
      <w:r w:rsidR="0037192B" w:rsidRPr="00626A06">
        <w:rPr>
          <w:rFonts w:ascii="Times New Roman" w:hAnsi="Times New Roman" w:cs="Times New Roman"/>
          <w:sz w:val="24"/>
          <w:szCs w:val="24"/>
        </w:rPr>
        <w:t xml:space="preserve"> 8</w:t>
      </w:r>
      <w:r w:rsidR="0037192B" w:rsidRPr="00626A06">
        <w:rPr>
          <w:rFonts w:ascii="Times New Roman" w:hAnsi="Times New Roman" w:cs="Times New Roman"/>
          <w:sz w:val="24"/>
          <w:szCs w:val="24"/>
          <w:vertAlign w:val="superscript"/>
        </w:rPr>
        <w:t>th</w:t>
      </w:r>
      <w:r w:rsidR="0037192B" w:rsidRPr="00626A06">
        <w:rPr>
          <w:rFonts w:ascii="Times New Roman" w:hAnsi="Times New Roman" w:cs="Times New Roman"/>
          <w:sz w:val="24"/>
          <w:szCs w:val="24"/>
        </w:rPr>
        <w:t xml:space="preserve"> Report </w:t>
      </w:r>
      <w:r w:rsidR="00944D98" w:rsidRPr="00626A06">
        <w:rPr>
          <w:rFonts w:ascii="Times New Roman" w:hAnsi="Times New Roman" w:cs="Times New Roman"/>
          <w:sz w:val="24"/>
          <w:szCs w:val="24"/>
        </w:rPr>
        <w:t xml:space="preserve">went further and </w:t>
      </w:r>
      <w:r w:rsidR="0037192B" w:rsidRPr="00626A06">
        <w:rPr>
          <w:rFonts w:ascii="Times New Roman" w:hAnsi="Times New Roman" w:cs="Times New Roman"/>
          <w:sz w:val="24"/>
          <w:szCs w:val="24"/>
        </w:rPr>
        <w:t>deliberately left a role for</w:t>
      </w:r>
      <w:r w:rsidR="00CD30A9" w:rsidRPr="00626A06">
        <w:rPr>
          <w:rFonts w:ascii="Times New Roman" w:hAnsi="Times New Roman" w:cs="Times New Roman"/>
          <w:sz w:val="24"/>
          <w:szCs w:val="24"/>
        </w:rPr>
        <w:t xml:space="preserve"> what might be called </w:t>
      </w:r>
      <w:r w:rsidR="0037192B" w:rsidRPr="00626A06">
        <w:rPr>
          <w:rFonts w:ascii="Times New Roman" w:hAnsi="Times New Roman" w:cs="Times New Roman"/>
          <w:sz w:val="24"/>
          <w:szCs w:val="24"/>
        </w:rPr>
        <w:t xml:space="preserve">‘sole cause’, without the </w:t>
      </w:r>
      <w:r w:rsidR="00CD30A9" w:rsidRPr="00626A06">
        <w:rPr>
          <w:rFonts w:ascii="Times New Roman" w:hAnsi="Times New Roman" w:cs="Times New Roman"/>
          <w:sz w:val="24"/>
          <w:szCs w:val="24"/>
        </w:rPr>
        <w:t xml:space="preserve">discredited </w:t>
      </w:r>
      <w:r w:rsidR="00BE2D58" w:rsidRPr="00626A06">
        <w:rPr>
          <w:rFonts w:ascii="Times New Roman" w:hAnsi="Times New Roman" w:cs="Times New Roman"/>
          <w:sz w:val="24"/>
          <w:szCs w:val="24"/>
        </w:rPr>
        <w:t xml:space="preserve">terminology </w:t>
      </w:r>
      <w:r w:rsidR="0037192B" w:rsidRPr="00626A06">
        <w:rPr>
          <w:rFonts w:ascii="Times New Roman" w:hAnsi="Times New Roman" w:cs="Times New Roman"/>
          <w:sz w:val="24"/>
          <w:szCs w:val="24"/>
        </w:rPr>
        <w:t xml:space="preserve">of ‘last opportunity’, but </w:t>
      </w:r>
      <w:r w:rsidR="003A1314" w:rsidRPr="00626A06">
        <w:rPr>
          <w:rFonts w:ascii="Times New Roman" w:hAnsi="Times New Roman" w:cs="Times New Roman"/>
          <w:sz w:val="24"/>
          <w:szCs w:val="24"/>
        </w:rPr>
        <w:t xml:space="preserve">preserving the authority of </w:t>
      </w:r>
      <w:r w:rsidR="0037192B" w:rsidRPr="00626A06">
        <w:rPr>
          <w:rFonts w:ascii="Times New Roman" w:hAnsi="Times New Roman" w:cs="Times New Roman"/>
          <w:sz w:val="24"/>
          <w:szCs w:val="24"/>
        </w:rPr>
        <w:t>some of the key decisions</w:t>
      </w:r>
      <w:r w:rsidR="005B7DBE" w:rsidRPr="00626A06">
        <w:rPr>
          <w:rFonts w:ascii="Times New Roman" w:hAnsi="Times New Roman" w:cs="Times New Roman"/>
          <w:sz w:val="24"/>
          <w:szCs w:val="24"/>
        </w:rPr>
        <w:t xml:space="preserve">. </w:t>
      </w:r>
      <w:r w:rsidR="00280494" w:rsidRPr="00626A06">
        <w:rPr>
          <w:rFonts w:ascii="Times New Roman" w:hAnsi="Times New Roman" w:cs="Times New Roman"/>
          <w:sz w:val="24"/>
          <w:szCs w:val="24"/>
        </w:rPr>
        <w:t>Just as ‘last opportunity’ was not killed by the 1945 Act alone, i</w:t>
      </w:r>
      <w:r w:rsidR="005B7DBE" w:rsidRPr="00626A06">
        <w:rPr>
          <w:rFonts w:ascii="Times New Roman" w:hAnsi="Times New Roman" w:cs="Times New Roman"/>
          <w:sz w:val="24"/>
          <w:szCs w:val="24"/>
        </w:rPr>
        <w:t xml:space="preserve">t is not the 1945 Act alone which has confined </w:t>
      </w:r>
      <w:r w:rsidR="00280494" w:rsidRPr="00626A06">
        <w:rPr>
          <w:rFonts w:ascii="Times New Roman" w:hAnsi="Times New Roman" w:cs="Times New Roman"/>
          <w:sz w:val="24"/>
          <w:szCs w:val="24"/>
        </w:rPr>
        <w:t>’sole cause’</w:t>
      </w:r>
      <w:r w:rsidR="005B7DBE" w:rsidRPr="00626A06">
        <w:rPr>
          <w:rFonts w:ascii="Times New Roman" w:hAnsi="Times New Roman" w:cs="Times New Roman"/>
          <w:sz w:val="24"/>
          <w:szCs w:val="24"/>
        </w:rPr>
        <w:t xml:space="preserve"> to history, </w:t>
      </w:r>
      <w:r w:rsidR="00280494" w:rsidRPr="00626A06">
        <w:rPr>
          <w:rFonts w:ascii="Times New Roman" w:hAnsi="Times New Roman" w:cs="Times New Roman"/>
          <w:sz w:val="24"/>
          <w:szCs w:val="24"/>
        </w:rPr>
        <w:t>so much as</w:t>
      </w:r>
      <w:r w:rsidR="005B7DBE" w:rsidRPr="00626A06">
        <w:rPr>
          <w:rFonts w:ascii="Times New Roman" w:hAnsi="Times New Roman" w:cs="Times New Roman"/>
          <w:sz w:val="24"/>
          <w:szCs w:val="24"/>
        </w:rPr>
        <w:t xml:space="preserve"> its interaction with</w:t>
      </w:r>
      <w:r w:rsidR="00236BDF" w:rsidRPr="00626A06">
        <w:rPr>
          <w:rFonts w:ascii="Times New Roman" w:hAnsi="Times New Roman" w:cs="Times New Roman"/>
          <w:sz w:val="24"/>
          <w:szCs w:val="24"/>
        </w:rPr>
        <w:t xml:space="preserve"> the other forces of change that led to</w:t>
      </w:r>
      <w:r w:rsidR="005B7DBE" w:rsidRPr="00626A06">
        <w:rPr>
          <w:rFonts w:ascii="Times New Roman" w:hAnsi="Times New Roman" w:cs="Times New Roman"/>
          <w:sz w:val="24"/>
          <w:szCs w:val="24"/>
        </w:rPr>
        <w:t xml:space="preserve"> </w:t>
      </w:r>
      <w:r w:rsidR="005B7DBE" w:rsidRPr="00626A06">
        <w:rPr>
          <w:rFonts w:ascii="Times New Roman" w:hAnsi="Times New Roman" w:cs="Times New Roman"/>
          <w:i/>
          <w:sz w:val="24"/>
          <w:szCs w:val="24"/>
        </w:rPr>
        <w:t>The Wagon Mound</w:t>
      </w:r>
      <w:r w:rsidR="00B26BAA" w:rsidRPr="00626A06">
        <w:rPr>
          <w:rFonts w:ascii="Times New Roman" w:hAnsi="Times New Roman" w:cs="Times New Roman"/>
          <w:sz w:val="24"/>
          <w:szCs w:val="24"/>
        </w:rPr>
        <w:t xml:space="preserve">. </w:t>
      </w:r>
      <w:r w:rsidR="00944D98" w:rsidRPr="00626A06">
        <w:rPr>
          <w:rFonts w:ascii="Times New Roman" w:hAnsi="Times New Roman" w:cs="Times New Roman"/>
          <w:sz w:val="24"/>
          <w:szCs w:val="24"/>
        </w:rPr>
        <w:t>The Committee expressed the point as follows:</w:t>
      </w:r>
    </w:p>
    <w:p w:rsidR="0037192B" w:rsidRPr="00626A06" w:rsidRDefault="0037192B" w:rsidP="00626A06">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 while we recommend that the principle of apportioning the loss to the fault should be adopted at Common Law, we do not recommend any change in the method of ascertaining whose the fault may be, nor any abrogation from what has been somewhat inaptly called the “last opportunity rule”. In truth there is no such rule – the question, as in all questions of liability for a tortious act, is, not who had the last opportunity of avoiding the mischief, but whose act caused the wrong?</w:t>
      </w:r>
      <w:r w:rsidRPr="00626A06">
        <w:rPr>
          <w:rFonts w:ascii="Times New Roman" w:hAnsi="Times New Roman" w:cs="Times New Roman"/>
          <w:sz w:val="24"/>
          <w:szCs w:val="24"/>
          <w:vertAlign w:val="superscript"/>
        </w:rPr>
        <w:footnoteReference w:id="76"/>
      </w:r>
    </w:p>
    <w:p w:rsidR="004114DC" w:rsidRPr="00626A06" w:rsidRDefault="00944D98"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In </w:t>
      </w:r>
      <w:r w:rsidR="00280494" w:rsidRPr="00626A06">
        <w:rPr>
          <w:rFonts w:ascii="Times New Roman" w:hAnsi="Times New Roman" w:cs="Times New Roman"/>
          <w:i/>
          <w:sz w:val="24"/>
          <w:szCs w:val="24"/>
        </w:rPr>
        <w:t>Davies v Swan Motor Co (Swansea) Ltd</w:t>
      </w:r>
      <w:r w:rsidR="00280494" w:rsidRPr="00626A06">
        <w:rPr>
          <w:rFonts w:ascii="Times New Roman" w:hAnsi="Times New Roman" w:cs="Times New Roman"/>
          <w:sz w:val="24"/>
          <w:szCs w:val="24"/>
        </w:rPr>
        <w:t xml:space="preserve">, </w:t>
      </w:r>
      <w:r w:rsidRPr="00626A06">
        <w:rPr>
          <w:rFonts w:ascii="Times New Roman" w:hAnsi="Times New Roman" w:cs="Times New Roman"/>
          <w:sz w:val="24"/>
          <w:szCs w:val="24"/>
        </w:rPr>
        <w:t xml:space="preserve">an early application of the 1945 Act, </w:t>
      </w:r>
      <w:r w:rsidR="00280494" w:rsidRPr="00626A06">
        <w:rPr>
          <w:rFonts w:ascii="Times New Roman" w:hAnsi="Times New Roman" w:cs="Times New Roman"/>
          <w:sz w:val="24"/>
          <w:szCs w:val="24"/>
        </w:rPr>
        <w:t xml:space="preserve">the Court of Appeal applied pre-1945 decisions on </w:t>
      </w:r>
      <w:r w:rsidRPr="00626A06">
        <w:rPr>
          <w:rFonts w:ascii="Times New Roman" w:hAnsi="Times New Roman" w:cs="Times New Roman"/>
          <w:sz w:val="24"/>
          <w:szCs w:val="24"/>
        </w:rPr>
        <w:t xml:space="preserve">legal </w:t>
      </w:r>
      <w:r w:rsidR="00280494" w:rsidRPr="00626A06">
        <w:rPr>
          <w:rFonts w:ascii="Times New Roman" w:hAnsi="Times New Roman" w:cs="Times New Roman"/>
          <w:sz w:val="24"/>
          <w:szCs w:val="24"/>
        </w:rPr>
        <w:t>causation, holding however that this was a case where causation was shared between both parties so that s</w:t>
      </w:r>
      <w:r w:rsidR="002202A4">
        <w:rPr>
          <w:rFonts w:ascii="Times New Roman" w:hAnsi="Times New Roman" w:cs="Times New Roman"/>
          <w:sz w:val="24"/>
          <w:szCs w:val="24"/>
        </w:rPr>
        <w:t xml:space="preserve">ection </w:t>
      </w:r>
      <w:r w:rsidR="00280494" w:rsidRPr="00626A06">
        <w:rPr>
          <w:rFonts w:ascii="Times New Roman" w:hAnsi="Times New Roman" w:cs="Times New Roman"/>
          <w:sz w:val="24"/>
          <w:szCs w:val="24"/>
        </w:rPr>
        <w:t>1 applied.</w:t>
      </w:r>
      <w:bookmarkStart w:id="21" w:name="_Ref319270187"/>
      <w:r w:rsidR="00280494" w:rsidRPr="00626A06">
        <w:rPr>
          <w:rStyle w:val="FootnoteReference"/>
          <w:rFonts w:ascii="Times New Roman" w:hAnsi="Times New Roman" w:cs="Times New Roman"/>
          <w:sz w:val="24"/>
          <w:szCs w:val="24"/>
        </w:rPr>
        <w:footnoteReference w:id="77"/>
      </w:r>
      <w:bookmarkEnd w:id="21"/>
      <w:r w:rsidR="00280494" w:rsidRPr="00626A06">
        <w:rPr>
          <w:rFonts w:ascii="Times New Roman" w:hAnsi="Times New Roman" w:cs="Times New Roman"/>
          <w:i/>
          <w:sz w:val="24"/>
          <w:szCs w:val="24"/>
        </w:rPr>
        <w:t xml:space="preserve"> </w:t>
      </w:r>
      <w:r w:rsidR="00010EBB" w:rsidRPr="00626A06">
        <w:rPr>
          <w:rFonts w:ascii="Times New Roman" w:hAnsi="Times New Roman" w:cs="Times New Roman"/>
          <w:sz w:val="24"/>
          <w:szCs w:val="24"/>
        </w:rPr>
        <w:t xml:space="preserve">‘Last </w:t>
      </w:r>
      <w:r w:rsidR="00010EBB" w:rsidRPr="00626A06">
        <w:rPr>
          <w:rFonts w:ascii="Times New Roman" w:hAnsi="Times New Roman" w:cs="Times New Roman"/>
          <w:sz w:val="24"/>
          <w:szCs w:val="24"/>
        </w:rPr>
        <w:lastRenderedPageBreak/>
        <w:t xml:space="preserve">opportunity’ was either not part of the law, or </w:t>
      </w:r>
      <w:r w:rsidR="004114DC" w:rsidRPr="00626A06">
        <w:rPr>
          <w:rFonts w:ascii="Times New Roman" w:hAnsi="Times New Roman" w:cs="Times New Roman"/>
          <w:sz w:val="24"/>
          <w:szCs w:val="24"/>
        </w:rPr>
        <w:t xml:space="preserve">inapplicable in this case, </w:t>
      </w:r>
      <w:r w:rsidR="004114DC" w:rsidRPr="00626A06">
        <w:rPr>
          <w:rFonts w:ascii="Times New Roman" w:hAnsi="Times New Roman" w:cs="Times New Roman"/>
          <w:i/>
          <w:sz w:val="24"/>
          <w:szCs w:val="24"/>
        </w:rPr>
        <w:t>because</w:t>
      </w:r>
      <w:r w:rsidR="00010EBB" w:rsidRPr="00626A06">
        <w:rPr>
          <w:rFonts w:ascii="Times New Roman" w:hAnsi="Times New Roman" w:cs="Times New Roman"/>
          <w:sz w:val="24"/>
          <w:szCs w:val="24"/>
        </w:rPr>
        <w:t xml:space="preserve"> the claimant’s negligence was still an ‘operating’ or ‘efficient’ cause. This is </w:t>
      </w:r>
      <w:r w:rsidR="004114DC" w:rsidRPr="00626A06">
        <w:rPr>
          <w:rFonts w:ascii="Times New Roman" w:hAnsi="Times New Roman" w:cs="Times New Roman"/>
          <w:sz w:val="24"/>
          <w:szCs w:val="24"/>
        </w:rPr>
        <w:t xml:space="preserve">wholly </w:t>
      </w:r>
      <w:r w:rsidR="00010EBB" w:rsidRPr="00626A06">
        <w:rPr>
          <w:rFonts w:ascii="Times New Roman" w:hAnsi="Times New Roman" w:cs="Times New Roman"/>
          <w:sz w:val="24"/>
          <w:szCs w:val="24"/>
        </w:rPr>
        <w:t xml:space="preserve">consistent with pre-1945 approaches to causation. The case was also significant in deciding that no duty had to be owed by the claimant to the defendant </w:t>
      </w:r>
      <w:r w:rsidR="009458E5" w:rsidRPr="00626A06">
        <w:rPr>
          <w:rFonts w:ascii="Times New Roman" w:hAnsi="Times New Roman" w:cs="Times New Roman"/>
          <w:sz w:val="24"/>
          <w:szCs w:val="24"/>
        </w:rPr>
        <w:t>for the provisions of the 1945 Act to have effect.</w:t>
      </w:r>
      <w:bookmarkStart w:id="22" w:name="_Ref319270453"/>
      <w:r w:rsidR="009458E5" w:rsidRPr="00626A06">
        <w:rPr>
          <w:rStyle w:val="FootnoteReference"/>
          <w:rFonts w:ascii="Times New Roman" w:hAnsi="Times New Roman" w:cs="Times New Roman"/>
          <w:sz w:val="24"/>
          <w:szCs w:val="24"/>
        </w:rPr>
        <w:footnoteReference w:id="78"/>
      </w:r>
      <w:bookmarkEnd w:id="22"/>
      <w:r w:rsidR="009458E5" w:rsidRPr="00626A06">
        <w:rPr>
          <w:rFonts w:ascii="Times New Roman" w:hAnsi="Times New Roman" w:cs="Times New Roman"/>
          <w:sz w:val="24"/>
          <w:szCs w:val="24"/>
        </w:rPr>
        <w:t xml:space="preserve"> </w:t>
      </w:r>
      <w:r w:rsidR="004114DC" w:rsidRPr="00626A06">
        <w:rPr>
          <w:rFonts w:ascii="Times New Roman" w:hAnsi="Times New Roman" w:cs="Times New Roman"/>
          <w:sz w:val="24"/>
          <w:szCs w:val="24"/>
        </w:rPr>
        <w:t xml:space="preserve">Still more significant for present purposes however is that Denning LJ, in a prescient judgment, expressed the view that the practical effect of the 1945 Act on causal principles was wider than what he called its ‘legal effect’. Denning LJ </w:t>
      </w:r>
      <w:r w:rsidR="00236BDF" w:rsidRPr="00626A06">
        <w:rPr>
          <w:rFonts w:ascii="Times New Roman" w:hAnsi="Times New Roman" w:cs="Times New Roman"/>
          <w:sz w:val="24"/>
          <w:szCs w:val="24"/>
        </w:rPr>
        <w:t>argued</w:t>
      </w:r>
      <w:r w:rsidR="004114DC" w:rsidRPr="00626A06">
        <w:rPr>
          <w:rFonts w:ascii="Times New Roman" w:hAnsi="Times New Roman" w:cs="Times New Roman"/>
          <w:sz w:val="24"/>
          <w:szCs w:val="24"/>
        </w:rPr>
        <w:t xml:space="preserve"> that the very idea of sole cause had been created in order to mitigate the harshness of contributory negligence:</w:t>
      </w:r>
    </w:p>
    <w:p w:rsidR="004114DC" w:rsidRPr="00626A06" w:rsidRDefault="004114DC" w:rsidP="00626A06">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 xml:space="preserve">But the practical effect is wider than its legal effect. Previously, in order to mitigate the harshness of the doctrine of contributory negligence, the courts in practice sought to select, from a number of competing causes, which was </w:t>
      </w:r>
      <w:r w:rsidRPr="00626A06">
        <w:rPr>
          <w:rFonts w:ascii="Times New Roman" w:hAnsi="Times New Roman" w:cs="Times New Roman"/>
          <w:i/>
          <w:sz w:val="24"/>
          <w:szCs w:val="24"/>
        </w:rPr>
        <w:t xml:space="preserve">the </w:t>
      </w:r>
      <w:r w:rsidRPr="00626A06">
        <w:rPr>
          <w:rFonts w:ascii="Times New Roman" w:hAnsi="Times New Roman" w:cs="Times New Roman"/>
          <w:sz w:val="24"/>
          <w:szCs w:val="24"/>
        </w:rPr>
        <w:t>cause – the effective or predominate cause – of the damage and to reject the rest. Now the courts have regard to all the causes and apportion the damages accordingly.</w:t>
      </w:r>
      <w:r w:rsidRPr="00626A06">
        <w:rPr>
          <w:rStyle w:val="FootnoteReference"/>
          <w:rFonts w:ascii="Times New Roman" w:hAnsi="Times New Roman" w:cs="Times New Roman"/>
          <w:sz w:val="24"/>
          <w:szCs w:val="24"/>
        </w:rPr>
        <w:footnoteReference w:id="79"/>
      </w:r>
    </w:p>
    <w:p w:rsidR="0078454D" w:rsidRPr="00626A06" w:rsidRDefault="0078454D" w:rsidP="00D7285D">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It is important to note that the search for sole cause is described here not as the basis or origin of the injustice perpetrated by the common law’s version of contributory negligence,</w:t>
      </w:r>
      <w:r w:rsidRPr="00626A06">
        <w:rPr>
          <w:rStyle w:val="FootnoteReference"/>
          <w:rFonts w:ascii="Times New Roman" w:hAnsi="Times New Roman" w:cs="Times New Roman"/>
          <w:sz w:val="24"/>
          <w:szCs w:val="24"/>
        </w:rPr>
        <w:footnoteReference w:id="80"/>
      </w:r>
      <w:r w:rsidRPr="00626A06">
        <w:rPr>
          <w:rFonts w:ascii="Times New Roman" w:hAnsi="Times New Roman" w:cs="Times New Roman"/>
          <w:sz w:val="24"/>
          <w:szCs w:val="24"/>
        </w:rPr>
        <w:t xml:space="preserve"> which </w:t>
      </w:r>
      <w:r w:rsidRPr="00626A06">
        <w:rPr>
          <w:rFonts w:ascii="Times New Roman" w:hAnsi="Times New Roman" w:cs="Times New Roman"/>
          <w:i/>
          <w:sz w:val="24"/>
          <w:szCs w:val="24"/>
        </w:rPr>
        <w:t xml:space="preserve">depended upon </w:t>
      </w:r>
      <w:r w:rsidRPr="00626A06">
        <w:rPr>
          <w:rFonts w:ascii="Times New Roman" w:hAnsi="Times New Roman" w:cs="Times New Roman"/>
          <w:sz w:val="24"/>
          <w:szCs w:val="24"/>
        </w:rPr>
        <w:t xml:space="preserve">multiple causes, but as the courts’ device for mitigating the effects of that common law rule. </w:t>
      </w:r>
      <w:r w:rsidR="00A94F8D" w:rsidRPr="00626A06">
        <w:rPr>
          <w:rFonts w:ascii="Times New Roman" w:hAnsi="Times New Roman" w:cs="Times New Roman"/>
          <w:sz w:val="24"/>
          <w:szCs w:val="24"/>
        </w:rPr>
        <w:t>Either way, s</w:t>
      </w:r>
      <w:r w:rsidRPr="00626A06">
        <w:rPr>
          <w:rFonts w:ascii="Times New Roman" w:hAnsi="Times New Roman" w:cs="Times New Roman"/>
          <w:sz w:val="24"/>
          <w:szCs w:val="24"/>
        </w:rPr>
        <w:t>ole cause</w:t>
      </w:r>
      <w:r w:rsidR="00A94F8D" w:rsidRPr="00626A06">
        <w:rPr>
          <w:rFonts w:ascii="Times New Roman" w:hAnsi="Times New Roman" w:cs="Times New Roman"/>
          <w:sz w:val="24"/>
          <w:szCs w:val="24"/>
        </w:rPr>
        <w:t xml:space="preserve"> in such cases</w:t>
      </w:r>
      <w:r w:rsidR="00236BDF" w:rsidRPr="00626A06">
        <w:rPr>
          <w:rFonts w:ascii="Times New Roman" w:hAnsi="Times New Roman" w:cs="Times New Roman"/>
          <w:sz w:val="24"/>
          <w:szCs w:val="24"/>
        </w:rPr>
        <w:t xml:space="preserve"> </w:t>
      </w:r>
      <w:r w:rsidR="002D77BF" w:rsidRPr="00626A06">
        <w:rPr>
          <w:rFonts w:ascii="Times New Roman" w:hAnsi="Times New Roman" w:cs="Times New Roman"/>
          <w:sz w:val="24"/>
          <w:szCs w:val="24"/>
        </w:rPr>
        <w:t xml:space="preserve">had become </w:t>
      </w:r>
      <w:r w:rsidR="00236BDF" w:rsidRPr="00626A06">
        <w:rPr>
          <w:rFonts w:ascii="Times New Roman" w:hAnsi="Times New Roman" w:cs="Times New Roman"/>
          <w:sz w:val="24"/>
          <w:szCs w:val="24"/>
        </w:rPr>
        <w:t>a purposive legal doctrine</w:t>
      </w:r>
      <w:r w:rsidRPr="00626A06">
        <w:rPr>
          <w:rFonts w:ascii="Times New Roman" w:hAnsi="Times New Roman" w:cs="Times New Roman"/>
          <w:sz w:val="24"/>
          <w:szCs w:val="24"/>
        </w:rPr>
        <w:t xml:space="preserve"> in the hands of the court. That is exactly how it seems to have been used by members of the Law Revision Committee in cases of workplace injury around the time of </w:t>
      </w:r>
      <w:r w:rsidR="00954FD9">
        <w:rPr>
          <w:rFonts w:ascii="Times New Roman" w:hAnsi="Times New Roman" w:cs="Times New Roman"/>
          <w:sz w:val="24"/>
          <w:szCs w:val="24"/>
        </w:rPr>
        <w:t xml:space="preserve">the </w:t>
      </w:r>
      <w:r w:rsidRPr="00626A06">
        <w:rPr>
          <w:rFonts w:ascii="Times New Roman" w:hAnsi="Times New Roman" w:cs="Times New Roman"/>
          <w:sz w:val="24"/>
          <w:szCs w:val="24"/>
        </w:rPr>
        <w:t>LRC</w:t>
      </w:r>
      <w:r w:rsidR="00B0033C">
        <w:rPr>
          <w:rFonts w:ascii="Times New Roman" w:hAnsi="Times New Roman" w:cs="Times New Roman"/>
          <w:sz w:val="24"/>
          <w:szCs w:val="24"/>
        </w:rPr>
        <w:t>’s</w:t>
      </w:r>
      <w:r w:rsidRPr="00626A06">
        <w:rPr>
          <w:rFonts w:ascii="Times New Roman" w:hAnsi="Times New Roman" w:cs="Times New Roman"/>
          <w:sz w:val="24"/>
          <w:szCs w:val="24"/>
        </w:rPr>
        <w:t xml:space="preserve"> 8</w:t>
      </w:r>
      <w:r w:rsidRPr="00626A06">
        <w:rPr>
          <w:rFonts w:ascii="Times New Roman" w:hAnsi="Times New Roman" w:cs="Times New Roman"/>
          <w:sz w:val="24"/>
          <w:szCs w:val="24"/>
          <w:vertAlign w:val="superscript"/>
        </w:rPr>
        <w:t>th</w:t>
      </w:r>
      <w:r w:rsidRPr="00626A06">
        <w:rPr>
          <w:rFonts w:ascii="Times New Roman" w:hAnsi="Times New Roman" w:cs="Times New Roman"/>
          <w:sz w:val="24"/>
          <w:szCs w:val="24"/>
        </w:rPr>
        <w:t xml:space="preserve"> Report</w:t>
      </w:r>
      <w:r w:rsidR="00236BDF" w:rsidRPr="00626A06">
        <w:rPr>
          <w:rFonts w:ascii="Times New Roman" w:hAnsi="Times New Roman" w:cs="Times New Roman"/>
          <w:sz w:val="24"/>
          <w:szCs w:val="24"/>
        </w:rPr>
        <w:t>, and there</w:t>
      </w:r>
      <w:r w:rsidRPr="00626A06">
        <w:rPr>
          <w:rFonts w:ascii="Times New Roman" w:hAnsi="Times New Roman" w:cs="Times New Roman"/>
          <w:sz w:val="24"/>
          <w:szCs w:val="24"/>
        </w:rPr>
        <w:t xml:space="preserve"> was no plan to give it up.</w:t>
      </w:r>
    </w:p>
    <w:p w:rsidR="00201CBF" w:rsidRPr="00626A06" w:rsidRDefault="0037192B" w:rsidP="00D7285D">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Because the idea of ‘cause’ is not unpacked in the wording of the 1945 Act, </w:t>
      </w:r>
      <w:r w:rsidR="008B2156" w:rsidRPr="00626A06">
        <w:rPr>
          <w:rFonts w:ascii="Times New Roman" w:hAnsi="Times New Roman" w:cs="Times New Roman"/>
          <w:sz w:val="24"/>
          <w:szCs w:val="24"/>
        </w:rPr>
        <w:t xml:space="preserve">from today’s perspective </w:t>
      </w:r>
      <w:r w:rsidR="000E33CE" w:rsidRPr="00626A06">
        <w:rPr>
          <w:rFonts w:ascii="Times New Roman" w:hAnsi="Times New Roman" w:cs="Times New Roman"/>
          <w:sz w:val="24"/>
          <w:szCs w:val="24"/>
        </w:rPr>
        <w:t xml:space="preserve">decisions such as </w:t>
      </w:r>
      <w:r w:rsidR="000E33CE" w:rsidRPr="00626A06">
        <w:rPr>
          <w:rFonts w:ascii="Times New Roman" w:hAnsi="Times New Roman" w:cs="Times New Roman"/>
          <w:i/>
          <w:sz w:val="24"/>
          <w:szCs w:val="24"/>
        </w:rPr>
        <w:t xml:space="preserve">Caswell </w:t>
      </w:r>
      <w:r w:rsidR="000E33CE" w:rsidRPr="00626A06">
        <w:rPr>
          <w:rFonts w:ascii="Times New Roman" w:hAnsi="Times New Roman" w:cs="Times New Roman"/>
          <w:sz w:val="24"/>
          <w:szCs w:val="24"/>
        </w:rPr>
        <w:t xml:space="preserve">and </w:t>
      </w:r>
      <w:r w:rsidR="000E33CE" w:rsidRPr="00626A06">
        <w:rPr>
          <w:rFonts w:ascii="Times New Roman" w:hAnsi="Times New Roman" w:cs="Times New Roman"/>
          <w:i/>
          <w:sz w:val="24"/>
          <w:szCs w:val="24"/>
        </w:rPr>
        <w:t xml:space="preserve">Flower </w:t>
      </w:r>
      <w:r w:rsidR="00E610C7" w:rsidRPr="00626A06">
        <w:rPr>
          <w:rFonts w:ascii="Times New Roman" w:hAnsi="Times New Roman" w:cs="Times New Roman"/>
          <w:sz w:val="24"/>
          <w:szCs w:val="24"/>
        </w:rPr>
        <w:t xml:space="preserve">would </w:t>
      </w:r>
      <w:r w:rsidR="00120E70" w:rsidRPr="00626A06">
        <w:rPr>
          <w:rFonts w:ascii="Times New Roman" w:hAnsi="Times New Roman" w:cs="Times New Roman"/>
          <w:sz w:val="24"/>
          <w:szCs w:val="24"/>
        </w:rPr>
        <w:t xml:space="preserve">appear </w:t>
      </w:r>
      <w:r w:rsidR="00201CBF" w:rsidRPr="00626A06">
        <w:rPr>
          <w:rFonts w:ascii="Times New Roman" w:hAnsi="Times New Roman" w:cs="Times New Roman"/>
          <w:sz w:val="24"/>
          <w:szCs w:val="24"/>
        </w:rPr>
        <w:t xml:space="preserve">impossible on an application </w:t>
      </w:r>
      <w:r w:rsidR="00201CBF" w:rsidRPr="00626A06">
        <w:rPr>
          <w:rFonts w:ascii="Times New Roman" w:hAnsi="Times New Roman" w:cs="Times New Roman"/>
          <w:sz w:val="24"/>
          <w:szCs w:val="24"/>
        </w:rPr>
        <w:lastRenderedPageBreak/>
        <w:t>of</w:t>
      </w:r>
      <w:r w:rsidR="00BE2D58" w:rsidRPr="00626A06">
        <w:rPr>
          <w:rFonts w:ascii="Times New Roman" w:hAnsi="Times New Roman" w:cs="Times New Roman"/>
          <w:sz w:val="24"/>
          <w:szCs w:val="24"/>
        </w:rPr>
        <w:t xml:space="preserve"> its provisions</w:t>
      </w:r>
      <w:r w:rsidR="00201CBF" w:rsidRPr="00626A06">
        <w:rPr>
          <w:rFonts w:ascii="Times New Roman" w:hAnsi="Times New Roman" w:cs="Times New Roman"/>
          <w:sz w:val="24"/>
          <w:szCs w:val="24"/>
        </w:rPr>
        <w:t xml:space="preserve">. </w:t>
      </w:r>
      <w:r w:rsidR="00E74DE4" w:rsidRPr="00626A06">
        <w:rPr>
          <w:rFonts w:ascii="Times New Roman" w:hAnsi="Times New Roman" w:cs="Times New Roman"/>
          <w:sz w:val="24"/>
          <w:szCs w:val="24"/>
        </w:rPr>
        <w:t xml:space="preserve">Section 1(1) </w:t>
      </w:r>
      <w:r w:rsidR="00E74DE4" w:rsidRPr="00626A06">
        <w:rPr>
          <w:rFonts w:ascii="Times New Roman" w:hAnsi="Times New Roman" w:cs="Times New Roman"/>
          <w:i/>
          <w:sz w:val="24"/>
          <w:szCs w:val="24"/>
        </w:rPr>
        <w:t xml:space="preserve">requires </w:t>
      </w:r>
      <w:r w:rsidR="00E74DE4" w:rsidRPr="00626A06">
        <w:rPr>
          <w:rFonts w:ascii="Times New Roman" w:hAnsi="Times New Roman" w:cs="Times New Roman"/>
          <w:sz w:val="24"/>
          <w:szCs w:val="24"/>
        </w:rPr>
        <w:t xml:space="preserve">the court to reduce damages where the harm to the claimant is </w:t>
      </w:r>
      <w:r w:rsidR="00BE2D58" w:rsidRPr="00626A06">
        <w:rPr>
          <w:rFonts w:ascii="Times New Roman" w:hAnsi="Times New Roman" w:cs="Times New Roman"/>
          <w:sz w:val="24"/>
          <w:szCs w:val="24"/>
        </w:rPr>
        <w:t xml:space="preserve">the result </w:t>
      </w:r>
      <w:r w:rsidR="00E74DE4" w:rsidRPr="00626A06">
        <w:rPr>
          <w:rFonts w:ascii="Times New Roman" w:hAnsi="Times New Roman" w:cs="Times New Roman"/>
          <w:sz w:val="24"/>
          <w:szCs w:val="24"/>
        </w:rPr>
        <w:t xml:space="preserve">partly </w:t>
      </w:r>
      <w:r w:rsidR="00BE2D58" w:rsidRPr="00626A06">
        <w:rPr>
          <w:rFonts w:ascii="Times New Roman" w:hAnsi="Times New Roman" w:cs="Times New Roman"/>
          <w:sz w:val="24"/>
          <w:szCs w:val="24"/>
        </w:rPr>
        <w:t>of</w:t>
      </w:r>
      <w:r w:rsidR="00E74DE4" w:rsidRPr="00626A06">
        <w:rPr>
          <w:rFonts w:ascii="Times New Roman" w:hAnsi="Times New Roman" w:cs="Times New Roman"/>
          <w:sz w:val="24"/>
          <w:szCs w:val="24"/>
        </w:rPr>
        <w:t xml:space="preserve"> his or her own fault.</w:t>
      </w:r>
      <w:r w:rsidR="00245D15" w:rsidRPr="00626A06">
        <w:rPr>
          <w:rFonts w:ascii="Times New Roman" w:hAnsi="Times New Roman" w:cs="Times New Roman"/>
          <w:sz w:val="24"/>
          <w:szCs w:val="24"/>
        </w:rPr>
        <w:t xml:space="preserve"> </w:t>
      </w:r>
      <w:r w:rsidR="00BE2D58" w:rsidRPr="00626A06">
        <w:rPr>
          <w:rFonts w:ascii="Times New Roman" w:hAnsi="Times New Roman" w:cs="Times New Roman"/>
          <w:sz w:val="24"/>
          <w:szCs w:val="24"/>
        </w:rPr>
        <w:t xml:space="preserve">‘The result of’ is causal language. </w:t>
      </w:r>
      <w:r w:rsidR="00245D15" w:rsidRPr="00626A06">
        <w:rPr>
          <w:rFonts w:ascii="Times New Roman" w:hAnsi="Times New Roman" w:cs="Times New Roman"/>
          <w:sz w:val="24"/>
          <w:szCs w:val="24"/>
        </w:rPr>
        <w:t>And yet</w:t>
      </w:r>
      <w:r w:rsidR="00201CBF" w:rsidRPr="00626A06">
        <w:rPr>
          <w:rFonts w:ascii="Times New Roman" w:hAnsi="Times New Roman" w:cs="Times New Roman"/>
          <w:sz w:val="24"/>
          <w:szCs w:val="24"/>
        </w:rPr>
        <w:t>, in the context of breach of statutory duty claims in particular,</w:t>
      </w:r>
      <w:r w:rsidR="00EA09C7" w:rsidRPr="00626A06">
        <w:rPr>
          <w:rFonts w:ascii="Times New Roman" w:hAnsi="Times New Roman" w:cs="Times New Roman"/>
          <w:sz w:val="24"/>
          <w:szCs w:val="24"/>
        </w:rPr>
        <w:t xml:space="preserve"> subsequent courts have </w:t>
      </w:r>
      <w:r w:rsidR="002D2DCC" w:rsidRPr="00626A06">
        <w:rPr>
          <w:rFonts w:ascii="Times New Roman" w:hAnsi="Times New Roman" w:cs="Times New Roman"/>
          <w:sz w:val="24"/>
          <w:szCs w:val="24"/>
        </w:rPr>
        <w:t xml:space="preserve">continued to </w:t>
      </w:r>
      <w:r w:rsidR="00EA09C7" w:rsidRPr="00626A06">
        <w:rPr>
          <w:rFonts w:ascii="Times New Roman" w:hAnsi="Times New Roman" w:cs="Times New Roman"/>
          <w:sz w:val="24"/>
          <w:szCs w:val="24"/>
        </w:rPr>
        <w:t xml:space="preserve">maintain </w:t>
      </w:r>
      <w:r w:rsidR="00693BDA" w:rsidRPr="00626A06">
        <w:rPr>
          <w:rFonts w:ascii="Times New Roman" w:hAnsi="Times New Roman" w:cs="Times New Roman"/>
          <w:sz w:val="24"/>
          <w:szCs w:val="24"/>
        </w:rPr>
        <w:t xml:space="preserve">the developing pre-Act </w:t>
      </w:r>
      <w:r w:rsidR="00EA09C7" w:rsidRPr="00626A06">
        <w:rPr>
          <w:rFonts w:ascii="Times New Roman" w:hAnsi="Times New Roman" w:cs="Times New Roman"/>
          <w:sz w:val="24"/>
          <w:szCs w:val="24"/>
        </w:rPr>
        <w:t xml:space="preserve">position by which ordinary inadvertence of the worker does not generally operate as contributory negligence sufficient to justify a reduction in damages: protection of workers from the effect of tiredness or even from an habitual neglect of safety routines is </w:t>
      </w:r>
      <w:r w:rsidR="00E74DE4" w:rsidRPr="00626A06">
        <w:rPr>
          <w:rFonts w:ascii="Times New Roman" w:hAnsi="Times New Roman" w:cs="Times New Roman"/>
          <w:sz w:val="24"/>
          <w:szCs w:val="24"/>
        </w:rPr>
        <w:t xml:space="preserve">regarded as </w:t>
      </w:r>
      <w:r w:rsidR="00EA09C7" w:rsidRPr="00626A06">
        <w:rPr>
          <w:rFonts w:ascii="Times New Roman" w:hAnsi="Times New Roman" w:cs="Times New Roman"/>
          <w:sz w:val="24"/>
          <w:szCs w:val="24"/>
        </w:rPr>
        <w:t>part of the employer’s duty of risk reduction.</w:t>
      </w:r>
      <w:bookmarkStart w:id="23" w:name="_Ref319271070"/>
      <w:r w:rsidR="00927BA4" w:rsidRPr="00626A06">
        <w:rPr>
          <w:rFonts w:ascii="Times New Roman" w:hAnsi="Times New Roman" w:cs="Times New Roman"/>
          <w:sz w:val="24"/>
          <w:szCs w:val="24"/>
          <w:vertAlign w:val="superscript"/>
        </w:rPr>
        <w:footnoteReference w:id="81"/>
      </w:r>
      <w:bookmarkEnd w:id="23"/>
      <w:r w:rsidR="00BE2D58" w:rsidRPr="00626A06">
        <w:rPr>
          <w:rFonts w:ascii="Times New Roman" w:hAnsi="Times New Roman" w:cs="Times New Roman"/>
          <w:sz w:val="24"/>
          <w:szCs w:val="24"/>
        </w:rPr>
        <w:t xml:space="preserve"> Yet the same reasoning is capable of application in cases involving common law duties</w:t>
      </w:r>
      <w:r w:rsidR="00554291" w:rsidRPr="00626A06">
        <w:rPr>
          <w:rFonts w:ascii="Times New Roman" w:hAnsi="Times New Roman" w:cs="Times New Roman"/>
          <w:sz w:val="24"/>
          <w:szCs w:val="24"/>
        </w:rPr>
        <w:t>,</w:t>
      </w:r>
      <w:bookmarkStart w:id="24" w:name="_Ref319271141"/>
      <w:r w:rsidR="00BE2D58" w:rsidRPr="00626A06">
        <w:rPr>
          <w:rStyle w:val="FootnoteReference"/>
          <w:rFonts w:ascii="Times New Roman" w:hAnsi="Times New Roman" w:cs="Times New Roman"/>
          <w:sz w:val="24"/>
          <w:szCs w:val="24"/>
        </w:rPr>
        <w:footnoteReference w:id="82"/>
      </w:r>
      <w:bookmarkEnd w:id="24"/>
      <w:r w:rsidR="00554291" w:rsidRPr="00626A06">
        <w:rPr>
          <w:rFonts w:ascii="Times New Roman" w:hAnsi="Times New Roman" w:cs="Times New Roman"/>
          <w:sz w:val="24"/>
          <w:szCs w:val="24"/>
        </w:rPr>
        <w:t xml:space="preserve"> and in neither case does</w:t>
      </w:r>
      <w:r w:rsidR="002F7BA6" w:rsidRPr="00626A06">
        <w:rPr>
          <w:rFonts w:ascii="Times New Roman" w:hAnsi="Times New Roman" w:cs="Times New Roman"/>
          <w:sz w:val="24"/>
          <w:szCs w:val="24"/>
        </w:rPr>
        <w:t xml:space="preserve"> it appear to </w:t>
      </w:r>
      <w:r w:rsidR="00554291" w:rsidRPr="00626A06">
        <w:rPr>
          <w:rFonts w:ascii="Times New Roman" w:hAnsi="Times New Roman" w:cs="Times New Roman"/>
          <w:sz w:val="24"/>
          <w:szCs w:val="24"/>
        </w:rPr>
        <w:t>fit well with the statutory language</w:t>
      </w:r>
      <w:r w:rsidR="009B74CE" w:rsidRPr="00626A06">
        <w:rPr>
          <w:rFonts w:ascii="Times New Roman" w:hAnsi="Times New Roman" w:cs="Times New Roman"/>
          <w:sz w:val="24"/>
          <w:szCs w:val="24"/>
        </w:rPr>
        <w:t xml:space="preserve">, given </w:t>
      </w:r>
      <w:r w:rsidR="00DA70BC" w:rsidRPr="00626A06">
        <w:rPr>
          <w:rFonts w:ascii="Times New Roman" w:hAnsi="Times New Roman" w:cs="Times New Roman"/>
          <w:sz w:val="24"/>
          <w:szCs w:val="24"/>
        </w:rPr>
        <w:t>the depleted meaning of legal cause.</w:t>
      </w:r>
      <w:r w:rsidR="002F7BA6" w:rsidRPr="00626A06">
        <w:rPr>
          <w:rFonts w:ascii="Times New Roman" w:hAnsi="Times New Roman" w:cs="Times New Roman"/>
          <w:sz w:val="24"/>
          <w:szCs w:val="24"/>
        </w:rPr>
        <w:t xml:space="preserve"> This is indeed similar to the effect predicted by Denning LJ, but</w:t>
      </w:r>
      <w:r w:rsidR="00901BF8" w:rsidRPr="00626A06">
        <w:rPr>
          <w:rFonts w:ascii="Times New Roman" w:hAnsi="Times New Roman" w:cs="Times New Roman"/>
          <w:sz w:val="24"/>
          <w:szCs w:val="24"/>
        </w:rPr>
        <w:t xml:space="preserve"> has been broadened in its scope by other changes</w:t>
      </w:r>
      <w:r w:rsidR="002F7BA6" w:rsidRPr="00626A06">
        <w:rPr>
          <w:rFonts w:ascii="Times New Roman" w:hAnsi="Times New Roman" w:cs="Times New Roman"/>
          <w:sz w:val="24"/>
          <w:szCs w:val="24"/>
        </w:rPr>
        <w:t>.</w:t>
      </w:r>
      <w:r w:rsidR="00DA70BC" w:rsidRPr="00626A06">
        <w:rPr>
          <w:rFonts w:ascii="Times New Roman" w:hAnsi="Times New Roman" w:cs="Times New Roman"/>
          <w:sz w:val="24"/>
          <w:szCs w:val="24"/>
        </w:rPr>
        <w:t xml:space="preserve"> </w:t>
      </w:r>
    </w:p>
    <w:p w:rsidR="008527BA" w:rsidRPr="00626A06" w:rsidRDefault="008A2653" w:rsidP="00D7285D">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Returning to </w:t>
      </w:r>
      <w:r w:rsidR="00203530">
        <w:rPr>
          <w:rFonts w:ascii="Times New Roman" w:hAnsi="Times New Roman" w:cs="Times New Roman"/>
          <w:sz w:val="24"/>
          <w:szCs w:val="24"/>
        </w:rPr>
        <w:t xml:space="preserve">the </w:t>
      </w:r>
      <w:r w:rsidRPr="00626A06">
        <w:rPr>
          <w:rFonts w:ascii="Times New Roman" w:hAnsi="Times New Roman" w:cs="Times New Roman"/>
          <w:sz w:val="24"/>
          <w:szCs w:val="24"/>
        </w:rPr>
        <w:t>LRC</w:t>
      </w:r>
      <w:r w:rsidR="00B0033C">
        <w:rPr>
          <w:rFonts w:ascii="Times New Roman" w:hAnsi="Times New Roman" w:cs="Times New Roman"/>
          <w:sz w:val="24"/>
          <w:szCs w:val="24"/>
        </w:rPr>
        <w:t>’s</w:t>
      </w:r>
      <w:r w:rsidRPr="00626A06">
        <w:rPr>
          <w:rFonts w:ascii="Times New Roman" w:hAnsi="Times New Roman" w:cs="Times New Roman"/>
          <w:sz w:val="24"/>
          <w:szCs w:val="24"/>
        </w:rPr>
        <w:t xml:space="preserve"> 8</w:t>
      </w:r>
      <w:r w:rsidRPr="00626A06">
        <w:rPr>
          <w:rFonts w:ascii="Times New Roman" w:hAnsi="Times New Roman" w:cs="Times New Roman"/>
          <w:sz w:val="24"/>
          <w:szCs w:val="24"/>
          <w:vertAlign w:val="superscript"/>
        </w:rPr>
        <w:t>th</w:t>
      </w:r>
      <w:r w:rsidRPr="00626A06">
        <w:rPr>
          <w:rFonts w:ascii="Times New Roman" w:hAnsi="Times New Roman" w:cs="Times New Roman"/>
          <w:sz w:val="24"/>
          <w:szCs w:val="24"/>
        </w:rPr>
        <w:t xml:space="preserve"> Report, t</w:t>
      </w:r>
      <w:r w:rsidR="00EA09C7" w:rsidRPr="00626A06">
        <w:rPr>
          <w:rFonts w:ascii="Times New Roman" w:hAnsi="Times New Roman" w:cs="Times New Roman"/>
          <w:sz w:val="24"/>
          <w:szCs w:val="24"/>
        </w:rPr>
        <w:t>here are various ways to explain the absence of employee cases from</w:t>
      </w:r>
      <w:r w:rsidRPr="00626A06">
        <w:rPr>
          <w:rFonts w:ascii="Times New Roman" w:hAnsi="Times New Roman" w:cs="Times New Roman"/>
          <w:sz w:val="24"/>
          <w:szCs w:val="24"/>
        </w:rPr>
        <w:t xml:space="preserve"> its discussion</w:t>
      </w:r>
      <w:r w:rsidR="00EA09C7" w:rsidRPr="00626A06">
        <w:rPr>
          <w:rFonts w:ascii="Times New Roman" w:hAnsi="Times New Roman" w:cs="Times New Roman"/>
          <w:sz w:val="24"/>
          <w:szCs w:val="24"/>
        </w:rPr>
        <w:t xml:space="preserve">. </w:t>
      </w:r>
      <w:r w:rsidR="002F7BA6" w:rsidRPr="00626A06">
        <w:rPr>
          <w:rFonts w:ascii="Times New Roman" w:hAnsi="Times New Roman" w:cs="Times New Roman"/>
          <w:sz w:val="24"/>
          <w:szCs w:val="24"/>
        </w:rPr>
        <w:t xml:space="preserve">One possibility is that </w:t>
      </w:r>
      <w:r w:rsidR="003147CA" w:rsidRPr="00626A06">
        <w:rPr>
          <w:rFonts w:ascii="Times New Roman" w:hAnsi="Times New Roman" w:cs="Times New Roman"/>
          <w:sz w:val="24"/>
          <w:szCs w:val="24"/>
        </w:rPr>
        <w:t xml:space="preserve">the rarity of such claims at common law was </w:t>
      </w:r>
      <w:r w:rsidR="00554291" w:rsidRPr="00626A06">
        <w:rPr>
          <w:rFonts w:ascii="Times New Roman" w:hAnsi="Times New Roman" w:cs="Times New Roman"/>
          <w:sz w:val="24"/>
          <w:szCs w:val="24"/>
        </w:rPr>
        <w:t xml:space="preserve">genuinely </w:t>
      </w:r>
      <w:r w:rsidR="003147CA" w:rsidRPr="00626A06">
        <w:rPr>
          <w:rFonts w:ascii="Times New Roman" w:hAnsi="Times New Roman" w:cs="Times New Roman"/>
          <w:sz w:val="24"/>
          <w:szCs w:val="24"/>
        </w:rPr>
        <w:t xml:space="preserve">thought to justify the focus on road traffic, for the great bulk of employee claims were </w:t>
      </w:r>
      <w:r w:rsidR="00DA70BC" w:rsidRPr="00626A06">
        <w:rPr>
          <w:rFonts w:ascii="Times New Roman" w:hAnsi="Times New Roman" w:cs="Times New Roman"/>
          <w:sz w:val="24"/>
          <w:szCs w:val="24"/>
        </w:rPr>
        <w:t>for w</w:t>
      </w:r>
      <w:r w:rsidR="003147CA" w:rsidRPr="00626A06">
        <w:rPr>
          <w:rFonts w:ascii="Times New Roman" w:hAnsi="Times New Roman" w:cs="Times New Roman"/>
          <w:sz w:val="24"/>
          <w:szCs w:val="24"/>
        </w:rPr>
        <w:t xml:space="preserve">orkmen’s </w:t>
      </w:r>
      <w:r w:rsidR="00DA70BC" w:rsidRPr="00626A06">
        <w:rPr>
          <w:rFonts w:ascii="Times New Roman" w:hAnsi="Times New Roman" w:cs="Times New Roman"/>
          <w:sz w:val="24"/>
          <w:szCs w:val="24"/>
        </w:rPr>
        <w:t>c</w:t>
      </w:r>
      <w:r w:rsidR="003147CA" w:rsidRPr="00626A06">
        <w:rPr>
          <w:rFonts w:ascii="Times New Roman" w:hAnsi="Times New Roman" w:cs="Times New Roman"/>
          <w:sz w:val="24"/>
          <w:szCs w:val="24"/>
        </w:rPr>
        <w:t>ompensation.</w:t>
      </w:r>
      <w:r w:rsidR="00841560" w:rsidRPr="00626A06">
        <w:rPr>
          <w:rFonts w:ascii="Times New Roman" w:hAnsi="Times New Roman" w:cs="Times New Roman"/>
          <w:sz w:val="24"/>
          <w:szCs w:val="24"/>
        </w:rPr>
        <w:t xml:space="preserve"> Alternatively</w:t>
      </w:r>
      <w:r w:rsidR="00554291" w:rsidRPr="00626A06">
        <w:rPr>
          <w:rFonts w:ascii="Times New Roman" w:hAnsi="Times New Roman" w:cs="Times New Roman"/>
          <w:sz w:val="24"/>
          <w:szCs w:val="24"/>
        </w:rPr>
        <w:t xml:space="preserve">, the Committee may have avoided mentioning employee claims because </w:t>
      </w:r>
      <w:r w:rsidR="00A34738" w:rsidRPr="00626A06">
        <w:rPr>
          <w:rFonts w:ascii="Times New Roman" w:hAnsi="Times New Roman" w:cs="Times New Roman"/>
          <w:sz w:val="24"/>
          <w:szCs w:val="24"/>
        </w:rPr>
        <w:t xml:space="preserve">they inhabited </w:t>
      </w:r>
      <w:r w:rsidR="00554291" w:rsidRPr="00626A06">
        <w:rPr>
          <w:rFonts w:ascii="Times New Roman" w:hAnsi="Times New Roman" w:cs="Times New Roman"/>
          <w:sz w:val="24"/>
          <w:szCs w:val="24"/>
        </w:rPr>
        <w:t xml:space="preserve">an area </w:t>
      </w:r>
      <w:r w:rsidR="00FE635C" w:rsidRPr="00626A06">
        <w:rPr>
          <w:rFonts w:ascii="Times New Roman" w:hAnsi="Times New Roman" w:cs="Times New Roman"/>
          <w:sz w:val="24"/>
          <w:szCs w:val="24"/>
        </w:rPr>
        <w:t>where political discussion was ongoing,</w:t>
      </w:r>
      <w:r w:rsidR="00693BDA" w:rsidRPr="00626A06">
        <w:rPr>
          <w:rStyle w:val="FootnoteReference"/>
          <w:rFonts w:ascii="Times New Roman" w:hAnsi="Times New Roman" w:cs="Times New Roman"/>
          <w:sz w:val="24"/>
          <w:szCs w:val="24"/>
        </w:rPr>
        <w:footnoteReference w:id="83"/>
      </w:r>
      <w:r w:rsidR="00FE635C" w:rsidRPr="00626A06">
        <w:rPr>
          <w:rFonts w:ascii="Times New Roman" w:hAnsi="Times New Roman" w:cs="Times New Roman"/>
          <w:sz w:val="24"/>
          <w:szCs w:val="24"/>
        </w:rPr>
        <w:t xml:space="preserve"> </w:t>
      </w:r>
      <w:r w:rsidR="00554291" w:rsidRPr="00626A06">
        <w:rPr>
          <w:rFonts w:ascii="Times New Roman" w:hAnsi="Times New Roman" w:cs="Times New Roman"/>
          <w:sz w:val="24"/>
          <w:szCs w:val="24"/>
        </w:rPr>
        <w:t xml:space="preserve">and </w:t>
      </w:r>
      <w:r w:rsidR="00A34738" w:rsidRPr="00626A06">
        <w:rPr>
          <w:rFonts w:ascii="Times New Roman" w:hAnsi="Times New Roman" w:cs="Times New Roman"/>
          <w:sz w:val="24"/>
          <w:szCs w:val="24"/>
        </w:rPr>
        <w:t xml:space="preserve">their presence </w:t>
      </w:r>
      <w:r w:rsidR="00554291" w:rsidRPr="00626A06">
        <w:rPr>
          <w:rFonts w:ascii="Times New Roman" w:hAnsi="Times New Roman" w:cs="Times New Roman"/>
          <w:sz w:val="24"/>
          <w:szCs w:val="24"/>
        </w:rPr>
        <w:t xml:space="preserve">could only make reform harder to achieve. </w:t>
      </w:r>
      <w:r w:rsidR="00944D98" w:rsidRPr="00626A06">
        <w:rPr>
          <w:rFonts w:ascii="Times New Roman" w:hAnsi="Times New Roman" w:cs="Times New Roman"/>
          <w:sz w:val="24"/>
          <w:szCs w:val="24"/>
        </w:rPr>
        <w:t>But f</w:t>
      </w:r>
      <w:r w:rsidR="00841560" w:rsidRPr="00626A06">
        <w:rPr>
          <w:rFonts w:ascii="Times New Roman" w:hAnsi="Times New Roman" w:cs="Times New Roman"/>
          <w:sz w:val="24"/>
          <w:szCs w:val="24"/>
        </w:rPr>
        <w:t>inally</w:t>
      </w:r>
      <w:r w:rsidR="00554291" w:rsidRPr="00626A06">
        <w:rPr>
          <w:rFonts w:ascii="Times New Roman" w:hAnsi="Times New Roman" w:cs="Times New Roman"/>
          <w:sz w:val="24"/>
          <w:szCs w:val="24"/>
        </w:rPr>
        <w:t xml:space="preserve">, </w:t>
      </w:r>
      <w:r w:rsidR="00944D98" w:rsidRPr="00626A06">
        <w:rPr>
          <w:rFonts w:ascii="Times New Roman" w:hAnsi="Times New Roman" w:cs="Times New Roman"/>
          <w:sz w:val="24"/>
          <w:szCs w:val="24"/>
        </w:rPr>
        <w:t>it</w:t>
      </w:r>
      <w:r w:rsidR="00EA09C7" w:rsidRPr="00626A06">
        <w:rPr>
          <w:rFonts w:ascii="Times New Roman" w:hAnsi="Times New Roman" w:cs="Times New Roman"/>
          <w:sz w:val="24"/>
          <w:szCs w:val="24"/>
        </w:rPr>
        <w:t xml:space="preserve"> is possible that the Committee thought these claims could </w:t>
      </w:r>
      <w:r w:rsidR="002F7BA6" w:rsidRPr="00626A06">
        <w:rPr>
          <w:rFonts w:ascii="Times New Roman" w:hAnsi="Times New Roman" w:cs="Times New Roman"/>
          <w:sz w:val="24"/>
          <w:szCs w:val="24"/>
        </w:rPr>
        <w:t xml:space="preserve">and (given the previous point) should </w:t>
      </w:r>
      <w:r w:rsidR="00EA09C7" w:rsidRPr="00626A06">
        <w:rPr>
          <w:rFonts w:ascii="Times New Roman" w:hAnsi="Times New Roman" w:cs="Times New Roman"/>
          <w:sz w:val="24"/>
          <w:szCs w:val="24"/>
        </w:rPr>
        <w:t>be largely kept out of the range of contributory negligence in other than unusual cases</w:t>
      </w:r>
      <w:r w:rsidR="00944D98" w:rsidRPr="00626A06">
        <w:rPr>
          <w:rFonts w:ascii="Times New Roman" w:hAnsi="Times New Roman" w:cs="Times New Roman"/>
          <w:sz w:val="24"/>
          <w:szCs w:val="24"/>
        </w:rPr>
        <w:t>, employing the idea of sole cause</w:t>
      </w:r>
      <w:r w:rsidR="002F7BA6" w:rsidRPr="00626A06">
        <w:rPr>
          <w:rFonts w:ascii="Times New Roman" w:hAnsi="Times New Roman" w:cs="Times New Roman"/>
          <w:sz w:val="24"/>
          <w:szCs w:val="24"/>
        </w:rPr>
        <w:t xml:space="preserve">. This was very much </w:t>
      </w:r>
      <w:r w:rsidR="008F1066" w:rsidRPr="00626A06">
        <w:rPr>
          <w:rFonts w:ascii="Times New Roman" w:hAnsi="Times New Roman" w:cs="Times New Roman"/>
          <w:sz w:val="24"/>
          <w:szCs w:val="24"/>
        </w:rPr>
        <w:t xml:space="preserve">judicial </w:t>
      </w:r>
      <w:r w:rsidR="004E2C3A" w:rsidRPr="00626A06">
        <w:rPr>
          <w:rFonts w:ascii="Times New Roman" w:hAnsi="Times New Roman" w:cs="Times New Roman"/>
          <w:sz w:val="24"/>
          <w:szCs w:val="24"/>
        </w:rPr>
        <w:t>work in progress</w:t>
      </w:r>
      <w:r w:rsidR="00EA09C7" w:rsidRPr="00626A06">
        <w:rPr>
          <w:rFonts w:ascii="Times New Roman" w:hAnsi="Times New Roman" w:cs="Times New Roman"/>
          <w:sz w:val="24"/>
          <w:szCs w:val="24"/>
        </w:rPr>
        <w:t>.</w:t>
      </w:r>
      <w:r w:rsidR="00633EE1" w:rsidRPr="00626A06">
        <w:rPr>
          <w:rFonts w:ascii="Times New Roman" w:hAnsi="Times New Roman" w:cs="Times New Roman"/>
          <w:sz w:val="24"/>
          <w:szCs w:val="24"/>
        </w:rPr>
        <w:t xml:space="preserve"> </w:t>
      </w:r>
      <w:r w:rsidR="00A418DB" w:rsidRPr="00626A06">
        <w:rPr>
          <w:rFonts w:ascii="Times New Roman" w:hAnsi="Times New Roman" w:cs="Times New Roman"/>
          <w:sz w:val="24"/>
          <w:szCs w:val="24"/>
        </w:rPr>
        <w:t>Referring back to the causal issues just explored, t</w:t>
      </w:r>
      <w:r w:rsidR="0037192B" w:rsidRPr="00626A06">
        <w:rPr>
          <w:rFonts w:ascii="Times New Roman" w:hAnsi="Times New Roman" w:cs="Times New Roman"/>
          <w:sz w:val="24"/>
          <w:szCs w:val="24"/>
        </w:rPr>
        <w:t xml:space="preserve">he </w:t>
      </w:r>
      <w:r w:rsidR="002D2DCC" w:rsidRPr="00626A06">
        <w:rPr>
          <w:rFonts w:ascii="Times New Roman" w:hAnsi="Times New Roman" w:cs="Times New Roman"/>
          <w:sz w:val="24"/>
          <w:szCs w:val="24"/>
        </w:rPr>
        <w:t xml:space="preserve">approach </w:t>
      </w:r>
      <w:r w:rsidR="00EE44E0" w:rsidRPr="00626A06">
        <w:rPr>
          <w:rFonts w:ascii="Times New Roman" w:hAnsi="Times New Roman" w:cs="Times New Roman"/>
          <w:sz w:val="24"/>
          <w:szCs w:val="24"/>
        </w:rPr>
        <w:t xml:space="preserve">taken in </w:t>
      </w:r>
      <w:r w:rsidR="002D2DCC" w:rsidRPr="00626A06">
        <w:rPr>
          <w:rFonts w:ascii="Times New Roman" w:hAnsi="Times New Roman" w:cs="Times New Roman"/>
          <w:sz w:val="24"/>
          <w:szCs w:val="24"/>
        </w:rPr>
        <w:t xml:space="preserve">employee cases </w:t>
      </w:r>
      <w:r w:rsidR="00EE44E0" w:rsidRPr="00626A06">
        <w:rPr>
          <w:rFonts w:ascii="Times New Roman" w:hAnsi="Times New Roman" w:cs="Times New Roman"/>
          <w:sz w:val="24"/>
          <w:szCs w:val="24"/>
        </w:rPr>
        <w:t xml:space="preserve">during the period </w:t>
      </w:r>
      <w:r w:rsidR="002D2DCC" w:rsidRPr="00626A06">
        <w:rPr>
          <w:rFonts w:ascii="Times New Roman" w:hAnsi="Times New Roman" w:cs="Times New Roman"/>
          <w:sz w:val="24"/>
          <w:szCs w:val="24"/>
        </w:rPr>
        <w:t xml:space="preserve">underlines that the </w:t>
      </w:r>
      <w:r w:rsidR="002D2DCC" w:rsidRPr="00626A06">
        <w:rPr>
          <w:rFonts w:ascii="Times New Roman" w:hAnsi="Times New Roman" w:cs="Times New Roman"/>
          <w:i/>
          <w:sz w:val="24"/>
          <w:szCs w:val="24"/>
        </w:rPr>
        <w:t>general</w:t>
      </w:r>
      <w:r w:rsidR="002D2DCC" w:rsidRPr="00626A06">
        <w:rPr>
          <w:rFonts w:ascii="Times New Roman" w:hAnsi="Times New Roman" w:cs="Times New Roman"/>
          <w:sz w:val="24"/>
          <w:szCs w:val="24"/>
        </w:rPr>
        <w:t xml:space="preserve"> </w:t>
      </w:r>
      <w:r w:rsidR="0037192B" w:rsidRPr="00626A06">
        <w:rPr>
          <w:rFonts w:ascii="Times New Roman" w:hAnsi="Times New Roman" w:cs="Times New Roman"/>
          <w:sz w:val="24"/>
          <w:szCs w:val="24"/>
        </w:rPr>
        <w:t xml:space="preserve">intention was not to change ‘all or nothing’ to shades of liability </w:t>
      </w:r>
      <w:r w:rsidR="00A34738" w:rsidRPr="00626A06">
        <w:rPr>
          <w:rFonts w:ascii="Times New Roman" w:hAnsi="Times New Roman" w:cs="Times New Roman"/>
          <w:sz w:val="24"/>
          <w:szCs w:val="24"/>
        </w:rPr>
        <w:t xml:space="preserve">in every case where </w:t>
      </w:r>
      <w:r w:rsidR="0037192B" w:rsidRPr="00626A06">
        <w:rPr>
          <w:rFonts w:ascii="Times New Roman" w:hAnsi="Times New Roman" w:cs="Times New Roman"/>
          <w:sz w:val="24"/>
          <w:szCs w:val="24"/>
        </w:rPr>
        <w:t xml:space="preserve">there was partial fault on the </w:t>
      </w:r>
      <w:r w:rsidR="00901BF8" w:rsidRPr="00626A06">
        <w:rPr>
          <w:rFonts w:ascii="Times New Roman" w:hAnsi="Times New Roman" w:cs="Times New Roman"/>
          <w:sz w:val="24"/>
          <w:szCs w:val="24"/>
        </w:rPr>
        <w:t xml:space="preserve">side </w:t>
      </w:r>
      <w:r w:rsidR="0037192B" w:rsidRPr="00626A06">
        <w:rPr>
          <w:rFonts w:ascii="Times New Roman" w:hAnsi="Times New Roman" w:cs="Times New Roman"/>
          <w:sz w:val="24"/>
          <w:szCs w:val="24"/>
        </w:rPr>
        <w:t>of the claimant</w:t>
      </w:r>
      <w:r w:rsidR="00BA48D6" w:rsidRPr="00626A06">
        <w:rPr>
          <w:rFonts w:ascii="Times New Roman" w:hAnsi="Times New Roman" w:cs="Times New Roman"/>
          <w:sz w:val="24"/>
          <w:szCs w:val="24"/>
        </w:rPr>
        <w:t xml:space="preserve">, even if that fault was a </w:t>
      </w:r>
      <w:r w:rsidR="00BA48D6" w:rsidRPr="00626A06">
        <w:rPr>
          <w:rFonts w:ascii="Times New Roman" w:hAnsi="Times New Roman" w:cs="Times New Roman"/>
          <w:i/>
          <w:sz w:val="24"/>
          <w:szCs w:val="24"/>
        </w:rPr>
        <w:t>sine qua non</w:t>
      </w:r>
      <w:r w:rsidR="0037192B" w:rsidRPr="00626A06">
        <w:rPr>
          <w:rFonts w:ascii="Times New Roman" w:hAnsi="Times New Roman" w:cs="Times New Roman"/>
          <w:sz w:val="24"/>
          <w:szCs w:val="24"/>
        </w:rPr>
        <w:t>.</w:t>
      </w:r>
      <w:r w:rsidR="00BA48D6" w:rsidRPr="00626A06">
        <w:rPr>
          <w:rFonts w:ascii="Times New Roman" w:hAnsi="Times New Roman" w:cs="Times New Roman"/>
          <w:sz w:val="24"/>
          <w:szCs w:val="24"/>
        </w:rPr>
        <w:t xml:space="preserve"> It was to adopt Admiralty practice, which did not engage in apportionment unless both parties’ fault was considered a </w:t>
      </w:r>
      <w:r w:rsidR="00BA48D6" w:rsidRPr="00626A06">
        <w:rPr>
          <w:rFonts w:ascii="Times New Roman" w:hAnsi="Times New Roman" w:cs="Times New Roman"/>
          <w:i/>
          <w:sz w:val="24"/>
          <w:szCs w:val="24"/>
        </w:rPr>
        <w:t>legal</w:t>
      </w:r>
      <w:r w:rsidR="00BA48D6" w:rsidRPr="00626A06">
        <w:rPr>
          <w:rFonts w:ascii="Times New Roman" w:hAnsi="Times New Roman" w:cs="Times New Roman"/>
          <w:sz w:val="24"/>
          <w:szCs w:val="24"/>
        </w:rPr>
        <w:t xml:space="preserve"> cause. The courts used this idea </w:t>
      </w:r>
      <w:r w:rsidR="003379D8" w:rsidRPr="00626A06">
        <w:rPr>
          <w:rFonts w:ascii="Times New Roman" w:hAnsi="Times New Roman" w:cs="Times New Roman"/>
          <w:sz w:val="24"/>
          <w:szCs w:val="24"/>
        </w:rPr>
        <w:t xml:space="preserve">to achieve desired outcomes </w:t>
      </w:r>
      <w:r w:rsidR="00CF253A" w:rsidRPr="00626A06">
        <w:rPr>
          <w:rFonts w:ascii="Times New Roman" w:hAnsi="Times New Roman" w:cs="Times New Roman"/>
          <w:sz w:val="24"/>
          <w:szCs w:val="24"/>
        </w:rPr>
        <w:t xml:space="preserve">immediately </w:t>
      </w:r>
      <w:r w:rsidR="00BA48D6" w:rsidRPr="00626A06">
        <w:rPr>
          <w:rFonts w:ascii="Times New Roman" w:hAnsi="Times New Roman" w:cs="Times New Roman"/>
          <w:sz w:val="24"/>
          <w:szCs w:val="24"/>
        </w:rPr>
        <w:t xml:space="preserve">before </w:t>
      </w:r>
      <w:r w:rsidR="00CF253A" w:rsidRPr="00626A06">
        <w:rPr>
          <w:rFonts w:ascii="Times New Roman" w:hAnsi="Times New Roman" w:cs="Times New Roman"/>
          <w:sz w:val="24"/>
          <w:szCs w:val="24"/>
        </w:rPr>
        <w:t xml:space="preserve">and after </w:t>
      </w:r>
      <w:r w:rsidR="00BA48D6" w:rsidRPr="00626A06">
        <w:rPr>
          <w:rFonts w:ascii="Times New Roman" w:hAnsi="Times New Roman" w:cs="Times New Roman"/>
          <w:sz w:val="24"/>
          <w:szCs w:val="24"/>
        </w:rPr>
        <w:t>the 1945 Act in road traffic cases, maritime cases, and employment cases, with cross references between them.</w:t>
      </w:r>
      <w:r w:rsidR="0037192B" w:rsidRPr="00626A06">
        <w:rPr>
          <w:rFonts w:ascii="Times New Roman" w:hAnsi="Times New Roman" w:cs="Times New Roman"/>
          <w:sz w:val="24"/>
          <w:szCs w:val="24"/>
        </w:rPr>
        <w:t xml:space="preserve"> </w:t>
      </w:r>
      <w:r w:rsidR="00601BD5" w:rsidRPr="00626A06">
        <w:rPr>
          <w:rFonts w:ascii="Times New Roman" w:hAnsi="Times New Roman" w:cs="Times New Roman"/>
          <w:sz w:val="24"/>
          <w:szCs w:val="24"/>
        </w:rPr>
        <w:t xml:space="preserve">Since the judges </w:t>
      </w:r>
      <w:r w:rsidR="008F1066" w:rsidRPr="00626A06">
        <w:rPr>
          <w:rFonts w:ascii="Times New Roman" w:hAnsi="Times New Roman" w:cs="Times New Roman"/>
          <w:sz w:val="24"/>
          <w:szCs w:val="24"/>
        </w:rPr>
        <w:t xml:space="preserve">in those cases </w:t>
      </w:r>
      <w:r w:rsidR="00601BD5" w:rsidRPr="00626A06">
        <w:rPr>
          <w:rFonts w:ascii="Times New Roman" w:hAnsi="Times New Roman" w:cs="Times New Roman"/>
          <w:sz w:val="24"/>
          <w:szCs w:val="24"/>
        </w:rPr>
        <w:t>were</w:t>
      </w:r>
      <w:r w:rsidR="00CF253A" w:rsidRPr="00626A06">
        <w:rPr>
          <w:rFonts w:ascii="Times New Roman" w:hAnsi="Times New Roman" w:cs="Times New Roman"/>
          <w:sz w:val="24"/>
          <w:szCs w:val="24"/>
        </w:rPr>
        <w:t xml:space="preserve"> in some instances</w:t>
      </w:r>
      <w:r w:rsidR="00601BD5" w:rsidRPr="00626A06">
        <w:rPr>
          <w:rFonts w:ascii="Times New Roman" w:hAnsi="Times New Roman" w:cs="Times New Roman"/>
          <w:sz w:val="24"/>
          <w:szCs w:val="24"/>
        </w:rPr>
        <w:t xml:space="preserve"> also the framers of the reform, there can be </w:t>
      </w:r>
      <w:r w:rsidR="001D5B34" w:rsidRPr="00626A06">
        <w:rPr>
          <w:rFonts w:ascii="Times New Roman" w:hAnsi="Times New Roman" w:cs="Times New Roman"/>
          <w:sz w:val="24"/>
          <w:szCs w:val="24"/>
        </w:rPr>
        <w:t xml:space="preserve">no </w:t>
      </w:r>
      <w:r w:rsidR="00601BD5" w:rsidRPr="00626A06">
        <w:rPr>
          <w:rFonts w:ascii="Times New Roman" w:hAnsi="Times New Roman" w:cs="Times New Roman"/>
          <w:sz w:val="24"/>
          <w:szCs w:val="24"/>
        </w:rPr>
        <w:t xml:space="preserve">doubt that the </w:t>
      </w:r>
      <w:r w:rsidR="00A34738" w:rsidRPr="00626A06">
        <w:rPr>
          <w:rFonts w:ascii="Times New Roman" w:hAnsi="Times New Roman" w:cs="Times New Roman"/>
          <w:sz w:val="24"/>
          <w:szCs w:val="24"/>
        </w:rPr>
        <w:t xml:space="preserve">causation ideas </w:t>
      </w:r>
      <w:r w:rsidR="00601BD5" w:rsidRPr="00626A06">
        <w:rPr>
          <w:rFonts w:ascii="Times New Roman" w:hAnsi="Times New Roman" w:cs="Times New Roman"/>
          <w:sz w:val="24"/>
          <w:szCs w:val="24"/>
        </w:rPr>
        <w:t xml:space="preserve">referred to in the 1945 Act would have been understood by </w:t>
      </w:r>
      <w:r w:rsidR="00601BD5" w:rsidRPr="00626A06">
        <w:rPr>
          <w:rFonts w:ascii="Times New Roman" w:hAnsi="Times New Roman" w:cs="Times New Roman"/>
          <w:sz w:val="24"/>
          <w:szCs w:val="24"/>
        </w:rPr>
        <w:lastRenderedPageBreak/>
        <w:t>them to mean ‘legal’ or ‘proximate’ cause.</w:t>
      </w:r>
      <w:r w:rsidR="00EE44E0" w:rsidRPr="00626A06">
        <w:rPr>
          <w:rFonts w:ascii="Times New Roman" w:hAnsi="Times New Roman" w:cs="Times New Roman"/>
          <w:sz w:val="24"/>
          <w:szCs w:val="24"/>
        </w:rPr>
        <w:t xml:space="preserve"> Often overlooked</w:t>
      </w:r>
      <w:r w:rsidR="009D43BC" w:rsidRPr="00626A06">
        <w:rPr>
          <w:rFonts w:ascii="Times New Roman" w:hAnsi="Times New Roman" w:cs="Times New Roman"/>
          <w:sz w:val="24"/>
          <w:szCs w:val="24"/>
        </w:rPr>
        <w:t>, in particular,</w:t>
      </w:r>
      <w:r w:rsidR="00EE44E0" w:rsidRPr="00626A06">
        <w:rPr>
          <w:rFonts w:ascii="Times New Roman" w:hAnsi="Times New Roman" w:cs="Times New Roman"/>
          <w:sz w:val="24"/>
          <w:szCs w:val="24"/>
        </w:rPr>
        <w:t xml:space="preserve"> is Viscount Simon’s judgment in </w:t>
      </w:r>
      <w:r w:rsidR="00EE44E0" w:rsidRPr="00626A06">
        <w:rPr>
          <w:rFonts w:ascii="Times New Roman" w:hAnsi="Times New Roman" w:cs="Times New Roman"/>
          <w:i/>
          <w:sz w:val="24"/>
          <w:szCs w:val="24"/>
        </w:rPr>
        <w:t xml:space="preserve">The Boy Andrew </w:t>
      </w:r>
      <w:r w:rsidR="00EE44E0" w:rsidRPr="00626A06">
        <w:rPr>
          <w:rFonts w:ascii="Times New Roman" w:hAnsi="Times New Roman" w:cs="Times New Roman"/>
          <w:sz w:val="24"/>
          <w:szCs w:val="24"/>
        </w:rPr>
        <w:t>after his efforts in securing the 1945 Act</w:t>
      </w:r>
      <w:r w:rsidR="008F1066" w:rsidRPr="00626A06">
        <w:rPr>
          <w:rFonts w:ascii="Times New Roman" w:hAnsi="Times New Roman" w:cs="Times New Roman"/>
          <w:sz w:val="24"/>
          <w:szCs w:val="24"/>
        </w:rPr>
        <w:t xml:space="preserve">, determining </w:t>
      </w:r>
      <w:r w:rsidR="00E871ED" w:rsidRPr="00626A06">
        <w:rPr>
          <w:rFonts w:ascii="Times New Roman" w:hAnsi="Times New Roman" w:cs="Times New Roman"/>
          <w:sz w:val="24"/>
          <w:szCs w:val="24"/>
        </w:rPr>
        <w:t xml:space="preserve">that as </w:t>
      </w:r>
      <w:r w:rsidR="008F1066" w:rsidRPr="00626A06">
        <w:rPr>
          <w:rFonts w:ascii="Times New Roman" w:hAnsi="Times New Roman" w:cs="Times New Roman"/>
          <w:sz w:val="24"/>
          <w:szCs w:val="24"/>
        </w:rPr>
        <w:t>there was only one party whose fault operated as a legal cause, there was no ground for division of liability</w:t>
      </w:r>
      <w:r w:rsidR="00EE44E0" w:rsidRPr="00626A06">
        <w:rPr>
          <w:rFonts w:ascii="Times New Roman" w:hAnsi="Times New Roman" w:cs="Times New Roman"/>
          <w:sz w:val="24"/>
          <w:szCs w:val="24"/>
        </w:rPr>
        <w:t>.</w:t>
      </w:r>
      <w:r w:rsidR="00601BD5" w:rsidRPr="00626A06">
        <w:rPr>
          <w:rStyle w:val="FootnoteReference"/>
          <w:rFonts w:ascii="Times New Roman" w:hAnsi="Times New Roman" w:cs="Times New Roman"/>
          <w:sz w:val="24"/>
          <w:szCs w:val="24"/>
        </w:rPr>
        <w:footnoteReference w:id="84"/>
      </w:r>
      <w:r w:rsidR="00601BD5" w:rsidRPr="00626A06">
        <w:rPr>
          <w:rFonts w:ascii="Times New Roman" w:hAnsi="Times New Roman" w:cs="Times New Roman"/>
          <w:sz w:val="24"/>
          <w:szCs w:val="24"/>
        </w:rPr>
        <w:t xml:space="preserve"> </w:t>
      </w:r>
    </w:p>
    <w:p w:rsidR="00375FF0" w:rsidRPr="00626A06" w:rsidRDefault="00BF4AAA"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Given the narrower range of ‘legal cause’ </w:t>
      </w:r>
      <w:r w:rsidR="00944D98" w:rsidRPr="00626A06">
        <w:rPr>
          <w:rFonts w:ascii="Times New Roman" w:hAnsi="Times New Roman" w:cs="Times New Roman"/>
          <w:sz w:val="24"/>
          <w:szCs w:val="24"/>
        </w:rPr>
        <w:t xml:space="preserve">(remoteness) </w:t>
      </w:r>
      <w:r w:rsidRPr="00626A06">
        <w:rPr>
          <w:rFonts w:ascii="Times New Roman" w:hAnsi="Times New Roman" w:cs="Times New Roman"/>
          <w:sz w:val="24"/>
          <w:szCs w:val="24"/>
        </w:rPr>
        <w:t xml:space="preserve">today, the current </w:t>
      </w:r>
      <w:r w:rsidR="00822A1A" w:rsidRPr="00626A06">
        <w:rPr>
          <w:rFonts w:ascii="Times New Roman" w:hAnsi="Times New Roman" w:cs="Times New Roman"/>
          <w:sz w:val="24"/>
          <w:szCs w:val="24"/>
        </w:rPr>
        <w:t xml:space="preserve">equivalent </w:t>
      </w:r>
      <w:r w:rsidR="00BA48D6" w:rsidRPr="00626A06">
        <w:rPr>
          <w:rFonts w:ascii="Times New Roman" w:hAnsi="Times New Roman" w:cs="Times New Roman"/>
          <w:sz w:val="24"/>
          <w:szCs w:val="24"/>
        </w:rPr>
        <w:t xml:space="preserve">of </w:t>
      </w:r>
      <w:r w:rsidR="00A32F2B" w:rsidRPr="00626A06">
        <w:rPr>
          <w:rFonts w:ascii="Times New Roman" w:hAnsi="Times New Roman" w:cs="Times New Roman"/>
          <w:sz w:val="24"/>
          <w:szCs w:val="24"/>
        </w:rPr>
        <w:t xml:space="preserve">such arguments </w:t>
      </w:r>
      <w:r w:rsidRPr="00626A06">
        <w:rPr>
          <w:rFonts w:ascii="Times New Roman" w:hAnsi="Times New Roman" w:cs="Times New Roman"/>
          <w:sz w:val="24"/>
          <w:szCs w:val="24"/>
        </w:rPr>
        <w:t xml:space="preserve">is </w:t>
      </w:r>
      <w:r w:rsidR="00A32F2B" w:rsidRPr="00626A06">
        <w:rPr>
          <w:rFonts w:ascii="Times New Roman" w:hAnsi="Times New Roman" w:cs="Times New Roman"/>
          <w:sz w:val="24"/>
          <w:szCs w:val="24"/>
        </w:rPr>
        <w:t>to be found in direct appeal to ‘</w:t>
      </w:r>
      <w:r w:rsidR="00BA48D6" w:rsidRPr="00626A06">
        <w:rPr>
          <w:rFonts w:ascii="Times New Roman" w:hAnsi="Times New Roman" w:cs="Times New Roman"/>
          <w:sz w:val="24"/>
          <w:szCs w:val="24"/>
        </w:rPr>
        <w:t>responsibility</w:t>
      </w:r>
      <w:r w:rsidR="00841560" w:rsidRPr="00626A06">
        <w:rPr>
          <w:rFonts w:ascii="Times New Roman" w:hAnsi="Times New Roman" w:cs="Times New Roman"/>
          <w:sz w:val="24"/>
          <w:szCs w:val="24"/>
        </w:rPr>
        <w:t>’ and</w:t>
      </w:r>
      <w:r w:rsidR="00BA48D6" w:rsidRPr="00626A06">
        <w:rPr>
          <w:rFonts w:ascii="Times New Roman" w:hAnsi="Times New Roman" w:cs="Times New Roman"/>
          <w:sz w:val="24"/>
          <w:szCs w:val="24"/>
        </w:rPr>
        <w:t xml:space="preserve"> in </w:t>
      </w:r>
      <w:r w:rsidR="00841560" w:rsidRPr="00626A06">
        <w:rPr>
          <w:rFonts w:ascii="Times New Roman" w:hAnsi="Times New Roman" w:cs="Times New Roman"/>
          <w:sz w:val="24"/>
          <w:szCs w:val="24"/>
        </w:rPr>
        <w:t xml:space="preserve">reference to </w:t>
      </w:r>
      <w:r w:rsidR="00BA48D6" w:rsidRPr="00626A06">
        <w:rPr>
          <w:rFonts w:ascii="Times New Roman" w:hAnsi="Times New Roman" w:cs="Times New Roman"/>
          <w:sz w:val="24"/>
          <w:szCs w:val="24"/>
        </w:rPr>
        <w:t>the ‘purpose of the duty’ breached by the defendant</w:t>
      </w:r>
      <w:r w:rsidR="006E7F34" w:rsidRPr="00626A06">
        <w:rPr>
          <w:rFonts w:ascii="Times New Roman" w:hAnsi="Times New Roman" w:cs="Times New Roman"/>
          <w:sz w:val="24"/>
          <w:szCs w:val="24"/>
        </w:rPr>
        <w:t xml:space="preserve">. </w:t>
      </w:r>
      <w:r w:rsidR="00D03C42" w:rsidRPr="00626A06">
        <w:rPr>
          <w:rFonts w:ascii="Times New Roman" w:hAnsi="Times New Roman" w:cs="Times New Roman"/>
          <w:sz w:val="24"/>
          <w:szCs w:val="24"/>
        </w:rPr>
        <w:t>For example, t</w:t>
      </w:r>
      <w:r w:rsidR="00633EE1" w:rsidRPr="00626A06">
        <w:rPr>
          <w:rFonts w:ascii="Times New Roman" w:hAnsi="Times New Roman" w:cs="Times New Roman"/>
          <w:sz w:val="24"/>
          <w:szCs w:val="24"/>
        </w:rPr>
        <w:t xml:space="preserve">he </w:t>
      </w:r>
      <w:r w:rsidR="00BA48D6" w:rsidRPr="00626A06">
        <w:rPr>
          <w:rFonts w:ascii="Times New Roman" w:hAnsi="Times New Roman" w:cs="Times New Roman"/>
          <w:sz w:val="24"/>
          <w:szCs w:val="24"/>
        </w:rPr>
        <w:t xml:space="preserve">restrictive approach to contributory negligence still to be seen </w:t>
      </w:r>
      <w:r w:rsidR="008527BA" w:rsidRPr="00626A06">
        <w:rPr>
          <w:rFonts w:ascii="Times New Roman" w:hAnsi="Times New Roman" w:cs="Times New Roman"/>
          <w:sz w:val="24"/>
          <w:szCs w:val="24"/>
        </w:rPr>
        <w:t>in statutory duty cases was</w:t>
      </w:r>
      <w:r w:rsidR="00633EE1" w:rsidRPr="00626A06">
        <w:rPr>
          <w:rFonts w:ascii="Times New Roman" w:hAnsi="Times New Roman" w:cs="Times New Roman"/>
          <w:sz w:val="24"/>
          <w:szCs w:val="24"/>
        </w:rPr>
        <w:t xml:space="preserve"> </w:t>
      </w:r>
      <w:r w:rsidR="00253F60" w:rsidRPr="00626A06">
        <w:rPr>
          <w:rFonts w:ascii="Times New Roman" w:hAnsi="Times New Roman" w:cs="Times New Roman"/>
          <w:sz w:val="24"/>
          <w:szCs w:val="24"/>
        </w:rPr>
        <w:t xml:space="preserve">identified, and not criticised, </w:t>
      </w:r>
      <w:r w:rsidR="00633EE1" w:rsidRPr="00626A06">
        <w:rPr>
          <w:rFonts w:ascii="Times New Roman" w:hAnsi="Times New Roman" w:cs="Times New Roman"/>
          <w:sz w:val="24"/>
          <w:szCs w:val="24"/>
        </w:rPr>
        <w:t xml:space="preserve">by Lord Hoffmann in </w:t>
      </w:r>
      <w:r w:rsidR="00633EE1" w:rsidRPr="00626A06">
        <w:rPr>
          <w:rFonts w:ascii="Times New Roman" w:hAnsi="Times New Roman" w:cs="Times New Roman"/>
          <w:i/>
          <w:sz w:val="24"/>
          <w:szCs w:val="24"/>
        </w:rPr>
        <w:t>Reeves v Commissioner of Police</w:t>
      </w:r>
      <w:r w:rsidR="00A32F2B" w:rsidRPr="00626A06">
        <w:rPr>
          <w:rFonts w:ascii="Times New Roman" w:hAnsi="Times New Roman" w:cs="Times New Roman"/>
          <w:i/>
          <w:sz w:val="24"/>
          <w:szCs w:val="24"/>
        </w:rPr>
        <w:t xml:space="preserve"> for the Metropolis</w:t>
      </w:r>
      <w:r w:rsidR="00633EE1" w:rsidRPr="00626A06">
        <w:rPr>
          <w:rFonts w:ascii="Times New Roman" w:hAnsi="Times New Roman" w:cs="Times New Roman"/>
          <w:sz w:val="24"/>
          <w:szCs w:val="24"/>
        </w:rPr>
        <w:t>.</w:t>
      </w:r>
      <w:r w:rsidR="00722417" w:rsidRPr="00626A06">
        <w:rPr>
          <w:rStyle w:val="FootnoteReference"/>
          <w:rFonts w:ascii="Times New Roman" w:hAnsi="Times New Roman" w:cs="Times New Roman"/>
          <w:sz w:val="24"/>
          <w:szCs w:val="24"/>
        </w:rPr>
        <w:footnoteReference w:id="85"/>
      </w:r>
      <w:r w:rsidR="00253F60" w:rsidRPr="00626A06">
        <w:rPr>
          <w:rFonts w:ascii="Times New Roman" w:hAnsi="Times New Roman" w:cs="Times New Roman"/>
          <w:sz w:val="24"/>
          <w:szCs w:val="24"/>
        </w:rPr>
        <w:t xml:space="preserve"> Buxton LJ </w:t>
      </w:r>
      <w:r w:rsidR="006E7F34" w:rsidRPr="00626A06">
        <w:rPr>
          <w:rFonts w:ascii="Times New Roman" w:hAnsi="Times New Roman" w:cs="Times New Roman"/>
          <w:sz w:val="24"/>
          <w:szCs w:val="24"/>
        </w:rPr>
        <w:t xml:space="preserve">in the Court of Appeal </w:t>
      </w:r>
      <w:r w:rsidR="00253F60" w:rsidRPr="00626A06">
        <w:rPr>
          <w:rFonts w:ascii="Times New Roman" w:hAnsi="Times New Roman" w:cs="Times New Roman"/>
          <w:sz w:val="24"/>
          <w:szCs w:val="24"/>
        </w:rPr>
        <w:t xml:space="preserve">had applied both </w:t>
      </w:r>
      <w:r w:rsidR="00253F60" w:rsidRPr="00626A06">
        <w:rPr>
          <w:rFonts w:ascii="Times New Roman" w:hAnsi="Times New Roman" w:cs="Times New Roman"/>
          <w:i/>
          <w:sz w:val="24"/>
          <w:szCs w:val="24"/>
        </w:rPr>
        <w:t xml:space="preserve">Hutchinson </w:t>
      </w:r>
      <w:r w:rsidR="00253F60" w:rsidRPr="00626A06">
        <w:rPr>
          <w:rFonts w:ascii="Times New Roman" w:hAnsi="Times New Roman" w:cs="Times New Roman"/>
          <w:sz w:val="24"/>
          <w:szCs w:val="24"/>
        </w:rPr>
        <w:t xml:space="preserve">and </w:t>
      </w:r>
      <w:proofErr w:type="spellStart"/>
      <w:r w:rsidR="00253F60" w:rsidRPr="00626A06">
        <w:rPr>
          <w:rFonts w:ascii="Times New Roman" w:hAnsi="Times New Roman" w:cs="Times New Roman"/>
          <w:i/>
          <w:sz w:val="24"/>
          <w:szCs w:val="24"/>
        </w:rPr>
        <w:t>Staveley</w:t>
      </w:r>
      <w:proofErr w:type="spellEnd"/>
      <w:r w:rsidRPr="00626A06">
        <w:rPr>
          <w:rFonts w:ascii="Times New Roman" w:hAnsi="Times New Roman" w:cs="Times New Roman"/>
          <w:sz w:val="24"/>
          <w:szCs w:val="24"/>
        </w:rPr>
        <w:t>,</w:t>
      </w:r>
      <w:r w:rsidR="00253F60" w:rsidRPr="00626A06">
        <w:rPr>
          <w:rFonts w:ascii="Times New Roman" w:hAnsi="Times New Roman" w:cs="Times New Roman"/>
          <w:sz w:val="24"/>
          <w:szCs w:val="24"/>
        </w:rPr>
        <w:t xml:space="preserve"> arguing that there should be no reduction in damages for contributory negligence where the deceased had taken his own life in prison, the defendants owing him a duty to protect him as a known suicide risk.</w:t>
      </w:r>
      <w:r w:rsidR="00623BE8" w:rsidRPr="00626A06">
        <w:rPr>
          <w:rFonts w:ascii="Times New Roman" w:hAnsi="Times New Roman" w:cs="Times New Roman"/>
          <w:sz w:val="24"/>
          <w:szCs w:val="24"/>
        </w:rPr>
        <w:t xml:space="preserve"> </w:t>
      </w:r>
      <w:r w:rsidR="000D7A5C" w:rsidRPr="00626A06">
        <w:rPr>
          <w:rFonts w:ascii="Times New Roman" w:hAnsi="Times New Roman" w:cs="Times New Roman"/>
          <w:sz w:val="24"/>
          <w:szCs w:val="24"/>
        </w:rPr>
        <w:t>To hold otherwise</w:t>
      </w:r>
      <w:r w:rsidR="00D03C42" w:rsidRPr="00626A06">
        <w:rPr>
          <w:rFonts w:ascii="Times New Roman" w:hAnsi="Times New Roman" w:cs="Times New Roman"/>
          <w:sz w:val="24"/>
          <w:szCs w:val="24"/>
        </w:rPr>
        <w:t xml:space="preserve"> would undermine</w:t>
      </w:r>
      <w:r w:rsidR="000D7A5C" w:rsidRPr="00626A06">
        <w:rPr>
          <w:rFonts w:ascii="Times New Roman" w:hAnsi="Times New Roman" w:cs="Times New Roman"/>
          <w:sz w:val="24"/>
          <w:szCs w:val="24"/>
        </w:rPr>
        <w:t xml:space="preserve"> or contradict</w:t>
      </w:r>
      <w:r w:rsidR="00D03C42" w:rsidRPr="00626A06">
        <w:rPr>
          <w:rFonts w:ascii="Times New Roman" w:hAnsi="Times New Roman" w:cs="Times New Roman"/>
          <w:sz w:val="24"/>
          <w:szCs w:val="24"/>
        </w:rPr>
        <w:t xml:space="preserve"> the duty. </w:t>
      </w:r>
      <w:r w:rsidR="00623BE8" w:rsidRPr="00626A06">
        <w:rPr>
          <w:rFonts w:ascii="Times New Roman" w:hAnsi="Times New Roman" w:cs="Times New Roman"/>
          <w:sz w:val="24"/>
          <w:szCs w:val="24"/>
        </w:rPr>
        <w:t xml:space="preserve">The importance of </w:t>
      </w:r>
      <w:r w:rsidR="00623BE8" w:rsidRPr="00626A06">
        <w:rPr>
          <w:rFonts w:ascii="Times New Roman" w:hAnsi="Times New Roman" w:cs="Times New Roman"/>
          <w:i/>
          <w:sz w:val="24"/>
          <w:szCs w:val="24"/>
        </w:rPr>
        <w:t xml:space="preserve">Hutchinson </w:t>
      </w:r>
      <w:r w:rsidR="00623BE8" w:rsidRPr="00626A06">
        <w:rPr>
          <w:rFonts w:ascii="Times New Roman" w:hAnsi="Times New Roman" w:cs="Times New Roman"/>
          <w:sz w:val="24"/>
          <w:szCs w:val="24"/>
        </w:rPr>
        <w:t xml:space="preserve">was said </w:t>
      </w:r>
      <w:r w:rsidR="006E7F34" w:rsidRPr="00626A06">
        <w:rPr>
          <w:rFonts w:ascii="Times New Roman" w:hAnsi="Times New Roman" w:cs="Times New Roman"/>
          <w:sz w:val="24"/>
          <w:szCs w:val="24"/>
        </w:rPr>
        <w:t xml:space="preserve">by Lord Hoffmann </w:t>
      </w:r>
      <w:r w:rsidR="00623BE8" w:rsidRPr="00626A06">
        <w:rPr>
          <w:rFonts w:ascii="Times New Roman" w:hAnsi="Times New Roman" w:cs="Times New Roman"/>
          <w:sz w:val="24"/>
          <w:szCs w:val="24"/>
        </w:rPr>
        <w:t>to be diminished because it had been heard before the 1945 Act.</w:t>
      </w:r>
      <w:r w:rsidR="00EB6D44" w:rsidRPr="00626A06">
        <w:rPr>
          <w:rStyle w:val="FootnoteReference"/>
          <w:rFonts w:ascii="Times New Roman" w:hAnsi="Times New Roman" w:cs="Times New Roman"/>
          <w:sz w:val="24"/>
          <w:szCs w:val="24"/>
        </w:rPr>
        <w:footnoteReference w:id="86"/>
      </w:r>
      <w:r w:rsidR="006E7F34" w:rsidRPr="00626A06">
        <w:rPr>
          <w:rFonts w:ascii="Times New Roman" w:hAnsi="Times New Roman" w:cs="Times New Roman"/>
          <w:sz w:val="24"/>
          <w:szCs w:val="24"/>
        </w:rPr>
        <w:t xml:space="preserve"> </w:t>
      </w:r>
      <w:r w:rsidR="00A34738" w:rsidRPr="00626A06">
        <w:rPr>
          <w:rFonts w:ascii="Times New Roman" w:hAnsi="Times New Roman" w:cs="Times New Roman"/>
          <w:sz w:val="24"/>
          <w:szCs w:val="24"/>
        </w:rPr>
        <w:t xml:space="preserve">But </w:t>
      </w:r>
      <w:r w:rsidR="007B54A0" w:rsidRPr="00626A06">
        <w:rPr>
          <w:rFonts w:ascii="Times New Roman" w:hAnsi="Times New Roman" w:cs="Times New Roman"/>
          <w:sz w:val="24"/>
          <w:szCs w:val="24"/>
        </w:rPr>
        <w:t xml:space="preserve">Lord Hoffmann </w:t>
      </w:r>
      <w:r w:rsidR="00A34738" w:rsidRPr="00626A06">
        <w:rPr>
          <w:rFonts w:ascii="Times New Roman" w:hAnsi="Times New Roman" w:cs="Times New Roman"/>
          <w:sz w:val="24"/>
          <w:szCs w:val="24"/>
        </w:rPr>
        <w:t xml:space="preserve">also </w:t>
      </w:r>
      <w:r w:rsidR="007B54A0" w:rsidRPr="00626A06">
        <w:rPr>
          <w:rFonts w:ascii="Times New Roman" w:hAnsi="Times New Roman" w:cs="Times New Roman"/>
          <w:sz w:val="24"/>
          <w:szCs w:val="24"/>
        </w:rPr>
        <w:t xml:space="preserve">argued that </w:t>
      </w:r>
      <w:r w:rsidR="00623BE8" w:rsidRPr="00626A06">
        <w:rPr>
          <w:rFonts w:ascii="Times New Roman" w:hAnsi="Times New Roman" w:cs="Times New Roman"/>
          <w:sz w:val="24"/>
          <w:szCs w:val="24"/>
        </w:rPr>
        <w:t>t</w:t>
      </w:r>
      <w:r w:rsidR="00633EE1" w:rsidRPr="00626A06">
        <w:rPr>
          <w:rFonts w:ascii="Times New Roman" w:hAnsi="Times New Roman" w:cs="Times New Roman"/>
          <w:sz w:val="24"/>
          <w:szCs w:val="24"/>
        </w:rPr>
        <w:t xml:space="preserve">he citation of </w:t>
      </w:r>
      <w:r w:rsidR="007C6FE3" w:rsidRPr="00626A06">
        <w:rPr>
          <w:rFonts w:ascii="Times New Roman" w:hAnsi="Times New Roman" w:cs="Times New Roman"/>
          <w:sz w:val="24"/>
          <w:szCs w:val="24"/>
        </w:rPr>
        <w:t xml:space="preserve">the post-Act case of </w:t>
      </w:r>
      <w:proofErr w:type="spellStart"/>
      <w:r w:rsidR="00633EE1" w:rsidRPr="00626A06">
        <w:rPr>
          <w:rFonts w:ascii="Times New Roman" w:hAnsi="Times New Roman" w:cs="Times New Roman"/>
          <w:i/>
          <w:sz w:val="24"/>
          <w:szCs w:val="24"/>
        </w:rPr>
        <w:t>Staveley</w:t>
      </w:r>
      <w:proofErr w:type="spellEnd"/>
      <w:r w:rsidR="00375FF0" w:rsidRPr="00626A06">
        <w:rPr>
          <w:rFonts w:ascii="Times New Roman" w:hAnsi="Times New Roman" w:cs="Times New Roman"/>
          <w:sz w:val="24"/>
          <w:szCs w:val="24"/>
        </w:rPr>
        <w:t>:</w:t>
      </w:r>
    </w:p>
    <w:p w:rsidR="0054455C" w:rsidRPr="00626A06" w:rsidRDefault="00633EE1" w:rsidP="00D7285D">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performs the valuable function of reminding us that what section 1 requires the court to apportion is not merely degrees of carelessness but ‘responsibility’ and that an assessment of responsibility must take into account the policy of the rule, such as the Factories Acts, by which liability is imposed.</w:t>
      </w:r>
      <w:r w:rsidR="00375FF0" w:rsidRPr="00626A06">
        <w:rPr>
          <w:rFonts w:ascii="Times New Roman" w:hAnsi="Times New Roman" w:cs="Times New Roman"/>
          <w:sz w:val="24"/>
          <w:szCs w:val="24"/>
        </w:rPr>
        <w:t xml:space="preserve"> A person may be responsible though he has not been careless at all, as in the case of breach of an absolute statutory duty. And he may have been careless without being responsible, as in the case of </w:t>
      </w:r>
      <w:r w:rsidR="0062416A">
        <w:rPr>
          <w:rFonts w:ascii="Times New Roman" w:hAnsi="Times New Roman" w:cs="Times New Roman"/>
          <w:sz w:val="24"/>
          <w:szCs w:val="24"/>
        </w:rPr>
        <w:t>’</w:t>
      </w:r>
      <w:r w:rsidR="00375FF0" w:rsidRPr="00626A06">
        <w:rPr>
          <w:rFonts w:ascii="Times New Roman" w:hAnsi="Times New Roman" w:cs="Times New Roman"/>
          <w:sz w:val="24"/>
          <w:szCs w:val="24"/>
        </w:rPr>
        <w:t>acts of inattention</w:t>
      </w:r>
      <w:r w:rsidR="0062416A">
        <w:rPr>
          <w:rFonts w:ascii="Times New Roman" w:hAnsi="Times New Roman" w:cs="Times New Roman"/>
          <w:sz w:val="24"/>
          <w:szCs w:val="24"/>
        </w:rPr>
        <w:t>’</w:t>
      </w:r>
      <w:r w:rsidR="00375FF0" w:rsidRPr="00626A06">
        <w:rPr>
          <w:rFonts w:ascii="Times New Roman" w:hAnsi="Times New Roman" w:cs="Times New Roman"/>
          <w:sz w:val="24"/>
          <w:szCs w:val="24"/>
        </w:rPr>
        <w:t xml:space="preserve"> by workmen.</w:t>
      </w:r>
      <w:r w:rsidR="00375FF0" w:rsidRPr="00626A06">
        <w:rPr>
          <w:rStyle w:val="FootnoteReference"/>
          <w:rFonts w:ascii="Times New Roman" w:hAnsi="Times New Roman" w:cs="Times New Roman"/>
          <w:sz w:val="24"/>
          <w:szCs w:val="24"/>
        </w:rPr>
        <w:footnoteReference w:id="87"/>
      </w:r>
    </w:p>
    <w:p w:rsidR="00CE20D3" w:rsidRPr="00626A06" w:rsidRDefault="00375FF0"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language of ‘responsibility’ here is used to deliver </w:t>
      </w:r>
      <w:r w:rsidR="00D3312A" w:rsidRPr="00626A06">
        <w:rPr>
          <w:rFonts w:ascii="Times New Roman" w:hAnsi="Times New Roman" w:cs="Times New Roman"/>
          <w:sz w:val="24"/>
          <w:szCs w:val="24"/>
        </w:rPr>
        <w:t xml:space="preserve">in a different way </w:t>
      </w:r>
      <w:r w:rsidRPr="00626A06">
        <w:rPr>
          <w:rFonts w:ascii="Times New Roman" w:hAnsi="Times New Roman" w:cs="Times New Roman"/>
          <w:sz w:val="24"/>
          <w:szCs w:val="24"/>
        </w:rPr>
        <w:t xml:space="preserve">what </w:t>
      </w:r>
      <w:r w:rsidR="00CF75CC">
        <w:rPr>
          <w:rFonts w:ascii="Times New Roman" w:hAnsi="Times New Roman" w:cs="Times New Roman"/>
          <w:sz w:val="24"/>
          <w:szCs w:val="24"/>
        </w:rPr>
        <w:t xml:space="preserve">the </w:t>
      </w:r>
      <w:r w:rsidRPr="00626A06">
        <w:rPr>
          <w:rFonts w:ascii="Times New Roman" w:hAnsi="Times New Roman" w:cs="Times New Roman"/>
          <w:sz w:val="24"/>
          <w:szCs w:val="24"/>
        </w:rPr>
        <w:t>LRC</w:t>
      </w:r>
      <w:r w:rsidR="00B0033C">
        <w:rPr>
          <w:rFonts w:ascii="Times New Roman" w:hAnsi="Times New Roman" w:cs="Times New Roman"/>
          <w:sz w:val="24"/>
          <w:szCs w:val="24"/>
        </w:rPr>
        <w:t>’s</w:t>
      </w:r>
      <w:r w:rsidRPr="00626A06">
        <w:rPr>
          <w:rFonts w:ascii="Times New Roman" w:hAnsi="Times New Roman" w:cs="Times New Roman"/>
          <w:sz w:val="24"/>
          <w:szCs w:val="24"/>
        </w:rPr>
        <w:t xml:space="preserve"> 8</w:t>
      </w:r>
      <w:r w:rsidRPr="00626A06">
        <w:rPr>
          <w:rFonts w:ascii="Times New Roman" w:hAnsi="Times New Roman" w:cs="Times New Roman"/>
          <w:sz w:val="24"/>
          <w:szCs w:val="24"/>
          <w:vertAlign w:val="superscript"/>
        </w:rPr>
        <w:t>th</w:t>
      </w:r>
      <w:r w:rsidRPr="00626A06">
        <w:rPr>
          <w:rFonts w:ascii="Times New Roman" w:hAnsi="Times New Roman" w:cs="Times New Roman"/>
          <w:sz w:val="24"/>
          <w:szCs w:val="24"/>
        </w:rPr>
        <w:t xml:space="preserve"> Report </w:t>
      </w:r>
      <w:r w:rsidR="00D03C42" w:rsidRPr="00626A06">
        <w:rPr>
          <w:rFonts w:ascii="Times New Roman" w:hAnsi="Times New Roman" w:cs="Times New Roman"/>
          <w:sz w:val="24"/>
          <w:szCs w:val="24"/>
        </w:rPr>
        <w:t>– and contemporaneous case</w:t>
      </w:r>
      <w:r w:rsidR="00192CE7">
        <w:rPr>
          <w:rFonts w:ascii="Times New Roman" w:hAnsi="Times New Roman" w:cs="Times New Roman"/>
          <w:sz w:val="24"/>
          <w:szCs w:val="24"/>
        </w:rPr>
        <w:t>-</w:t>
      </w:r>
      <w:r w:rsidR="00D03C42" w:rsidRPr="00626A06">
        <w:rPr>
          <w:rFonts w:ascii="Times New Roman" w:hAnsi="Times New Roman" w:cs="Times New Roman"/>
          <w:sz w:val="24"/>
          <w:szCs w:val="24"/>
        </w:rPr>
        <w:t>law</w:t>
      </w:r>
      <w:r w:rsidR="00192CE7" w:rsidRPr="00626A06">
        <w:rPr>
          <w:rFonts w:ascii="Times New Roman" w:hAnsi="Times New Roman" w:cs="Times New Roman"/>
          <w:sz w:val="24"/>
          <w:szCs w:val="24"/>
        </w:rPr>
        <w:t xml:space="preserve"> – </w:t>
      </w:r>
      <w:r w:rsidRPr="00626A06">
        <w:rPr>
          <w:rFonts w:ascii="Times New Roman" w:hAnsi="Times New Roman" w:cs="Times New Roman"/>
          <w:sz w:val="24"/>
          <w:szCs w:val="24"/>
        </w:rPr>
        <w:t xml:space="preserve">sought in the </w:t>
      </w:r>
      <w:r w:rsidR="00EE48A2" w:rsidRPr="00626A06">
        <w:rPr>
          <w:rFonts w:ascii="Times New Roman" w:hAnsi="Times New Roman" w:cs="Times New Roman"/>
          <w:sz w:val="24"/>
          <w:szCs w:val="24"/>
        </w:rPr>
        <w:t xml:space="preserve">court’s </w:t>
      </w:r>
      <w:r w:rsidRPr="00626A06">
        <w:rPr>
          <w:rFonts w:ascii="Times New Roman" w:hAnsi="Times New Roman" w:cs="Times New Roman"/>
          <w:sz w:val="24"/>
          <w:szCs w:val="24"/>
        </w:rPr>
        <w:t xml:space="preserve">judgment </w:t>
      </w:r>
      <w:r w:rsidR="00EE48A2" w:rsidRPr="00626A06">
        <w:rPr>
          <w:rFonts w:ascii="Times New Roman" w:hAnsi="Times New Roman" w:cs="Times New Roman"/>
          <w:sz w:val="24"/>
          <w:szCs w:val="24"/>
        </w:rPr>
        <w:t>as to</w:t>
      </w:r>
      <w:r w:rsidRPr="00626A06">
        <w:rPr>
          <w:rFonts w:ascii="Times New Roman" w:hAnsi="Times New Roman" w:cs="Times New Roman"/>
          <w:sz w:val="24"/>
          <w:szCs w:val="24"/>
        </w:rPr>
        <w:t xml:space="preserve"> </w:t>
      </w:r>
      <w:r w:rsidR="00C31E63" w:rsidRPr="00626A06">
        <w:rPr>
          <w:rFonts w:ascii="Times New Roman" w:hAnsi="Times New Roman" w:cs="Times New Roman"/>
          <w:sz w:val="24"/>
          <w:szCs w:val="24"/>
        </w:rPr>
        <w:t xml:space="preserve">legal </w:t>
      </w:r>
      <w:r w:rsidRPr="00626A06">
        <w:rPr>
          <w:rFonts w:ascii="Times New Roman" w:hAnsi="Times New Roman" w:cs="Times New Roman"/>
          <w:sz w:val="24"/>
          <w:szCs w:val="24"/>
        </w:rPr>
        <w:lastRenderedPageBreak/>
        <w:t xml:space="preserve">causation. </w:t>
      </w:r>
      <w:r w:rsidR="00AF6B3D" w:rsidRPr="00626A06">
        <w:rPr>
          <w:rFonts w:ascii="Times New Roman" w:hAnsi="Times New Roman" w:cs="Times New Roman"/>
          <w:sz w:val="24"/>
          <w:szCs w:val="24"/>
        </w:rPr>
        <w:t>As a matter of statutory interpretation, i</w:t>
      </w:r>
      <w:r w:rsidR="00EE022D" w:rsidRPr="00626A06">
        <w:rPr>
          <w:rFonts w:ascii="Times New Roman" w:hAnsi="Times New Roman" w:cs="Times New Roman"/>
          <w:sz w:val="24"/>
          <w:szCs w:val="24"/>
        </w:rPr>
        <w:t xml:space="preserve">t is not clear that </w:t>
      </w:r>
      <w:r w:rsidR="00EE48A2" w:rsidRPr="00626A06">
        <w:rPr>
          <w:rFonts w:ascii="Times New Roman" w:hAnsi="Times New Roman" w:cs="Times New Roman"/>
          <w:sz w:val="24"/>
          <w:szCs w:val="24"/>
        </w:rPr>
        <w:t>this</w:t>
      </w:r>
      <w:r w:rsidR="00EE022D" w:rsidRPr="00626A06">
        <w:rPr>
          <w:rFonts w:ascii="Times New Roman" w:hAnsi="Times New Roman" w:cs="Times New Roman"/>
          <w:sz w:val="24"/>
          <w:szCs w:val="24"/>
        </w:rPr>
        <w:t xml:space="preserve"> is a legitimate </w:t>
      </w:r>
      <w:r w:rsidR="00EE48A2" w:rsidRPr="00626A06">
        <w:rPr>
          <w:rFonts w:ascii="Times New Roman" w:hAnsi="Times New Roman" w:cs="Times New Roman"/>
          <w:sz w:val="24"/>
          <w:szCs w:val="24"/>
        </w:rPr>
        <w:t>route to take</w:t>
      </w:r>
      <w:r w:rsidR="00EE022D" w:rsidRPr="00626A06">
        <w:rPr>
          <w:rFonts w:ascii="Times New Roman" w:hAnsi="Times New Roman" w:cs="Times New Roman"/>
          <w:sz w:val="24"/>
          <w:szCs w:val="24"/>
        </w:rPr>
        <w:t xml:space="preserve">, because according to the wording of the statute, the extent of the claimant’s ‘responsibility’ for the damage is only </w:t>
      </w:r>
      <w:r w:rsidR="00AF6B3D" w:rsidRPr="00626A06">
        <w:rPr>
          <w:rFonts w:ascii="Times New Roman" w:hAnsi="Times New Roman" w:cs="Times New Roman"/>
          <w:sz w:val="24"/>
          <w:szCs w:val="24"/>
        </w:rPr>
        <w:t>to affect the</w:t>
      </w:r>
      <w:r w:rsidR="00EE022D" w:rsidRPr="00626A06">
        <w:rPr>
          <w:rFonts w:ascii="Times New Roman" w:hAnsi="Times New Roman" w:cs="Times New Roman"/>
          <w:sz w:val="24"/>
          <w:szCs w:val="24"/>
        </w:rPr>
        <w:t xml:space="preserve"> </w:t>
      </w:r>
      <w:r w:rsidR="00EE022D" w:rsidRPr="00626A06">
        <w:rPr>
          <w:rFonts w:ascii="Times New Roman" w:hAnsi="Times New Roman" w:cs="Times New Roman"/>
          <w:i/>
          <w:sz w:val="24"/>
          <w:szCs w:val="24"/>
        </w:rPr>
        <w:t xml:space="preserve">extent </w:t>
      </w:r>
      <w:r w:rsidR="00EE022D" w:rsidRPr="00626A06">
        <w:rPr>
          <w:rFonts w:ascii="Times New Roman" w:hAnsi="Times New Roman" w:cs="Times New Roman"/>
          <w:sz w:val="24"/>
          <w:szCs w:val="24"/>
        </w:rPr>
        <w:t xml:space="preserve">to which damages are reduced. The </w:t>
      </w:r>
      <w:r w:rsidR="007A69A3" w:rsidRPr="00626A06">
        <w:rPr>
          <w:rFonts w:ascii="Times New Roman" w:hAnsi="Times New Roman" w:cs="Times New Roman"/>
          <w:sz w:val="24"/>
          <w:szCs w:val="24"/>
        </w:rPr>
        <w:t xml:space="preserve">opening words </w:t>
      </w:r>
      <w:r w:rsidR="00EE022D" w:rsidRPr="00626A06">
        <w:rPr>
          <w:rFonts w:ascii="Times New Roman" w:hAnsi="Times New Roman" w:cs="Times New Roman"/>
          <w:sz w:val="24"/>
          <w:szCs w:val="24"/>
        </w:rPr>
        <w:t xml:space="preserve">of the section </w:t>
      </w:r>
      <w:r w:rsidR="007A69A3" w:rsidRPr="00626A06">
        <w:rPr>
          <w:rFonts w:ascii="Times New Roman" w:hAnsi="Times New Roman" w:cs="Times New Roman"/>
          <w:i/>
          <w:sz w:val="24"/>
          <w:szCs w:val="24"/>
        </w:rPr>
        <w:t>require</w:t>
      </w:r>
      <w:r w:rsidR="00EE022D" w:rsidRPr="00626A06">
        <w:rPr>
          <w:rFonts w:ascii="Times New Roman" w:hAnsi="Times New Roman" w:cs="Times New Roman"/>
          <w:i/>
          <w:sz w:val="24"/>
          <w:szCs w:val="24"/>
        </w:rPr>
        <w:t xml:space="preserve"> </w:t>
      </w:r>
      <w:r w:rsidR="00EE022D" w:rsidRPr="00626A06">
        <w:rPr>
          <w:rFonts w:ascii="Times New Roman" w:hAnsi="Times New Roman" w:cs="Times New Roman"/>
          <w:sz w:val="24"/>
          <w:szCs w:val="24"/>
        </w:rPr>
        <w:t xml:space="preserve">that damages should be reduced wherever harm is caused through the fault of the claimant and </w:t>
      </w:r>
      <w:r w:rsidR="00EE48A2" w:rsidRPr="00626A06">
        <w:rPr>
          <w:rFonts w:ascii="Times New Roman" w:hAnsi="Times New Roman" w:cs="Times New Roman"/>
          <w:sz w:val="24"/>
          <w:szCs w:val="24"/>
        </w:rPr>
        <w:t xml:space="preserve">of </w:t>
      </w:r>
      <w:r w:rsidR="00EE022D" w:rsidRPr="00626A06">
        <w:rPr>
          <w:rFonts w:ascii="Times New Roman" w:hAnsi="Times New Roman" w:cs="Times New Roman"/>
          <w:sz w:val="24"/>
          <w:szCs w:val="24"/>
        </w:rPr>
        <w:t>any other person</w:t>
      </w:r>
      <w:r w:rsidR="00AF6B3D" w:rsidRPr="00626A06">
        <w:rPr>
          <w:rFonts w:ascii="Times New Roman" w:hAnsi="Times New Roman" w:cs="Times New Roman"/>
          <w:sz w:val="24"/>
          <w:szCs w:val="24"/>
        </w:rPr>
        <w:t xml:space="preserve">. This requirement can </w:t>
      </w:r>
      <w:r w:rsidR="00EE48A2" w:rsidRPr="00626A06">
        <w:rPr>
          <w:rFonts w:ascii="Times New Roman" w:hAnsi="Times New Roman" w:cs="Times New Roman"/>
          <w:sz w:val="24"/>
          <w:szCs w:val="24"/>
        </w:rPr>
        <w:t xml:space="preserve">be </w:t>
      </w:r>
      <w:r w:rsidR="00F6453A" w:rsidRPr="00626A06">
        <w:rPr>
          <w:rFonts w:ascii="Times New Roman" w:hAnsi="Times New Roman" w:cs="Times New Roman"/>
          <w:sz w:val="24"/>
          <w:szCs w:val="24"/>
        </w:rPr>
        <w:t xml:space="preserve">satisfied </w:t>
      </w:r>
      <w:r w:rsidR="00045214" w:rsidRPr="00626A06">
        <w:rPr>
          <w:rFonts w:ascii="Times New Roman" w:hAnsi="Times New Roman" w:cs="Times New Roman"/>
          <w:sz w:val="24"/>
          <w:szCs w:val="24"/>
        </w:rPr>
        <w:t>by connecting causation to responsibility</w:t>
      </w:r>
      <w:r w:rsidR="00EE48A2" w:rsidRPr="00626A06">
        <w:rPr>
          <w:rFonts w:ascii="Times New Roman" w:hAnsi="Times New Roman" w:cs="Times New Roman"/>
          <w:sz w:val="24"/>
          <w:szCs w:val="24"/>
        </w:rPr>
        <w:t xml:space="preserve">, but is not </w:t>
      </w:r>
      <w:r w:rsidR="00F6453A" w:rsidRPr="00626A06">
        <w:rPr>
          <w:rFonts w:ascii="Times New Roman" w:hAnsi="Times New Roman" w:cs="Times New Roman"/>
          <w:sz w:val="24"/>
          <w:szCs w:val="24"/>
        </w:rPr>
        <w:t>obviously satisfied</w:t>
      </w:r>
      <w:r w:rsidR="00EE48A2" w:rsidRPr="00626A06">
        <w:rPr>
          <w:rFonts w:ascii="Times New Roman" w:hAnsi="Times New Roman" w:cs="Times New Roman"/>
          <w:sz w:val="24"/>
          <w:szCs w:val="24"/>
        </w:rPr>
        <w:t xml:space="preserve"> through the idea </w:t>
      </w:r>
      <w:r w:rsidR="00045214" w:rsidRPr="00626A06">
        <w:rPr>
          <w:rFonts w:ascii="Times New Roman" w:hAnsi="Times New Roman" w:cs="Times New Roman"/>
          <w:sz w:val="24"/>
          <w:szCs w:val="24"/>
        </w:rPr>
        <w:t>of responsibility alone</w:t>
      </w:r>
      <w:r w:rsidR="00EE48A2" w:rsidRPr="00626A06">
        <w:rPr>
          <w:rFonts w:ascii="Times New Roman" w:hAnsi="Times New Roman" w:cs="Times New Roman"/>
          <w:sz w:val="24"/>
          <w:szCs w:val="24"/>
        </w:rPr>
        <w:t>.</w:t>
      </w:r>
      <w:r w:rsidR="00045214" w:rsidRPr="00626A06">
        <w:rPr>
          <w:rFonts w:ascii="Times New Roman" w:hAnsi="Times New Roman" w:cs="Times New Roman"/>
          <w:sz w:val="24"/>
          <w:szCs w:val="24"/>
        </w:rPr>
        <w:t xml:space="preserve"> But </w:t>
      </w:r>
      <w:r w:rsidR="00CD23B1" w:rsidRPr="00626A06">
        <w:rPr>
          <w:rFonts w:ascii="Times New Roman" w:hAnsi="Times New Roman" w:cs="Times New Roman"/>
          <w:sz w:val="24"/>
          <w:szCs w:val="24"/>
        </w:rPr>
        <w:t xml:space="preserve">the truth is that </w:t>
      </w:r>
      <w:r w:rsidR="00045214" w:rsidRPr="00626A06">
        <w:rPr>
          <w:rFonts w:ascii="Times New Roman" w:hAnsi="Times New Roman" w:cs="Times New Roman"/>
          <w:sz w:val="24"/>
          <w:szCs w:val="24"/>
        </w:rPr>
        <w:t>Lord Hoffmann</w:t>
      </w:r>
      <w:r w:rsidR="007A69A3" w:rsidRPr="00626A06">
        <w:rPr>
          <w:rFonts w:ascii="Times New Roman" w:hAnsi="Times New Roman" w:cs="Times New Roman"/>
          <w:sz w:val="24"/>
          <w:szCs w:val="24"/>
        </w:rPr>
        <w:t xml:space="preserve"> in </w:t>
      </w:r>
      <w:r w:rsidR="007A69A3" w:rsidRPr="00626A06">
        <w:rPr>
          <w:rFonts w:ascii="Times New Roman" w:hAnsi="Times New Roman" w:cs="Times New Roman"/>
          <w:i/>
          <w:sz w:val="24"/>
          <w:szCs w:val="24"/>
        </w:rPr>
        <w:t>Reeves</w:t>
      </w:r>
      <w:r w:rsidR="00045214" w:rsidRPr="00626A06">
        <w:rPr>
          <w:rFonts w:ascii="Times New Roman" w:hAnsi="Times New Roman" w:cs="Times New Roman"/>
          <w:sz w:val="24"/>
          <w:szCs w:val="24"/>
        </w:rPr>
        <w:t>, and the Law Revision Committee</w:t>
      </w:r>
      <w:r w:rsidR="007A69A3" w:rsidRPr="00626A06">
        <w:rPr>
          <w:rFonts w:ascii="Times New Roman" w:hAnsi="Times New Roman" w:cs="Times New Roman"/>
          <w:sz w:val="24"/>
          <w:szCs w:val="24"/>
        </w:rPr>
        <w:t xml:space="preserve"> in 1939</w:t>
      </w:r>
      <w:r w:rsidR="00045214" w:rsidRPr="00626A06">
        <w:rPr>
          <w:rFonts w:ascii="Times New Roman" w:hAnsi="Times New Roman" w:cs="Times New Roman"/>
          <w:sz w:val="24"/>
          <w:szCs w:val="24"/>
        </w:rPr>
        <w:t xml:space="preserve">, had </w:t>
      </w:r>
      <w:r w:rsidR="007A69A3" w:rsidRPr="00626A06">
        <w:rPr>
          <w:rFonts w:ascii="Times New Roman" w:hAnsi="Times New Roman" w:cs="Times New Roman"/>
          <w:sz w:val="24"/>
          <w:szCs w:val="24"/>
        </w:rPr>
        <w:t xml:space="preserve">broadly </w:t>
      </w:r>
      <w:r w:rsidR="00045214" w:rsidRPr="00626A06">
        <w:rPr>
          <w:rFonts w:ascii="Times New Roman" w:hAnsi="Times New Roman" w:cs="Times New Roman"/>
          <w:sz w:val="24"/>
          <w:szCs w:val="24"/>
        </w:rPr>
        <w:t>the same idea in mind</w:t>
      </w:r>
      <w:r w:rsidR="00804141" w:rsidRPr="00626A06">
        <w:rPr>
          <w:rFonts w:ascii="Times New Roman" w:hAnsi="Times New Roman" w:cs="Times New Roman"/>
          <w:sz w:val="24"/>
          <w:szCs w:val="24"/>
        </w:rPr>
        <w:t xml:space="preserve">. </w:t>
      </w:r>
      <w:r w:rsidR="00DC3DE9" w:rsidRPr="00626A06">
        <w:rPr>
          <w:rFonts w:ascii="Times New Roman" w:hAnsi="Times New Roman" w:cs="Times New Roman"/>
          <w:sz w:val="24"/>
          <w:szCs w:val="24"/>
        </w:rPr>
        <w:t xml:space="preserve">This is exemplified in </w:t>
      </w:r>
      <w:r w:rsidR="00804141" w:rsidRPr="00626A06">
        <w:rPr>
          <w:rFonts w:ascii="Times New Roman" w:hAnsi="Times New Roman" w:cs="Times New Roman"/>
          <w:sz w:val="24"/>
          <w:szCs w:val="24"/>
        </w:rPr>
        <w:t xml:space="preserve">the judgment of Lord Wright in </w:t>
      </w:r>
      <w:r w:rsidR="00804141" w:rsidRPr="00626A06">
        <w:rPr>
          <w:rFonts w:ascii="Times New Roman" w:hAnsi="Times New Roman" w:cs="Times New Roman"/>
          <w:i/>
          <w:sz w:val="24"/>
          <w:szCs w:val="24"/>
        </w:rPr>
        <w:t>McLean v Bell</w:t>
      </w:r>
      <w:r w:rsidR="00804141" w:rsidRPr="00626A06">
        <w:rPr>
          <w:rFonts w:ascii="Times New Roman" w:hAnsi="Times New Roman" w:cs="Times New Roman"/>
          <w:sz w:val="24"/>
          <w:szCs w:val="24"/>
        </w:rPr>
        <w:t>, in which he expressly explained the ruling in favour of the claimant in terms of ‘responsibility’</w:t>
      </w:r>
      <w:r w:rsidR="00901BF8" w:rsidRPr="00626A06">
        <w:rPr>
          <w:rFonts w:ascii="Times New Roman" w:hAnsi="Times New Roman" w:cs="Times New Roman"/>
          <w:sz w:val="24"/>
          <w:szCs w:val="24"/>
        </w:rPr>
        <w:t>, whilst deploying precisely the same ideas so often encapsulated in ‘legal cause’</w:t>
      </w:r>
      <w:r w:rsidR="00CE20D3" w:rsidRPr="00626A06">
        <w:rPr>
          <w:rFonts w:ascii="Times New Roman" w:hAnsi="Times New Roman" w:cs="Times New Roman"/>
          <w:sz w:val="24"/>
          <w:szCs w:val="24"/>
        </w:rPr>
        <w:t>:</w:t>
      </w:r>
    </w:p>
    <w:p w:rsidR="00375FF0" w:rsidRPr="00626A06" w:rsidRDefault="00CE20D3" w:rsidP="00626A06">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 xml:space="preserve">‘The decision, however, of the case must turn not simply on causation, but on responsibility. The pursuer’s negligence may be what is often called </w:t>
      </w:r>
      <w:proofErr w:type="spellStart"/>
      <w:r w:rsidRPr="00626A06">
        <w:rPr>
          <w:rFonts w:ascii="Times New Roman" w:hAnsi="Times New Roman" w:cs="Times New Roman"/>
          <w:i/>
          <w:sz w:val="24"/>
          <w:szCs w:val="24"/>
        </w:rPr>
        <w:t>causa</w:t>
      </w:r>
      <w:proofErr w:type="spellEnd"/>
      <w:r w:rsidRPr="00626A06">
        <w:rPr>
          <w:rFonts w:ascii="Times New Roman" w:hAnsi="Times New Roman" w:cs="Times New Roman"/>
          <w:i/>
          <w:sz w:val="24"/>
          <w:szCs w:val="24"/>
        </w:rPr>
        <w:t xml:space="preserve"> sine qua non</w:t>
      </w:r>
      <w:r w:rsidRPr="00626A06">
        <w:rPr>
          <w:rFonts w:ascii="Times New Roman" w:hAnsi="Times New Roman" w:cs="Times New Roman"/>
          <w:sz w:val="24"/>
          <w:szCs w:val="24"/>
        </w:rPr>
        <w:t xml:space="preserve">, yet, as regards responsibility, it becomes merely evidential or </w:t>
      </w:r>
      <w:r w:rsidR="00EE5495" w:rsidRPr="00626A06">
        <w:rPr>
          <w:rFonts w:ascii="Times New Roman" w:hAnsi="Times New Roman" w:cs="Times New Roman"/>
          <w:sz w:val="24"/>
          <w:szCs w:val="24"/>
        </w:rPr>
        <w:t xml:space="preserve">a </w:t>
      </w:r>
      <w:r w:rsidRPr="00626A06">
        <w:rPr>
          <w:rFonts w:ascii="Times New Roman" w:hAnsi="Times New Roman" w:cs="Times New Roman"/>
          <w:sz w:val="24"/>
          <w:szCs w:val="24"/>
        </w:rPr>
        <w:t>matter of narrative if the defender acting reasonably could and ought to have avoided the collision.’</w:t>
      </w:r>
      <w:r w:rsidR="00CF75CC">
        <w:rPr>
          <w:rStyle w:val="FootnoteReference"/>
          <w:rFonts w:ascii="Times New Roman" w:hAnsi="Times New Roman" w:cs="Times New Roman"/>
          <w:sz w:val="24"/>
          <w:szCs w:val="24"/>
        </w:rPr>
        <w:footnoteReference w:id="88"/>
      </w:r>
    </w:p>
    <w:p w:rsidR="00CE20D3" w:rsidRPr="00626A06" w:rsidRDefault="00BF4AAA"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There are still circumstances in which today’s courts reach </w:t>
      </w:r>
      <w:r w:rsidR="00D646B9" w:rsidRPr="00626A06">
        <w:rPr>
          <w:rFonts w:ascii="Times New Roman" w:hAnsi="Times New Roman" w:cs="Times New Roman"/>
          <w:sz w:val="24"/>
          <w:szCs w:val="24"/>
        </w:rPr>
        <w:t xml:space="preserve">directly </w:t>
      </w:r>
      <w:r w:rsidRPr="00626A06">
        <w:rPr>
          <w:rFonts w:ascii="Times New Roman" w:hAnsi="Times New Roman" w:cs="Times New Roman"/>
          <w:sz w:val="24"/>
          <w:szCs w:val="24"/>
        </w:rPr>
        <w:t>for</w:t>
      </w:r>
      <w:r w:rsidR="00DC3DE9" w:rsidRPr="00626A06">
        <w:rPr>
          <w:rFonts w:ascii="Times New Roman" w:hAnsi="Times New Roman" w:cs="Times New Roman"/>
          <w:sz w:val="24"/>
          <w:szCs w:val="24"/>
        </w:rPr>
        <w:t xml:space="preserve"> an</w:t>
      </w:r>
      <w:r w:rsidRPr="00626A06">
        <w:rPr>
          <w:rFonts w:ascii="Times New Roman" w:hAnsi="Times New Roman" w:cs="Times New Roman"/>
          <w:sz w:val="24"/>
          <w:szCs w:val="24"/>
        </w:rPr>
        <w:t xml:space="preserve"> </w:t>
      </w:r>
      <w:r w:rsidR="008F5348" w:rsidRPr="00626A06">
        <w:rPr>
          <w:rFonts w:ascii="Times New Roman" w:hAnsi="Times New Roman" w:cs="Times New Roman"/>
          <w:sz w:val="24"/>
          <w:szCs w:val="24"/>
        </w:rPr>
        <w:t xml:space="preserve">earlier understanding </w:t>
      </w:r>
      <w:r w:rsidRPr="00626A06">
        <w:rPr>
          <w:rFonts w:ascii="Times New Roman" w:hAnsi="Times New Roman" w:cs="Times New Roman"/>
          <w:sz w:val="24"/>
          <w:szCs w:val="24"/>
        </w:rPr>
        <w:t>of legal cause</w:t>
      </w:r>
      <w:r w:rsidR="00492AB4" w:rsidRPr="00626A06">
        <w:rPr>
          <w:rFonts w:ascii="Times New Roman" w:hAnsi="Times New Roman" w:cs="Times New Roman"/>
          <w:sz w:val="24"/>
          <w:szCs w:val="24"/>
        </w:rPr>
        <w:t>, and there is nothing in the 1945 Act which makes this illegitimate</w:t>
      </w:r>
      <w:r w:rsidR="00884764" w:rsidRPr="00626A06">
        <w:rPr>
          <w:rFonts w:ascii="Times New Roman" w:hAnsi="Times New Roman" w:cs="Times New Roman"/>
          <w:sz w:val="24"/>
          <w:szCs w:val="24"/>
        </w:rPr>
        <w:t>.</w:t>
      </w:r>
      <w:r w:rsidR="00CE20D3" w:rsidRPr="00626A06">
        <w:rPr>
          <w:rStyle w:val="FootnoteReference"/>
          <w:rFonts w:ascii="Times New Roman" w:hAnsi="Times New Roman" w:cs="Times New Roman"/>
          <w:sz w:val="24"/>
          <w:szCs w:val="24"/>
        </w:rPr>
        <w:footnoteReference w:id="89"/>
      </w:r>
      <w:r w:rsidR="00492AB4" w:rsidRPr="00626A06">
        <w:rPr>
          <w:rFonts w:ascii="Times New Roman" w:hAnsi="Times New Roman" w:cs="Times New Roman"/>
          <w:sz w:val="24"/>
          <w:szCs w:val="24"/>
        </w:rPr>
        <w:t xml:space="preserve"> Rather, such cases indicate that the reasons why complex causal ideas were elaborated by the courts have not entirely died away</w:t>
      </w:r>
      <w:r w:rsidR="00A55B4F" w:rsidRPr="00626A06">
        <w:rPr>
          <w:rFonts w:ascii="Times New Roman" w:hAnsi="Times New Roman" w:cs="Times New Roman"/>
          <w:sz w:val="24"/>
          <w:szCs w:val="24"/>
        </w:rPr>
        <w:t xml:space="preserve"> with the 1945 Act and other changes</w:t>
      </w:r>
      <w:r w:rsidR="00492AB4" w:rsidRPr="00626A06">
        <w:rPr>
          <w:rFonts w:ascii="Times New Roman" w:hAnsi="Times New Roman" w:cs="Times New Roman"/>
          <w:sz w:val="24"/>
          <w:szCs w:val="24"/>
        </w:rPr>
        <w:t>.</w:t>
      </w:r>
    </w:p>
    <w:p w:rsidR="00A91C81" w:rsidRPr="00626A06" w:rsidRDefault="00853BDE"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Among less mysterious omissions</w:t>
      </w:r>
      <w:r w:rsidR="00CE20D3" w:rsidRPr="00626A06">
        <w:rPr>
          <w:rFonts w:ascii="Times New Roman" w:hAnsi="Times New Roman" w:cs="Times New Roman"/>
          <w:sz w:val="24"/>
          <w:szCs w:val="24"/>
        </w:rPr>
        <w:t xml:space="preserve"> in </w:t>
      </w:r>
      <w:r w:rsidR="0082415E">
        <w:rPr>
          <w:rFonts w:ascii="Times New Roman" w:hAnsi="Times New Roman" w:cs="Times New Roman"/>
          <w:sz w:val="24"/>
          <w:szCs w:val="24"/>
        </w:rPr>
        <w:t xml:space="preserve">the </w:t>
      </w:r>
      <w:r w:rsidR="00CE20D3" w:rsidRPr="00626A06">
        <w:rPr>
          <w:rFonts w:ascii="Times New Roman" w:hAnsi="Times New Roman" w:cs="Times New Roman"/>
          <w:sz w:val="24"/>
          <w:szCs w:val="24"/>
        </w:rPr>
        <w:t>LRC</w:t>
      </w:r>
      <w:r w:rsidR="00B0033C">
        <w:rPr>
          <w:rFonts w:ascii="Times New Roman" w:hAnsi="Times New Roman" w:cs="Times New Roman"/>
          <w:sz w:val="24"/>
          <w:szCs w:val="24"/>
        </w:rPr>
        <w:t>’s</w:t>
      </w:r>
      <w:r w:rsidR="00CE20D3" w:rsidRPr="00626A06">
        <w:rPr>
          <w:rFonts w:ascii="Times New Roman" w:hAnsi="Times New Roman" w:cs="Times New Roman"/>
          <w:sz w:val="24"/>
          <w:szCs w:val="24"/>
        </w:rPr>
        <w:t xml:space="preserve"> 8</w:t>
      </w:r>
      <w:r w:rsidR="00CE20D3" w:rsidRPr="00626A06">
        <w:rPr>
          <w:rFonts w:ascii="Times New Roman" w:hAnsi="Times New Roman" w:cs="Times New Roman"/>
          <w:sz w:val="24"/>
          <w:szCs w:val="24"/>
          <w:vertAlign w:val="superscript"/>
        </w:rPr>
        <w:t>th</w:t>
      </w:r>
      <w:r w:rsidR="00CE20D3" w:rsidRPr="00626A06">
        <w:rPr>
          <w:rFonts w:ascii="Times New Roman" w:hAnsi="Times New Roman" w:cs="Times New Roman"/>
          <w:sz w:val="24"/>
          <w:szCs w:val="24"/>
        </w:rPr>
        <w:t xml:space="preserve"> Report</w:t>
      </w:r>
      <w:r w:rsidRPr="00626A06">
        <w:rPr>
          <w:rFonts w:ascii="Times New Roman" w:hAnsi="Times New Roman" w:cs="Times New Roman"/>
          <w:sz w:val="24"/>
          <w:szCs w:val="24"/>
        </w:rPr>
        <w:t>, n</w:t>
      </w:r>
      <w:r w:rsidR="005B0E1E" w:rsidRPr="00626A06">
        <w:rPr>
          <w:rFonts w:ascii="Times New Roman" w:hAnsi="Times New Roman" w:cs="Times New Roman"/>
          <w:sz w:val="24"/>
          <w:szCs w:val="24"/>
        </w:rPr>
        <w:t xml:space="preserve">o consideration was given to the </w:t>
      </w:r>
      <w:r w:rsidR="00502E9E" w:rsidRPr="00626A06">
        <w:rPr>
          <w:rFonts w:ascii="Times New Roman" w:hAnsi="Times New Roman" w:cs="Times New Roman"/>
          <w:sz w:val="24"/>
          <w:szCs w:val="24"/>
        </w:rPr>
        <w:t xml:space="preserve">likely </w:t>
      </w:r>
      <w:r w:rsidR="005B0E1E" w:rsidRPr="00626A06">
        <w:rPr>
          <w:rFonts w:ascii="Times New Roman" w:hAnsi="Times New Roman" w:cs="Times New Roman"/>
          <w:sz w:val="24"/>
          <w:szCs w:val="24"/>
        </w:rPr>
        <w:t xml:space="preserve">practical impact of the reforms on settlement of actions. </w:t>
      </w:r>
      <w:r w:rsidR="00037D33" w:rsidRPr="00626A06">
        <w:rPr>
          <w:rFonts w:ascii="Times New Roman" w:hAnsi="Times New Roman" w:cs="Times New Roman"/>
          <w:sz w:val="24"/>
          <w:szCs w:val="24"/>
        </w:rPr>
        <w:t xml:space="preserve">It </w:t>
      </w:r>
      <w:r w:rsidR="005B0E1E" w:rsidRPr="00626A06">
        <w:rPr>
          <w:rFonts w:ascii="Times New Roman" w:hAnsi="Times New Roman" w:cs="Times New Roman"/>
          <w:sz w:val="24"/>
          <w:szCs w:val="24"/>
        </w:rPr>
        <w:t xml:space="preserve">might appear </w:t>
      </w:r>
      <w:r w:rsidR="00037D33" w:rsidRPr="00626A06">
        <w:rPr>
          <w:rFonts w:ascii="Times New Roman" w:hAnsi="Times New Roman" w:cs="Times New Roman"/>
          <w:sz w:val="24"/>
          <w:szCs w:val="24"/>
        </w:rPr>
        <w:t>this</w:t>
      </w:r>
      <w:r w:rsidR="005B0E1E" w:rsidRPr="00626A06">
        <w:rPr>
          <w:rFonts w:ascii="Times New Roman" w:hAnsi="Times New Roman" w:cs="Times New Roman"/>
          <w:sz w:val="24"/>
          <w:szCs w:val="24"/>
        </w:rPr>
        <w:t xml:space="preserve"> could only </w:t>
      </w:r>
      <w:r w:rsidR="00037D33" w:rsidRPr="00626A06">
        <w:rPr>
          <w:rFonts w:ascii="Times New Roman" w:hAnsi="Times New Roman" w:cs="Times New Roman"/>
          <w:sz w:val="24"/>
          <w:szCs w:val="24"/>
        </w:rPr>
        <w:t>have been</w:t>
      </w:r>
      <w:r w:rsidR="005B0E1E" w:rsidRPr="00626A06">
        <w:rPr>
          <w:rFonts w:ascii="Times New Roman" w:hAnsi="Times New Roman" w:cs="Times New Roman"/>
          <w:sz w:val="24"/>
          <w:szCs w:val="24"/>
        </w:rPr>
        <w:t xml:space="preserve"> considered with hindsight, but that is not the case. When the Bill was before Parliament, the Lord Chancellor’s office received a letter from a Mr Leslie</w:t>
      </w:r>
      <w:r w:rsidR="003B239B" w:rsidRPr="00626A06">
        <w:rPr>
          <w:rFonts w:ascii="Times New Roman" w:hAnsi="Times New Roman" w:cs="Times New Roman"/>
          <w:sz w:val="24"/>
          <w:szCs w:val="24"/>
        </w:rPr>
        <w:t xml:space="preserve"> Hale</w:t>
      </w:r>
      <w:r w:rsidR="005B0E1E" w:rsidRPr="00626A06">
        <w:rPr>
          <w:rFonts w:ascii="Times New Roman" w:hAnsi="Times New Roman" w:cs="Times New Roman"/>
          <w:sz w:val="24"/>
          <w:szCs w:val="24"/>
        </w:rPr>
        <w:t>, a solicitor, who was concerned that the impact of the Bill</w:t>
      </w:r>
      <w:r w:rsidR="00502E9E" w:rsidRPr="00626A06">
        <w:rPr>
          <w:rFonts w:ascii="Times New Roman" w:hAnsi="Times New Roman" w:cs="Times New Roman"/>
          <w:sz w:val="24"/>
          <w:szCs w:val="24"/>
        </w:rPr>
        <w:t xml:space="preserve"> </w:t>
      </w:r>
      <w:r w:rsidR="005B0E1E" w:rsidRPr="00626A06">
        <w:rPr>
          <w:rFonts w:ascii="Times New Roman" w:hAnsi="Times New Roman" w:cs="Times New Roman"/>
          <w:sz w:val="24"/>
          <w:szCs w:val="24"/>
        </w:rPr>
        <w:t>would be to encourage defendants in motoring cases to pay smaller amount</w:t>
      </w:r>
      <w:r w:rsidR="00502E9E" w:rsidRPr="00626A06">
        <w:rPr>
          <w:rFonts w:ascii="Times New Roman" w:hAnsi="Times New Roman" w:cs="Times New Roman"/>
          <w:sz w:val="24"/>
          <w:szCs w:val="24"/>
        </w:rPr>
        <w:t>s</w:t>
      </w:r>
      <w:r w:rsidR="005B0E1E" w:rsidRPr="00626A06">
        <w:rPr>
          <w:rFonts w:ascii="Times New Roman" w:hAnsi="Times New Roman" w:cs="Times New Roman"/>
          <w:sz w:val="24"/>
          <w:szCs w:val="24"/>
        </w:rPr>
        <w:t xml:space="preserve"> into court on a regular basis. Given the fear of an order of costs being made against them, claimants would feel under increased pressure to accept these lower </w:t>
      </w:r>
      <w:r w:rsidR="005B0E1E" w:rsidRPr="00626A06">
        <w:rPr>
          <w:rFonts w:ascii="Times New Roman" w:hAnsi="Times New Roman" w:cs="Times New Roman"/>
          <w:sz w:val="24"/>
          <w:szCs w:val="24"/>
        </w:rPr>
        <w:lastRenderedPageBreak/>
        <w:t>awards.</w:t>
      </w:r>
      <w:r w:rsidR="00D03C42" w:rsidRPr="00626A06">
        <w:rPr>
          <w:rStyle w:val="FootnoteReference"/>
          <w:rFonts w:ascii="Times New Roman" w:hAnsi="Times New Roman" w:cs="Times New Roman"/>
          <w:sz w:val="24"/>
          <w:szCs w:val="24"/>
        </w:rPr>
        <w:footnoteReference w:id="90"/>
      </w:r>
      <w:r w:rsidR="005B0E1E" w:rsidRPr="00626A06">
        <w:rPr>
          <w:rFonts w:ascii="Times New Roman" w:hAnsi="Times New Roman" w:cs="Times New Roman"/>
          <w:sz w:val="24"/>
          <w:szCs w:val="24"/>
        </w:rPr>
        <w:t xml:space="preserve"> This </w:t>
      </w:r>
      <w:r w:rsidR="00E27CB6" w:rsidRPr="00626A06">
        <w:rPr>
          <w:rFonts w:ascii="Times New Roman" w:hAnsi="Times New Roman" w:cs="Times New Roman"/>
          <w:sz w:val="24"/>
          <w:szCs w:val="24"/>
        </w:rPr>
        <w:t xml:space="preserve">anticipates </w:t>
      </w:r>
      <w:r w:rsidR="005B0E1E" w:rsidRPr="00626A06">
        <w:rPr>
          <w:rFonts w:ascii="Times New Roman" w:hAnsi="Times New Roman" w:cs="Times New Roman"/>
          <w:sz w:val="24"/>
          <w:szCs w:val="24"/>
        </w:rPr>
        <w:t>the findings of the Oxford Survey outlined above</w:t>
      </w:r>
      <w:r w:rsidR="00502E9E" w:rsidRPr="00626A06">
        <w:rPr>
          <w:rFonts w:ascii="Times New Roman" w:hAnsi="Times New Roman" w:cs="Times New Roman"/>
          <w:sz w:val="24"/>
          <w:szCs w:val="24"/>
        </w:rPr>
        <w:t>, albeit with the additional reference to payments into court</w:t>
      </w:r>
      <w:r w:rsidR="005B0E1E" w:rsidRPr="00626A06">
        <w:rPr>
          <w:rFonts w:ascii="Times New Roman" w:hAnsi="Times New Roman" w:cs="Times New Roman"/>
          <w:sz w:val="24"/>
          <w:szCs w:val="24"/>
        </w:rPr>
        <w:t xml:space="preserve">. Mr </w:t>
      </w:r>
      <w:r w:rsidR="00944D98" w:rsidRPr="00626A06">
        <w:rPr>
          <w:rFonts w:ascii="Times New Roman" w:hAnsi="Times New Roman" w:cs="Times New Roman"/>
          <w:sz w:val="24"/>
          <w:szCs w:val="24"/>
        </w:rPr>
        <w:t xml:space="preserve">Hale </w:t>
      </w:r>
      <w:r w:rsidR="005B0E1E" w:rsidRPr="00626A06">
        <w:rPr>
          <w:rFonts w:ascii="Times New Roman" w:hAnsi="Times New Roman" w:cs="Times New Roman"/>
          <w:sz w:val="24"/>
          <w:szCs w:val="24"/>
        </w:rPr>
        <w:t>received a letter suggesting that costs were considered a</w:t>
      </w:r>
      <w:r w:rsidR="000F1971" w:rsidRPr="00626A06">
        <w:rPr>
          <w:rFonts w:ascii="Times New Roman" w:hAnsi="Times New Roman" w:cs="Times New Roman"/>
          <w:sz w:val="24"/>
          <w:szCs w:val="24"/>
        </w:rPr>
        <w:t>n</w:t>
      </w:r>
      <w:r w:rsidR="005B0E1E" w:rsidRPr="00626A06">
        <w:rPr>
          <w:rFonts w:ascii="Times New Roman" w:hAnsi="Times New Roman" w:cs="Times New Roman"/>
          <w:sz w:val="24"/>
          <w:szCs w:val="24"/>
        </w:rPr>
        <w:t xml:space="preserve"> </w:t>
      </w:r>
      <w:r w:rsidR="000F1971" w:rsidRPr="00626A06">
        <w:rPr>
          <w:rFonts w:ascii="Times New Roman" w:hAnsi="Times New Roman" w:cs="Times New Roman"/>
          <w:sz w:val="24"/>
          <w:szCs w:val="24"/>
        </w:rPr>
        <w:t>im</w:t>
      </w:r>
      <w:r w:rsidR="005B0E1E" w:rsidRPr="00626A06">
        <w:rPr>
          <w:rFonts w:ascii="Times New Roman" w:hAnsi="Times New Roman" w:cs="Times New Roman"/>
          <w:sz w:val="24"/>
          <w:szCs w:val="24"/>
        </w:rPr>
        <w:t>proper subject for an Act of Parliament.</w:t>
      </w:r>
      <w:r w:rsidR="005B0E1E" w:rsidRPr="00626A06">
        <w:rPr>
          <w:rStyle w:val="FootnoteReference"/>
          <w:rFonts w:ascii="Times New Roman" w:hAnsi="Times New Roman" w:cs="Times New Roman"/>
          <w:sz w:val="24"/>
          <w:szCs w:val="24"/>
        </w:rPr>
        <w:footnoteReference w:id="91"/>
      </w:r>
    </w:p>
    <w:p w:rsidR="00EC7404" w:rsidRPr="00626A06" w:rsidRDefault="00EC7404" w:rsidP="00626A06">
      <w:pPr>
        <w:spacing w:line="360" w:lineRule="auto"/>
        <w:jc w:val="both"/>
        <w:rPr>
          <w:rFonts w:ascii="Times New Roman" w:hAnsi="Times New Roman" w:cs="Times New Roman"/>
          <w:b/>
          <w:sz w:val="24"/>
          <w:szCs w:val="24"/>
        </w:rPr>
      </w:pPr>
    </w:p>
    <w:p w:rsidR="0043757D" w:rsidRPr="001E5A66" w:rsidRDefault="001E5A66" w:rsidP="001E5A66">
      <w:pPr>
        <w:spacing w:line="360" w:lineRule="auto"/>
        <w:jc w:val="both"/>
        <w:rPr>
          <w:rFonts w:ascii="Times New Roman" w:hAnsi="Times New Roman" w:cs="Times New Roman"/>
          <w:b/>
          <w:sz w:val="28"/>
          <w:szCs w:val="28"/>
        </w:rPr>
      </w:pPr>
      <w:r w:rsidRPr="001E5A66">
        <w:rPr>
          <w:rFonts w:ascii="Times New Roman" w:hAnsi="Times New Roman" w:cs="Times New Roman"/>
          <w:b/>
          <w:sz w:val="28"/>
          <w:szCs w:val="28"/>
        </w:rPr>
        <w:t xml:space="preserve">VI. </w:t>
      </w:r>
      <w:r w:rsidR="00581AC0" w:rsidRPr="001E5A66">
        <w:rPr>
          <w:rFonts w:ascii="Times New Roman" w:hAnsi="Times New Roman" w:cs="Times New Roman"/>
          <w:b/>
          <w:sz w:val="28"/>
          <w:szCs w:val="28"/>
        </w:rPr>
        <w:t xml:space="preserve">The Reform Process: Lawyers’ Law and the Implementation of </w:t>
      </w:r>
      <w:proofErr w:type="spellStart"/>
      <w:r w:rsidR="00581AC0" w:rsidRPr="001E5A66">
        <w:rPr>
          <w:rFonts w:ascii="Times New Roman" w:hAnsi="Times New Roman" w:cs="Times New Roman"/>
          <w:b/>
          <w:sz w:val="28"/>
          <w:szCs w:val="28"/>
        </w:rPr>
        <w:t>Beveridge</w:t>
      </w:r>
      <w:proofErr w:type="spellEnd"/>
    </w:p>
    <w:p w:rsidR="00A64CEB" w:rsidRPr="00626A06" w:rsidRDefault="00677E16"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It was </w:t>
      </w:r>
      <w:r w:rsidR="00A64CEB" w:rsidRPr="00626A06">
        <w:rPr>
          <w:rFonts w:ascii="Times New Roman" w:hAnsi="Times New Roman" w:cs="Times New Roman"/>
          <w:sz w:val="24"/>
          <w:szCs w:val="24"/>
        </w:rPr>
        <w:t xml:space="preserve">a </w:t>
      </w:r>
      <w:r w:rsidR="00DC3DE9" w:rsidRPr="00626A06">
        <w:rPr>
          <w:rFonts w:ascii="Times New Roman" w:hAnsi="Times New Roman" w:cs="Times New Roman"/>
          <w:sz w:val="24"/>
          <w:szCs w:val="24"/>
        </w:rPr>
        <w:t xml:space="preserve">purportedly apolitical </w:t>
      </w:r>
      <w:r w:rsidR="00880DA7" w:rsidRPr="00626A06">
        <w:rPr>
          <w:rFonts w:ascii="Times New Roman" w:hAnsi="Times New Roman" w:cs="Times New Roman"/>
          <w:sz w:val="24"/>
          <w:szCs w:val="24"/>
        </w:rPr>
        <w:t xml:space="preserve">lawyers’ </w:t>
      </w:r>
      <w:r w:rsidRPr="00626A06">
        <w:rPr>
          <w:rFonts w:ascii="Times New Roman" w:hAnsi="Times New Roman" w:cs="Times New Roman"/>
          <w:sz w:val="24"/>
          <w:szCs w:val="24"/>
        </w:rPr>
        <w:t>reform, premised on the maritime model</w:t>
      </w:r>
      <w:r w:rsidR="00880DA7" w:rsidRPr="00626A06">
        <w:rPr>
          <w:rFonts w:ascii="Times New Roman" w:hAnsi="Times New Roman" w:cs="Times New Roman"/>
          <w:sz w:val="24"/>
          <w:szCs w:val="24"/>
        </w:rPr>
        <w:t xml:space="preserve"> and justified almost exclusively by reference to collisions on the roads</w:t>
      </w:r>
      <w:r w:rsidRPr="00626A06">
        <w:rPr>
          <w:rFonts w:ascii="Times New Roman" w:hAnsi="Times New Roman" w:cs="Times New Roman"/>
          <w:sz w:val="24"/>
          <w:szCs w:val="24"/>
        </w:rPr>
        <w:t xml:space="preserve">, that Lord Simon </w:t>
      </w:r>
      <w:r w:rsidR="00072710" w:rsidRPr="00626A06">
        <w:rPr>
          <w:rFonts w:ascii="Times New Roman" w:hAnsi="Times New Roman" w:cs="Times New Roman"/>
          <w:sz w:val="24"/>
          <w:szCs w:val="24"/>
        </w:rPr>
        <w:t>initially put to the War C</w:t>
      </w:r>
      <w:r w:rsidRPr="00626A06">
        <w:rPr>
          <w:rFonts w:ascii="Times New Roman" w:hAnsi="Times New Roman" w:cs="Times New Roman"/>
          <w:sz w:val="24"/>
          <w:szCs w:val="24"/>
        </w:rPr>
        <w:t>abinet</w:t>
      </w:r>
      <w:r w:rsidR="00072710" w:rsidRPr="00626A06">
        <w:rPr>
          <w:rFonts w:ascii="Times New Roman" w:hAnsi="Times New Roman" w:cs="Times New Roman"/>
          <w:sz w:val="24"/>
          <w:szCs w:val="24"/>
        </w:rPr>
        <w:t>’s Legislation Committee</w:t>
      </w:r>
      <w:r w:rsidRPr="00626A06">
        <w:rPr>
          <w:rFonts w:ascii="Times New Roman" w:hAnsi="Times New Roman" w:cs="Times New Roman"/>
          <w:sz w:val="24"/>
          <w:szCs w:val="24"/>
        </w:rPr>
        <w:t xml:space="preserve"> as part of the Law R</w:t>
      </w:r>
      <w:r w:rsidR="00072710" w:rsidRPr="00626A06">
        <w:rPr>
          <w:rFonts w:ascii="Times New Roman" w:hAnsi="Times New Roman" w:cs="Times New Roman"/>
          <w:sz w:val="24"/>
          <w:szCs w:val="24"/>
        </w:rPr>
        <w:t>eform (Frustrated Contracts</w:t>
      </w:r>
      <w:r w:rsidR="00AF4BE2" w:rsidRPr="00626A06">
        <w:rPr>
          <w:rFonts w:ascii="Times New Roman" w:hAnsi="Times New Roman" w:cs="Times New Roman"/>
          <w:sz w:val="24"/>
          <w:szCs w:val="24"/>
        </w:rPr>
        <w:t xml:space="preserve"> and Contributory Negligence</w:t>
      </w:r>
      <w:r w:rsidRPr="00626A06">
        <w:rPr>
          <w:rFonts w:ascii="Times New Roman" w:hAnsi="Times New Roman" w:cs="Times New Roman"/>
          <w:sz w:val="24"/>
          <w:szCs w:val="24"/>
        </w:rPr>
        <w:t>) Bill 1943</w:t>
      </w:r>
      <w:r w:rsidR="00862BEE" w:rsidRPr="00626A06">
        <w:rPr>
          <w:rFonts w:ascii="Times New Roman" w:hAnsi="Times New Roman" w:cs="Times New Roman"/>
          <w:sz w:val="24"/>
          <w:szCs w:val="24"/>
        </w:rPr>
        <w:t xml:space="preserve"> (the 1943 Bill)</w:t>
      </w:r>
      <w:r w:rsidRPr="00626A06">
        <w:rPr>
          <w:rFonts w:ascii="Times New Roman" w:hAnsi="Times New Roman" w:cs="Times New Roman"/>
          <w:sz w:val="24"/>
          <w:szCs w:val="24"/>
        </w:rPr>
        <w:t>.</w:t>
      </w:r>
      <w:r w:rsidR="00A12C32" w:rsidRPr="00626A06">
        <w:rPr>
          <w:rFonts w:ascii="Times New Roman" w:hAnsi="Times New Roman" w:cs="Times New Roman"/>
          <w:sz w:val="24"/>
          <w:szCs w:val="24"/>
        </w:rPr>
        <w:t xml:space="preserve"> </w:t>
      </w:r>
      <w:r w:rsidR="00072710" w:rsidRPr="00626A06">
        <w:rPr>
          <w:rFonts w:ascii="Times New Roman" w:hAnsi="Times New Roman" w:cs="Times New Roman"/>
          <w:sz w:val="24"/>
          <w:szCs w:val="24"/>
        </w:rPr>
        <w:t>In persuading the Cabinet that the legislative measure was worthwhile, h</w:t>
      </w:r>
      <w:r w:rsidR="00A12C32" w:rsidRPr="00626A06">
        <w:rPr>
          <w:rFonts w:ascii="Times New Roman" w:hAnsi="Times New Roman" w:cs="Times New Roman"/>
          <w:sz w:val="24"/>
          <w:szCs w:val="24"/>
        </w:rPr>
        <w:t xml:space="preserve">e had a helping hand </w:t>
      </w:r>
      <w:r w:rsidR="00AF4BE2" w:rsidRPr="00626A06">
        <w:rPr>
          <w:rFonts w:ascii="Times New Roman" w:hAnsi="Times New Roman" w:cs="Times New Roman"/>
          <w:sz w:val="24"/>
          <w:szCs w:val="24"/>
        </w:rPr>
        <w:t xml:space="preserve">in the </w:t>
      </w:r>
      <w:r w:rsidR="00F5336B" w:rsidRPr="00626A06">
        <w:rPr>
          <w:rFonts w:ascii="Times New Roman" w:hAnsi="Times New Roman" w:cs="Times New Roman"/>
          <w:sz w:val="24"/>
          <w:szCs w:val="24"/>
        </w:rPr>
        <w:t xml:space="preserve">high profile of </w:t>
      </w:r>
      <w:r w:rsidR="00880DA7" w:rsidRPr="00626A06">
        <w:rPr>
          <w:rFonts w:ascii="Times New Roman" w:hAnsi="Times New Roman" w:cs="Times New Roman"/>
          <w:sz w:val="24"/>
          <w:szCs w:val="24"/>
        </w:rPr>
        <w:t>certain</w:t>
      </w:r>
      <w:r w:rsidR="00A12C32" w:rsidRPr="00626A06">
        <w:rPr>
          <w:rFonts w:ascii="Times New Roman" w:hAnsi="Times New Roman" w:cs="Times New Roman"/>
          <w:sz w:val="24"/>
          <w:szCs w:val="24"/>
        </w:rPr>
        <w:t xml:space="preserve"> running down </w:t>
      </w:r>
      <w:r w:rsidR="00880DA7" w:rsidRPr="00626A06">
        <w:rPr>
          <w:rFonts w:ascii="Times New Roman" w:hAnsi="Times New Roman" w:cs="Times New Roman"/>
          <w:sz w:val="24"/>
          <w:szCs w:val="24"/>
        </w:rPr>
        <w:t>claims</w:t>
      </w:r>
      <w:r w:rsidR="003C33F3" w:rsidRPr="00626A06">
        <w:rPr>
          <w:rFonts w:ascii="Times New Roman" w:hAnsi="Times New Roman" w:cs="Times New Roman"/>
          <w:sz w:val="24"/>
          <w:szCs w:val="24"/>
        </w:rPr>
        <w:t xml:space="preserve"> – including claims raising the question of the pedestrian’s duty to the driver – during the black-out</w:t>
      </w:r>
      <w:r w:rsidR="00072710" w:rsidRPr="00626A06">
        <w:rPr>
          <w:rFonts w:ascii="Times New Roman" w:hAnsi="Times New Roman" w:cs="Times New Roman"/>
          <w:sz w:val="24"/>
          <w:szCs w:val="24"/>
        </w:rPr>
        <w:t>.</w:t>
      </w:r>
      <w:bookmarkStart w:id="25" w:name="_Ref319270506"/>
      <w:r w:rsidR="00037D33" w:rsidRPr="00626A06">
        <w:rPr>
          <w:rStyle w:val="FootnoteReference"/>
          <w:rFonts w:ascii="Times New Roman" w:hAnsi="Times New Roman" w:cs="Times New Roman"/>
          <w:sz w:val="24"/>
          <w:szCs w:val="24"/>
        </w:rPr>
        <w:footnoteReference w:id="92"/>
      </w:r>
      <w:bookmarkEnd w:id="25"/>
      <w:r w:rsidR="00E27AF5" w:rsidRPr="00626A06">
        <w:rPr>
          <w:rFonts w:ascii="Times New Roman" w:hAnsi="Times New Roman" w:cs="Times New Roman"/>
          <w:sz w:val="24"/>
          <w:szCs w:val="24"/>
        </w:rPr>
        <w:t xml:space="preserve"> </w:t>
      </w:r>
    </w:p>
    <w:p w:rsidR="00097E3D" w:rsidRPr="00626A06" w:rsidRDefault="00944D98"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w:t>
      </w:r>
      <w:r w:rsidR="00E27AF5" w:rsidRPr="00626A06">
        <w:rPr>
          <w:rFonts w:ascii="Times New Roman" w:hAnsi="Times New Roman" w:cs="Times New Roman"/>
          <w:sz w:val="24"/>
          <w:szCs w:val="24"/>
        </w:rPr>
        <w:t xml:space="preserve">Lord Chancellor’s Office received a </w:t>
      </w:r>
      <w:r w:rsidR="00862BEE" w:rsidRPr="00626A06">
        <w:rPr>
          <w:rFonts w:ascii="Times New Roman" w:hAnsi="Times New Roman" w:cs="Times New Roman"/>
          <w:sz w:val="24"/>
          <w:szCs w:val="24"/>
        </w:rPr>
        <w:t xml:space="preserve">communication </w:t>
      </w:r>
      <w:r w:rsidR="00E27AF5" w:rsidRPr="00626A06">
        <w:rPr>
          <w:rFonts w:ascii="Times New Roman" w:hAnsi="Times New Roman" w:cs="Times New Roman"/>
          <w:sz w:val="24"/>
          <w:szCs w:val="24"/>
        </w:rPr>
        <w:t>from the Home Office, ostensibly pointing out a technical difficulty in the interaction between the planned reform, and the</w:t>
      </w:r>
      <w:r w:rsidR="00A64CEB" w:rsidRPr="00626A06">
        <w:rPr>
          <w:rFonts w:ascii="Times New Roman" w:hAnsi="Times New Roman" w:cs="Times New Roman"/>
          <w:sz w:val="24"/>
          <w:szCs w:val="24"/>
        </w:rPr>
        <w:t xml:space="preserve"> Workmen’s Compensation Act 1925</w:t>
      </w:r>
      <w:r w:rsidR="00E27AF5" w:rsidRPr="00626A06">
        <w:rPr>
          <w:rFonts w:ascii="Times New Roman" w:hAnsi="Times New Roman" w:cs="Times New Roman"/>
          <w:sz w:val="24"/>
          <w:szCs w:val="24"/>
        </w:rPr>
        <w:t>.</w:t>
      </w:r>
      <w:r w:rsidR="00345959" w:rsidRPr="00626A06">
        <w:rPr>
          <w:rFonts w:ascii="Times New Roman" w:hAnsi="Times New Roman" w:cs="Times New Roman"/>
          <w:sz w:val="24"/>
          <w:szCs w:val="24"/>
        </w:rPr>
        <w:t xml:space="preserve"> Workers were generally required to choose between their statutory compensation, and damages at common law, but the workman who had </w:t>
      </w:r>
      <w:r w:rsidR="00345959" w:rsidRPr="00626A06">
        <w:rPr>
          <w:rFonts w:ascii="Times New Roman" w:hAnsi="Times New Roman" w:cs="Times New Roman"/>
          <w:i/>
          <w:sz w:val="24"/>
          <w:szCs w:val="24"/>
        </w:rPr>
        <w:t xml:space="preserve">failed </w:t>
      </w:r>
      <w:r w:rsidR="00345959" w:rsidRPr="00626A06">
        <w:rPr>
          <w:rFonts w:ascii="Times New Roman" w:hAnsi="Times New Roman" w:cs="Times New Roman"/>
          <w:sz w:val="24"/>
          <w:szCs w:val="24"/>
        </w:rPr>
        <w:t xml:space="preserve">in a common law claim </w:t>
      </w:r>
      <w:r w:rsidR="008F5348" w:rsidRPr="00626A06">
        <w:rPr>
          <w:rFonts w:ascii="Times New Roman" w:hAnsi="Times New Roman" w:cs="Times New Roman"/>
          <w:sz w:val="24"/>
          <w:szCs w:val="24"/>
        </w:rPr>
        <w:t xml:space="preserve">had </w:t>
      </w:r>
      <w:r w:rsidR="00345959" w:rsidRPr="00626A06">
        <w:rPr>
          <w:rFonts w:ascii="Times New Roman" w:hAnsi="Times New Roman" w:cs="Times New Roman"/>
          <w:sz w:val="24"/>
          <w:szCs w:val="24"/>
        </w:rPr>
        <w:t>the right to have the court assess his compensation (subject to costs). He could therefore fall back on statutory compensation</w:t>
      </w:r>
      <w:r w:rsidR="00A64CEB" w:rsidRPr="00626A06">
        <w:rPr>
          <w:rFonts w:ascii="Times New Roman" w:hAnsi="Times New Roman" w:cs="Times New Roman"/>
          <w:sz w:val="24"/>
          <w:szCs w:val="24"/>
        </w:rPr>
        <w:t xml:space="preserve"> in the same tribunal</w:t>
      </w:r>
      <w:r w:rsidR="00345959" w:rsidRPr="00626A06">
        <w:rPr>
          <w:rFonts w:ascii="Times New Roman" w:hAnsi="Times New Roman" w:cs="Times New Roman"/>
          <w:sz w:val="24"/>
          <w:szCs w:val="24"/>
        </w:rPr>
        <w:t xml:space="preserve">, albeit with the costs and the delay involved in the common law action. The argument put to </w:t>
      </w:r>
      <w:r w:rsidR="00862BEE" w:rsidRPr="00626A06">
        <w:rPr>
          <w:rFonts w:ascii="Times New Roman" w:hAnsi="Times New Roman" w:cs="Times New Roman"/>
          <w:sz w:val="24"/>
          <w:szCs w:val="24"/>
        </w:rPr>
        <w:t xml:space="preserve">Lord </w:t>
      </w:r>
      <w:r w:rsidR="00345959" w:rsidRPr="00626A06">
        <w:rPr>
          <w:rFonts w:ascii="Times New Roman" w:hAnsi="Times New Roman" w:cs="Times New Roman"/>
          <w:sz w:val="24"/>
          <w:szCs w:val="24"/>
        </w:rPr>
        <w:t xml:space="preserve">Simon by the Home Office was that the planned reform might disadvantage a worker who may not </w:t>
      </w:r>
      <w:r w:rsidR="00345959" w:rsidRPr="00626A06">
        <w:rPr>
          <w:rFonts w:ascii="Times New Roman" w:hAnsi="Times New Roman" w:cs="Times New Roman"/>
          <w:i/>
          <w:sz w:val="24"/>
          <w:szCs w:val="24"/>
        </w:rPr>
        <w:t xml:space="preserve">fail </w:t>
      </w:r>
      <w:r w:rsidR="00345959" w:rsidRPr="00626A06">
        <w:rPr>
          <w:rFonts w:ascii="Times New Roman" w:hAnsi="Times New Roman" w:cs="Times New Roman"/>
          <w:sz w:val="24"/>
          <w:szCs w:val="24"/>
        </w:rPr>
        <w:t xml:space="preserve">in his common law claim, but might instead be subject to a significant reduction for contributory negligence, thereby being awarded less than he would have achieved in the no-fault statutory scheme, to which contributory negligence </w:t>
      </w:r>
      <w:r w:rsidR="0005711F" w:rsidRPr="00626A06">
        <w:rPr>
          <w:rFonts w:ascii="Times New Roman" w:hAnsi="Times New Roman" w:cs="Times New Roman"/>
          <w:sz w:val="24"/>
          <w:szCs w:val="24"/>
        </w:rPr>
        <w:t xml:space="preserve">(as opposed to wilful default) </w:t>
      </w:r>
      <w:r w:rsidR="00345959" w:rsidRPr="00626A06">
        <w:rPr>
          <w:rFonts w:ascii="Times New Roman" w:hAnsi="Times New Roman" w:cs="Times New Roman"/>
          <w:sz w:val="24"/>
          <w:szCs w:val="24"/>
        </w:rPr>
        <w:t xml:space="preserve">was irrelevant. </w:t>
      </w:r>
      <w:r w:rsidR="00862BEE" w:rsidRPr="00626A06">
        <w:rPr>
          <w:rFonts w:ascii="Times New Roman" w:hAnsi="Times New Roman" w:cs="Times New Roman"/>
          <w:sz w:val="24"/>
          <w:szCs w:val="24"/>
        </w:rPr>
        <w:t xml:space="preserve">He would then be unable to </w:t>
      </w:r>
      <w:r w:rsidR="00A64CEB" w:rsidRPr="00626A06">
        <w:rPr>
          <w:rFonts w:ascii="Times New Roman" w:hAnsi="Times New Roman" w:cs="Times New Roman"/>
          <w:sz w:val="24"/>
          <w:szCs w:val="24"/>
        </w:rPr>
        <w:t xml:space="preserve">fall back on </w:t>
      </w:r>
      <w:r w:rsidR="00862BEE" w:rsidRPr="00626A06">
        <w:rPr>
          <w:rFonts w:ascii="Times New Roman" w:hAnsi="Times New Roman" w:cs="Times New Roman"/>
          <w:sz w:val="24"/>
          <w:szCs w:val="24"/>
        </w:rPr>
        <w:t>his statutory compensation.</w:t>
      </w:r>
    </w:p>
    <w:p w:rsidR="00677E16" w:rsidRPr="00626A06" w:rsidRDefault="00345959"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lastRenderedPageBreak/>
        <w:t>Lord Simon accepted that he should withdraw the measure,</w:t>
      </w:r>
      <w:r w:rsidRPr="00626A06">
        <w:rPr>
          <w:rStyle w:val="FootnoteReference"/>
          <w:rFonts w:ascii="Times New Roman" w:hAnsi="Times New Roman" w:cs="Times New Roman"/>
          <w:sz w:val="24"/>
          <w:szCs w:val="24"/>
        </w:rPr>
        <w:footnoteReference w:id="93"/>
      </w:r>
      <w:r w:rsidRPr="00626A06">
        <w:rPr>
          <w:rFonts w:ascii="Times New Roman" w:hAnsi="Times New Roman" w:cs="Times New Roman"/>
          <w:sz w:val="24"/>
          <w:szCs w:val="24"/>
        </w:rPr>
        <w:t xml:space="preserve"> but became less persuaded by the need to resolve this issue </w:t>
      </w:r>
      <w:r w:rsidR="00862BEE" w:rsidRPr="00626A06">
        <w:rPr>
          <w:rFonts w:ascii="Times New Roman" w:hAnsi="Times New Roman" w:cs="Times New Roman"/>
          <w:sz w:val="24"/>
          <w:szCs w:val="24"/>
        </w:rPr>
        <w:t xml:space="preserve">ahead of his reform </w:t>
      </w:r>
      <w:r w:rsidRPr="00626A06">
        <w:rPr>
          <w:rFonts w:ascii="Times New Roman" w:hAnsi="Times New Roman" w:cs="Times New Roman"/>
          <w:sz w:val="24"/>
          <w:szCs w:val="24"/>
        </w:rPr>
        <w:t xml:space="preserve">as the delay increased. In </w:t>
      </w:r>
      <w:r w:rsidR="001117FC" w:rsidRPr="00626A06">
        <w:rPr>
          <w:rFonts w:ascii="Times New Roman" w:hAnsi="Times New Roman" w:cs="Times New Roman"/>
          <w:sz w:val="24"/>
          <w:szCs w:val="24"/>
        </w:rPr>
        <w:t>reality</w:t>
      </w:r>
      <w:r w:rsidR="002864E1" w:rsidRPr="00626A06">
        <w:rPr>
          <w:rFonts w:ascii="Times New Roman" w:hAnsi="Times New Roman" w:cs="Times New Roman"/>
          <w:sz w:val="24"/>
          <w:szCs w:val="24"/>
        </w:rPr>
        <w:t>,</w:t>
      </w:r>
      <w:r w:rsidR="001117FC" w:rsidRPr="00626A06">
        <w:rPr>
          <w:rFonts w:ascii="Times New Roman" w:hAnsi="Times New Roman" w:cs="Times New Roman"/>
          <w:sz w:val="24"/>
          <w:szCs w:val="24"/>
        </w:rPr>
        <w:t xml:space="preserve"> </w:t>
      </w:r>
      <w:r w:rsidRPr="00626A06">
        <w:rPr>
          <w:rFonts w:ascii="Times New Roman" w:hAnsi="Times New Roman" w:cs="Times New Roman"/>
          <w:sz w:val="24"/>
          <w:szCs w:val="24"/>
        </w:rPr>
        <w:t xml:space="preserve">his proposed reform </w:t>
      </w:r>
      <w:r w:rsidR="00862BEE" w:rsidRPr="00626A06">
        <w:rPr>
          <w:rFonts w:ascii="Times New Roman" w:hAnsi="Times New Roman" w:cs="Times New Roman"/>
          <w:sz w:val="24"/>
          <w:szCs w:val="24"/>
        </w:rPr>
        <w:t xml:space="preserve">of contributory negligence </w:t>
      </w:r>
      <w:r w:rsidRPr="00626A06">
        <w:rPr>
          <w:rFonts w:ascii="Times New Roman" w:hAnsi="Times New Roman" w:cs="Times New Roman"/>
          <w:sz w:val="24"/>
          <w:szCs w:val="24"/>
        </w:rPr>
        <w:t xml:space="preserve">had played into </w:t>
      </w:r>
      <w:r w:rsidR="001117FC" w:rsidRPr="00626A06">
        <w:rPr>
          <w:rFonts w:ascii="Times New Roman" w:hAnsi="Times New Roman" w:cs="Times New Roman"/>
          <w:sz w:val="24"/>
          <w:szCs w:val="24"/>
        </w:rPr>
        <w:t xml:space="preserve">an area where difficult negotiations were </w:t>
      </w:r>
      <w:r w:rsidR="002864E1" w:rsidRPr="00626A06">
        <w:rPr>
          <w:rFonts w:ascii="Times New Roman" w:hAnsi="Times New Roman" w:cs="Times New Roman"/>
          <w:sz w:val="24"/>
          <w:szCs w:val="24"/>
        </w:rPr>
        <w:t xml:space="preserve">already </w:t>
      </w:r>
      <w:r w:rsidR="001117FC" w:rsidRPr="00626A06">
        <w:rPr>
          <w:rFonts w:ascii="Times New Roman" w:hAnsi="Times New Roman" w:cs="Times New Roman"/>
          <w:sz w:val="24"/>
          <w:szCs w:val="24"/>
        </w:rPr>
        <w:t>under way.</w:t>
      </w:r>
    </w:p>
    <w:p w:rsidR="00884764" w:rsidRPr="00626A06" w:rsidRDefault="00E27AF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w:t>
      </w:r>
      <w:proofErr w:type="spellStart"/>
      <w:r w:rsidRPr="00626A06">
        <w:rPr>
          <w:rFonts w:ascii="Times New Roman" w:hAnsi="Times New Roman" w:cs="Times New Roman"/>
          <w:sz w:val="24"/>
          <w:szCs w:val="24"/>
        </w:rPr>
        <w:t>Beveridge</w:t>
      </w:r>
      <w:proofErr w:type="spellEnd"/>
      <w:r w:rsidRPr="00626A06">
        <w:rPr>
          <w:rFonts w:ascii="Times New Roman" w:hAnsi="Times New Roman" w:cs="Times New Roman"/>
          <w:sz w:val="24"/>
          <w:szCs w:val="24"/>
        </w:rPr>
        <w:t xml:space="preserve"> Report</w:t>
      </w:r>
      <w:r w:rsidR="0012552E" w:rsidRPr="00626A06">
        <w:rPr>
          <w:rFonts w:ascii="Times New Roman" w:hAnsi="Times New Roman" w:cs="Times New Roman"/>
          <w:sz w:val="24"/>
          <w:szCs w:val="24"/>
        </w:rPr>
        <w:t xml:space="preserve"> </w:t>
      </w:r>
      <w:r w:rsidRPr="00626A06">
        <w:rPr>
          <w:rFonts w:ascii="Times New Roman" w:hAnsi="Times New Roman" w:cs="Times New Roman"/>
          <w:sz w:val="24"/>
          <w:szCs w:val="24"/>
        </w:rPr>
        <w:t>had included short section</w:t>
      </w:r>
      <w:r w:rsidR="00B534B4" w:rsidRPr="00626A06">
        <w:rPr>
          <w:rFonts w:ascii="Times New Roman" w:hAnsi="Times New Roman" w:cs="Times New Roman"/>
          <w:sz w:val="24"/>
          <w:szCs w:val="24"/>
        </w:rPr>
        <w:t>s</w:t>
      </w:r>
      <w:r w:rsidRPr="00626A06">
        <w:rPr>
          <w:rFonts w:ascii="Times New Roman" w:hAnsi="Times New Roman" w:cs="Times New Roman"/>
          <w:sz w:val="24"/>
          <w:szCs w:val="24"/>
        </w:rPr>
        <w:t xml:space="preserve"> on </w:t>
      </w:r>
      <w:r w:rsidR="00AF3A3D" w:rsidRPr="00626A06">
        <w:rPr>
          <w:rFonts w:ascii="Times New Roman" w:hAnsi="Times New Roman" w:cs="Times New Roman"/>
          <w:sz w:val="24"/>
          <w:szCs w:val="24"/>
        </w:rPr>
        <w:t xml:space="preserve">the ‘case for special provision for industrial disability’, and on </w:t>
      </w:r>
      <w:r w:rsidRPr="00626A06">
        <w:rPr>
          <w:rFonts w:ascii="Times New Roman" w:hAnsi="Times New Roman" w:cs="Times New Roman"/>
          <w:sz w:val="24"/>
          <w:szCs w:val="24"/>
        </w:rPr>
        <w:t>‘alternative remedies’.</w:t>
      </w:r>
      <w:r w:rsidR="00AF3A3D" w:rsidRPr="00626A06">
        <w:rPr>
          <w:rStyle w:val="FootnoteReference"/>
          <w:rFonts w:ascii="Times New Roman" w:hAnsi="Times New Roman" w:cs="Times New Roman"/>
          <w:sz w:val="24"/>
          <w:szCs w:val="24"/>
        </w:rPr>
        <w:footnoteReference w:id="94"/>
      </w:r>
      <w:r w:rsidRPr="00626A06">
        <w:rPr>
          <w:rFonts w:ascii="Times New Roman" w:hAnsi="Times New Roman" w:cs="Times New Roman"/>
          <w:sz w:val="24"/>
          <w:szCs w:val="24"/>
        </w:rPr>
        <w:t xml:space="preserve"> Here, </w:t>
      </w:r>
      <w:proofErr w:type="spellStart"/>
      <w:r w:rsidRPr="00626A06">
        <w:rPr>
          <w:rFonts w:ascii="Times New Roman" w:hAnsi="Times New Roman" w:cs="Times New Roman"/>
          <w:sz w:val="24"/>
          <w:szCs w:val="24"/>
        </w:rPr>
        <w:t>Beveridge</w:t>
      </w:r>
      <w:proofErr w:type="spellEnd"/>
      <w:r w:rsidRPr="00626A06">
        <w:rPr>
          <w:rFonts w:ascii="Times New Roman" w:hAnsi="Times New Roman" w:cs="Times New Roman"/>
          <w:sz w:val="24"/>
          <w:szCs w:val="24"/>
        </w:rPr>
        <w:t xml:space="preserve"> appeared to question </w:t>
      </w:r>
      <w:r w:rsidR="00B534B4" w:rsidRPr="00626A06">
        <w:rPr>
          <w:rFonts w:ascii="Times New Roman" w:hAnsi="Times New Roman" w:cs="Times New Roman"/>
          <w:sz w:val="24"/>
          <w:szCs w:val="24"/>
        </w:rPr>
        <w:t xml:space="preserve">the extent to which </w:t>
      </w:r>
      <w:r w:rsidRPr="00626A06">
        <w:rPr>
          <w:rFonts w:ascii="Times New Roman" w:hAnsi="Times New Roman" w:cs="Times New Roman"/>
          <w:sz w:val="24"/>
          <w:szCs w:val="24"/>
        </w:rPr>
        <w:t xml:space="preserve">common law remedies should survive alongside </w:t>
      </w:r>
      <w:r w:rsidR="00C40747" w:rsidRPr="00626A06">
        <w:rPr>
          <w:rFonts w:ascii="Times New Roman" w:hAnsi="Times New Roman" w:cs="Times New Roman"/>
          <w:sz w:val="24"/>
          <w:szCs w:val="24"/>
        </w:rPr>
        <w:t xml:space="preserve">his proposed </w:t>
      </w:r>
      <w:r w:rsidRPr="00626A06">
        <w:rPr>
          <w:rFonts w:ascii="Times New Roman" w:hAnsi="Times New Roman" w:cs="Times New Roman"/>
          <w:sz w:val="24"/>
          <w:szCs w:val="24"/>
        </w:rPr>
        <w:t xml:space="preserve">revised national insurance scheme, </w:t>
      </w:r>
      <w:r w:rsidR="00AF3A3D" w:rsidRPr="00626A06">
        <w:rPr>
          <w:rFonts w:ascii="Times New Roman" w:hAnsi="Times New Roman" w:cs="Times New Roman"/>
          <w:sz w:val="24"/>
          <w:szCs w:val="24"/>
        </w:rPr>
        <w:t xml:space="preserve">which would now </w:t>
      </w:r>
      <w:r w:rsidR="00862BEE" w:rsidRPr="00626A06">
        <w:rPr>
          <w:rFonts w:ascii="Times New Roman" w:hAnsi="Times New Roman" w:cs="Times New Roman"/>
          <w:sz w:val="24"/>
          <w:szCs w:val="24"/>
        </w:rPr>
        <w:t xml:space="preserve">incorporate </w:t>
      </w:r>
      <w:r w:rsidR="00AF3A3D" w:rsidRPr="00626A06">
        <w:rPr>
          <w:rFonts w:ascii="Times New Roman" w:hAnsi="Times New Roman" w:cs="Times New Roman"/>
          <w:sz w:val="24"/>
          <w:szCs w:val="24"/>
        </w:rPr>
        <w:t xml:space="preserve">industrial disablement though continuing to deal with it </w:t>
      </w:r>
      <w:r w:rsidR="00B534B4" w:rsidRPr="00626A06">
        <w:rPr>
          <w:rFonts w:ascii="Times New Roman" w:hAnsi="Times New Roman" w:cs="Times New Roman"/>
          <w:sz w:val="24"/>
          <w:szCs w:val="24"/>
        </w:rPr>
        <w:t>to some extent in a special way.</w:t>
      </w:r>
      <w:r w:rsidR="00AF3A3D" w:rsidRPr="00626A06">
        <w:rPr>
          <w:rStyle w:val="FootnoteReference"/>
          <w:rFonts w:ascii="Times New Roman" w:hAnsi="Times New Roman" w:cs="Times New Roman"/>
          <w:sz w:val="24"/>
          <w:szCs w:val="24"/>
        </w:rPr>
        <w:footnoteReference w:id="95"/>
      </w:r>
      <w:r w:rsidR="00B534B4" w:rsidRPr="00626A06">
        <w:rPr>
          <w:rFonts w:ascii="Times New Roman" w:hAnsi="Times New Roman" w:cs="Times New Roman"/>
          <w:sz w:val="24"/>
          <w:szCs w:val="24"/>
        </w:rPr>
        <w:t xml:space="preserve"> Certainly </w:t>
      </w:r>
      <w:proofErr w:type="spellStart"/>
      <w:r w:rsidR="00862BEE" w:rsidRPr="00626A06">
        <w:rPr>
          <w:rFonts w:ascii="Times New Roman" w:hAnsi="Times New Roman" w:cs="Times New Roman"/>
          <w:sz w:val="24"/>
          <w:szCs w:val="24"/>
        </w:rPr>
        <w:t>Beveridge</w:t>
      </w:r>
      <w:proofErr w:type="spellEnd"/>
      <w:r w:rsidR="00862BEE" w:rsidRPr="00626A06">
        <w:rPr>
          <w:rFonts w:ascii="Times New Roman" w:hAnsi="Times New Roman" w:cs="Times New Roman"/>
          <w:sz w:val="24"/>
          <w:szCs w:val="24"/>
        </w:rPr>
        <w:t xml:space="preserve"> appeared </w:t>
      </w:r>
      <w:r w:rsidR="00B534B4" w:rsidRPr="00626A06">
        <w:rPr>
          <w:rFonts w:ascii="Times New Roman" w:hAnsi="Times New Roman" w:cs="Times New Roman"/>
          <w:sz w:val="24"/>
          <w:szCs w:val="24"/>
        </w:rPr>
        <w:t>to take the view that common law liability should be restricted to cases where the employer was ‘responsible morally and in fact’,</w:t>
      </w:r>
      <w:r w:rsidR="00862BEE" w:rsidRPr="00626A06">
        <w:rPr>
          <w:rStyle w:val="FootnoteReference"/>
          <w:rFonts w:ascii="Times New Roman" w:hAnsi="Times New Roman" w:cs="Times New Roman"/>
          <w:sz w:val="24"/>
          <w:szCs w:val="24"/>
        </w:rPr>
        <w:footnoteReference w:id="96"/>
      </w:r>
      <w:r w:rsidR="00B534B4" w:rsidRPr="00626A06">
        <w:rPr>
          <w:rFonts w:ascii="Times New Roman" w:hAnsi="Times New Roman" w:cs="Times New Roman"/>
          <w:sz w:val="24"/>
          <w:szCs w:val="24"/>
        </w:rPr>
        <w:t xml:space="preserve"> and that common law damages should not remain unaffected by social security provision,</w:t>
      </w:r>
      <w:r w:rsidR="00AF3A3D" w:rsidRPr="00626A06">
        <w:rPr>
          <w:rFonts w:ascii="Times New Roman" w:hAnsi="Times New Roman" w:cs="Times New Roman"/>
          <w:sz w:val="24"/>
          <w:szCs w:val="24"/>
        </w:rPr>
        <w:t xml:space="preserve"> </w:t>
      </w:r>
      <w:r w:rsidRPr="00626A06">
        <w:rPr>
          <w:rFonts w:ascii="Times New Roman" w:hAnsi="Times New Roman" w:cs="Times New Roman"/>
          <w:sz w:val="24"/>
          <w:szCs w:val="24"/>
        </w:rPr>
        <w:t>on the basis that</w:t>
      </w:r>
      <w:r w:rsidR="00AF3A3D" w:rsidRPr="00626A06">
        <w:rPr>
          <w:rFonts w:ascii="Times New Roman" w:hAnsi="Times New Roman" w:cs="Times New Roman"/>
          <w:sz w:val="24"/>
          <w:szCs w:val="24"/>
        </w:rPr>
        <w:t xml:space="preserve"> ‘the needs of an injured person should not be met twice over’</w:t>
      </w:r>
      <w:r w:rsidRPr="00626A06">
        <w:rPr>
          <w:rFonts w:ascii="Times New Roman" w:hAnsi="Times New Roman" w:cs="Times New Roman"/>
          <w:sz w:val="24"/>
          <w:szCs w:val="24"/>
        </w:rPr>
        <w:t xml:space="preserve">. </w:t>
      </w:r>
      <w:r w:rsidR="00B534B4" w:rsidRPr="00626A06">
        <w:rPr>
          <w:rFonts w:ascii="Times New Roman" w:hAnsi="Times New Roman" w:cs="Times New Roman"/>
          <w:sz w:val="24"/>
          <w:szCs w:val="24"/>
        </w:rPr>
        <w:t xml:space="preserve">These were very controversial </w:t>
      </w:r>
      <w:r w:rsidR="00BF4AAA" w:rsidRPr="00626A06">
        <w:rPr>
          <w:rFonts w:ascii="Times New Roman" w:hAnsi="Times New Roman" w:cs="Times New Roman"/>
          <w:sz w:val="24"/>
          <w:szCs w:val="24"/>
        </w:rPr>
        <w:t xml:space="preserve">statements </w:t>
      </w:r>
      <w:r w:rsidR="00B534B4" w:rsidRPr="00626A06">
        <w:rPr>
          <w:rFonts w:ascii="Times New Roman" w:hAnsi="Times New Roman" w:cs="Times New Roman"/>
          <w:sz w:val="24"/>
          <w:szCs w:val="24"/>
        </w:rPr>
        <w:t>from the point of view of the union movement</w:t>
      </w:r>
      <w:r w:rsidR="00862BEE" w:rsidRPr="00626A06">
        <w:rPr>
          <w:rFonts w:ascii="Times New Roman" w:hAnsi="Times New Roman" w:cs="Times New Roman"/>
          <w:sz w:val="24"/>
          <w:szCs w:val="24"/>
        </w:rPr>
        <w:t>.</w:t>
      </w:r>
      <w:bookmarkStart w:id="26" w:name="_Ref319272441"/>
      <w:r w:rsidR="00944610" w:rsidRPr="00626A06">
        <w:rPr>
          <w:rStyle w:val="FootnoteReference"/>
          <w:rFonts w:ascii="Times New Roman" w:hAnsi="Times New Roman" w:cs="Times New Roman"/>
          <w:sz w:val="24"/>
          <w:szCs w:val="24"/>
        </w:rPr>
        <w:footnoteReference w:id="97"/>
      </w:r>
      <w:bookmarkEnd w:id="26"/>
      <w:r w:rsidR="00862BEE" w:rsidRPr="00626A06">
        <w:rPr>
          <w:rFonts w:ascii="Times New Roman" w:hAnsi="Times New Roman" w:cs="Times New Roman"/>
          <w:sz w:val="24"/>
          <w:szCs w:val="24"/>
        </w:rPr>
        <w:t xml:space="preserve"> T</w:t>
      </w:r>
      <w:r w:rsidR="00BC625D" w:rsidRPr="00626A06">
        <w:rPr>
          <w:rFonts w:ascii="Times New Roman" w:hAnsi="Times New Roman" w:cs="Times New Roman"/>
          <w:sz w:val="24"/>
          <w:szCs w:val="24"/>
        </w:rPr>
        <w:t xml:space="preserve">hey reflected the general </w:t>
      </w:r>
      <w:proofErr w:type="spellStart"/>
      <w:r w:rsidR="00BC625D" w:rsidRPr="00626A06">
        <w:rPr>
          <w:rFonts w:ascii="Times New Roman" w:hAnsi="Times New Roman" w:cs="Times New Roman"/>
          <w:sz w:val="24"/>
          <w:szCs w:val="24"/>
        </w:rPr>
        <w:t>Beveridge</w:t>
      </w:r>
      <w:proofErr w:type="spellEnd"/>
      <w:r w:rsidR="00BC625D" w:rsidRPr="00626A06">
        <w:rPr>
          <w:rFonts w:ascii="Times New Roman" w:hAnsi="Times New Roman" w:cs="Times New Roman"/>
          <w:sz w:val="24"/>
          <w:szCs w:val="24"/>
        </w:rPr>
        <w:t xml:space="preserve"> approach which was to prioritise the alleviation of poverty and need. With </w:t>
      </w:r>
      <w:r w:rsidR="00BF4AAA" w:rsidRPr="00626A06">
        <w:rPr>
          <w:rFonts w:ascii="Times New Roman" w:hAnsi="Times New Roman" w:cs="Times New Roman"/>
          <w:sz w:val="24"/>
          <w:szCs w:val="24"/>
        </w:rPr>
        <w:t>their</w:t>
      </w:r>
      <w:r w:rsidR="00BC625D" w:rsidRPr="00626A06">
        <w:rPr>
          <w:rFonts w:ascii="Times New Roman" w:hAnsi="Times New Roman" w:cs="Times New Roman"/>
          <w:sz w:val="24"/>
          <w:szCs w:val="24"/>
        </w:rPr>
        <w:t xml:space="preserve"> element of (low level) income replacement, industrial benefits were an exception to the </w:t>
      </w:r>
      <w:proofErr w:type="spellStart"/>
      <w:r w:rsidR="00BC625D" w:rsidRPr="00626A06">
        <w:rPr>
          <w:rFonts w:ascii="Times New Roman" w:hAnsi="Times New Roman" w:cs="Times New Roman"/>
          <w:sz w:val="24"/>
          <w:szCs w:val="24"/>
        </w:rPr>
        <w:t>Beveridge</w:t>
      </w:r>
      <w:proofErr w:type="spellEnd"/>
      <w:r w:rsidR="00BC625D" w:rsidRPr="00626A06">
        <w:rPr>
          <w:rFonts w:ascii="Times New Roman" w:hAnsi="Times New Roman" w:cs="Times New Roman"/>
          <w:sz w:val="24"/>
          <w:szCs w:val="24"/>
        </w:rPr>
        <w:t xml:space="preserve"> approach</w:t>
      </w:r>
      <w:r w:rsidR="00B534B4" w:rsidRPr="00626A06">
        <w:rPr>
          <w:rFonts w:ascii="Times New Roman" w:hAnsi="Times New Roman" w:cs="Times New Roman"/>
          <w:sz w:val="24"/>
          <w:szCs w:val="24"/>
        </w:rPr>
        <w:t>.</w:t>
      </w:r>
      <w:r w:rsidR="00BC625D" w:rsidRPr="00626A06">
        <w:rPr>
          <w:rFonts w:ascii="Times New Roman" w:hAnsi="Times New Roman" w:cs="Times New Roman"/>
          <w:sz w:val="24"/>
          <w:szCs w:val="24"/>
        </w:rPr>
        <w:t xml:space="preserve"> </w:t>
      </w:r>
      <w:r w:rsidR="00862BEE" w:rsidRPr="00626A06">
        <w:rPr>
          <w:rFonts w:ascii="Times New Roman" w:hAnsi="Times New Roman" w:cs="Times New Roman"/>
          <w:sz w:val="24"/>
          <w:szCs w:val="24"/>
        </w:rPr>
        <w:t xml:space="preserve">Yet </w:t>
      </w:r>
      <w:proofErr w:type="spellStart"/>
      <w:r w:rsidR="00B534B4" w:rsidRPr="00626A06">
        <w:rPr>
          <w:rFonts w:ascii="Times New Roman" w:hAnsi="Times New Roman" w:cs="Times New Roman"/>
          <w:sz w:val="24"/>
          <w:szCs w:val="24"/>
        </w:rPr>
        <w:t>Beveridge</w:t>
      </w:r>
      <w:proofErr w:type="spellEnd"/>
      <w:r w:rsidRPr="00626A06">
        <w:rPr>
          <w:rFonts w:ascii="Times New Roman" w:hAnsi="Times New Roman" w:cs="Times New Roman"/>
          <w:sz w:val="24"/>
          <w:szCs w:val="24"/>
        </w:rPr>
        <w:t xml:space="preserve"> </w:t>
      </w:r>
      <w:r w:rsidR="00862BEE" w:rsidRPr="00626A06">
        <w:rPr>
          <w:rFonts w:ascii="Times New Roman" w:hAnsi="Times New Roman" w:cs="Times New Roman"/>
          <w:sz w:val="24"/>
          <w:szCs w:val="24"/>
        </w:rPr>
        <w:t xml:space="preserve">also </w:t>
      </w:r>
      <w:r w:rsidR="004D7D16" w:rsidRPr="00626A06">
        <w:rPr>
          <w:rFonts w:ascii="Times New Roman" w:hAnsi="Times New Roman" w:cs="Times New Roman"/>
          <w:sz w:val="24"/>
          <w:szCs w:val="24"/>
        </w:rPr>
        <w:t>wished to encourage</w:t>
      </w:r>
      <w:r w:rsidRPr="00626A06">
        <w:rPr>
          <w:rFonts w:ascii="Times New Roman" w:hAnsi="Times New Roman" w:cs="Times New Roman"/>
          <w:sz w:val="24"/>
          <w:szCs w:val="24"/>
        </w:rPr>
        <w:t xml:space="preserve"> </w:t>
      </w:r>
      <w:r w:rsidR="00B534B4" w:rsidRPr="00626A06">
        <w:rPr>
          <w:rFonts w:ascii="Times New Roman" w:hAnsi="Times New Roman" w:cs="Times New Roman"/>
          <w:sz w:val="24"/>
          <w:szCs w:val="24"/>
        </w:rPr>
        <w:t xml:space="preserve">the use of </w:t>
      </w:r>
      <w:r w:rsidRPr="00626A06">
        <w:rPr>
          <w:rFonts w:ascii="Times New Roman" w:hAnsi="Times New Roman" w:cs="Times New Roman"/>
          <w:sz w:val="24"/>
          <w:szCs w:val="24"/>
        </w:rPr>
        <w:t>first party insurance and other private provision against loss,</w:t>
      </w:r>
      <w:r w:rsidR="00B534B4" w:rsidRPr="00626A06">
        <w:rPr>
          <w:rFonts w:ascii="Times New Roman" w:hAnsi="Times New Roman" w:cs="Times New Roman"/>
          <w:sz w:val="24"/>
          <w:szCs w:val="24"/>
        </w:rPr>
        <w:t xml:space="preserve"> thus</w:t>
      </w:r>
      <w:r w:rsidRPr="00626A06">
        <w:rPr>
          <w:rFonts w:ascii="Times New Roman" w:hAnsi="Times New Roman" w:cs="Times New Roman"/>
          <w:sz w:val="24"/>
          <w:szCs w:val="24"/>
        </w:rPr>
        <w:t xml:space="preserve"> underlining the ambiguous position </w:t>
      </w:r>
      <w:r w:rsidR="00FE5CFE" w:rsidRPr="00626A06">
        <w:rPr>
          <w:rFonts w:ascii="Times New Roman" w:hAnsi="Times New Roman" w:cs="Times New Roman"/>
          <w:sz w:val="24"/>
          <w:szCs w:val="24"/>
        </w:rPr>
        <w:t xml:space="preserve">of the law of tort </w:t>
      </w:r>
      <w:r w:rsidR="00F92072" w:rsidRPr="00626A06">
        <w:rPr>
          <w:rFonts w:ascii="Times New Roman" w:hAnsi="Times New Roman" w:cs="Times New Roman"/>
          <w:sz w:val="24"/>
          <w:szCs w:val="24"/>
        </w:rPr>
        <w:t xml:space="preserve">even </w:t>
      </w:r>
      <w:r w:rsidR="00B534B4" w:rsidRPr="00626A06">
        <w:rPr>
          <w:rFonts w:ascii="Times New Roman" w:hAnsi="Times New Roman" w:cs="Times New Roman"/>
          <w:sz w:val="24"/>
          <w:szCs w:val="24"/>
        </w:rPr>
        <w:t xml:space="preserve">at this stage in </w:t>
      </w:r>
      <w:r w:rsidR="00F92072" w:rsidRPr="00626A06">
        <w:rPr>
          <w:rFonts w:ascii="Times New Roman" w:hAnsi="Times New Roman" w:cs="Times New Roman"/>
          <w:sz w:val="24"/>
          <w:szCs w:val="24"/>
        </w:rPr>
        <w:t xml:space="preserve">its </w:t>
      </w:r>
      <w:r w:rsidR="00B534B4" w:rsidRPr="00626A06">
        <w:rPr>
          <w:rFonts w:ascii="Times New Roman" w:hAnsi="Times New Roman" w:cs="Times New Roman"/>
          <w:sz w:val="24"/>
          <w:szCs w:val="24"/>
        </w:rPr>
        <w:t>history</w:t>
      </w:r>
      <w:r w:rsidR="00862BEE" w:rsidRPr="00626A06">
        <w:rPr>
          <w:rFonts w:ascii="Times New Roman" w:hAnsi="Times New Roman" w:cs="Times New Roman"/>
          <w:sz w:val="24"/>
          <w:szCs w:val="24"/>
        </w:rPr>
        <w:t>.</w:t>
      </w:r>
      <w:r w:rsidR="005C001F" w:rsidRPr="00626A06">
        <w:rPr>
          <w:rFonts w:ascii="Times New Roman" w:hAnsi="Times New Roman" w:cs="Times New Roman"/>
          <w:sz w:val="24"/>
          <w:szCs w:val="24"/>
        </w:rPr>
        <w:t xml:space="preserve"> Should it be seen as akin to private provision, since it depends on individual wrongs, or should it be seen as a system of compensation and/or deterrence, </w:t>
      </w:r>
      <w:r w:rsidR="008F5348" w:rsidRPr="00626A06">
        <w:rPr>
          <w:rFonts w:ascii="Times New Roman" w:hAnsi="Times New Roman" w:cs="Times New Roman"/>
          <w:sz w:val="24"/>
          <w:szCs w:val="24"/>
        </w:rPr>
        <w:t xml:space="preserve">since </w:t>
      </w:r>
      <w:r w:rsidR="005C001F" w:rsidRPr="00626A06">
        <w:rPr>
          <w:rFonts w:ascii="Times New Roman" w:hAnsi="Times New Roman" w:cs="Times New Roman"/>
          <w:sz w:val="24"/>
          <w:szCs w:val="24"/>
        </w:rPr>
        <w:t xml:space="preserve">the law imposes </w:t>
      </w:r>
      <w:r w:rsidR="00BF4AAA" w:rsidRPr="00626A06">
        <w:rPr>
          <w:rFonts w:ascii="Times New Roman" w:hAnsi="Times New Roman" w:cs="Times New Roman"/>
          <w:sz w:val="24"/>
          <w:szCs w:val="24"/>
        </w:rPr>
        <w:t xml:space="preserve">its </w:t>
      </w:r>
      <w:r w:rsidR="005C001F" w:rsidRPr="00626A06">
        <w:rPr>
          <w:rFonts w:ascii="Times New Roman" w:hAnsi="Times New Roman" w:cs="Times New Roman"/>
          <w:sz w:val="24"/>
          <w:szCs w:val="24"/>
        </w:rPr>
        <w:t>liability rules on a defendant enterprise?</w:t>
      </w:r>
      <w:r w:rsidR="00FE5CFE" w:rsidRPr="00626A06">
        <w:rPr>
          <w:rFonts w:ascii="Times New Roman" w:hAnsi="Times New Roman" w:cs="Times New Roman"/>
          <w:sz w:val="24"/>
          <w:szCs w:val="24"/>
        </w:rPr>
        <w:t xml:space="preserve"> </w:t>
      </w:r>
      <w:r w:rsidR="00BC625D" w:rsidRPr="00626A06">
        <w:rPr>
          <w:rFonts w:ascii="Times New Roman" w:hAnsi="Times New Roman" w:cs="Times New Roman"/>
          <w:sz w:val="24"/>
          <w:szCs w:val="24"/>
        </w:rPr>
        <w:t xml:space="preserve">The picture has </w:t>
      </w:r>
      <w:r w:rsidR="00BF4AAA" w:rsidRPr="00626A06">
        <w:rPr>
          <w:rFonts w:ascii="Times New Roman" w:hAnsi="Times New Roman" w:cs="Times New Roman"/>
          <w:sz w:val="24"/>
          <w:szCs w:val="24"/>
        </w:rPr>
        <w:t xml:space="preserve">since </w:t>
      </w:r>
      <w:r w:rsidR="00BC625D" w:rsidRPr="00626A06">
        <w:rPr>
          <w:rFonts w:ascii="Times New Roman" w:hAnsi="Times New Roman" w:cs="Times New Roman"/>
          <w:sz w:val="24"/>
          <w:szCs w:val="24"/>
        </w:rPr>
        <w:t xml:space="preserve">been </w:t>
      </w:r>
      <w:r w:rsidR="00A521B4" w:rsidRPr="00626A06">
        <w:rPr>
          <w:rFonts w:ascii="Times New Roman" w:hAnsi="Times New Roman" w:cs="Times New Roman"/>
          <w:sz w:val="24"/>
          <w:szCs w:val="24"/>
        </w:rPr>
        <w:t xml:space="preserve">complicated </w:t>
      </w:r>
      <w:r w:rsidR="00BC625D" w:rsidRPr="00626A06">
        <w:rPr>
          <w:rFonts w:ascii="Times New Roman" w:hAnsi="Times New Roman" w:cs="Times New Roman"/>
          <w:sz w:val="24"/>
          <w:szCs w:val="24"/>
        </w:rPr>
        <w:t>by the introduction of more income-related benefits (and contributions) by various Governments</w:t>
      </w:r>
      <w:r w:rsidR="009D115A" w:rsidRPr="00626A06">
        <w:rPr>
          <w:rFonts w:ascii="Times New Roman" w:hAnsi="Times New Roman" w:cs="Times New Roman"/>
          <w:sz w:val="24"/>
          <w:szCs w:val="24"/>
        </w:rPr>
        <w:t xml:space="preserve"> and, on the damages side, by the prevalence of strict and absolute duties upon employers, </w:t>
      </w:r>
      <w:r w:rsidR="00C07884" w:rsidRPr="00626A06">
        <w:rPr>
          <w:rFonts w:ascii="Times New Roman" w:hAnsi="Times New Roman" w:cs="Times New Roman"/>
          <w:sz w:val="24"/>
          <w:szCs w:val="24"/>
        </w:rPr>
        <w:t xml:space="preserve">increasingly seen as giving </w:t>
      </w:r>
      <w:r w:rsidR="009D115A" w:rsidRPr="00626A06">
        <w:rPr>
          <w:rFonts w:ascii="Times New Roman" w:hAnsi="Times New Roman" w:cs="Times New Roman"/>
          <w:sz w:val="24"/>
          <w:szCs w:val="24"/>
        </w:rPr>
        <w:t>rise to civil liability</w:t>
      </w:r>
      <w:r w:rsidR="00BC625D" w:rsidRPr="00626A06">
        <w:rPr>
          <w:rFonts w:ascii="Times New Roman" w:hAnsi="Times New Roman" w:cs="Times New Roman"/>
          <w:sz w:val="24"/>
          <w:szCs w:val="24"/>
        </w:rPr>
        <w:t>.</w:t>
      </w:r>
      <w:r w:rsidR="009D115A" w:rsidRPr="00626A06">
        <w:rPr>
          <w:rFonts w:ascii="Times New Roman" w:hAnsi="Times New Roman" w:cs="Times New Roman"/>
          <w:sz w:val="24"/>
          <w:szCs w:val="24"/>
        </w:rPr>
        <w:t xml:space="preserve"> </w:t>
      </w:r>
    </w:p>
    <w:p w:rsidR="00B534B4" w:rsidRPr="00626A06" w:rsidRDefault="00E27AF5" w:rsidP="00626A06">
      <w:pPr>
        <w:spacing w:line="360" w:lineRule="auto"/>
        <w:jc w:val="both"/>
        <w:rPr>
          <w:rFonts w:ascii="Times New Roman" w:hAnsi="Times New Roman" w:cs="Times New Roman"/>
          <w:sz w:val="24"/>
          <w:szCs w:val="24"/>
        </w:rPr>
      </w:pPr>
      <w:proofErr w:type="spellStart"/>
      <w:r w:rsidRPr="00626A06">
        <w:rPr>
          <w:rFonts w:ascii="Times New Roman" w:hAnsi="Times New Roman" w:cs="Times New Roman"/>
          <w:sz w:val="24"/>
          <w:szCs w:val="24"/>
        </w:rPr>
        <w:t>Beveridge</w:t>
      </w:r>
      <w:proofErr w:type="spellEnd"/>
      <w:r w:rsidRPr="00626A06">
        <w:rPr>
          <w:rFonts w:ascii="Times New Roman" w:hAnsi="Times New Roman" w:cs="Times New Roman"/>
          <w:sz w:val="24"/>
          <w:szCs w:val="24"/>
        </w:rPr>
        <w:t xml:space="preserve"> </w:t>
      </w:r>
      <w:r w:rsidR="00B534B4" w:rsidRPr="00626A06">
        <w:rPr>
          <w:rFonts w:ascii="Times New Roman" w:hAnsi="Times New Roman" w:cs="Times New Roman"/>
          <w:sz w:val="24"/>
          <w:szCs w:val="24"/>
        </w:rPr>
        <w:t xml:space="preserve">did not </w:t>
      </w:r>
      <w:r w:rsidR="00862BEE" w:rsidRPr="00626A06">
        <w:rPr>
          <w:rFonts w:ascii="Times New Roman" w:hAnsi="Times New Roman" w:cs="Times New Roman"/>
          <w:sz w:val="24"/>
          <w:szCs w:val="24"/>
        </w:rPr>
        <w:t xml:space="preserve">declare </w:t>
      </w:r>
      <w:r w:rsidR="00B534B4" w:rsidRPr="00626A06">
        <w:rPr>
          <w:rFonts w:ascii="Times New Roman" w:hAnsi="Times New Roman" w:cs="Times New Roman"/>
          <w:sz w:val="24"/>
          <w:szCs w:val="24"/>
        </w:rPr>
        <w:t>a decided view, suggesting that</w:t>
      </w:r>
      <w:r w:rsidRPr="00626A06">
        <w:rPr>
          <w:rFonts w:ascii="Times New Roman" w:hAnsi="Times New Roman" w:cs="Times New Roman"/>
          <w:sz w:val="24"/>
          <w:szCs w:val="24"/>
        </w:rPr>
        <w:t xml:space="preserve"> the issues were too technical to be dealt wit</w:t>
      </w:r>
      <w:r w:rsidR="00862BEE" w:rsidRPr="00626A06">
        <w:rPr>
          <w:rFonts w:ascii="Times New Roman" w:hAnsi="Times New Roman" w:cs="Times New Roman"/>
          <w:sz w:val="24"/>
          <w:szCs w:val="24"/>
        </w:rPr>
        <w:t xml:space="preserve">h in his </w:t>
      </w:r>
      <w:r w:rsidR="00DA04A7">
        <w:rPr>
          <w:rFonts w:ascii="Times New Roman" w:hAnsi="Times New Roman" w:cs="Times New Roman"/>
          <w:sz w:val="24"/>
          <w:szCs w:val="24"/>
        </w:rPr>
        <w:t>R</w:t>
      </w:r>
      <w:r w:rsidR="00862BEE" w:rsidRPr="00626A06">
        <w:rPr>
          <w:rFonts w:ascii="Times New Roman" w:hAnsi="Times New Roman" w:cs="Times New Roman"/>
          <w:sz w:val="24"/>
          <w:szCs w:val="24"/>
        </w:rPr>
        <w:t>eport, and recommending</w:t>
      </w:r>
      <w:r w:rsidRPr="00626A06">
        <w:rPr>
          <w:rFonts w:ascii="Times New Roman" w:hAnsi="Times New Roman" w:cs="Times New Roman"/>
          <w:sz w:val="24"/>
          <w:szCs w:val="24"/>
        </w:rPr>
        <w:t xml:space="preserve"> that an expert committee be established to</w:t>
      </w:r>
      <w:r w:rsidR="00082293" w:rsidRPr="00626A06">
        <w:rPr>
          <w:rFonts w:ascii="Times New Roman" w:hAnsi="Times New Roman" w:cs="Times New Roman"/>
          <w:sz w:val="24"/>
          <w:szCs w:val="24"/>
        </w:rPr>
        <w:t xml:space="preserve"> </w:t>
      </w:r>
      <w:r w:rsidR="00082293" w:rsidRPr="00626A06">
        <w:rPr>
          <w:rFonts w:ascii="Times New Roman" w:hAnsi="Times New Roman" w:cs="Times New Roman"/>
          <w:sz w:val="24"/>
          <w:szCs w:val="24"/>
        </w:rPr>
        <w:lastRenderedPageBreak/>
        <w:t>consider them</w:t>
      </w:r>
      <w:r w:rsidR="001A1126" w:rsidRPr="00626A06">
        <w:rPr>
          <w:rFonts w:ascii="Times New Roman" w:hAnsi="Times New Roman" w:cs="Times New Roman"/>
          <w:sz w:val="24"/>
          <w:szCs w:val="24"/>
        </w:rPr>
        <w:t>, but the tone of his remarks raised suspicions</w:t>
      </w:r>
      <w:r w:rsidRPr="00626A06">
        <w:rPr>
          <w:rFonts w:ascii="Times New Roman" w:hAnsi="Times New Roman" w:cs="Times New Roman"/>
          <w:sz w:val="24"/>
          <w:szCs w:val="24"/>
        </w:rPr>
        <w:t xml:space="preserve">. By the time Lord Simon made his proposal to implement </w:t>
      </w:r>
      <w:r w:rsidR="00DA04A7">
        <w:rPr>
          <w:rFonts w:ascii="Times New Roman" w:hAnsi="Times New Roman" w:cs="Times New Roman"/>
          <w:sz w:val="24"/>
          <w:szCs w:val="24"/>
        </w:rPr>
        <w:t xml:space="preserve">the </w:t>
      </w:r>
      <w:r w:rsidRPr="00626A06">
        <w:rPr>
          <w:rFonts w:ascii="Times New Roman" w:hAnsi="Times New Roman" w:cs="Times New Roman"/>
          <w:sz w:val="24"/>
          <w:szCs w:val="24"/>
        </w:rPr>
        <w:t>LRC</w:t>
      </w:r>
      <w:r w:rsidR="00B0033C">
        <w:rPr>
          <w:rFonts w:ascii="Times New Roman" w:hAnsi="Times New Roman" w:cs="Times New Roman"/>
          <w:sz w:val="24"/>
          <w:szCs w:val="24"/>
        </w:rPr>
        <w:t>’s</w:t>
      </w:r>
      <w:r w:rsidRPr="00626A06">
        <w:rPr>
          <w:rFonts w:ascii="Times New Roman" w:hAnsi="Times New Roman" w:cs="Times New Roman"/>
          <w:sz w:val="24"/>
          <w:szCs w:val="24"/>
        </w:rPr>
        <w:t xml:space="preserve"> 8</w:t>
      </w:r>
      <w:r w:rsidRPr="00626A06">
        <w:rPr>
          <w:rFonts w:ascii="Times New Roman" w:hAnsi="Times New Roman" w:cs="Times New Roman"/>
          <w:sz w:val="24"/>
          <w:szCs w:val="24"/>
          <w:vertAlign w:val="superscript"/>
        </w:rPr>
        <w:t>th</w:t>
      </w:r>
      <w:r w:rsidRPr="00626A06">
        <w:rPr>
          <w:rFonts w:ascii="Times New Roman" w:hAnsi="Times New Roman" w:cs="Times New Roman"/>
          <w:sz w:val="24"/>
          <w:szCs w:val="24"/>
        </w:rPr>
        <w:t xml:space="preserve"> Report, </w:t>
      </w:r>
      <w:r w:rsidR="00FF3B7B" w:rsidRPr="00626A06">
        <w:rPr>
          <w:rFonts w:ascii="Times New Roman" w:hAnsi="Times New Roman" w:cs="Times New Roman"/>
          <w:sz w:val="24"/>
          <w:szCs w:val="24"/>
        </w:rPr>
        <w:t xml:space="preserve">the </w:t>
      </w:r>
      <w:r w:rsidR="006C2956" w:rsidRPr="00626A06">
        <w:rPr>
          <w:rFonts w:ascii="Times New Roman" w:hAnsi="Times New Roman" w:cs="Times New Roman"/>
          <w:sz w:val="24"/>
          <w:szCs w:val="24"/>
        </w:rPr>
        <w:t>Monckton Committee</w:t>
      </w:r>
      <w:r w:rsidRPr="00626A06">
        <w:rPr>
          <w:rFonts w:ascii="Times New Roman" w:hAnsi="Times New Roman" w:cs="Times New Roman"/>
          <w:sz w:val="24"/>
          <w:szCs w:val="24"/>
        </w:rPr>
        <w:t>,</w:t>
      </w:r>
      <w:r w:rsidR="00BE3E0F" w:rsidRPr="00626A06">
        <w:rPr>
          <w:rFonts w:ascii="Times New Roman" w:hAnsi="Times New Roman" w:cs="Times New Roman"/>
          <w:sz w:val="24"/>
          <w:szCs w:val="24"/>
          <w:vertAlign w:val="superscript"/>
        </w:rPr>
        <w:footnoteReference w:id="98"/>
      </w:r>
      <w:r w:rsidRPr="00626A06">
        <w:rPr>
          <w:rFonts w:ascii="Times New Roman" w:hAnsi="Times New Roman" w:cs="Times New Roman"/>
          <w:sz w:val="24"/>
          <w:szCs w:val="24"/>
        </w:rPr>
        <w:t xml:space="preserve"> including representatives of employers, unions, and insurers, had been convened to discuss the </w:t>
      </w:r>
      <w:r w:rsidR="00FF3B7B" w:rsidRPr="00626A06">
        <w:rPr>
          <w:rFonts w:ascii="Times New Roman" w:hAnsi="Times New Roman" w:cs="Times New Roman"/>
          <w:sz w:val="24"/>
          <w:szCs w:val="24"/>
        </w:rPr>
        <w:t xml:space="preserve">disputed issue of the </w:t>
      </w:r>
      <w:r w:rsidRPr="00626A06">
        <w:rPr>
          <w:rFonts w:ascii="Times New Roman" w:hAnsi="Times New Roman" w:cs="Times New Roman"/>
          <w:sz w:val="24"/>
          <w:szCs w:val="24"/>
        </w:rPr>
        <w:t xml:space="preserve">‘Alternative Remedy’. </w:t>
      </w:r>
      <w:r w:rsidR="00BF4AAA" w:rsidRPr="00626A06">
        <w:rPr>
          <w:rFonts w:ascii="Times New Roman" w:hAnsi="Times New Roman" w:cs="Times New Roman"/>
          <w:sz w:val="24"/>
          <w:szCs w:val="24"/>
        </w:rPr>
        <w:t xml:space="preserve">What might be overlooked is that by focusing on the ‘alternative remedy’, the discussion of workmen’s compensation had been transformed into a discussion including the contribution of common law damages, earlier thought to have been fruitless in this area. The judicial reforms of the 1930s (and of course earlier) played a significant part in making this change possible, and silence on such cases in </w:t>
      </w:r>
      <w:r w:rsidR="00DA04A7">
        <w:rPr>
          <w:rFonts w:ascii="Times New Roman" w:hAnsi="Times New Roman" w:cs="Times New Roman"/>
          <w:sz w:val="24"/>
          <w:szCs w:val="24"/>
        </w:rPr>
        <w:t xml:space="preserve">the </w:t>
      </w:r>
      <w:r w:rsidR="00BF4AAA" w:rsidRPr="00626A06">
        <w:rPr>
          <w:rFonts w:ascii="Times New Roman" w:hAnsi="Times New Roman" w:cs="Times New Roman"/>
          <w:sz w:val="24"/>
          <w:szCs w:val="24"/>
        </w:rPr>
        <w:t>LRC</w:t>
      </w:r>
      <w:r w:rsidR="00B0033C">
        <w:rPr>
          <w:rFonts w:ascii="Times New Roman" w:hAnsi="Times New Roman" w:cs="Times New Roman"/>
          <w:sz w:val="24"/>
          <w:szCs w:val="24"/>
        </w:rPr>
        <w:t>’s</w:t>
      </w:r>
      <w:r w:rsidR="00BF4AAA" w:rsidRPr="00626A06">
        <w:rPr>
          <w:rFonts w:ascii="Times New Roman" w:hAnsi="Times New Roman" w:cs="Times New Roman"/>
          <w:sz w:val="24"/>
          <w:szCs w:val="24"/>
        </w:rPr>
        <w:t xml:space="preserve"> 8t</w:t>
      </w:r>
      <w:r w:rsidR="00D646B9" w:rsidRPr="00626A06">
        <w:rPr>
          <w:rFonts w:ascii="Times New Roman" w:hAnsi="Times New Roman" w:cs="Times New Roman"/>
          <w:sz w:val="24"/>
          <w:szCs w:val="24"/>
        </w:rPr>
        <w:t>h</w:t>
      </w:r>
      <w:r w:rsidR="00BF4AAA" w:rsidRPr="00626A06">
        <w:rPr>
          <w:rFonts w:ascii="Times New Roman" w:hAnsi="Times New Roman" w:cs="Times New Roman"/>
          <w:sz w:val="24"/>
          <w:szCs w:val="24"/>
        </w:rPr>
        <w:t xml:space="preserve"> Report</w:t>
      </w:r>
      <w:r w:rsidR="00884764" w:rsidRPr="00626A06">
        <w:rPr>
          <w:rFonts w:ascii="Times New Roman" w:hAnsi="Times New Roman" w:cs="Times New Roman"/>
          <w:sz w:val="24"/>
          <w:szCs w:val="24"/>
        </w:rPr>
        <w:t xml:space="preserve"> (</w:t>
      </w:r>
      <w:r w:rsidR="00D646B9" w:rsidRPr="00626A06">
        <w:rPr>
          <w:rFonts w:ascii="Times New Roman" w:hAnsi="Times New Roman" w:cs="Times New Roman"/>
          <w:sz w:val="24"/>
          <w:szCs w:val="24"/>
        </w:rPr>
        <w:t>c</w:t>
      </w:r>
      <w:r w:rsidR="00884764" w:rsidRPr="00626A06">
        <w:rPr>
          <w:rFonts w:ascii="Times New Roman" w:hAnsi="Times New Roman" w:cs="Times New Roman"/>
          <w:sz w:val="24"/>
          <w:szCs w:val="24"/>
        </w:rPr>
        <w:t>haired by one of the most active reformers)</w:t>
      </w:r>
      <w:r w:rsidR="00BF4AAA" w:rsidRPr="00626A06">
        <w:rPr>
          <w:rFonts w:ascii="Times New Roman" w:hAnsi="Times New Roman" w:cs="Times New Roman"/>
          <w:sz w:val="24"/>
          <w:szCs w:val="24"/>
        </w:rPr>
        <w:t xml:space="preserve"> looks all the more deliberate. This process, by which tort came back into the area previously occupied by the no</w:t>
      </w:r>
      <w:r w:rsidR="00DA04A7">
        <w:rPr>
          <w:rFonts w:ascii="Times New Roman" w:hAnsi="Times New Roman" w:cs="Times New Roman"/>
          <w:sz w:val="24"/>
          <w:szCs w:val="24"/>
        </w:rPr>
        <w:t>-</w:t>
      </w:r>
      <w:r w:rsidR="00BF4AAA" w:rsidRPr="00626A06">
        <w:rPr>
          <w:rFonts w:ascii="Times New Roman" w:hAnsi="Times New Roman" w:cs="Times New Roman"/>
          <w:sz w:val="24"/>
          <w:szCs w:val="24"/>
        </w:rPr>
        <w:t>fault workmen’s compensation remedy, is the reverse of the trajectory seen in the United States, where tort was fully ousted from the area and had no opportunity to</w:t>
      </w:r>
      <w:r w:rsidR="00901BF8" w:rsidRPr="00626A06">
        <w:rPr>
          <w:rFonts w:ascii="Times New Roman" w:hAnsi="Times New Roman" w:cs="Times New Roman"/>
          <w:sz w:val="24"/>
          <w:szCs w:val="24"/>
        </w:rPr>
        <w:t xml:space="preserve"> develop its remedies</w:t>
      </w:r>
      <w:r w:rsidR="00BF4AAA" w:rsidRPr="00626A06">
        <w:rPr>
          <w:rFonts w:ascii="Times New Roman" w:hAnsi="Times New Roman" w:cs="Times New Roman"/>
          <w:sz w:val="24"/>
          <w:szCs w:val="24"/>
        </w:rPr>
        <w:t xml:space="preserve"> </w:t>
      </w:r>
      <w:r w:rsidR="00884764" w:rsidRPr="00626A06">
        <w:rPr>
          <w:rFonts w:ascii="Times New Roman" w:hAnsi="Times New Roman" w:cs="Times New Roman"/>
          <w:sz w:val="24"/>
          <w:szCs w:val="24"/>
        </w:rPr>
        <w:t>where industrial injury was concerned.</w:t>
      </w:r>
      <w:r w:rsidR="00884764" w:rsidRPr="00626A06">
        <w:rPr>
          <w:rFonts w:ascii="Times New Roman" w:hAnsi="Times New Roman" w:cs="Times New Roman"/>
          <w:sz w:val="24"/>
          <w:szCs w:val="24"/>
          <w:vertAlign w:val="superscript"/>
        </w:rPr>
        <w:t xml:space="preserve"> </w:t>
      </w:r>
      <w:r w:rsidR="00884764" w:rsidRPr="00626A06">
        <w:rPr>
          <w:rFonts w:ascii="Times New Roman" w:hAnsi="Times New Roman" w:cs="Times New Roman"/>
          <w:sz w:val="24"/>
          <w:szCs w:val="24"/>
          <w:vertAlign w:val="superscript"/>
        </w:rPr>
        <w:footnoteReference w:id="99"/>
      </w:r>
      <w:r w:rsidR="00884764" w:rsidRPr="00626A06">
        <w:rPr>
          <w:rFonts w:ascii="Times New Roman" w:hAnsi="Times New Roman" w:cs="Times New Roman"/>
          <w:sz w:val="24"/>
          <w:szCs w:val="24"/>
        </w:rPr>
        <w:t xml:space="preserve"> </w:t>
      </w:r>
    </w:p>
    <w:p w:rsidR="00B534B4" w:rsidRPr="00626A06" w:rsidRDefault="00B534B4"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L</w:t>
      </w:r>
      <w:r w:rsidR="00E27AF5" w:rsidRPr="00626A06">
        <w:rPr>
          <w:rFonts w:ascii="Times New Roman" w:hAnsi="Times New Roman" w:cs="Times New Roman"/>
          <w:sz w:val="24"/>
          <w:szCs w:val="24"/>
        </w:rPr>
        <w:t xml:space="preserve">ord </w:t>
      </w:r>
      <w:r w:rsidR="009D115A" w:rsidRPr="00626A06">
        <w:rPr>
          <w:rFonts w:ascii="Times New Roman" w:hAnsi="Times New Roman" w:cs="Times New Roman"/>
          <w:sz w:val="24"/>
          <w:szCs w:val="24"/>
        </w:rPr>
        <w:t xml:space="preserve">Simon </w:t>
      </w:r>
      <w:r w:rsidR="00AF5D89" w:rsidRPr="00626A06">
        <w:rPr>
          <w:rFonts w:ascii="Times New Roman" w:hAnsi="Times New Roman" w:cs="Times New Roman"/>
          <w:sz w:val="24"/>
          <w:szCs w:val="24"/>
        </w:rPr>
        <w:t xml:space="preserve">responded by </w:t>
      </w:r>
      <w:r w:rsidR="007D4A55" w:rsidRPr="00626A06">
        <w:rPr>
          <w:rFonts w:ascii="Times New Roman" w:hAnsi="Times New Roman" w:cs="Times New Roman"/>
          <w:sz w:val="24"/>
          <w:szCs w:val="24"/>
        </w:rPr>
        <w:t xml:space="preserve">initiating </w:t>
      </w:r>
      <w:r w:rsidR="00AF5D89" w:rsidRPr="00626A06">
        <w:rPr>
          <w:rFonts w:ascii="Times New Roman" w:hAnsi="Times New Roman" w:cs="Times New Roman"/>
          <w:sz w:val="24"/>
          <w:szCs w:val="24"/>
        </w:rPr>
        <w:t xml:space="preserve">consultation, particularly in the form of </w:t>
      </w:r>
      <w:r w:rsidRPr="00626A06">
        <w:rPr>
          <w:rFonts w:ascii="Times New Roman" w:hAnsi="Times New Roman" w:cs="Times New Roman"/>
          <w:sz w:val="24"/>
          <w:szCs w:val="24"/>
        </w:rPr>
        <w:t xml:space="preserve">a </w:t>
      </w:r>
      <w:r w:rsidR="00DD0166" w:rsidRPr="00626A06">
        <w:rPr>
          <w:rFonts w:ascii="Times New Roman" w:hAnsi="Times New Roman" w:cs="Times New Roman"/>
          <w:sz w:val="24"/>
          <w:szCs w:val="24"/>
        </w:rPr>
        <w:t xml:space="preserve">planned </w:t>
      </w:r>
      <w:r w:rsidRPr="00626A06">
        <w:rPr>
          <w:rFonts w:ascii="Times New Roman" w:hAnsi="Times New Roman" w:cs="Times New Roman"/>
          <w:sz w:val="24"/>
          <w:szCs w:val="24"/>
        </w:rPr>
        <w:t>meeting with TUC Representatives</w:t>
      </w:r>
      <w:r w:rsidR="00B874F7" w:rsidRPr="00626A06">
        <w:rPr>
          <w:rFonts w:ascii="Times New Roman" w:hAnsi="Times New Roman" w:cs="Times New Roman"/>
          <w:sz w:val="24"/>
          <w:szCs w:val="24"/>
        </w:rPr>
        <w:t xml:space="preserve">. </w:t>
      </w:r>
      <w:r w:rsidRPr="00626A06">
        <w:rPr>
          <w:rFonts w:ascii="Times New Roman" w:hAnsi="Times New Roman" w:cs="Times New Roman"/>
          <w:sz w:val="24"/>
          <w:szCs w:val="24"/>
        </w:rPr>
        <w:t xml:space="preserve">But </w:t>
      </w:r>
      <w:r w:rsidR="002E4D2A" w:rsidRPr="00626A06">
        <w:rPr>
          <w:rFonts w:ascii="Times New Roman" w:hAnsi="Times New Roman" w:cs="Times New Roman"/>
          <w:sz w:val="24"/>
          <w:szCs w:val="24"/>
        </w:rPr>
        <w:t xml:space="preserve">a </w:t>
      </w:r>
      <w:r w:rsidRPr="00626A06">
        <w:rPr>
          <w:rFonts w:ascii="Times New Roman" w:hAnsi="Times New Roman" w:cs="Times New Roman"/>
          <w:sz w:val="24"/>
          <w:szCs w:val="24"/>
        </w:rPr>
        <w:t>memorandum which seems to reveal</w:t>
      </w:r>
      <w:r w:rsidR="00097E3D" w:rsidRPr="00626A06">
        <w:rPr>
          <w:rFonts w:ascii="Times New Roman" w:hAnsi="Times New Roman" w:cs="Times New Roman"/>
          <w:sz w:val="24"/>
          <w:szCs w:val="24"/>
        </w:rPr>
        <w:t xml:space="preserve"> a settled</w:t>
      </w:r>
      <w:r w:rsidRPr="00626A06">
        <w:rPr>
          <w:rFonts w:ascii="Times New Roman" w:hAnsi="Times New Roman" w:cs="Times New Roman"/>
          <w:sz w:val="24"/>
          <w:szCs w:val="24"/>
        </w:rPr>
        <w:t xml:space="preserve"> Home Office view, probably directly influenced by the </w:t>
      </w:r>
      <w:proofErr w:type="spellStart"/>
      <w:r w:rsidRPr="00626A06">
        <w:rPr>
          <w:rFonts w:ascii="Times New Roman" w:hAnsi="Times New Roman" w:cs="Times New Roman"/>
          <w:sz w:val="24"/>
          <w:szCs w:val="24"/>
        </w:rPr>
        <w:t>Beveridge</w:t>
      </w:r>
      <w:proofErr w:type="spellEnd"/>
      <w:r w:rsidRPr="00626A06">
        <w:rPr>
          <w:rFonts w:ascii="Times New Roman" w:hAnsi="Times New Roman" w:cs="Times New Roman"/>
          <w:sz w:val="24"/>
          <w:szCs w:val="24"/>
        </w:rPr>
        <w:t xml:space="preserve"> line on common law claims, </w:t>
      </w:r>
      <w:r w:rsidR="00354268" w:rsidRPr="00626A06">
        <w:rPr>
          <w:rFonts w:ascii="Times New Roman" w:hAnsi="Times New Roman" w:cs="Times New Roman"/>
          <w:sz w:val="24"/>
          <w:szCs w:val="24"/>
        </w:rPr>
        <w:t>warned</w:t>
      </w:r>
      <w:r w:rsidRPr="00626A06">
        <w:rPr>
          <w:rFonts w:ascii="Times New Roman" w:hAnsi="Times New Roman" w:cs="Times New Roman"/>
          <w:sz w:val="24"/>
          <w:szCs w:val="24"/>
        </w:rPr>
        <w:t>:</w:t>
      </w:r>
      <w:r w:rsidR="00097E3D" w:rsidRPr="00626A06">
        <w:rPr>
          <w:rFonts w:ascii="Times New Roman" w:hAnsi="Times New Roman" w:cs="Times New Roman"/>
          <w:sz w:val="24"/>
          <w:szCs w:val="24"/>
          <w:vertAlign w:val="superscript"/>
        </w:rPr>
        <w:t xml:space="preserve"> </w:t>
      </w:r>
      <w:r w:rsidR="00097E3D" w:rsidRPr="00626A06">
        <w:rPr>
          <w:rFonts w:ascii="Times New Roman" w:hAnsi="Times New Roman" w:cs="Times New Roman"/>
          <w:sz w:val="24"/>
          <w:szCs w:val="24"/>
          <w:vertAlign w:val="superscript"/>
        </w:rPr>
        <w:footnoteReference w:id="100"/>
      </w:r>
    </w:p>
    <w:p w:rsidR="00B534B4" w:rsidRPr="00626A06" w:rsidRDefault="00B534B4" w:rsidP="00626A06">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The T</w:t>
      </w:r>
      <w:r w:rsidR="00354268" w:rsidRPr="00626A06">
        <w:rPr>
          <w:rFonts w:ascii="Times New Roman" w:hAnsi="Times New Roman" w:cs="Times New Roman"/>
          <w:sz w:val="24"/>
          <w:szCs w:val="24"/>
        </w:rPr>
        <w:t>.</w:t>
      </w:r>
      <w:r w:rsidRPr="00626A06">
        <w:rPr>
          <w:rFonts w:ascii="Times New Roman" w:hAnsi="Times New Roman" w:cs="Times New Roman"/>
          <w:sz w:val="24"/>
          <w:szCs w:val="24"/>
        </w:rPr>
        <w:t>U</w:t>
      </w:r>
      <w:r w:rsidR="00354268" w:rsidRPr="00626A06">
        <w:rPr>
          <w:rFonts w:ascii="Times New Roman" w:hAnsi="Times New Roman" w:cs="Times New Roman"/>
          <w:sz w:val="24"/>
          <w:szCs w:val="24"/>
        </w:rPr>
        <w:t>.</w:t>
      </w:r>
      <w:r w:rsidRPr="00626A06">
        <w:rPr>
          <w:rFonts w:ascii="Times New Roman" w:hAnsi="Times New Roman" w:cs="Times New Roman"/>
          <w:sz w:val="24"/>
          <w:szCs w:val="24"/>
        </w:rPr>
        <w:t>C</w:t>
      </w:r>
      <w:r w:rsidR="00354268" w:rsidRPr="00626A06">
        <w:rPr>
          <w:rFonts w:ascii="Times New Roman" w:hAnsi="Times New Roman" w:cs="Times New Roman"/>
          <w:sz w:val="24"/>
          <w:szCs w:val="24"/>
        </w:rPr>
        <w:t>.</w:t>
      </w:r>
      <w:r w:rsidRPr="00626A06">
        <w:rPr>
          <w:rFonts w:ascii="Times New Roman" w:hAnsi="Times New Roman" w:cs="Times New Roman"/>
          <w:sz w:val="24"/>
          <w:szCs w:val="24"/>
        </w:rPr>
        <w:t xml:space="preserve"> may well be persuaded by the argument (if the Lord Chancellor puts it forward) that the passing of Clause 3 would on the whole be a benefit to workmen.</w:t>
      </w:r>
      <w:r w:rsidR="001F01B4" w:rsidRPr="00626A06">
        <w:rPr>
          <w:rFonts w:ascii="Times New Roman" w:hAnsi="Times New Roman" w:cs="Times New Roman"/>
          <w:sz w:val="24"/>
          <w:szCs w:val="24"/>
        </w:rPr>
        <w:t xml:space="preserve"> If the T</w:t>
      </w:r>
      <w:r w:rsidR="00F76B41" w:rsidRPr="00626A06">
        <w:rPr>
          <w:rFonts w:ascii="Times New Roman" w:hAnsi="Times New Roman" w:cs="Times New Roman"/>
          <w:sz w:val="24"/>
          <w:szCs w:val="24"/>
        </w:rPr>
        <w:t>.</w:t>
      </w:r>
      <w:r w:rsidR="001F01B4" w:rsidRPr="00626A06">
        <w:rPr>
          <w:rFonts w:ascii="Times New Roman" w:hAnsi="Times New Roman" w:cs="Times New Roman"/>
          <w:sz w:val="24"/>
          <w:szCs w:val="24"/>
        </w:rPr>
        <w:t>U</w:t>
      </w:r>
      <w:r w:rsidR="00F76B41" w:rsidRPr="00626A06">
        <w:rPr>
          <w:rFonts w:ascii="Times New Roman" w:hAnsi="Times New Roman" w:cs="Times New Roman"/>
          <w:sz w:val="24"/>
          <w:szCs w:val="24"/>
        </w:rPr>
        <w:t>.</w:t>
      </w:r>
      <w:r w:rsidR="001F01B4" w:rsidRPr="00626A06">
        <w:rPr>
          <w:rFonts w:ascii="Times New Roman" w:hAnsi="Times New Roman" w:cs="Times New Roman"/>
          <w:sz w:val="24"/>
          <w:szCs w:val="24"/>
        </w:rPr>
        <w:t>C</w:t>
      </w:r>
      <w:r w:rsidR="00F76B41" w:rsidRPr="00626A06">
        <w:rPr>
          <w:rFonts w:ascii="Times New Roman" w:hAnsi="Times New Roman" w:cs="Times New Roman"/>
          <w:sz w:val="24"/>
          <w:szCs w:val="24"/>
        </w:rPr>
        <w:t>.</w:t>
      </w:r>
      <w:r w:rsidR="001F01B4" w:rsidRPr="00626A06">
        <w:rPr>
          <w:rFonts w:ascii="Times New Roman" w:hAnsi="Times New Roman" w:cs="Times New Roman"/>
          <w:sz w:val="24"/>
          <w:szCs w:val="24"/>
        </w:rPr>
        <w:t xml:space="preserve"> </w:t>
      </w:r>
      <w:proofErr w:type="gramStart"/>
      <w:r w:rsidR="001F01B4" w:rsidRPr="00626A06">
        <w:rPr>
          <w:rFonts w:ascii="Times New Roman" w:hAnsi="Times New Roman" w:cs="Times New Roman"/>
          <w:sz w:val="24"/>
          <w:szCs w:val="24"/>
        </w:rPr>
        <w:t>take</w:t>
      </w:r>
      <w:proofErr w:type="gramEnd"/>
      <w:r w:rsidR="001F01B4" w:rsidRPr="00626A06">
        <w:rPr>
          <w:rFonts w:ascii="Times New Roman" w:hAnsi="Times New Roman" w:cs="Times New Roman"/>
          <w:sz w:val="24"/>
          <w:szCs w:val="24"/>
        </w:rPr>
        <w:t xml:space="preserve"> this view, will it not be more difficult for the Lord Chancellor and the Government to adopt the Home Office view that clause 3 should not apply at all to workmen against employers? If the arguments mentioned in the Home Office letter, and discussed yesterday (the fact that the negotiations with the employers and insurance companies ought not to be prejudiced by a change in the law at this stage) are to prevail, I should have thought that a meeting between the Lord Chancellor and the T.U.C. might prove embarrassing.</w:t>
      </w:r>
      <w:r w:rsidRPr="00626A06">
        <w:rPr>
          <w:rFonts w:ascii="Times New Roman" w:hAnsi="Times New Roman" w:cs="Times New Roman"/>
          <w:sz w:val="24"/>
          <w:szCs w:val="24"/>
        </w:rPr>
        <w:t xml:space="preserve"> </w:t>
      </w:r>
    </w:p>
    <w:p w:rsidR="00E27AF5" w:rsidRPr="00626A06" w:rsidRDefault="00FE2ED4"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lastRenderedPageBreak/>
        <w:t xml:space="preserve">The question of contributory negligence and the status of workers within the proposed reform </w:t>
      </w:r>
      <w:proofErr w:type="gramStart"/>
      <w:r w:rsidRPr="00626A06">
        <w:rPr>
          <w:rFonts w:ascii="Times New Roman" w:hAnsi="Times New Roman" w:cs="Times New Roman"/>
          <w:sz w:val="24"/>
          <w:szCs w:val="24"/>
        </w:rPr>
        <w:t>was</w:t>
      </w:r>
      <w:proofErr w:type="gramEnd"/>
      <w:r w:rsidRPr="00626A06">
        <w:rPr>
          <w:rFonts w:ascii="Times New Roman" w:hAnsi="Times New Roman" w:cs="Times New Roman"/>
          <w:sz w:val="24"/>
          <w:szCs w:val="24"/>
        </w:rPr>
        <w:t xml:space="preserve"> instead </w:t>
      </w:r>
      <w:r w:rsidR="00354268" w:rsidRPr="00626A06">
        <w:rPr>
          <w:rFonts w:ascii="Times New Roman" w:hAnsi="Times New Roman" w:cs="Times New Roman"/>
          <w:sz w:val="24"/>
          <w:szCs w:val="24"/>
        </w:rPr>
        <w:t xml:space="preserve">referred for </w:t>
      </w:r>
      <w:r w:rsidRPr="00626A06">
        <w:rPr>
          <w:rFonts w:ascii="Times New Roman" w:hAnsi="Times New Roman" w:cs="Times New Roman"/>
          <w:sz w:val="24"/>
          <w:szCs w:val="24"/>
        </w:rPr>
        <w:t xml:space="preserve">negotiation </w:t>
      </w:r>
      <w:r w:rsidR="00354268" w:rsidRPr="00626A06">
        <w:rPr>
          <w:rFonts w:ascii="Times New Roman" w:hAnsi="Times New Roman" w:cs="Times New Roman"/>
          <w:sz w:val="24"/>
          <w:szCs w:val="24"/>
        </w:rPr>
        <w:t>(</w:t>
      </w:r>
      <w:r w:rsidR="00AF5D89" w:rsidRPr="00626A06">
        <w:rPr>
          <w:rFonts w:ascii="Times New Roman" w:hAnsi="Times New Roman" w:cs="Times New Roman"/>
          <w:sz w:val="24"/>
          <w:szCs w:val="24"/>
        </w:rPr>
        <w:t>as the memorandum accurately described it</w:t>
      </w:r>
      <w:r w:rsidR="00354268" w:rsidRPr="00626A06">
        <w:rPr>
          <w:rFonts w:ascii="Times New Roman" w:hAnsi="Times New Roman" w:cs="Times New Roman"/>
          <w:sz w:val="24"/>
          <w:szCs w:val="24"/>
        </w:rPr>
        <w:t>)</w:t>
      </w:r>
      <w:r w:rsidRPr="00626A06">
        <w:rPr>
          <w:rFonts w:ascii="Times New Roman" w:hAnsi="Times New Roman" w:cs="Times New Roman"/>
          <w:sz w:val="24"/>
          <w:szCs w:val="24"/>
        </w:rPr>
        <w:t xml:space="preserve"> </w:t>
      </w:r>
      <w:r w:rsidR="00F76B41" w:rsidRPr="00626A06">
        <w:rPr>
          <w:rFonts w:ascii="Times New Roman" w:hAnsi="Times New Roman" w:cs="Times New Roman"/>
          <w:sz w:val="24"/>
          <w:szCs w:val="24"/>
        </w:rPr>
        <w:t>to</w:t>
      </w:r>
      <w:r w:rsidR="00AF5D89" w:rsidRPr="00626A06">
        <w:rPr>
          <w:rFonts w:ascii="Times New Roman" w:hAnsi="Times New Roman" w:cs="Times New Roman"/>
          <w:sz w:val="24"/>
          <w:szCs w:val="24"/>
        </w:rPr>
        <w:t xml:space="preserve"> </w:t>
      </w:r>
      <w:r w:rsidRPr="00626A06">
        <w:rPr>
          <w:rFonts w:ascii="Times New Roman" w:hAnsi="Times New Roman" w:cs="Times New Roman"/>
          <w:sz w:val="24"/>
          <w:szCs w:val="24"/>
        </w:rPr>
        <w:t>the Monckton Committee.</w:t>
      </w:r>
      <w:r w:rsidR="00354268" w:rsidRPr="00626A06">
        <w:rPr>
          <w:rFonts w:ascii="Times New Roman" w:hAnsi="Times New Roman" w:cs="Times New Roman"/>
          <w:sz w:val="24"/>
          <w:szCs w:val="24"/>
        </w:rPr>
        <w:t xml:space="preserve"> T</w:t>
      </w:r>
      <w:r w:rsidRPr="00626A06">
        <w:rPr>
          <w:rFonts w:ascii="Times New Roman" w:hAnsi="Times New Roman" w:cs="Times New Roman"/>
          <w:sz w:val="24"/>
          <w:szCs w:val="24"/>
        </w:rPr>
        <w:t xml:space="preserve">he issue of concern to the Home Office was the </w:t>
      </w:r>
      <w:r w:rsidR="007D61EF" w:rsidRPr="00626A06">
        <w:rPr>
          <w:rFonts w:ascii="Times New Roman" w:hAnsi="Times New Roman" w:cs="Times New Roman"/>
          <w:sz w:val="24"/>
          <w:szCs w:val="24"/>
        </w:rPr>
        <w:t xml:space="preserve">very </w:t>
      </w:r>
      <w:r w:rsidRPr="00626A06">
        <w:rPr>
          <w:rFonts w:ascii="Times New Roman" w:hAnsi="Times New Roman" w:cs="Times New Roman"/>
          <w:sz w:val="24"/>
          <w:szCs w:val="24"/>
        </w:rPr>
        <w:t>status of the law of tort in relation to workmen in the context of plans for the post-War welfare state</w:t>
      </w:r>
      <w:r w:rsidR="002D5050" w:rsidRPr="00626A06">
        <w:rPr>
          <w:rFonts w:ascii="Times New Roman" w:hAnsi="Times New Roman" w:cs="Times New Roman"/>
          <w:sz w:val="24"/>
          <w:szCs w:val="24"/>
        </w:rPr>
        <w:t>, and the effect Lord Simon’s reform might have on attitudes to it</w:t>
      </w:r>
      <w:r w:rsidRPr="00626A06">
        <w:rPr>
          <w:rFonts w:ascii="Times New Roman" w:hAnsi="Times New Roman" w:cs="Times New Roman"/>
          <w:sz w:val="24"/>
          <w:szCs w:val="24"/>
        </w:rPr>
        <w:t>.</w:t>
      </w:r>
    </w:p>
    <w:p w:rsidR="00AF4BE2" w:rsidRPr="00626A06" w:rsidRDefault="00AF4BE2"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Lord Simon </w:t>
      </w:r>
      <w:r w:rsidR="00156BC6" w:rsidRPr="00626A06">
        <w:rPr>
          <w:rFonts w:ascii="Times New Roman" w:hAnsi="Times New Roman" w:cs="Times New Roman"/>
          <w:sz w:val="24"/>
          <w:szCs w:val="24"/>
        </w:rPr>
        <w:t xml:space="preserve">met with </w:t>
      </w:r>
      <w:r w:rsidR="006F2D9C" w:rsidRPr="00626A06">
        <w:rPr>
          <w:rFonts w:ascii="Times New Roman" w:hAnsi="Times New Roman" w:cs="Times New Roman"/>
          <w:sz w:val="24"/>
          <w:szCs w:val="24"/>
        </w:rPr>
        <w:t xml:space="preserve">members of </w:t>
      </w:r>
      <w:r w:rsidR="00156BC6" w:rsidRPr="00626A06">
        <w:rPr>
          <w:rFonts w:ascii="Times New Roman" w:hAnsi="Times New Roman" w:cs="Times New Roman"/>
          <w:sz w:val="24"/>
          <w:szCs w:val="24"/>
        </w:rPr>
        <w:t xml:space="preserve">the </w:t>
      </w:r>
      <w:r w:rsidR="00354268" w:rsidRPr="00626A06">
        <w:rPr>
          <w:rFonts w:ascii="Times New Roman" w:hAnsi="Times New Roman" w:cs="Times New Roman"/>
          <w:sz w:val="24"/>
          <w:szCs w:val="24"/>
        </w:rPr>
        <w:t xml:space="preserve">Monckton </w:t>
      </w:r>
      <w:r w:rsidRPr="00626A06">
        <w:rPr>
          <w:rFonts w:ascii="Times New Roman" w:hAnsi="Times New Roman" w:cs="Times New Roman"/>
          <w:sz w:val="24"/>
          <w:szCs w:val="24"/>
        </w:rPr>
        <w:t>Committee</w:t>
      </w:r>
      <w:r w:rsidR="008F5348" w:rsidRPr="00626A06">
        <w:rPr>
          <w:rFonts w:ascii="Times New Roman" w:hAnsi="Times New Roman" w:cs="Times New Roman"/>
          <w:sz w:val="24"/>
          <w:szCs w:val="24"/>
        </w:rPr>
        <w:t xml:space="preserve">, </w:t>
      </w:r>
      <w:r w:rsidR="00354268" w:rsidRPr="00626A06">
        <w:rPr>
          <w:rFonts w:ascii="Times New Roman" w:hAnsi="Times New Roman" w:cs="Times New Roman"/>
          <w:sz w:val="24"/>
          <w:szCs w:val="24"/>
        </w:rPr>
        <w:t xml:space="preserve">and it is possible to discern in </w:t>
      </w:r>
      <w:r w:rsidR="008F5348" w:rsidRPr="00626A06">
        <w:rPr>
          <w:rFonts w:ascii="Times New Roman" w:hAnsi="Times New Roman" w:cs="Times New Roman"/>
          <w:sz w:val="24"/>
          <w:szCs w:val="24"/>
        </w:rPr>
        <w:t xml:space="preserve">the detailed memorandum of this meeting </w:t>
      </w:r>
      <w:r w:rsidR="00354268" w:rsidRPr="00626A06">
        <w:rPr>
          <w:rFonts w:ascii="Times New Roman" w:hAnsi="Times New Roman" w:cs="Times New Roman"/>
          <w:sz w:val="24"/>
          <w:szCs w:val="24"/>
        </w:rPr>
        <w:t>something of a culture clash</w:t>
      </w:r>
      <w:r w:rsidR="004C7ECD" w:rsidRPr="00626A06">
        <w:rPr>
          <w:rFonts w:ascii="Times New Roman" w:hAnsi="Times New Roman" w:cs="Times New Roman"/>
          <w:sz w:val="24"/>
          <w:szCs w:val="24"/>
        </w:rPr>
        <w:t>.</w:t>
      </w:r>
      <w:r w:rsidR="004C7ECD" w:rsidRPr="00626A06">
        <w:rPr>
          <w:rStyle w:val="FootnoteReference"/>
          <w:rFonts w:ascii="Times New Roman" w:hAnsi="Times New Roman" w:cs="Times New Roman"/>
          <w:sz w:val="24"/>
          <w:szCs w:val="24"/>
        </w:rPr>
        <w:footnoteReference w:id="101"/>
      </w:r>
      <w:r w:rsidR="004C7ECD" w:rsidRPr="00626A06">
        <w:rPr>
          <w:rFonts w:ascii="Times New Roman" w:hAnsi="Times New Roman" w:cs="Times New Roman"/>
          <w:sz w:val="24"/>
          <w:szCs w:val="24"/>
        </w:rPr>
        <w:t xml:space="preserve"> </w:t>
      </w:r>
      <w:r w:rsidR="008F5348" w:rsidRPr="00626A06">
        <w:rPr>
          <w:rFonts w:ascii="Times New Roman" w:hAnsi="Times New Roman" w:cs="Times New Roman"/>
          <w:sz w:val="24"/>
          <w:szCs w:val="24"/>
        </w:rPr>
        <w:t xml:space="preserve">The Committee may have been representative, but it still contained a great deal of legal experience. </w:t>
      </w:r>
      <w:r w:rsidR="00354268" w:rsidRPr="00626A06">
        <w:rPr>
          <w:rFonts w:ascii="Times New Roman" w:hAnsi="Times New Roman" w:cs="Times New Roman"/>
          <w:sz w:val="24"/>
          <w:szCs w:val="24"/>
        </w:rPr>
        <w:t xml:space="preserve">Lord Simon did his best to deal with a </w:t>
      </w:r>
      <w:r w:rsidR="00475887" w:rsidRPr="00626A06">
        <w:rPr>
          <w:rFonts w:ascii="Times New Roman" w:hAnsi="Times New Roman" w:cs="Times New Roman"/>
          <w:sz w:val="24"/>
          <w:szCs w:val="24"/>
        </w:rPr>
        <w:t xml:space="preserve">wide </w:t>
      </w:r>
      <w:r w:rsidR="00354268" w:rsidRPr="00626A06">
        <w:rPr>
          <w:rFonts w:ascii="Times New Roman" w:hAnsi="Times New Roman" w:cs="Times New Roman"/>
          <w:sz w:val="24"/>
          <w:szCs w:val="24"/>
        </w:rPr>
        <w:t xml:space="preserve">range of detailed questions </w:t>
      </w:r>
      <w:r w:rsidR="006F2D9C" w:rsidRPr="00626A06">
        <w:rPr>
          <w:rFonts w:ascii="Times New Roman" w:hAnsi="Times New Roman" w:cs="Times New Roman"/>
          <w:sz w:val="24"/>
          <w:szCs w:val="24"/>
        </w:rPr>
        <w:t xml:space="preserve">but </w:t>
      </w:r>
      <w:r w:rsidR="00354268" w:rsidRPr="00626A06">
        <w:rPr>
          <w:rFonts w:ascii="Times New Roman" w:hAnsi="Times New Roman" w:cs="Times New Roman"/>
          <w:sz w:val="24"/>
          <w:szCs w:val="24"/>
        </w:rPr>
        <w:t xml:space="preserve">also </w:t>
      </w:r>
      <w:r w:rsidR="00F76B41" w:rsidRPr="00626A06">
        <w:rPr>
          <w:rFonts w:ascii="Times New Roman" w:hAnsi="Times New Roman" w:cs="Times New Roman"/>
          <w:sz w:val="24"/>
          <w:szCs w:val="24"/>
        </w:rPr>
        <w:t xml:space="preserve">continued </w:t>
      </w:r>
      <w:r w:rsidR="00354268" w:rsidRPr="00626A06">
        <w:rPr>
          <w:rFonts w:ascii="Times New Roman" w:hAnsi="Times New Roman" w:cs="Times New Roman"/>
          <w:sz w:val="24"/>
          <w:szCs w:val="24"/>
        </w:rPr>
        <w:t xml:space="preserve">to return to the core or ‘ordinary’ instance of a </w:t>
      </w:r>
      <w:r w:rsidR="006F2D9C" w:rsidRPr="00626A06">
        <w:rPr>
          <w:rFonts w:ascii="Times New Roman" w:hAnsi="Times New Roman" w:cs="Times New Roman"/>
          <w:sz w:val="24"/>
          <w:szCs w:val="24"/>
        </w:rPr>
        <w:t>woman</w:t>
      </w:r>
      <w:r w:rsidR="00354268" w:rsidRPr="00626A06">
        <w:rPr>
          <w:rFonts w:ascii="Times New Roman" w:hAnsi="Times New Roman" w:cs="Times New Roman"/>
          <w:sz w:val="24"/>
          <w:szCs w:val="24"/>
        </w:rPr>
        <w:t xml:space="preserve"> being knocked over by a car. </w:t>
      </w:r>
      <w:r w:rsidR="008F5348" w:rsidRPr="00626A06">
        <w:rPr>
          <w:rFonts w:ascii="Times New Roman" w:hAnsi="Times New Roman" w:cs="Times New Roman"/>
          <w:sz w:val="24"/>
          <w:szCs w:val="24"/>
        </w:rPr>
        <w:t>The first question put by the Chairman was, quite simply, ‘whether the liability intended [in clause 1] was the liability to pay damages or the liability to bear the consequences of the act which resulted in the damage’.</w:t>
      </w:r>
      <w:r w:rsidR="008F5348" w:rsidRPr="00626A06">
        <w:rPr>
          <w:rFonts w:ascii="Times New Roman" w:hAnsi="Times New Roman" w:cs="Times New Roman"/>
          <w:sz w:val="24"/>
          <w:szCs w:val="24"/>
          <w:vertAlign w:val="superscript"/>
        </w:rPr>
        <w:footnoteReference w:id="102"/>
      </w:r>
      <w:r w:rsidR="008F5348" w:rsidRPr="00626A06">
        <w:rPr>
          <w:rFonts w:ascii="Times New Roman" w:hAnsi="Times New Roman" w:cs="Times New Roman"/>
          <w:sz w:val="24"/>
          <w:szCs w:val="24"/>
        </w:rPr>
        <w:t xml:space="preserve"> This question led Lord Simon to realise that the terms of the reform needed changing.</w:t>
      </w:r>
      <w:r w:rsidR="00D34E49" w:rsidRPr="00626A06">
        <w:rPr>
          <w:rFonts w:ascii="Times New Roman" w:hAnsi="Times New Roman" w:cs="Times New Roman"/>
          <w:sz w:val="24"/>
          <w:szCs w:val="24"/>
          <w:vertAlign w:val="superscript"/>
        </w:rPr>
        <w:t xml:space="preserve"> </w:t>
      </w:r>
      <w:r w:rsidR="00D34E49" w:rsidRPr="00626A06">
        <w:rPr>
          <w:rFonts w:ascii="Times New Roman" w:hAnsi="Times New Roman" w:cs="Times New Roman"/>
          <w:sz w:val="24"/>
          <w:szCs w:val="24"/>
          <w:vertAlign w:val="superscript"/>
        </w:rPr>
        <w:footnoteReference w:id="103"/>
      </w:r>
      <w:r w:rsidR="008F5348" w:rsidRPr="00626A06">
        <w:rPr>
          <w:rFonts w:ascii="Times New Roman" w:hAnsi="Times New Roman" w:cs="Times New Roman"/>
          <w:sz w:val="24"/>
          <w:szCs w:val="24"/>
        </w:rPr>
        <w:t xml:space="preserve"> </w:t>
      </w:r>
      <w:r w:rsidRPr="00626A06">
        <w:rPr>
          <w:rFonts w:ascii="Times New Roman" w:hAnsi="Times New Roman" w:cs="Times New Roman"/>
          <w:sz w:val="24"/>
          <w:szCs w:val="24"/>
        </w:rPr>
        <w:t xml:space="preserve">On the </w:t>
      </w:r>
      <w:r w:rsidR="00D34E49" w:rsidRPr="00626A06">
        <w:rPr>
          <w:rFonts w:ascii="Times New Roman" w:hAnsi="Times New Roman" w:cs="Times New Roman"/>
          <w:sz w:val="24"/>
          <w:szCs w:val="24"/>
        </w:rPr>
        <w:t xml:space="preserve">other </w:t>
      </w:r>
      <w:r w:rsidRPr="00626A06">
        <w:rPr>
          <w:rFonts w:ascii="Times New Roman" w:hAnsi="Times New Roman" w:cs="Times New Roman"/>
          <w:sz w:val="24"/>
          <w:szCs w:val="24"/>
        </w:rPr>
        <w:t xml:space="preserve">hand, the result </w:t>
      </w:r>
      <w:r w:rsidR="004C7ECD" w:rsidRPr="00626A06">
        <w:rPr>
          <w:rFonts w:ascii="Times New Roman" w:hAnsi="Times New Roman" w:cs="Times New Roman"/>
          <w:sz w:val="24"/>
          <w:szCs w:val="24"/>
        </w:rPr>
        <w:t xml:space="preserve">of this meeting and subsequent discussion </w:t>
      </w:r>
      <w:r w:rsidRPr="00626A06">
        <w:rPr>
          <w:rFonts w:ascii="Times New Roman" w:hAnsi="Times New Roman" w:cs="Times New Roman"/>
          <w:sz w:val="24"/>
          <w:szCs w:val="24"/>
        </w:rPr>
        <w:t>was a unanimous Report</w:t>
      </w:r>
      <w:r w:rsidR="003E2133" w:rsidRPr="00626A06">
        <w:rPr>
          <w:rFonts w:ascii="Times New Roman" w:hAnsi="Times New Roman" w:cs="Times New Roman"/>
          <w:sz w:val="24"/>
          <w:szCs w:val="24"/>
        </w:rPr>
        <w:t xml:space="preserve"> ad</w:t>
      </w:r>
      <w:r w:rsidRPr="00626A06">
        <w:rPr>
          <w:rFonts w:ascii="Times New Roman" w:hAnsi="Times New Roman" w:cs="Times New Roman"/>
          <w:sz w:val="24"/>
          <w:szCs w:val="24"/>
        </w:rPr>
        <w:t>vising that employee claims should indeed be omitted from the reform</w:t>
      </w:r>
      <w:r w:rsidR="00AF5D89" w:rsidRPr="00626A06">
        <w:rPr>
          <w:rFonts w:ascii="Times New Roman" w:hAnsi="Times New Roman" w:cs="Times New Roman"/>
          <w:sz w:val="24"/>
          <w:szCs w:val="24"/>
        </w:rPr>
        <w:t>.</w:t>
      </w:r>
      <w:r w:rsidR="00354A8F" w:rsidRPr="00626A06">
        <w:rPr>
          <w:rStyle w:val="FootnoteReference"/>
          <w:rFonts w:ascii="Times New Roman" w:hAnsi="Times New Roman" w:cs="Times New Roman"/>
          <w:sz w:val="24"/>
          <w:szCs w:val="24"/>
        </w:rPr>
        <w:footnoteReference w:id="104"/>
      </w:r>
      <w:r w:rsidR="003E2133" w:rsidRPr="00626A06">
        <w:rPr>
          <w:rFonts w:ascii="Times New Roman" w:hAnsi="Times New Roman" w:cs="Times New Roman"/>
          <w:sz w:val="24"/>
          <w:szCs w:val="24"/>
        </w:rPr>
        <w:t xml:space="preserve"> </w:t>
      </w:r>
      <w:r w:rsidR="00AB2E12" w:rsidRPr="00626A06">
        <w:rPr>
          <w:rFonts w:ascii="Times New Roman" w:hAnsi="Times New Roman" w:cs="Times New Roman"/>
          <w:sz w:val="24"/>
          <w:szCs w:val="24"/>
        </w:rPr>
        <w:t xml:space="preserve"> </w:t>
      </w:r>
    </w:p>
    <w:p w:rsidR="00D7214D" w:rsidRPr="00626A06" w:rsidRDefault="003E2133"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The</w:t>
      </w:r>
      <w:r w:rsidR="00841AEF" w:rsidRPr="00626A06">
        <w:rPr>
          <w:rFonts w:ascii="Times New Roman" w:hAnsi="Times New Roman" w:cs="Times New Roman"/>
          <w:sz w:val="24"/>
          <w:szCs w:val="24"/>
        </w:rPr>
        <w:t xml:space="preserve"> </w:t>
      </w:r>
      <w:r w:rsidRPr="00626A06">
        <w:rPr>
          <w:rFonts w:ascii="Times New Roman" w:hAnsi="Times New Roman" w:cs="Times New Roman"/>
          <w:sz w:val="24"/>
          <w:szCs w:val="24"/>
        </w:rPr>
        <w:t>redrafted Bill was</w:t>
      </w:r>
      <w:r w:rsidR="001D5B34" w:rsidRPr="00626A06">
        <w:rPr>
          <w:rFonts w:ascii="Times New Roman" w:hAnsi="Times New Roman" w:cs="Times New Roman"/>
          <w:sz w:val="24"/>
          <w:szCs w:val="24"/>
        </w:rPr>
        <w:t xml:space="preserve"> therefore</w:t>
      </w:r>
      <w:r w:rsidRPr="00626A06">
        <w:rPr>
          <w:rFonts w:ascii="Times New Roman" w:hAnsi="Times New Roman" w:cs="Times New Roman"/>
          <w:sz w:val="24"/>
          <w:szCs w:val="24"/>
        </w:rPr>
        <w:t xml:space="preserve"> put to Parliament with a provision </w:t>
      </w:r>
      <w:r w:rsidR="008D11E2" w:rsidRPr="00626A06">
        <w:rPr>
          <w:rFonts w:ascii="Times New Roman" w:hAnsi="Times New Roman" w:cs="Times New Roman"/>
          <w:sz w:val="24"/>
          <w:szCs w:val="24"/>
        </w:rPr>
        <w:t xml:space="preserve">(Clause 2) </w:t>
      </w:r>
      <w:r w:rsidRPr="00626A06">
        <w:rPr>
          <w:rFonts w:ascii="Times New Roman" w:hAnsi="Times New Roman" w:cs="Times New Roman"/>
          <w:sz w:val="24"/>
          <w:szCs w:val="24"/>
        </w:rPr>
        <w:t xml:space="preserve">excluding employee claims against employers from the reform. </w:t>
      </w:r>
      <w:r w:rsidR="006F2D9C" w:rsidRPr="00626A06">
        <w:rPr>
          <w:rFonts w:ascii="Times New Roman" w:hAnsi="Times New Roman" w:cs="Times New Roman"/>
          <w:sz w:val="24"/>
          <w:szCs w:val="24"/>
        </w:rPr>
        <w:t xml:space="preserve">As might be </w:t>
      </w:r>
      <w:r w:rsidRPr="00626A06">
        <w:rPr>
          <w:rFonts w:ascii="Times New Roman" w:hAnsi="Times New Roman" w:cs="Times New Roman"/>
          <w:sz w:val="24"/>
          <w:szCs w:val="24"/>
        </w:rPr>
        <w:t xml:space="preserve">expected, this proved impossible to justify before the House of Commons once the value of the reform in general was set out. </w:t>
      </w:r>
      <w:r w:rsidR="006F2D9C" w:rsidRPr="00626A06">
        <w:rPr>
          <w:rFonts w:ascii="Times New Roman" w:hAnsi="Times New Roman" w:cs="Times New Roman"/>
          <w:sz w:val="24"/>
          <w:szCs w:val="24"/>
        </w:rPr>
        <w:t>The debates were feisty at points, with references to ‘suspicions’ being intensified that the Government would be seeking to abolish workers’ common law rights altogether.</w:t>
      </w:r>
      <w:r w:rsidR="006F2D9C" w:rsidRPr="00626A06">
        <w:rPr>
          <w:rStyle w:val="FootnoteReference"/>
          <w:rFonts w:ascii="Times New Roman" w:hAnsi="Times New Roman" w:cs="Times New Roman"/>
          <w:sz w:val="24"/>
          <w:szCs w:val="24"/>
        </w:rPr>
        <w:footnoteReference w:id="105"/>
      </w:r>
      <w:r w:rsidR="006F2D9C" w:rsidRPr="00626A06">
        <w:rPr>
          <w:rFonts w:ascii="Times New Roman" w:hAnsi="Times New Roman" w:cs="Times New Roman"/>
          <w:sz w:val="24"/>
          <w:szCs w:val="24"/>
        </w:rPr>
        <w:t xml:space="preserve"> Ness Edwards (MP for Caerphilly) argued that in light of the </w:t>
      </w:r>
      <w:proofErr w:type="spellStart"/>
      <w:r w:rsidR="006F2D9C" w:rsidRPr="00626A06">
        <w:rPr>
          <w:rFonts w:ascii="Times New Roman" w:hAnsi="Times New Roman" w:cs="Times New Roman"/>
          <w:sz w:val="24"/>
          <w:szCs w:val="24"/>
        </w:rPr>
        <w:t>Beveridge</w:t>
      </w:r>
      <w:proofErr w:type="spellEnd"/>
      <w:r w:rsidR="006F2D9C" w:rsidRPr="00626A06">
        <w:rPr>
          <w:rFonts w:ascii="Times New Roman" w:hAnsi="Times New Roman" w:cs="Times New Roman"/>
          <w:sz w:val="24"/>
          <w:szCs w:val="24"/>
        </w:rPr>
        <w:t xml:space="preserve"> Report and the present Bill, ‘we are steadily being led on to a position which, in the new political circumstances, might offer the opportunity of completely cancelling the worker’s common law rights’. The Miners’ Federation, he explained, ‘have the greatest apprehension as to the </w:t>
      </w:r>
      <w:r w:rsidR="006F2D9C" w:rsidRPr="00626A06">
        <w:rPr>
          <w:rFonts w:ascii="Times New Roman" w:hAnsi="Times New Roman" w:cs="Times New Roman"/>
          <w:sz w:val="24"/>
          <w:szCs w:val="24"/>
        </w:rPr>
        <w:lastRenderedPageBreak/>
        <w:t xml:space="preserve">tendency of this legislation’. </w:t>
      </w:r>
      <w:r w:rsidR="000B00C2" w:rsidRPr="00626A06">
        <w:rPr>
          <w:rFonts w:ascii="Times New Roman" w:hAnsi="Times New Roman" w:cs="Times New Roman"/>
          <w:sz w:val="24"/>
          <w:szCs w:val="24"/>
        </w:rPr>
        <w:t xml:space="preserve">The </w:t>
      </w:r>
      <w:r w:rsidR="00D7214D" w:rsidRPr="00626A06">
        <w:rPr>
          <w:rFonts w:ascii="Times New Roman" w:hAnsi="Times New Roman" w:cs="Times New Roman"/>
          <w:sz w:val="24"/>
          <w:szCs w:val="24"/>
        </w:rPr>
        <w:t xml:space="preserve">intentions toward common law associated with the </w:t>
      </w:r>
      <w:proofErr w:type="spellStart"/>
      <w:r w:rsidR="00D7214D" w:rsidRPr="00626A06">
        <w:rPr>
          <w:rFonts w:ascii="Times New Roman" w:hAnsi="Times New Roman" w:cs="Times New Roman"/>
          <w:sz w:val="24"/>
          <w:szCs w:val="24"/>
        </w:rPr>
        <w:t>Beveridge</w:t>
      </w:r>
      <w:proofErr w:type="spellEnd"/>
      <w:r w:rsidR="00D7214D" w:rsidRPr="00626A06">
        <w:rPr>
          <w:rFonts w:ascii="Times New Roman" w:hAnsi="Times New Roman" w:cs="Times New Roman"/>
          <w:sz w:val="24"/>
          <w:szCs w:val="24"/>
        </w:rPr>
        <w:t xml:space="preserve"> Report were </w:t>
      </w:r>
      <w:r w:rsidR="001D5B34" w:rsidRPr="00626A06">
        <w:rPr>
          <w:rFonts w:ascii="Times New Roman" w:hAnsi="Times New Roman" w:cs="Times New Roman"/>
          <w:sz w:val="24"/>
          <w:szCs w:val="24"/>
        </w:rPr>
        <w:t xml:space="preserve">thus </w:t>
      </w:r>
      <w:r w:rsidR="00D7214D" w:rsidRPr="00626A06">
        <w:rPr>
          <w:rFonts w:ascii="Times New Roman" w:hAnsi="Times New Roman" w:cs="Times New Roman"/>
          <w:sz w:val="24"/>
          <w:szCs w:val="24"/>
        </w:rPr>
        <w:t>brought into the spotlight. Ness Edwards stated the view that ‘</w:t>
      </w:r>
      <w:r w:rsidR="00EC0373">
        <w:rPr>
          <w:rFonts w:ascii="Times New Roman" w:hAnsi="Times New Roman" w:cs="Times New Roman"/>
          <w:sz w:val="24"/>
          <w:szCs w:val="24"/>
        </w:rPr>
        <w:t>[</w:t>
      </w:r>
      <w:proofErr w:type="spellStart"/>
      <w:r w:rsidR="00EC0373">
        <w:rPr>
          <w:rFonts w:ascii="Times New Roman" w:hAnsi="Times New Roman" w:cs="Times New Roman"/>
          <w:sz w:val="24"/>
          <w:szCs w:val="24"/>
        </w:rPr>
        <w:t>i</w:t>
      </w:r>
      <w:proofErr w:type="spellEnd"/>
      <w:r w:rsidR="00EC0373">
        <w:rPr>
          <w:rFonts w:ascii="Times New Roman" w:hAnsi="Times New Roman" w:cs="Times New Roman"/>
          <w:sz w:val="24"/>
          <w:szCs w:val="24"/>
        </w:rPr>
        <w:t>]</w:t>
      </w:r>
      <w:r w:rsidR="00D7214D" w:rsidRPr="00626A06">
        <w:rPr>
          <w:rFonts w:ascii="Times New Roman" w:hAnsi="Times New Roman" w:cs="Times New Roman"/>
          <w:sz w:val="24"/>
          <w:szCs w:val="24"/>
        </w:rPr>
        <w:t xml:space="preserve">n the </w:t>
      </w:r>
      <w:proofErr w:type="spellStart"/>
      <w:r w:rsidR="00D7214D" w:rsidRPr="00626A06">
        <w:rPr>
          <w:rFonts w:ascii="Times New Roman" w:hAnsi="Times New Roman" w:cs="Times New Roman"/>
          <w:sz w:val="24"/>
          <w:szCs w:val="24"/>
        </w:rPr>
        <w:t>Beveridge</w:t>
      </w:r>
      <w:proofErr w:type="spellEnd"/>
      <w:r w:rsidR="00D7214D" w:rsidRPr="00626A06">
        <w:rPr>
          <w:rFonts w:ascii="Times New Roman" w:hAnsi="Times New Roman" w:cs="Times New Roman"/>
          <w:sz w:val="24"/>
          <w:szCs w:val="24"/>
        </w:rPr>
        <w:t xml:space="preserve"> Report there was a proposal to abolish the common law rights of the workman but, in our view, the common law rights of the workman are the only penalty on the bad employer’.</w:t>
      </w:r>
      <w:r w:rsidR="008D11E2" w:rsidRPr="00626A06">
        <w:rPr>
          <w:rFonts w:ascii="Times New Roman" w:hAnsi="Times New Roman" w:cs="Times New Roman"/>
          <w:sz w:val="24"/>
          <w:szCs w:val="24"/>
        </w:rPr>
        <w:t xml:space="preserve"> </w:t>
      </w:r>
    </w:p>
    <w:p w:rsidR="00907164" w:rsidRPr="00626A06" w:rsidRDefault="000756BC"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As a consequence of the Parliamentary debates, a</w:t>
      </w:r>
      <w:r w:rsidR="00831B63" w:rsidRPr="00626A06">
        <w:rPr>
          <w:rFonts w:ascii="Times New Roman" w:hAnsi="Times New Roman" w:cs="Times New Roman"/>
          <w:sz w:val="24"/>
          <w:szCs w:val="24"/>
        </w:rPr>
        <w:t xml:space="preserve">n official </w:t>
      </w:r>
      <w:r w:rsidR="003E2133" w:rsidRPr="00626A06">
        <w:rPr>
          <w:rFonts w:ascii="Times New Roman" w:hAnsi="Times New Roman" w:cs="Times New Roman"/>
          <w:sz w:val="24"/>
          <w:szCs w:val="24"/>
        </w:rPr>
        <w:t xml:space="preserve">Labour party policy </w:t>
      </w:r>
      <w:r w:rsidR="00AF7E9E" w:rsidRPr="00626A06">
        <w:rPr>
          <w:rFonts w:ascii="Times New Roman" w:hAnsi="Times New Roman" w:cs="Times New Roman"/>
          <w:sz w:val="24"/>
          <w:szCs w:val="24"/>
        </w:rPr>
        <w:t>against the exclusion of employee claims w</w:t>
      </w:r>
      <w:r w:rsidR="00831B63" w:rsidRPr="00626A06">
        <w:rPr>
          <w:rFonts w:ascii="Times New Roman" w:hAnsi="Times New Roman" w:cs="Times New Roman"/>
          <w:sz w:val="24"/>
          <w:szCs w:val="24"/>
        </w:rPr>
        <w:t>as adopted</w:t>
      </w:r>
      <w:r w:rsidR="003E2133" w:rsidRPr="00626A06">
        <w:rPr>
          <w:rFonts w:ascii="Times New Roman" w:hAnsi="Times New Roman" w:cs="Times New Roman"/>
          <w:sz w:val="24"/>
          <w:szCs w:val="24"/>
        </w:rPr>
        <w:t xml:space="preserve">, and an amendment was moved to reverse </w:t>
      </w:r>
      <w:r w:rsidR="00AF7E9E" w:rsidRPr="00626A06">
        <w:rPr>
          <w:rFonts w:ascii="Times New Roman" w:hAnsi="Times New Roman" w:cs="Times New Roman"/>
          <w:sz w:val="24"/>
          <w:szCs w:val="24"/>
        </w:rPr>
        <w:t>it</w:t>
      </w:r>
      <w:r w:rsidR="003E2133" w:rsidRPr="00626A06">
        <w:rPr>
          <w:rFonts w:ascii="Times New Roman" w:hAnsi="Times New Roman" w:cs="Times New Roman"/>
          <w:sz w:val="24"/>
          <w:szCs w:val="24"/>
        </w:rPr>
        <w:t>, instead amending the</w:t>
      </w:r>
      <w:r w:rsidR="00831B63" w:rsidRPr="00626A06">
        <w:rPr>
          <w:rFonts w:ascii="Times New Roman" w:hAnsi="Times New Roman" w:cs="Times New Roman"/>
          <w:sz w:val="24"/>
          <w:szCs w:val="24"/>
        </w:rPr>
        <w:t xml:space="preserve"> Workmen’s Compensation Act 1925</w:t>
      </w:r>
      <w:r w:rsidR="003E2133" w:rsidRPr="00626A06">
        <w:rPr>
          <w:rFonts w:ascii="Times New Roman" w:hAnsi="Times New Roman" w:cs="Times New Roman"/>
          <w:sz w:val="24"/>
          <w:szCs w:val="24"/>
        </w:rPr>
        <w:t xml:space="preserve"> to remove the issue. The Lord Chancellor’s Office was concerned only to have a chance to influence the wording of the new clause 2, designed to be temporary in light of the review of Workmen’s Compensation which was</w:t>
      </w:r>
      <w:r w:rsidR="002F34A1" w:rsidRPr="00626A06">
        <w:rPr>
          <w:rFonts w:ascii="Times New Roman" w:hAnsi="Times New Roman" w:cs="Times New Roman"/>
          <w:sz w:val="24"/>
          <w:szCs w:val="24"/>
        </w:rPr>
        <w:t xml:space="preserve"> inherent to the Monckton Committee’s deliberations, and to implementation of </w:t>
      </w:r>
      <w:proofErr w:type="spellStart"/>
      <w:r w:rsidR="002F34A1" w:rsidRPr="00626A06">
        <w:rPr>
          <w:rFonts w:ascii="Times New Roman" w:hAnsi="Times New Roman" w:cs="Times New Roman"/>
          <w:sz w:val="24"/>
          <w:szCs w:val="24"/>
        </w:rPr>
        <w:t>Beveridge</w:t>
      </w:r>
      <w:proofErr w:type="spellEnd"/>
      <w:r w:rsidR="002F34A1" w:rsidRPr="00626A06">
        <w:rPr>
          <w:rFonts w:ascii="Times New Roman" w:hAnsi="Times New Roman" w:cs="Times New Roman"/>
          <w:sz w:val="24"/>
          <w:szCs w:val="24"/>
        </w:rPr>
        <w:t xml:space="preserve"> (</w:t>
      </w:r>
      <w:r w:rsidR="00831B63" w:rsidRPr="00626A06">
        <w:rPr>
          <w:rFonts w:ascii="Times New Roman" w:hAnsi="Times New Roman" w:cs="Times New Roman"/>
          <w:sz w:val="24"/>
          <w:szCs w:val="24"/>
        </w:rPr>
        <w:t xml:space="preserve">itself </w:t>
      </w:r>
      <w:r w:rsidR="002F34A1" w:rsidRPr="00626A06">
        <w:rPr>
          <w:rFonts w:ascii="Times New Roman" w:hAnsi="Times New Roman" w:cs="Times New Roman"/>
          <w:sz w:val="24"/>
          <w:szCs w:val="24"/>
        </w:rPr>
        <w:t>official policy)</w:t>
      </w:r>
      <w:r w:rsidR="00C56424" w:rsidRPr="00626A06">
        <w:rPr>
          <w:rFonts w:ascii="Times New Roman" w:hAnsi="Times New Roman" w:cs="Times New Roman"/>
          <w:sz w:val="24"/>
          <w:szCs w:val="24"/>
        </w:rPr>
        <w:t>.</w:t>
      </w:r>
      <w:r w:rsidR="00C30DB8" w:rsidRPr="00626A06">
        <w:rPr>
          <w:rFonts w:ascii="Times New Roman" w:hAnsi="Times New Roman" w:cs="Times New Roman"/>
          <w:sz w:val="24"/>
          <w:szCs w:val="24"/>
        </w:rPr>
        <w:t xml:space="preserve"> </w:t>
      </w:r>
      <w:r w:rsidR="00C56424" w:rsidRPr="00626A06">
        <w:rPr>
          <w:rFonts w:ascii="Times New Roman" w:hAnsi="Times New Roman" w:cs="Times New Roman"/>
          <w:sz w:val="24"/>
          <w:szCs w:val="24"/>
        </w:rPr>
        <w:t>B</w:t>
      </w:r>
      <w:r w:rsidR="00C30DB8" w:rsidRPr="00626A06">
        <w:rPr>
          <w:rFonts w:ascii="Times New Roman" w:hAnsi="Times New Roman" w:cs="Times New Roman"/>
          <w:sz w:val="24"/>
          <w:szCs w:val="24"/>
        </w:rPr>
        <w:t>ut there was a remaining political difficulty. A</w:t>
      </w:r>
      <w:r w:rsidR="003E2133" w:rsidRPr="00626A06">
        <w:rPr>
          <w:rFonts w:ascii="Times New Roman" w:hAnsi="Times New Roman" w:cs="Times New Roman"/>
          <w:sz w:val="24"/>
          <w:szCs w:val="24"/>
        </w:rPr>
        <w:t xml:space="preserve"> unanimous recommendation of a Committee whose chairman had sensitive negotiations to conduct was about to be overridden, and with the acquiescence (naturally) of the Lord Chancellor. </w:t>
      </w:r>
      <w:r w:rsidR="009126B6" w:rsidRPr="00626A06">
        <w:rPr>
          <w:rFonts w:ascii="Times New Roman" w:hAnsi="Times New Roman" w:cs="Times New Roman"/>
          <w:sz w:val="24"/>
          <w:szCs w:val="24"/>
        </w:rPr>
        <w:t xml:space="preserve">But the Lord Chancellor was increasingly reluctant to await the final report from the Monckton Committee. </w:t>
      </w:r>
      <w:r w:rsidR="003E2133" w:rsidRPr="00626A06">
        <w:rPr>
          <w:rFonts w:ascii="Times New Roman" w:hAnsi="Times New Roman" w:cs="Times New Roman"/>
          <w:sz w:val="24"/>
          <w:szCs w:val="24"/>
        </w:rPr>
        <w:t xml:space="preserve">The political solution was to seek an equally unanimous and directly contradictory </w:t>
      </w:r>
      <w:r w:rsidR="00BE1C4E" w:rsidRPr="00626A06">
        <w:rPr>
          <w:rFonts w:ascii="Times New Roman" w:hAnsi="Times New Roman" w:cs="Times New Roman"/>
          <w:sz w:val="24"/>
          <w:szCs w:val="24"/>
        </w:rPr>
        <w:t xml:space="preserve">second interim </w:t>
      </w:r>
      <w:r w:rsidR="003E2133" w:rsidRPr="00626A06">
        <w:rPr>
          <w:rFonts w:ascii="Times New Roman" w:hAnsi="Times New Roman" w:cs="Times New Roman"/>
          <w:sz w:val="24"/>
          <w:szCs w:val="24"/>
        </w:rPr>
        <w:t xml:space="preserve">recommendation from the Monckton Committee. </w:t>
      </w:r>
      <w:r w:rsidR="00C30DB8" w:rsidRPr="00626A06">
        <w:rPr>
          <w:rFonts w:ascii="Times New Roman" w:hAnsi="Times New Roman" w:cs="Times New Roman"/>
          <w:sz w:val="24"/>
          <w:szCs w:val="24"/>
        </w:rPr>
        <w:t xml:space="preserve">Despite very different attitudes to contributory negligence displayed in the evidence to the Committee, this second unanimous recommendation </w:t>
      </w:r>
      <w:r w:rsidR="003E2133" w:rsidRPr="00626A06">
        <w:rPr>
          <w:rFonts w:ascii="Times New Roman" w:hAnsi="Times New Roman" w:cs="Times New Roman"/>
          <w:sz w:val="24"/>
          <w:szCs w:val="24"/>
        </w:rPr>
        <w:t>was duly received</w:t>
      </w:r>
      <w:r w:rsidR="009126B6" w:rsidRPr="00626A06">
        <w:rPr>
          <w:rFonts w:ascii="Times New Roman" w:hAnsi="Times New Roman" w:cs="Times New Roman"/>
          <w:sz w:val="24"/>
          <w:szCs w:val="24"/>
        </w:rPr>
        <w:t>.</w:t>
      </w:r>
      <w:r w:rsidR="00831B63" w:rsidRPr="00626A06">
        <w:rPr>
          <w:rStyle w:val="FootnoteReference"/>
          <w:rFonts w:ascii="Times New Roman" w:hAnsi="Times New Roman" w:cs="Times New Roman"/>
          <w:sz w:val="24"/>
          <w:szCs w:val="24"/>
        </w:rPr>
        <w:footnoteReference w:id="106"/>
      </w:r>
      <w:r w:rsidR="00685663" w:rsidRPr="00626A06">
        <w:rPr>
          <w:rFonts w:ascii="Times New Roman" w:hAnsi="Times New Roman" w:cs="Times New Roman"/>
          <w:sz w:val="24"/>
          <w:szCs w:val="24"/>
        </w:rPr>
        <w:t xml:space="preserve"> </w:t>
      </w:r>
      <w:r w:rsidR="009126B6" w:rsidRPr="00626A06">
        <w:rPr>
          <w:rFonts w:ascii="Times New Roman" w:hAnsi="Times New Roman" w:cs="Times New Roman"/>
          <w:sz w:val="24"/>
          <w:szCs w:val="24"/>
        </w:rPr>
        <w:t>T</w:t>
      </w:r>
      <w:r w:rsidR="00685663" w:rsidRPr="00626A06">
        <w:rPr>
          <w:rFonts w:ascii="Times New Roman" w:hAnsi="Times New Roman" w:cs="Times New Roman"/>
          <w:sz w:val="24"/>
          <w:szCs w:val="24"/>
        </w:rPr>
        <w:t xml:space="preserve">he rationale for the </w:t>
      </w:r>
      <w:r w:rsidR="00685663" w:rsidRPr="00626A06">
        <w:rPr>
          <w:rFonts w:ascii="Times New Roman" w:hAnsi="Times New Roman" w:cs="Times New Roman"/>
          <w:i/>
          <w:sz w:val="24"/>
          <w:szCs w:val="24"/>
        </w:rPr>
        <w:t>volte face</w:t>
      </w:r>
      <w:r w:rsidR="009126B6" w:rsidRPr="00626A06">
        <w:rPr>
          <w:rFonts w:ascii="Times New Roman" w:hAnsi="Times New Roman" w:cs="Times New Roman"/>
          <w:i/>
          <w:sz w:val="24"/>
          <w:szCs w:val="24"/>
        </w:rPr>
        <w:t xml:space="preserve"> </w:t>
      </w:r>
      <w:r w:rsidR="009126B6" w:rsidRPr="00626A06">
        <w:rPr>
          <w:rFonts w:ascii="Times New Roman" w:hAnsi="Times New Roman" w:cs="Times New Roman"/>
          <w:sz w:val="24"/>
          <w:szCs w:val="24"/>
        </w:rPr>
        <w:t>was</w:t>
      </w:r>
      <w:r w:rsidR="00685663" w:rsidRPr="00626A06">
        <w:rPr>
          <w:rFonts w:ascii="Times New Roman" w:hAnsi="Times New Roman" w:cs="Times New Roman"/>
          <w:sz w:val="24"/>
          <w:szCs w:val="24"/>
        </w:rPr>
        <w:t xml:space="preserve"> (a) that the Committee had now heard evidence from interested parties;</w:t>
      </w:r>
      <w:r w:rsidR="00B577F6" w:rsidRPr="00626A06">
        <w:rPr>
          <w:rFonts w:ascii="Times New Roman" w:hAnsi="Times New Roman" w:cs="Times New Roman"/>
          <w:sz w:val="24"/>
          <w:szCs w:val="24"/>
        </w:rPr>
        <w:t xml:space="preserve"> and </w:t>
      </w:r>
      <w:r w:rsidR="00685663" w:rsidRPr="00626A06">
        <w:rPr>
          <w:rFonts w:ascii="Times New Roman" w:hAnsi="Times New Roman" w:cs="Times New Roman"/>
          <w:sz w:val="24"/>
          <w:szCs w:val="24"/>
        </w:rPr>
        <w:t xml:space="preserve">(b) </w:t>
      </w:r>
      <w:r w:rsidR="007E528E" w:rsidRPr="00626A06">
        <w:rPr>
          <w:rFonts w:ascii="Times New Roman" w:hAnsi="Times New Roman" w:cs="Times New Roman"/>
          <w:sz w:val="24"/>
          <w:szCs w:val="24"/>
        </w:rPr>
        <w:t>that the provision no longer suffered from some of the d</w:t>
      </w:r>
      <w:r w:rsidR="009126B6" w:rsidRPr="00626A06">
        <w:rPr>
          <w:rFonts w:ascii="Times New Roman" w:hAnsi="Times New Roman" w:cs="Times New Roman"/>
          <w:sz w:val="24"/>
          <w:szCs w:val="24"/>
        </w:rPr>
        <w:t>efects of the original version.</w:t>
      </w:r>
      <w:r w:rsidR="00B577F6" w:rsidRPr="00626A06">
        <w:rPr>
          <w:rStyle w:val="FootnoteReference"/>
          <w:rFonts w:ascii="Times New Roman" w:hAnsi="Times New Roman" w:cs="Times New Roman"/>
          <w:sz w:val="24"/>
          <w:szCs w:val="24"/>
        </w:rPr>
        <w:footnoteReference w:id="107"/>
      </w:r>
      <w:r w:rsidR="007E528E" w:rsidRPr="00626A06">
        <w:rPr>
          <w:rFonts w:ascii="Times New Roman" w:hAnsi="Times New Roman" w:cs="Times New Roman"/>
          <w:sz w:val="24"/>
          <w:szCs w:val="24"/>
        </w:rPr>
        <w:t xml:space="preserve"> </w:t>
      </w:r>
      <w:r w:rsidR="00C30DB8" w:rsidRPr="00626A06">
        <w:rPr>
          <w:rFonts w:ascii="Times New Roman" w:hAnsi="Times New Roman" w:cs="Times New Roman"/>
          <w:sz w:val="24"/>
          <w:szCs w:val="24"/>
        </w:rPr>
        <w:t xml:space="preserve">Perhaps the very unanimity of the first recommendation allowed a sense that all members of the Committee were showing a willingness to be swayed. </w:t>
      </w:r>
    </w:p>
    <w:p w:rsidR="003E2133" w:rsidRPr="00626A06" w:rsidRDefault="00C30DB8"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Whether or not the</w:t>
      </w:r>
      <w:r w:rsidR="009126B6" w:rsidRPr="00626A06">
        <w:rPr>
          <w:rFonts w:ascii="Times New Roman" w:hAnsi="Times New Roman" w:cs="Times New Roman"/>
          <w:sz w:val="24"/>
          <w:szCs w:val="24"/>
        </w:rPr>
        <w:t xml:space="preserve"> reasons </w:t>
      </w:r>
      <w:r w:rsidRPr="00626A06">
        <w:rPr>
          <w:rFonts w:ascii="Times New Roman" w:hAnsi="Times New Roman" w:cs="Times New Roman"/>
          <w:sz w:val="24"/>
          <w:szCs w:val="24"/>
        </w:rPr>
        <w:t xml:space="preserve">for the change of view </w:t>
      </w:r>
      <w:r w:rsidR="009126B6" w:rsidRPr="00626A06">
        <w:rPr>
          <w:rFonts w:ascii="Times New Roman" w:hAnsi="Times New Roman" w:cs="Times New Roman"/>
          <w:sz w:val="24"/>
          <w:szCs w:val="24"/>
        </w:rPr>
        <w:t xml:space="preserve">were genuine, the truth is that attitudes to the value of common law to workers were in the process of being settled. </w:t>
      </w:r>
      <w:r w:rsidR="00B577F6" w:rsidRPr="00626A06">
        <w:rPr>
          <w:rFonts w:ascii="Times New Roman" w:hAnsi="Times New Roman" w:cs="Times New Roman"/>
          <w:sz w:val="24"/>
          <w:szCs w:val="24"/>
        </w:rPr>
        <w:t xml:space="preserve">Evidence </w:t>
      </w:r>
      <w:r w:rsidR="009126B6" w:rsidRPr="00626A06">
        <w:rPr>
          <w:rFonts w:ascii="Times New Roman" w:hAnsi="Times New Roman" w:cs="Times New Roman"/>
          <w:sz w:val="24"/>
          <w:szCs w:val="24"/>
        </w:rPr>
        <w:t>considered by</w:t>
      </w:r>
      <w:r w:rsidR="00B577F6" w:rsidRPr="00626A06">
        <w:rPr>
          <w:rFonts w:ascii="Times New Roman" w:hAnsi="Times New Roman" w:cs="Times New Roman"/>
          <w:sz w:val="24"/>
          <w:szCs w:val="24"/>
        </w:rPr>
        <w:t xml:space="preserve"> the </w:t>
      </w:r>
      <w:r w:rsidR="00CE1F49">
        <w:rPr>
          <w:rFonts w:ascii="Times New Roman" w:hAnsi="Times New Roman" w:cs="Times New Roman"/>
          <w:sz w:val="24"/>
          <w:szCs w:val="24"/>
        </w:rPr>
        <w:t>C</w:t>
      </w:r>
      <w:r w:rsidR="00B577F6" w:rsidRPr="00626A06">
        <w:rPr>
          <w:rFonts w:ascii="Times New Roman" w:hAnsi="Times New Roman" w:cs="Times New Roman"/>
          <w:sz w:val="24"/>
          <w:szCs w:val="24"/>
        </w:rPr>
        <w:t xml:space="preserve">ommittee includes a number of examples of union support for the common law rights to damages of workers, suggesting </w:t>
      </w:r>
      <w:r w:rsidR="00794709" w:rsidRPr="00626A06">
        <w:rPr>
          <w:rFonts w:ascii="Times New Roman" w:hAnsi="Times New Roman" w:cs="Times New Roman"/>
          <w:sz w:val="24"/>
          <w:szCs w:val="24"/>
        </w:rPr>
        <w:t xml:space="preserve">an undiminished </w:t>
      </w:r>
      <w:r w:rsidR="00B577F6" w:rsidRPr="00626A06">
        <w:rPr>
          <w:rFonts w:ascii="Times New Roman" w:hAnsi="Times New Roman" w:cs="Times New Roman"/>
          <w:sz w:val="24"/>
          <w:szCs w:val="24"/>
        </w:rPr>
        <w:t xml:space="preserve">sense that the remaining elements of exclusion from this ‘ordinary’ remedy was an injustice for which no-fault provision under the Workmen’s Compensation Acts was insufficient compensation. </w:t>
      </w:r>
      <w:r w:rsidR="00B577F6" w:rsidRPr="00626A06">
        <w:rPr>
          <w:rFonts w:ascii="Times New Roman" w:hAnsi="Times New Roman" w:cs="Times New Roman"/>
          <w:sz w:val="24"/>
          <w:szCs w:val="24"/>
        </w:rPr>
        <w:lastRenderedPageBreak/>
        <w:t>This supports the argument that union attitudes to common law</w:t>
      </w:r>
      <w:r w:rsidR="00794709" w:rsidRPr="00626A06">
        <w:rPr>
          <w:rFonts w:ascii="Times New Roman" w:hAnsi="Times New Roman" w:cs="Times New Roman"/>
          <w:sz w:val="24"/>
          <w:szCs w:val="24"/>
        </w:rPr>
        <w:t xml:space="preserve"> were in the pr</w:t>
      </w:r>
      <w:r w:rsidR="000B00C2" w:rsidRPr="00626A06">
        <w:rPr>
          <w:rFonts w:ascii="Times New Roman" w:hAnsi="Times New Roman" w:cs="Times New Roman"/>
          <w:sz w:val="24"/>
          <w:szCs w:val="24"/>
        </w:rPr>
        <w:t>ocess of becoming more positive.</w:t>
      </w:r>
      <w:bookmarkStart w:id="27" w:name="_Ref319274325"/>
      <w:r w:rsidR="00831B63" w:rsidRPr="00626A06">
        <w:rPr>
          <w:rStyle w:val="FootnoteReference"/>
          <w:rFonts w:ascii="Times New Roman" w:hAnsi="Times New Roman" w:cs="Times New Roman"/>
          <w:sz w:val="24"/>
          <w:szCs w:val="24"/>
        </w:rPr>
        <w:footnoteReference w:id="108"/>
      </w:r>
      <w:bookmarkEnd w:id="27"/>
      <w:r w:rsidR="00794709" w:rsidRPr="00626A06">
        <w:rPr>
          <w:rFonts w:ascii="Times New Roman" w:hAnsi="Times New Roman" w:cs="Times New Roman"/>
          <w:sz w:val="24"/>
          <w:szCs w:val="24"/>
        </w:rPr>
        <w:t xml:space="preserve"> </w:t>
      </w:r>
      <w:r w:rsidR="00907164" w:rsidRPr="00626A06">
        <w:rPr>
          <w:rFonts w:ascii="Times New Roman" w:hAnsi="Times New Roman" w:cs="Times New Roman"/>
          <w:sz w:val="24"/>
          <w:szCs w:val="24"/>
        </w:rPr>
        <w:t xml:space="preserve">There is also </w:t>
      </w:r>
      <w:r w:rsidRPr="00626A06">
        <w:rPr>
          <w:rFonts w:ascii="Times New Roman" w:hAnsi="Times New Roman" w:cs="Times New Roman"/>
          <w:sz w:val="24"/>
          <w:szCs w:val="24"/>
        </w:rPr>
        <w:t xml:space="preserve">some </w:t>
      </w:r>
      <w:r w:rsidR="00907164" w:rsidRPr="00626A06">
        <w:rPr>
          <w:rFonts w:ascii="Times New Roman" w:hAnsi="Times New Roman" w:cs="Times New Roman"/>
          <w:sz w:val="24"/>
          <w:szCs w:val="24"/>
        </w:rPr>
        <w:t xml:space="preserve">evidence to support the view that the generosity of damages in </w:t>
      </w:r>
      <w:r w:rsidR="00C56424" w:rsidRPr="00626A06">
        <w:rPr>
          <w:rFonts w:ascii="Times New Roman" w:hAnsi="Times New Roman" w:cs="Times New Roman"/>
          <w:sz w:val="24"/>
          <w:szCs w:val="24"/>
        </w:rPr>
        <w:t xml:space="preserve">motor accident cases </w:t>
      </w:r>
      <w:r w:rsidR="00907164" w:rsidRPr="00626A06">
        <w:rPr>
          <w:rFonts w:ascii="Times New Roman" w:hAnsi="Times New Roman" w:cs="Times New Roman"/>
          <w:sz w:val="24"/>
          <w:szCs w:val="24"/>
        </w:rPr>
        <w:t xml:space="preserve">highlighted the inadequacy of workmen’s compensation – and nothing offered by </w:t>
      </w:r>
      <w:proofErr w:type="spellStart"/>
      <w:r w:rsidR="00907164" w:rsidRPr="00626A06">
        <w:rPr>
          <w:rFonts w:ascii="Times New Roman" w:hAnsi="Times New Roman" w:cs="Times New Roman"/>
          <w:sz w:val="24"/>
          <w:szCs w:val="24"/>
        </w:rPr>
        <w:t>Beveridge</w:t>
      </w:r>
      <w:proofErr w:type="spellEnd"/>
      <w:r w:rsidR="00907164" w:rsidRPr="00626A06">
        <w:rPr>
          <w:rFonts w:ascii="Times New Roman" w:hAnsi="Times New Roman" w:cs="Times New Roman"/>
          <w:sz w:val="24"/>
          <w:szCs w:val="24"/>
        </w:rPr>
        <w:t xml:space="preserve"> </w:t>
      </w:r>
      <w:r w:rsidR="00F15C18" w:rsidRPr="00626A06">
        <w:rPr>
          <w:rFonts w:ascii="Times New Roman" w:hAnsi="Times New Roman" w:cs="Times New Roman"/>
          <w:sz w:val="24"/>
          <w:szCs w:val="24"/>
        </w:rPr>
        <w:t xml:space="preserve">could come anywhere close to redressing </w:t>
      </w:r>
      <w:r w:rsidR="00907164" w:rsidRPr="00626A06">
        <w:rPr>
          <w:rFonts w:ascii="Times New Roman" w:hAnsi="Times New Roman" w:cs="Times New Roman"/>
          <w:sz w:val="24"/>
          <w:szCs w:val="24"/>
        </w:rPr>
        <w:t>this difference.</w:t>
      </w:r>
      <w:r w:rsidRPr="00626A06">
        <w:rPr>
          <w:rStyle w:val="FootnoteReference"/>
          <w:rFonts w:ascii="Times New Roman" w:hAnsi="Times New Roman" w:cs="Times New Roman"/>
          <w:sz w:val="24"/>
          <w:szCs w:val="24"/>
        </w:rPr>
        <w:footnoteReference w:id="109"/>
      </w:r>
      <w:r w:rsidR="00907164" w:rsidRPr="00626A06">
        <w:rPr>
          <w:rFonts w:ascii="Times New Roman" w:hAnsi="Times New Roman" w:cs="Times New Roman"/>
          <w:sz w:val="24"/>
          <w:szCs w:val="24"/>
        </w:rPr>
        <w:t xml:space="preserve"> </w:t>
      </w:r>
      <w:r w:rsidR="00F15489" w:rsidRPr="00626A06">
        <w:rPr>
          <w:rFonts w:ascii="Times New Roman" w:hAnsi="Times New Roman" w:cs="Times New Roman"/>
          <w:sz w:val="24"/>
          <w:szCs w:val="24"/>
        </w:rPr>
        <w:t xml:space="preserve">It can </w:t>
      </w:r>
      <w:r w:rsidR="009126B6" w:rsidRPr="00626A06">
        <w:rPr>
          <w:rFonts w:ascii="Times New Roman" w:hAnsi="Times New Roman" w:cs="Times New Roman"/>
          <w:sz w:val="24"/>
          <w:szCs w:val="24"/>
        </w:rPr>
        <w:t>be argued that the increasing elements of fairness which reforming lawyers were able to inject into common law</w:t>
      </w:r>
      <w:r w:rsidR="00907164" w:rsidRPr="00626A06">
        <w:rPr>
          <w:rFonts w:ascii="Times New Roman" w:hAnsi="Times New Roman" w:cs="Times New Roman"/>
          <w:sz w:val="24"/>
          <w:szCs w:val="24"/>
        </w:rPr>
        <w:t xml:space="preserve"> both by statute and by judicial decision</w:t>
      </w:r>
      <w:r w:rsidR="009126B6" w:rsidRPr="00626A06">
        <w:rPr>
          <w:rFonts w:ascii="Times New Roman" w:hAnsi="Times New Roman" w:cs="Times New Roman"/>
          <w:sz w:val="24"/>
          <w:szCs w:val="24"/>
        </w:rPr>
        <w:t xml:space="preserve">, together with the very attempt to suggest that workers should be excluded from the developing remedies, were </w:t>
      </w:r>
      <w:r w:rsidR="00F15489" w:rsidRPr="00626A06">
        <w:rPr>
          <w:rFonts w:ascii="Times New Roman" w:hAnsi="Times New Roman" w:cs="Times New Roman"/>
          <w:sz w:val="24"/>
          <w:szCs w:val="24"/>
        </w:rPr>
        <w:t>of some influence</w:t>
      </w:r>
      <w:r w:rsidR="00C56424" w:rsidRPr="00626A06">
        <w:rPr>
          <w:rFonts w:ascii="Times New Roman" w:hAnsi="Times New Roman" w:cs="Times New Roman"/>
          <w:sz w:val="24"/>
          <w:szCs w:val="24"/>
        </w:rPr>
        <w:t xml:space="preserve"> </w:t>
      </w:r>
      <w:r w:rsidR="009126B6" w:rsidRPr="00626A06">
        <w:rPr>
          <w:rFonts w:ascii="Times New Roman" w:hAnsi="Times New Roman" w:cs="Times New Roman"/>
          <w:sz w:val="24"/>
          <w:szCs w:val="24"/>
        </w:rPr>
        <w:t>in securing a political attachment to common law rights</w:t>
      </w:r>
      <w:r w:rsidR="00A23347" w:rsidRPr="00626A06">
        <w:rPr>
          <w:rFonts w:ascii="Times New Roman" w:hAnsi="Times New Roman" w:cs="Times New Roman"/>
          <w:sz w:val="24"/>
          <w:szCs w:val="24"/>
        </w:rPr>
        <w:t xml:space="preserve"> – just as the Home Office had</w:t>
      </w:r>
      <w:r w:rsidR="00391876" w:rsidRPr="00626A06">
        <w:rPr>
          <w:rFonts w:ascii="Times New Roman" w:hAnsi="Times New Roman" w:cs="Times New Roman"/>
          <w:sz w:val="24"/>
          <w:szCs w:val="24"/>
        </w:rPr>
        <w:t xml:space="preserve"> feared</w:t>
      </w:r>
      <w:r w:rsidR="009126B6" w:rsidRPr="00626A06">
        <w:rPr>
          <w:rFonts w:ascii="Times New Roman" w:hAnsi="Times New Roman" w:cs="Times New Roman"/>
          <w:sz w:val="24"/>
          <w:szCs w:val="24"/>
        </w:rPr>
        <w:t xml:space="preserve">. </w:t>
      </w:r>
      <w:r w:rsidR="00B577F6" w:rsidRPr="00626A06">
        <w:rPr>
          <w:rFonts w:ascii="Times New Roman" w:hAnsi="Times New Roman" w:cs="Times New Roman"/>
          <w:sz w:val="24"/>
          <w:szCs w:val="24"/>
        </w:rPr>
        <w:t xml:space="preserve">In this sense, the vacillations over contributory negligence reform are </w:t>
      </w:r>
      <w:r w:rsidR="00BB457D" w:rsidRPr="00626A06">
        <w:rPr>
          <w:rFonts w:ascii="Times New Roman" w:hAnsi="Times New Roman" w:cs="Times New Roman"/>
          <w:sz w:val="24"/>
          <w:szCs w:val="24"/>
        </w:rPr>
        <w:t xml:space="preserve">at least </w:t>
      </w:r>
      <w:r w:rsidR="00B577F6" w:rsidRPr="00626A06">
        <w:rPr>
          <w:rFonts w:ascii="Times New Roman" w:hAnsi="Times New Roman" w:cs="Times New Roman"/>
          <w:sz w:val="24"/>
          <w:szCs w:val="24"/>
        </w:rPr>
        <w:t>a microcosm</w:t>
      </w:r>
      <w:r w:rsidR="009126B6" w:rsidRPr="00626A06">
        <w:rPr>
          <w:rFonts w:ascii="Times New Roman" w:hAnsi="Times New Roman" w:cs="Times New Roman"/>
          <w:sz w:val="24"/>
          <w:szCs w:val="24"/>
        </w:rPr>
        <w:t xml:space="preserve"> </w:t>
      </w:r>
      <w:r w:rsidR="00B577F6" w:rsidRPr="00626A06">
        <w:rPr>
          <w:rFonts w:ascii="Times New Roman" w:hAnsi="Times New Roman" w:cs="Times New Roman"/>
          <w:sz w:val="24"/>
          <w:szCs w:val="24"/>
        </w:rPr>
        <w:t>of the settlement of the important question of the role of the alternative remedy,</w:t>
      </w:r>
      <w:r w:rsidR="00794709" w:rsidRPr="00626A06">
        <w:rPr>
          <w:rFonts w:ascii="Times New Roman" w:hAnsi="Times New Roman" w:cs="Times New Roman"/>
          <w:sz w:val="24"/>
          <w:szCs w:val="24"/>
        </w:rPr>
        <w:t xml:space="preserve"> and through its timing and its liberalisation the reform will</w:t>
      </w:r>
      <w:r w:rsidR="009126B6" w:rsidRPr="00626A06">
        <w:rPr>
          <w:rFonts w:ascii="Times New Roman" w:hAnsi="Times New Roman" w:cs="Times New Roman"/>
          <w:sz w:val="24"/>
          <w:szCs w:val="24"/>
        </w:rPr>
        <w:t xml:space="preserve"> have played </w:t>
      </w:r>
      <w:r w:rsidR="00794709" w:rsidRPr="00626A06">
        <w:rPr>
          <w:rFonts w:ascii="Times New Roman" w:hAnsi="Times New Roman" w:cs="Times New Roman"/>
          <w:sz w:val="24"/>
          <w:szCs w:val="24"/>
        </w:rPr>
        <w:t xml:space="preserve">a </w:t>
      </w:r>
      <w:r w:rsidR="009126B6" w:rsidRPr="00626A06">
        <w:rPr>
          <w:rFonts w:ascii="Times New Roman" w:hAnsi="Times New Roman" w:cs="Times New Roman"/>
          <w:sz w:val="24"/>
          <w:szCs w:val="24"/>
        </w:rPr>
        <w:t>role in the</w:t>
      </w:r>
      <w:r w:rsidR="00066075" w:rsidRPr="00626A06">
        <w:rPr>
          <w:rFonts w:ascii="Times New Roman" w:hAnsi="Times New Roman" w:cs="Times New Roman"/>
          <w:sz w:val="24"/>
          <w:szCs w:val="24"/>
        </w:rPr>
        <w:t xml:space="preserve"> progress toward that settlement</w:t>
      </w:r>
      <w:r w:rsidR="00B577F6" w:rsidRPr="00626A06">
        <w:rPr>
          <w:rFonts w:ascii="Times New Roman" w:hAnsi="Times New Roman" w:cs="Times New Roman"/>
          <w:sz w:val="24"/>
          <w:szCs w:val="24"/>
        </w:rPr>
        <w:t>.</w:t>
      </w:r>
    </w:p>
    <w:p w:rsidR="00581AC0" w:rsidRPr="00626A06" w:rsidRDefault="00581AC0" w:rsidP="00626A06">
      <w:pPr>
        <w:spacing w:line="360" w:lineRule="auto"/>
        <w:jc w:val="both"/>
        <w:rPr>
          <w:rFonts w:ascii="Times New Roman" w:hAnsi="Times New Roman" w:cs="Times New Roman"/>
          <w:sz w:val="24"/>
          <w:szCs w:val="24"/>
        </w:rPr>
      </w:pPr>
    </w:p>
    <w:p w:rsidR="00581AC0" w:rsidRPr="0033054C" w:rsidRDefault="0033054C" w:rsidP="0033054C">
      <w:pPr>
        <w:spacing w:line="360" w:lineRule="auto"/>
        <w:jc w:val="both"/>
        <w:rPr>
          <w:rFonts w:ascii="Times New Roman" w:hAnsi="Times New Roman" w:cs="Times New Roman"/>
          <w:b/>
          <w:sz w:val="28"/>
          <w:szCs w:val="28"/>
        </w:rPr>
      </w:pPr>
      <w:r w:rsidRPr="0033054C">
        <w:rPr>
          <w:rFonts w:ascii="Times New Roman" w:hAnsi="Times New Roman" w:cs="Times New Roman"/>
          <w:b/>
          <w:sz w:val="28"/>
          <w:szCs w:val="28"/>
        </w:rPr>
        <w:t>VII. Drafting I</w:t>
      </w:r>
      <w:r w:rsidR="00581AC0" w:rsidRPr="0033054C">
        <w:rPr>
          <w:rFonts w:ascii="Times New Roman" w:hAnsi="Times New Roman" w:cs="Times New Roman"/>
          <w:b/>
          <w:sz w:val="28"/>
          <w:szCs w:val="28"/>
        </w:rPr>
        <w:t>ssues</w:t>
      </w:r>
    </w:p>
    <w:p w:rsidR="00473649" w:rsidRPr="00626A06" w:rsidRDefault="003D66A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w:t>
      </w:r>
      <w:r w:rsidR="008F0281" w:rsidRPr="00626A06">
        <w:rPr>
          <w:rFonts w:ascii="Times New Roman" w:hAnsi="Times New Roman" w:cs="Times New Roman"/>
          <w:sz w:val="24"/>
          <w:szCs w:val="24"/>
        </w:rPr>
        <w:t xml:space="preserve">task </w:t>
      </w:r>
      <w:r w:rsidR="00C56424" w:rsidRPr="00626A06">
        <w:rPr>
          <w:rFonts w:ascii="Times New Roman" w:hAnsi="Times New Roman" w:cs="Times New Roman"/>
          <w:sz w:val="24"/>
          <w:szCs w:val="24"/>
        </w:rPr>
        <w:t xml:space="preserve">of drafting the Bill </w:t>
      </w:r>
      <w:r w:rsidRPr="00626A06">
        <w:rPr>
          <w:rFonts w:ascii="Times New Roman" w:hAnsi="Times New Roman" w:cs="Times New Roman"/>
          <w:sz w:val="24"/>
          <w:szCs w:val="24"/>
        </w:rPr>
        <w:t xml:space="preserve">fell essentially to </w:t>
      </w:r>
      <w:r w:rsidR="005B4555" w:rsidRPr="00626A06">
        <w:rPr>
          <w:rFonts w:ascii="Times New Roman" w:hAnsi="Times New Roman" w:cs="Times New Roman"/>
          <w:sz w:val="24"/>
          <w:szCs w:val="24"/>
        </w:rPr>
        <w:t xml:space="preserve">a </w:t>
      </w:r>
      <w:r w:rsidRPr="00626A06">
        <w:rPr>
          <w:rFonts w:ascii="Times New Roman" w:hAnsi="Times New Roman" w:cs="Times New Roman"/>
          <w:sz w:val="24"/>
          <w:szCs w:val="24"/>
        </w:rPr>
        <w:t xml:space="preserve">Parliamentary draftsman by the name of </w:t>
      </w:r>
      <w:r w:rsidR="004410CE" w:rsidRPr="00626A06">
        <w:rPr>
          <w:rFonts w:ascii="Times New Roman" w:hAnsi="Times New Roman" w:cs="Times New Roman"/>
          <w:sz w:val="24"/>
          <w:szCs w:val="24"/>
        </w:rPr>
        <w:t xml:space="preserve">HS </w:t>
      </w:r>
      <w:r w:rsidRPr="00626A06">
        <w:rPr>
          <w:rFonts w:ascii="Times New Roman" w:hAnsi="Times New Roman" w:cs="Times New Roman"/>
          <w:sz w:val="24"/>
          <w:szCs w:val="24"/>
        </w:rPr>
        <w:t>Kent,</w:t>
      </w:r>
      <w:r w:rsidR="004410CE" w:rsidRPr="00626A06">
        <w:rPr>
          <w:rStyle w:val="FootnoteReference"/>
          <w:rFonts w:ascii="Times New Roman" w:hAnsi="Times New Roman" w:cs="Times New Roman"/>
          <w:sz w:val="24"/>
          <w:szCs w:val="24"/>
        </w:rPr>
        <w:footnoteReference w:id="110"/>
      </w:r>
      <w:r w:rsidRPr="00626A06">
        <w:rPr>
          <w:rFonts w:ascii="Times New Roman" w:hAnsi="Times New Roman" w:cs="Times New Roman"/>
          <w:sz w:val="24"/>
          <w:szCs w:val="24"/>
        </w:rPr>
        <w:t xml:space="preserve"> and the Lord Chancellor himself, with input from a relatively small number of others. Kent and Simon had a number of differences of view, and the </w:t>
      </w:r>
      <w:r w:rsidR="007E5213" w:rsidRPr="00626A06">
        <w:rPr>
          <w:rFonts w:ascii="Times New Roman" w:hAnsi="Times New Roman" w:cs="Times New Roman"/>
          <w:sz w:val="24"/>
          <w:szCs w:val="24"/>
        </w:rPr>
        <w:t xml:space="preserve">novel </w:t>
      </w:r>
      <w:r w:rsidRPr="00626A06">
        <w:rPr>
          <w:rFonts w:ascii="Times New Roman" w:hAnsi="Times New Roman" w:cs="Times New Roman"/>
          <w:sz w:val="24"/>
          <w:szCs w:val="24"/>
        </w:rPr>
        <w:t xml:space="preserve">terms of section 1, which are far removed from </w:t>
      </w:r>
      <w:r w:rsidR="00553FAA" w:rsidRPr="00626A06">
        <w:rPr>
          <w:rFonts w:ascii="Times New Roman" w:hAnsi="Times New Roman" w:cs="Times New Roman"/>
          <w:sz w:val="24"/>
          <w:szCs w:val="24"/>
        </w:rPr>
        <w:t xml:space="preserve">the 1911 </w:t>
      </w:r>
      <w:r w:rsidRPr="00626A06">
        <w:rPr>
          <w:rFonts w:ascii="Times New Roman" w:hAnsi="Times New Roman" w:cs="Times New Roman"/>
          <w:sz w:val="24"/>
          <w:szCs w:val="24"/>
        </w:rPr>
        <w:t xml:space="preserve">Act model as we have seen, </w:t>
      </w:r>
      <w:r w:rsidR="0080566C" w:rsidRPr="00626A06">
        <w:rPr>
          <w:rFonts w:ascii="Times New Roman" w:hAnsi="Times New Roman" w:cs="Times New Roman"/>
          <w:sz w:val="24"/>
          <w:szCs w:val="24"/>
        </w:rPr>
        <w:t>was produced at Lord Simon’s instigation (perhaps largely his own work)</w:t>
      </w:r>
      <w:r w:rsidRPr="00626A06">
        <w:rPr>
          <w:rFonts w:ascii="Times New Roman" w:hAnsi="Times New Roman" w:cs="Times New Roman"/>
          <w:sz w:val="24"/>
          <w:szCs w:val="24"/>
        </w:rPr>
        <w:t xml:space="preserve">, inspired by the questions asked of him by the Monckton Committee. </w:t>
      </w:r>
    </w:p>
    <w:p w:rsidR="0060413E" w:rsidRPr="00626A06" w:rsidRDefault="003D66A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The influence of the Monckton Committee over section 1 is essentially</w:t>
      </w:r>
      <w:r w:rsidR="00553FAA" w:rsidRPr="00626A06">
        <w:rPr>
          <w:rFonts w:ascii="Times New Roman" w:hAnsi="Times New Roman" w:cs="Times New Roman"/>
          <w:sz w:val="24"/>
          <w:szCs w:val="24"/>
        </w:rPr>
        <w:t xml:space="preserve"> derived from the fact that the Committee</w:t>
      </w:r>
      <w:r w:rsidRPr="00626A06">
        <w:rPr>
          <w:rFonts w:ascii="Times New Roman" w:hAnsi="Times New Roman" w:cs="Times New Roman"/>
          <w:sz w:val="24"/>
          <w:szCs w:val="24"/>
        </w:rPr>
        <w:t xml:space="preserve"> looked at the provision in terms of industrial accidents rather than </w:t>
      </w:r>
      <w:r w:rsidR="00553FAA" w:rsidRPr="00626A06">
        <w:rPr>
          <w:rFonts w:ascii="Times New Roman" w:hAnsi="Times New Roman" w:cs="Times New Roman"/>
          <w:sz w:val="24"/>
          <w:szCs w:val="24"/>
        </w:rPr>
        <w:t xml:space="preserve">only </w:t>
      </w:r>
      <w:r w:rsidRPr="00626A06">
        <w:rPr>
          <w:rFonts w:ascii="Times New Roman" w:hAnsi="Times New Roman" w:cs="Times New Roman"/>
          <w:sz w:val="24"/>
          <w:szCs w:val="24"/>
        </w:rPr>
        <w:t>collisions.</w:t>
      </w:r>
      <w:r w:rsidR="00D34E49" w:rsidRPr="00626A06">
        <w:rPr>
          <w:rFonts w:ascii="Times New Roman" w:hAnsi="Times New Roman" w:cs="Times New Roman"/>
          <w:sz w:val="24"/>
          <w:szCs w:val="24"/>
        </w:rPr>
        <w:t xml:space="preserve"> As we have seen, t</w:t>
      </w:r>
      <w:r w:rsidRPr="00626A06">
        <w:rPr>
          <w:rFonts w:ascii="Times New Roman" w:hAnsi="Times New Roman" w:cs="Times New Roman"/>
          <w:sz w:val="24"/>
          <w:szCs w:val="24"/>
        </w:rPr>
        <w:t xml:space="preserve">he heritage of the first draft in the </w:t>
      </w:r>
      <w:r w:rsidR="00553FAA" w:rsidRPr="00626A06">
        <w:rPr>
          <w:rFonts w:ascii="Times New Roman" w:hAnsi="Times New Roman" w:cs="Times New Roman"/>
          <w:sz w:val="24"/>
          <w:szCs w:val="24"/>
        </w:rPr>
        <w:t xml:space="preserve">1911 </w:t>
      </w:r>
      <w:r w:rsidRPr="00626A06">
        <w:rPr>
          <w:rFonts w:ascii="Times New Roman" w:hAnsi="Times New Roman" w:cs="Times New Roman"/>
          <w:sz w:val="24"/>
          <w:szCs w:val="24"/>
        </w:rPr>
        <w:t>Act provision relating to ships and cargo</w:t>
      </w:r>
      <w:r w:rsidR="00D34E49" w:rsidRPr="00626A06">
        <w:rPr>
          <w:rFonts w:ascii="Times New Roman" w:hAnsi="Times New Roman" w:cs="Times New Roman"/>
          <w:sz w:val="24"/>
          <w:szCs w:val="24"/>
        </w:rPr>
        <w:t xml:space="preserve"> </w:t>
      </w:r>
      <w:r w:rsidRPr="00626A06">
        <w:rPr>
          <w:rFonts w:ascii="Times New Roman" w:hAnsi="Times New Roman" w:cs="Times New Roman"/>
          <w:sz w:val="24"/>
          <w:szCs w:val="24"/>
        </w:rPr>
        <w:t xml:space="preserve">was exposed by a series of questions about the ‘total damage’ for which the liability was to be ‘shared’. The origins of the first draft in apportionment of liability (rather </w:t>
      </w:r>
      <w:r w:rsidRPr="00626A06">
        <w:rPr>
          <w:rFonts w:ascii="Times New Roman" w:hAnsi="Times New Roman" w:cs="Times New Roman"/>
          <w:sz w:val="24"/>
          <w:szCs w:val="24"/>
        </w:rPr>
        <w:lastRenderedPageBreak/>
        <w:t xml:space="preserve">than of damages) </w:t>
      </w:r>
      <w:r w:rsidR="00C56424" w:rsidRPr="00626A06">
        <w:rPr>
          <w:rFonts w:ascii="Times New Roman" w:hAnsi="Times New Roman" w:cs="Times New Roman"/>
          <w:sz w:val="24"/>
          <w:szCs w:val="24"/>
        </w:rPr>
        <w:t>we</w:t>
      </w:r>
      <w:r w:rsidR="00D860E7" w:rsidRPr="00626A06">
        <w:rPr>
          <w:rFonts w:ascii="Times New Roman" w:hAnsi="Times New Roman" w:cs="Times New Roman"/>
          <w:sz w:val="24"/>
          <w:szCs w:val="24"/>
        </w:rPr>
        <w:t xml:space="preserve">re </w:t>
      </w:r>
      <w:r w:rsidR="00553FAA" w:rsidRPr="00626A06">
        <w:rPr>
          <w:rFonts w:ascii="Times New Roman" w:hAnsi="Times New Roman" w:cs="Times New Roman"/>
          <w:sz w:val="24"/>
          <w:szCs w:val="24"/>
        </w:rPr>
        <w:t xml:space="preserve">also </w:t>
      </w:r>
      <w:r w:rsidR="00D860E7" w:rsidRPr="00626A06">
        <w:rPr>
          <w:rFonts w:ascii="Times New Roman" w:hAnsi="Times New Roman" w:cs="Times New Roman"/>
          <w:sz w:val="24"/>
          <w:szCs w:val="24"/>
        </w:rPr>
        <w:t>revealed</w:t>
      </w:r>
      <w:r w:rsidRPr="00626A06">
        <w:rPr>
          <w:rFonts w:ascii="Times New Roman" w:hAnsi="Times New Roman" w:cs="Times New Roman"/>
          <w:sz w:val="24"/>
          <w:szCs w:val="24"/>
        </w:rPr>
        <w:t xml:space="preserve"> through a provision </w:t>
      </w:r>
      <w:r w:rsidR="00C56424" w:rsidRPr="00626A06">
        <w:rPr>
          <w:rFonts w:ascii="Times New Roman" w:hAnsi="Times New Roman" w:cs="Times New Roman"/>
          <w:sz w:val="24"/>
          <w:szCs w:val="24"/>
        </w:rPr>
        <w:t xml:space="preserve">in the initial draft </w:t>
      </w:r>
      <w:r w:rsidR="0060413E" w:rsidRPr="00626A06">
        <w:rPr>
          <w:rFonts w:ascii="Times New Roman" w:hAnsi="Times New Roman" w:cs="Times New Roman"/>
          <w:sz w:val="24"/>
          <w:szCs w:val="24"/>
        </w:rPr>
        <w:t xml:space="preserve">Law Reform (Contributory Negligence) </w:t>
      </w:r>
      <w:r w:rsidR="00C56424" w:rsidRPr="00626A06">
        <w:rPr>
          <w:rFonts w:ascii="Times New Roman" w:hAnsi="Times New Roman" w:cs="Times New Roman"/>
          <w:sz w:val="24"/>
          <w:szCs w:val="24"/>
        </w:rPr>
        <w:t xml:space="preserve">Bill </w:t>
      </w:r>
      <w:r w:rsidR="002B2637" w:rsidRPr="00626A06">
        <w:rPr>
          <w:rFonts w:ascii="Times New Roman" w:hAnsi="Times New Roman" w:cs="Times New Roman"/>
          <w:sz w:val="24"/>
          <w:szCs w:val="24"/>
        </w:rPr>
        <w:t xml:space="preserve">(Clause 1(2)) requiring </w:t>
      </w:r>
      <w:r w:rsidRPr="00626A06">
        <w:rPr>
          <w:rFonts w:ascii="Times New Roman" w:hAnsi="Times New Roman" w:cs="Times New Roman"/>
          <w:sz w:val="24"/>
          <w:szCs w:val="24"/>
        </w:rPr>
        <w:t xml:space="preserve">that the share in liability of </w:t>
      </w:r>
      <w:r w:rsidRPr="00626A06">
        <w:rPr>
          <w:rFonts w:ascii="Times New Roman" w:hAnsi="Times New Roman" w:cs="Times New Roman"/>
          <w:i/>
          <w:sz w:val="24"/>
          <w:szCs w:val="24"/>
        </w:rPr>
        <w:t>all</w:t>
      </w:r>
      <w:r w:rsidRPr="00626A06">
        <w:rPr>
          <w:rFonts w:ascii="Times New Roman" w:hAnsi="Times New Roman" w:cs="Times New Roman"/>
          <w:sz w:val="24"/>
          <w:szCs w:val="24"/>
        </w:rPr>
        <w:t xml:space="preserve"> potential parties</w:t>
      </w:r>
      <w:r w:rsidR="002B2637" w:rsidRPr="00626A06">
        <w:rPr>
          <w:rFonts w:ascii="Times New Roman" w:hAnsi="Times New Roman" w:cs="Times New Roman"/>
          <w:sz w:val="24"/>
          <w:szCs w:val="24"/>
        </w:rPr>
        <w:t xml:space="preserve"> in respect of the damage suffered</w:t>
      </w:r>
      <w:r w:rsidRPr="00626A06">
        <w:rPr>
          <w:rFonts w:ascii="Times New Roman" w:hAnsi="Times New Roman" w:cs="Times New Roman"/>
          <w:sz w:val="24"/>
          <w:szCs w:val="24"/>
        </w:rPr>
        <w:t xml:space="preserve"> was to be determined by the court</w:t>
      </w:r>
      <w:r w:rsidR="00C56424" w:rsidRPr="00626A06">
        <w:rPr>
          <w:rFonts w:ascii="Times New Roman" w:hAnsi="Times New Roman" w:cs="Times New Roman"/>
          <w:sz w:val="24"/>
          <w:szCs w:val="24"/>
        </w:rPr>
        <w:t xml:space="preserve">. This </w:t>
      </w:r>
      <w:r w:rsidRPr="00626A06">
        <w:rPr>
          <w:rFonts w:ascii="Times New Roman" w:hAnsi="Times New Roman" w:cs="Times New Roman"/>
          <w:sz w:val="24"/>
          <w:szCs w:val="24"/>
        </w:rPr>
        <w:t>might have meant exploring the liability of those who were not parties to the proceedings</w:t>
      </w:r>
      <w:r w:rsidR="0060413E" w:rsidRPr="00626A06">
        <w:rPr>
          <w:rFonts w:ascii="Times New Roman" w:hAnsi="Times New Roman" w:cs="Times New Roman"/>
          <w:sz w:val="24"/>
          <w:szCs w:val="24"/>
        </w:rPr>
        <w:t xml:space="preserve">, </w:t>
      </w:r>
      <w:r w:rsidR="00A161BB" w:rsidRPr="00626A06">
        <w:rPr>
          <w:rFonts w:ascii="Times New Roman" w:hAnsi="Times New Roman" w:cs="Times New Roman"/>
          <w:sz w:val="24"/>
          <w:szCs w:val="24"/>
        </w:rPr>
        <w:t xml:space="preserve">and </w:t>
      </w:r>
      <w:r w:rsidRPr="00626A06">
        <w:rPr>
          <w:rFonts w:ascii="Times New Roman" w:hAnsi="Times New Roman" w:cs="Times New Roman"/>
          <w:sz w:val="24"/>
          <w:szCs w:val="24"/>
        </w:rPr>
        <w:t>would have greatly complicated ordinary personal injuries</w:t>
      </w:r>
      <w:r w:rsidR="00C56424" w:rsidRPr="00626A06">
        <w:rPr>
          <w:rFonts w:ascii="Times New Roman" w:hAnsi="Times New Roman" w:cs="Times New Roman"/>
          <w:sz w:val="24"/>
          <w:szCs w:val="24"/>
        </w:rPr>
        <w:t xml:space="preserve"> actions</w:t>
      </w:r>
      <w:r w:rsidRPr="00626A06">
        <w:rPr>
          <w:rFonts w:ascii="Times New Roman" w:hAnsi="Times New Roman" w:cs="Times New Roman"/>
          <w:sz w:val="24"/>
          <w:szCs w:val="24"/>
        </w:rPr>
        <w:t>. Similarly, there was initially a provision, taken from s</w:t>
      </w:r>
      <w:r w:rsidR="00CE1F49">
        <w:rPr>
          <w:rFonts w:ascii="Times New Roman" w:hAnsi="Times New Roman" w:cs="Times New Roman"/>
          <w:sz w:val="24"/>
          <w:szCs w:val="24"/>
        </w:rPr>
        <w:t xml:space="preserve">ection </w:t>
      </w:r>
      <w:r w:rsidRPr="00626A06">
        <w:rPr>
          <w:rFonts w:ascii="Times New Roman" w:hAnsi="Times New Roman" w:cs="Times New Roman"/>
          <w:sz w:val="24"/>
          <w:szCs w:val="24"/>
        </w:rPr>
        <w:t>1 1911</w:t>
      </w:r>
      <w:r w:rsidR="00CE1F49">
        <w:rPr>
          <w:rFonts w:ascii="Times New Roman" w:hAnsi="Times New Roman" w:cs="Times New Roman"/>
          <w:sz w:val="24"/>
          <w:szCs w:val="24"/>
        </w:rPr>
        <w:t xml:space="preserve"> Act</w:t>
      </w:r>
      <w:r w:rsidRPr="00626A06">
        <w:rPr>
          <w:rFonts w:ascii="Times New Roman" w:hAnsi="Times New Roman" w:cs="Times New Roman"/>
          <w:sz w:val="24"/>
          <w:szCs w:val="24"/>
        </w:rPr>
        <w:t>, that if the court was unable to determine the proper share in the damage attributable to the claimant’s fault, the liability should be apportioned equally</w:t>
      </w:r>
      <w:r w:rsidR="002B2637" w:rsidRPr="00626A06">
        <w:rPr>
          <w:rFonts w:ascii="Times New Roman" w:hAnsi="Times New Roman" w:cs="Times New Roman"/>
          <w:sz w:val="24"/>
          <w:szCs w:val="24"/>
        </w:rPr>
        <w:t xml:space="preserve"> (Clause 1(1</w:t>
      </w:r>
      <w:proofErr w:type="gramStart"/>
      <w:r w:rsidR="002B2637" w:rsidRPr="00626A06">
        <w:rPr>
          <w:rFonts w:ascii="Times New Roman" w:hAnsi="Times New Roman" w:cs="Times New Roman"/>
          <w:sz w:val="24"/>
          <w:szCs w:val="24"/>
        </w:rPr>
        <w:t>)(</w:t>
      </w:r>
      <w:proofErr w:type="gramEnd"/>
      <w:r w:rsidR="002B2637" w:rsidRPr="00626A06">
        <w:rPr>
          <w:rFonts w:ascii="Times New Roman" w:hAnsi="Times New Roman" w:cs="Times New Roman"/>
          <w:sz w:val="24"/>
          <w:szCs w:val="24"/>
        </w:rPr>
        <w:t>a))</w:t>
      </w:r>
      <w:r w:rsidRPr="00626A06">
        <w:rPr>
          <w:rFonts w:ascii="Times New Roman" w:hAnsi="Times New Roman" w:cs="Times New Roman"/>
          <w:sz w:val="24"/>
          <w:szCs w:val="24"/>
        </w:rPr>
        <w:t xml:space="preserve">. </w:t>
      </w:r>
    </w:p>
    <w:p w:rsidR="00DC6FBA" w:rsidRPr="00626A06" w:rsidRDefault="0060413E"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I have also suggested that </w:t>
      </w:r>
      <w:r w:rsidR="00890BB9" w:rsidRPr="00626A06">
        <w:rPr>
          <w:rFonts w:ascii="Times New Roman" w:hAnsi="Times New Roman" w:cs="Times New Roman"/>
          <w:sz w:val="24"/>
          <w:szCs w:val="24"/>
        </w:rPr>
        <w:t>t</w:t>
      </w:r>
      <w:r w:rsidR="006911DD" w:rsidRPr="00626A06">
        <w:rPr>
          <w:rFonts w:ascii="Times New Roman" w:hAnsi="Times New Roman" w:cs="Times New Roman"/>
          <w:sz w:val="24"/>
          <w:szCs w:val="24"/>
        </w:rPr>
        <w:t xml:space="preserve">he 1945 Act is </w:t>
      </w:r>
      <w:r w:rsidRPr="00626A06">
        <w:rPr>
          <w:rFonts w:ascii="Times New Roman" w:hAnsi="Times New Roman" w:cs="Times New Roman"/>
          <w:sz w:val="24"/>
          <w:szCs w:val="24"/>
        </w:rPr>
        <w:t xml:space="preserve">significant for the very fact that </w:t>
      </w:r>
      <w:r w:rsidR="00890BB9" w:rsidRPr="00626A06">
        <w:rPr>
          <w:rFonts w:ascii="Times New Roman" w:hAnsi="Times New Roman" w:cs="Times New Roman"/>
          <w:sz w:val="24"/>
          <w:szCs w:val="24"/>
        </w:rPr>
        <w:t>it allows</w:t>
      </w:r>
      <w:r w:rsidR="006911DD" w:rsidRPr="00626A06">
        <w:rPr>
          <w:rFonts w:ascii="Times New Roman" w:hAnsi="Times New Roman" w:cs="Times New Roman"/>
          <w:sz w:val="24"/>
          <w:szCs w:val="24"/>
        </w:rPr>
        <w:t xml:space="preserve"> the division or sharing of responsibility for the consequences of harm.</w:t>
      </w:r>
      <w:r w:rsidR="00A816E8" w:rsidRPr="00626A06">
        <w:rPr>
          <w:rFonts w:ascii="Times New Roman" w:hAnsi="Times New Roman" w:cs="Times New Roman"/>
          <w:sz w:val="24"/>
          <w:szCs w:val="24"/>
        </w:rPr>
        <w:t xml:space="preserve"> In this it </w:t>
      </w:r>
      <w:r w:rsidR="00C70B3B" w:rsidRPr="00626A06">
        <w:rPr>
          <w:rFonts w:ascii="Times New Roman" w:hAnsi="Times New Roman" w:cs="Times New Roman"/>
          <w:sz w:val="24"/>
          <w:szCs w:val="24"/>
        </w:rPr>
        <w:t xml:space="preserve">continues to </w:t>
      </w:r>
      <w:r w:rsidR="00A816E8" w:rsidRPr="00626A06">
        <w:rPr>
          <w:rFonts w:ascii="Times New Roman" w:hAnsi="Times New Roman" w:cs="Times New Roman"/>
          <w:sz w:val="24"/>
          <w:szCs w:val="24"/>
        </w:rPr>
        <w:t>treat personal injury in the same way as commercial risks, despite the importance of the drafting changes</w:t>
      </w:r>
      <w:r w:rsidR="00C70B3B" w:rsidRPr="00626A06">
        <w:rPr>
          <w:rFonts w:ascii="Times New Roman" w:hAnsi="Times New Roman" w:cs="Times New Roman"/>
          <w:sz w:val="24"/>
          <w:szCs w:val="24"/>
        </w:rPr>
        <w:t xml:space="preserve"> in other respects</w:t>
      </w:r>
      <w:r w:rsidR="00A816E8" w:rsidRPr="00626A06">
        <w:rPr>
          <w:rFonts w:ascii="Times New Roman" w:hAnsi="Times New Roman" w:cs="Times New Roman"/>
          <w:sz w:val="24"/>
          <w:szCs w:val="24"/>
        </w:rPr>
        <w:t>.</w:t>
      </w:r>
      <w:r w:rsidR="006911DD" w:rsidRPr="00626A06">
        <w:rPr>
          <w:rFonts w:ascii="Times New Roman" w:hAnsi="Times New Roman" w:cs="Times New Roman"/>
          <w:sz w:val="24"/>
          <w:szCs w:val="24"/>
        </w:rPr>
        <w:t xml:space="preserve"> </w:t>
      </w:r>
      <w:r w:rsidR="008434A5" w:rsidRPr="00626A06">
        <w:rPr>
          <w:rFonts w:ascii="Times New Roman" w:hAnsi="Times New Roman" w:cs="Times New Roman"/>
          <w:sz w:val="24"/>
          <w:szCs w:val="24"/>
        </w:rPr>
        <w:t>The significance of this</w:t>
      </w:r>
      <w:r w:rsidR="00553FAA" w:rsidRPr="00626A06">
        <w:rPr>
          <w:rFonts w:ascii="Times New Roman" w:hAnsi="Times New Roman" w:cs="Times New Roman"/>
          <w:sz w:val="24"/>
          <w:szCs w:val="24"/>
        </w:rPr>
        <w:t xml:space="preserve"> may be less easy to appreciate because it does not touch on a familiar strand in contemporary critique, or even analysis, of the law of tort. Some features of the Bill associated with this were </w:t>
      </w:r>
      <w:r w:rsidR="006911DD" w:rsidRPr="00626A06">
        <w:rPr>
          <w:rFonts w:ascii="Times New Roman" w:hAnsi="Times New Roman" w:cs="Times New Roman"/>
          <w:sz w:val="24"/>
          <w:szCs w:val="24"/>
        </w:rPr>
        <w:t xml:space="preserve">not </w:t>
      </w:r>
      <w:r w:rsidR="00890BB9" w:rsidRPr="00626A06">
        <w:rPr>
          <w:rFonts w:ascii="Times New Roman" w:hAnsi="Times New Roman" w:cs="Times New Roman"/>
          <w:sz w:val="24"/>
          <w:szCs w:val="24"/>
        </w:rPr>
        <w:t xml:space="preserve">easily </w:t>
      </w:r>
      <w:r w:rsidR="006911DD" w:rsidRPr="00626A06">
        <w:rPr>
          <w:rFonts w:ascii="Times New Roman" w:hAnsi="Times New Roman" w:cs="Times New Roman"/>
          <w:sz w:val="24"/>
          <w:szCs w:val="24"/>
        </w:rPr>
        <w:t>grasped even by the Parliamentary draftsman: he and Lord Simon exchanged a number of</w:t>
      </w:r>
      <w:r w:rsidR="0042647A" w:rsidRPr="00626A06">
        <w:rPr>
          <w:rFonts w:ascii="Times New Roman" w:hAnsi="Times New Roman" w:cs="Times New Roman"/>
          <w:sz w:val="24"/>
          <w:szCs w:val="24"/>
        </w:rPr>
        <w:t xml:space="preserve"> </w:t>
      </w:r>
      <w:r w:rsidR="008434A5" w:rsidRPr="00626A06">
        <w:rPr>
          <w:rFonts w:ascii="Times New Roman" w:hAnsi="Times New Roman" w:cs="Times New Roman"/>
          <w:sz w:val="24"/>
          <w:szCs w:val="24"/>
        </w:rPr>
        <w:t>notes</w:t>
      </w:r>
      <w:r w:rsidR="0042647A" w:rsidRPr="00626A06">
        <w:rPr>
          <w:rFonts w:ascii="Times New Roman" w:hAnsi="Times New Roman" w:cs="Times New Roman"/>
          <w:sz w:val="24"/>
          <w:szCs w:val="24"/>
        </w:rPr>
        <w:t xml:space="preserve"> about the wording of</w:t>
      </w:r>
      <w:r w:rsidR="005B204D" w:rsidRPr="00626A06">
        <w:rPr>
          <w:rFonts w:ascii="Times New Roman" w:hAnsi="Times New Roman" w:cs="Times New Roman"/>
          <w:sz w:val="24"/>
          <w:szCs w:val="24"/>
        </w:rPr>
        <w:t xml:space="preserve"> </w:t>
      </w:r>
      <w:r w:rsidR="00C70B3B" w:rsidRPr="00626A06">
        <w:rPr>
          <w:rFonts w:ascii="Times New Roman" w:hAnsi="Times New Roman" w:cs="Times New Roman"/>
          <w:sz w:val="24"/>
          <w:szCs w:val="24"/>
        </w:rPr>
        <w:t>the new (post</w:t>
      </w:r>
      <w:r w:rsidR="00A30DAF">
        <w:rPr>
          <w:rFonts w:ascii="Times New Roman" w:hAnsi="Times New Roman" w:cs="Times New Roman"/>
          <w:sz w:val="24"/>
          <w:szCs w:val="24"/>
        </w:rPr>
        <w:t>-</w:t>
      </w:r>
      <w:r w:rsidR="00C70B3B" w:rsidRPr="00626A06">
        <w:rPr>
          <w:rFonts w:ascii="Times New Roman" w:hAnsi="Times New Roman" w:cs="Times New Roman"/>
          <w:sz w:val="24"/>
          <w:szCs w:val="24"/>
        </w:rPr>
        <w:t xml:space="preserve">Monckton) </w:t>
      </w:r>
      <w:r w:rsidR="0042647A" w:rsidRPr="00626A06">
        <w:rPr>
          <w:rFonts w:ascii="Times New Roman" w:hAnsi="Times New Roman" w:cs="Times New Roman"/>
          <w:sz w:val="24"/>
          <w:szCs w:val="24"/>
        </w:rPr>
        <w:t xml:space="preserve">clause </w:t>
      </w:r>
      <w:r w:rsidR="005B204D" w:rsidRPr="00626A06">
        <w:rPr>
          <w:rFonts w:ascii="Times New Roman" w:hAnsi="Times New Roman" w:cs="Times New Roman"/>
          <w:sz w:val="24"/>
          <w:szCs w:val="24"/>
        </w:rPr>
        <w:t>1</w:t>
      </w:r>
      <w:r w:rsidR="006911DD" w:rsidRPr="00626A06">
        <w:rPr>
          <w:rFonts w:ascii="Times New Roman" w:hAnsi="Times New Roman" w:cs="Times New Roman"/>
          <w:sz w:val="24"/>
          <w:szCs w:val="24"/>
        </w:rPr>
        <w:t xml:space="preserve">. </w:t>
      </w:r>
      <w:r w:rsidR="005B204D" w:rsidRPr="00626A06">
        <w:rPr>
          <w:rFonts w:ascii="Times New Roman" w:hAnsi="Times New Roman" w:cs="Times New Roman"/>
          <w:sz w:val="24"/>
          <w:szCs w:val="24"/>
        </w:rPr>
        <w:t xml:space="preserve">Even after the new version had been produced, </w:t>
      </w:r>
      <w:r w:rsidR="006911DD" w:rsidRPr="00626A06">
        <w:rPr>
          <w:rFonts w:ascii="Times New Roman" w:hAnsi="Times New Roman" w:cs="Times New Roman"/>
          <w:sz w:val="24"/>
          <w:szCs w:val="24"/>
        </w:rPr>
        <w:t>Kent</w:t>
      </w:r>
      <w:r w:rsidR="005B204D" w:rsidRPr="00626A06">
        <w:rPr>
          <w:rFonts w:ascii="Times New Roman" w:hAnsi="Times New Roman" w:cs="Times New Roman"/>
          <w:sz w:val="24"/>
          <w:szCs w:val="24"/>
        </w:rPr>
        <w:t xml:space="preserve"> wanted to rephrase it to say not that the ‘damages’ were to be reduced, but that ‘the </w:t>
      </w:r>
      <w:r w:rsidR="005B204D" w:rsidRPr="00626A06">
        <w:rPr>
          <w:rFonts w:ascii="Times New Roman" w:hAnsi="Times New Roman" w:cs="Times New Roman"/>
          <w:i/>
          <w:sz w:val="24"/>
          <w:szCs w:val="24"/>
        </w:rPr>
        <w:t xml:space="preserve">damage </w:t>
      </w:r>
      <w:r w:rsidR="005B204D" w:rsidRPr="00626A06">
        <w:rPr>
          <w:rFonts w:ascii="Times New Roman" w:hAnsi="Times New Roman" w:cs="Times New Roman"/>
          <w:sz w:val="24"/>
          <w:szCs w:val="24"/>
        </w:rPr>
        <w:t>in respect of which judgment may be recovered shall be reduced …’. Similarly, he wanted s</w:t>
      </w:r>
      <w:r w:rsidR="00A30DAF">
        <w:rPr>
          <w:rFonts w:ascii="Times New Roman" w:hAnsi="Times New Roman" w:cs="Times New Roman"/>
          <w:sz w:val="24"/>
          <w:szCs w:val="24"/>
        </w:rPr>
        <w:t xml:space="preserve">ection </w:t>
      </w:r>
      <w:r w:rsidR="005B204D" w:rsidRPr="00626A06">
        <w:rPr>
          <w:rFonts w:ascii="Times New Roman" w:hAnsi="Times New Roman" w:cs="Times New Roman"/>
          <w:sz w:val="24"/>
          <w:szCs w:val="24"/>
        </w:rPr>
        <w:t xml:space="preserve">1(2) to require a court to ‘to find and record the total </w:t>
      </w:r>
      <w:r w:rsidR="005B204D" w:rsidRPr="00626A06">
        <w:rPr>
          <w:rFonts w:ascii="Times New Roman" w:hAnsi="Times New Roman" w:cs="Times New Roman"/>
          <w:i/>
          <w:sz w:val="24"/>
          <w:szCs w:val="24"/>
        </w:rPr>
        <w:t xml:space="preserve">damage </w:t>
      </w:r>
      <w:r w:rsidR="005B204D" w:rsidRPr="00626A06">
        <w:rPr>
          <w:rFonts w:ascii="Times New Roman" w:hAnsi="Times New Roman" w:cs="Times New Roman"/>
          <w:sz w:val="24"/>
          <w:szCs w:val="24"/>
        </w:rPr>
        <w:t xml:space="preserve">suffered by the claimant’, rather than the total damages that would be recoverable in the absence of contributory negligence. Lord Simon rightly argued that the distinction between ‘damage’ (caused by the fault of both parties) and ‘damages’ (which </w:t>
      </w:r>
      <w:r w:rsidR="00DC6FBA" w:rsidRPr="00626A06">
        <w:rPr>
          <w:rFonts w:ascii="Times New Roman" w:hAnsi="Times New Roman" w:cs="Times New Roman"/>
          <w:sz w:val="24"/>
          <w:szCs w:val="24"/>
        </w:rPr>
        <w:t>were to be reduced) was correct, adding:</w:t>
      </w:r>
    </w:p>
    <w:p w:rsidR="00DC6FBA" w:rsidRPr="00626A06" w:rsidRDefault="00DC6FBA" w:rsidP="00626A06">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 xml:space="preserve">The true construction, I venture to think, is not that the claimant’s ‘damage’ is reduced, </w:t>
      </w:r>
      <w:proofErr w:type="spellStart"/>
      <w:r w:rsidRPr="00626A06">
        <w:rPr>
          <w:rFonts w:ascii="Times New Roman" w:hAnsi="Times New Roman" w:cs="Times New Roman"/>
          <w:sz w:val="24"/>
          <w:szCs w:val="24"/>
        </w:rPr>
        <w:t>eg</w:t>
      </w:r>
      <w:proofErr w:type="spellEnd"/>
      <w:r w:rsidRPr="00626A06">
        <w:rPr>
          <w:rFonts w:ascii="Times New Roman" w:hAnsi="Times New Roman" w:cs="Times New Roman"/>
          <w:sz w:val="24"/>
          <w:szCs w:val="24"/>
        </w:rPr>
        <w:t xml:space="preserve"> that though he has lost two legs he is to be treated as though he has only lost one, but that the total damage is shared owing to his share of fault, and therefore the damages are proportionately reduced.</w:t>
      </w:r>
      <w:r w:rsidRPr="00626A06">
        <w:rPr>
          <w:rStyle w:val="FootnoteReference"/>
          <w:rFonts w:ascii="Times New Roman" w:hAnsi="Times New Roman" w:cs="Times New Roman"/>
          <w:sz w:val="24"/>
          <w:szCs w:val="24"/>
        </w:rPr>
        <w:footnoteReference w:id="111"/>
      </w:r>
    </w:p>
    <w:p w:rsidR="006911DD" w:rsidRPr="00626A06" w:rsidRDefault="006911DD"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Why would </w:t>
      </w:r>
      <w:r w:rsidR="00A774F9" w:rsidRPr="00626A06">
        <w:rPr>
          <w:rFonts w:ascii="Times New Roman" w:hAnsi="Times New Roman" w:cs="Times New Roman"/>
          <w:sz w:val="24"/>
          <w:szCs w:val="24"/>
        </w:rPr>
        <w:t xml:space="preserve">the difference between ‘damage’ and ‘damages’ </w:t>
      </w:r>
      <w:r w:rsidRPr="00626A06">
        <w:rPr>
          <w:rFonts w:ascii="Times New Roman" w:hAnsi="Times New Roman" w:cs="Times New Roman"/>
          <w:sz w:val="24"/>
          <w:szCs w:val="24"/>
        </w:rPr>
        <w:t xml:space="preserve">cause such difficulty? </w:t>
      </w:r>
      <w:r w:rsidR="00890BB9" w:rsidRPr="00626A06">
        <w:rPr>
          <w:rFonts w:ascii="Times New Roman" w:hAnsi="Times New Roman" w:cs="Times New Roman"/>
          <w:sz w:val="24"/>
          <w:szCs w:val="24"/>
        </w:rPr>
        <w:t>T</w:t>
      </w:r>
      <w:r w:rsidRPr="00626A06">
        <w:rPr>
          <w:rFonts w:ascii="Times New Roman" w:hAnsi="Times New Roman" w:cs="Times New Roman"/>
          <w:sz w:val="24"/>
          <w:szCs w:val="24"/>
        </w:rPr>
        <w:t xml:space="preserve">he Law Reform (Frustrated Contracts) Act 1943 and Law Reform (Married Women and </w:t>
      </w:r>
      <w:proofErr w:type="spellStart"/>
      <w:r w:rsidRPr="00626A06">
        <w:rPr>
          <w:rFonts w:ascii="Times New Roman" w:hAnsi="Times New Roman" w:cs="Times New Roman"/>
          <w:sz w:val="24"/>
          <w:szCs w:val="24"/>
        </w:rPr>
        <w:t>Tortfeasors</w:t>
      </w:r>
      <w:proofErr w:type="spellEnd"/>
      <w:r w:rsidRPr="00626A06">
        <w:rPr>
          <w:rFonts w:ascii="Times New Roman" w:hAnsi="Times New Roman" w:cs="Times New Roman"/>
          <w:sz w:val="24"/>
          <w:szCs w:val="24"/>
        </w:rPr>
        <w:t xml:space="preserve">) Act 1935, with the 1945 Act, could be said to be occupied with division of responsibility in contexts where this was not </w:t>
      </w:r>
      <w:r w:rsidR="000B00C2" w:rsidRPr="00626A06">
        <w:rPr>
          <w:rFonts w:ascii="Times New Roman" w:hAnsi="Times New Roman" w:cs="Times New Roman"/>
          <w:sz w:val="24"/>
          <w:szCs w:val="24"/>
        </w:rPr>
        <w:t xml:space="preserve">yet </w:t>
      </w:r>
      <w:r w:rsidRPr="00626A06">
        <w:rPr>
          <w:rFonts w:ascii="Times New Roman" w:hAnsi="Times New Roman" w:cs="Times New Roman"/>
          <w:sz w:val="24"/>
          <w:szCs w:val="24"/>
        </w:rPr>
        <w:t xml:space="preserve">familiar. </w:t>
      </w:r>
      <w:r w:rsidR="006C4902" w:rsidRPr="00626A06">
        <w:rPr>
          <w:rFonts w:ascii="Times New Roman" w:hAnsi="Times New Roman" w:cs="Times New Roman"/>
          <w:sz w:val="24"/>
          <w:szCs w:val="24"/>
        </w:rPr>
        <w:t>As we have seen, t</w:t>
      </w:r>
      <w:r w:rsidRPr="00626A06">
        <w:rPr>
          <w:rFonts w:ascii="Times New Roman" w:hAnsi="Times New Roman" w:cs="Times New Roman"/>
          <w:sz w:val="24"/>
          <w:szCs w:val="24"/>
        </w:rPr>
        <w:t xml:space="preserve">he 1945 Act also appears to have </w:t>
      </w:r>
      <w:r w:rsidRPr="00626A06">
        <w:rPr>
          <w:rFonts w:ascii="Times New Roman" w:hAnsi="Times New Roman" w:cs="Times New Roman"/>
          <w:sz w:val="24"/>
          <w:szCs w:val="24"/>
        </w:rPr>
        <w:lastRenderedPageBreak/>
        <w:t xml:space="preserve">been particularly strongly supported by commercial lawyers. </w:t>
      </w:r>
      <w:r w:rsidR="009D670F" w:rsidRPr="00626A06">
        <w:rPr>
          <w:rFonts w:ascii="Times New Roman" w:hAnsi="Times New Roman" w:cs="Times New Roman"/>
          <w:sz w:val="24"/>
          <w:szCs w:val="24"/>
        </w:rPr>
        <w:t xml:space="preserve">Personal injuries, through this process, </w:t>
      </w:r>
      <w:r w:rsidR="000B00C2" w:rsidRPr="00626A06">
        <w:rPr>
          <w:rFonts w:ascii="Times New Roman" w:hAnsi="Times New Roman" w:cs="Times New Roman"/>
          <w:sz w:val="24"/>
          <w:szCs w:val="24"/>
        </w:rPr>
        <w:t xml:space="preserve">were </w:t>
      </w:r>
      <w:r w:rsidR="001D5B34" w:rsidRPr="00626A06">
        <w:rPr>
          <w:rFonts w:ascii="Times New Roman" w:hAnsi="Times New Roman" w:cs="Times New Roman"/>
          <w:sz w:val="24"/>
          <w:szCs w:val="24"/>
        </w:rPr>
        <w:t xml:space="preserve">approached </w:t>
      </w:r>
      <w:r w:rsidR="005B204D" w:rsidRPr="00626A06">
        <w:rPr>
          <w:rFonts w:ascii="Times New Roman" w:hAnsi="Times New Roman" w:cs="Times New Roman"/>
          <w:sz w:val="24"/>
          <w:szCs w:val="24"/>
        </w:rPr>
        <w:t xml:space="preserve">chiefly </w:t>
      </w:r>
      <w:r w:rsidR="000B00C2" w:rsidRPr="00626A06">
        <w:rPr>
          <w:rFonts w:ascii="Times New Roman" w:hAnsi="Times New Roman" w:cs="Times New Roman"/>
          <w:sz w:val="24"/>
          <w:szCs w:val="24"/>
        </w:rPr>
        <w:t xml:space="preserve">in terms </w:t>
      </w:r>
      <w:r w:rsidR="009D670F" w:rsidRPr="00626A06">
        <w:rPr>
          <w:rFonts w:ascii="Times New Roman" w:hAnsi="Times New Roman" w:cs="Times New Roman"/>
          <w:sz w:val="24"/>
          <w:szCs w:val="24"/>
        </w:rPr>
        <w:t xml:space="preserve">of </w:t>
      </w:r>
      <w:r w:rsidR="0007273F" w:rsidRPr="00626A06">
        <w:rPr>
          <w:rFonts w:ascii="Times New Roman" w:hAnsi="Times New Roman" w:cs="Times New Roman"/>
          <w:sz w:val="24"/>
          <w:szCs w:val="24"/>
        </w:rPr>
        <w:t xml:space="preserve">roughly </w:t>
      </w:r>
      <w:r w:rsidR="009D670F" w:rsidRPr="00626A06">
        <w:rPr>
          <w:rFonts w:ascii="Times New Roman" w:hAnsi="Times New Roman" w:cs="Times New Roman"/>
          <w:sz w:val="24"/>
          <w:szCs w:val="24"/>
        </w:rPr>
        <w:t>measurable</w:t>
      </w:r>
      <w:r w:rsidR="005B204D" w:rsidRPr="00626A06">
        <w:rPr>
          <w:rFonts w:ascii="Times New Roman" w:hAnsi="Times New Roman" w:cs="Times New Roman"/>
          <w:sz w:val="24"/>
          <w:szCs w:val="24"/>
        </w:rPr>
        <w:t>, and divisible,</w:t>
      </w:r>
      <w:r w:rsidR="009D670F" w:rsidRPr="00626A06">
        <w:rPr>
          <w:rFonts w:ascii="Times New Roman" w:hAnsi="Times New Roman" w:cs="Times New Roman"/>
          <w:sz w:val="24"/>
          <w:szCs w:val="24"/>
        </w:rPr>
        <w:t xml:space="preserve"> losses </w:t>
      </w:r>
      <w:r w:rsidR="005B204D" w:rsidRPr="00626A06">
        <w:rPr>
          <w:rFonts w:ascii="Times New Roman" w:hAnsi="Times New Roman" w:cs="Times New Roman"/>
          <w:sz w:val="24"/>
          <w:szCs w:val="24"/>
        </w:rPr>
        <w:t xml:space="preserve">of money or </w:t>
      </w:r>
      <w:proofErr w:type="gramStart"/>
      <w:r w:rsidR="005B204D" w:rsidRPr="00626A06">
        <w:rPr>
          <w:rFonts w:ascii="Times New Roman" w:hAnsi="Times New Roman" w:cs="Times New Roman"/>
          <w:sz w:val="24"/>
          <w:szCs w:val="24"/>
        </w:rPr>
        <w:t>money’s-worth</w:t>
      </w:r>
      <w:r w:rsidR="000B00C2" w:rsidRPr="00626A06">
        <w:rPr>
          <w:rFonts w:ascii="Times New Roman" w:hAnsi="Times New Roman" w:cs="Times New Roman"/>
          <w:sz w:val="24"/>
          <w:szCs w:val="24"/>
        </w:rPr>
        <w:t>,</w:t>
      </w:r>
      <w:proofErr w:type="gramEnd"/>
      <w:r w:rsidR="000B00C2" w:rsidRPr="00626A06">
        <w:rPr>
          <w:rFonts w:ascii="Times New Roman" w:hAnsi="Times New Roman" w:cs="Times New Roman"/>
          <w:sz w:val="24"/>
          <w:szCs w:val="24"/>
        </w:rPr>
        <w:t xml:space="preserve"> and with enhanced opportunities for sharing and transferring liabilities, their location became increasingly fluid</w:t>
      </w:r>
      <w:r w:rsidR="0060413E" w:rsidRPr="00626A06">
        <w:rPr>
          <w:rFonts w:ascii="Times New Roman" w:hAnsi="Times New Roman" w:cs="Times New Roman"/>
          <w:sz w:val="24"/>
          <w:szCs w:val="24"/>
        </w:rPr>
        <w:t xml:space="preserve">. </w:t>
      </w:r>
      <w:r w:rsidR="008434A5" w:rsidRPr="00626A06">
        <w:rPr>
          <w:rFonts w:ascii="Times New Roman" w:hAnsi="Times New Roman" w:cs="Times New Roman"/>
          <w:sz w:val="24"/>
          <w:szCs w:val="24"/>
        </w:rPr>
        <w:t>This is a private law development,</w:t>
      </w:r>
      <w:r w:rsidR="007E5213" w:rsidRPr="00626A06">
        <w:rPr>
          <w:rFonts w:ascii="Times New Roman" w:hAnsi="Times New Roman" w:cs="Times New Roman"/>
          <w:sz w:val="24"/>
          <w:szCs w:val="24"/>
        </w:rPr>
        <w:t xml:space="preserve"> emerging after and</w:t>
      </w:r>
      <w:r w:rsidR="008434A5" w:rsidRPr="00626A06">
        <w:rPr>
          <w:rFonts w:ascii="Times New Roman" w:hAnsi="Times New Roman" w:cs="Times New Roman"/>
          <w:sz w:val="24"/>
          <w:szCs w:val="24"/>
        </w:rPr>
        <w:t xml:space="preserve"> </w:t>
      </w:r>
      <w:r w:rsidR="00A161BB" w:rsidRPr="00626A06">
        <w:rPr>
          <w:rFonts w:ascii="Times New Roman" w:hAnsi="Times New Roman" w:cs="Times New Roman"/>
          <w:sz w:val="24"/>
          <w:szCs w:val="24"/>
        </w:rPr>
        <w:t xml:space="preserve">operating </w:t>
      </w:r>
      <w:r w:rsidR="008434A5" w:rsidRPr="00626A06">
        <w:rPr>
          <w:rFonts w:ascii="Times New Roman" w:hAnsi="Times New Roman" w:cs="Times New Roman"/>
          <w:sz w:val="24"/>
          <w:szCs w:val="24"/>
        </w:rPr>
        <w:t xml:space="preserve">alongside </w:t>
      </w:r>
      <w:r w:rsidR="00A161BB" w:rsidRPr="00626A06">
        <w:rPr>
          <w:rFonts w:ascii="Times New Roman" w:hAnsi="Times New Roman" w:cs="Times New Roman"/>
          <w:sz w:val="24"/>
          <w:szCs w:val="24"/>
        </w:rPr>
        <w:t xml:space="preserve">the last days of </w:t>
      </w:r>
      <w:r w:rsidR="007E5213" w:rsidRPr="00626A06">
        <w:rPr>
          <w:rFonts w:ascii="Times New Roman" w:hAnsi="Times New Roman" w:cs="Times New Roman"/>
          <w:sz w:val="24"/>
          <w:szCs w:val="24"/>
        </w:rPr>
        <w:t xml:space="preserve">what can </w:t>
      </w:r>
      <w:r w:rsidR="008434A5" w:rsidRPr="00626A06">
        <w:rPr>
          <w:rFonts w:ascii="Times New Roman" w:hAnsi="Times New Roman" w:cs="Times New Roman"/>
          <w:sz w:val="24"/>
          <w:szCs w:val="24"/>
        </w:rPr>
        <w:t>loose</w:t>
      </w:r>
      <w:r w:rsidR="007E5213" w:rsidRPr="00626A06">
        <w:rPr>
          <w:rFonts w:ascii="Times New Roman" w:hAnsi="Times New Roman" w:cs="Times New Roman"/>
          <w:sz w:val="24"/>
          <w:szCs w:val="24"/>
        </w:rPr>
        <w:t>ly be called the</w:t>
      </w:r>
      <w:r w:rsidR="008434A5" w:rsidRPr="00626A06">
        <w:rPr>
          <w:rFonts w:ascii="Times New Roman" w:hAnsi="Times New Roman" w:cs="Times New Roman"/>
          <w:sz w:val="24"/>
          <w:szCs w:val="24"/>
        </w:rPr>
        <w:t xml:space="preserve"> ‘insurance’ of workmen through the Workmen’s Compensation Acts</w:t>
      </w:r>
      <w:r w:rsidR="00A161BB" w:rsidRPr="00626A06">
        <w:rPr>
          <w:rFonts w:ascii="Times New Roman" w:hAnsi="Times New Roman" w:cs="Times New Roman"/>
          <w:sz w:val="24"/>
          <w:szCs w:val="24"/>
        </w:rPr>
        <w:t>.</w:t>
      </w:r>
      <w:r w:rsidR="007E5213" w:rsidRPr="00626A06">
        <w:rPr>
          <w:rStyle w:val="FootnoteReference"/>
          <w:rFonts w:ascii="Times New Roman" w:hAnsi="Times New Roman" w:cs="Times New Roman"/>
          <w:sz w:val="24"/>
          <w:szCs w:val="24"/>
        </w:rPr>
        <w:footnoteReference w:id="112"/>
      </w:r>
      <w:r w:rsidR="007E5213" w:rsidRPr="00626A06">
        <w:rPr>
          <w:rFonts w:ascii="Times New Roman" w:hAnsi="Times New Roman" w:cs="Times New Roman"/>
          <w:sz w:val="24"/>
          <w:szCs w:val="24"/>
        </w:rPr>
        <w:t xml:space="preserve"> </w:t>
      </w:r>
      <w:r w:rsidR="008434A5" w:rsidRPr="00626A06">
        <w:rPr>
          <w:rFonts w:ascii="Times New Roman" w:hAnsi="Times New Roman" w:cs="Times New Roman"/>
          <w:sz w:val="24"/>
          <w:szCs w:val="24"/>
        </w:rPr>
        <w:t xml:space="preserve"> </w:t>
      </w:r>
    </w:p>
    <w:p w:rsidR="00464751" w:rsidRPr="00626A06" w:rsidRDefault="005B204D"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Many </w:t>
      </w:r>
      <w:r w:rsidR="00BF6027" w:rsidRPr="00626A06">
        <w:rPr>
          <w:rFonts w:ascii="Times New Roman" w:hAnsi="Times New Roman" w:cs="Times New Roman"/>
          <w:sz w:val="24"/>
          <w:szCs w:val="24"/>
        </w:rPr>
        <w:t xml:space="preserve">more technically legal questions </w:t>
      </w:r>
      <w:r w:rsidR="003A26A3" w:rsidRPr="00626A06">
        <w:rPr>
          <w:rFonts w:ascii="Times New Roman" w:hAnsi="Times New Roman" w:cs="Times New Roman"/>
          <w:sz w:val="24"/>
          <w:szCs w:val="24"/>
        </w:rPr>
        <w:t xml:space="preserve">about the reform </w:t>
      </w:r>
      <w:r w:rsidRPr="00626A06">
        <w:rPr>
          <w:rFonts w:ascii="Times New Roman" w:hAnsi="Times New Roman" w:cs="Times New Roman"/>
          <w:sz w:val="24"/>
          <w:szCs w:val="24"/>
        </w:rPr>
        <w:t>could be addressed</w:t>
      </w:r>
      <w:r w:rsidR="001D5B34" w:rsidRPr="00626A06">
        <w:rPr>
          <w:rFonts w:ascii="Times New Roman" w:hAnsi="Times New Roman" w:cs="Times New Roman"/>
          <w:sz w:val="24"/>
          <w:szCs w:val="24"/>
        </w:rPr>
        <w:t>. Of the</w:t>
      </w:r>
      <w:r w:rsidR="00BF6027" w:rsidRPr="00626A06">
        <w:rPr>
          <w:rFonts w:ascii="Times New Roman" w:hAnsi="Times New Roman" w:cs="Times New Roman"/>
          <w:sz w:val="24"/>
          <w:szCs w:val="24"/>
        </w:rPr>
        <w:t>se, one</w:t>
      </w:r>
      <w:r w:rsidRPr="00626A06">
        <w:rPr>
          <w:rFonts w:ascii="Times New Roman" w:hAnsi="Times New Roman" w:cs="Times New Roman"/>
          <w:sz w:val="24"/>
          <w:szCs w:val="24"/>
        </w:rPr>
        <w:t xml:space="preserve"> does deserve mention because it sheds some light on another aspect of the understanding of the law of tort during this formative period</w:t>
      </w:r>
      <w:r w:rsidR="0007273F" w:rsidRPr="00626A06">
        <w:rPr>
          <w:rFonts w:ascii="Times New Roman" w:hAnsi="Times New Roman" w:cs="Times New Roman"/>
          <w:sz w:val="24"/>
          <w:szCs w:val="24"/>
        </w:rPr>
        <w:t>, and our usual perception of it</w:t>
      </w:r>
      <w:r w:rsidRPr="00626A06">
        <w:rPr>
          <w:rFonts w:ascii="Times New Roman" w:hAnsi="Times New Roman" w:cs="Times New Roman"/>
          <w:sz w:val="24"/>
          <w:szCs w:val="24"/>
        </w:rPr>
        <w:t xml:space="preserve">. This </w:t>
      </w:r>
      <w:r w:rsidR="00BF6027" w:rsidRPr="00626A06">
        <w:rPr>
          <w:rFonts w:ascii="Times New Roman" w:hAnsi="Times New Roman" w:cs="Times New Roman"/>
          <w:sz w:val="24"/>
          <w:szCs w:val="24"/>
        </w:rPr>
        <w:t>is the relationship between actions in contract and tort</w:t>
      </w:r>
      <w:r w:rsidRPr="00626A06">
        <w:rPr>
          <w:rFonts w:ascii="Times New Roman" w:hAnsi="Times New Roman" w:cs="Times New Roman"/>
          <w:sz w:val="24"/>
          <w:szCs w:val="24"/>
        </w:rPr>
        <w:t xml:space="preserve"> where contributory negligence was concerned</w:t>
      </w:r>
      <w:r w:rsidR="00BF6027" w:rsidRPr="00626A06">
        <w:rPr>
          <w:rFonts w:ascii="Times New Roman" w:hAnsi="Times New Roman" w:cs="Times New Roman"/>
          <w:sz w:val="24"/>
          <w:szCs w:val="24"/>
        </w:rPr>
        <w:t xml:space="preserve">. </w:t>
      </w:r>
      <w:r w:rsidR="00902483" w:rsidRPr="00626A06">
        <w:rPr>
          <w:rFonts w:ascii="Times New Roman" w:hAnsi="Times New Roman" w:cs="Times New Roman"/>
          <w:sz w:val="24"/>
          <w:szCs w:val="24"/>
        </w:rPr>
        <w:t xml:space="preserve">Two </w:t>
      </w:r>
      <w:r w:rsidRPr="00626A06">
        <w:rPr>
          <w:rFonts w:ascii="Times New Roman" w:hAnsi="Times New Roman" w:cs="Times New Roman"/>
          <w:sz w:val="24"/>
          <w:szCs w:val="24"/>
        </w:rPr>
        <w:t>proviso</w:t>
      </w:r>
      <w:r w:rsidR="00902483" w:rsidRPr="00626A06">
        <w:rPr>
          <w:rFonts w:ascii="Times New Roman" w:hAnsi="Times New Roman" w:cs="Times New Roman"/>
          <w:sz w:val="24"/>
          <w:szCs w:val="24"/>
        </w:rPr>
        <w:t>s</w:t>
      </w:r>
      <w:r w:rsidRPr="00626A06">
        <w:rPr>
          <w:rFonts w:ascii="Times New Roman" w:hAnsi="Times New Roman" w:cs="Times New Roman"/>
          <w:sz w:val="24"/>
          <w:szCs w:val="24"/>
        </w:rPr>
        <w:t xml:space="preserve"> to section 1(1) </w:t>
      </w:r>
      <w:r w:rsidR="00464751" w:rsidRPr="00626A06">
        <w:rPr>
          <w:rFonts w:ascii="Times New Roman" w:hAnsi="Times New Roman" w:cs="Times New Roman"/>
          <w:sz w:val="24"/>
          <w:szCs w:val="24"/>
        </w:rPr>
        <w:t xml:space="preserve">of the 1945 Act </w:t>
      </w:r>
      <w:r w:rsidR="0080438A" w:rsidRPr="00626A06">
        <w:rPr>
          <w:rFonts w:ascii="Times New Roman" w:hAnsi="Times New Roman" w:cs="Times New Roman"/>
          <w:sz w:val="24"/>
          <w:szCs w:val="24"/>
        </w:rPr>
        <w:t>we</w:t>
      </w:r>
      <w:r w:rsidR="00902483" w:rsidRPr="00626A06">
        <w:rPr>
          <w:rFonts w:ascii="Times New Roman" w:hAnsi="Times New Roman" w:cs="Times New Roman"/>
          <w:sz w:val="24"/>
          <w:szCs w:val="24"/>
        </w:rPr>
        <w:t>re</w:t>
      </w:r>
      <w:r w:rsidRPr="00626A06">
        <w:rPr>
          <w:rFonts w:ascii="Times New Roman" w:hAnsi="Times New Roman" w:cs="Times New Roman"/>
          <w:sz w:val="24"/>
          <w:szCs w:val="24"/>
        </w:rPr>
        <w:t xml:space="preserve"> concerned to restrict the application of the reform </w:t>
      </w:r>
      <w:r w:rsidR="002D483B" w:rsidRPr="00626A06">
        <w:rPr>
          <w:rFonts w:ascii="Times New Roman" w:hAnsi="Times New Roman" w:cs="Times New Roman"/>
          <w:sz w:val="24"/>
          <w:szCs w:val="24"/>
        </w:rPr>
        <w:t>in</w:t>
      </w:r>
      <w:r w:rsidRPr="00626A06">
        <w:rPr>
          <w:rFonts w:ascii="Times New Roman" w:hAnsi="Times New Roman" w:cs="Times New Roman"/>
          <w:sz w:val="24"/>
          <w:szCs w:val="24"/>
        </w:rPr>
        <w:t xml:space="preserve"> contractual cases, and </w:t>
      </w:r>
      <w:r w:rsidR="00902483" w:rsidRPr="00626A06">
        <w:rPr>
          <w:rFonts w:ascii="Times New Roman" w:hAnsi="Times New Roman" w:cs="Times New Roman"/>
          <w:sz w:val="24"/>
          <w:szCs w:val="24"/>
        </w:rPr>
        <w:t xml:space="preserve">their </w:t>
      </w:r>
      <w:r w:rsidRPr="00626A06">
        <w:rPr>
          <w:rFonts w:ascii="Times New Roman" w:hAnsi="Times New Roman" w:cs="Times New Roman"/>
          <w:sz w:val="24"/>
          <w:szCs w:val="24"/>
        </w:rPr>
        <w:t xml:space="preserve">wording (which was redrafted several times) caused </w:t>
      </w:r>
      <w:r w:rsidR="00BF6027" w:rsidRPr="00626A06">
        <w:rPr>
          <w:rFonts w:ascii="Times New Roman" w:hAnsi="Times New Roman" w:cs="Times New Roman"/>
          <w:sz w:val="24"/>
          <w:szCs w:val="24"/>
        </w:rPr>
        <w:t xml:space="preserve">some considerable difficulty. </w:t>
      </w:r>
      <w:r w:rsidR="0080438A" w:rsidRPr="00626A06">
        <w:rPr>
          <w:rFonts w:ascii="Times New Roman" w:hAnsi="Times New Roman" w:cs="Times New Roman"/>
          <w:sz w:val="24"/>
          <w:szCs w:val="24"/>
        </w:rPr>
        <w:t>As enacted, t</w:t>
      </w:r>
      <w:r w:rsidR="00464751" w:rsidRPr="00626A06">
        <w:rPr>
          <w:rFonts w:ascii="Times New Roman" w:hAnsi="Times New Roman" w:cs="Times New Roman"/>
          <w:sz w:val="24"/>
          <w:szCs w:val="24"/>
        </w:rPr>
        <w:t xml:space="preserve">he first </w:t>
      </w:r>
      <w:r w:rsidR="001D5B34" w:rsidRPr="00626A06">
        <w:rPr>
          <w:rFonts w:ascii="Times New Roman" w:hAnsi="Times New Roman" w:cs="Times New Roman"/>
          <w:sz w:val="24"/>
          <w:szCs w:val="24"/>
        </w:rPr>
        <w:t xml:space="preserve">of these </w:t>
      </w:r>
      <w:r w:rsidR="00464751" w:rsidRPr="00626A06">
        <w:rPr>
          <w:rFonts w:ascii="Times New Roman" w:hAnsi="Times New Roman" w:cs="Times New Roman"/>
          <w:sz w:val="24"/>
          <w:szCs w:val="24"/>
        </w:rPr>
        <w:t xml:space="preserve">provides that the subsection ‘shall not operate to defeat any defence arising under a contract’. The second provides that where a contract </w:t>
      </w:r>
      <w:r w:rsidR="0080438A" w:rsidRPr="00626A06">
        <w:rPr>
          <w:rFonts w:ascii="Times New Roman" w:hAnsi="Times New Roman" w:cs="Times New Roman"/>
          <w:sz w:val="24"/>
          <w:szCs w:val="24"/>
        </w:rPr>
        <w:t xml:space="preserve">sets out a </w:t>
      </w:r>
      <w:r w:rsidR="00464751" w:rsidRPr="00626A06">
        <w:rPr>
          <w:rFonts w:ascii="Times New Roman" w:hAnsi="Times New Roman" w:cs="Times New Roman"/>
          <w:sz w:val="24"/>
          <w:szCs w:val="24"/>
        </w:rPr>
        <w:t>limitation of liability, the amount recoverable by the claimant under the section is not to exceed that limit.</w:t>
      </w:r>
    </w:p>
    <w:p w:rsidR="00862C63" w:rsidRPr="00626A06" w:rsidRDefault="00C70B3B"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The</w:t>
      </w:r>
      <w:r w:rsidR="00862C63" w:rsidRPr="00626A06">
        <w:rPr>
          <w:rFonts w:ascii="Times New Roman" w:hAnsi="Times New Roman" w:cs="Times New Roman"/>
          <w:sz w:val="24"/>
          <w:szCs w:val="24"/>
        </w:rPr>
        <w:t xml:space="preserve"> difficulty</w:t>
      </w:r>
      <w:r w:rsidRPr="00626A06">
        <w:rPr>
          <w:rFonts w:ascii="Times New Roman" w:hAnsi="Times New Roman" w:cs="Times New Roman"/>
          <w:sz w:val="24"/>
          <w:szCs w:val="24"/>
        </w:rPr>
        <w:t xml:space="preserve"> surrounding these provisos</w:t>
      </w:r>
      <w:r w:rsidR="00862C63" w:rsidRPr="00626A06">
        <w:rPr>
          <w:rFonts w:ascii="Times New Roman" w:hAnsi="Times New Roman" w:cs="Times New Roman"/>
          <w:sz w:val="24"/>
          <w:szCs w:val="24"/>
        </w:rPr>
        <w:t xml:space="preserve"> was by no means fleeting. Although the </w:t>
      </w:r>
      <w:r w:rsidRPr="00626A06">
        <w:rPr>
          <w:rFonts w:ascii="Times New Roman" w:hAnsi="Times New Roman" w:cs="Times New Roman"/>
          <w:sz w:val="24"/>
          <w:szCs w:val="24"/>
        </w:rPr>
        <w:t xml:space="preserve">first </w:t>
      </w:r>
      <w:r w:rsidR="00862C63" w:rsidRPr="00626A06">
        <w:rPr>
          <w:rFonts w:ascii="Times New Roman" w:hAnsi="Times New Roman" w:cs="Times New Roman"/>
          <w:sz w:val="24"/>
          <w:szCs w:val="24"/>
        </w:rPr>
        <w:t xml:space="preserve">had been redrafted by a small Committee consisting of Simon, Kent, Wright, and Napier, Simon still wrote a troubled memo to his draftsman during the Parliamentary debates to say that he could not explain </w:t>
      </w:r>
      <w:r w:rsidRPr="00626A06">
        <w:rPr>
          <w:rFonts w:ascii="Times New Roman" w:hAnsi="Times New Roman" w:cs="Times New Roman"/>
          <w:sz w:val="24"/>
          <w:szCs w:val="24"/>
        </w:rPr>
        <w:t>it</w:t>
      </w:r>
      <w:r w:rsidR="00862C63" w:rsidRPr="00626A06">
        <w:rPr>
          <w:rFonts w:ascii="Times New Roman" w:hAnsi="Times New Roman" w:cs="Times New Roman"/>
          <w:sz w:val="24"/>
          <w:szCs w:val="24"/>
        </w:rPr>
        <w:t xml:space="preserve"> to the House because</w:t>
      </w:r>
      <w:r w:rsidR="003D2F9F" w:rsidRPr="00626A06">
        <w:rPr>
          <w:rFonts w:ascii="Times New Roman" w:hAnsi="Times New Roman" w:cs="Times New Roman"/>
          <w:sz w:val="24"/>
          <w:szCs w:val="24"/>
        </w:rPr>
        <w:t xml:space="preserve"> (as he said) ‘I do not know what it means’</w:t>
      </w:r>
      <w:r w:rsidR="00862C63" w:rsidRPr="00626A06">
        <w:rPr>
          <w:rFonts w:ascii="Times New Roman" w:hAnsi="Times New Roman" w:cs="Times New Roman"/>
          <w:sz w:val="24"/>
          <w:szCs w:val="24"/>
        </w:rPr>
        <w:t>.</w:t>
      </w:r>
      <w:r w:rsidR="007E5213" w:rsidRPr="00626A06">
        <w:rPr>
          <w:rStyle w:val="FootnoteReference"/>
          <w:rFonts w:ascii="Times New Roman" w:hAnsi="Times New Roman" w:cs="Times New Roman"/>
          <w:sz w:val="24"/>
          <w:szCs w:val="24"/>
        </w:rPr>
        <w:footnoteReference w:id="113"/>
      </w:r>
      <w:r w:rsidR="00862C63" w:rsidRPr="00626A06">
        <w:rPr>
          <w:rFonts w:ascii="Times New Roman" w:hAnsi="Times New Roman" w:cs="Times New Roman"/>
          <w:sz w:val="24"/>
          <w:szCs w:val="24"/>
        </w:rPr>
        <w:t xml:space="preserve"> The original version of the proviso said that it would not ‘affect’ any claim under a contract. This was </w:t>
      </w:r>
      <w:r w:rsidR="000636B1" w:rsidRPr="00626A06">
        <w:rPr>
          <w:rFonts w:ascii="Times New Roman" w:hAnsi="Times New Roman" w:cs="Times New Roman"/>
          <w:sz w:val="24"/>
          <w:szCs w:val="24"/>
        </w:rPr>
        <w:t xml:space="preserve">rejected </w:t>
      </w:r>
      <w:r w:rsidR="00862C63" w:rsidRPr="00626A06">
        <w:rPr>
          <w:rFonts w:ascii="Times New Roman" w:hAnsi="Times New Roman" w:cs="Times New Roman"/>
          <w:sz w:val="24"/>
          <w:szCs w:val="24"/>
        </w:rPr>
        <w:t xml:space="preserve">on the basis of vagueness. Did it mean that an insurer could argue that although they had insured against liability, their </w:t>
      </w:r>
      <w:r w:rsidR="000636B1" w:rsidRPr="00626A06">
        <w:rPr>
          <w:rFonts w:ascii="Times New Roman" w:hAnsi="Times New Roman" w:cs="Times New Roman"/>
          <w:sz w:val="24"/>
          <w:szCs w:val="24"/>
        </w:rPr>
        <w:t xml:space="preserve">contractual obligation </w:t>
      </w:r>
      <w:r w:rsidR="00862C63" w:rsidRPr="00626A06">
        <w:rPr>
          <w:rFonts w:ascii="Times New Roman" w:hAnsi="Times New Roman" w:cs="Times New Roman"/>
          <w:sz w:val="24"/>
          <w:szCs w:val="24"/>
        </w:rPr>
        <w:t xml:space="preserve">was not ‘affected’ by the reform, so that they could count the claim as barred in full by the old doctrine of contributory negligence? </w:t>
      </w:r>
      <w:r w:rsidR="002D483B" w:rsidRPr="00626A06">
        <w:rPr>
          <w:rFonts w:ascii="Times New Roman" w:hAnsi="Times New Roman" w:cs="Times New Roman"/>
          <w:sz w:val="24"/>
          <w:szCs w:val="24"/>
        </w:rPr>
        <w:t>The second version, drafted by the small Committee</w:t>
      </w:r>
      <w:r w:rsidR="007E5213" w:rsidRPr="00626A06">
        <w:rPr>
          <w:rFonts w:ascii="Times New Roman" w:hAnsi="Times New Roman" w:cs="Times New Roman"/>
          <w:sz w:val="24"/>
          <w:szCs w:val="24"/>
        </w:rPr>
        <w:t xml:space="preserve"> and put to the House of Lords</w:t>
      </w:r>
      <w:r w:rsidR="002D483B" w:rsidRPr="00626A06">
        <w:rPr>
          <w:rFonts w:ascii="Times New Roman" w:hAnsi="Times New Roman" w:cs="Times New Roman"/>
          <w:sz w:val="24"/>
          <w:szCs w:val="24"/>
        </w:rPr>
        <w:t xml:space="preserve">, stated that Clause 1 ‘shall not apply to any claim in a contract and shall not operate to defeat any defence under a contract’. </w:t>
      </w:r>
      <w:r w:rsidR="007E5213" w:rsidRPr="00626A06">
        <w:rPr>
          <w:rFonts w:ascii="Times New Roman" w:hAnsi="Times New Roman" w:cs="Times New Roman"/>
          <w:sz w:val="24"/>
          <w:szCs w:val="24"/>
        </w:rPr>
        <w:t xml:space="preserve">The first part was eventually dropped. </w:t>
      </w:r>
      <w:r w:rsidR="00862C63" w:rsidRPr="00626A06">
        <w:rPr>
          <w:rFonts w:ascii="Times New Roman" w:hAnsi="Times New Roman" w:cs="Times New Roman"/>
          <w:sz w:val="24"/>
          <w:szCs w:val="24"/>
        </w:rPr>
        <w:t xml:space="preserve">It seems worth </w:t>
      </w:r>
      <w:r w:rsidR="00862C63" w:rsidRPr="00626A06">
        <w:rPr>
          <w:rFonts w:ascii="Times New Roman" w:hAnsi="Times New Roman" w:cs="Times New Roman"/>
          <w:sz w:val="24"/>
          <w:szCs w:val="24"/>
        </w:rPr>
        <w:lastRenderedPageBreak/>
        <w:t xml:space="preserve">exploring the discussions between the </w:t>
      </w:r>
      <w:r w:rsidRPr="00626A06">
        <w:rPr>
          <w:rFonts w:ascii="Times New Roman" w:hAnsi="Times New Roman" w:cs="Times New Roman"/>
          <w:sz w:val="24"/>
          <w:szCs w:val="24"/>
        </w:rPr>
        <w:t xml:space="preserve">drafters </w:t>
      </w:r>
      <w:r w:rsidR="00862C63" w:rsidRPr="00626A06">
        <w:rPr>
          <w:rFonts w:ascii="Times New Roman" w:hAnsi="Times New Roman" w:cs="Times New Roman"/>
          <w:sz w:val="24"/>
          <w:szCs w:val="24"/>
        </w:rPr>
        <w:t>on this point because it has been asked relatively recently whether the application of contributory negligence ought to be extended to contractual claims</w:t>
      </w:r>
      <w:r w:rsidR="000C0653" w:rsidRPr="00626A06">
        <w:rPr>
          <w:rFonts w:ascii="Times New Roman" w:hAnsi="Times New Roman" w:cs="Times New Roman"/>
          <w:sz w:val="24"/>
          <w:szCs w:val="24"/>
        </w:rPr>
        <w:t xml:space="preserve"> more generally</w:t>
      </w:r>
      <w:r w:rsidR="00862C63" w:rsidRPr="00626A06">
        <w:rPr>
          <w:rFonts w:ascii="Times New Roman" w:hAnsi="Times New Roman" w:cs="Times New Roman"/>
          <w:sz w:val="24"/>
          <w:szCs w:val="24"/>
        </w:rPr>
        <w:t>; and it has been suggested that the framers of the legislation will not have envisage</w:t>
      </w:r>
      <w:r w:rsidR="000C0653" w:rsidRPr="00626A06">
        <w:rPr>
          <w:rFonts w:ascii="Times New Roman" w:hAnsi="Times New Roman" w:cs="Times New Roman"/>
          <w:sz w:val="24"/>
          <w:szCs w:val="24"/>
        </w:rPr>
        <w:t>d</w:t>
      </w:r>
      <w:r w:rsidR="00862C63" w:rsidRPr="00626A06">
        <w:rPr>
          <w:rFonts w:ascii="Times New Roman" w:hAnsi="Times New Roman" w:cs="Times New Roman"/>
          <w:sz w:val="24"/>
          <w:szCs w:val="24"/>
        </w:rPr>
        <w:t xml:space="preserve"> the growth in ‘concurrent’ claims in contract and tort.</w:t>
      </w:r>
      <w:r w:rsidR="000C0653" w:rsidRPr="00626A06">
        <w:rPr>
          <w:rStyle w:val="FootnoteReference"/>
          <w:rFonts w:ascii="Times New Roman" w:hAnsi="Times New Roman" w:cs="Times New Roman"/>
          <w:sz w:val="24"/>
          <w:szCs w:val="24"/>
        </w:rPr>
        <w:footnoteReference w:id="114"/>
      </w:r>
    </w:p>
    <w:p w:rsidR="00F00A51" w:rsidRDefault="00862C63"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second of these comments seems a little wide of the mark, even though </w:t>
      </w:r>
      <w:r w:rsidR="00A30DAF">
        <w:rPr>
          <w:rFonts w:ascii="Times New Roman" w:hAnsi="Times New Roman" w:cs="Times New Roman"/>
          <w:sz w:val="24"/>
          <w:szCs w:val="24"/>
        </w:rPr>
        <w:t xml:space="preserve">the </w:t>
      </w:r>
      <w:r w:rsidRPr="00626A06">
        <w:rPr>
          <w:rFonts w:ascii="Times New Roman" w:hAnsi="Times New Roman" w:cs="Times New Roman"/>
          <w:sz w:val="24"/>
          <w:szCs w:val="24"/>
        </w:rPr>
        <w:t>LRC</w:t>
      </w:r>
      <w:r w:rsidR="00B0033C">
        <w:rPr>
          <w:rFonts w:ascii="Times New Roman" w:hAnsi="Times New Roman" w:cs="Times New Roman"/>
          <w:sz w:val="24"/>
          <w:szCs w:val="24"/>
        </w:rPr>
        <w:t>’s</w:t>
      </w:r>
      <w:r w:rsidRPr="00626A06">
        <w:rPr>
          <w:rFonts w:ascii="Times New Roman" w:hAnsi="Times New Roman" w:cs="Times New Roman"/>
          <w:sz w:val="24"/>
          <w:szCs w:val="24"/>
        </w:rPr>
        <w:t xml:space="preserve"> 8</w:t>
      </w:r>
      <w:r w:rsidRPr="00626A06">
        <w:rPr>
          <w:rFonts w:ascii="Times New Roman" w:hAnsi="Times New Roman" w:cs="Times New Roman"/>
          <w:sz w:val="24"/>
          <w:szCs w:val="24"/>
          <w:vertAlign w:val="superscript"/>
        </w:rPr>
        <w:t>th</w:t>
      </w:r>
      <w:r w:rsidRPr="00626A06">
        <w:rPr>
          <w:rFonts w:ascii="Times New Roman" w:hAnsi="Times New Roman" w:cs="Times New Roman"/>
          <w:sz w:val="24"/>
          <w:szCs w:val="24"/>
        </w:rPr>
        <w:t xml:space="preserve"> Report </w:t>
      </w:r>
      <w:r w:rsidR="00C70B3B" w:rsidRPr="00626A06">
        <w:rPr>
          <w:rFonts w:ascii="Times New Roman" w:hAnsi="Times New Roman" w:cs="Times New Roman"/>
          <w:sz w:val="24"/>
          <w:szCs w:val="24"/>
        </w:rPr>
        <w:t xml:space="preserve">did not </w:t>
      </w:r>
      <w:r w:rsidRPr="00626A06">
        <w:rPr>
          <w:rFonts w:ascii="Times New Roman" w:hAnsi="Times New Roman" w:cs="Times New Roman"/>
          <w:sz w:val="24"/>
          <w:szCs w:val="24"/>
        </w:rPr>
        <w:t xml:space="preserve">contain much reflection on contract. Firstly, it seems clear that the drafters of the legislation </w:t>
      </w:r>
      <w:r w:rsidR="0024348C" w:rsidRPr="00626A06">
        <w:rPr>
          <w:rFonts w:ascii="Times New Roman" w:hAnsi="Times New Roman" w:cs="Times New Roman"/>
          <w:sz w:val="24"/>
          <w:szCs w:val="24"/>
        </w:rPr>
        <w:t xml:space="preserve">thought it important not </w:t>
      </w:r>
      <w:r w:rsidRPr="00626A06">
        <w:rPr>
          <w:rFonts w:ascii="Times New Roman" w:hAnsi="Times New Roman" w:cs="Times New Roman"/>
          <w:sz w:val="24"/>
          <w:szCs w:val="24"/>
        </w:rPr>
        <w:t>to change the principles of the law of contract generally.</w:t>
      </w:r>
      <w:r w:rsidR="0080438A" w:rsidRPr="00626A06">
        <w:rPr>
          <w:rFonts w:ascii="Times New Roman" w:hAnsi="Times New Roman" w:cs="Times New Roman"/>
          <w:sz w:val="24"/>
          <w:szCs w:val="24"/>
        </w:rPr>
        <w:t xml:space="preserve"> As Kent put it in a letter dated 1 January 1945, </w:t>
      </w:r>
    </w:p>
    <w:p w:rsidR="00F00A51" w:rsidRDefault="0080438A" w:rsidP="00D7285D">
      <w:pPr>
        <w:spacing w:line="360" w:lineRule="auto"/>
        <w:ind w:left="720"/>
        <w:jc w:val="both"/>
        <w:rPr>
          <w:rFonts w:ascii="Times New Roman" w:hAnsi="Times New Roman" w:cs="Times New Roman"/>
          <w:sz w:val="24"/>
          <w:szCs w:val="24"/>
        </w:rPr>
      </w:pPr>
      <w:r w:rsidRPr="00626A06">
        <w:rPr>
          <w:rFonts w:ascii="Times New Roman" w:hAnsi="Times New Roman" w:cs="Times New Roman"/>
          <w:sz w:val="24"/>
          <w:szCs w:val="24"/>
        </w:rPr>
        <w:t xml:space="preserve">The law of contract defines the rights and remedies of parties to contracts and the cases in which damages are recoverable and it would be disastrous in my opinion if subsection (1) were regarded as applicable to ordinary claims for breaches of contract. </w:t>
      </w:r>
    </w:p>
    <w:p w:rsidR="0097527D" w:rsidRPr="00626A06" w:rsidRDefault="0080438A"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It was because of the definition of ‘fault’ in the statute that he felt there was no risk of this happening.</w:t>
      </w:r>
      <w:r w:rsidR="00C70B3B" w:rsidRPr="00626A06">
        <w:rPr>
          <w:rFonts w:ascii="Times New Roman" w:hAnsi="Times New Roman" w:cs="Times New Roman"/>
          <w:sz w:val="24"/>
          <w:szCs w:val="24"/>
        </w:rPr>
        <w:t xml:space="preserve"> The</w:t>
      </w:r>
      <w:r w:rsidR="00862C63" w:rsidRPr="00626A06">
        <w:rPr>
          <w:rFonts w:ascii="Times New Roman" w:hAnsi="Times New Roman" w:cs="Times New Roman"/>
          <w:sz w:val="24"/>
          <w:szCs w:val="24"/>
        </w:rPr>
        <w:t xml:space="preserve"> goal in including the contractual provisos was to ensure that apportionment for contributory negligence </w:t>
      </w:r>
      <w:r w:rsidR="0088234E" w:rsidRPr="00626A06">
        <w:rPr>
          <w:rFonts w:ascii="Times New Roman" w:hAnsi="Times New Roman" w:cs="Times New Roman"/>
          <w:sz w:val="24"/>
          <w:szCs w:val="24"/>
        </w:rPr>
        <w:t>disturbed neither the law of contract, nor the bargains of contracting parties</w:t>
      </w:r>
      <w:r w:rsidR="0041175D" w:rsidRPr="00626A06">
        <w:rPr>
          <w:rFonts w:ascii="Times New Roman" w:hAnsi="Times New Roman" w:cs="Times New Roman"/>
          <w:sz w:val="24"/>
          <w:szCs w:val="24"/>
        </w:rPr>
        <w:t>. At the same time, the drafters</w:t>
      </w:r>
      <w:r w:rsidR="00862C63" w:rsidRPr="00626A06">
        <w:rPr>
          <w:rFonts w:ascii="Times New Roman" w:hAnsi="Times New Roman" w:cs="Times New Roman"/>
          <w:sz w:val="24"/>
          <w:szCs w:val="24"/>
        </w:rPr>
        <w:t xml:space="preserve"> were clearly alive to the problems that could be posed by their proviso</w:t>
      </w:r>
      <w:r w:rsidR="00C70B3B" w:rsidRPr="00626A06">
        <w:rPr>
          <w:rFonts w:ascii="Times New Roman" w:hAnsi="Times New Roman" w:cs="Times New Roman"/>
          <w:sz w:val="24"/>
          <w:szCs w:val="24"/>
        </w:rPr>
        <w:t>s</w:t>
      </w:r>
      <w:r w:rsidR="00862C63" w:rsidRPr="00626A06">
        <w:rPr>
          <w:rFonts w:ascii="Times New Roman" w:hAnsi="Times New Roman" w:cs="Times New Roman"/>
          <w:sz w:val="24"/>
          <w:szCs w:val="24"/>
        </w:rPr>
        <w:t xml:space="preserve"> for </w:t>
      </w:r>
      <w:r w:rsidR="00981FC5" w:rsidRPr="00626A06">
        <w:rPr>
          <w:rFonts w:ascii="Times New Roman" w:hAnsi="Times New Roman" w:cs="Times New Roman"/>
          <w:sz w:val="24"/>
          <w:szCs w:val="24"/>
        </w:rPr>
        <w:t xml:space="preserve">cases </w:t>
      </w:r>
      <w:r w:rsidR="0088234E" w:rsidRPr="00626A06">
        <w:rPr>
          <w:rFonts w:ascii="Times New Roman" w:hAnsi="Times New Roman" w:cs="Times New Roman"/>
          <w:sz w:val="24"/>
          <w:szCs w:val="24"/>
        </w:rPr>
        <w:t xml:space="preserve">which would now be expressed in terms </w:t>
      </w:r>
      <w:r w:rsidR="00981FC5" w:rsidRPr="00626A06">
        <w:rPr>
          <w:rFonts w:ascii="Times New Roman" w:hAnsi="Times New Roman" w:cs="Times New Roman"/>
          <w:sz w:val="24"/>
          <w:szCs w:val="24"/>
        </w:rPr>
        <w:t xml:space="preserve">of </w:t>
      </w:r>
      <w:r w:rsidR="00862C63" w:rsidRPr="00626A06">
        <w:rPr>
          <w:rFonts w:ascii="Times New Roman" w:hAnsi="Times New Roman" w:cs="Times New Roman"/>
          <w:sz w:val="24"/>
          <w:szCs w:val="24"/>
        </w:rPr>
        <w:t xml:space="preserve">‘concurrency’. </w:t>
      </w:r>
      <w:r w:rsidR="0088234E" w:rsidRPr="00626A06">
        <w:rPr>
          <w:rFonts w:ascii="Times New Roman" w:hAnsi="Times New Roman" w:cs="Times New Roman"/>
          <w:sz w:val="24"/>
          <w:szCs w:val="24"/>
        </w:rPr>
        <w:t>R</w:t>
      </w:r>
      <w:r w:rsidR="00F333C5" w:rsidRPr="00626A06">
        <w:rPr>
          <w:rFonts w:ascii="Times New Roman" w:hAnsi="Times New Roman" w:cs="Times New Roman"/>
          <w:sz w:val="24"/>
          <w:szCs w:val="24"/>
        </w:rPr>
        <w:t xml:space="preserve">ejecting </w:t>
      </w:r>
      <w:r w:rsidR="00862C63" w:rsidRPr="00626A06">
        <w:rPr>
          <w:rFonts w:ascii="Times New Roman" w:hAnsi="Times New Roman" w:cs="Times New Roman"/>
          <w:sz w:val="24"/>
          <w:szCs w:val="24"/>
        </w:rPr>
        <w:t xml:space="preserve">a suggestion that the reform should be expressly </w:t>
      </w:r>
      <w:r w:rsidR="0088234E" w:rsidRPr="00626A06">
        <w:rPr>
          <w:rFonts w:ascii="Times New Roman" w:hAnsi="Times New Roman" w:cs="Times New Roman"/>
          <w:sz w:val="24"/>
          <w:szCs w:val="24"/>
        </w:rPr>
        <w:t>confined to claims ‘in tort’, Lord Simon i</w:t>
      </w:r>
      <w:r w:rsidR="00862C63" w:rsidRPr="00626A06">
        <w:rPr>
          <w:rFonts w:ascii="Times New Roman" w:hAnsi="Times New Roman" w:cs="Times New Roman"/>
          <w:sz w:val="24"/>
          <w:szCs w:val="24"/>
        </w:rPr>
        <w:t xml:space="preserve">s recorded as having pointed out that </w:t>
      </w:r>
      <w:r w:rsidR="00B71DEE" w:rsidRPr="00626A06">
        <w:rPr>
          <w:rFonts w:ascii="Times New Roman" w:hAnsi="Times New Roman" w:cs="Times New Roman"/>
          <w:sz w:val="24"/>
          <w:szCs w:val="24"/>
        </w:rPr>
        <w:t>‘many claims for damages for personal injuries were laid both in tort and as a breach of a contract to carry safely, and a plea of contributory negligence could be raised which, if successful, would defeat the plaintiff’.</w:t>
      </w:r>
      <w:r w:rsidR="002D483B" w:rsidRPr="00626A06">
        <w:rPr>
          <w:rStyle w:val="FootnoteReference"/>
          <w:rFonts w:ascii="Times New Roman" w:hAnsi="Times New Roman" w:cs="Times New Roman"/>
          <w:sz w:val="24"/>
          <w:szCs w:val="24"/>
        </w:rPr>
        <w:footnoteReference w:id="115"/>
      </w:r>
      <w:r w:rsidR="00B71DEE" w:rsidRPr="00626A06">
        <w:rPr>
          <w:rFonts w:ascii="Times New Roman" w:hAnsi="Times New Roman" w:cs="Times New Roman"/>
          <w:sz w:val="24"/>
          <w:szCs w:val="24"/>
        </w:rPr>
        <w:t xml:space="preserve"> </w:t>
      </w:r>
      <w:r w:rsidR="0088234E" w:rsidRPr="00626A06">
        <w:rPr>
          <w:rFonts w:ascii="Times New Roman" w:hAnsi="Times New Roman" w:cs="Times New Roman"/>
          <w:sz w:val="24"/>
          <w:szCs w:val="24"/>
        </w:rPr>
        <w:t>And he</w:t>
      </w:r>
      <w:r w:rsidR="00B71DEE" w:rsidRPr="00626A06">
        <w:rPr>
          <w:rFonts w:ascii="Times New Roman" w:hAnsi="Times New Roman" w:cs="Times New Roman"/>
          <w:sz w:val="24"/>
          <w:szCs w:val="24"/>
        </w:rPr>
        <w:t xml:space="preserve"> expressed a fear during the </w:t>
      </w:r>
      <w:r w:rsidR="00F00A51">
        <w:rPr>
          <w:rFonts w:ascii="Times New Roman" w:hAnsi="Times New Roman" w:cs="Times New Roman"/>
          <w:sz w:val="24"/>
          <w:szCs w:val="24"/>
        </w:rPr>
        <w:t>p</w:t>
      </w:r>
      <w:r w:rsidR="00B71DEE" w:rsidRPr="00626A06">
        <w:rPr>
          <w:rFonts w:ascii="Times New Roman" w:hAnsi="Times New Roman" w:cs="Times New Roman"/>
          <w:sz w:val="24"/>
          <w:szCs w:val="24"/>
        </w:rPr>
        <w:t xml:space="preserve">arliamentary debates that if the contractual proviso was read too broadly, his reform would end up applying only to cases of tort ‘between </w:t>
      </w:r>
      <w:r w:rsidR="0088234E" w:rsidRPr="00626A06">
        <w:rPr>
          <w:rFonts w:ascii="Times New Roman" w:hAnsi="Times New Roman" w:cs="Times New Roman"/>
          <w:sz w:val="24"/>
          <w:szCs w:val="24"/>
        </w:rPr>
        <w:t xml:space="preserve">parties who are </w:t>
      </w:r>
      <w:r w:rsidR="00B71DEE" w:rsidRPr="00626A06">
        <w:rPr>
          <w:rFonts w:ascii="Times New Roman" w:hAnsi="Times New Roman" w:cs="Times New Roman"/>
          <w:sz w:val="24"/>
          <w:szCs w:val="24"/>
        </w:rPr>
        <w:t>strangers</w:t>
      </w:r>
      <w:r w:rsidR="0088234E" w:rsidRPr="00626A06">
        <w:rPr>
          <w:rFonts w:ascii="Times New Roman" w:hAnsi="Times New Roman" w:cs="Times New Roman"/>
          <w:sz w:val="24"/>
          <w:szCs w:val="24"/>
        </w:rPr>
        <w:t xml:space="preserve">, </w:t>
      </w:r>
      <w:proofErr w:type="spellStart"/>
      <w:r w:rsidR="0088234E" w:rsidRPr="00626A06">
        <w:rPr>
          <w:rFonts w:ascii="Times New Roman" w:hAnsi="Times New Roman" w:cs="Times New Roman"/>
          <w:sz w:val="24"/>
          <w:szCs w:val="24"/>
        </w:rPr>
        <w:t>eg</w:t>
      </w:r>
      <w:proofErr w:type="spellEnd"/>
      <w:r w:rsidR="0088234E" w:rsidRPr="00626A06">
        <w:rPr>
          <w:rFonts w:ascii="Times New Roman" w:hAnsi="Times New Roman" w:cs="Times New Roman"/>
          <w:sz w:val="24"/>
          <w:szCs w:val="24"/>
        </w:rPr>
        <w:t xml:space="preserve"> two colliding motor cars or a running down case</w:t>
      </w:r>
      <w:r w:rsidR="00B71DEE" w:rsidRPr="00626A06">
        <w:rPr>
          <w:rFonts w:ascii="Times New Roman" w:hAnsi="Times New Roman" w:cs="Times New Roman"/>
          <w:sz w:val="24"/>
          <w:szCs w:val="24"/>
        </w:rPr>
        <w:t>’</w:t>
      </w:r>
      <w:r w:rsidR="0088234E" w:rsidRPr="00626A06">
        <w:rPr>
          <w:rFonts w:ascii="Times New Roman" w:hAnsi="Times New Roman" w:cs="Times New Roman"/>
          <w:sz w:val="24"/>
          <w:szCs w:val="24"/>
        </w:rPr>
        <w:t>, and that it would be argued that ‘i</w:t>
      </w:r>
      <w:r w:rsidR="00C70B3B" w:rsidRPr="00626A06">
        <w:rPr>
          <w:rFonts w:ascii="Times New Roman" w:hAnsi="Times New Roman" w:cs="Times New Roman"/>
          <w:sz w:val="24"/>
          <w:szCs w:val="24"/>
        </w:rPr>
        <w:t>t</w:t>
      </w:r>
      <w:r w:rsidR="0088234E" w:rsidRPr="00626A06">
        <w:rPr>
          <w:rFonts w:ascii="Times New Roman" w:hAnsi="Times New Roman" w:cs="Times New Roman"/>
          <w:sz w:val="24"/>
          <w:szCs w:val="24"/>
        </w:rPr>
        <w:t xml:space="preserve"> has no applicat</w:t>
      </w:r>
      <w:r w:rsidR="002D483B" w:rsidRPr="00626A06">
        <w:rPr>
          <w:rFonts w:ascii="Times New Roman" w:hAnsi="Times New Roman" w:cs="Times New Roman"/>
          <w:sz w:val="24"/>
          <w:szCs w:val="24"/>
        </w:rPr>
        <w:t>i</w:t>
      </w:r>
      <w:r w:rsidR="0088234E" w:rsidRPr="00626A06">
        <w:rPr>
          <w:rFonts w:ascii="Times New Roman" w:hAnsi="Times New Roman" w:cs="Times New Roman"/>
          <w:sz w:val="24"/>
          <w:szCs w:val="24"/>
        </w:rPr>
        <w:t xml:space="preserve">on at all where there is a contract between the parties, </w:t>
      </w:r>
      <w:proofErr w:type="spellStart"/>
      <w:r w:rsidR="0088234E" w:rsidRPr="00626A06">
        <w:rPr>
          <w:rFonts w:ascii="Times New Roman" w:hAnsi="Times New Roman" w:cs="Times New Roman"/>
          <w:sz w:val="24"/>
          <w:szCs w:val="24"/>
        </w:rPr>
        <w:t>eg</w:t>
      </w:r>
      <w:proofErr w:type="spellEnd"/>
      <w:r w:rsidR="0088234E" w:rsidRPr="00626A06">
        <w:rPr>
          <w:rFonts w:ascii="Times New Roman" w:hAnsi="Times New Roman" w:cs="Times New Roman"/>
          <w:sz w:val="24"/>
          <w:szCs w:val="24"/>
        </w:rPr>
        <w:t xml:space="preserve"> a railway ticket’</w:t>
      </w:r>
      <w:r w:rsidR="00C70B3B" w:rsidRPr="00626A06">
        <w:rPr>
          <w:rFonts w:ascii="Times New Roman" w:hAnsi="Times New Roman" w:cs="Times New Roman"/>
          <w:sz w:val="24"/>
          <w:szCs w:val="24"/>
        </w:rPr>
        <w:t>.</w:t>
      </w:r>
      <w:r w:rsidR="005530D3" w:rsidRPr="00626A06">
        <w:rPr>
          <w:rFonts w:ascii="Times New Roman" w:hAnsi="Times New Roman" w:cs="Times New Roman"/>
          <w:sz w:val="24"/>
          <w:szCs w:val="24"/>
        </w:rPr>
        <w:t xml:space="preserve"> </w:t>
      </w:r>
      <w:r w:rsidR="001D5B34" w:rsidRPr="00626A06">
        <w:rPr>
          <w:rFonts w:ascii="Times New Roman" w:hAnsi="Times New Roman" w:cs="Times New Roman"/>
          <w:sz w:val="24"/>
          <w:szCs w:val="24"/>
        </w:rPr>
        <w:t xml:space="preserve">It is for these reasons that </w:t>
      </w:r>
      <w:r w:rsidR="005530D3" w:rsidRPr="00626A06">
        <w:rPr>
          <w:rFonts w:ascii="Times New Roman" w:hAnsi="Times New Roman" w:cs="Times New Roman"/>
          <w:sz w:val="24"/>
          <w:szCs w:val="24"/>
        </w:rPr>
        <w:t>the first part of the proviso (‘shall not apply to a claim under a contract’) was deleted.</w:t>
      </w:r>
      <w:r w:rsidR="00C70B3B" w:rsidRPr="00626A06">
        <w:rPr>
          <w:rFonts w:ascii="Times New Roman" w:hAnsi="Times New Roman" w:cs="Times New Roman"/>
          <w:sz w:val="24"/>
          <w:szCs w:val="24"/>
        </w:rPr>
        <w:t xml:space="preserve"> Just as Kent felt strongly about affecting contract claims generally, Simon</w:t>
      </w:r>
      <w:r w:rsidR="00F333C5" w:rsidRPr="00626A06">
        <w:rPr>
          <w:rFonts w:ascii="Times New Roman" w:hAnsi="Times New Roman" w:cs="Times New Roman"/>
          <w:sz w:val="24"/>
          <w:szCs w:val="24"/>
        </w:rPr>
        <w:t xml:space="preserve"> would be ‘</w:t>
      </w:r>
      <w:r w:rsidR="0088234E" w:rsidRPr="00626A06">
        <w:rPr>
          <w:rFonts w:ascii="Times New Roman" w:hAnsi="Times New Roman" w:cs="Times New Roman"/>
          <w:sz w:val="24"/>
          <w:szCs w:val="24"/>
        </w:rPr>
        <w:t>wholly unwilling to father the B</w:t>
      </w:r>
      <w:r w:rsidR="00F333C5" w:rsidRPr="00626A06">
        <w:rPr>
          <w:rFonts w:ascii="Times New Roman" w:hAnsi="Times New Roman" w:cs="Times New Roman"/>
          <w:sz w:val="24"/>
          <w:szCs w:val="24"/>
        </w:rPr>
        <w:t>ill’ if</w:t>
      </w:r>
      <w:r w:rsidR="0041175D" w:rsidRPr="00626A06">
        <w:rPr>
          <w:rFonts w:ascii="Times New Roman" w:hAnsi="Times New Roman" w:cs="Times New Roman"/>
          <w:sz w:val="24"/>
          <w:szCs w:val="24"/>
        </w:rPr>
        <w:t xml:space="preserve"> its application in such cases should be in doubt</w:t>
      </w:r>
      <w:r w:rsidR="00B71DEE" w:rsidRPr="00626A06">
        <w:rPr>
          <w:rFonts w:ascii="Times New Roman" w:hAnsi="Times New Roman" w:cs="Times New Roman"/>
          <w:sz w:val="24"/>
          <w:szCs w:val="24"/>
        </w:rPr>
        <w:t>.</w:t>
      </w:r>
      <w:r w:rsidR="0088234E" w:rsidRPr="00626A06">
        <w:rPr>
          <w:rStyle w:val="FootnoteReference"/>
          <w:rFonts w:ascii="Times New Roman" w:hAnsi="Times New Roman" w:cs="Times New Roman"/>
          <w:sz w:val="24"/>
          <w:szCs w:val="24"/>
        </w:rPr>
        <w:footnoteReference w:id="116"/>
      </w:r>
      <w:r w:rsidR="00F333C5" w:rsidRPr="00626A06">
        <w:rPr>
          <w:rFonts w:ascii="Times New Roman" w:hAnsi="Times New Roman" w:cs="Times New Roman"/>
          <w:sz w:val="24"/>
          <w:szCs w:val="24"/>
        </w:rPr>
        <w:t xml:space="preserve"> </w:t>
      </w:r>
      <w:r w:rsidR="0097527D" w:rsidRPr="00626A06">
        <w:rPr>
          <w:rFonts w:ascii="Times New Roman" w:hAnsi="Times New Roman" w:cs="Times New Roman"/>
          <w:sz w:val="24"/>
          <w:szCs w:val="24"/>
        </w:rPr>
        <w:t xml:space="preserve">At </w:t>
      </w:r>
      <w:r w:rsidR="00B7484B" w:rsidRPr="00626A06">
        <w:rPr>
          <w:rFonts w:ascii="Times New Roman" w:hAnsi="Times New Roman" w:cs="Times New Roman"/>
          <w:sz w:val="24"/>
          <w:szCs w:val="24"/>
        </w:rPr>
        <w:t xml:space="preserve">around </w:t>
      </w:r>
      <w:r w:rsidR="0097527D" w:rsidRPr="00626A06">
        <w:rPr>
          <w:rFonts w:ascii="Times New Roman" w:hAnsi="Times New Roman" w:cs="Times New Roman"/>
          <w:sz w:val="24"/>
          <w:szCs w:val="24"/>
        </w:rPr>
        <w:t>the same time, Kent raised cases of employment</w:t>
      </w:r>
      <w:r w:rsidR="00F00A51">
        <w:rPr>
          <w:rFonts w:ascii="Times New Roman" w:hAnsi="Times New Roman" w:cs="Times New Roman"/>
          <w:sz w:val="24"/>
          <w:szCs w:val="24"/>
        </w:rPr>
        <w:t>,</w:t>
      </w:r>
      <w:r w:rsidR="0097527D" w:rsidRPr="00626A06">
        <w:rPr>
          <w:rFonts w:ascii="Times New Roman" w:hAnsi="Times New Roman" w:cs="Times New Roman"/>
          <w:sz w:val="24"/>
          <w:szCs w:val="24"/>
        </w:rPr>
        <w:t xml:space="preserve"> doctor-patient cases</w:t>
      </w:r>
      <w:r w:rsidR="00F00A51">
        <w:rPr>
          <w:rFonts w:ascii="Times New Roman" w:hAnsi="Times New Roman" w:cs="Times New Roman"/>
          <w:sz w:val="24"/>
          <w:szCs w:val="24"/>
        </w:rPr>
        <w:t>,</w:t>
      </w:r>
      <w:r w:rsidR="0097527D" w:rsidRPr="00626A06">
        <w:rPr>
          <w:rFonts w:ascii="Times New Roman" w:hAnsi="Times New Roman" w:cs="Times New Roman"/>
          <w:sz w:val="24"/>
          <w:szCs w:val="24"/>
        </w:rPr>
        <w:t xml:space="preserve"> and railway or common carrier cases to argue that there was a risk that claims </w:t>
      </w:r>
      <w:r w:rsidR="0097527D" w:rsidRPr="00626A06">
        <w:rPr>
          <w:rFonts w:ascii="Times New Roman" w:hAnsi="Times New Roman" w:cs="Times New Roman"/>
          <w:sz w:val="24"/>
          <w:szCs w:val="24"/>
        </w:rPr>
        <w:lastRenderedPageBreak/>
        <w:t>based on negligence would be defeated by the ‘old defence’ of contributory negligence if the proviso was too widely drawn.</w:t>
      </w:r>
      <w:r w:rsidR="00B7484B" w:rsidRPr="00626A06">
        <w:rPr>
          <w:rStyle w:val="FootnoteReference"/>
          <w:rFonts w:ascii="Times New Roman" w:hAnsi="Times New Roman" w:cs="Times New Roman"/>
          <w:sz w:val="24"/>
          <w:szCs w:val="24"/>
        </w:rPr>
        <w:footnoteReference w:id="117"/>
      </w:r>
      <w:r w:rsidR="0097527D" w:rsidRPr="00626A06">
        <w:rPr>
          <w:rFonts w:ascii="Times New Roman" w:hAnsi="Times New Roman" w:cs="Times New Roman"/>
          <w:sz w:val="24"/>
          <w:szCs w:val="24"/>
        </w:rPr>
        <w:t xml:space="preserve"> The limited proviso, therefore, was very carefully chosen with ‘concurrency’ in mind.</w:t>
      </w:r>
    </w:p>
    <w:p w:rsidR="00BF6027" w:rsidRPr="00626A06" w:rsidRDefault="00F333C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The evidence is that the drafters of the legislation wanted to avoid incursion of the statutory division of responsibility </w:t>
      </w:r>
      <w:r w:rsidR="005D7D88" w:rsidRPr="00626A06">
        <w:rPr>
          <w:rFonts w:ascii="Times New Roman" w:hAnsi="Times New Roman" w:cs="Times New Roman"/>
          <w:sz w:val="24"/>
          <w:szCs w:val="24"/>
        </w:rPr>
        <w:t xml:space="preserve">into </w:t>
      </w:r>
      <w:r w:rsidRPr="00626A06">
        <w:rPr>
          <w:rFonts w:ascii="Times New Roman" w:hAnsi="Times New Roman" w:cs="Times New Roman"/>
          <w:sz w:val="24"/>
          <w:szCs w:val="24"/>
        </w:rPr>
        <w:t>plain contractual cases,</w:t>
      </w:r>
      <w:r w:rsidR="00A15FB8" w:rsidRPr="00626A06">
        <w:rPr>
          <w:rFonts w:ascii="Times New Roman" w:hAnsi="Times New Roman" w:cs="Times New Roman"/>
          <w:sz w:val="24"/>
          <w:szCs w:val="24"/>
        </w:rPr>
        <w:t xml:space="preserve"> but that</w:t>
      </w:r>
      <w:r w:rsidRPr="00626A06">
        <w:rPr>
          <w:rFonts w:ascii="Times New Roman" w:hAnsi="Times New Roman" w:cs="Times New Roman"/>
          <w:sz w:val="24"/>
          <w:szCs w:val="24"/>
        </w:rPr>
        <w:t xml:space="preserve"> they were </w:t>
      </w:r>
      <w:r w:rsidR="00BF6027" w:rsidRPr="00626A06">
        <w:rPr>
          <w:rFonts w:ascii="Times New Roman" w:hAnsi="Times New Roman" w:cs="Times New Roman"/>
          <w:sz w:val="24"/>
          <w:szCs w:val="24"/>
        </w:rPr>
        <w:t xml:space="preserve">troubled by cases of overlap in contract and tort duties </w:t>
      </w:r>
      <w:r w:rsidRPr="00626A06">
        <w:rPr>
          <w:rFonts w:ascii="Times New Roman" w:hAnsi="Times New Roman" w:cs="Times New Roman"/>
          <w:sz w:val="24"/>
          <w:szCs w:val="24"/>
        </w:rPr>
        <w:t xml:space="preserve">and equally keen to have the reform </w:t>
      </w:r>
      <w:r w:rsidR="00C70B3B" w:rsidRPr="00626A06">
        <w:rPr>
          <w:rFonts w:ascii="Times New Roman" w:hAnsi="Times New Roman" w:cs="Times New Roman"/>
          <w:sz w:val="24"/>
          <w:szCs w:val="24"/>
        </w:rPr>
        <w:t xml:space="preserve">assist the claimant in </w:t>
      </w:r>
      <w:r w:rsidRPr="00626A06">
        <w:rPr>
          <w:rFonts w:ascii="Times New Roman" w:hAnsi="Times New Roman" w:cs="Times New Roman"/>
          <w:sz w:val="24"/>
          <w:szCs w:val="24"/>
        </w:rPr>
        <w:t>these cases</w:t>
      </w:r>
      <w:r w:rsidR="00BF6027" w:rsidRPr="00626A06">
        <w:rPr>
          <w:rFonts w:ascii="Times New Roman" w:hAnsi="Times New Roman" w:cs="Times New Roman"/>
          <w:sz w:val="24"/>
          <w:szCs w:val="24"/>
        </w:rPr>
        <w:t>.</w:t>
      </w:r>
      <w:r w:rsidRPr="00626A06">
        <w:rPr>
          <w:rFonts w:ascii="Times New Roman" w:hAnsi="Times New Roman" w:cs="Times New Roman"/>
          <w:sz w:val="24"/>
          <w:szCs w:val="24"/>
        </w:rPr>
        <w:t xml:space="preserve"> Despite the preo</w:t>
      </w:r>
      <w:r w:rsidR="001C2CE0">
        <w:rPr>
          <w:rFonts w:ascii="Times New Roman" w:hAnsi="Times New Roman" w:cs="Times New Roman"/>
          <w:sz w:val="24"/>
          <w:szCs w:val="24"/>
        </w:rPr>
        <w:t>c</w:t>
      </w:r>
      <w:r w:rsidRPr="00626A06">
        <w:rPr>
          <w:rFonts w:ascii="Times New Roman" w:hAnsi="Times New Roman" w:cs="Times New Roman"/>
          <w:sz w:val="24"/>
          <w:szCs w:val="24"/>
        </w:rPr>
        <w:t xml:space="preserve">cupation with road traffic </w:t>
      </w:r>
      <w:r w:rsidR="0024348C" w:rsidRPr="00626A06">
        <w:rPr>
          <w:rFonts w:ascii="Times New Roman" w:hAnsi="Times New Roman" w:cs="Times New Roman"/>
          <w:sz w:val="24"/>
          <w:szCs w:val="24"/>
        </w:rPr>
        <w:t xml:space="preserve">expressed in advancing </w:t>
      </w:r>
      <w:r w:rsidRPr="00626A06">
        <w:rPr>
          <w:rFonts w:ascii="Times New Roman" w:hAnsi="Times New Roman" w:cs="Times New Roman"/>
          <w:sz w:val="24"/>
          <w:szCs w:val="24"/>
        </w:rPr>
        <w:t xml:space="preserve">the proposals, Lord Simon was vividly aware that road traffic was not the whole law of tort. And indeed, it is </w:t>
      </w:r>
      <w:r w:rsidR="00AB7D96" w:rsidRPr="00626A06">
        <w:rPr>
          <w:rFonts w:ascii="Times New Roman" w:hAnsi="Times New Roman" w:cs="Times New Roman"/>
          <w:sz w:val="24"/>
          <w:szCs w:val="24"/>
        </w:rPr>
        <w:t xml:space="preserve">perhaps today’s perspective, not that of the 1930s and 40s, which </w:t>
      </w:r>
      <w:r w:rsidRPr="00626A06">
        <w:rPr>
          <w:rFonts w:ascii="Times New Roman" w:hAnsi="Times New Roman" w:cs="Times New Roman"/>
          <w:sz w:val="24"/>
          <w:szCs w:val="24"/>
        </w:rPr>
        <w:t>give</w:t>
      </w:r>
      <w:r w:rsidR="00A04B23" w:rsidRPr="00626A06">
        <w:rPr>
          <w:rFonts w:ascii="Times New Roman" w:hAnsi="Times New Roman" w:cs="Times New Roman"/>
          <w:sz w:val="24"/>
          <w:szCs w:val="24"/>
        </w:rPr>
        <w:t>s</w:t>
      </w:r>
      <w:r w:rsidRPr="00626A06">
        <w:rPr>
          <w:rFonts w:ascii="Times New Roman" w:hAnsi="Times New Roman" w:cs="Times New Roman"/>
          <w:sz w:val="24"/>
          <w:szCs w:val="24"/>
        </w:rPr>
        <w:t xml:space="preserve"> the impression that the law of negligence is primarily about duties between strangers.</w:t>
      </w:r>
    </w:p>
    <w:p w:rsidR="00247D76" w:rsidRPr="00626A06" w:rsidRDefault="00247D76" w:rsidP="00626A06">
      <w:pPr>
        <w:spacing w:line="360" w:lineRule="auto"/>
        <w:jc w:val="both"/>
        <w:rPr>
          <w:rFonts w:ascii="Times New Roman" w:hAnsi="Times New Roman" w:cs="Times New Roman"/>
          <w:b/>
          <w:sz w:val="24"/>
          <w:szCs w:val="24"/>
        </w:rPr>
      </w:pPr>
    </w:p>
    <w:p w:rsidR="00BD0B35" w:rsidRPr="00CC1AB3" w:rsidRDefault="00CC1AB3" w:rsidP="00626A06">
      <w:pPr>
        <w:spacing w:line="360" w:lineRule="auto"/>
        <w:jc w:val="both"/>
        <w:rPr>
          <w:rFonts w:ascii="Times New Roman" w:hAnsi="Times New Roman" w:cs="Times New Roman"/>
          <w:b/>
          <w:sz w:val="28"/>
          <w:szCs w:val="28"/>
        </w:rPr>
      </w:pPr>
      <w:r w:rsidRPr="00CC1AB3">
        <w:rPr>
          <w:rFonts w:ascii="Times New Roman" w:hAnsi="Times New Roman" w:cs="Times New Roman"/>
          <w:b/>
          <w:sz w:val="28"/>
          <w:szCs w:val="28"/>
        </w:rPr>
        <w:t xml:space="preserve">VIII. </w:t>
      </w:r>
      <w:r w:rsidR="00BD0B35" w:rsidRPr="00CC1AB3">
        <w:rPr>
          <w:rFonts w:ascii="Times New Roman" w:hAnsi="Times New Roman" w:cs="Times New Roman"/>
          <w:b/>
          <w:sz w:val="28"/>
          <w:szCs w:val="28"/>
        </w:rPr>
        <w:t>Conclusions</w:t>
      </w:r>
    </w:p>
    <w:p w:rsidR="00932977" w:rsidRPr="00626A06" w:rsidRDefault="00BD0B35"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 xml:space="preserve">At a time when </w:t>
      </w:r>
      <w:r w:rsidR="00B863C4" w:rsidRPr="00626A06">
        <w:rPr>
          <w:rFonts w:ascii="Times New Roman" w:hAnsi="Times New Roman" w:cs="Times New Roman"/>
          <w:sz w:val="24"/>
          <w:szCs w:val="24"/>
        </w:rPr>
        <w:t xml:space="preserve">judicial </w:t>
      </w:r>
      <w:r w:rsidRPr="00626A06">
        <w:rPr>
          <w:rFonts w:ascii="Times New Roman" w:hAnsi="Times New Roman" w:cs="Times New Roman"/>
          <w:sz w:val="24"/>
          <w:szCs w:val="24"/>
        </w:rPr>
        <w:t xml:space="preserve">precedents were </w:t>
      </w:r>
      <w:r w:rsidR="00901BF8" w:rsidRPr="00626A06">
        <w:rPr>
          <w:rFonts w:ascii="Times New Roman" w:hAnsi="Times New Roman" w:cs="Times New Roman"/>
          <w:sz w:val="24"/>
          <w:szCs w:val="24"/>
        </w:rPr>
        <w:t xml:space="preserve">often </w:t>
      </w:r>
      <w:r w:rsidRPr="00626A06">
        <w:rPr>
          <w:rFonts w:ascii="Times New Roman" w:hAnsi="Times New Roman" w:cs="Times New Roman"/>
          <w:sz w:val="24"/>
          <w:szCs w:val="24"/>
        </w:rPr>
        <w:t>read with too much precision and reverence,</w:t>
      </w:r>
      <w:r w:rsidR="00C16F80" w:rsidRPr="00626A06">
        <w:rPr>
          <w:rStyle w:val="FootnoteReference"/>
          <w:rFonts w:ascii="Times New Roman" w:hAnsi="Times New Roman" w:cs="Times New Roman"/>
          <w:sz w:val="24"/>
          <w:szCs w:val="24"/>
        </w:rPr>
        <w:footnoteReference w:id="118"/>
      </w:r>
      <w:r w:rsidRPr="00626A06">
        <w:rPr>
          <w:rFonts w:ascii="Times New Roman" w:hAnsi="Times New Roman" w:cs="Times New Roman"/>
          <w:sz w:val="24"/>
          <w:szCs w:val="24"/>
        </w:rPr>
        <w:t xml:space="preserve"> the </w:t>
      </w:r>
      <w:r w:rsidR="00AB7D96" w:rsidRPr="00626A06">
        <w:rPr>
          <w:rFonts w:ascii="Times New Roman" w:hAnsi="Times New Roman" w:cs="Times New Roman"/>
          <w:sz w:val="24"/>
          <w:szCs w:val="24"/>
        </w:rPr>
        <w:t xml:space="preserve">1945 Act pursued a </w:t>
      </w:r>
      <w:r w:rsidR="00B863C4" w:rsidRPr="00626A06">
        <w:rPr>
          <w:rFonts w:ascii="Times New Roman" w:hAnsi="Times New Roman" w:cs="Times New Roman"/>
          <w:sz w:val="24"/>
          <w:szCs w:val="24"/>
        </w:rPr>
        <w:t xml:space="preserve">broad and </w:t>
      </w:r>
      <w:r w:rsidRPr="00626A06">
        <w:rPr>
          <w:rFonts w:ascii="Times New Roman" w:hAnsi="Times New Roman" w:cs="Times New Roman"/>
          <w:sz w:val="24"/>
          <w:szCs w:val="24"/>
        </w:rPr>
        <w:t>simp</w:t>
      </w:r>
      <w:r w:rsidR="00B863C4" w:rsidRPr="00626A06">
        <w:rPr>
          <w:rFonts w:ascii="Times New Roman" w:hAnsi="Times New Roman" w:cs="Times New Roman"/>
          <w:sz w:val="24"/>
          <w:szCs w:val="24"/>
        </w:rPr>
        <w:t>le idea based on fairness</w:t>
      </w:r>
      <w:r w:rsidR="00E9550A" w:rsidRPr="00626A06">
        <w:rPr>
          <w:rFonts w:ascii="Times New Roman" w:hAnsi="Times New Roman" w:cs="Times New Roman"/>
          <w:sz w:val="24"/>
          <w:szCs w:val="24"/>
        </w:rPr>
        <w:t>.</w:t>
      </w:r>
      <w:r w:rsidR="00B863C4" w:rsidRPr="00626A06">
        <w:rPr>
          <w:rFonts w:ascii="Times New Roman" w:hAnsi="Times New Roman" w:cs="Times New Roman"/>
          <w:sz w:val="24"/>
          <w:szCs w:val="24"/>
        </w:rPr>
        <w:t xml:space="preserve"> This might </w:t>
      </w:r>
      <w:r w:rsidR="000B00C2" w:rsidRPr="00626A06">
        <w:rPr>
          <w:rFonts w:ascii="Times New Roman" w:hAnsi="Times New Roman" w:cs="Times New Roman"/>
          <w:sz w:val="24"/>
          <w:szCs w:val="24"/>
        </w:rPr>
        <w:t xml:space="preserve">challenge </w:t>
      </w:r>
      <w:r w:rsidR="00B863C4" w:rsidRPr="00626A06">
        <w:rPr>
          <w:rFonts w:ascii="Times New Roman" w:hAnsi="Times New Roman" w:cs="Times New Roman"/>
          <w:sz w:val="24"/>
          <w:szCs w:val="24"/>
        </w:rPr>
        <w:t>some modern assumptions about the relative nature of legislation and common law.</w:t>
      </w:r>
      <w:r w:rsidR="00E9550A" w:rsidRPr="00626A06">
        <w:rPr>
          <w:rFonts w:ascii="Times New Roman" w:hAnsi="Times New Roman" w:cs="Times New Roman"/>
          <w:sz w:val="24"/>
          <w:szCs w:val="24"/>
        </w:rPr>
        <w:t xml:space="preserve"> </w:t>
      </w:r>
      <w:r w:rsidR="000B00C2" w:rsidRPr="00626A06">
        <w:rPr>
          <w:rFonts w:ascii="Times New Roman" w:hAnsi="Times New Roman" w:cs="Times New Roman"/>
          <w:sz w:val="24"/>
          <w:szCs w:val="24"/>
        </w:rPr>
        <w:t>T</w:t>
      </w:r>
      <w:r w:rsidR="00A123B9" w:rsidRPr="00626A06">
        <w:rPr>
          <w:rFonts w:ascii="Times New Roman" w:hAnsi="Times New Roman" w:cs="Times New Roman"/>
          <w:sz w:val="24"/>
          <w:szCs w:val="24"/>
        </w:rPr>
        <w:t>he achievements of the Law Revision Committee</w:t>
      </w:r>
      <w:r w:rsidR="00B863C4" w:rsidRPr="00626A06">
        <w:rPr>
          <w:rFonts w:ascii="Times New Roman" w:hAnsi="Times New Roman" w:cs="Times New Roman"/>
          <w:sz w:val="24"/>
          <w:szCs w:val="24"/>
        </w:rPr>
        <w:t xml:space="preserve"> as a whole tend</w:t>
      </w:r>
      <w:r w:rsidR="00A123B9" w:rsidRPr="00626A06">
        <w:rPr>
          <w:rFonts w:ascii="Times New Roman" w:hAnsi="Times New Roman" w:cs="Times New Roman"/>
          <w:sz w:val="24"/>
          <w:szCs w:val="24"/>
        </w:rPr>
        <w:t xml:space="preserve"> to illustrate that</w:t>
      </w:r>
      <w:r w:rsidRPr="00626A06">
        <w:rPr>
          <w:rFonts w:ascii="Times New Roman" w:hAnsi="Times New Roman" w:cs="Times New Roman"/>
          <w:sz w:val="24"/>
          <w:szCs w:val="24"/>
        </w:rPr>
        <w:t xml:space="preserve"> </w:t>
      </w:r>
      <w:r w:rsidR="00A123B9" w:rsidRPr="00626A06">
        <w:rPr>
          <w:rFonts w:ascii="Times New Roman" w:hAnsi="Times New Roman" w:cs="Times New Roman"/>
          <w:sz w:val="24"/>
          <w:szCs w:val="24"/>
        </w:rPr>
        <w:t>legislative programmes, like patterns of case</w:t>
      </w:r>
      <w:r w:rsidR="00192CE7">
        <w:rPr>
          <w:rFonts w:ascii="Times New Roman" w:hAnsi="Times New Roman" w:cs="Times New Roman"/>
          <w:sz w:val="24"/>
          <w:szCs w:val="24"/>
        </w:rPr>
        <w:t>-</w:t>
      </w:r>
      <w:r w:rsidR="00A123B9" w:rsidRPr="00626A06">
        <w:rPr>
          <w:rFonts w:ascii="Times New Roman" w:hAnsi="Times New Roman" w:cs="Times New Roman"/>
          <w:sz w:val="24"/>
          <w:szCs w:val="24"/>
        </w:rPr>
        <w:t>law,</w:t>
      </w:r>
      <w:r w:rsidRPr="00626A06">
        <w:rPr>
          <w:rFonts w:ascii="Times New Roman" w:hAnsi="Times New Roman" w:cs="Times New Roman"/>
          <w:sz w:val="24"/>
          <w:szCs w:val="24"/>
        </w:rPr>
        <w:t xml:space="preserve"> can </w:t>
      </w:r>
      <w:r w:rsidR="00A123B9" w:rsidRPr="00626A06">
        <w:rPr>
          <w:rFonts w:ascii="Times New Roman" w:hAnsi="Times New Roman" w:cs="Times New Roman"/>
          <w:sz w:val="24"/>
          <w:szCs w:val="24"/>
        </w:rPr>
        <w:t>embody</w:t>
      </w:r>
      <w:r w:rsidRPr="00626A06">
        <w:rPr>
          <w:rFonts w:ascii="Times New Roman" w:hAnsi="Times New Roman" w:cs="Times New Roman"/>
          <w:sz w:val="24"/>
          <w:szCs w:val="24"/>
        </w:rPr>
        <w:t xml:space="preserve"> general trends and</w:t>
      </w:r>
      <w:r w:rsidR="00A123B9" w:rsidRPr="00626A06">
        <w:rPr>
          <w:rFonts w:ascii="Times New Roman" w:hAnsi="Times New Roman" w:cs="Times New Roman"/>
          <w:sz w:val="24"/>
          <w:szCs w:val="24"/>
        </w:rPr>
        <w:t xml:space="preserve"> display</w:t>
      </w:r>
      <w:r w:rsidRPr="00626A06">
        <w:rPr>
          <w:rFonts w:ascii="Times New Roman" w:hAnsi="Times New Roman" w:cs="Times New Roman"/>
          <w:sz w:val="24"/>
          <w:szCs w:val="24"/>
        </w:rPr>
        <w:t xml:space="preserve"> broad intentions</w:t>
      </w:r>
      <w:r w:rsidR="00B863C4" w:rsidRPr="00626A06">
        <w:rPr>
          <w:rFonts w:ascii="Times New Roman" w:hAnsi="Times New Roman" w:cs="Times New Roman"/>
          <w:sz w:val="24"/>
          <w:szCs w:val="24"/>
        </w:rPr>
        <w:t xml:space="preserve"> which </w:t>
      </w:r>
      <w:r w:rsidR="00044BDB" w:rsidRPr="00626A06">
        <w:rPr>
          <w:rFonts w:ascii="Times New Roman" w:hAnsi="Times New Roman" w:cs="Times New Roman"/>
          <w:sz w:val="24"/>
          <w:szCs w:val="24"/>
        </w:rPr>
        <w:t xml:space="preserve">have been sought </w:t>
      </w:r>
      <w:r w:rsidR="00AB7D96" w:rsidRPr="00626A06">
        <w:rPr>
          <w:rFonts w:ascii="Times New Roman" w:hAnsi="Times New Roman" w:cs="Times New Roman"/>
          <w:sz w:val="24"/>
          <w:szCs w:val="24"/>
        </w:rPr>
        <w:t xml:space="preserve">more often in </w:t>
      </w:r>
      <w:r w:rsidR="00B863C4" w:rsidRPr="00626A06">
        <w:rPr>
          <w:rFonts w:ascii="Times New Roman" w:hAnsi="Times New Roman" w:cs="Times New Roman"/>
          <w:sz w:val="24"/>
          <w:szCs w:val="24"/>
        </w:rPr>
        <w:t>common law principle</w:t>
      </w:r>
      <w:r w:rsidR="00A123B9" w:rsidRPr="00626A06">
        <w:rPr>
          <w:rFonts w:ascii="Times New Roman" w:hAnsi="Times New Roman" w:cs="Times New Roman"/>
          <w:sz w:val="24"/>
          <w:szCs w:val="24"/>
        </w:rPr>
        <w:t xml:space="preserve">. </w:t>
      </w:r>
    </w:p>
    <w:p w:rsidR="00607FA7" w:rsidRPr="00626A06" w:rsidRDefault="00AB7D96"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The 1945 Act originated</w:t>
      </w:r>
      <w:r w:rsidR="00932977" w:rsidRPr="00626A06">
        <w:rPr>
          <w:rFonts w:ascii="Times New Roman" w:hAnsi="Times New Roman" w:cs="Times New Roman"/>
          <w:sz w:val="24"/>
          <w:szCs w:val="24"/>
        </w:rPr>
        <w:t xml:space="preserve"> in </w:t>
      </w:r>
      <w:r w:rsidR="00CC4294" w:rsidRPr="00626A06">
        <w:rPr>
          <w:rFonts w:ascii="Times New Roman" w:hAnsi="Times New Roman" w:cs="Times New Roman"/>
          <w:sz w:val="24"/>
          <w:szCs w:val="24"/>
        </w:rPr>
        <w:t xml:space="preserve">an era when judges were perhaps at their most involved in legislative reforms and </w:t>
      </w:r>
      <w:r w:rsidR="00932977" w:rsidRPr="00626A06">
        <w:rPr>
          <w:rFonts w:ascii="Times New Roman" w:hAnsi="Times New Roman" w:cs="Times New Roman"/>
          <w:sz w:val="24"/>
          <w:szCs w:val="24"/>
        </w:rPr>
        <w:t xml:space="preserve">when </w:t>
      </w:r>
      <w:r w:rsidR="00CC4294" w:rsidRPr="00626A06">
        <w:rPr>
          <w:rFonts w:ascii="Times New Roman" w:hAnsi="Times New Roman" w:cs="Times New Roman"/>
          <w:sz w:val="24"/>
          <w:szCs w:val="24"/>
        </w:rPr>
        <w:t>the larger part of their legislative work was engaged with private law</w:t>
      </w:r>
      <w:r w:rsidR="00340710" w:rsidRPr="00626A06">
        <w:rPr>
          <w:rFonts w:ascii="Times New Roman" w:hAnsi="Times New Roman" w:cs="Times New Roman"/>
          <w:sz w:val="24"/>
          <w:szCs w:val="24"/>
        </w:rPr>
        <w:t>, transforming the approach to damages and division of liability</w:t>
      </w:r>
      <w:r w:rsidR="000B00C2" w:rsidRPr="00626A06">
        <w:rPr>
          <w:rFonts w:ascii="Times New Roman" w:hAnsi="Times New Roman" w:cs="Times New Roman"/>
          <w:sz w:val="24"/>
          <w:szCs w:val="24"/>
        </w:rPr>
        <w:t xml:space="preserve"> to far-reaching effect</w:t>
      </w:r>
      <w:r w:rsidR="00CC4294" w:rsidRPr="00626A06">
        <w:rPr>
          <w:rFonts w:ascii="Times New Roman" w:hAnsi="Times New Roman" w:cs="Times New Roman"/>
          <w:sz w:val="24"/>
          <w:szCs w:val="24"/>
        </w:rPr>
        <w:t>.</w:t>
      </w:r>
      <w:r w:rsidR="00BD0B35" w:rsidRPr="00626A06">
        <w:rPr>
          <w:rFonts w:ascii="Times New Roman" w:hAnsi="Times New Roman" w:cs="Times New Roman"/>
          <w:sz w:val="24"/>
          <w:szCs w:val="24"/>
        </w:rPr>
        <w:t xml:space="preserve"> </w:t>
      </w:r>
      <w:r w:rsidR="00482602" w:rsidRPr="00626A06">
        <w:rPr>
          <w:rFonts w:ascii="Times New Roman" w:hAnsi="Times New Roman" w:cs="Times New Roman"/>
          <w:sz w:val="24"/>
          <w:szCs w:val="24"/>
        </w:rPr>
        <w:t>These reform efforts were directly aimed at the common law itself, not at the creation of alternatives</w:t>
      </w:r>
      <w:r w:rsidR="008B4E9D" w:rsidRPr="00626A06">
        <w:rPr>
          <w:rFonts w:ascii="Times New Roman" w:hAnsi="Times New Roman" w:cs="Times New Roman"/>
          <w:sz w:val="24"/>
          <w:szCs w:val="24"/>
        </w:rPr>
        <w:t>, and helped secure the survival of the ‘alternative remedy’</w:t>
      </w:r>
      <w:r w:rsidR="00482602" w:rsidRPr="00626A06">
        <w:rPr>
          <w:rFonts w:ascii="Times New Roman" w:hAnsi="Times New Roman" w:cs="Times New Roman"/>
          <w:sz w:val="24"/>
          <w:szCs w:val="24"/>
        </w:rPr>
        <w:t xml:space="preserve">. </w:t>
      </w:r>
      <w:r w:rsidR="00932977" w:rsidRPr="00626A06">
        <w:rPr>
          <w:rFonts w:ascii="Times New Roman" w:hAnsi="Times New Roman" w:cs="Times New Roman"/>
          <w:sz w:val="24"/>
          <w:szCs w:val="24"/>
        </w:rPr>
        <w:t>T</w:t>
      </w:r>
      <w:r w:rsidR="00607FA7" w:rsidRPr="00626A06">
        <w:rPr>
          <w:rFonts w:ascii="Times New Roman" w:hAnsi="Times New Roman" w:cs="Times New Roman"/>
          <w:sz w:val="24"/>
          <w:szCs w:val="24"/>
        </w:rPr>
        <w:t>he</w:t>
      </w:r>
      <w:r w:rsidR="00BD0B35" w:rsidRPr="00626A06">
        <w:rPr>
          <w:rFonts w:ascii="Times New Roman" w:hAnsi="Times New Roman" w:cs="Times New Roman"/>
          <w:sz w:val="24"/>
          <w:szCs w:val="24"/>
        </w:rPr>
        <w:t xml:space="preserve"> solution</w:t>
      </w:r>
      <w:r w:rsidR="00607FA7" w:rsidRPr="00626A06">
        <w:rPr>
          <w:rFonts w:ascii="Times New Roman" w:hAnsi="Times New Roman" w:cs="Times New Roman"/>
          <w:sz w:val="24"/>
          <w:szCs w:val="24"/>
        </w:rPr>
        <w:t xml:space="preserve"> adopted</w:t>
      </w:r>
      <w:r w:rsidR="00932977" w:rsidRPr="00626A06">
        <w:rPr>
          <w:rFonts w:ascii="Times New Roman" w:hAnsi="Times New Roman" w:cs="Times New Roman"/>
          <w:sz w:val="24"/>
          <w:szCs w:val="24"/>
        </w:rPr>
        <w:t>,</w:t>
      </w:r>
      <w:r w:rsidR="00BD0B35" w:rsidRPr="00626A06">
        <w:rPr>
          <w:rFonts w:ascii="Times New Roman" w:hAnsi="Times New Roman" w:cs="Times New Roman"/>
          <w:sz w:val="24"/>
          <w:szCs w:val="24"/>
        </w:rPr>
        <w:t xml:space="preserve"> based in interpersonal fairness and </w:t>
      </w:r>
      <w:r w:rsidR="00607FA7" w:rsidRPr="00626A06">
        <w:rPr>
          <w:rFonts w:ascii="Times New Roman" w:hAnsi="Times New Roman" w:cs="Times New Roman"/>
          <w:sz w:val="24"/>
          <w:szCs w:val="24"/>
        </w:rPr>
        <w:t>transplanted (with amendment)</w:t>
      </w:r>
      <w:r w:rsidR="00BD0B35" w:rsidRPr="00626A06">
        <w:rPr>
          <w:rFonts w:ascii="Times New Roman" w:hAnsi="Times New Roman" w:cs="Times New Roman"/>
          <w:sz w:val="24"/>
          <w:szCs w:val="24"/>
        </w:rPr>
        <w:t xml:space="preserve"> from the context of ships, to road traffic, to</w:t>
      </w:r>
      <w:r w:rsidR="0082062A" w:rsidRPr="00626A06">
        <w:rPr>
          <w:rFonts w:ascii="Times New Roman" w:hAnsi="Times New Roman" w:cs="Times New Roman"/>
          <w:sz w:val="24"/>
          <w:szCs w:val="24"/>
        </w:rPr>
        <w:t xml:space="preserve"> industrial injury</w:t>
      </w:r>
      <w:r w:rsidR="00BD0B35" w:rsidRPr="00626A06">
        <w:rPr>
          <w:rFonts w:ascii="Times New Roman" w:hAnsi="Times New Roman" w:cs="Times New Roman"/>
          <w:sz w:val="24"/>
          <w:szCs w:val="24"/>
        </w:rPr>
        <w:t xml:space="preserve">, and of course </w:t>
      </w:r>
      <w:r w:rsidR="009A7BBD" w:rsidRPr="00626A06">
        <w:rPr>
          <w:rFonts w:ascii="Times New Roman" w:hAnsi="Times New Roman" w:cs="Times New Roman"/>
          <w:sz w:val="24"/>
          <w:szCs w:val="24"/>
        </w:rPr>
        <w:t xml:space="preserve">ultimately </w:t>
      </w:r>
      <w:proofErr w:type="gramStart"/>
      <w:r w:rsidR="00BD0B35" w:rsidRPr="00626A06">
        <w:rPr>
          <w:rFonts w:ascii="Times New Roman" w:hAnsi="Times New Roman" w:cs="Times New Roman"/>
          <w:sz w:val="24"/>
          <w:szCs w:val="24"/>
        </w:rPr>
        <w:t>to</w:t>
      </w:r>
      <w:proofErr w:type="gramEnd"/>
      <w:r w:rsidR="00BD0B35" w:rsidRPr="00626A06">
        <w:rPr>
          <w:rFonts w:ascii="Times New Roman" w:hAnsi="Times New Roman" w:cs="Times New Roman"/>
          <w:sz w:val="24"/>
          <w:szCs w:val="24"/>
        </w:rPr>
        <w:t xml:space="preserve"> many other contexts (such as prisoners’ suicides and physical or financial self-harming),</w:t>
      </w:r>
      <w:r w:rsidR="00A04B23" w:rsidRPr="00626A06">
        <w:rPr>
          <w:rFonts w:ascii="Times New Roman" w:hAnsi="Times New Roman" w:cs="Times New Roman"/>
          <w:sz w:val="24"/>
          <w:szCs w:val="24"/>
        </w:rPr>
        <w:t xml:space="preserve"> is deeply embedded today. </w:t>
      </w:r>
      <w:r w:rsidR="00901BF8" w:rsidRPr="00626A06">
        <w:rPr>
          <w:rFonts w:ascii="Times New Roman" w:hAnsi="Times New Roman" w:cs="Times New Roman"/>
          <w:sz w:val="24"/>
          <w:szCs w:val="24"/>
        </w:rPr>
        <w:t>All of these conte</w:t>
      </w:r>
      <w:r w:rsidR="008B4E9D" w:rsidRPr="00626A06">
        <w:rPr>
          <w:rFonts w:ascii="Times New Roman" w:hAnsi="Times New Roman" w:cs="Times New Roman"/>
          <w:sz w:val="24"/>
          <w:szCs w:val="24"/>
        </w:rPr>
        <w:t>xts have left their mark upon contributory negligence</w:t>
      </w:r>
      <w:r w:rsidR="00901BF8" w:rsidRPr="00626A06">
        <w:rPr>
          <w:rFonts w:ascii="Times New Roman" w:hAnsi="Times New Roman" w:cs="Times New Roman"/>
          <w:sz w:val="24"/>
          <w:szCs w:val="24"/>
        </w:rPr>
        <w:t xml:space="preserve">, and thus on the overall shape of the law of tort. </w:t>
      </w:r>
    </w:p>
    <w:p w:rsidR="00247D76" w:rsidRPr="00626A06" w:rsidRDefault="00EF5D4E"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lastRenderedPageBreak/>
        <w:t>T</w:t>
      </w:r>
      <w:r w:rsidR="00932977" w:rsidRPr="00626A06">
        <w:rPr>
          <w:rFonts w:ascii="Times New Roman" w:hAnsi="Times New Roman" w:cs="Times New Roman"/>
          <w:sz w:val="24"/>
          <w:szCs w:val="24"/>
        </w:rPr>
        <w:t xml:space="preserve">he 1945 Act illustrates that in the expansion of tort liability, and particularly of negligence liability, we should not underestimate the statutory innovations of the lawyer reformers. They sought to sweep away illogical doctrinal boundaries in the name of common sense fairness, and continued to do this at the very time that </w:t>
      </w:r>
      <w:r w:rsidR="005F4C7D" w:rsidRPr="00626A06">
        <w:rPr>
          <w:rFonts w:ascii="Times New Roman" w:hAnsi="Times New Roman" w:cs="Times New Roman"/>
          <w:sz w:val="24"/>
          <w:szCs w:val="24"/>
        </w:rPr>
        <w:t xml:space="preserve">an organised </w:t>
      </w:r>
      <w:r w:rsidR="00932977" w:rsidRPr="00626A06">
        <w:rPr>
          <w:rFonts w:ascii="Times New Roman" w:hAnsi="Times New Roman" w:cs="Times New Roman"/>
          <w:sz w:val="24"/>
          <w:szCs w:val="24"/>
        </w:rPr>
        <w:t>public response to need, including need created by accidental injury, was being discussed.</w:t>
      </w:r>
      <w:r w:rsidR="009E0D6A" w:rsidRPr="00626A06">
        <w:rPr>
          <w:rFonts w:ascii="Times New Roman" w:hAnsi="Times New Roman" w:cs="Times New Roman"/>
          <w:sz w:val="24"/>
          <w:szCs w:val="24"/>
        </w:rPr>
        <w:t xml:space="preserve"> The reform of contributory negligence is a microcosm of this process, occurring at the meeting point of two </w:t>
      </w:r>
      <w:r w:rsidR="00196C84" w:rsidRPr="00626A06">
        <w:rPr>
          <w:rFonts w:ascii="Times New Roman" w:hAnsi="Times New Roman" w:cs="Times New Roman"/>
          <w:sz w:val="24"/>
          <w:szCs w:val="24"/>
        </w:rPr>
        <w:t xml:space="preserve">equally important </w:t>
      </w:r>
      <w:r w:rsidR="009E0D6A" w:rsidRPr="00626A06">
        <w:rPr>
          <w:rFonts w:ascii="Times New Roman" w:hAnsi="Times New Roman" w:cs="Times New Roman"/>
          <w:sz w:val="24"/>
          <w:szCs w:val="24"/>
        </w:rPr>
        <w:t xml:space="preserve">eras of legal and political reform of </w:t>
      </w:r>
      <w:r w:rsidR="00FB416F" w:rsidRPr="00626A06">
        <w:rPr>
          <w:rFonts w:ascii="Times New Roman" w:hAnsi="Times New Roman" w:cs="Times New Roman"/>
          <w:sz w:val="24"/>
          <w:szCs w:val="24"/>
        </w:rPr>
        <w:t>response to</w:t>
      </w:r>
      <w:r w:rsidR="009E0D6A" w:rsidRPr="00626A06">
        <w:rPr>
          <w:rFonts w:ascii="Times New Roman" w:hAnsi="Times New Roman" w:cs="Times New Roman"/>
          <w:sz w:val="24"/>
          <w:szCs w:val="24"/>
        </w:rPr>
        <w:t xml:space="preserve"> accidental injury.</w:t>
      </w:r>
      <w:r w:rsidR="00627C6E" w:rsidRPr="00626A06">
        <w:rPr>
          <w:rFonts w:ascii="Times New Roman" w:hAnsi="Times New Roman" w:cs="Times New Roman"/>
          <w:sz w:val="24"/>
          <w:szCs w:val="24"/>
        </w:rPr>
        <w:t xml:space="preserve"> </w:t>
      </w:r>
      <w:r w:rsidR="002755AA" w:rsidRPr="00626A06">
        <w:rPr>
          <w:rFonts w:ascii="Times New Roman" w:hAnsi="Times New Roman" w:cs="Times New Roman"/>
          <w:sz w:val="24"/>
          <w:szCs w:val="24"/>
        </w:rPr>
        <w:t>For this reason, t</w:t>
      </w:r>
      <w:r w:rsidR="0097527D" w:rsidRPr="00626A06">
        <w:rPr>
          <w:rFonts w:ascii="Times New Roman" w:hAnsi="Times New Roman" w:cs="Times New Roman"/>
          <w:sz w:val="24"/>
          <w:szCs w:val="24"/>
        </w:rPr>
        <w:t>he tangled reform of contributory negligence anticipates some of the continuing problems of the tort of negligence today</w:t>
      </w:r>
      <w:r w:rsidR="001975AE" w:rsidRPr="00626A06">
        <w:rPr>
          <w:rFonts w:ascii="Times New Roman" w:hAnsi="Times New Roman" w:cs="Times New Roman"/>
          <w:sz w:val="24"/>
          <w:szCs w:val="24"/>
        </w:rPr>
        <w:t>.</w:t>
      </w:r>
      <w:r w:rsidR="000B76DF" w:rsidRPr="00626A06">
        <w:rPr>
          <w:rStyle w:val="FootnoteReference"/>
          <w:rFonts w:ascii="Times New Roman" w:hAnsi="Times New Roman" w:cs="Times New Roman"/>
          <w:sz w:val="24"/>
          <w:szCs w:val="24"/>
        </w:rPr>
        <w:footnoteReference w:id="119"/>
      </w:r>
      <w:r w:rsidR="000B76DF" w:rsidRPr="00626A06">
        <w:rPr>
          <w:rFonts w:ascii="Times New Roman" w:hAnsi="Times New Roman" w:cs="Times New Roman"/>
          <w:sz w:val="24"/>
          <w:szCs w:val="24"/>
        </w:rPr>
        <w:t xml:space="preserve"> </w:t>
      </w:r>
      <w:r w:rsidR="00307C33" w:rsidRPr="00626A06">
        <w:rPr>
          <w:rFonts w:ascii="Times New Roman" w:hAnsi="Times New Roman" w:cs="Times New Roman"/>
          <w:sz w:val="24"/>
          <w:szCs w:val="24"/>
        </w:rPr>
        <w:t>More</w:t>
      </w:r>
      <w:r w:rsidR="002755AA" w:rsidRPr="00626A06">
        <w:rPr>
          <w:rFonts w:ascii="Times New Roman" w:hAnsi="Times New Roman" w:cs="Times New Roman"/>
          <w:sz w:val="24"/>
          <w:szCs w:val="24"/>
        </w:rPr>
        <w:t xml:space="preserve"> than this</w:t>
      </w:r>
      <w:r w:rsidR="00DD2F7E" w:rsidRPr="00626A06">
        <w:rPr>
          <w:rFonts w:ascii="Times New Roman" w:hAnsi="Times New Roman" w:cs="Times New Roman"/>
          <w:sz w:val="24"/>
          <w:szCs w:val="24"/>
        </w:rPr>
        <w:t xml:space="preserve"> however</w:t>
      </w:r>
      <w:r w:rsidR="00307C33" w:rsidRPr="00626A06">
        <w:rPr>
          <w:rFonts w:ascii="Times New Roman" w:hAnsi="Times New Roman" w:cs="Times New Roman"/>
          <w:sz w:val="24"/>
          <w:szCs w:val="24"/>
        </w:rPr>
        <w:t>, while tort is seen as a ‘legal’ category, held together by principles in contrast to the ‘contextual’ unity of certain other branches of law,</w:t>
      </w:r>
      <w:r w:rsidR="00307C33" w:rsidRPr="00626A06">
        <w:rPr>
          <w:rStyle w:val="FootnoteReference"/>
          <w:rFonts w:ascii="Times New Roman" w:hAnsi="Times New Roman" w:cs="Times New Roman"/>
          <w:sz w:val="24"/>
          <w:szCs w:val="24"/>
        </w:rPr>
        <w:footnoteReference w:id="120"/>
      </w:r>
      <w:r w:rsidR="00307C33" w:rsidRPr="00626A06">
        <w:rPr>
          <w:rFonts w:ascii="Times New Roman" w:hAnsi="Times New Roman" w:cs="Times New Roman"/>
          <w:sz w:val="24"/>
          <w:szCs w:val="24"/>
        </w:rPr>
        <w:t xml:space="preserve"> the history</w:t>
      </w:r>
      <w:r w:rsidR="00A654A1" w:rsidRPr="00626A06">
        <w:rPr>
          <w:rFonts w:ascii="Times New Roman" w:hAnsi="Times New Roman" w:cs="Times New Roman"/>
          <w:sz w:val="24"/>
          <w:szCs w:val="24"/>
        </w:rPr>
        <w:t xml:space="preserve"> of the 1945 reform</w:t>
      </w:r>
      <w:r w:rsidR="00307C33" w:rsidRPr="00626A06">
        <w:rPr>
          <w:rFonts w:ascii="Times New Roman" w:hAnsi="Times New Roman" w:cs="Times New Roman"/>
          <w:sz w:val="24"/>
          <w:szCs w:val="24"/>
        </w:rPr>
        <w:t xml:space="preserve"> suggests that even the most general principles of tort have been deeply affected by the diverse contexts in which</w:t>
      </w:r>
      <w:r w:rsidR="002755AA" w:rsidRPr="00626A06">
        <w:rPr>
          <w:rFonts w:ascii="Times New Roman" w:hAnsi="Times New Roman" w:cs="Times New Roman"/>
          <w:sz w:val="24"/>
          <w:szCs w:val="24"/>
        </w:rPr>
        <w:t xml:space="preserve"> the law must operate</w:t>
      </w:r>
      <w:r w:rsidR="00307C33" w:rsidRPr="00626A06">
        <w:rPr>
          <w:rFonts w:ascii="Times New Roman" w:hAnsi="Times New Roman" w:cs="Times New Roman"/>
          <w:sz w:val="24"/>
          <w:szCs w:val="24"/>
        </w:rPr>
        <w:t>.</w:t>
      </w:r>
      <w:r w:rsidR="00A55B4F" w:rsidRPr="00626A06">
        <w:rPr>
          <w:rFonts w:ascii="Times New Roman" w:hAnsi="Times New Roman" w:cs="Times New Roman"/>
          <w:sz w:val="24"/>
          <w:szCs w:val="24"/>
        </w:rPr>
        <w:t xml:space="preserve"> The long-forgotten </w:t>
      </w:r>
      <w:r w:rsidR="00247D76" w:rsidRPr="00626A06">
        <w:rPr>
          <w:rFonts w:ascii="Times New Roman" w:hAnsi="Times New Roman" w:cs="Times New Roman"/>
          <w:sz w:val="24"/>
          <w:szCs w:val="24"/>
        </w:rPr>
        <w:t xml:space="preserve">repeal of </w:t>
      </w:r>
      <w:r w:rsidR="00A55B4F" w:rsidRPr="00626A06">
        <w:rPr>
          <w:rFonts w:ascii="Times New Roman" w:hAnsi="Times New Roman" w:cs="Times New Roman"/>
          <w:sz w:val="24"/>
          <w:szCs w:val="24"/>
        </w:rPr>
        <w:t>s</w:t>
      </w:r>
      <w:r w:rsidR="00581467">
        <w:rPr>
          <w:rFonts w:ascii="Times New Roman" w:hAnsi="Times New Roman" w:cs="Times New Roman"/>
          <w:sz w:val="24"/>
          <w:szCs w:val="24"/>
        </w:rPr>
        <w:t xml:space="preserve">ection </w:t>
      </w:r>
      <w:r w:rsidR="00A55B4F" w:rsidRPr="00626A06">
        <w:rPr>
          <w:rFonts w:ascii="Times New Roman" w:hAnsi="Times New Roman" w:cs="Times New Roman"/>
          <w:sz w:val="24"/>
          <w:szCs w:val="24"/>
        </w:rPr>
        <w:t xml:space="preserve">2 (dealing with workmen’s compensation), and the silence as to employee claims in </w:t>
      </w:r>
      <w:r w:rsidR="00581467">
        <w:rPr>
          <w:rFonts w:ascii="Times New Roman" w:hAnsi="Times New Roman" w:cs="Times New Roman"/>
          <w:sz w:val="24"/>
          <w:szCs w:val="24"/>
        </w:rPr>
        <w:t xml:space="preserve">the </w:t>
      </w:r>
      <w:r w:rsidR="00A55B4F" w:rsidRPr="00626A06">
        <w:rPr>
          <w:rFonts w:ascii="Times New Roman" w:hAnsi="Times New Roman" w:cs="Times New Roman"/>
          <w:sz w:val="24"/>
          <w:szCs w:val="24"/>
        </w:rPr>
        <w:t>LRC</w:t>
      </w:r>
      <w:r w:rsidR="00B0033C">
        <w:rPr>
          <w:rFonts w:ascii="Times New Roman" w:hAnsi="Times New Roman" w:cs="Times New Roman"/>
          <w:sz w:val="24"/>
          <w:szCs w:val="24"/>
        </w:rPr>
        <w:t>’s</w:t>
      </w:r>
      <w:r w:rsidR="00A55B4F" w:rsidRPr="00626A06">
        <w:rPr>
          <w:rFonts w:ascii="Times New Roman" w:hAnsi="Times New Roman" w:cs="Times New Roman"/>
          <w:sz w:val="24"/>
          <w:szCs w:val="24"/>
        </w:rPr>
        <w:t xml:space="preserve"> 8</w:t>
      </w:r>
      <w:r w:rsidR="00A55B4F" w:rsidRPr="00626A06">
        <w:rPr>
          <w:rFonts w:ascii="Times New Roman" w:hAnsi="Times New Roman" w:cs="Times New Roman"/>
          <w:sz w:val="24"/>
          <w:szCs w:val="24"/>
          <w:vertAlign w:val="superscript"/>
        </w:rPr>
        <w:t>th</w:t>
      </w:r>
      <w:r w:rsidR="00A55B4F" w:rsidRPr="00626A06">
        <w:rPr>
          <w:rFonts w:ascii="Times New Roman" w:hAnsi="Times New Roman" w:cs="Times New Roman"/>
          <w:sz w:val="24"/>
          <w:szCs w:val="24"/>
        </w:rPr>
        <w:t xml:space="preserve"> Report, have made inaccessible to later readers the decisive role of workmen’s claims in the production of an entirely new provision, as opposed to the import of a model based on mutual l</w:t>
      </w:r>
      <w:r w:rsidR="00F4263C" w:rsidRPr="00626A06">
        <w:rPr>
          <w:rFonts w:ascii="Times New Roman" w:hAnsi="Times New Roman" w:cs="Times New Roman"/>
          <w:sz w:val="24"/>
          <w:szCs w:val="24"/>
        </w:rPr>
        <w:t>iability.</w:t>
      </w:r>
      <w:r w:rsidR="00A55B4F" w:rsidRPr="00626A06">
        <w:rPr>
          <w:rFonts w:ascii="Times New Roman" w:hAnsi="Times New Roman" w:cs="Times New Roman"/>
          <w:sz w:val="24"/>
          <w:szCs w:val="24"/>
        </w:rPr>
        <w:t xml:space="preserve"> Equally importantly, the suitability of this entirely new provision for later twentieth century approaches to personal injury damages became clear only over time</w:t>
      </w:r>
      <w:r w:rsidR="00105AB7" w:rsidRPr="00626A06">
        <w:rPr>
          <w:rFonts w:ascii="Times New Roman" w:hAnsi="Times New Roman" w:cs="Times New Roman"/>
          <w:sz w:val="24"/>
          <w:szCs w:val="24"/>
        </w:rPr>
        <w:t xml:space="preserve">, and will not have been </w:t>
      </w:r>
      <w:r w:rsidR="00105E31" w:rsidRPr="00626A06">
        <w:rPr>
          <w:rFonts w:ascii="Times New Roman" w:hAnsi="Times New Roman" w:cs="Times New Roman"/>
          <w:sz w:val="24"/>
          <w:szCs w:val="24"/>
        </w:rPr>
        <w:t xml:space="preserve">wholly apparent </w:t>
      </w:r>
      <w:r w:rsidR="00105AB7" w:rsidRPr="00626A06">
        <w:rPr>
          <w:rFonts w:ascii="Times New Roman" w:hAnsi="Times New Roman" w:cs="Times New Roman"/>
          <w:sz w:val="24"/>
          <w:szCs w:val="24"/>
        </w:rPr>
        <w:t>to any of those involved in the process of legislation</w:t>
      </w:r>
      <w:r w:rsidR="00A55B4F" w:rsidRPr="00626A06">
        <w:rPr>
          <w:rFonts w:ascii="Times New Roman" w:hAnsi="Times New Roman" w:cs="Times New Roman"/>
          <w:sz w:val="24"/>
          <w:szCs w:val="24"/>
        </w:rPr>
        <w:t>. In the redrafting of s</w:t>
      </w:r>
      <w:r w:rsidR="00581467">
        <w:rPr>
          <w:rFonts w:ascii="Times New Roman" w:hAnsi="Times New Roman" w:cs="Times New Roman"/>
          <w:sz w:val="24"/>
          <w:szCs w:val="24"/>
        </w:rPr>
        <w:t xml:space="preserve">ection </w:t>
      </w:r>
      <w:r w:rsidR="00A55B4F" w:rsidRPr="00626A06">
        <w:rPr>
          <w:rFonts w:ascii="Times New Roman" w:hAnsi="Times New Roman" w:cs="Times New Roman"/>
          <w:sz w:val="24"/>
          <w:szCs w:val="24"/>
        </w:rPr>
        <w:t>1, and the gradual change in understanding of legal cause which followed, we can see the emergence of an approach which focuses primarily on an injured party and a party in breach, with the emphasis on the link between injurer and injured in terms of responsib</w:t>
      </w:r>
      <w:r w:rsidR="00F4263C" w:rsidRPr="00626A06">
        <w:rPr>
          <w:rFonts w:ascii="Times New Roman" w:hAnsi="Times New Roman" w:cs="Times New Roman"/>
          <w:sz w:val="24"/>
          <w:szCs w:val="24"/>
        </w:rPr>
        <w:t>ility for the injury.</w:t>
      </w:r>
    </w:p>
    <w:p w:rsidR="00BD0B35" w:rsidRPr="00626A06" w:rsidRDefault="00F4263C" w:rsidP="00626A06">
      <w:pPr>
        <w:spacing w:line="360" w:lineRule="auto"/>
        <w:jc w:val="both"/>
        <w:rPr>
          <w:rFonts w:ascii="Times New Roman" w:hAnsi="Times New Roman" w:cs="Times New Roman"/>
          <w:sz w:val="24"/>
          <w:szCs w:val="24"/>
        </w:rPr>
      </w:pPr>
      <w:r w:rsidRPr="00626A06">
        <w:rPr>
          <w:rFonts w:ascii="Times New Roman" w:hAnsi="Times New Roman" w:cs="Times New Roman"/>
          <w:sz w:val="24"/>
          <w:szCs w:val="24"/>
        </w:rPr>
        <w:t>In this sense</w:t>
      </w:r>
      <w:r w:rsidR="00A55B4F" w:rsidRPr="00626A06">
        <w:rPr>
          <w:rFonts w:ascii="Times New Roman" w:hAnsi="Times New Roman" w:cs="Times New Roman"/>
          <w:sz w:val="24"/>
          <w:szCs w:val="24"/>
        </w:rPr>
        <w:t>, the impact of the Act on legal principle</w:t>
      </w:r>
      <w:r w:rsidRPr="00626A06">
        <w:rPr>
          <w:rFonts w:ascii="Times New Roman" w:hAnsi="Times New Roman" w:cs="Times New Roman"/>
          <w:sz w:val="24"/>
          <w:szCs w:val="24"/>
        </w:rPr>
        <w:t>,</w:t>
      </w:r>
      <w:r w:rsidR="00A55B4F" w:rsidRPr="00626A06">
        <w:rPr>
          <w:rFonts w:ascii="Times New Roman" w:hAnsi="Times New Roman" w:cs="Times New Roman"/>
          <w:sz w:val="24"/>
          <w:szCs w:val="24"/>
        </w:rPr>
        <w:t xml:space="preserve"> even legal theory</w:t>
      </w:r>
      <w:r w:rsidRPr="00626A06">
        <w:rPr>
          <w:rFonts w:ascii="Times New Roman" w:hAnsi="Times New Roman" w:cs="Times New Roman"/>
          <w:sz w:val="24"/>
          <w:szCs w:val="24"/>
        </w:rPr>
        <w:t>,</w:t>
      </w:r>
      <w:r w:rsidR="00A55B4F" w:rsidRPr="00626A06">
        <w:rPr>
          <w:rFonts w:ascii="Times New Roman" w:hAnsi="Times New Roman" w:cs="Times New Roman"/>
          <w:sz w:val="24"/>
          <w:szCs w:val="24"/>
        </w:rPr>
        <w:t xml:space="preserve"> has been much deeper than its provision</w:t>
      </w:r>
      <w:r w:rsidR="00D31048" w:rsidRPr="00626A06">
        <w:rPr>
          <w:rFonts w:ascii="Times New Roman" w:hAnsi="Times New Roman" w:cs="Times New Roman"/>
          <w:sz w:val="24"/>
          <w:szCs w:val="24"/>
        </w:rPr>
        <w:t>s</w:t>
      </w:r>
      <w:r w:rsidR="00A55B4F" w:rsidRPr="00626A06">
        <w:rPr>
          <w:rFonts w:ascii="Times New Roman" w:hAnsi="Times New Roman" w:cs="Times New Roman"/>
          <w:sz w:val="24"/>
          <w:szCs w:val="24"/>
        </w:rPr>
        <w:t xml:space="preserve"> read alone would suggest</w:t>
      </w:r>
      <w:r w:rsidRPr="00626A06">
        <w:rPr>
          <w:rFonts w:ascii="Times New Roman" w:hAnsi="Times New Roman" w:cs="Times New Roman"/>
          <w:sz w:val="24"/>
          <w:szCs w:val="24"/>
        </w:rPr>
        <w:t>.</w:t>
      </w:r>
      <w:r w:rsidR="000B00C2" w:rsidRPr="00626A06">
        <w:rPr>
          <w:rFonts w:ascii="Times New Roman" w:hAnsi="Times New Roman" w:cs="Times New Roman"/>
          <w:sz w:val="24"/>
          <w:szCs w:val="24"/>
        </w:rPr>
        <w:t xml:space="preserve"> But we can also go further, by contemplating the 1945 Act in relation to other </w:t>
      </w:r>
      <w:r w:rsidR="00A43BA0" w:rsidRPr="00626A06">
        <w:rPr>
          <w:rFonts w:ascii="Times New Roman" w:hAnsi="Times New Roman" w:cs="Times New Roman"/>
          <w:sz w:val="24"/>
          <w:szCs w:val="24"/>
        </w:rPr>
        <w:t xml:space="preserve">largely unheralded </w:t>
      </w:r>
      <w:r w:rsidR="000B00C2" w:rsidRPr="00626A06">
        <w:rPr>
          <w:rFonts w:ascii="Times New Roman" w:hAnsi="Times New Roman" w:cs="Times New Roman"/>
          <w:sz w:val="24"/>
          <w:szCs w:val="24"/>
        </w:rPr>
        <w:t>changes outlined at the start of this chapter. Contributory negligence in its current form is part of a series of developments encouraging transfer and division of civil liabilities which, between them, signify major change</w:t>
      </w:r>
      <w:r w:rsidR="00247D76" w:rsidRPr="00626A06">
        <w:rPr>
          <w:rFonts w:ascii="Times New Roman" w:hAnsi="Times New Roman" w:cs="Times New Roman"/>
          <w:sz w:val="24"/>
          <w:szCs w:val="24"/>
        </w:rPr>
        <w:t>s</w:t>
      </w:r>
      <w:r w:rsidR="000B00C2" w:rsidRPr="00626A06">
        <w:rPr>
          <w:rFonts w:ascii="Times New Roman" w:hAnsi="Times New Roman" w:cs="Times New Roman"/>
          <w:sz w:val="24"/>
          <w:szCs w:val="24"/>
        </w:rPr>
        <w:t xml:space="preserve"> from the law of</w:t>
      </w:r>
      <w:r w:rsidR="00247D76" w:rsidRPr="00626A06">
        <w:rPr>
          <w:rFonts w:ascii="Times New Roman" w:hAnsi="Times New Roman" w:cs="Times New Roman"/>
          <w:sz w:val="24"/>
          <w:szCs w:val="24"/>
        </w:rPr>
        <w:t xml:space="preserve"> the previous</w:t>
      </w:r>
      <w:r w:rsidR="000B00C2" w:rsidRPr="00626A06">
        <w:rPr>
          <w:rFonts w:ascii="Times New Roman" w:hAnsi="Times New Roman" w:cs="Times New Roman"/>
          <w:sz w:val="24"/>
          <w:szCs w:val="24"/>
        </w:rPr>
        <w:t xml:space="preserve"> century</w:t>
      </w:r>
      <w:r w:rsidR="00247D76" w:rsidRPr="00626A06">
        <w:rPr>
          <w:rFonts w:ascii="Times New Roman" w:hAnsi="Times New Roman" w:cs="Times New Roman"/>
          <w:sz w:val="24"/>
          <w:szCs w:val="24"/>
        </w:rPr>
        <w:t>.</w:t>
      </w:r>
      <w:r w:rsidR="0085429B" w:rsidRPr="00626A06">
        <w:rPr>
          <w:rFonts w:ascii="Times New Roman" w:hAnsi="Times New Roman" w:cs="Times New Roman"/>
          <w:sz w:val="24"/>
          <w:szCs w:val="24"/>
        </w:rPr>
        <w:t xml:space="preserve"> </w:t>
      </w:r>
      <w:r w:rsidR="00061070" w:rsidRPr="00626A06">
        <w:rPr>
          <w:rFonts w:ascii="Times New Roman" w:hAnsi="Times New Roman" w:cs="Times New Roman"/>
          <w:sz w:val="24"/>
          <w:szCs w:val="24"/>
        </w:rPr>
        <w:t xml:space="preserve">Though achieved largely through legislation, these were perceived by their </w:t>
      </w:r>
      <w:r w:rsidR="00342355" w:rsidRPr="00626A06">
        <w:rPr>
          <w:rFonts w:ascii="Times New Roman" w:hAnsi="Times New Roman" w:cs="Times New Roman"/>
          <w:sz w:val="24"/>
          <w:szCs w:val="24"/>
        </w:rPr>
        <w:t xml:space="preserve">framers </w:t>
      </w:r>
      <w:r w:rsidR="00061070" w:rsidRPr="00626A06">
        <w:rPr>
          <w:rFonts w:ascii="Times New Roman" w:hAnsi="Times New Roman" w:cs="Times New Roman"/>
          <w:sz w:val="24"/>
          <w:szCs w:val="24"/>
        </w:rPr>
        <w:t xml:space="preserve">as developments internal to private law. </w:t>
      </w:r>
      <w:r w:rsidR="003C4428" w:rsidRPr="00626A06">
        <w:rPr>
          <w:rFonts w:ascii="Times New Roman" w:hAnsi="Times New Roman" w:cs="Times New Roman"/>
          <w:sz w:val="24"/>
          <w:szCs w:val="24"/>
        </w:rPr>
        <w:t>Between them, they underpin the loss-sprea</w:t>
      </w:r>
      <w:r w:rsidR="00061070" w:rsidRPr="00626A06">
        <w:rPr>
          <w:rFonts w:ascii="Times New Roman" w:hAnsi="Times New Roman" w:cs="Times New Roman"/>
          <w:sz w:val="24"/>
          <w:szCs w:val="24"/>
        </w:rPr>
        <w:t>ding effects of the law of tort.</w:t>
      </w:r>
    </w:p>
    <w:sectPr w:rsidR="00BD0B35" w:rsidRPr="00626A06" w:rsidSect="00626A06">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C47" w:rsidRDefault="002C5C47" w:rsidP="00BD5C2F">
      <w:pPr>
        <w:spacing w:after="0" w:line="240" w:lineRule="auto"/>
      </w:pPr>
      <w:r>
        <w:separator/>
      </w:r>
    </w:p>
  </w:endnote>
  <w:endnote w:type="continuationSeparator" w:id="0">
    <w:p w:rsidR="002C5C47" w:rsidRDefault="002C5C47" w:rsidP="00BD5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4812180"/>
      <w:docPartObj>
        <w:docPartGallery w:val="Page Numbers (Bottom of Page)"/>
        <w:docPartUnique/>
      </w:docPartObj>
    </w:sdtPr>
    <w:sdtContent>
      <w:p w:rsidR="00203530" w:rsidRPr="00626A06" w:rsidRDefault="007E7C1D">
        <w:pPr>
          <w:pStyle w:val="Footer"/>
          <w:jc w:val="center"/>
          <w:rPr>
            <w:rFonts w:ascii="Times New Roman" w:hAnsi="Times New Roman" w:cs="Times New Roman"/>
            <w:sz w:val="20"/>
            <w:szCs w:val="20"/>
          </w:rPr>
        </w:pPr>
        <w:r w:rsidRPr="00626A06">
          <w:rPr>
            <w:rFonts w:ascii="Times New Roman" w:hAnsi="Times New Roman" w:cs="Times New Roman"/>
            <w:sz w:val="20"/>
            <w:szCs w:val="20"/>
          </w:rPr>
          <w:fldChar w:fldCharType="begin"/>
        </w:r>
        <w:r w:rsidR="00203530" w:rsidRPr="00626A06">
          <w:rPr>
            <w:rFonts w:ascii="Times New Roman" w:hAnsi="Times New Roman" w:cs="Times New Roman"/>
            <w:sz w:val="20"/>
            <w:szCs w:val="20"/>
          </w:rPr>
          <w:instrText xml:space="preserve"> PAGE   \* MERGEFORMAT </w:instrText>
        </w:r>
        <w:r w:rsidRPr="00626A06">
          <w:rPr>
            <w:rFonts w:ascii="Times New Roman" w:hAnsi="Times New Roman" w:cs="Times New Roman"/>
            <w:sz w:val="20"/>
            <w:szCs w:val="20"/>
          </w:rPr>
          <w:fldChar w:fldCharType="separate"/>
        </w:r>
        <w:r w:rsidR="00055A5C">
          <w:rPr>
            <w:rFonts w:ascii="Times New Roman" w:hAnsi="Times New Roman" w:cs="Times New Roman"/>
            <w:noProof/>
            <w:sz w:val="20"/>
            <w:szCs w:val="20"/>
          </w:rPr>
          <w:t>7</w:t>
        </w:r>
        <w:r w:rsidRPr="00626A06">
          <w:rPr>
            <w:rFonts w:ascii="Times New Roman" w:hAnsi="Times New Roman" w:cs="Times New Roman"/>
            <w:sz w:val="20"/>
            <w:szCs w:val="20"/>
          </w:rPr>
          <w:fldChar w:fldCharType="end"/>
        </w:r>
      </w:p>
    </w:sdtContent>
  </w:sdt>
  <w:p w:rsidR="00203530" w:rsidRPr="00626A06" w:rsidRDefault="00203530">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C47" w:rsidRDefault="002C5C47" w:rsidP="00BD5C2F">
      <w:pPr>
        <w:spacing w:after="0" w:line="240" w:lineRule="auto"/>
      </w:pPr>
      <w:r>
        <w:separator/>
      </w:r>
    </w:p>
  </w:footnote>
  <w:footnote w:type="continuationSeparator" w:id="0">
    <w:p w:rsidR="002C5C47" w:rsidRDefault="002C5C47" w:rsidP="00BD5C2F">
      <w:pPr>
        <w:spacing w:after="0" w:line="240" w:lineRule="auto"/>
      </w:pPr>
      <w:r>
        <w:continuationSeparator/>
      </w:r>
    </w:p>
  </w:footnote>
  <w:footnote w:id="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sym w:font="Symbol" w:char="F02A"/>
      </w:r>
      <w:r w:rsidRPr="00626A06">
        <w:rPr>
          <w:rFonts w:ascii="Times New Roman" w:hAnsi="Times New Roman" w:cs="Times New Roman"/>
        </w:rPr>
        <w:t xml:space="preserve"> </w:t>
      </w:r>
      <w:proofErr w:type="gramStart"/>
      <w:r w:rsidRPr="00CA2A69">
        <w:rPr>
          <w:rFonts w:ascii="Times New Roman" w:hAnsi="Times New Roman" w:cs="Times New Roman"/>
        </w:rPr>
        <w:t>Professor of Law, University of York.</w:t>
      </w:r>
      <w:proofErr w:type="gramEnd"/>
      <w:r w:rsidRPr="00626A06">
        <w:rPr>
          <w:rFonts w:ascii="Times New Roman" w:hAnsi="Times New Roman" w:cs="Times New Roman"/>
        </w:rPr>
        <w:t xml:space="preserve"> </w:t>
      </w:r>
      <w:proofErr w:type="gramStart"/>
      <w:r w:rsidRPr="00626A06">
        <w:rPr>
          <w:rFonts w:ascii="Times New Roman" w:hAnsi="Times New Roman" w:cs="Times New Roman"/>
        </w:rPr>
        <w:t xml:space="preserve">My thanks to TT Arvind, James Goudkamp, and Phillip Morgan, for their comments on drafts of this chapter, as well as to the participants at the </w:t>
      </w:r>
      <w:r w:rsidRPr="00626A06">
        <w:rPr>
          <w:rFonts w:ascii="Times New Roman" w:hAnsi="Times New Roman" w:cs="Times New Roman"/>
          <w:i/>
        </w:rPr>
        <w:t xml:space="preserve">Tort Law and the Legislature </w:t>
      </w:r>
      <w:r w:rsidRPr="00626A06">
        <w:rPr>
          <w:rFonts w:ascii="Times New Roman" w:hAnsi="Times New Roman" w:cs="Times New Roman"/>
        </w:rPr>
        <w:t>workshop.</w:t>
      </w:r>
      <w:proofErr w:type="gramEnd"/>
    </w:p>
  </w:footnote>
  <w:footnote w:id="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Pr="00626A06">
        <w:rPr>
          <w:rFonts w:ascii="Times New Roman" w:hAnsi="Times New Roman" w:cs="Times New Roman"/>
          <w:i/>
        </w:rPr>
        <w:t xml:space="preserve">Donoghue v Stevenson </w:t>
      </w:r>
      <w:r w:rsidRPr="00626A06">
        <w:rPr>
          <w:rFonts w:ascii="Times New Roman" w:hAnsi="Times New Roman" w:cs="Times New Roman"/>
        </w:rPr>
        <w:t>[1932] AC 562.</w:t>
      </w:r>
    </w:p>
  </w:footnote>
  <w:footnote w:id="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Pr="00842F43">
        <w:rPr>
          <w:rFonts w:ascii="Times New Roman" w:hAnsi="Times New Roman" w:cs="Times New Roman"/>
        </w:rPr>
        <w:t>Industrial Injuries Act 1946; Law Reform (Personal Injuries) Act 1948. This represented a political choice made after deliberation in the Departmental Committee on Alternative Remedies (Monckton Committee)</w:t>
      </w:r>
      <w:r w:rsidR="002661CF">
        <w:rPr>
          <w:rFonts w:ascii="Times New Roman" w:hAnsi="Times New Roman" w:cs="Times New Roman"/>
        </w:rPr>
        <w:t>:</w:t>
      </w:r>
      <w:r w:rsidRPr="00842F43">
        <w:rPr>
          <w:rFonts w:ascii="Times New Roman" w:hAnsi="Times New Roman" w:cs="Times New Roman"/>
        </w:rPr>
        <w:t xml:space="preserve"> </w:t>
      </w:r>
      <w:r w:rsidRPr="00842F43">
        <w:rPr>
          <w:rFonts w:ascii="Times New Roman" w:hAnsi="Times New Roman" w:cs="Times New Roman"/>
          <w:i/>
        </w:rPr>
        <w:t>Final Report of the Departmental Committee on Alternative Remedies</w:t>
      </w:r>
      <w:r w:rsidRPr="00842F43">
        <w:rPr>
          <w:rFonts w:ascii="Times New Roman" w:hAnsi="Times New Roman" w:cs="Times New Roman"/>
        </w:rPr>
        <w:t xml:space="preserve"> </w:t>
      </w:r>
      <w:r>
        <w:rPr>
          <w:rFonts w:ascii="Times New Roman" w:hAnsi="Times New Roman" w:cs="Times New Roman"/>
        </w:rPr>
        <w:t>(</w:t>
      </w:r>
      <w:proofErr w:type="spellStart"/>
      <w:r w:rsidRPr="00842F43">
        <w:rPr>
          <w:rFonts w:ascii="Times New Roman" w:hAnsi="Times New Roman" w:cs="Times New Roman"/>
        </w:rPr>
        <w:t>Cmd</w:t>
      </w:r>
      <w:proofErr w:type="spellEnd"/>
      <w:r w:rsidRPr="00842F43">
        <w:rPr>
          <w:rFonts w:ascii="Times New Roman" w:hAnsi="Times New Roman" w:cs="Times New Roman"/>
        </w:rPr>
        <w:t xml:space="preserve"> 6860</w:t>
      </w:r>
      <w:r>
        <w:rPr>
          <w:rFonts w:ascii="Times New Roman" w:hAnsi="Times New Roman" w:cs="Times New Roman"/>
        </w:rPr>
        <w:t>, 1946)</w:t>
      </w:r>
      <w:r w:rsidRPr="00842F43">
        <w:rPr>
          <w:rFonts w:ascii="Times New Roman" w:hAnsi="Times New Roman" w:cs="Times New Roman"/>
        </w:rPr>
        <w:t>. It is not well known that the Monckton Committee also deeply influenced the drafting used in the reform of contributory negligence, as explained in this chapter.</w:t>
      </w:r>
    </w:p>
  </w:footnote>
  <w:footnote w:id="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CA2A69">
        <w:rPr>
          <w:rFonts w:ascii="Times New Roman" w:hAnsi="Times New Roman" w:cs="Times New Roman"/>
        </w:rPr>
        <w:t xml:space="preserve">Crown Proceedings Act 1947, the subject of TT </w:t>
      </w:r>
      <w:proofErr w:type="spellStart"/>
      <w:r w:rsidRPr="00CA2A69">
        <w:rPr>
          <w:rFonts w:ascii="Times New Roman" w:hAnsi="Times New Roman" w:cs="Times New Roman"/>
        </w:rPr>
        <w:t>A</w:t>
      </w:r>
      <w:r w:rsidRPr="00D7285D">
        <w:rPr>
          <w:rFonts w:ascii="Times New Roman" w:hAnsi="Times New Roman" w:cs="Times New Roman"/>
        </w:rPr>
        <w:t>rvind’s</w:t>
      </w:r>
      <w:proofErr w:type="spellEnd"/>
      <w:r w:rsidRPr="00D7285D">
        <w:rPr>
          <w:rFonts w:ascii="Times New Roman" w:hAnsi="Times New Roman" w:cs="Times New Roman"/>
        </w:rPr>
        <w:t xml:space="preserve"> chapter in this volume</w:t>
      </w:r>
      <w:r w:rsidR="00CA2A69" w:rsidRPr="00CA2A69">
        <w:rPr>
          <w:rFonts w:ascii="Times New Roman" w:hAnsi="Times New Roman" w:cs="Times New Roman"/>
        </w:rPr>
        <w:t xml:space="preserve"> (Ch 19)</w:t>
      </w:r>
      <w:r w:rsidRPr="00CA2A69">
        <w:rPr>
          <w:rFonts w:ascii="Times New Roman" w:hAnsi="Times New Roman" w:cs="Times New Roman"/>
        </w:rPr>
        <w:t>.</w:t>
      </w:r>
      <w:proofErr w:type="gramEnd"/>
    </w:p>
  </w:footnote>
  <w:footnote w:id="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Aside from the reform of contributory negligence explored in this chapter, see also the Law Reform (Married Women and </w:t>
      </w:r>
      <w:proofErr w:type="spellStart"/>
      <w:r w:rsidRPr="00626A06">
        <w:rPr>
          <w:rFonts w:ascii="Times New Roman" w:hAnsi="Times New Roman" w:cs="Times New Roman"/>
        </w:rPr>
        <w:t>Tortfeasors</w:t>
      </w:r>
      <w:proofErr w:type="spellEnd"/>
      <w:r w:rsidRPr="00626A06">
        <w:rPr>
          <w:rFonts w:ascii="Times New Roman" w:hAnsi="Times New Roman" w:cs="Times New Roman"/>
        </w:rPr>
        <w:t xml:space="preserve">) Act 1935 (contribution between </w:t>
      </w:r>
      <w:proofErr w:type="spellStart"/>
      <w:r w:rsidRPr="00626A06">
        <w:rPr>
          <w:rFonts w:ascii="Times New Roman" w:hAnsi="Times New Roman" w:cs="Times New Roman"/>
        </w:rPr>
        <w:t>tortfeasors</w:t>
      </w:r>
      <w:proofErr w:type="spellEnd"/>
      <w:r w:rsidRPr="00626A06">
        <w:rPr>
          <w:rFonts w:ascii="Times New Roman" w:hAnsi="Times New Roman" w:cs="Times New Roman"/>
        </w:rPr>
        <w:t xml:space="preserve">); Law Reform (Frustrated Contracts) Act 1943; and (in the courts) the decline of </w:t>
      </w:r>
      <w:proofErr w:type="spellStart"/>
      <w:r w:rsidRPr="00626A06">
        <w:rPr>
          <w:rFonts w:ascii="Times New Roman" w:hAnsi="Times New Roman" w:cs="Times New Roman"/>
          <w:i/>
        </w:rPr>
        <w:t>volenti</w:t>
      </w:r>
      <w:proofErr w:type="spellEnd"/>
      <w:r w:rsidRPr="00626A06">
        <w:rPr>
          <w:rFonts w:ascii="Times New Roman" w:hAnsi="Times New Roman" w:cs="Times New Roman"/>
          <w:i/>
        </w:rPr>
        <w:t xml:space="preserve"> </w:t>
      </w:r>
      <w:r w:rsidRPr="00626A06">
        <w:rPr>
          <w:rFonts w:ascii="Times New Roman" w:hAnsi="Times New Roman" w:cs="Times New Roman"/>
        </w:rPr>
        <w:t xml:space="preserve">and ‘sole cause’. The continued rise of liability insurance is also a contributory factor because of the widespread practice of insurers joining other potential parties in order to test the location of liability between different insurers: see the effect of this in combination with expanded duties of care in for example </w:t>
      </w:r>
      <w:proofErr w:type="spellStart"/>
      <w:r w:rsidRPr="00626A06">
        <w:rPr>
          <w:rFonts w:ascii="Times New Roman" w:hAnsi="Times New Roman" w:cs="Times New Roman"/>
          <w:i/>
        </w:rPr>
        <w:t>Stovin</w:t>
      </w:r>
      <w:proofErr w:type="spellEnd"/>
      <w:r w:rsidRPr="00626A06">
        <w:rPr>
          <w:rFonts w:ascii="Times New Roman" w:hAnsi="Times New Roman" w:cs="Times New Roman"/>
          <w:i/>
        </w:rPr>
        <w:t xml:space="preserve"> v Wise</w:t>
      </w:r>
      <w:r w:rsidRPr="00626A06">
        <w:rPr>
          <w:rFonts w:ascii="Times New Roman" w:hAnsi="Times New Roman" w:cs="Times New Roman"/>
        </w:rPr>
        <w:t xml:space="preserve"> [1996] AC 923. Legislation had a major role in this, most obviously through the introduction of compulsory third party insurance on the roads in the Road Traffic Act 1930, but also much earlier through the creation of employer liability in the Employers’ Liability Act 1880, which is widely regarded as having led to the immediate growth in liability insurance in the UK. The effect was further intensified by the Workman’s Compensation Act 1897: B Supple, </w:t>
      </w:r>
      <w:r w:rsidRPr="00626A06">
        <w:rPr>
          <w:rFonts w:ascii="Times New Roman" w:hAnsi="Times New Roman" w:cs="Times New Roman"/>
          <w:i/>
        </w:rPr>
        <w:t xml:space="preserve">The Royal Exchange Assurance: A History of British Insurance 1720-1970 </w:t>
      </w:r>
      <w:r w:rsidRPr="00626A06">
        <w:rPr>
          <w:rFonts w:ascii="Times New Roman" w:hAnsi="Times New Roman" w:cs="Times New Roman"/>
        </w:rPr>
        <w:t>(</w:t>
      </w:r>
      <w:r>
        <w:rPr>
          <w:rFonts w:ascii="Times New Roman" w:hAnsi="Times New Roman" w:cs="Times New Roman"/>
        </w:rPr>
        <w:t xml:space="preserve">Cambridge, </w:t>
      </w:r>
      <w:r w:rsidRPr="00626A06">
        <w:rPr>
          <w:rFonts w:ascii="Times New Roman" w:hAnsi="Times New Roman" w:cs="Times New Roman"/>
        </w:rPr>
        <w:t xml:space="preserve">Cambridge University Press, 1970), </w:t>
      </w:r>
      <w:proofErr w:type="spellStart"/>
      <w:r>
        <w:rPr>
          <w:rFonts w:ascii="Times New Roman" w:hAnsi="Times New Roman" w:cs="Times New Roman"/>
        </w:rPr>
        <w:t>ch</w:t>
      </w:r>
      <w:proofErr w:type="spellEnd"/>
      <w:r>
        <w:rPr>
          <w:rFonts w:ascii="Times New Roman" w:hAnsi="Times New Roman" w:cs="Times New Roman"/>
        </w:rPr>
        <w:t xml:space="preserve"> </w:t>
      </w:r>
      <w:r w:rsidRPr="00626A06">
        <w:rPr>
          <w:rFonts w:ascii="Times New Roman" w:hAnsi="Times New Roman" w:cs="Times New Roman"/>
        </w:rPr>
        <w:t>10.</w:t>
      </w:r>
    </w:p>
  </w:footnote>
  <w:footnote w:id="6">
    <w:p w:rsidR="00203530" w:rsidRPr="00626A06" w:rsidRDefault="00203530" w:rsidP="00977B7C">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1945 Act applied to England and Wales, and to Scotland. For comparison of contributory and comparative negligence doctrines across a number of civil and common law jurisdictions, including the mixed picture in the United States, see U Magnus and M Martin-Casals (</w:t>
      </w:r>
      <w:proofErr w:type="spellStart"/>
      <w:proofErr w:type="gramStart"/>
      <w:r w:rsidRPr="00626A06">
        <w:rPr>
          <w:rFonts w:ascii="Times New Roman" w:hAnsi="Times New Roman" w:cs="Times New Roman"/>
        </w:rPr>
        <w:t>eds</w:t>
      </w:r>
      <w:proofErr w:type="spellEnd"/>
      <w:proofErr w:type="gramEnd"/>
      <w:r w:rsidRPr="00626A06">
        <w:rPr>
          <w:rFonts w:ascii="Times New Roman" w:hAnsi="Times New Roman" w:cs="Times New Roman"/>
        </w:rPr>
        <w:t xml:space="preserve">), </w:t>
      </w:r>
      <w:r w:rsidRPr="00626A06">
        <w:rPr>
          <w:rFonts w:ascii="Times New Roman" w:hAnsi="Times New Roman" w:cs="Times New Roman"/>
          <w:i/>
        </w:rPr>
        <w:t xml:space="preserve">Unification of Tort Law: Contributory Negligence </w:t>
      </w:r>
      <w:r w:rsidRPr="00626A06">
        <w:rPr>
          <w:rFonts w:ascii="Times New Roman" w:hAnsi="Times New Roman" w:cs="Times New Roman"/>
        </w:rPr>
        <w:t>(</w:t>
      </w:r>
      <w:r>
        <w:rPr>
          <w:rFonts w:ascii="Times New Roman" w:hAnsi="Times New Roman" w:cs="Times New Roman"/>
        </w:rPr>
        <w:t xml:space="preserve">The Hague, </w:t>
      </w:r>
      <w:r w:rsidRPr="00626A06">
        <w:rPr>
          <w:rFonts w:ascii="Times New Roman" w:hAnsi="Times New Roman" w:cs="Times New Roman"/>
        </w:rPr>
        <w:t>Kluwer</w:t>
      </w:r>
      <w:r>
        <w:rPr>
          <w:rFonts w:ascii="Times New Roman" w:hAnsi="Times New Roman" w:cs="Times New Roman"/>
        </w:rPr>
        <w:t>, 2003</w:t>
      </w:r>
      <w:r w:rsidRPr="00626A06">
        <w:rPr>
          <w:rFonts w:ascii="Times New Roman" w:hAnsi="Times New Roman" w:cs="Times New Roman"/>
        </w:rPr>
        <w:t>).</w:t>
      </w:r>
    </w:p>
  </w:footnote>
  <w:footnote w:id="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Its framers, as we will see, had no intention of going so far – but considered responsibility-sharing to be the ‘fairest’ course.</w:t>
      </w:r>
    </w:p>
  </w:footnote>
  <w:footnote w:id="8">
    <w:p w:rsidR="00203530" w:rsidRPr="00842F43"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There are shades of a reversal in English law through the assertion of ‘no duty’ areas, and in the </w:t>
      </w:r>
      <w:r w:rsidRPr="00626A06">
        <w:rPr>
          <w:rFonts w:ascii="Times New Roman" w:hAnsi="Times New Roman" w:cs="Times New Roman"/>
          <w:i/>
        </w:rPr>
        <w:t xml:space="preserve">ex </w:t>
      </w:r>
      <w:proofErr w:type="spellStart"/>
      <w:r w:rsidRPr="00626A06">
        <w:rPr>
          <w:rFonts w:ascii="Times New Roman" w:hAnsi="Times New Roman" w:cs="Times New Roman"/>
          <w:i/>
        </w:rPr>
        <w:t>turpi</w:t>
      </w:r>
      <w:proofErr w:type="spellEnd"/>
      <w:r w:rsidRPr="00626A06">
        <w:rPr>
          <w:rFonts w:ascii="Times New Roman" w:hAnsi="Times New Roman" w:cs="Times New Roman"/>
          <w:i/>
        </w:rPr>
        <w:t xml:space="preserve"> </w:t>
      </w:r>
      <w:proofErr w:type="spellStart"/>
      <w:r w:rsidRPr="00626A06">
        <w:rPr>
          <w:rFonts w:ascii="Times New Roman" w:hAnsi="Times New Roman" w:cs="Times New Roman"/>
          <w:i/>
        </w:rPr>
        <w:t>causa</w:t>
      </w:r>
      <w:proofErr w:type="spellEnd"/>
      <w:r w:rsidRPr="00626A06">
        <w:rPr>
          <w:rFonts w:ascii="Times New Roman" w:hAnsi="Times New Roman" w:cs="Times New Roman"/>
          <w:i/>
        </w:rPr>
        <w:t xml:space="preserve"> </w:t>
      </w:r>
      <w:r w:rsidRPr="00626A06">
        <w:rPr>
          <w:rFonts w:ascii="Times New Roman" w:hAnsi="Times New Roman" w:cs="Times New Roman"/>
        </w:rPr>
        <w:t>defence. Australian law has developed further in this direction. See J Dietrich, ‘</w:t>
      </w:r>
      <w:proofErr w:type="gramStart"/>
      <w:r w:rsidRPr="00626A06">
        <w:rPr>
          <w:rFonts w:ascii="Times New Roman" w:hAnsi="Times New Roman" w:cs="Times New Roman"/>
        </w:rPr>
        <w:t>The</w:t>
      </w:r>
      <w:proofErr w:type="gramEnd"/>
      <w:r w:rsidRPr="00626A06">
        <w:rPr>
          <w:rFonts w:ascii="Times New Roman" w:hAnsi="Times New Roman" w:cs="Times New Roman"/>
        </w:rPr>
        <w:t xml:space="preserve"> decline of contributory negligence and apportionment: choosing the black and white of all or nothing over shades of grey?’ (2003) 11 </w:t>
      </w:r>
      <w:r w:rsidRPr="00D7285D">
        <w:rPr>
          <w:rFonts w:ascii="Times New Roman" w:hAnsi="Times New Roman" w:cs="Times New Roman"/>
          <w:i/>
        </w:rPr>
        <w:t>TLJ</w:t>
      </w:r>
      <w:r w:rsidRPr="00626A06">
        <w:rPr>
          <w:rFonts w:ascii="Times New Roman" w:hAnsi="Times New Roman" w:cs="Times New Roman"/>
        </w:rPr>
        <w:t xml:space="preserve"> 51; the analysis by James Goudkamp in this collection; and </w:t>
      </w:r>
      <w:r w:rsidRPr="00842F43">
        <w:rPr>
          <w:rFonts w:ascii="Times New Roman" w:hAnsi="Times New Roman" w:cs="Times New Roman"/>
        </w:rPr>
        <w:t>B McDonald, ‘Teaching Torts: where to start in an age of statutes?’</w:t>
      </w:r>
      <w:r>
        <w:rPr>
          <w:rFonts w:ascii="Times New Roman" w:hAnsi="Times New Roman" w:cs="Times New Roman"/>
        </w:rPr>
        <w:t xml:space="preserve"> (August 2010) </w:t>
      </w:r>
      <w:r w:rsidRPr="00842F43">
        <w:rPr>
          <w:rFonts w:ascii="Times New Roman" w:hAnsi="Times New Roman" w:cs="Times New Roman"/>
        </w:rPr>
        <w:t>Sydney Law School, Legal Studies Research Paper 10/83 (focusing on contributory negligence).</w:t>
      </w:r>
    </w:p>
  </w:footnote>
  <w:footnote w:id="9">
    <w:p w:rsidR="00203530" w:rsidRPr="00626A06" w:rsidRDefault="00203530">
      <w:pPr>
        <w:pStyle w:val="FootnoteText"/>
        <w:rPr>
          <w:rFonts w:ascii="Times New Roman" w:hAnsi="Times New Roman" w:cs="Times New Roman"/>
        </w:rPr>
      </w:pPr>
      <w:r w:rsidRPr="00842F43">
        <w:rPr>
          <w:rStyle w:val="FootnoteReference"/>
          <w:rFonts w:ascii="Times New Roman" w:hAnsi="Times New Roman" w:cs="Times New Roman"/>
        </w:rPr>
        <w:footnoteRef/>
      </w:r>
      <w:r w:rsidRPr="00842F43">
        <w:rPr>
          <w:rFonts w:ascii="Times New Roman" w:hAnsi="Times New Roman" w:cs="Times New Roman"/>
        </w:rPr>
        <w:t xml:space="preserve"> </w:t>
      </w:r>
      <w:r>
        <w:rPr>
          <w:rFonts w:ascii="Times New Roman" w:hAnsi="Times New Roman" w:cs="Times New Roman"/>
        </w:rPr>
        <w:t xml:space="preserve">Law Revision Committee, </w:t>
      </w:r>
      <w:r w:rsidRPr="00842F43">
        <w:rPr>
          <w:rFonts w:ascii="Times New Roman" w:hAnsi="Times New Roman" w:cs="Times New Roman"/>
          <w:i/>
        </w:rPr>
        <w:t>Contributory Negligence</w:t>
      </w:r>
      <w:r w:rsidRPr="00842F43">
        <w:rPr>
          <w:rFonts w:ascii="Times New Roman" w:hAnsi="Times New Roman" w:cs="Times New Roman"/>
        </w:rPr>
        <w:t xml:space="preserve"> </w:t>
      </w:r>
      <w:r>
        <w:rPr>
          <w:rFonts w:ascii="Times New Roman" w:hAnsi="Times New Roman" w:cs="Times New Roman"/>
        </w:rPr>
        <w:t>(</w:t>
      </w:r>
      <w:proofErr w:type="spellStart"/>
      <w:r w:rsidRPr="00842F43">
        <w:rPr>
          <w:rFonts w:ascii="Times New Roman" w:hAnsi="Times New Roman" w:cs="Times New Roman"/>
        </w:rPr>
        <w:t>Cmd</w:t>
      </w:r>
      <w:proofErr w:type="spellEnd"/>
      <w:r w:rsidRPr="00842F43">
        <w:rPr>
          <w:rFonts w:ascii="Times New Roman" w:hAnsi="Times New Roman" w:cs="Times New Roman"/>
        </w:rPr>
        <w:t xml:space="preserve"> 6032</w:t>
      </w:r>
      <w:r>
        <w:rPr>
          <w:rFonts w:ascii="Times New Roman" w:hAnsi="Times New Roman" w:cs="Times New Roman"/>
        </w:rPr>
        <w:t>, 1939) (LRC’s 8th Report)</w:t>
      </w:r>
      <w:r w:rsidRPr="00842F43">
        <w:rPr>
          <w:rFonts w:ascii="Times New Roman" w:hAnsi="Times New Roman" w:cs="Times New Roman"/>
        </w:rPr>
        <w:t>.</w:t>
      </w:r>
    </w:p>
  </w:footnote>
  <w:footnote w:id="1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spellStart"/>
      <w:r w:rsidRPr="00626A06">
        <w:rPr>
          <w:rFonts w:ascii="Times New Roman" w:hAnsi="Times New Roman" w:cs="Times New Roman"/>
        </w:rPr>
        <w:t>Cl</w:t>
      </w:r>
      <w:proofErr w:type="spellEnd"/>
      <w:r w:rsidRPr="00626A06">
        <w:rPr>
          <w:rFonts w:ascii="Times New Roman" w:hAnsi="Times New Roman" w:cs="Times New Roman"/>
        </w:rPr>
        <w:t xml:space="preserve"> 3 of the Law Reform (Frustrated Contracts and Contributory Negligence) Bill 1943, extracted </w:t>
      </w:r>
      <w:r w:rsidR="002661CF">
        <w:rPr>
          <w:rFonts w:ascii="Times New Roman" w:hAnsi="Times New Roman" w:cs="Times New Roman"/>
        </w:rPr>
        <w:t xml:space="preserve">in </w:t>
      </w:r>
      <w:r w:rsidR="00CF15D1">
        <w:rPr>
          <w:rFonts w:ascii="Times New Roman" w:hAnsi="Times New Roman" w:cs="Times New Roman"/>
        </w:rPr>
        <w:t xml:space="preserve">Section V below </w:t>
      </w:r>
      <w:r w:rsidRPr="00626A06">
        <w:rPr>
          <w:rFonts w:ascii="Times New Roman" w:hAnsi="Times New Roman" w:cs="Times New Roman"/>
        </w:rPr>
        <w:t>dealing with the Law Revision Committee’s recommendations</w:t>
      </w:r>
      <w:r w:rsidR="00CF15D1">
        <w:rPr>
          <w:rFonts w:ascii="Times New Roman" w:hAnsi="Times New Roman" w:cs="Times New Roman"/>
        </w:rPr>
        <w:t xml:space="preserve"> (text to n 62).</w:t>
      </w:r>
    </w:p>
  </w:footnote>
  <w:footnote w:id="1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Prior to the 1911 Act, the practice in maritime cases both in Admiralty courts, and after the Judicature Act 1873 in common law courts, was to apportion losses equally. In most circumstances, subject to limitations on liability, those responsible for the vessel suffering less damage had to pay a sum of damages to the vessel suffering more damage. This rule was the subject of an express saving in the Judicature Act 1873 (though not in its first draft: see RG</w:t>
      </w:r>
      <w:r>
        <w:rPr>
          <w:rFonts w:ascii="Times New Roman" w:hAnsi="Times New Roman" w:cs="Times New Roman"/>
        </w:rPr>
        <w:t xml:space="preserve"> </w:t>
      </w:r>
      <w:r w:rsidRPr="00626A06">
        <w:rPr>
          <w:rFonts w:ascii="Times New Roman" w:hAnsi="Times New Roman" w:cs="Times New Roman"/>
        </w:rPr>
        <w:t xml:space="preserve">Marsden, </w:t>
      </w:r>
      <w:r w:rsidRPr="00626A06">
        <w:rPr>
          <w:rFonts w:ascii="Times New Roman" w:hAnsi="Times New Roman" w:cs="Times New Roman"/>
          <w:i/>
        </w:rPr>
        <w:t xml:space="preserve">A Treatise on the Law of Collisions at Sea </w:t>
      </w:r>
      <w:r w:rsidRPr="00626A06">
        <w:rPr>
          <w:rFonts w:ascii="Times New Roman" w:hAnsi="Times New Roman" w:cs="Times New Roman"/>
        </w:rPr>
        <w:t>(</w:t>
      </w:r>
      <w:r>
        <w:rPr>
          <w:rFonts w:ascii="Times New Roman" w:hAnsi="Times New Roman" w:cs="Times New Roman"/>
        </w:rPr>
        <w:t xml:space="preserve">London, Stevens &amp; Sons, </w:t>
      </w:r>
      <w:r w:rsidRPr="00626A06">
        <w:rPr>
          <w:rFonts w:ascii="Times New Roman" w:hAnsi="Times New Roman" w:cs="Times New Roman"/>
        </w:rPr>
        <w:t xml:space="preserve">1880) 51). The shift to division on the basis of relative fault in the 1911 Act followed the Brussels Convention 1910. In some circumstances the fault of one of the parties was treated by English courts as the sole legal cause, independently of each being a </w:t>
      </w:r>
      <w:proofErr w:type="spellStart"/>
      <w:r w:rsidRPr="00626A06">
        <w:rPr>
          <w:rFonts w:ascii="Times New Roman" w:hAnsi="Times New Roman" w:cs="Times New Roman"/>
          <w:i/>
        </w:rPr>
        <w:t>causa</w:t>
      </w:r>
      <w:proofErr w:type="spellEnd"/>
      <w:r w:rsidRPr="00626A06">
        <w:rPr>
          <w:rFonts w:ascii="Times New Roman" w:hAnsi="Times New Roman" w:cs="Times New Roman"/>
          <w:i/>
        </w:rPr>
        <w:t xml:space="preserve"> sine qua non</w:t>
      </w:r>
      <w:r w:rsidRPr="00626A06">
        <w:rPr>
          <w:rFonts w:ascii="Times New Roman" w:hAnsi="Times New Roman" w:cs="Times New Roman"/>
        </w:rPr>
        <w:t xml:space="preserve">. Williams argued that this was an unfortunate import to maritime cases from the common law: G Williams, ‘The Law Reform (Contributory Negligence) Act 1945’, </w:t>
      </w:r>
      <w:r>
        <w:rPr>
          <w:rFonts w:ascii="Times New Roman" w:hAnsi="Times New Roman" w:cs="Times New Roman"/>
        </w:rPr>
        <w:t>(</w:t>
      </w:r>
      <w:r w:rsidRPr="00626A06">
        <w:rPr>
          <w:rFonts w:ascii="Times New Roman" w:hAnsi="Times New Roman" w:cs="Times New Roman"/>
        </w:rPr>
        <w:t>1946</w:t>
      </w:r>
      <w:r>
        <w:rPr>
          <w:rFonts w:ascii="Times New Roman" w:hAnsi="Times New Roman" w:cs="Times New Roman"/>
        </w:rPr>
        <w:t>)</w:t>
      </w:r>
      <w:r w:rsidRPr="00626A06">
        <w:rPr>
          <w:rFonts w:ascii="Times New Roman" w:hAnsi="Times New Roman" w:cs="Times New Roman"/>
        </w:rPr>
        <w:t xml:space="preserve"> 9 </w:t>
      </w:r>
      <w:r w:rsidRPr="00D7285D">
        <w:rPr>
          <w:rFonts w:ascii="Times New Roman" w:hAnsi="Times New Roman" w:cs="Times New Roman"/>
          <w:i/>
        </w:rPr>
        <w:t>MLR</w:t>
      </w:r>
      <w:r w:rsidRPr="00626A06">
        <w:rPr>
          <w:rFonts w:ascii="Times New Roman" w:hAnsi="Times New Roman" w:cs="Times New Roman"/>
        </w:rPr>
        <w:t xml:space="preserve"> 105-186, 120. See also G Williams, </w:t>
      </w:r>
      <w:r w:rsidRPr="00626A06">
        <w:rPr>
          <w:rFonts w:ascii="Times New Roman" w:hAnsi="Times New Roman" w:cs="Times New Roman"/>
          <w:i/>
        </w:rPr>
        <w:t xml:space="preserve">Joint Torts and Contributory Negligence </w:t>
      </w:r>
      <w:r w:rsidRPr="00626A06">
        <w:rPr>
          <w:rFonts w:ascii="Times New Roman" w:hAnsi="Times New Roman" w:cs="Times New Roman"/>
        </w:rPr>
        <w:t>(</w:t>
      </w:r>
      <w:r w:rsidRPr="00E4607D">
        <w:rPr>
          <w:rFonts w:ascii="Times New Roman" w:hAnsi="Times New Roman" w:cs="Times New Roman"/>
        </w:rPr>
        <w:t>London, Stevens &amp; Sons</w:t>
      </w:r>
      <w:r>
        <w:rPr>
          <w:rFonts w:ascii="Times New Roman" w:hAnsi="Times New Roman" w:cs="Times New Roman"/>
        </w:rPr>
        <w:t xml:space="preserve">, </w:t>
      </w:r>
      <w:r w:rsidRPr="00626A06">
        <w:rPr>
          <w:rFonts w:ascii="Times New Roman" w:hAnsi="Times New Roman" w:cs="Times New Roman"/>
        </w:rPr>
        <w:t xml:space="preserve">1951). This remains the leading exploration of English law on the subject.  </w:t>
      </w:r>
    </w:p>
  </w:footnote>
  <w:footnote w:id="1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S </w:t>
      </w:r>
      <w:proofErr w:type="spellStart"/>
      <w:r w:rsidRPr="00626A06">
        <w:rPr>
          <w:rFonts w:ascii="Times New Roman" w:hAnsi="Times New Roman" w:cs="Times New Roman"/>
        </w:rPr>
        <w:t>Deakin</w:t>
      </w:r>
      <w:proofErr w:type="spellEnd"/>
      <w:r w:rsidRPr="00626A06">
        <w:rPr>
          <w:rFonts w:ascii="Times New Roman" w:hAnsi="Times New Roman" w:cs="Times New Roman"/>
        </w:rPr>
        <w:t xml:space="preserve"> and F Wilkinson, </w:t>
      </w:r>
      <w:r w:rsidRPr="00626A06">
        <w:rPr>
          <w:rFonts w:ascii="Times New Roman" w:hAnsi="Times New Roman" w:cs="Times New Roman"/>
          <w:i/>
        </w:rPr>
        <w:t xml:space="preserve">The Law of the Labour Market: Industrialization, Employment and Legal Evolution </w:t>
      </w:r>
      <w:r w:rsidRPr="00626A06">
        <w:rPr>
          <w:rFonts w:ascii="Times New Roman" w:hAnsi="Times New Roman" w:cs="Times New Roman"/>
        </w:rPr>
        <w:t xml:space="preserve">(Oxford, </w:t>
      </w:r>
      <w:r>
        <w:rPr>
          <w:rFonts w:ascii="Times New Roman" w:hAnsi="Times New Roman" w:cs="Times New Roman"/>
        </w:rPr>
        <w:t xml:space="preserve">Oxford University Press, </w:t>
      </w:r>
      <w:r w:rsidRPr="00626A06">
        <w:rPr>
          <w:rFonts w:ascii="Times New Roman" w:hAnsi="Times New Roman" w:cs="Times New Roman"/>
        </w:rPr>
        <w:t>2005) particularly 34-5.</w:t>
      </w:r>
    </w:p>
  </w:footnote>
  <w:footnote w:id="1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Ontario, which switched to a proportionate rule in 1924, modelled its new provision very closely on the Brussels Convention. The initial intention was to adopt very similar wording to the Ontario provision.</w:t>
      </w:r>
    </w:p>
  </w:footnote>
  <w:footnote w:id="14">
    <w:p w:rsidR="00203530" w:rsidRPr="00626A06" w:rsidRDefault="00203530" w:rsidP="005A381A">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For the significance of ‘genealogy’ see </w:t>
      </w:r>
      <w:proofErr w:type="spellStart"/>
      <w:r w:rsidRPr="00626A06">
        <w:rPr>
          <w:rFonts w:ascii="Times New Roman" w:hAnsi="Times New Roman" w:cs="Times New Roman"/>
        </w:rPr>
        <w:t>Deakin</w:t>
      </w:r>
      <w:proofErr w:type="spellEnd"/>
      <w:r w:rsidRPr="00626A06">
        <w:rPr>
          <w:rFonts w:ascii="Times New Roman" w:hAnsi="Times New Roman" w:cs="Times New Roman"/>
        </w:rPr>
        <w:t xml:space="preserve"> and Wilkinson</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_Ref319256554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11</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12. Genealogical accounts stress the importance of origins and ‘initial conditions’ from which legal institutions develop, rather than assuming that development follows a smooth path to (for example) efficient outcomes (‘teleological’ accounts). Legal development is always contingent and bears the hallmarks of that contingency, including cross-fertilisation. For discussion of genealogy in relation to ‘pure principled’ accounts, see the concluding chapter.</w:t>
      </w:r>
    </w:p>
  </w:footnote>
  <w:footnote w:id="1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For discussion relevant to many of these points, particularly identifying the role of legal ‘concepts’ in evolutionary development and the restricted influence of individual human intentions, see S </w:t>
      </w:r>
      <w:proofErr w:type="spellStart"/>
      <w:r w:rsidRPr="00626A06">
        <w:rPr>
          <w:rFonts w:ascii="Times New Roman" w:hAnsi="Times New Roman" w:cs="Times New Roman"/>
        </w:rPr>
        <w:t>Deakin</w:t>
      </w:r>
      <w:proofErr w:type="spellEnd"/>
      <w:r w:rsidRPr="00626A06">
        <w:rPr>
          <w:rFonts w:ascii="Times New Roman" w:hAnsi="Times New Roman" w:cs="Times New Roman"/>
        </w:rPr>
        <w:t xml:space="preserve">, ‘Evolution for our Time: A Theory of Legal </w:t>
      </w:r>
      <w:proofErr w:type="spellStart"/>
      <w:r w:rsidRPr="00626A06">
        <w:rPr>
          <w:rFonts w:ascii="Times New Roman" w:hAnsi="Times New Roman" w:cs="Times New Roman"/>
        </w:rPr>
        <w:t>Memetics</w:t>
      </w:r>
      <w:proofErr w:type="spellEnd"/>
      <w:r w:rsidRPr="00626A06">
        <w:rPr>
          <w:rFonts w:ascii="Times New Roman" w:hAnsi="Times New Roman" w:cs="Times New Roman"/>
        </w:rPr>
        <w:t xml:space="preserve">’ (2002) 55 </w:t>
      </w:r>
      <w:r w:rsidRPr="00626A06">
        <w:rPr>
          <w:rFonts w:ascii="Times New Roman" w:hAnsi="Times New Roman" w:cs="Times New Roman"/>
          <w:i/>
        </w:rPr>
        <w:t xml:space="preserve">CLP </w:t>
      </w:r>
      <w:r w:rsidRPr="00626A06">
        <w:rPr>
          <w:rFonts w:ascii="Times New Roman" w:hAnsi="Times New Roman" w:cs="Times New Roman"/>
        </w:rPr>
        <w:t>1-42.</w:t>
      </w:r>
    </w:p>
  </w:footnote>
  <w:footnote w:id="1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definition of ‘fault’ in s</w:t>
      </w:r>
      <w:r>
        <w:rPr>
          <w:rFonts w:ascii="Times New Roman" w:hAnsi="Times New Roman" w:cs="Times New Roman"/>
        </w:rPr>
        <w:t xml:space="preserve"> </w:t>
      </w:r>
      <w:r w:rsidRPr="00626A06">
        <w:rPr>
          <w:rFonts w:ascii="Times New Roman" w:hAnsi="Times New Roman" w:cs="Times New Roman"/>
        </w:rPr>
        <w:t>4 is much broader than negligence. However, it has been held that there is no room for contributory negligence in an action for deceit, where the defendant intends the claimant to rely to their detriment (</w:t>
      </w:r>
      <w:r w:rsidRPr="00626A06">
        <w:rPr>
          <w:rFonts w:ascii="Times New Roman" w:hAnsi="Times New Roman" w:cs="Times New Roman"/>
          <w:i/>
        </w:rPr>
        <w:t xml:space="preserve">Standard Chartered Bank v Pakistan National Shipping Corporation </w:t>
      </w:r>
      <w:r w:rsidRPr="00626A06">
        <w:rPr>
          <w:rFonts w:ascii="Times New Roman" w:hAnsi="Times New Roman" w:cs="Times New Roman"/>
        </w:rPr>
        <w:t>[2002] UKHL 43</w:t>
      </w:r>
      <w:r>
        <w:rPr>
          <w:rFonts w:ascii="Times New Roman" w:hAnsi="Times New Roman" w:cs="Times New Roman"/>
        </w:rPr>
        <w:t>,</w:t>
      </w:r>
      <w:r w:rsidRPr="00626A06">
        <w:rPr>
          <w:rFonts w:ascii="Times New Roman" w:hAnsi="Times New Roman" w:cs="Times New Roman"/>
        </w:rPr>
        <w:t xml:space="preserve"> [2003] 1 AC 959) or, more recently, in an action for assault or battery (on the basis that there are no pre-1945 instances of the defence applying): </w:t>
      </w:r>
      <w:r w:rsidRPr="00626A06">
        <w:rPr>
          <w:rFonts w:ascii="Times New Roman" w:hAnsi="Times New Roman" w:cs="Times New Roman"/>
          <w:i/>
        </w:rPr>
        <w:t xml:space="preserve">Co-operative Group v Pritchard </w:t>
      </w:r>
      <w:r w:rsidRPr="00626A06">
        <w:rPr>
          <w:rFonts w:ascii="Times New Roman" w:hAnsi="Times New Roman" w:cs="Times New Roman"/>
        </w:rPr>
        <w:t xml:space="preserve">[2011] EWCA </w:t>
      </w:r>
      <w:proofErr w:type="spellStart"/>
      <w:r w:rsidRPr="00626A06">
        <w:rPr>
          <w:rFonts w:ascii="Times New Roman" w:hAnsi="Times New Roman" w:cs="Times New Roman"/>
        </w:rPr>
        <w:t>Civ</w:t>
      </w:r>
      <w:proofErr w:type="spellEnd"/>
      <w:r w:rsidRPr="00626A06">
        <w:rPr>
          <w:rFonts w:ascii="Times New Roman" w:hAnsi="Times New Roman" w:cs="Times New Roman"/>
        </w:rPr>
        <w:t xml:space="preserve"> 329</w:t>
      </w:r>
      <w:r>
        <w:rPr>
          <w:rFonts w:ascii="Times New Roman" w:hAnsi="Times New Roman" w:cs="Times New Roman"/>
        </w:rPr>
        <w:t xml:space="preserve">, </w:t>
      </w:r>
      <w:r w:rsidRPr="008B7FCE">
        <w:rPr>
          <w:rFonts w:ascii="Times New Roman" w:hAnsi="Times New Roman" w:cs="Times New Roman"/>
        </w:rPr>
        <w:t>[2012] 1 All ER 205</w:t>
      </w:r>
      <w:r w:rsidRPr="00626A06">
        <w:rPr>
          <w:rFonts w:ascii="Times New Roman" w:hAnsi="Times New Roman" w:cs="Times New Roman"/>
        </w:rPr>
        <w:t>.</w:t>
      </w:r>
    </w:p>
  </w:footnote>
  <w:footnote w:id="1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Pr>
          <w:rFonts w:ascii="Times New Roman" w:hAnsi="Times New Roman" w:cs="Times New Roman"/>
        </w:rPr>
        <w:t xml:space="preserve">T Weir, </w:t>
      </w:r>
      <w:r w:rsidRPr="00106D9D">
        <w:rPr>
          <w:rFonts w:ascii="Times New Roman" w:hAnsi="Times New Roman" w:cs="Times New Roman"/>
          <w:i/>
        </w:rPr>
        <w:t>Introduction to the Law of Tort</w:t>
      </w:r>
      <w:r>
        <w:rPr>
          <w:rFonts w:ascii="Times New Roman" w:hAnsi="Times New Roman" w:cs="Times New Roman"/>
        </w:rPr>
        <w:t>, 2</w:t>
      </w:r>
      <w:r w:rsidRPr="00D7285D">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edn</w:t>
      </w:r>
      <w:proofErr w:type="spellEnd"/>
      <w:r w:rsidRPr="00106D9D">
        <w:rPr>
          <w:rFonts w:ascii="Times New Roman" w:hAnsi="Times New Roman" w:cs="Times New Roman"/>
          <w:i/>
        </w:rPr>
        <w:t xml:space="preserve"> </w:t>
      </w:r>
      <w:r>
        <w:rPr>
          <w:rFonts w:ascii="Times New Roman" w:hAnsi="Times New Roman" w:cs="Times New Roman"/>
        </w:rPr>
        <w:t xml:space="preserve">(Oxford, </w:t>
      </w:r>
      <w:r w:rsidRPr="00626A06">
        <w:rPr>
          <w:rFonts w:ascii="Times New Roman" w:hAnsi="Times New Roman" w:cs="Times New Roman"/>
        </w:rPr>
        <w:t>Oxford University Press, 2009</w:t>
      </w:r>
      <w:r>
        <w:rPr>
          <w:rFonts w:ascii="Times New Roman" w:hAnsi="Times New Roman" w:cs="Times New Roman"/>
        </w:rPr>
        <w:t>)</w:t>
      </w:r>
      <w:r w:rsidRPr="00626A06">
        <w:rPr>
          <w:rFonts w:ascii="Times New Roman" w:hAnsi="Times New Roman" w:cs="Times New Roman"/>
        </w:rPr>
        <w:t>.</w:t>
      </w:r>
    </w:p>
  </w:footnote>
  <w:footnote w:id="18">
    <w:p w:rsidR="00203530" w:rsidRPr="00626A06" w:rsidRDefault="00203530" w:rsidP="00C31A45">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spellStart"/>
      <w:proofErr w:type="gramStart"/>
      <w:r w:rsidRPr="008B7FCE">
        <w:rPr>
          <w:rFonts w:ascii="Times New Roman" w:hAnsi="Times New Roman" w:cs="Times New Roman"/>
          <w:i/>
        </w:rPr>
        <w:t>Vellino</w:t>
      </w:r>
      <w:proofErr w:type="spellEnd"/>
      <w:r w:rsidRPr="008B7FCE">
        <w:rPr>
          <w:rFonts w:ascii="Times New Roman" w:hAnsi="Times New Roman" w:cs="Times New Roman"/>
          <w:i/>
        </w:rPr>
        <w:t xml:space="preserve"> v Chief Constable of the Greater Manchester Police</w:t>
      </w:r>
      <w:r w:rsidRPr="008B7FCE">
        <w:rPr>
          <w:rFonts w:ascii="Times New Roman" w:hAnsi="Times New Roman" w:cs="Times New Roman"/>
        </w:rPr>
        <w:t xml:space="preserve"> </w:t>
      </w:r>
      <w:r w:rsidRPr="00626A06">
        <w:rPr>
          <w:rFonts w:ascii="Times New Roman" w:hAnsi="Times New Roman" w:cs="Times New Roman"/>
        </w:rPr>
        <w:t xml:space="preserve">[2001] EWCA </w:t>
      </w:r>
      <w:proofErr w:type="spellStart"/>
      <w:r w:rsidRPr="00626A06">
        <w:rPr>
          <w:rFonts w:ascii="Times New Roman" w:hAnsi="Times New Roman" w:cs="Times New Roman"/>
        </w:rPr>
        <w:t>Civ</w:t>
      </w:r>
      <w:proofErr w:type="spellEnd"/>
      <w:r w:rsidRPr="00626A06">
        <w:rPr>
          <w:rFonts w:ascii="Times New Roman" w:hAnsi="Times New Roman" w:cs="Times New Roman"/>
        </w:rPr>
        <w:t xml:space="preserve"> 1249</w:t>
      </w:r>
      <w:r>
        <w:rPr>
          <w:rFonts w:ascii="Times New Roman" w:hAnsi="Times New Roman" w:cs="Times New Roman"/>
        </w:rPr>
        <w:t>,</w:t>
      </w:r>
      <w:r w:rsidRPr="00626A06">
        <w:rPr>
          <w:rFonts w:ascii="Times New Roman" w:hAnsi="Times New Roman" w:cs="Times New Roman"/>
        </w:rPr>
        <w:t xml:space="preserve"> [2002] 1 WLR 218, [55].</w:t>
      </w:r>
      <w:proofErr w:type="gramEnd"/>
    </w:p>
  </w:footnote>
  <w:footnote w:id="1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Pr>
          <w:rFonts w:ascii="Times New Roman" w:hAnsi="Times New Roman" w:cs="Times New Roman"/>
        </w:rPr>
        <w:t>i</w:t>
      </w:r>
      <w:r w:rsidRPr="00626A06">
        <w:rPr>
          <w:rFonts w:ascii="Times New Roman" w:hAnsi="Times New Roman" w:cs="Times New Roman"/>
        </w:rPr>
        <w:t>bid [55].</w:t>
      </w:r>
      <w:proofErr w:type="gramEnd"/>
    </w:p>
  </w:footnote>
  <w:footnote w:id="2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Pr>
          <w:rFonts w:ascii="Times New Roman" w:hAnsi="Times New Roman" w:cs="Times New Roman"/>
        </w:rPr>
        <w:t>i</w:t>
      </w:r>
      <w:r w:rsidRPr="00626A06">
        <w:rPr>
          <w:rFonts w:ascii="Times New Roman" w:hAnsi="Times New Roman" w:cs="Times New Roman"/>
        </w:rPr>
        <w:t>bid [46].</w:t>
      </w:r>
      <w:proofErr w:type="gramEnd"/>
    </w:p>
  </w:footnote>
  <w:footnote w:id="21">
    <w:p w:rsidR="00203530" w:rsidRPr="00626A06" w:rsidRDefault="00203530" w:rsidP="0051396A">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majority disagreed, holding that the action should fail either for lack of duty or because it was barred </w:t>
      </w:r>
      <w:r w:rsidRPr="00626A06">
        <w:rPr>
          <w:rFonts w:ascii="Times New Roman" w:hAnsi="Times New Roman" w:cs="Times New Roman"/>
          <w:i/>
        </w:rPr>
        <w:t xml:space="preserve">ex </w:t>
      </w:r>
      <w:proofErr w:type="spellStart"/>
      <w:r w:rsidRPr="00626A06">
        <w:rPr>
          <w:rFonts w:ascii="Times New Roman" w:hAnsi="Times New Roman" w:cs="Times New Roman"/>
          <w:i/>
        </w:rPr>
        <w:t>turpi</w:t>
      </w:r>
      <w:proofErr w:type="spellEnd"/>
      <w:r w:rsidRPr="00626A06">
        <w:rPr>
          <w:rFonts w:ascii="Times New Roman" w:hAnsi="Times New Roman" w:cs="Times New Roman"/>
          <w:i/>
        </w:rPr>
        <w:t xml:space="preserve"> </w:t>
      </w:r>
      <w:proofErr w:type="spellStart"/>
      <w:r w:rsidRPr="00626A06">
        <w:rPr>
          <w:rFonts w:ascii="Times New Roman" w:hAnsi="Times New Roman" w:cs="Times New Roman"/>
          <w:i/>
        </w:rPr>
        <w:t>causa</w:t>
      </w:r>
      <w:proofErr w:type="spellEnd"/>
      <w:r w:rsidRPr="00626A06">
        <w:rPr>
          <w:rFonts w:ascii="Times New Roman" w:hAnsi="Times New Roman" w:cs="Times New Roman"/>
        </w:rPr>
        <w:t xml:space="preserve">. </w:t>
      </w:r>
    </w:p>
  </w:footnote>
  <w:footnote w:id="2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See also 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_Ref319260791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7</w:t>
      </w:r>
      <w:r w:rsidR="007E7C1D">
        <w:rPr>
          <w:rFonts w:ascii="Times New Roman" w:hAnsi="Times New Roman" w:cs="Times New Roman"/>
        </w:rPr>
        <w:fldChar w:fldCharType="end"/>
      </w:r>
      <w:r w:rsidRPr="00626A06">
        <w:rPr>
          <w:rFonts w:ascii="Times New Roman" w:hAnsi="Times New Roman" w:cs="Times New Roman"/>
        </w:rPr>
        <w:t>.</w:t>
      </w:r>
    </w:p>
  </w:footnote>
  <w:footnote w:id="2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Pr>
          <w:rFonts w:ascii="Times New Roman" w:hAnsi="Times New Roman" w:cs="Times New Roman"/>
        </w:rPr>
        <w:t xml:space="preserve">Sir W </w:t>
      </w:r>
      <w:proofErr w:type="spellStart"/>
      <w:r>
        <w:rPr>
          <w:rFonts w:ascii="Times New Roman" w:hAnsi="Times New Roman" w:cs="Times New Roman"/>
        </w:rPr>
        <w:t>Beveridge</w:t>
      </w:r>
      <w:proofErr w:type="spellEnd"/>
      <w:r>
        <w:rPr>
          <w:rFonts w:ascii="Times New Roman" w:hAnsi="Times New Roman" w:cs="Times New Roman"/>
        </w:rPr>
        <w:t xml:space="preserve">, </w:t>
      </w:r>
      <w:r w:rsidRPr="00D7285D">
        <w:rPr>
          <w:rFonts w:ascii="Times New Roman" w:hAnsi="Times New Roman" w:cs="Times New Roman"/>
          <w:i/>
        </w:rPr>
        <w:t>Report on Social Insurance and Allied Services</w:t>
      </w:r>
      <w:r w:rsidRPr="00DF0673">
        <w:rPr>
          <w:rFonts w:ascii="Times New Roman" w:hAnsi="Times New Roman" w:cs="Times New Roman"/>
        </w:rPr>
        <w:t xml:space="preserve"> (</w:t>
      </w:r>
      <w:proofErr w:type="spellStart"/>
      <w:r w:rsidRPr="00DF0673">
        <w:rPr>
          <w:rFonts w:ascii="Times New Roman" w:hAnsi="Times New Roman" w:cs="Times New Roman"/>
        </w:rPr>
        <w:t>Beveridge</w:t>
      </w:r>
      <w:proofErr w:type="spellEnd"/>
      <w:r w:rsidRPr="00DF0673">
        <w:rPr>
          <w:rFonts w:ascii="Times New Roman" w:hAnsi="Times New Roman" w:cs="Times New Roman"/>
        </w:rPr>
        <w:t xml:space="preserve"> Report</w:t>
      </w:r>
      <w:r>
        <w:rPr>
          <w:rFonts w:ascii="Times New Roman" w:hAnsi="Times New Roman" w:cs="Times New Roman"/>
        </w:rPr>
        <w:t>) (</w:t>
      </w:r>
      <w:proofErr w:type="spellStart"/>
      <w:r w:rsidRPr="00626A06">
        <w:rPr>
          <w:rFonts w:ascii="Times New Roman" w:hAnsi="Times New Roman" w:cs="Times New Roman"/>
        </w:rPr>
        <w:t>Cmnd</w:t>
      </w:r>
      <w:proofErr w:type="spellEnd"/>
      <w:r w:rsidRPr="00626A06">
        <w:rPr>
          <w:rFonts w:ascii="Times New Roman" w:hAnsi="Times New Roman" w:cs="Times New Roman"/>
        </w:rPr>
        <w:t xml:space="preserve"> 6404, 1942</w:t>
      </w:r>
      <w:r>
        <w:rPr>
          <w:rFonts w:ascii="Times New Roman" w:hAnsi="Times New Roman" w:cs="Times New Roman"/>
        </w:rPr>
        <w:t>)</w:t>
      </w:r>
      <w:r w:rsidRPr="00626A06">
        <w:rPr>
          <w:rFonts w:ascii="Times New Roman" w:hAnsi="Times New Roman" w:cs="Times New Roman"/>
        </w:rPr>
        <w:t>.</w:t>
      </w:r>
    </w:p>
  </w:footnote>
  <w:footnote w:id="24">
    <w:p w:rsidR="00203530" w:rsidRPr="00626A06" w:rsidRDefault="00203530" w:rsidP="00C17906">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Departmental Committee on Workmen’s Compensation (Holman Gregory Committee) which reviewed the area in 1919-1920 suggested that apart from common employment and </w:t>
      </w:r>
      <w:proofErr w:type="spellStart"/>
      <w:r w:rsidRPr="00626A06">
        <w:rPr>
          <w:rFonts w:ascii="Times New Roman" w:hAnsi="Times New Roman" w:cs="Times New Roman"/>
          <w:i/>
        </w:rPr>
        <w:t>volenti</w:t>
      </w:r>
      <w:proofErr w:type="spellEnd"/>
      <w:r w:rsidRPr="00626A06">
        <w:rPr>
          <w:rFonts w:ascii="Times New Roman" w:hAnsi="Times New Roman" w:cs="Times New Roman"/>
          <w:i/>
        </w:rPr>
        <w:t xml:space="preserve"> </w:t>
      </w:r>
      <w:r w:rsidRPr="00626A06">
        <w:rPr>
          <w:rFonts w:ascii="Times New Roman" w:hAnsi="Times New Roman" w:cs="Times New Roman"/>
        </w:rPr>
        <w:t>operating to protect employers, a counter-charge of contributory negligence ‘has almost always to be met’ in a common law claim (</w:t>
      </w:r>
      <w:r w:rsidRPr="00D7285D">
        <w:rPr>
          <w:rFonts w:ascii="Times New Roman" w:hAnsi="Times New Roman" w:cs="Times New Roman"/>
          <w:i/>
        </w:rPr>
        <w:t>Report of </w:t>
      </w:r>
      <w:r>
        <w:rPr>
          <w:rFonts w:ascii="Times New Roman" w:hAnsi="Times New Roman" w:cs="Times New Roman"/>
          <w:i/>
        </w:rPr>
        <w:t xml:space="preserve">the </w:t>
      </w:r>
      <w:r w:rsidRPr="00D7285D">
        <w:rPr>
          <w:rFonts w:ascii="Times New Roman" w:hAnsi="Times New Roman" w:cs="Times New Roman"/>
          <w:bCs/>
          <w:i/>
        </w:rPr>
        <w:t>Departmental Committee</w:t>
      </w:r>
      <w:r w:rsidRPr="00D7285D">
        <w:rPr>
          <w:rFonts w:ascii="Times New Roman" w:hAnsi="Times New Roman" w:cs="Times New Roman"/>
          <w:i/>
        </w:rPr>
        <w:t xml:space="preserve"> on </w:t>
      </w:r>
      <w:r w:rsidRPr="00D7285D">
        <w:rPr>
          <w:rFonts w:ascii="Times New Roman" w:hAnsi="Times New Roman" w:cs="Times New Roman"/>
          <w:bCs/>
          <w:i/>
        </w:rPr>
        <w:t>Workmen</w:t>
      </w:r>
      <w:r>
        <w:rPr>
          <w:rFonts w:ascii="Times New Roman" w:hAnsi="Times New Roman" w:cs="Times New Roman"/>
          <w:bCs/>
          <w:i/>
        </w:rPr>
        <w:t>’s</w:t>
      </w:r>
      <w:r w:rsidRPr="00B10D5C">
        <w:rPr>
          <w:rFonts w:ascii="Times New Roman" w:hAnsi="Times New Roman" w:cs="Times New Roman"/>
        </w:rPr>
        <w:t xml:space="preserve"> </w:t>
      </w:r>
      <w:r w:rsidRPr="00B10D5C">
        <w:rPr>
          <w:rFonts w:ascii="Times New Roman" w:hAnsi="Times New Roman" w:cs="Times New Roman"/>
          <w:i/>
        </w:rPr>
        <w:t xml:space="preserve">Compensation </w:t>
      </w:r>
      <w:r>
        <w:rPr>
          <w:rFonts w:ascii="Times New Roman" w:hAnsi="Times New Roman" w:cs="Times New Roman"/>
        </w:rPr>
        <w:t>(</w:t>
      </w:r>
      <w:proofErr w:type="spellStart"/>
      <w:r w:rsidRPr="00626A06">
        <w:rPr>
          <w:rFonts w:ascii="Times New Roman" w:hAnsi="Times New Roman" w:cs="Times New Roman"/>
        </w:rPr>
        <w:t>Cmd</w:t>
      </w:r>
      <w:proofErr w:type="spellEnd"/>
      <w:r w:rsidRPr="00626A06">
        <w:rPr>
          <w:rFonts w:ascii="Times New Roman" w:hAnsi="Times New Roman" w:cs="Times New Roman"/>
        </w:rPr>
        <w:t xml:space="preserve"> 816, 1920</w:t>
      </w:r>
      <w:r>
        <w:rPr>
          <w:rFonts w:ascii="Times New Roman" w:hAnsi="Times New Roman" w:cs="Times New Roman"/>
        </w:rPr>
        <w:t>)</w:t>
      </w:r>
      <w:r w:rsidRPr="00626A06">
        <w:rPr>
          <w:rFonts w:ascii="Times New Roman" w:hAnsi="Times New Roman" w:cs="Times New Roman"/>
        </w:rPr>
        <w:t xml:space="preserve"> 5). Its appraisal of the Employers’ Liability Act 1880 as having ‘somewhat modified’ the common law is apt. The provisions of that Act removed obstacles to some aspects of common employment, while capping damages </w:t>
      </w:r>
      <w:r>
        <w:rPr>
          <w:rFonts w:ascii="Times New Roman" w:hAnsi="Times New Roman" w:cs="Times New Roman"/>
        </w:rPr>
        <w:t>at</w:t>
      </w:r>
      <w:r w:rsidRPr="00626A06">
        <w:rPr>
          <w:rFonts w:ascii="Times New Roman" w:hAnsi="Times New Roman" w:cs="Times New Roman"/>
        </w:rPr>
        <w:t xml:space="preserve"> a maximum of three years’ earnings where its provisions allowed a claim. The courts confined its effects still further by holding that employers and employees could contract out of its provisions: </w:t>
      </w:r>
      <w:proofErr w:type="gramStart"/>
      <w:r w:rsidRPr="00626A06">
        <w:rPr>
          <w:rFonts w:ascii="Times New Roman" w:hAnsi="Times New Roman" w:cs="Times New Roman"/>
          <w:i/>
        </w:rPr>
        <w:t>Griffiths</w:t>
      </w:r>
      <w:proofErr w:type="gramEnd"/>
      <w:r w:rsidRPr="00626A06">
        <w:rPr>
          <w:rFonts w:ascii="Times New Roman" w:hAnsi="Times New Roman" w:cs="Times New Roman"/>
          <w:i/>
        </w:rPr>
        <w:t xml:space="preserve"> v Earl of Dudley </w:t>
      </w:r>
      <w:r w:rsidRPr="00626A06">
        <w:rPr>
          <w:rFonts w:ascii="Times New Roman" w:hAnsi="Times New Roman" w:cs="Times New Roman"/>
        </w:rPr>
        <w:t>(</w:t>
      </w:r>
      <w:r>
        <w:rPr>
          <w:rFonts w:ascii="Times New Roman" w:hAnsi="Times New Roman" w:cs="Times New Roman"/>
        </w:rPr>
        <w:t>[</w:t>
      </w:r>
      <w:r w:rsidRPr="00626A06">
        <w:rPr>
          <w:rFonts w:ascii="Times New Roman" w:hAnsi="Times New Roman" w:cs="Times New Roman"/>
        </w:rPr>
        <w:t>1881-82</w:t>
      </w:r>
      <w:r>
        <w:rPr>
          <w:rFonts w:ascii="Times New Roman" w:hAnsi="Times New Roman" w:cs="Times New Roman"/>
        </w:rPr>
        <w:t>]</w:t>
      </w:r>
      <w:r w:rsidRPr="00626A06">
        <w:rPr>
          <w:rFonts w:ascii="Times New Roman" w:hAnsi="Times New Roman" w:cs="Times New Roman"/>
        </w:rPr>
        <w:t xml:space="preserve"> LR 9 QBD 357). Later courts therefore used non-delegable and statutory duties to evade the restrictions of the 1880 Act itself, and not just the common law doctrine which it somewhat restricted. For the link between this and the 1945 Act</w:t>
      </w:r>
      <w:r>
        <w:rPr>
          <w:rFonts w:ascii="Times New Roman" w:hAnsi="Times New Roman" w:cs="Times New Roman"/>
        </w:rPr>
        <w:t>,</w:t>
      </w:r>
      <w:r w:rsidRPr="00626A06">
        <w:rPr>
          <w:rFonts w:ascii="Times New Roman" w:hAnsi="Times New Roman" w:cs="Times New Roman"/>
        </w:rPr>
        <w:t xml:space="preserve"> see 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_Ref319261294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70</w:t>
      </w:r>
      <w:r w:rsidR="007E7C1D">
        <w:rPr>
          <w:rFonts w:ascii="Times New Roman" w:hAnsi="Times New Roman" w:cs="Times New Roman"/>
        </w:rPr>
        <w:fldChar w:fldCharType="end"/>
      </w:r>
      <w:r w:rsidRPr="00626A06">
        <w:rPr>
          <w:rFonts w:ascii="Times New Roman" w:hAnsi="Times New Roman" w:cs="Times New Roman"/>
        </w:rPr>
        <w:t xml:space="preserve"> and related discussion in the text.</w:t>
      </w:r>
    </w:p>
  </w:footnote>
  <w:footnote w:id="2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 2/3563</w:t>
      </w:r>
      <w:r>
        <w:rPr>
          <w:rFonts w:ascii="Times New Roman" w:hAnsi="Times New Roman" w:cs="Times New Roman"/>
        </w:rPr>
        <w:t>,</w:t>
      </w:r>
      <w:r w:rsidRPr="0015697B">
        <w:rPr>
          <w:rFonts w:ascii="Times New Roman" w:hAnsi="Times New Roman" w:cs="Times New Roman"/>
        </w:rPr>
        <w:t xml:space="preserve"> </w:t>
      </w:r>
      <w:r>
        <w:rPr>
          <w:rFonts w:ascii="Times New Roman" w:hAnsi="Times New Roman" w:cs="Times New Roman"/>
        </w:rPr>
        <w:t>Letter dated</w:t>
      </w:r>
      <w:r w:rsidRPr="00626A06">
        <w:rPr>
          <w:rFonts w:ascii="Times New Roman" w:hAnsi="Times New Roman" w:cs="Times New Roman"/>
        </w:rPr>
        <w:t xml:space="preserve"> 7 April 1945:’The rapidity of our advance into Germany increases the prospect of an early break-up of the Government, and we must really have this Bill before that happens’. This may seem a unique set of priorities, but the Labour Party would cross to the opposition benches once the coalition was dissolved. As we will see, the Labour party’s support for the reform was equivocal.</w:t>
      </w:r>
    </w:p>
  </w:footnote>
  <w:footnote w:id="2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Compensation under this consolidating Act was excluded where there had been wilful default by the claimant, but not for negligence alone. Strikingly, after the Workmen’s Compensation Act 1906, even in a case of wilful default, compensation was not barred in case of serious and permanent injury, or death (s</w:t>
      </w:r>
      <w:r>
        <w:rPr>
          <w:rFonts w:ascii="Times New Roman" w:hAnsi="Times New Roman" w:cs="Times New Roman"/>
        </w:rPr>
        <w:t xml:space="preserve"> </w:t>
      </w:r>
      <w:r w:rsidRPr="00626A06">
        <w:rPr>
          <w:rFonts w:ascii="Times New Roman" w:hAnsi="Times New Roman" w:cs="Times New Roman"/>
        </w:rPr>
        <w:t>1(2</w:t>
      </w:r>
      <w:proofErr w:type="gramStart"/>
      <w:r w:rsidRPr="00626A06">
        <w:rPr>
          <w:rFonts w:ascii="Times New Roman" w:hAnsi="Times New Roman" w:cs="Times New Roman"/>
        </w:rPr>
        <w:t>)(</w:t>
      </w:r>
      <w:proofErr w:type="gramEnd"/>
      <w:r w:rsidRPr="00626A06">
        <w:rPr>
          <w:rFonts w:ascii="Times New Roman" w:hAnsi="Times New Roman" w:cs="Times New Roman"/>
        </w:rPr>
        <w:t>c)). Compensation was the prime objective.</w:t>
      </w:r>
    </w:p>
  </w:footnote>
  <w:footnote w:id="2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draftsman, HS</w:t>
      </w:r>
      <w:r>
        <w:rPr>
          <w:rFonts w:ascii="Times New Roman" w:hAnsi="Times New Roman" w:cs="Times New Roman"/>
        </w:rPr>
        <w:t xml:space="preserve"> </w:t>
      </w:r>
      <w:r w:rsidRPr="00626A06">
        <w:rPr>
          <w:rFonts w:ascii="Times New Roman" w:hAnsi="Times New Roman" w:cs="Times New Roman"/>
        </w:rPr>
        <w:t xml:space="preserve">Kent, described the 1945 Act in his memoirs as a reform ‘that dealt with the rights and liabilities of ordinary citizens whenever they ventured out in motor cars’ (HS Kent, </w:t>
      </w:r>
      <w:r w:rsidRPr="00626A06">
        <w:rPr>
          <w:rFonts w:ascii="Times New Roman" w:hAnsi="Times New Roman" w:cs="Times New Roman"/>
          <w:i/>
        </w:rPr>
        <w:t xml:space="preserve">In on the Act: Memoirs of a Lawmaker </w:t>
      </w:r>
      <w:r w:rsidRPr="00626A06">
        <w:rPr>
          <w:rFonts w:ascii="Times New Roman" w:hAnsi="Times New Roman" w:cs="Times New Roman"/>
        </w:rPr>
        <w:t>(London</w:t>
      </w:r>
      <w:r>
        <w:rPr>
          <w:rFonts w:ascii="Times New Roman" w:hAnsi="Times New Roman" w:cs="Times New Roman"/>
        </w:rPr>
        <w:t>,</w:t>
      </w:r>
      <w:r w:rsidR="00055A5C">
        <w:rPr>
          <w:rFonts w:ascii="Times New Roman" w:hAnsi="Times New Roman" w:cs="Times New Roman"/>
        </w:rPr>
        <w:t xml:space="preserve"> Macmillan, </w:t>
      </w:r>
      <w:r w:rsidR="00055A5C">
        <w:rPr>
          <w:rFonts w:ascii="Times New Roman" w:hAnsi="Times New Roman" w:cs="Times New Roman"/>
        </w:rPr>
        <w:t>1979</w:t>
      </w:r>
      <w:r>
        <w:rPr>
          <w:rFonts w:ascii="Times New Roman" w:hAnsi="Times New Roman" w:cs="Times New Roman"/>
        </w:rPr>
        <w:t>)</w:t>
      </w:r>
      <w:r w:rsidRPr="00626A06">
        <w:rPr>
          <w:rFonts w:ascii="Times New Roman" w:hAnsi="Times New Roman" w:cs="Times New Roman"/>
        </w:rPr>
        <w:t xml:space="preserve"> 149).</w:t>
      </w:r>
    </w:p>
  </w:footnote>
  <w:footnote w:id="2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784C7E">
        <w:rPr>
          <w:rFonts w:ascii="Times New Roman" w:hAnsi="Times New Roman" w:cs="Times New Roman"/>
          <w:i/>
        </w:rPr>
        <w:t>McLean v Bell</w:t>
      </w:r>
      <w:r w:rsidRPr="00784C7E">
        <w:rPr>
          <w:rFonts w:ascii="Times New Roman" w:hAnsi="Times New Roman" w:cs="Times New Roman"/>
        </w:rPr>
        <w:t xml:space="preserve"> </w:t>
      </w:r>
      <w:r w:rsidRPr="00626A06">
        <w:rPr>
          <w:rFonts w:ascii="Times New Roman" w:hAnsi="Times New Roman" w:cs="Times New Roman"/>
        </w:rPr>
        <w:t xml:space="preserve">(1932) 147 LT 262  </w:t>
      </w:r>
    </w:p>
  </w:footnote>
  <w:footnote w:id="2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Pr>
          <w:rFonts w:ascii="Times New Roman" w:hAnsi="Times New Roman" w:cs="Times New Roman"/>
        </w:rPr>
        <w:t>i</w:t>
      </w:r>
      <w:r w:rsidRPr="00626A06">
        <w:rPr>
          <w:rFonts w:ascii="Times New Roman" w:hAnsi="Times New Roman" w:cs="Times New Roman"/>
        </w:rPr>
        <w:t>bid 26.</w:t>
      </w:r>
      <w:proofErr w:type="gramEnd"/>
      <w:r w:rsidRPr="00626A06">
        <w:rPr>
          <w:rFonts w:ascii="Times New Roman" w:hAnsi="Times New Roman" w:cs="Times New Roman"/>
        </w:rPr>
        <w:t xml:space="preserve"> Her claim would appear strong, since a speed of 20-30mph was at this time considered ‘excessive’.</w:t>
      </w:r>
    </w:p>
  </w:footnote>
  <w:footnote w:id="30">
    <w:p w:rsidR="00203530" w:rsidRPr="00626A06" w:rsidRDefault="00203530" w:rsidP="00AD6F7B">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 2/1992</w:t>
      </w:r>
      <w:r>
        <w:rPr>
          <w:rFonts w:ascii="Times New Roman" w:hAnsi="Times New Roman" w:cs="Times New Roman"/>
        </w:rPr>
        <w:t xml:space="preserve">, </w:t>
      </w:r>
      <w:r w:rsidRPr="00626A06">
        <w:rPr>
          <w:rFonts w:ascii="Times New Roman" w:hAnsi="Times New Roman" w:cs="Times New Roman"/>
        </w:rPr>
        <w:t xml:space="preserve">Memorandum on Contributory Negligence. This is a rare direct comment on the role of insurers in the deliberations of the Committee. </w:t>
      </w:r>
    </w:p>
  </w:footnote>
  <w:footnote w:id="3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 2/3563</w:t>
      </w:r>
      <w:r>
        <w:rPr>
          <w:rFonts w:ascii="Times New Roman" w:hAnsi="Times New Roman" w:cs="Times New Roman"/>
        </w:rPr>
        <w:t xml:space="preserve">, </w:t>
      </w:r>
      <w:r w:rsidRPr="00626A06">
        <w:rPr>
          <w:rFonts w:ascii="Times New Roman" w:hAnsi="Times New Roman" w:cs="Times New Roman"/>
        </w:rPr>
        <w:t>Note of evidence given by the Lord Chancellor, 25 October 1944, to the Monckton Committee.</w:t>
      </w:r>
    </w:p>
  </w:footnote>
  <w:footnote w:id="3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Pr>
          <w:rFonts w:ascii="Times New Roman" w:hAnsi="Times New Roman" w:cs="Times New Roman"/>
        </w:rPr>
        <w:t>i</w:t>
      </w:r>
      <w:r w:rsidRPr="00626A06">
        <w:rPr>
          <w:rFonts w:ascii="Times New Roman" w:hAnsi="Times New Roman" w:cs="Times New Roman"/>
        </w:rPr>
        <w:t>bid 3.</w:t>
      </w:r>
      <w:proofErr w:type="gramEnd"/>
    </w:p>
  </w:footnote>
  <w:footnote w:id="3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L Green, ‘Illinois Negligence Law’ (1944-45)</w:t>
      </w:r>
      <w:r>
        <w:rPr>
          <w:rFonts w:ascii="Times New Roman" w:hAnsi="Times New Roman" w:cs="Times New Roman"/>
        </w:rPr>
        <w:t xml:space="preserve"> </w:t>
      </w:r>
      <w:r w:rsidRPr="00626A06">
        <w:rPr>
          <w:rFonts w:ascii="Times New Roman" w:hAnsi="Times New Roman" w:cs="Times New Roman"/>
        </w:rPr>
        <w:t xml:space="preserve">39 </w:t>
      </w:r>
      <w:r w:rsidRPr="00626A06">
        <w:rPr>
          <w:rFonts w:ascii="Times New Roman" w:hAnsi="Times New Roman" w:cs="Times New Roman"/>
          <w:i/>
        </w:rPr>
        <w:t>Ill L Rev</w:t>
      </w:r>
      <w:r w:rsidRPr="00626A06">
        <w:rPr>
          <w:rFonts w:ascii="Times New Roman" w:hAnsi="Times New Roman" w:cs="Times New Roman"/>
        </w:rPr>
        <w:t xml:space="preserve"> 36, tracing the rise and fall of a proportionate rule in that state.</w:t>
      </w:r>
      <w:proofErr w:type="gramEnd"/>
      <w:r w:rsidRPr="00626A06">
        <w:rPr>
          <w:rFonts w:ascii="Times New Roman" w:hAnsi="Times New Roman" w:cs="Times New Roman"/>
        </w:rPr>
        <w:t xml:space="preserve"> A number of US writers linked the rise of the complete defence of contributory negligence in that nation to a judicial protectionism toward the industrial interest (particularly railways) in the mid-nineteenth century and an associated individualism of outlook. Apart from Green, see for example F James</w:t>
      </w:r>
      <w:r w:rsidR="003E289C">
        <w:rPr>
          <w:rFonts w:ascii="Times New Roman" w:hAnsi="Times New Roman" w:cs="Times New Roman"/>
        </w:rPr>
        <w:t xml:space="preserve"> </w:t>
      </w:r>
      <w:proofErr w:type="spellStart"/>
      <w:r w:rsidRPr="00626A06">
        <w:rPr>
          <w:rFonts w:ascii="Times New Roman" w:hAnsi="Times New Roman" w:cs="Times New Roman"/>
        </w:rPr>
        <w:t>Jr</w:t>
      </w:r>
      <w:proofErr w:type="spellEnd"/>
      <w:r w:rsidRPr="00626A06">
        <w:rPr>
          <w:rFonts w:ascii="Times New Roman" w:hAnsi="Times New Roman" w:cs="Times New Roman"/>
        </w:rPr>
        <w:t xml:space="preserve">, ‘Contributory Negligence’ (1953) 62 </w:t>
      </w:r>
      <w:r w:rsidRPr="00626A06">
        <w:rPr>
          <w:rFonts w:ascii="Times New Roman" w:hAnsi="Times New Roman" w:cs="Times New Roman"/>
          <w:i/>
        </w:rPr>
        <w:t xml:space="preserve">Yale LJ </w:t>
      </w:r>
      <w:r w:rsidRPr="00626A06">
        <w:rPr>
          <w:rFonts w:ascii="Times New Roman" w:hAnsi="Times New Roman" w:cs="Times New Roman"/>
        </w:rPr>
        <w:t xml:space="preserve">691, although the latter also attributed the ‘all or nothing’ version of the defence to a doctrinal attachment to unique or ‘proximate’ cause. The Law Revision Committee chose to explain the old doctrine as a consequence of the forms of pleading. </w:t>
      </w:r>
    </w:p>
  </w:footnote>
  <w:footnote w:id="3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Weir</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_Ref319260708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16</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123.</w:t>
      </w:r>
      <w:proofErr w:type="gramEnd"/>
      <w:r w:rsidRPr="00626A06">
        <w:rPr>
          <w:rFonts w:ascii="Times New Roman" w:hAnsi="Times New Roman" w:cs="Times New Roman"/>
        </w:rPr>
        <w:t xml:space="preserve"> </w:t>
      </w:r>
    </w:p>
  </w:footnote>
  <w:footnote w:id="3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1945 Act, </w:t>
      </w:r>
      <w:proofErr w:type="gramStart"/>
      <w:r w:rsidRPr="00626A06">
        <w:rPr>
          <w:rFonts w:ascii="Times New Roman" w:hAnsi="Times New Roman" w:cs="Times New Roman"/>
        </w:rPr>
        <w:t>s.1(</w:t>
      </w:r>
      <w:proofErr w:type="gramEnd"/>
      <w:r w:rsidRPr="00626A06">
        <w:rPr>
          <w:rFonts w:ascii="Times New Roman" w:hAnsi="Times New Roman" w:cs="Times New Roman"/>
        </w:rPr>
        <w:t>1).</w:t>
      </w:r>
    </w:p>
  </w:footnote>
  <w:footnote w:id="36">
    <w:p w:rsidR="00203530" w:rsidRPr="00626A06" w:rsidRDefault="00203530" w:rsidP="0026577C">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This reflects the findings of Ross’s classic study, HL Ross, </w:t>
      </w:r>
      <w:r w:rsidRPr="00626A06">
        <w:rPr>
          <w:rFonts w:ascii="Times New Roman" w:hAnsi="Times New Roman" w:cs="Times New Roman"/>
          <w:i/>
        </w:rPr>
        <w:t>Settled Out of Court: the Social Process of Insurance Claims Adjustments</w:t>
      </w:r>
      <w:r w:rsidRPr="00626A06">
        <w:rPr>
          <w:rFonts w:ascii="Times New Roman" w:hAnsi="Times New Roman" w:cs="Times New Roman"/>
        </w:rPr>
        <w:t xml:space="preserve"> (Chicago, Aldine Publishing, 1970), described by Tom Baker as a classic of the ‘gap-study’ era (exploring the gap between law in action and ‘law in the books’): T Baker, </w:t>
      </w:r>
      <w:r w:rsidRPr="00626A06">
        <w:rPr>
          <w:rFonts w:ascii="Times New Roman" w:hAnsi="Times New Roman" w:cs="Times New Roman"/>
          <w:i/>
        </w:rPr>
        <w:t>Insurance in Socio-Legal Research</w:t>
      </w:r>
      <w:r>
        <w:rPr>
          <w:rFonts w:ascii="Times New Roman" w:hAnsi="Times New Roman" w:cs="Times New Roman"/>
        </w:rPr>
        <w:t xml:space="preserve"> (2010)</w:t>
      </w:r>
      <w:r w:rsidRPr="00626A06">
        <w:rPr>
          <w:rFonts w:ascii="Times New Roman" w:hAnsi="Times New Roman" w:cs="Times New Roman"/>
        </w:rPr>
        <w:t xml:space="preserve"> University of Pennsylvania Law School, Institute for Law and Economics, Research Paper No 10-07. See also J </w:t>
      </w:r>
      <w:proofErr w:type="spellStart"/>
      <w:r w:rsidRPr="00626A06">
        <w:rPr>
          <w:rFonts w:ascii="Times New Roman" w:hAnsi="Times New Roman" w:cs="Times New Roman"/>
        </w:rPr>
        <w:t>Fulbrook</w:t>
      </w:r>
      <w:proofErr w:type="spellEnd"/>
      <w:r w:rsidRPr="00626A06">
        <w:rPr>
          <w:rFonts w:ascii="Times New Roman" w:hAnsi="Times New Roman" w:cs="Times New Roman"/>
        </w:rPr>
        <w:t xml:space="preserve">, ‘Cycle Helmets and Contributory Negligence’ [2004] </w:t>
      </w:r>
      <w:r w:rsidRPr="00626A06">
        <w:rPr>
          <w:rFonts w:ascii="Times New Roman" w:hAnsi="Times New Roman" w:cs="Times New Roman"/>
          <w:i/>
        </w:rPr>
        <w:t>JPIL</w:t>
      </w:r>
      <w:r w:rsidRPr="00626A06">
        <w:rPr>
          <w:rFonts w:ascii="Times New Roman" w:hAnsi="Times New Roman" w:cs="Times New Roman"/>
        </w:rPr>
        <w:t xml:space="preserve"> 171-91, pointing out that insurers making settlements were operating a standard reduction in damages for cyclists who were not wearing cycle helmets even before courts had ruled definitively on the issues. One consequence was that the limited extent to which cycle helmets can prevent injury did not operate as strongly as it should in limiting the impact of contributory negligence in cycling cases: see now </w:t>
      </w:r>
      <w:r w:rsidRPr="00626A06">
        <w:rPr>
          <w:rFonts w:ascii="Times New Roman" w:hAnsi="Times New Roman" w:cs="Times New Roman"/>
          <w:i/>
        </w:rPr>
        <w:t xml:space="preserve">Smith v Finch </w:t>
      </w:r>
      <w:r w:rsidRPr="00626A06">
        <w:rPr>
          <w:rFonts w:ascii="Times New Roman" w:hAnsi="Times New Roman" w:cs="Times New Roman"/>
        </w:rPr>
        <w:t>[2009] EWHC 53</w:t>
      </w:r>
      <w:r w:rsidRPr="00626A06">
        <w:rPr>
          <w:rFonts w:ascii="Times New Roman" w:hAnsi="Times New Roman" w:cs="Times New Roman"/>
          <w:i/>
        </w:rPr>
        <w:t>,</w:t>
      </w:r>
      <w:r w:rsidRPr="00873D27">
        <w:rPr>
          <w:rFonts w:ascii="Arial" w:hAnsi="Arial" w:cs="Arial"/>
          <w:color w:val="222222"/>
          <w:sz w:val="22"/>
          <w:szCs w:val="22"/>
          <w:shd w:val="clear" w:color="auto" w:fill="FFFFFF"/>
        </w:rPr>
        <w:t xml:space="preserve"> </w:t>
      </w:r>
      <w:r w:rsidRPr="00D7285D">
        <w:rPr>
          <w:rFonts w:ascii="Times New Roman" w:hAnsi="Times New Roman" w:cs="Times New Roman"/>
        </w:rPr>
        <w:t>[2009] All ER (D) 158 (Jan)</w:t>
      </w:r>
      <w:r w:rsidRPr="00626A06">
        <w:rPr>
          <w:rFonts w:ascii="Times New Roman" w:hAnsi="Times New Roman" w:cs="Times New Roman"/>
        </w:rPr>
        <w:t xml:space="preserve"> and </w:t>
      </w:r>
      <w:r w:rsidRPr="00626A06">
        <w:rPr>
          <w:rFonts w:ascii="Times New Roman" w:hAnsi="Times New Roman" w:cs="Times New Roman"/>
          <w:i/>
        </w:rPr>
        <w:t xml:space="preserve">Stanton v </w:t>
      </w:r>
      <w:proofErr w:type="spellStart"/>
      <w:r w:rsidRPr="00626A06">
        <w:rPr>
          <w:rFonts w:ascii="Times New Roman" w:hAnsi="Times New Roman" w:cs="Times New Roman"/>
          <w:i/>
        </w:rPr>
        <w:t>Collinson</w:t>
      </w:r>
      <w:proofErr w:type="spellEnd"/>
      <w:r w:rsidRPr="00626A06">
        <w:rPr>
          <w:rFonts w:ascii="Times New Roman" w:hAnsi="Times New Roman" w:cs="Times New Roman"/>
        </w:rPr>
        <w:t xml:space="preserve"> [2010] EWCA </w:t>
      </w:r>
      <w:proofErr w:type="spellStart"/>
      <w:r w:rsidRPr="00626A06">
        <w:rPr>
          <w:rFonts w:ascii="Times New Roman" w:hAnsi="Times New Roman" w:cs="Times New Roman"/>
        </w:rPr>
        <w:t>Civ</w:t>
      </w:r>
      <w:proofErr w:type="spellEnd"/>
      <w:r w:rsidRPr="00626A06">
        <w:rPr>
          <w:rFonts w:ascii="Times New Roman" w:hAnsi="Times New Roman" w:cs="Times New Roman"/>
        </w:rPr>
        <w:t xml:space="preserve"> 81,</w:t>
      </w:r>
      <w:r w:rsidRPr="00873D27">
        <w:rPr>
          <w:color w:val="000000"/>
        </w:rPr>
        <w:t xml:space="preserve"> </w:t>
      </w:r>
      <w:r w:rsidRPr="00873D27">
        <w:rPr>
          <w:rFonts w:ascii="Times New Roman" w:hAnsi="Times New Roman" w:cs="Times New Roman"/>
        </w:rPr>
        <w:t>[2010] RTR 26</w:t>
      </w:r>
      <w:r w:rsidRPr="00626A06">
        <w:rPr>
          <w:rFonts w:ascii="Times New Roman" w:hAnsi="Times New Roman" w:cs="Times New Roman"/>
        </w:rPr>
        <w:t xml:space="preserve"> for a reminder of the importance of causation in a seatbelt case. </w:t>
      </w:r>
    </w:p>
  </w:footnote>
  <w:footnote w:id="3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Pr>
          <w:rFonts w:ascii="Times New Roman" w:hAnsi="Times New Roman" w:cs="Times New Roman"/>
        </w:rPr>
        <w:t xml:space="preserve">D </w:t>
      </w:r>
      <w:r w:rsidRPr="004D61B7">
        <w:rPr>
          <w:rFonts w:ascii="Times New Roman" w:hAnsi="Times New Roman" w:cs="Times New Roman"/>
        </w:rPr>
        <w:t xml:space="preserve">Harris </w:t>
      </w:r>
      <w:r w:rsidRPr="004D61B7">
        <w:rPr>
          <w:rFonts w:ascii="Times New Roman" w:hAnsi="Times New Roman" w:cs="Times New Roman"/>
          <w:i/>
        </w:rPr>
        <w:t>et al</w:t>
      </w:r>
      <w:r w:rsidRPr="004D61B7">
        <w:rPr>
          <w:rFonts w:ascii="Times New Roman" w:hAnsi="Times New Roman" w:cs="Times New Roman"/>
        </w:rPr>
        <w:t xml:space="preserve">, </w:t>
      </w:r>
      <w:r w:rsidRPr="004D61B7">
        <w:rPr>
          <w:rFonts w:ascii="Times New Roman" w:hAnsi="Times New Roman" w:cs="Times New Roman"/>
          <w:i/>
        </w:rPr>
        <w:t>Compensation and Support for Illness and Injury</w:t>
      </w:r>
      <w:r>
        <w:rPr>
          <w:rFonts w:ascii="Times New Roman" w:hAnsi="Times New Roman" w:cs="Times New Roman"/>
        </w:rPr>
        <w:t xml:space="preserve"> (Oxford</w:t>
      </w:r>
      <w:r w:rsidRPr="00626A06">
        <w:rPr>
          <w:rFonts w:ascii="Times New Roman" w:hAnsi="Times New Roman" w:cs="Times New Roman"/>
        </w:rPr>
        <w:t xml:space="preserve">, Clarendon Press, </w:t>
      </w:r>
      <w:r>
        <w:rPr>
          <w:rFonts w:ascii="Times New Roman" w:hAnsi="Times New Roman" w:cs="Times New Roman"/>
        </w:rPr>
        <w:t>1984)</w:t>
      </w:r>
      <w:r w:rsidRPr="00626A06">
        <w:rPr>
          <w:rFonts w:ascii="Times New Roman" w:hAnsi="Times New Roman" w:cs="Times New Roman"/>
        </w:rPr>
        <w:t>.</w:t>
      </w:r>
    </w:p>
  </w:footnote>
  <w:footnote w:id="38">
    <w:p w:rsidR="00203530" w:rsidRPr="00626A06" w:rsidRDefault="00203530">
      <w:pPr>
        <w:pStyle w:val="FootnoteText"/>
        <w:rPr>
          <w:rFonts w:ascii="Times New Roman" w:hAnsi="Times New Roman" w:cs="Times New Roman"/>
          <w:i/>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This contrasts with more recent sources such as the </w:t>
      </w:r>
      <w:r>
        <w:rPr>
          <w:rFonts w:ascii="Times New Roman" w:hAnsi="Times New Roman" w:cs="Times New Roman"/>
        </w:rPr>
        <w:t xml:space="preserve">ABI/IUA, </w:t>
      </w:r>
      <w:r w:rsidRPr="00626A06">
        <w:rPr>
          <w:rFonts w:ascii="Times New Roman" w:hAnsi="Times New Roman" w:cs="Times New Roman"/>
          <w:i/>
        </w:rPr>
        <w:t>Fourth UK Bodily Injury Awards Survey</w:t>
      </w:r>
      <w:r>
        <w:rPr>
          <w:rFonts w:ascii="Times New Roman" w:hAnsi="Times New Roman" w:cs="Times New Roman"/>
          <w:i/>
        </w:rPr>
        <w:t xml:space="preserve"> </w:t>
      </w:r>
      <w:r>
        <w:rPr>
          <w:rFonts w:ascii="Times New Roman" w:hAnsi="Times New Roman" w:cs="Times New Roman"/>
        </w:rPr>
        <w:t xml:space="preserve">(London, </w:t>
      </w:r>
      <w:r w:rsidRPr="005F572D">
        <w:rPr>
          <w:rFonts w:ascii="Times New Roman" w:hAnsi="Times New Roman" w:cs="Times New Roman"/>
        </w:rPr>
        <w:t>International</w:t>
      </w:r>
      <w:r>
        <w:rPr>
          <w:rFonts w:ascii="Times New Roman" w:hAnsi="Times New Roman" w:cs="Times New Roman"/>
        </w:rPr>
        <w:t xml:space="preserve"> </w:t>
      </w:r>
      <w:r w:rsidRPr="005F572D">
        <w:rPr>
          <w:rFonts w:ascii="Times New Roman" w:hAnsi="Times New Roman" w:cs="Times New Roman"/>
        </w:rPr>
        <w:t>Underwriters Association and Association of British Insurers</w:t>
      </w:r>
      <w:r>
        <w:rPr>
          <w:rFonts w:ascii="Times New Roman" w:hAnsi="Times New Roman" w:cs="Times New Roman"/>
        </w:rPr>
        <w:t xml:space="preserve">, </w:t>
      </w:r>
      <w:r w:rsidRPr="00626A06">
        <w:rPr>
          <w:rFonts w:ascii="Times New Roman" w:hAnsi="Times New Roman" w:cs="Times New Roman"/>
        </w:rPr>
        <w:t>2007</w:t>
      </w:r>
      <w:r>
        <w:rPr>
          <w:rFonts w:ascii="Times New Roman" w:hAnsi="Times New Roman" w:cs="Times New Roman"/>
        </w:rPr>
        <w:t>)</w:t>
      </w:r>
      <w:r w:rsidRPr="00626A06">
        <w:rPr>
          <w:rFonts w:ascii="Times New Roman" w:hAnsi="Times New Roman" w:cs="Times New Roman"/>
        </w:rPr>
        <w:t>.</w:t>
      </w:r>
      <w:r w:rsidRPr="00626A06">
        <w:rPr>
          <w:rFonts w:ascii="Times New Roman" w:hAnsi="Times New Roman" w:cs="Times New Roman"/>
          <w:i/>
        </w:rPr>
        <w:t xml:space="preserve"> </w:t>
      </w:r>
    </w:p>
  </w:footnote>
  <w:footnote w:id="39">
    <w:p w:rsidR="00203530" w:rsidRPr="00D7285D" w:rsidRDefault="00203530">
      <w:pPr>
        <w:pStyle w:val="FootnoteText"/>
        <w:rPr>
          <w:rFonts w:ascii="Times New Roman" w:hAnsi="Times New Roman" w:cs="Times New Roman"/>
          <w:lang w:val="de-DE"/>
        </w:rPr>
      </w:pPr>
      <w:r w:rsidRPr="00626A06">
        <w:rPr>
          <w:rStyle w:val="FootnoteReference"/>
          <w:rFonts w:ascii="Times New Roman" w:hAnsi="Times New Roman" w:cs="Times New Roman"/>
        </w:rPr>
        <w:footnoteRef/>
      </w:r>
      <w:r w:rsidRPr="00D7285D">
        <w:rPr>
          <w:rFonts w:ascii="Times New Roman" w:hAnsi="Times New Roman" w:cs="Times New Roman"/>
          <w:lang w:val="de-DE"/>
        </w:rPr>
        <w:t xml:space="preserve"> </w:t>
      </w:r>
      <w:r w:rsidRPr="00D7285D">
        <w:rPr>
          <w:rFonts w:ascii="Times New Roman" w:hAnsi="Times New Roman" w:cs="Times New Roman"/>
          <w:lang w:val="de-DE"/>
        </w:rPr>
        <w:t xml:space="preserve">Harris </w:t>
      </w:r>
      <w:r w:rsidRPr="00D7285D">
        <w:rPr>
          <w:rFonts w:ascii="Times New Roman" w:hAnsi="Times New Roman" w:cs="Times New Roman"/>
          <w:i/>
          <w:lang w:val="de-DE"/>
        </w:rPr>
        <w:t xml:space="preserve">et al </w:t>
      </w:r>
      <w:r w:rsidRPr="00D7285D">
        <w:rPr>
          <w:rFonts w:ascii="Times New Roman" w:hAnsi="Times New Roman" w:cs="Times New Roman"/>
          <w:lang w:val="de-DE"/>
        </w:rPr>
        <w:t xml:space="preserve">(n </w:t>
      </w:r>
      <w:r w:rsidR="007E7C1D">
        <w:rPr>
          <w:rFonts w:ascii="Times New Roman" w:hAnsi="Times New Roman" w:cs="Times New Roman"/>
        </w:rPr>
        <w:fldChar w:fldCharType="begin"/>
      </w:r>
      <w:r w:rsidRPr="00D7285D">
        <w:rPr>
          <w:rFonts w:ascii="Times New Roman" w:hAnsi="Times New Roman" w:cs="Times New Roman"/>
          <w:lang w:val="de-DE"/>
        </w:rPr>
        <w:instrText xml:space="preserve"> NOTEREF _Ref319262423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lang w:val="de-DE"/>
        </w:rPr>
        <w:t>36</w:t>
      </w:r>
      <w:r w:rsidR="007E7C1D">
        <w:rPr>
          <w:rFonts w:ascii="Times New Roman" w:hAnsi="Times New Roman" w:cs="Times New Roman"/>
        </w:rPr>
        <w:fldChar w:fldCharType="end"/>
      </w:r>
      <w:r w:rsidRPr="00D7285D">
        <w:rPr>
          <w:rFonts w:ascii="Times New Roman" w:hAnsi="Times New Roman" w:cs="Times New Roman"/>
          <w:lang w:val="de-DE"/>
        </w:rPr>
        <w:t>) 89</w:t>
      </w:r>
    </w:p>
  </w:footnote>
  <w:footnote w:id="4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Pr>
          <w:rFonts w:ascii="Times New Roman" w:hAnsi="Times New Roman" w:cs="Times New Roman"/>
        </w:rPr>
        <w:t>ibid</w:t>
      </w:r>
      <w:r w:rsidRPr="00626A06">
        <w:rPr>
          <w:rFonts w:ascii="Times New Roman" w:hAnsi="Times New Roman" w:cs="Times New Roman"/>
        </w:rPr>
        <w:t xml:space="preserve"> 91</w:t>
      </w:r>
    </w:p>
  </w:footnote>
  <w:footnote w:id="4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Harris also reported that in some cases the claimant may never know that there was a reduction for contributory negligence, since settlements are not always itemised.</w:t>
      </w:r>
    </w:p>
  </w:footnote>
  <w:footnote w:id="4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In marine collision cases by contrast, first party insurance was historically the norm, collisions being treated as a ‘peril of the sea’ whether caused with or without fault. The reluctance of underwriters to cover collision </w:t>
      </w:r>
      <w:r w:rsidRPr="00626A06">
        <w:rPr>
          <w:rFonts w:ascii="Times New Roman" w:hAnsi="Times New Roman" w:cs="Times New Roman"/>
          <w:i/>
        </w:rPr>
        <w:t>liabilities</w:t>
      </w:r>
      <w:r w:rsidRPr="00626A06">
        <w:rPr>
          <w:rFonts w:ascii="Times New Roman" w:hAnsi="Times New Roman" w:cs="Times New Roman"/>
        </w:rPr>
        <w:t xml:space="preserve"> (to third parties) in full led to a shortfall which was taken up by mutual insurers, leading to the creation of the first Protection and Indemnity Clubs.</w:t>
      </w:r>
    </w:p>
  </w:footnote>
  <w:footnote w:id="4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rPr>
        <w:t xml:space="preserve">McLean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_Ref319261674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27</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w:t>
      </w:r>
      <w:proofErr w:type="gramEnd"/>
    </w:p>
  </w:footnote>
  <w:footnote w:id="4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While causation issues remain central (see </w:t>
      </w:r>
      <w:r w:rsidRPr="00626A06">
        <w:rPr>
          <w:rFonts w:ascii="Times New Roman" w:hAnsi="Times New Roman" w:cs="Times New Roman"/>
          <w:i/>
        </w:rPr>
        <w:t>Stanton</w:t>
      </w:r>
      <w:r>
        <w:rPr>
          <w:rFonts w:ascii="Times New Roman" w:hAnsi="Times New Roman" w:cs="Times New Roman"/>
          <w:i/>
        </w:rPr>
        <w:t xml:space="preserve">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_Ref319262758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35</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the kind of causation in question is now more limited. It is unlikely that the claimant’s inattentiveness would fail to be considered a ‘cause in fact’.</w:t>
      </w:r>
    </w:p>
  </w:footnote>
  <w:footnote w:id="4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See text to </w:t>
      </w:r>
      <w:proofErr w:type="spellStart"/>
      <w:r w:rsidRPr="00626A06">
        <w:rPr>
          <w:rFonts w:ascii="Times New Roman" w:hAnsi="Times New Roman" w:cs="Times New Roman"/>
        </w:rPr>
        <w:t>nn</w:t>
      </w:r>
      <w:proofErr w:type="spellEnd"/>
      <w:r w:rsidRPr="00626A06">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_Ref319266841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14</w:t>
      </w:r>
      <w:r w:rsidR="007E7C1D">
        <w:rPr>
          <w:rFonts w:ascii="Times New Roman" w:hAnsi="Times New Roman" w:cs="Times New Roman"/>
        </w:rPr>
        <w:fldChar w:fldCharType="end"/>
      </w:r>
      <w:r>
        <w:rPr>
          <w:rFonts w:ascii="Times New Roman" w:hAnsi="Times New Roman" w:cs="Times New Roman"/>
        </w:rPr>
        <w:t>-</w:t>
      </w:r>
      <w:r w:rsidR="007E7C1D">
        <w:rPr>
          <w:rFonts w:ascii="Times New Roman" w:hAnsi="Times New Roman" w:cs="Times New Roman"/>
        </w:rPr>
        <w:fldChar w:fldCharType="begin"/>
      </w:r>
      <w:r>
        <w:rPr>
          <w:rFonts w:ascii="Times New Roman" w:hAnsi="Times New Roman" w:cs="Times New Roman"/>
        </w:rPr>
        <w:instrText xml:space="preserve"> NOTEREF _Ref319266845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20</w:t>
      </w:r>
      <w:r w:rsidR="007E7C1D">
        <w:rPr>
          <w:rFonts w:ascii="Times New Roman" w:hAnsi="Times New Roman" w:cs="Times New Roman"/>
        </w:rPr>
        <w:fldChar w:fldCharType="end"/>
      </w:r>
      <w:r w:rsidRPr="00626A06">
        <w:rPr>
          <w:rFonts w:ascii="Times New Roman" w:hAnsi="Times New Roman" w:cs="Times New Roman"/>
        </w:rPr>
        <w:t>.</w:t>
      </w:r>
    </w:p>
  </w:footnote>
  <w:footnote w:id="4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Williams, </w:t>
      </w:r>
      <w:r>
        <w:rPr>
          <w:rFonts w:ascii="Times New Roman" w:hAnsi="Times New Roman" w:cs="Times New Roman"/>
        </w:rPr>
        <w:t>‘Law Reform’ (</w:t>
      </w:r>
      <w:r w:rsidRPr="00626A06">
        <w:rPr>
          <w:rFonts w:ascii="Times New Roman" w:hAnsi="Times New Roman" w:cs="Times New Roman"/>
        </w:rPr>
        <w:t>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_Ref319256382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10</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criticised </w:t>
      </w:r>
      <w:r>
        <w:rPr>
          <w:rFonts w:ascii="Times New Roman" w:hAnsi="Times New Roman" w:cs="Times New Roman"/>
        </w:rPr>
        <w:t xml:space="preserve">the </w:t>
      </w:r>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 on this basis, but the same view was expressed by Lord Simon judicially both before and after he achieved the reform as Lord Chancellor. In time, the 1945 Act has indeed had this effect, as ideas of legal cause have altered. See for example </w:t>
      </w:r>
      <w:r w:rsidRPr="00626A06">
        <w:rPr>
          <w:rFonts w:ascii="Times New Roman" w:hAnsi="Times New Roman" w:cs="Times New Roman"/>
          <w:i/>
        </w:rPr>
        <w:t xml:space="preserve">Spencer v Wincanton Holdings </w:t>
      </w:r>
      <w:r w:rsidRPr="00626A06">
        <w:rPr>
          <w:rFonts w:ascii="Times New Roman" w:hAnsi="Times New Roman" w:cs="Times New Roman"/>
        </w:rPr>
        <w:t xml:space="preserve">[2009] EWCA </w:t>
      </w:r>
      <w:proofErr w:type="spellStart"/>
      <w:r w:rsidRPr="00626A06">
        <w:rPr>
          <w:rFonts w:ascii="Times New Roman" w:hAnsi="Times New Roman" w:cs="Times New Roman"/>
        </w:rPr>
        <w:t>Civ</w:t>
      </w:r>
      <w:proofErr w:type="spellEnd"/>
      <w:r w:rsidRPr="00626A06">
        <w:rPr>
          <w:rFonts w:ascii="Times New Roman" w:hAnsi="Times New Roman" w:cs="Times New Roman"/>
        </w:rPr>
        <w:t xml:space="preserve"> 1404, </w:t>
      </w:r>
      <w:r w:rsidRPr="007D3BF0">
        <w:rPr>
          <w:rFonts w:ascii="Times New Roman" w:hAnsi="Times New Roman" w:cs="Times New Roman"/>
        </w:rPr>
        <w:t xml:space="preserve">[2010] PIQR P8 </w:t>
      </w:r>
      <w:r w:rsidRPr="00626A06">
        <w:rPr>
          <w:rFonts w:ascii="Times New Roman" w:hAnsi="Times New Roman" w:cs="Times New Roman"/>
        </w:rPr>
        <w:t xml:space="preserve">reducing damages for contributory negligence and distinguishing </w:t>
      </w:r>
      <w:proofErr w:type="spellStart"/>
      <w:r w:rsidRPr="00626A06">
        <w:rPr>
          <w:rFonts w:ascii="Times New Roman" w:hAnsi="Times New Roman" w:cs="Times New Roman"/>
          <w:i/>
        </w:rPr>
        <w:t>McKew</w:t>
      </w:r>
      <w:proofErr w:type="spellEnd"/>
      <w:r w:rsidRPr="00626A06">
        <w:rPr>
          <w:rFonts w:ascii="Times New Roman" w:hAnsi="Times New Roman" w:cs="Times New Roman"/>
          <w:i/>
        </w:rPr>
        <w:t xml:space="preserve"> v Holland &amp; </w:t>
      </w:r>
      <w:proofErr w:type="spellStart"/>
      <w:r w:rsidRPr="00626A06">
        <w:rPr>
          <w:rFonts w:ascii="Times New Roman" w:hAnsi="Times New Roman" w:cs="Times New Roman"/>
          <w:i/>
        </w:rPr>
        <w:t>Hannen</w:t>
      </w:r>
      <w:proofErr w:type="spellEnd"/>
      <w:r w:rsidRPr="00626A06">
        <w:rPr>
          <w:rFonts w:ascii="Times New Roman" w:hAnsi="Times New Roman" w:cs="Times New Roman"/>
          <w:i/>
        </w:rPr>
        <w:t xml:space="preserve"> &amp; </w:t>
      </w:r>
      <w:proofErr w:type="spellStart"/>
      <w:r w:rsidRPr="00626A06">
        <w:rPr>
          <w:rFonts w:ascii="Times New Roman" w:hAnsi="Times New Roman" w:cs="Times New Roman"/>
          <w:i/>
        </w:rPr>
        <w:t>Cubitts</w:t>
      </w:r>
      <w:proofErr w:type="spellEnd"/>
      <w:r w:rsidRPr="00626A06">
        <w:rPr>
          <w:rFonts w:ascii="Times New Roman" w:hAnsi="Times New Roman" w:cs="Times New Roman"/>
          <w:i/>
        </w:rPr>
        <w:t xml:space="preserve"> </w:t>
      </w:r>
      <w:r w:rsidRPr="00626A06">
        <w:rPr>
          <w:rFonts w:ascii="Times New Roman" w:hAnsi="Times New Roman" w:cs="Times New Roman"/>
        </w:rPr>
        <w:t xml:space="preserve">[1969] 3 All ER 1621 (a case of </w:t>
      </w:r>
      <w:proofErr w:type="spellStart"/>
      <w:r w:rsidRPr="00626A06">
        <w:rPr>
          <w:rFonts w:ascii="Times New Roman" w:hAnsi="Times New Roman" w:cs="Times New Roman"/>
          <w:i/>
        </w:rPr>
        <w:t>novus</w:t>
      </w:r>
      <w:proofErr w:type="spellEnd"/>
      <w:r w:rsidRPr="00626A06">
        <w:rPr>
          <w:rFonts w:ascii="Times New Roman" w:hAnsi="Times New Roman" w:cs="Times New Roman"/>
          <w:i/>
        </w:rPr>
        <w:t xml:space="preserve"> </w:t>
      </w:r>
      <w:proofErr w:type="spellStart"/>
      <w:r w:rsidRPr="00626A06">
        <w:rPr>
          <w:rFonts w:ascii="Times New Roman" w:hAnsi="Times New Roman" w:cs="Times New Roman"/>
          <w:i/>
        </w:rPr>
        <w:t>actus</w:t>
      </w:r>
      <w:proofErr w:type="spellEnd"/>
      <w:r w:rsidRPr="00626A06">
        <w:rPr>
          <w:rFonts w:ascii="Times New Roman" w:hAnsi="Times New Roman" w:cs="Times New Roman"/>
          <w:i/>
        </w:rPr>
        <w:t xml:space="preserve"> </w:t>
      </w:r>
      <w:r w:rsidRPr="00626A06">
        <w:rPr>
          <w:rFonts w:ascii="Times New Roman" w:hAnsi="Times New Roman" w:cs="Times New Roman"/>
        </w:rPr>
        <w:t>on the part of a claimant), the Court of Appeal pointing out that the 1945 Act had not been advanced in argument in that case.</w:t>
      </w:r>
    </w:p>
  </w:footnote>
  <w:footnote w:id="47">
    <w:p w:rsidR="00203530" w:rsidRPr="00626A06" w:rsidRDefault="00203530" w:rsidP="00E61BAE">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Earlier reports of the Committee had all been entitled ‘Interim Report’. No difference is signified by the lack of the word ‘Interim’, but one member of the Committee queried whether it might give the impression there was a fuller version to follow, and it was removed from the title.</w:t>
      </w:r>
    </w:p>
  </w:footnote>
  <w:footnote w:id="4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For reflection on the extent of </w:t>
      </w:r>
      <w:proofErr w:type="spellStart"/>
      <w:r w:rsidRPr="00626A06">
        <w:rPr>
          <w:rFonts w:ascii="Times New Roman" w:hAnsi="Times New Roman" w:cs="Times New Roman"/>
        </w:rPr>
        <w:t>Claud</w:t>
      </w:r>
      <w:proofErr w:type="spellEnd"/>
      <w:r w:rsidRPr="00626A06">
        <w:rPr>
          <w:rFonts w:ascii="Times New Roman" w:hAnsi="Times New Roman" w:cs="Times New Roman"/>
        </w:rPr>
        <w:t xml:space="preserve"> Schuster’s influence, see R Stevens, </w:t>
      </w:r>
      <w:r w:rsidRPr="00626A06">
        <w:rPr>
          <w:rFonts w:ascii="Times New Roman" w:hAnsi="Times New Roman" w:cs="Times New Roman"/>
          <w:i/>
        </w:rPr>
        <w:t xml:space="preserve">The Independence of the Judiciary: the View from the Lord Chancellor’s Office </w:t>
      </w:r>
      <w:r w:rsidRPr="00626A06">
        <w:rPr>
          <w:rFonts w:ascii="Times New Roman" w:hAnsi="Times New Roman" w:cs="Times New Roman"/>
        </w:rPr>
        <w:t>(</w:t>
      </w:r>
      <w:r>
        <w:rPr>
          <w:rFonts w:ascii="Times New Roman" w:hAnsi="Times New Roman" w:cs="Times New Roman"/>
        </w:rPr>
        <w:t xml:space="preserve">Oxford, </w:t>
      </w:r>
      <w:r w:rsidRPr="00626A06">
        <w:rPr>
          <w:rFonts w:ascii="Times New Roman" w:hAnsi="Times New Roman" w:cs="Times New Roman"/>
        </w:rPr>
        <w:t xml:space="preserve">Oxford University Press, 1993) </w:t>
      </w:r>
      <w:proofErr w:type="spellStart"/>
      <w:r>
        <w:rPr>
          <w:rFonts w:ascii="Times New Roman" w:hAnsi="Times New Roman" w:cs="Times New Roman"/>
        </w:rPr>
        <w:t>c</w:t>
      </w:r>
      <w:r w:rsidRPr="00626A06">
        <w:rPr>
          <w:rFonts w:ascii="Times New Roman" w:hAnsi="Times New Roman" w:cs="Times New Roman"/>
        </w:rPr>
        <w:t>hs</w:t>
      </w:r>
      <w:proofErr w:type="spellEnd"/>
      <w:r w:rsidRPr="00626A06">
        <w:rPr>
          <w:rFonts w:ascii="Times New Roman" w:hAnsi="Times New Roman" w:cs="Times New Roman"/>
        </w:rPr>
        <w:t xml:space="preserve"> 2-5.</w:t>
      </w:r>
    </w:p>
  </w:footnote>
  <w:footnote w:id="4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In correspondence with one of the speakers, Donald </w:t>
      </w:r>
      <w:proofErr w:type="spellStart"/>
      <w:r w:rsidRPr="00626A06">
        <w:rPr>
          <w:rFonts w:ascii="Times New Roman" w:hAnsi="Times New Roman" w:cs="Times New Roman"/>
        </w:rPr>
        <w:t>Somervell</w:t>
      </w:r>
      <w:proofErr w:type="spellEnd"/>
      <w:r w:rsidRPr="00626A06">
        <w:rPr>
          <w:rFonts w:ascii="Times New Roman" w:hAnsi="Times New Roman" w:cs="Times New Roman"/>
        </w:rPr>
        <w:t xml:space="preserve"> (Solicitor General from September 1933 and later </w:t>
      </w:r>
      <w:r w:rsidR="007E46D5">
        <w:rPr>
          <w:rFonts w:ascii="Times New Roman" w:hAnsi="Times New Roman" w:cs="Times New Roman"/>
        </w:rPr>
        <w:t xml:space="preserve">Lord </w:t>
      </w:r>
      <w:proofErr w:type="spellStart"/>
      <w:r w:rsidRPr="00626A06">
        <w:rPr>
          <w:rFonts w:ascii="Times New Roman" w:hAnsi="Times New Roman" w:cs="Times New Roman"/>
        </w:rPr>
        <w:t>Somervell</w:t>
      </w:r>
      <w:proofErr w:type="spellEnd"/>
      <w:r w:rsidRPr="00626A06">
        <w:rPr>
          <w:rFonts w:ascii="Times New Roman" w:hAnsi="Times New Roman" w:cs="Times New Roman"/>
        </w:rPr>
        <w:t xml:space="preserve">), Schuster variously suggested that the real problems with law reform were not that the Lord Chancellor’s office was understaffed as </w:t>
      </w:r>
      <w:proofErr w:type="spellStart"/>
      <w:r w:rsidRPr="00626A06">
        <w:rPr>
          <w:rFonts w:ascii="Times New Roman" w:hAnsi="Times New Roman" w:cs="Times New Roman"/>
        </w:rPr>
        <w:t>Somervell</w:t>
      </w:r>
      <w:proofErr w:type="spellEnd"/>
      <w:r w:rsidRPr="00626A06">
        <w:rPr>
          <w:rFonts w:ascii="Times New Roman" w:hAnsi="Times New Roman" w:cs="Times New Roman"/>
        </w:rPr>
        <w:t xml:space="preserve"> had suggested, but that no Lord Chancellor since Lord Birkenhead had been in office long enough to achieve much (‘we dealt with the law of property’ – </w:t>
      </w:r>
      <w:r>
        <w:rPr>
          <w:rFonts w:ascii="Times New Roman" w:hAnsi="Times New Roman" w:cs="Times New Roman"/>
        </w:rPr>
        <w:t>L</w:t>
      </w:r>
      <w:r w:rsidRPr="00626A06">
        <w:rPr>
          <w:rFonts w:ascii="Times New Roman" w:hAnsi="Times New Roman" w:cs="Times New Roman"/>
        </w:rPr>
        <w:t xml:space="preserve">etter dated 24 February 1933); and (more bluntly) there was an obstacle to reform in the shape of the House of Commons, particularly the Party Whips: </w:t>
      </w:r>
      <w:r>
        <w:rPr>
          <w:rFonts w:ascii="Times New Roman" w:hAnsi="Times New Roman" w:cs="Times New Roman"/>
        </w:rPr>
        <w:t>TNA LCO 2</w:t>
      </w:r>
      <w:r w:rsidRPr="00626A06">
        <w:rPr>
          <w:rFonts w:ascii="Times New Roman" w:hAnsi="Times New Roman" w:cs="Times New Roman"/>
        </w:rPr>
        <w:t>/3565</w:t>
      </w:r>
      <w:r>
        <w:rPr>
          <w:rFonts w:ascii="Times New Roman" w:hAnsi="Times New Roman" w:cs="Times New Roman"/>
        </w:rPr>
        <w:t>, L</w:t>
      </w:r>
      <w:r w:rsidRPr="00626A06">
        <w:rPr>
          <w:rFonts w:ascii="Times New Roman" w:hAnsi="Times New Roman" w:cs="Times New Roman"/>
        </w:rPr>
        <w:t xml:space="preserve">etter dated 13 January 1933. He was equally waspish about the Statute Law Committee, ‘a body of leisurely disposition which moves slowly’, which he nevertheless invited </w:t>
      </w:r>
      <w:proofErr w:type="spellStart"/>
      <w:r w:rsidRPr="00626A06">
        <w:rPr>
          <w:rFonts w:ascii="Times New Roman" w:hAnsi="Times New Roman" w:cs="Times New Roman"/>
        </w:rPr>
        <w:t>Somervell</w:t>
      </w:r>
      <w:proofErr w:type="spellEnd"/>
      <w:r w:rsidRPr="00626A06">
        <w:rPr>
          <w:rFonts w:ascii="Times New Roman" w:hAnsi="Times New Roman" w:cs="Times New Roman"/>
        </w:rPr>
        <w:t xml:space="preserve"> to join (‘the work involved is very slight and the meetings are few’).</w:t>
      </w:r>
    </w:p>
  </w:footnote>
  <w:footnote w:id="50">
    <w:p w:rsidR="00203530" w:rsidRPr="00626A06" w:rsidRDefault="00203530" w:rsidP="0072603D">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i/>
        </w:rPr>
        <w:t xml:space="preserve">Donoghue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_Ref319257509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w:t>
      </w:r>
      <w:proofErr w:type="gramEnd"/>
      <w:r w:rsidRPr="00626A06">
        <w:rPr>
          <w:rFonts w:ascii="Times New Roman" w:hAnsi="Times New Roman" w:cs="Times New Roman"/>
        </w:rPr>
        <w:t xml:space="preserve"> Donald </w:t>
      </w:r>
      <w:proofErr w:type="spellStart"/>
      <w:r w:rsidRPr="00626A06">
        <w:rPr>
          <w:rFonts w:ascii="Times New Roman" w:hAnsi="Times New Roman" w:cs="Times New Roman"/>
        </w:rPr>
        <w:t>Somervell</w:t>
      </w:r>
      <w:proofErr w:type="spellEnd"/>
      <w:r w:rsidRPr="00626A06">
        <w:rPr>
          <w:rFonts w:ascii="Times New Roman" w:hAnsi="Times New Roman" w:cs="Times New Roman"/>
        </w:rPr>
        <w:t xml:space="preserve"> appeared either not to have heard of </w:t>
      </w:r>
      <w:r w:rsidRPr="00626A06">
        <w:rPr>
          <w:rFonts w:ascii="Times New Roman" w:hAnsi="Times New Roman" w:cs="Times New Roman"/>
          <w:i/>
        </w:rPr>
        <w:t xml:space="preserve">Donoghue </w:t>
      </w:r>
      <w:r w:rsidRPr="00626A06">
        <w:rPr>
          <w:rFonts w:ascii="Times New Roman" w:hAnsi="Times New Roman" w:cs="Times New Roman"/>
        </w:rPr>
        <w:t>or not to have thought much of it</w:t>
      </w:r>
      <w:r w:rsidRPr="00626A06">
        <w:rPr>
          <w:rFonts w:ascii="Times New Roman" w:hAnsi="Times New Roman" w:cs="Times New Roman"/>
          <w:i/>
        </w:rPr>
        <w:t xml:space="preserve"> </w:t>
      </w:r>
      <w:r w:rsidRPr="00626A06">
        <w:rPr>
          <w:rFonts w:ascii="Times New Roman" w:hAnsi="Times New Roman" w:cs="Times New Roman"/>
        </w:rPr>
        <w:t xml:space="preserve">when, on 27 February 1933, he wrote to Schuster with some suggested topics for law reform. Some of these (frustration of contracts, recovery against dead </w:t>
      </w:r>
      <w:proofErr w:type="spellStart"/>
      <w:r w:rsidRPr="00626A06">
        <w:rPr>
          <w:rFonts w:ascii="Times New Roman" w:hAnsi="Times New Roman" w:cs="Times New Roman"/>
        </w:rPr>
        <w:t>tortfeasors</w:t>
      </w:r>
      <w:proofErr w:type="spellEnd"/>
      <w:r w:rsidRPr="00626A06">
        <w:rPr>
          <w:rFonts w:ascii="Times New Roman" w:hAnsi="Times New Roman" w:cs="Times New Roman"/>
        </w:rPr>
        <w:t>) were put into effect, but he also suggested review of ‘the non-liability for damage caused by negligence except on a highway or to persons to whom a contractual duty is owed’. Contributory negligence seems to have been taken up after a suggestion by Lord Wright, TNA LCO</w:t>
      </w:r>
      <w:r>
        <w:rPr>
          <w:rFonts w:ascii="Times New Roman" w:hAnsi="Times New Roman" w:cs="Times New Roman"/>
        </w:rPr>
        <w:t xml:space="preserve"> </w:t>
      </w:r>
      <w:r w:rsidRPr="00626A06">
        <w:rPr>
          <w:rFonts w:ascii="Times New Roman" w:hAnsi="Times New Roman" w:cs="Times New Roman"/>
        </w:rPr>
        <w:t>2/3565</w:t>
      </w:r>
      <w:r>
        <w:rPr>
          <w:rFonts w:ascii="Times New Roman" w:hAnsi="Times New Roman" w:cs="Times New Roman"/>
        </w:rPr>
        <w:t xml:space="preserve">, </w:t>
      </w:r>
      <w:proofErr w:type="gramStart"/>
      <w:r>
        <w:rPr>
          <w:rFonts w:ascii="Times New Roman" w:hAnsi="Times New Roman" w:cs="Times New Roman"/>
        </w:rPr>
        <w:t>L</w:t>
      </w:r>
      <w:r w:rsidRPr="00626A06">
        <w:rPr>
          <w:rFonts w:ascii="Times New Roman" w:hAnsi="Times New Roman" w:cs="Times New Roman"/>
        </w:rPr>
        <w:t>etter</w:t>
      </w:r>
      <w:proofErr w:type="gramEnd"/>
      <w:r w:rsidRPr="00626A06">
        <w:rPr>
          <w:rFonts w:ascii="Times New Roman" w:hAnsi="Times New Roman" w:cs="Times New Roman"/>
        </w:rPr>
        <w:t xml:space="preserve"> to Schuster dated 2 April 1937.</w:t>
      </w:r>
    </w:p>
  </w:footnote>
  <w:footnote w:id="5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Law Revision Committee’s notes expressly identify that proportionate division of liability (as they proposed) would be consistent with the trend of legislation including the Law Reform (Married Women and </w:t>
      </w:r>
      <w:proofErr w:type="spellStart"/>
      <w:r w:rsidRPr="00626A06">
        <w:rPr>
          <w:rFonts w:ascii="Times New Roman" w:hAnsi="Times New Roman" w:cs="Times New Roman"/>
        </w:rPr>
        <w:t>Tortfeasors</w:t>
      </w:r>
      <w:proofErr w:type="spellEnd"/>
      <w:r w:rsidRPr="00626A06">
        <w:rPr>
          <w:rFonts w:ascii="Times New Roman" w:hAnsi="Times New Roman" w:cs="Times New Roman"/>
        </w:rPr>
        <w:t xml:space="preserve">) Act 1935. Lord Simon reported later that ‘the commercial lawyers’, naming Wright and Porter, were fully behind his reform of contributory negligence. And the 1935 Act, like the reform of contributory negligence, was heavily influenced by maritime practice and the provisions of the Maritime Conventions Act 1911: see the Law Revision Committee’s </w:t>
      </w:r>
      <w:r w:rsidRPr="00D7285D">
        <w:rPr>
          <w:rFonts w:ascii="Times New Roman" w:hAnsi="Times New Roman" w:cs="Times New Roman"/>
          <w:i/>
        </w:rPr>
        <w:t>Third Interim Report</w:t>
      </w:r>
      <w:r w:rsidRPr="00626A06">
        <w:rPr>
          <w:rFonts w:ascii="Times New Roman" w:hAnsi="Times New Roman" w:cs="Times New Roman"/>
        </w:rPr>
        <w:t xml:space="preserve"> </w:t>
      </w:r>
      <w:r>
        <w:rPr>
          <w:rFonts w:ascii="Times New Roman" w:hAnsi="Times New Roman" w:cs="Times New Roman"/>
        </w:rPr>
        <w:t>(</w:t>
      </w:r>
      <w:proofErr w:type="spellStart"/>
      <w:r w:rsidRPr="00626A06">
        <w:rPr>
          <w:rFonts w:ascii="Times New Roman" w:hAnsi="Times New Roman" w:cs="Times New Roman"/>
        </w:rPr>
        <w:t>Cmd</w:t>
      </w:r>
      <w:proofErr w:type="spellEnd"/>
      <w:r w:rsidRPr="00626A06">
        <w:rPr>
          <w:rFonts w:ascii="Times New Roman" w:hAnsi="Times New Roman" w:cs="Times New Roman"/>
        </w:rPr>
        <w:t xml:space="preserve"> 4637, 1934</w:t>
      </w:r>
      <w:r>
        <w:rPr>
          <w:rFonts w:ascii="Times New Roman" w:hAnsi="Times New Roman" w:cs="Times New Roman"/>
        </w:rPr>
        <w:t>)</w:t>
      </w:r>
      <w:r w:rsidRPr="00626A06">
        <w:rPr>
          <w:rFonts w:ascii="Times New Roman" w:hAnsi="Times New Roman" w:cs="Times New Roman"/>
        </w:rPr>
        <w:t xml:space="preserve"> 6, recommending ‘</w:t>
      </w:r>
      <w:proofErr w:type="gramStart"/>
      <w:r w:rsidRPr="00626A06">
        <w:rPr>
          <w:rFonts w:ascii="Times New Roman" w:hAnsi="Times New Roman" w:cs="Times New Roman"/>
        </w:rPr>
        <w:t>to adopt</w:t>
      </w:r>
      <w:proofErr w:type="gramEnd"/>
      <w:r w:rsidRPr="00626A06">
        <w:rPr>
          <w:rFonts w:ascii="Times New Roman" w:hAnsi="Times New Roman" w:cs="Times New Roman"/>
        </w:rPr>
        <w:t xml:space="preserve"> with any necessary modification Admiralty practice as to apportionment of contribution’.</w:t>
      </w:r>
    </w:p>
  </w:footnote>
  <w:footnote w:id="5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 xml:space="preserve">Note Lord Macmillan’s judgment in </w:t>
      </w:r>
      <w:r w:rsidRPr="00626A06">
        <w:rPr>
          <w:rFonts w:ascii="Times New Roman" w:hAnsi="Times New Roman" w:cs="Times New Roman"/>
          <w:i/>
        </w:rPr>
        <w:t xml:space="preserve">Donoghue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_Ref319257509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w:t>
      </w:r>
      <w:proofErr w:type="gramEnd"/>
    </w:p>
  </w:footnote>
  <w:footnote w:id="5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For example, through the attempt to harmoni</w:t>
      </w:r>
      <w:r>
        <w:rPr>
          <w:rFonts w:ascii="Times New Roman" w:hAnsi="Times New Roman" w:cs="Times New Roman"/>
        </w:rPr>
        <w:t>s</w:t>
      </w:r>
      <w:r w:rsidRPr="00626A06">
        <w:rPr>
          <w:rFonts w:ascii="Times New Roman" w:hAnsi="Times New Roman" w:cs="Times New Roman"/>
        </w:rPr>
        <w:t>e legal cause with duty through the concept of ‘reasonable foreseeability’: 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_Ref319267826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73</w:t>
      </w:r>
      <w:r w:rsidR="007E7C1D">
        <w:rPr>
          <w:rFonts w:ascii="Times New Roman" w:hAnsi="Times New Roman" w:cs="Times New Roman"/>
        </w:rPr>
        <w:fldChar w:fldCharType="end"/>
      </w:r>
    </w:p>
  </w:footnote>
  <w:footnote w:id="5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3.</w:t>
      </w:r>
      <w:proofErr w:type="gramEnd"/>
    </w:p>
  </w:footnote>
  <w:footnote w:id="5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LCO2 /3565</w:t>
      </w:r>
      <w:r>
        <w:rPr>
          <w:rFonts w:ascii="Times New Roman" w:hAnsi="Times New Roman" w:cs="Times New Roman"/>
        </w:rPr>
        <w:t xml:space="preserve">, </w:t>
      </w:r>
      <w:r w:rsidRPr="00626A06">
        <w:rPr>
          <w:rFonts w:ascii="Times New Roman" w:hAnsi="Times New Roman" w:cs="Times New Roman"/>
        </w:rPr>
        <w:t xml:space="preserve">Letter from </w:t>
      </w:r>
      <w:proofErr w:type="spellStart"/>
      <w:r w:rsidRPr="00626A06">
        <w:rPr>
          <w:rFonts w:ascii="Times New Roman" w:hAnsi="Times New Roman" w:cs="Times New Roman"/>
        </w:rPr>
        <w:t>Claud</w:t>
      </w:r>
      <w:proofErr w:type="spellEnd"/>
      <w:r w:rsidRPr="00626A06">
        <w:rPr>
          <w:rFonts w:ascii="Times New Roman" w:hAnsi="Times New Roman" w:cs="Times New Roman"/>
        </w:rPr>
        <w:t xml:space="preserve"> Shuster to the Master of the Rolls</w:t>
      </w:r>
      <w:r w:rsidR="0082415E">
        <w:rPr>
          <w:rFonts w:ascii="Times New Roman" w:hAnsi="Times New Roman" w:cs="Times New Roman"/>
        </w:rPr>
        <w:t xml:space="preserve"> dated</w:t>
      </w:r>
      <w:r w:rsidRPr="00626A06">
        <w:rPr>
          <w:rFonts w:ascii="Times New Roman" w:hAnsi="Times New Roman" w:cs="Times New Roman"/>
        </w:rPr>
        <w:t xml:space="preserve"> 31 October 1933. </w:t>
      </w:r>
    </w:p>
  </w:footnote>
  <w:footnote w:id="5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Letter, referring to the impossibility of getting certain sorts of legislative reform through the House of Commons</w:t>
      </w:r>
      <w:r w:rsidR="0082415E">
        <w:rPr>
          <w:rFonts w:ascii="Times New Roman" w:hAnsi="Times New Roman" w:cs="Times New Roman"/>
        </w:rPr>
        <w:t xml:space="preserve"> dated</w:t>
      </w:r>
      <w:r w:rsidRPr="00626A06">
        <w:rPr>
          <w:rFonts w:ascii="Times New Roman" w:hAnsi="Times New Roman" w:cs="Times New Roman"/>
        </w:rPr>
        <w:t xml:space="preserve"> 13 Jan</w:t>
      </w:r>
      <w:r>
        <w:rPr>
          <w:rFonts w:ascii="Times New Roman" w:hAnsi="Times New Roman" w:cs="Times New Roman"/>
        </w:rPr>
        <w:t>uary</w:t>
      </w:r>
      <w:r w:rsidRPr="00626A06">
        <w:rPr>
          <w:rFonts w:ascii="Times New Roman" w:hAnsi="Times New Roman" w:cs="Times New Roman"/>
        </w:rPr>
        <w:t xml:space="preserve"> 1933 (n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_Ref319267945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48</w:t>
      </w:r>
      <w:r w:rsidR="007E7C1D">
        <w:rPr>
          <w:rFonts w:ascii="Times New Roman" w:hAnsi="Times New Roman" w:cs="Times New Roman"/>
        </w:rPr>
        <w:fldChar w:fldCharType="end"/>
      </w:r>
      <w:r w:rsidRPr="00626A06">
        <w:rPr>
          <w:rFonts w:ascii="Times New Roman" w:hAnsi="Times New Roman" w:cs="Times New Roman"/>
        </w:rPr>
        <w:t xml:space="preserve">). </w:t>
      </w:r>
    </w:p>
  </w:footnote>
  <w:footnote w:id="5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When its establishment was announced, the Committee of Provincial Solicitors wrote a letter requesting representation on the Committee. The Master of the Rolls (Lord </w:t>
      </w:r>
      <w:proofErr w:type="spellStart"/>
      <w:r w:rsidRPr="00626A06">
        <w:rPr>
          <w:rFonts w:ascii="Times New Roman" w:hAnsi="Times New Roman" w:cs="Times New Roman"/>
        </w:rPr>
        <w:t>Hanworth</w:t>
      </w:r>
      <w:proofErr w:type="spellEnd"/>
      <w:r w:rsidRPr="00626A06">
        <w:rPr>
          <w:rFonts w:ascii="Times New Roman" w:hAnsi="Times New Roman" w:cs="Times New Roman"/>
        </w:rPr>
        <w:t>) firmly rejected the suggestion. There were already two solicitors on the committee, and this was enough. He had already personally rejected a similar plea from the Association of Women Solicitors (31 January 1934). Schuster was none too keen on academic representatives. He did, however, come up with a handful of potential names (‘all of whom are Cambridge men’), including McNair who did serve on the Committee (11 December 1933). By the time of the 8</w:t>
      </w:r>
      <w:r w:rsidRPr="00626A06">
        <w:rPr>
          <w:rFonts w:ascii="Times New Roman" w:hAnsi="Times New Roman" w:cs="Times New Roman"/>
          <w:vertAlign w:val="superscript"/>
        </w:rPr>
        <w:t>th</w:t>
      </w:r>
      <w:r w:rsidRPr="00626A06">
        <w:rPr>
          <w:rFonts w:ascii="Times New Roman" w:hAnsi="Times New Roman" w:cs="Times New Roman"/>
        </w:rPr>
        <w:t xml:space="preserve"> Report, both Percy Winfield and Arthur </w:t>
      </w:r>
      <w:proofErr w:type="spellStart"/>
      <w:r w:rsidRPr="00626A06">
        <w:rPr>
          <w:rFonts w:ascii="Times New Roman" w:hAnsi="Times New Roman" w:cs="Times New Roman"/>
        </w:rPr>
        <w:t>Goodhart</w:t>
      </w:r>
      <w:proofErr w:type="spellEnd"/>
      <w:r w:rsidRPr="00626A06">
        <w:rPr>
          <w:rFonts w:ascii="Times New Roman" w:hAnsi="Times New Roman" w:cs="Times New Roman"/>
        </w:rPr>
        <w:t xml:space="preserve"> were recent additions. </w:t>
      </w:r>
    </w:p>
  </w:footnote>
  <w:footnote w:id="5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19.</w:t>
      </w:r>
      <w:proofErr w:type="gramEnd"/>
    </w:p>
  </w:footnote>
  <w:footnote w:id="5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Pr>
          <w:rFonts w:ascii="Times New Roman" w:hAnsi="Times New Roman" w:cs="Times New Roman"/>
        </w:rPr>
        <w:t xml:space="preserve">ibid </w:t>
      </w:r>
      <w:r w:rsidRPr="00626A06">
        <w:rPr>
          <w:rFonts w:ascii="Times New Roman" w:hAnsi="Times New Roman" w:cs="Times New Roman"/>
        </w:rPr>
        <w:t>16.</w:t>
      </w:r>
      <w:proofErr w:type="gramEnd"/>
    </w:p>
  </w:footnote>
  <w:footnote w:id="6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This is all illustrated by </w:t>
      </w:r>
      <w:r w:rsidRPr="00626A06">
        <w:rPr>
          <w:rFonts w:ascii="Times New Roman" w:hAnsi="Times New Roman" w:cs="Times New Roman"/>
          <w:i/>
        </w:rPr>
        <w:t xml:space="preserve">The Bernina </w:t>
      </w:r>
      <w:r w:rsidRPr="00626A06">
        <w:rPr>
          <w:rFonts w:ascii="Times New Roman" w:hAnsi="Times New Roman" w:cs="Times New Roman"/>
        </w:rPr>
        <w:t xml:space="preserve">(1888) LR 13 App </w:t>
      </w:r>
      <w:proofErr w:type="spellStart"/>
      <w:proofErr w:type="gramStart"/>
      <w:r w:rsidRPr="00626A06">
        <w:rPr>
          <w:rFonts w:ascii="Times New Roman" w:hAnsi="Times New Roman" w:cs="Times New Roman"/>
        </w:rPr>
        <w:t>Cas</w:t>
      </w:r>
      <w:proofErr w:type="spellEnd"/>
      <w:proofErr w:type="gramEnd"/>
      <w:r w:rsidRPr="00626A06">
        <w:rPr>
          <w:rFonts w:ascii="Times New Roman" w:hAnsi="Times New Roman" w:cs="Times New Roman"/>
        </w:rPr>
        <w:t xml:space="preserve"> 1. Actions were maintained against one ship in respect of a passenger and crew member of another ship, both of whom were drowned in a collision. There was fault on the part of both ships, but not on the part of either of the deceased parties. The doctrine of common employment was then applicable at sea, since seamen did not fit the definition of ‘workman’ within the Employers’ Liability Act 1880. Neither the passenger, nor the crew member, was ‘identified with’ the negligence of the ship on which they were travelling, so that full liability on the part of the other ship could follow.</w:t>
      </w:r>
    </w:p>
  </w:footnote>
  <w:footnote w:id="6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S</w:t>
      </w:r>
      <w:r>
        <w:rPr>
          <w:rFonts w:ascii="Times New Roman" w:hAnsi="Times New Roman" w:cs="Times New Roman"/>
        </w:rPr>
        <w:t xml:space="preserve"> </w:t>
      </w:r>
      <w:r w:rsidRPr="00626A06">
        <w:rPr>
          <w:rFonts w:ascii="Times New Roman" w:hAnsi="Times New Roman" w:cs="Times New Roman"/>
        </w:rPr>
        <w:t>5 extended competence in respect of loss of life and personal injury to the Admiralty jurisdiction; but it was the principles of common law, not maritime law, that applied – presumably recognising that different issues arose in such cases: H</w:t>
      </w:r>
      <w:r>
        <w:rPr>
          <w:rFonts w:ascii="Times New Roman" w:hAnsi="Times New Roman" w:cs="Times New Roman"/>
        </w:rPr>
        <w:t xml:space="preserve">B </w:t>
      </w:r>
      <w:proofErr w:type="spellStart"/>
      <w:r w:rsidRPr="00626A06">
        <w:rPr>
          <w:rFonts w:ascii="Times New Roman" w:hAnsi="Times New Roman" w:cs="Times New Roman"/>
        </w:rPr>
        <w:t>Hurd</w:t>
      </w:r>
      <w:proofErr w:type="spellEnd"/>
      <w:r w:rsidRPr="00626A06">
        <w:rPr>
          <w:rFonts w:ascii="Times New Roman" w:hAnsi="Times New Roman" w:cs="Times New Roman"/>
        </w:rPr>
        <w:t xml:space="preserve">, </w:t>
      </w:r>
      <w:r w:rsidRPr="00626A06">
        <w:rPr>
          <w:rFonts w:ascii="Times New Roman" w:hAnsi="Times New Roman" w:cs="Times New Roman"/>
          <w:i/>
        </w:rPr>
        <w:t>The Law and Practice of Marine Insurance</w:t>
      </w:r>
      <w:r>
        <w:rPr>
          <w:rFonts w:ascii="Times New Roman" w:hAnsi="Times New Roman" w:cs="Times New Roman"/>
          <w:i/>
        </w:rPr>
        <w:t xml:space="preserve"> </w:t>
      </w:r>
      <w:r w:rsidRPr="005E04D8">
        <w:rPr>
          <w:rFonts w:ascii="Times New Roman" w:hAnsi="Times New Roman" w:cs="Times New Roman"/>
          <w:i/>
        </w:rPr>
        <w:t>relating to Collision and other Liabilities to Third Parties</w:t>
      </w:r>
      <w:r w:rsidRPr="00626A06">
        <w:rPr>
          <w:rFonts w:ascii="Times New Roman" w:hAnsi="Times New Roman" w:cs="Times New Roman"/>
        </w:rPr>
        <w:t>, 2</w:t>
      </w:r>
      <w:r w:rsidRPr="00626A06">
        <w:rPr>
          <w:rFonts w:ascii="Times New Roman" w:hAnsi="Times New Roman" w:cs="Times New Roman"/>
          <w:vertAlign w:val="superscript"/>
        </w:rPr>
        <w:t>nd</w:t>
      </w:r>
      <w:r w:rsidRPr="00626A06">
        <w:rPr>
          <w:rFonts w:ascii="Times New Roman" w:hAnsi="Times New Roman" w:cs="Times New Roman"/>
        </w:rPr>
        <w:t xml:space="preserve"> </w:t>
      </w:r>
      <w:proofErr w:type="spellStart"/>
      <w:r w:rsidRPr="00626A06">
        <w:rPr>
          <w:rFonts w:ascii="Times New Roman" w:hAnsi="Times New Roman" w:cs="Times New Roman"/>
        </w:rPr>
        <w:t>ed</w:t>
      </w:r>
      <w:r>
        <w:rPr>
          <w:rFonts w:ascii="Times New Roman" w:hAnsi="Times New Roman" w:cs="Times New Roman"/>
        </w:rPr>
        <w:t>n</w:t>
      </w:r>
      <w:proofErr w:type="spellEnd"/>
      <w:r w:rsidRPr="00626A06">
        <w:rPr>
          <w:rFonts w:ascii="Times New Roman" w:hAnsi="Times New Roman" w:cs="Times New Roman"/>
        </w:rPr>
        <w:t xml:space="preserve"> </w:t>
      </w:r>
      <w:r>
        <w:rPr>
          <w:rFonts w:ascii="Times New Roman" w:hAnsi="Times New Roman" w:cs="Times New Roman"/>
        </w:rPr>
        <w:t>(London,</w:t>
      </w:r>
      <w:r w:rsidRPr="005E04D8">
        <w:rPr>
          <w:rFonts w:ascii="Times New Roman" w:hAnsi="Times New Roman" w:cs="Times New Roman"/>
        </w:rPr>
        <w:t xml:space="preserve"> Sir Isaac Pitman &amp; Sons, </w:t>
      </w:r>
      <w:r w:rsidRPr="00626A06">
        <w:rPr>
          <w:rFonts w:ascii="Times New Roman" w:hAnsi="Times New Roman" w:cs="Times New Roman"/>
        </w:rPr>
        <w:t>1952</w:t>
      </w:r>
      <w:r>
        <w:rPr>
          <w:rFonts w:ascii="Times New Roman" w:hAnsi="Times New Roman" w:cs="Times New Roman"/>
        </w:rPr>
        <w:t>)</w:t>
      </w:r>
      <w:r w:rsidRPr="00626A06">
        <w:rPr>
          <w:rFonts w:ascii="Times New Roman" w:hAnsi="Times New Roman" w:cs="Times New Roman"/>
        </w:rPr>
        <w:t xml:space="preserve"> 24-5.</w:t>
      </w:r>
    </w:p>
  </w:footnote>
  <w:footnote w:id="6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spellStart"/>
      <w:proofErr w:type="gramStart"/>
      <w:r w:rsidR="00CF15D1">
        <w:rPr>
          <w:rFonts w:ascii="Times New Roman" w:hAnsi="Times New Roman" w:cs="Times New Roman"/>
        </w:rPr>
        <w:t>Hurd</w:t>
      </w:r>
      <w:proofErr w:type="spellEnd"/>
      <w:r w:rsidR="00CF15D1">
        <w:rPr>
          <w:rFonts w:ascii="Times New Roman" w:hAnsi="Times New Roman" w:cs="Times New Roman"/>
        </w:rPr>
        <w:t xml:space="preserve"> (n 60), </w:t>
      </w:r>
      <w:r w:rsidRPr="00626A06">
        <w:rPr>
          <w:rFonts w:ascii="Times New Roman" w:hAnsi="Times New Roman" w:cs="Times New Roman"/>
        </w:rPr>
        <w:t>20.</w:t>
      </w:r>
      <w:proofErr w:type="gramEnd"/>
    </w:p>
  </w:footnote>
  <w:footnote w:id="6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 2/1993. This clause was never put to Parliament.</w:t>
      </w:r>
    </w:p>
  </w:footnote>
  <w:footnote w:id="6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difference between being due compensation, but being potentially liable to compensate, and being on balance liable to a smaller extent, is very significant if losses and/or liabilities are subject to insurance.</w:t>
      </w:r>
    </w:p>
  </w:footnote>
  <w:footnote w:id="6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Indeed the Committee was asked to consider whether the provisions on contribution in the 1935 Act would require any consequent amendment.</w:t>
      </w:r>
    </w:p>
  </w:footnote>
  <w:footnote w:id="6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A contrast may be drawn both with the Monckton Committee, and with the consultative process by which the approach to collision liabilities came to be standardised around fault in the Brussels Convention 1910 (and hence the 1911 Act): L Franck, ‘A New Law for the Seas’ (1926) 42 </w:t>
      </w:r>
      <w:r w:rsidRPr="00D7285D">
        <w:rPr>
          <w:rFonts w:ascii="Times New Roman" w:hAnsi="Times New Roman" w:cs="Times New Roman"/>
          <w:i/>
        </w:rPr>
        <w:t>LQR</w:t>
      </w:r>
      <w:r w:rsidRPr="00626A06">
        <w:rPr>
          <w:rFonts w:ascii="Times New Roman" w:hAnsi="Times New Roman" w:cs="Times New Roman"/>
        </w:rPr>
        <w:t xml:space="preserve"> 25-36.</w:t>
      </w:r>
    </w:p>
  </w:footnote>
  <w:footnote w:id="6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w:t>
      </w:r>
      <w:r>
        <w:rPr>
          <w:rFonts w:ascii="Times New Roman" w:hAnsi="Times New Roman" w:cs="Times New Roman"/>
        </w:rPr>
        <w:t xml:space="preserve"> </w:t>
      </w:r>
      <w:r w:rsidRPr="00626A06">
        <w:rPr>
          <w:rFonts w:ascii="Times New Roman" w:hAnsi="Times New Roman" w:cs="Times New Roman"/>
        </w:rPr>
        <w:t>LCO 2/1992</w:t>
      </w:r>
      <w:r>
        <w:rPr>
          <w:rFonts w:ascii="Times New Roman" w:hAnsi="Times New Roman" w:cs="Times New Roman"/>
        </w:rPr>
        <w:t xml:space="preserve">, </w:t>
      </w:r>
      <w:r w:rsidRPr="00626A06">
        <w:rPr>
          <w:rFonts w:ascii="Times New Roman" w:hAnsi="Times New Roman" w:cs="Times New Roman"/>
        </w:rPr>
        <w:t xml:space="preserve">Letter </w:t>
      </w:r>
      <w:r w:rsidR="0082415E" w:rsidRPr="00626A06">
        <w:rPr>
          <w:rFonts w:ascii="Times New Roman" w:hAnsi="Times New Roman" w:cs="Times New Roman"/>
        </w:rPr>
        <w:t xml:space="preserve">from Hartley D </w:t>
      </w:r>
      <w:proofErr w:type="spellStart"/>
      <w:r w:rsidR="0082415E" w:rsidRPr="00626A06">
        <w:rPr>
          <w:rFonts w:ascii="Times New Roman" w:hAnsi="Times New Roman" w:cs="Times New Roman"/>
        </w:rPr>
        <w:t>McNairn</w:t>
      </w:r>
      <w:proofErr w:type="spellEnd"/>
      <w:r w:rsidR="0082415E" w:rsidRPr="00626A06">
        <w:rPr>
          <w:rFonts w:ascii="Times New Roman" w:hAnsi="Times New Roman" w:cs="Times New Roman"/>
        </w:rPr>
        <w:t xml:space="preserve"> </w:t>
      </w:r>
      <w:r w:rsidRPr="00626A06">
        <w:rPr>
          <w:rFonts w:ascii="Times New Roman" w:hAnsi="Times New Roman" w:cs="Times New Roman"/>
        </w:rPr>
        <w:t>dated 15 December 1937.</w:t>
      </w:r>
    </w:p>
  </w:footnote>
  <w:footnote w:id="6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It would have been surprising if this were not the case. Lord Wright’s practice at the Bar had been in marine </w:t>
      </w:r>
      <w:proofErr w:type="spellStart"/>
      <w:r w:rsidRPr="00626A06">
        <w:rPr>
          <w:rFonts w:ascii="Times New Roman" w:hAnsi="Times New Roman" w:cs="Times New Roman"/>
        </w:rPr>
        <w:t>insurance</w:t>
      </w:r>
      <w:proofErr w:type="gramStart"/>
      <w:r w:rsidRPr="00626A06">
        <w:rPr>
          <w:rFonts w:ascii="Times New Roman" w:hAnsi="Times New Roman" w:cs="Times New Roman"/>
        </w:rPr>
        <w:t>:</w:t>
      </w:r>
      <w:r>
        <w:rPr>
          <w:rFonts w:ascii="Times New Roman" w:hAnsi="Times New Roman" w:cs="Times New Roman"/>
        </w:rPr>
        <w:t>R</w:t>
      </w:r>
      <w:proofErr w:type="spellEnd"/>
      <w:proofErr w:type="gramEnd"/>
      <w:r w:rsidRPr="002805DF">
        <w:rPr>
          <w:rFonts w:ascii="Times New Roman" w:hAnsi="Times New Roman" w:cs="Times New Roman"/>
        </w:rPr>
        <w:t xml:space="preserve"> Stevens, ‘Wright, Robert Alderson, Baron Wright (1869–1964)</w:t>
      </w:r>
      <w:r>
        <w:rPr>
          <w:rFonts w:ascii="Times New Roman" w:hAnsi="Times New Roman" w:cs="Times New Roman"/>
        </w:rPr>
        <w:t>’ in</w:t>
      </w:r>
      <w:r w:rsidRPr="002805DF">
        <w:rPr>
          <w:rFonts w:ascii="Times New Roman" w:hAnsi="Times New Roman" w:cs="Times New Roman"/>
        </w:rPr>
        <w:t> </w:t>
      </w:r>
      <w:r w:rsidRPr="002805DF">
        <w:rPr>
          <w:rFonts w:ascii="Times New Roman" w:hAnsi="Times New Roman" w:cs="Times New Roman"/>
          <w:i/>
          <w:iCs/>
        </w:rPr>
        <w:t>Oxford Dictionary of National Biography</w:t>
      </w:r>
      <w:r>
        <w:rPr>
          <w:rFonts w:ascii="Times New Roman" w:hAnsi="Times New Roman" w:cs="Times New Roman"/>
        </w:rPr>
        <w:t xml:space="preserve"> (Oxford, </w:t>
      </w:r>
      <w:r w:rsidRPr="002805DF">
        <w:rPr>
          <w:rFonts w:ascii="Times New Roman" w:hAnsi="Times New Roman" w:cs="Times New Roman"/>
        </w:rPr>
        <w:t>Oxford University Press, 2004</w:t>
      </w:r>
      <w:r>
        <w:rPr>
          <w:rFonts w:ascii="Times New Roman" w:hAnsi="Times New Roman" w:cs="Times New Roman"/>
        </w:rPr>
        <w:t>)</w:t>
      </w:r>
      <w:r w:rsidRPr="002805DF">
        <w:rPr>
          <w:rFonts w:ascii="Times New Roman" w:hAnsi="Times New Roman" w:cs="Times New Roman"/>
        </w:rPr>
        <w:t xml:space="preserve">; online </w:t>
      </w:r>
      <w:proofErr w:type="spellStart"/>
      <w:r w:rsidRPr="002805DF">
        <w:rPr>
          <w:rFonts w:ascii="Times New Roman" w:hAnsi="Times New Roman" w:cs="Times New Roman"/>
        </w:rPr>
        <w:t>edn</w:t>
      </w:r>
      <w:proofErr w:type="spellEnd"/>
      <w:r w:rsidRPr="002805DF">
        <w:rPr>
          <w:rFonts w:ascii="Times New Roman" w:hAnsi="Times New Roman" w:cs="Times New Roman"/>
        </w:rPr>
        <w:t>, Sept 2010 </w:t>
      </w:r>
      <w:r w:rsidRPr="002805DF" w:rsidDel="002805DF">
        <w:rPr>
          <w:rFonts w:ascii="Times New Roman" w:hAnsi="Times New Roman" w:cs="Times New Roman"/>
        </w:rPr>
        <w:t xml:space="preserve"> </w:t>
      </w:r>
      <w:r w:rsidRPr="00626A06">
        <w:rPr>
          <w:rFonts w:ascii="Times New Roman" w:hAnsi="Times New Roman" w:cs="Times New Roman"/>
        </w:rPr>
        <w:t>. In correspondence the Ministry of War Transport proposed that there should be a saving for the Maritime Conventions Act 1911 partly because ‘the whole fabric of insurance of maritime collision liabilities is to-day based upon that Act’: TNA LCO 2/1993</w:t>
      </w:r>
      <w:r>
        <w:rPr>
          <w:rFonts w:ascii="Times New Roman" w:hAnsi="Times New Roman" w:cs="Times New Roman"/>
        </w:rPr>
        <w:t>, L</w:t>
      </w:r>
      <w:r w:rsidRPr="00626A06">
        <w:rPr>
          <w:rFonts w:ascii="Times New Roman" w:hAnsi="Times New Roman" w:cs="Times New Roman"/>
        </w:rPr>
        <w:t xml:space="preserve">etter dated 11 June 1943. </w:t>
      </w:r>
    </w:p>
  </w:footnote>
  <w:footnote w:id="6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Pr="00503CC7">
        <w:rPr>
          <w:rFonts w:ascii="Times New Roman" w:hAnsi="Times New Roman" w:cs="Times New Roman"/>
          <w:i/>
        </w:rPr>
        <w:t xml:space="preserve">Caswell v Powell </w:t>
      </w:r>
      <w:proofErr w:type="spellStart"/>
      <w:r w:rsidRPr="00503CC7">
        <w:rPr>
          <w:rFonts w:ascii="Times New Roman" w:hAnsi="Times New Roman" w:cs="Times New Roman"/>
          <w:i/>
        </w:rPr>
        <w:t>Duffryn</w:t>
      </w:r>
      <w:proofErr w:type="spellEnd"/>
      <w:r w:rsidRPr="00503CC7">
        <w:rPr>
          <w:rFonts w:ascii="Times New Roman" w:hAnsi="Times New Roman" w:cs="Times New Roman"/>
          <w:i/>
        </w:rPr>
        <w:t xml:space="preserve"> Associated Collieries</w:t>
      </w:r>
      <w:r w:rsidRPr="00503CC7">
        <w:rPr>
          <w:rFonts w:ascii="Times New Roman" w:hAnsi="Times New Roman" w:cs="Times New Roman"/>
        </w:rPr>
        <w:t xml:space="preserve"> </w:t>
      </w:r>
      <w:r w:rsidRPr="00626A06">
        <w:rPr>
          <w:rFonts w:ascii="Times New Roman" w:hAnsi="Times New Roman" w:cs="Times New Roman"/>
        </w:rPr>
        <w:t xml:space="preserve">[1940] AC 152. The case was argued before the House of Lords in May 1939, and judgment was given on July 25. </w:t>
      </w:r>
      <w:r>
        <w:rPr>
          <w:rFonts w:ascii="Times New Roman" w:hAnsi="Times New Roman" w:cs="Times New Roman"/>
        </w:rPr>
        <w:t xml:space="preserve">The </w:t>
      </w:r>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was dated June 1939.</w:t>
      </w:r>
    </w:p>
  </w:footnote>
  <w:footnote w:id="7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Pr="00503CC7">
        <w:rPr>
          <w:rFonts w:ascii="Times New Roman" w:hAnsi="Times New Roman" w:cs="Times New Roman"/>
          <w:i/>
        </w:rPr>
        <w:t>Flower v Ebbw Vale Steel, Iron and Coal Company Ltd</w:t>
      </w:r>
      <w:r w:rsidRPr="00503CC7">
        <w:rPr>
          <w:rFonts w:ascii="Times New Roman" w:hAnsi="Times New Roman" w:cs="Times New Roman"/>
        </w:rPr>
        <w:t xml:space="preserve"> </w:t>
      </w:r>
      <w:r w:rsidRPr="00626A06">
        <w:rPr>
          <w:rFonts w:ascii="Times New Roman" w:hAnsi="Times New Roman" w:cs="Times New Roman"/>
        </w:rPr>
        <w:t>[1936] AC 206.</w:t>
      </w:r>
    </w:p>
  </w:footnote>
  <w:footnote w:id="71">
    <w:p w:rsidR="00203530" w:rsidRPr="00626A06" w:rsidRDefault="00203530" w:rsidP="00EE6E88">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Lord Wright (together with Lord </w:t>
      </w:r>
      <w:proofErr w:type="spellStart"/>
      <w:r w:rsidRPr="00626A06">
        <w:rPr>
          <w:rFonts w:ascii="Times New Roman" w:hAnsi="Times New Roman" w:cs="Times New Roman"/>
        </w:rPr>
        <w:t>Atkin</w:t>
      </w:r>
      <w:proofErr w:type="spellEnd"/>
      <w:r w:rsidRPr="00626A06">
        <w:rPr>
          <w:rFonts w:ascii="Times New Roman" w:hAnsi="Times New Roman" w:cs="Times New Roman"/>
        </w:rPr>
        <w:t xml:space="preserve">) had earlier been a member of the House of Lords which held that breach of statutory duty was an aspect of the employer’s personal ‘negligence’, for the purposes of the Workmen’s Compensation Act 1925, so that the employee could elect to pursue an action for damages: </w:t>
      </w:r>
      <w:proofErr w:type="spellStart"/>
      <w:r w:rsidRPr="00626A06">
        <w:rPr>
          <w:rFonts w:ascii="Times New Roman" w:hAnsi="Times New Roman" w:cs="Times New Roman"/>
          <w:i/>
        </w:rPr>
        <w:t>Lochgelly</w:t>
      </w:r>
      <w:proofErr w:type="spellEnd"/>
      <w:r w:rsidRPr="00626A06">
        <w:rPr>
          <w:rFonts w:ascii="Times New Roman" w:hAnsi="Times New Roman" w:cs="Times New Roman"/>
          <w:i/>
        </w:rPr>
        <w:t xml:space="preserve"> Iron &amp; Coal Company v </w:t>
      </w:r>
      <w:proofErr w:type="spellStart"/>
      <w:r w:rsidRPr="00626A06">
        <w:rPr>
          <w:rFonts w:ascii="Times New Roman" w:hAnsi="Times New Roman" w:cs="Times New Roman"/>
          <w:i/>
        </w:rPr>
        <w:t>M’Mullan</w:t>
      </w:r>
      <w:proofErr w:type="spellEnd"/>
      <w:r w:rsidRPr="00626A06">
        <w:rPr>
          <w:rFonts w:ascii="Times New Roman" w:hAnsi="Times New Roman" w:cs="Times New Roman"/>
          <w:i/>
        </w:rPr>
        <w:t xml:space="preserve"> </w:t>
      </w:r>
      <w:r w:rsidRPr="00626A06">
        <w:rPr>
          <w:rFonts w:ascii="Times New Roman" w:hAnsi="Times New Roman" w:cs="Times New Roman"/>
        </w:rPr>
        <w:t xml:space="preserve">[1934] AC 1. This case was probably as significant in its day as the decision of Lord Wright in </w:t>
      </w:r>
      <w:r w:rsidRPr="00626A06">
        <w:rPr>
          <w:rFonts w:ascii="Times New Roman" w:hAnsi="Times New Roman" w:cs="Times New Roman"/>
          <w:i/>
        </w:rPr>
        <w:t xml:space="preserve">Wilsons &amp; Clyde Coal v English </w:t>
      </w:r>
      <w:r w:rsidRPr="00626A06">
        <w:rPr>
          <w:rFonts w:ascii="Times New Roman" w:hAnsi="Times New Roman" w:cs="Times New Roman"/>
        </w:rPr>
        <w:t xml:space="preserve">[1938] AC 57 in extending the personal duties of the employer at common law to which common employment (and therefore the restricted remedy under the Employers’ Liability Act 1880) did not apply. For an appraisal of Lord Wright’s contribution, and his jurisprudence, more generally see </w:t>
      </w:r>
      <w:r>
        <w:rPr>
          <w:rFonts w:ascii="Times New Roman" w:hAnsi="Times New Roman" w:cs="Times New Roman"/>
        </w:rPr>
        <w:t xml:space="preserve">N </w:t>
      </w:r>
      <w:r w:rsidRPr="00626A06">
        <w:rPr>
          <w:rFonts w:ascii="Times New Roman" w:hAnsi="Times New Roman" w:cs="Times New Roman"/>
        </w:rPr>
        <w:t xml:space="preserve">Duxbury, ‘Lord Wright and Innovative Traditionalism’ (2009) </w:t>
      </w:r>
      <w:r>
        <w:rPr>
          <w:rFonts w:ascii="Times New Roman" w:hAnsi="Times New Roman" w:cs="Times New Roman"/>
        </w:rPr>
        <w:t xml:space="preserve">59 </w:t>
      </w:r>
      <w:r>
        <w:rPr>
          <w:rFonts w:ascii="Times New Roman" w:hAnsi="Times New Roman" w:cs="Times New Roman"/>
          <w:i/>
        </w:rPr>
        <w:t xml:space="preserve">UTLJ </w:t>
      </w:r>
      <w:r w:rsidRPr="00626A06">
        <w:rPr>
          <w:rFonts w:ascii="Times New Roman" w:hAnsi="Times New Roman" w:cs="Times New Roman"/>
        </w:rPr>
        <w:t xml:space="preserve">265-339. Clearly however, the common law was working at an agonisingly slow pace: </w:t>
      </w:r>
      <w:r w:rsidRPr="00626A06">
        <w:rPr>
          <w:rFonts w:ascii="Times New Roman" w:hAnsi="Times New Roman" w:cs="Times New Roman"/>
          <w:i/>
        </w:rPr>
        <w:t xml:space="preserve">Wilsons &amp; Clyde Coal </w:t>
      </w:r>
      <w:r w:rsidRPr="00626A06">
        <w:rPr>
          <w:rFonts w:ascii="Times New Roman" w:hAnsi="Times New Roman" w:cs="Times New Roman"/>
        </w:rPr>
        <w:t xml:space="preserve">was reported a century after </w:t>
      </w:r>
      <w:r w:rsidRPr="00626A06">
        <w:rPr>
          <w:rFonts w:ascii="Times New Roman" w:hAnsi="Times New Roman" w:cs="Times New Roman"/>
          <w:i/>
        </w:rPr>
        <w:t>Priestley v Fowler</w:t>
      </w:r>
      <w:r>
        <w:rPr>
          <w:rFonts w:ascii="Times New Roman" w:hAnsi="Times New Roman" w:cs="Times New Roman"/>
          <w:i/>
        </w:rPr>
        <w:t xml:space="preserve"> </w:t>
      </w:r>
      <w:r>
        <w:rPr>
          <w:rFonts w:ascii="Times New Roman" w:hAnsi="Times New Roman" w:cs="Times New Roman"/>
        </w:rPr>
        <w:t>(1837) 3 M &amp; W</w:t>
      </w:r>
      <w:r w:rsidRPr="00D7285D">
        <w:rPr>
          <w:rFonts w:ascii="Times New Roman" w:hAnsi="Times New Roman" w:cs="Times New Roman"/>
        </w:rPr>
        <w:t xml:space="preserve"> 1</w:t>
      </w:r>
      <w:r w:rsidRPr="00626A06">
        <w:rPr>
          <w:rFonts w:ascii="Times New Roman" w:hAnsi="Times New Roman" w:cs="Times New Roman"/>
        </w:rPr>
        <w:t xml:space="preserve">. </w:t>
      </w:r>
    </w:p>
  </w:footnote>
  <w:footnote w:id="72">
    <w:p w:rsidR="00203530" w:rsidRPr="00626A06" w:rsidRDefault="00203530" w:rsidP="006C290A">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Pr="00746113">
        <w:rPr>
          <w:rFonts w:ascii="Times New Roman" w:hAnsi="Times New Roman" w:cs="Times New Roman"/>
          <w:i/>
        </w:rPr>
        <w:t>Hutchinson v London and North Eastern Railway</w:t>
      </w:r>
      <w:r w:rsidRPr="00746113">
        <w:rPr>
          <w:rFonts w:ascii="Times New Roman" w:hAnsi="Times New Roman" w:cs="Times New Roman"/>
        </w:rPr>
        <w:t xml:space="preserve"> </w:t>
      </w:r>
      <w:r w:rsidRPr="00626A06">
        <w:rPr>
          <w:rFonts w:ascii="Times New Roman" w:hAnsi="Times New Roman" w:cs="Times New Roman"/>
        </w:rPr>
        <w:t>[1942] 1 KB 481</w:t>
      </w:r>
    </w:p>
  </w:footnote>
  <w:footnote w:id="7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Pr="00626A06">
        <w:rPr>
          <w:rFonts w:ascii="Times New Roman" w:hAnsi="Times New Roman" w:cs="Times New Roman"/>
          <w:i/>
        </w:rPr>
        <w:t xml:space="preserve">Lewis v </w:t>
      </w:r>
      <w:proofErr w:type="spellStart"/>
      <w:r w:rsidRPr="00626A06">
        <w:rPr>
          <w:rFonts w:ascii="Times New Roman" w:hAnsi="Times New Roman" w:cs="Times New Roman"/>
          <w:i/>
        </w:rPr>
        <w:t>Denye</w:t>
      </w:r>
      <w:proofErr w:type="spellEnd"/>
      <w:r w:rsidRPr="00626A06">
        <w:rPr>
          <w:rFonts w:ascii="Times New Roman" w:hAnsi="Times New Roman" w:cs="Times New Roman"/>
          <w:i/>
        </w:rPr>
        <w:t xml:space="preserve"> </w:t>
      </w:r>
      <w:r w:rsidRPr="00626A06">
        <w:rPr>
          <w:rFonts w:ascii="Times New Roman" w:hAnsi="Times New Roman" w:cs="Times New Roman"/>
        </w:rPr>
        <w:t xml:space="preserve">[1940] AC 921. Lord </w:t>
      </w:r>
      <w:proofErr w:type="spellStart"/>
      <w:r w:rsidRPr="00626A06">
        <w:rPr>
          <w:rFonts w:ascii="Times New Roman" w:hAnsi="Times New Roman" w:cs="Times New Roman"/>
        </w:rPr>
        <w:t>Atkin</w:t>
      </w:r>
      <w:proofErr w:type="spellEnd"/>
      <w:r w:rsidRPr="00626A06">
        <w:rPr>
          <w:rFonts w:ascii="Times New Roman" w:hAnsi="Times New Roman" w:cs="Times New Roman"/>
        </w:rPr>
        <w:t xml:space="preserve">: ‘all your Lordships and all the judges in the Court below are of the opinion that the plaintiff was guilty of contributory negligence, and I suppose I must be wrong’ (932-3), also pointing out that the Court of Appeal’s decision was reached before </w:t>
      </w:r>
      <w:r w:rsidRPr="00626A06">
        <w:rPr>
          <w:rFonts w:ascii="Times New Roman" w:hAnsi="Times New Roman" w:cs="Times New Roman"/>
          <w:i/>
        </w:rPr>
        <w:t xml:space="preserve">Caswell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_Ref319269040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68</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in the House of Lords. Lord Wright was not part of the Panel in this case.</w:t>
      </w:r>
    </w:p>
  </w:footnote>
  <w:footnote w:id="7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Pr>
          <w:rFonts w:ascii="Times New Roman" w:hAnsi="Times New Roman" w:cs="Times New Roman"/>
          <w:i/>
        </w:rPr>
        <w:t xml:space="preserve"> </w:t>
      </w:r>
      <w:r w:rsidRPr="00B538E9">
        <w:rPr>
          <w:rFonts w:ascii="Times New Roman" w:hAnsi="Times New Roman" w:cs="Times New Roman"/>
          <w:i/>
        </w:rPr>
        <w:t>Swadling v Cooper</w:t>
      </w:r>
      <w:r w:rsidRPr="00B538E9">
        <w:rPr>
          <w:rFonts w:ascii="Times New Roman" w:hAnsi="Times New Roman" w:cs="Times New Roman"/>
        </w:rPr>
        <w:t xml:space="preserve"> </w:t>
      </w:r>
      <w:r w:rsidRPr="00626A06">
        <w:rPr>
          <w:rFonts w:ascii="Times New Roman" w:hAnsi="Times New Roman" w:cs="Times New Roman"/>
        </w:rPr>
        <w:t xml:space="preserve">[1931] AC 1. The driver’s inadvertence was found not to have been a proximate cause of the accident. Lord Wright had also used the same reasoning in finding for the pedestrian in </w:t>
      </w:r>
      <w:r w:rsidRPr="00626A06">
        <w:rPr>
          <w:rFonts w:ascii="Times New Roman" w:hAnsi="Times New Roman" w:cs="Times New Roman"/>
          <w:i/>
        </w:rPr>
        <w:t>McLean</w:t>
      </w:r>
      <w:r>
        <w:rPr>
          <w:rFonts w:ascii="Times New Roman" w:hAnsi="Times New Roman" w:cs="Times New Roman"/>
          <w:i/>
        </w:rPr>
        <w:t xml:space="preserve">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_Ref319261674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27</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w:t>
      </w:r>
    </w:p>
  </w:footnote>
  <w:footnote w:id="7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Reasonable foreseeability was adopted as the measure of legal causation, expressed in terms of ‘remoteness’, in </w:t>
      </w:r>
      <w:r w:rsidRPr="00626A06">
        <w:rPr>
          <w:rFonts w:ascii="Times New Roman" w:hAnsi="Times New Roman" w:cs="Times New Roman"/>
          <w:i/>
        </w:rPr>
        <w:t xml:space="preserve">The Wagon Mound </w:t>
      </w:r>
      <w:r w:rsidRPr="00626A06">
        <w:rPr>
          <w:rFonts w:ascii="Times New Roman" w:hAnsi="Times New Roman" w:cs="Times New Roman"/>
        </w:rPr>
        <w:t xml:space="preserve">[1961] AC 388. This was expressly intended to rid the law of many of the arguments of causation which had been employed by the courts, and were indeed employed in </w:t>
      </w:r>
      <w:r>
        <w:rPr>
          <w:rFonts w:ascii="Times New Roman" w:hAnsi="Times New Roman" w:cs="Times New Roman"/>
        </w:rPr>
        <w:t xml:space="preserve">the </w:t>
      </w:r>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w:t>
      </w:r>
      <w:r w:rsidRPr="00626A06">
        <w:rPr>
          <w:rFonts w:ascii="Times New Roman" w:hAnsi="Times New Roman" w:cs="Times New Roman"/>
          <w:i/>
        </w:rPr>
        <w:t>The Wagon Mound</w:t>
      </w:r>
      <w:r w:rsidRPr="00626A06">
        <w:rPr>
          <w:rFonts w:ascii="Times New Roman" w:hAnsi="Times New Roman" w:cs="Times New Roman"/>
        </w:rPr>
        <w:t xml:space="preserve"> has undoubtedly changed the application of the contributory negligence defence in a way its framers did not intend</w:t>
      </w:r>
      <w:r w:rsidRPr="00CF15D1">
        <w:rPr>
          <w:rFonts w:ascii="Times New Roman" w:hAnsi="Times New Roman" w:cs="Times New Roman"/>
        </w:rPr>
        <w:t xml:space="preserve">. Williams, ‘Law Reform’ (n </w:t>
      </w:r>
      <w:fldSimple w:instr=" NOTEREF _Ref319256382 \h  \* MERGEFORMAT ">
        <w:r w:rsidR="002661CF">
          <w:rPr>
            <w:rFonts w:ascii="Times New Roman" w:hAnsi="Times New Roman" w:cs="Times New Roman"/>
          </w:rPr>
          <w:t>10</w:t>
        </w:r>
      </w:fldSimple>
      <w:r w:rsidRPr="00D7285D">
        <w:rPr>
          <w:rFonts w:ascii="Times New Roman" w:hAnsi="Times New Roman" w:cs="Times New Roman"/>
        </w:rPr>
        <w:t xml:space="preserve">), </w:t>
      </w:r>
      <w:r w:rsidRPr="00626A06">
        <w:rPr>
          <w:rFonts w:ascii="Times New Roman" w:hAnsi="Times New Roman" w:cs="Times New Roman"/>
        </w:rPr>
        <w:t xml:space="preserve">advocated such a development. In turn, the 1945 Act will undoubtedly have influenced the route to </w:t>
      </w:r>
      <w:r w:rsidRPr="00626A06">
        <w:rPr>
          <w:rFonts w:ascii="Times New Roman" w:hAnsi="Times New Roman" w:cs="Times New Roman"/>
          <w:i/>
        </w:rPr>
        <w:t>The Wagon Mound</w:t>
      </w:r>
      <w:r w:rsidRPr="00626A06">
        <w:rPr>
          <w:rFonts w:ascii="Times New Roman" w:hAnsi="Times New Roman" w:cs="Times New Roman"/>
        </w:rPr>
        <w:t>.</w:t>
      </w:r>
    </w:p>
  </w:footnote>
  <w:footnote w:id="76">
    <w:p w:rsidR="00203530" w:rsidRPr="00626A06" w:rsidRDefault="00203530" w:rsidP="0037192B">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16.</w:t>
      </w:r>
      <w:proofErr w:type="gramEnd"/>
    </w:p>
  </w:footnote>
  <w:footnote w:id="7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2202A4">
        <w:rPr>
          <w:rFonts w:ascii="Times New Roman" w:hAnsi="Times New Roman" w:cs="Times New Roman"/>
          <w:i/>
        </w:rPr>
        <w:t>Davies v Swan Motor Co (Swansea) Ltd</w:t>
      </w:r>
      <w:r w:rsidRPr="002202A4">
        <w:rPr>
          <w:rFonts w:ascii="Times New Roman" w:hAnsi="Times New Roman" w:cs="Times New Roman"/>
        </w:rPr>
        <w:t xml:space="preserve"> </w:t>
      </w:r>
      <w:r w:rsidRPr="00626A06">
        <w:rPr>
          <w:rFonts w:ascii="Times New Roman" w:hAnsi="Times New Roman" w:cs="Times New Roman"/>
        </w:rPr>
        <w:t>[1949] 2 KB 291.</w:t>
      </w:r>
      <w:proofErr w:type="gramEnd"/>
      <w:r w:rsidRPr="00626A06">
        <w:rPr>
          <w:rFonts w:ascii="Times New Roman" w:hAnsi="Times New Roman" w:cs="Times New Roman"/>
        </w:rPr>
        <w:t xml:space="preserve"> The deceased was partly to blame for his own death because of the position he had taken up (in defiance of instructions) on the outer steps of a dustcart. </w:t>
      </w:r>
      <w:proofErr w:type="spellStart"/>
      <w:r w:rsidRPr="00626A06">
        <w:rPr>
          <w:rFonts w:ascii="Times New Roman" w:hAnsi="Times New Roman" w:cs="Times New Roman"/>
        </w:rPr>
        <w:t>Bucknill</w:t>
      </w:r>
      <w:proofErr w:type="spellEnd"/>
      <w:r w:rsidRPr="00626A06">
        <w:rPr>
          <w:rFonts w:ascii="Times New Roman" w:hAnsi="Times New Roman" w:cs="Times New Roman"/>
        </w:rPr>
        <w:t xml:space="preserve"> LJ said that there had been no intention to change the rules of causation, only the impact of a finding that the claimant’s negligence had contributed to the damage. Williams, </w:t>
      </w:r>
      <w:r w:rsidRPr="00CF15D1">
        <w:rPr>
          <w:rFonts w:ascii="Times New Roman" w:hAnsi="Times New Roman" w:cs="Times New Roman"/>
        </w:rPr>
        <w:t xml:space="preserve">‘Law Reform’ (n </w:t>
      </w:r>
      <w:fldSimple w:instr=" NOTEREF _Ref319256382 \h  \* MERGEFORMAT ">
        <w:r w:rsidR="002661CF">
          <w:rPr>
            <w:rFonts w:ascii="Times New Roman" w:hAnsi="Times New Roman" w:cs="Times New Roman"/>
          </w:rPr>
          <w:t>10</w:t>
        </w:r>
      </w:fldSimple>
      <w:r w:rsidRPr="00CF15D1">
        <w:rPr>
          <w:rFonts w:ascii="Times New Roman" w:hAnsi="Times New Roman" w:cs="Times New Roman"/>
        </w:rPr>
        <w:t xml:space="preserve">), </w:t>
      </w:r>
      <w:r w:rsidRPr="00626A06">
        <w:rPr>
          <w:rFonts w:ascii="Times New Roman" w:hAnsi="Times New Roman" w:cs="Times New Roman"/>
        </w:rPr>
        <w:t xml:space="preserve">had wanted change in the approach to causation and expressed relief that </w:t>
      </w:r>
      <w:r>
        <w:rPr>
          <w:rFonts w:ascii="Times New Roman" w:hAnsi="Times New Roman" w:cs="Times New Roman"/>
        </w:rPr>
        <w:t xml:space="preserve">the </w:t>
      </w:r>
      <w:r w:rsidRPr="00626A06">
        <w:rPr>
          <w:rFonts w:ascii="Times New Roman" w:hAnsi="Times New Roman" w:cs="Times New Roman"/>
        </w:rPr>
        <w:t>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 xml:space="preserve">was not admissible evidence in interpreting the 1945 Act; but </w:t>
      </w:r>
      <w:proofErr w:type="spellStart"/>
      <w:r w:rsidRPr="00626A06">
        <w:rPr>
          <w:rFonts w:ascii="Times New Roman" w:hAnsi="Times New Roman" w:cs="Times New Roman"/>
        </w:rPr>
        <w:t>Bucknill</w:t>
      </w:r>
      <w:proofErr w:type="spellEnd"/>
      <w:r w:rsidRPr="00626A06">
        <w:rPr>
          <w:rFonts w:ascii="Times New Roman" w:hAnsi="Times New Roman" w:cs="Times New Roman"/>
        </w:rPr>
        <w:t xml:space="preserve"> LJ did refer to it for that purpose.</w:t>
      </w:r>
    </w:p>
  </w:footnote>
  <w:footnote w:id="7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It is important to be clear that in general, no such duty needed to be shown for the operation of contributory negligence at common law. If such a duty had been taken to be required, this would have been largely the impact of the reform, as it would have been consistent with the idea of two potentially liable parties as in the maritime case (though there the law did not proceed on the basis of ‘duties’). The picture is not fully consistent because the maritime model did influence some courts even before the 1945 Act, paving the way for it (see the later discussion of </w:t>
      </w:r>
      <w:r w:rsidRPr="00626A06">
        <w:rPr>
          <w:rFonts w:ascii="Times New Roman" w:hAnsi="Times New Roman" w:cs="Times New Roman"/>
          <w:i/>
        </w:rPr>
        <w:t xml:space="preserve">Sparks </w:t>
      </w:r>
      <w:r>
        <w:rPr>
          <w:rFonts w:ascii="Times New Roman" w:hAnsi="Times New Roman" w:cs="Times New Roman"/>
        </w:rPr>
        <w:t>(</w:t>
      </w:r>
      <w:r w:rsidRPr="00626A06">
        <w:rPr>
          <w:rFonts w:ascii="Times New Roman" w:hAnsi="Times New Roman" w:cs="Times New Roman"/>
        </w:rPr>
        <w:t>n</w:t>
      </w:r>
      <w:r w:rsidR="000645B3">
        <w:rPr>
          <w:rFonts w:ascii="Times New Roman" w:hAnsi="Times New Roman" w:cs="Times New Roman"/>
        </w:rPr>
        <w:t xml:space="preserve"> </w:t>
      </w:r>
      <w:r w:rsidR="007E7C1D">
        <w:rPr>
          <w:rFonts w:ascii="Times New Roman" w:hAnsi="Times New Roman" w:cs="Times New Roman"/>
        </w:rPr>
        <w:fldChar w:fldCharType="begin"/>
      </w:r>
      <w:r w:rsidR="000645B3">
        <w:rPr>
          <w:rFonts w:ascii="Times New Roman" w:hAnsi="Times New Roman" w:cs="Times New Roman"/>
        </w:rPr>
        <w:instrText xml:space="preserve"> NOTEREF _Ref319270506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91</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The 1945 Act as finally drafted put a stop to this trend. In </w:t>
      </w:r>
      <w:r w:rsidRPr="00CF15D1">
        <w:rPr>
          <w:rFonts w:ascii="Times New Roman" w:hAnsi="Times New Roman" w:cs="Times New Roman"/>
          <w:i/>
        </w:rPr>
        <w:t xml:space="preserve">Davies </w:t>
      </w:r>
      <w:r w:rsidRPr="00CF15D1">
        <w:rPr>
          <w:rFonts w:ascii="Times New Roman" w:hAnsi="Times New Roman" w:cs="Times New Roman"/>
        </w:rPr>
        <w:t xml:space="preserve">(n </w:t>
      </w:r>
      <w:fldSimple w:instr=" NOTEREF _Ref319270187 \h  \* MERGEFORMAT ">
        <w:r w:rsidR="002661CF">
          <w:rPr>
            <w:rFonts w:ascii="Times New Roman" w:hAnsi="Times New Roman" w:cs="Times New Roman"/>
          </w:rPr>
          <w:t>76</w:t>
        </w:r>
      </w:fldSimple>
      <w:r w:rsidRPr="00D7285D">
        <w:rPr>
          <w:rFonts w:ascii="Times New Roman" w:hAnsi="Times New Roman" w:cs="Times New Roman"/>
        </w:rPr>
        <w:t>)</w:t>
      </w:r>
      <w:r>
        <w:rPr>
          <w:rFonts w:ascii="Times New Roman" w:hAnsi="Times New Roman" w:cs="Times New Roman"/>
        </w:rPr>
        <w:t xml:space="preserve"> </w:t>
      </w:r>
      <w:proofErr w:type="spellStart"/>
      <w:r w:rsidRPr="00626A06">
        <w:rPr>
          <w:rFonts w:ascii="Times New Roman" w:hAnsi="Times New Roman" w:cs="Times New Roman"/>
        </w:rPr>
        <w:t>Bucknill</w:t>
      </w:r>
      <w:proofErr w:type="spellEnd"/>
      <w:r w:rsidRPr="00626A06">
        <w:rPr>
          <w:rFonts w:ascii="Times New Roman" w:hAnsi="Times New Roman" w:cs="Times New Roman"/>
        </w:rPr>
        <w:t xml:space="preserve"> LJ noted mildly that the wording of s</w:t>
      </w:r>
      <w:r>
        <w:rPr>
          <w:rFonts w:ascii="Times New Roman" w:hAnsi="Times New Roman" w:cs="Times New Roman"/>
        </w:rPr>
        <w:t xml:space="preserve"> </w:t>
      </w:r>
      <w:r w:rsidRPr="00626A06">
        <w:rPr>
          <w:rFonts w:ascii="Times New Roman" w:hAnsi="Times New Roman" w:cs="Times New Roman"/>
        </w:rPr>
        <w:t>1 differed from the equivalent provision in the 1911 Act, adding that ‘There may be a good reason for that’. There was indeed, and he did succeed in giving effect to the intention behind the drafting even if he did not appreciate the reasons for the difference.</w:t>
      </w:r>
    </w:p>
  </w:footnote>
  <w:footnote w:id="7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CF15D1">
        <w:rPr>
          <w:rFonts w:ascii="Times New Roman" w:hAnsi="Times New Roman" w:cs="Times New Roman"/>
          <w:i/>
        </w:rPr>
        <w:t xml:space="preserve">Davies </w:t>
      </w:r>
      <w:r w:rsidRPr="00CF15D1">
        <w:rPr>
          <w:rFonts w:ascii="Times New Roman" w:hAnsi="Times New Roman" w:cs="Times New Roman"/>
        </w:rPr>
        <w:t xml:space="preserve">(n </w:t>
      </w:r>
      <w:fldSimple w:instr=" NOTEREF _Ref319270187 \h  \* MERGEFORMAT ">
        <w:r w:rsidR="002661CF">
          <w:rPr>
            <w:rFonts w:ascii="Times New Roman" w:hAnsi="Times New Roman" w:cs="Times New Roman"/>
          </w:rPr>
          <w:t>76</w:t>
        </w:r>
      </w:fldSimple>
      <w:r w:rsidRPr="00D7285D">
        <w:rPr>
          <w:rFonts w:ascii="Times New Roman" w:hAnsi="Times New Roman" w:cs="Times New Roman"/>
        </w:rPr>
        <w:t>)</w:t>
      </w:r>
      <w:r>
        <w:rPr>
          <w:rFonts w:ascii="Times New Roman" w:hAnsi="Times New Roman" w:cs="Times New Roman"/>
        </w:rPr>
        <w:t xml:space="preserve"> </w:t>
      </w:r>
      <w:r w:rsidRPr="00626A06">
        <w:rPr>
          <w:rFonts w:ascii="Times New Roman" w:hAnsi="Times New Roman" w:cs="Times New Roman"/>
        </w:rPr>
        <w:t>at 322.</w:t>
      </w:r>
      <w:proofErr w:type="gramEnd"/>
      <w:r w:rsidRPr="00626A06">
        <w:rPr>
          <w:rFonts w:ascii="Times New Roman" w:hAnsi="Times New Roman" w:cs="Times New Roman"/>
        </w:rPr>
        <w:t xml:space="preserve"> P </w:t>
      </w:r>
      <w:proofErr w:type="spellStart"/>
      <w:r w:rsidRPr="00626A06">
        <w:rPr>
          <w:rFonts w:ascii="Times New Roman" w:hAnsi="Times New Roman" w:cs="Times New Roman"/>
        </w:rPr>
        <w:t>Atiyah</w:t>
      </w:r>
      <w:proofErr w:type="spellEnd"/>
      <w:r w:rsidRPr="00626A06">
        <w:rPr>
          <w:rFonts w:ascii="Times New Roman" w:hAnsi="Times New Roman" w:cs="Times New Roman"/>
        </w:rPr>
        <w:t xml:space="preserve">, ‘Common Law and Statute Law’ (1984) </w:t>
      </w:r>
      <w:r>
        <w:rPr>
          <w:rFonts w:ascii="Times New Roman" w:hAnsi="Times New Roman" w:cs="Times New Roman"/>
        </w:rPr>
        <w:t xml:space="preserve">48 </w:t>
      </w:r>
      <w:r w:rsidRPr="00D7285D">
        <w:rPr>
          <w:rFonts w:ascii="Times New Roman" w:hAnsi="Times New Roman" w:cs="Times New Roman"/>
          <w:i/>
        </w:rPr>
        <w:t>MLR</w:t>
      </w:r>
      <w:r w:rsidRPr="00626A06">
        <w:rPr>
          <w:rFonts w:ascii="Times New Roman" w:hAnsi="Times New Roman" w:cs="Times New Roman"/>
        </w:rPr>
        <w:t xml:space="preserve"> 1-28, argued that Denning’s approach had been vindicated, but that he ought to have recognised that the broader effect of the statute was as much a ‘legal’ effect as its narrower one: ‘the effect of the Act was indeed to enable the judges to alter the law beyond the scope of the direct enactment.’ Note the reference to </w:t>
      </w:r>
      <w:r w:rsidRPr="00626A06">
        <w:rPr>
          <w:rFonts w:ascii="Times New Roman" w:hAnsi="Times New Roman" w:cs="Times New Roman"/>
          <w:i/>
        </w:rPr>
        <w:t xml:space="preserve">enabling </w:t>
      </w:r>
      <w:r w:rsidRPr="00626A06">
        <w:rPr>
          <w:rFonts w:ascii="Times New Roman" w:hAnsi="Times New Roman" w:cs="Times New Roman"/>
        </w:rPr>
        <w:t>(not requiring) change in the law.</w:t>
      </w:r>
    </w:p>
  </w:footnote>
  <w:footnote w:id="8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CF15D1">
        <w:rPr>
          <w:rFonts w:ascii="Times New Roman" w:hAnsi="Times New Roman" w:cs="Times New Roman"/>
        </w:rPr>
        <w:t xml:space="preserve">James </w:t>
      </w:r>
      <w:r w:rsidRPr="00CF15D1">
        <w:rPr>
          <w:rFonts w:ascii="Times New Roman" w:hAnsi="Times New Roman" w:cs="Times New Roman"/>
        </w:rPr>
        <w:t xml:space="preserve">(n </w:t>
      </w:r>
      <w:fldSimple w:instr=" NOTEREF _Ref319262074 \h  \* MERGEFORMAT ">
        <w:r w:rsidR="002661CF">
          <w:rPr>
            <w:rFonts w:ascii="Times New Roman" w:hAnsi="Times New Roman" w:cs="Times New Roman"/>
          </w:rPr>
          <w:t>32</w:t>
        </w:r>
      </w:fldSimple>
      <w:r w:rsidRPr="00D7285D">
        <w:rPr>
          <w:rFonts w:ascii="Times New Roman" w:hAnsi="Times New Roman" w:cs="Times New Roman"/>
        </w:rPr>
        <w:t>)</w:t>
      </w:r>
      <w:r w:rsidRPr="00626A06">
        <w:rPr>
          <w:rFonts w:ascii="Times New Roman" w:hAnsi="Times New Roman" w:cs="Times New Roman"/>
        </w:rPr>
        <w:t xml:space="preserve"> regarded contributory negligence as one manifestation of a general adherence to the idea of sole cause.</w:t>
      </w:r>
    </w:p>
  </w:footnote>
  <w:footnote w:id="81">
    <w:p w:rsidR="00203530" w:rsidRPr="00626A06" w:rsidRDefault="00203530" w:rsidP="00927BA4">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rPr>
        <w:t xml:space="preserve">See </w:t>
      </w:r>
      <w:proofErr w:type="spellStart"/>
      <w:r w:rsidRPr="00626A06">
        <w:rPr>
          <w:rFonts w:ascii="Times New Roman" w:hAnsi="Times New Roman" w:cs="Times New Roman"/>
          <w:i/>
        </w:rPr>
        <w:t>Staveley</w:t>
      </w:r>
      <w:proofErr w:type="spellEnd"/>
      <w:r w:rsidRPr="00626A06">
        <w:rPr>
          <w:rFonts w:ascii="Times New Roman" w:hAnsi="Times New Roman" w:cs="Times New Roman"/>
          <w:i/>
        </w:rPr>
        <w:t xml:space="preserve"> Iron &amp; Chemical Ltd v Jones </w:t>
      </w:r>
      <w:r w:rsidRPr="00626A06">
        <w:rPr>
          <w:rFonts w:ascii="Times New Roman" w:hAnsi="Times New Roman" w:cs="Times New Roman"/>
        </w:rPr>
        <w:t xml:space="preserve">[1956] AC 627; </w:t>
      </w:r>
      <w:hyperlink r:id="rId1" w:history="1">
        <w:r w:rsidR="0092581E" w:rsidRPr="00786B69">
          <w:rPr>
            <w:rStyle w:val="Hyperlink"/>
            <w:rFonts w:ascii="Times New Roman" w:hAnsi="Times New Roman" w:cs="Times New Roman"/>
            <w:iCs/>
            <w:color w:val="auto"/>
            <w:u w:val="none"/>
          </w:rPr>
          <w:t>MA Jones</w:t>
        </w:r>
      </w:hyperlink>
      <w:r w:rsidR="0092581E" w:rsidRPr="00786B69">
        <w:rPr>
          <w:rFonts w:ascii="Times New Roman" w:hAnsi="Times New Roman" w:cs="Times New Roman"/>
          <w:iCs/>
        </w:rPr>
        <w:t xml:space="preserve"> and </w:t>
      </w:r>
      <w:hyperlink r:id="rId2" w:history="1">
        <w:r w:rsidR="0092581E" w:rsidRPr="00786B69">
          <w:rPr>
            <w:rStyle w:val="Hyperlink"/>
            <w:rFonts w:ascii="Times New Roman" w:hAnsi="Times New Roman" w:cs="Times New Roman"/>
            <w:iCs/>
            <w:color w:val="auto"/>
            <w:u w:val="none"/>
          </w:rPr>
          <w:t xml:space="preserve">AM </w:t>
        </w:r>
        <w:proofErr w:type="spellStart"/>
        <w:r w:rsidR="0092581E" w:rsidRPr="00786B69">
          <w:rPr>
            <w:rStyle w:val="Hyperlink"/>
            <w:rFonts w:ascii="Times New Roman" w:hAnsi="Times New Roman" w:cs="Times New Roman"/>
            <w:iCs/>
            <w:color w:val="auto"/>
            <w:u w:val="none"/>
          </w:rPr>
          <w:t>Dugdale</w:t>
        </w:r>
        <w:proofErr w:type="spellEnd"/>
      </w:hyperlink>
      <w:r w:rsidR="0092581E">
        <w:rPr>
          <w:rFonts w:ascii="Times New Roman" w:hAnsi="Times New Roman" w:cs="Times New Roman"/>
        </w:rPr>
        <w:t xml:space="preserve">, </w:t>
      </w:r>
      <w:r w:rsidRPr="00626A06">
        <w:rPr>
          <w:rFonts w:ascii="Times New Roman" w:hAnsi="Times New Roman" w:cs="Times New Roman"/>
          <w:i/>
        </w:rPr>
        <w:t xml:space="preserve">Clerk and </w:t>
      </w:r>
      <w:proofErr w:type="spellStart"/>
      <w:r w:rsidRPr="00626A06">
        <w:rPr>
          <w:rFonts w:ascii="Times New Roman" w:hAnsi="Times New Roman" w:cs="Times New Roman"/>
          <w:i/>
        </w:rPr>
        <w:t>Lindsell</w:t>
      </w:r>
      <w:proofErr w:type="spellEnd"/>
      <w:r w:rsidRPr="00626A06">
        <w:rPr>
          <w:rFonts w:ascii="Times New Roman" w:hAnsi="Times New Roman" w:cs="Times New Roman"/>
          <w:i/>
        </w:rPr>
        <w:t xml:space="preserve"> on Torts</w:t>
      </w:r>
      <w:r w:rsidR="0092581E">
        <w:rPr>
          <w:rFonts w:ascii="Times New Roman" w:hAnsi="Times New Roman" w:cs="Times New Roman"/>
        </w:rPr>
        <w:t xml:space="preserve">, </w:t>
      </w:r>
      <w:r w:rsidRPr="00626A06">
        <w:rPr>
          <w:rFonts w:ascii="Times New Roman" w:hAnsi="Times New Roman" w:cs="Times New Roman"/>
        </w:rPr>
        <w:t>20</w:t>
      </w:r>
      <w:r w:rsidRPr="00626A06">
        <w:rPr>
          <w:rFonts w:ascii="Times New Roman" w:hAnsi="Times New Roman" w:cs="Times New Roman"/>
          <w:vertAlign w:val="superscript"/>
        </w:rPr>
        <w:t>th</w:t>
      </w:r>
      <w:r w:rsidRPr="00626A06">
        <w:rPr>
          <w:rFonts w:ascii="Times New Roman" w:hAnsi="Times New Roman" w:cs="Times New Roman"/>
        </w:rPr>
        <w:t xml:space="preserve"> </w:t>
      </w:r>
      <w:proofErr w:type="spellStart"/>
      <w:r w:rsidRPr="00626A06">
        <w:rPr>
          <w:rFonts w:ascii="Times New Roman" w:hAnsi="Times New Roman" w:cs="Times New Roman"/>
        </w:rPr>
        <w:t>ed</w:t>
      </w:r>
      <w:r w:rsidR="0092581E">
        <w:rPr>
          <w:rFonts w:ascii="Times New Roman" w:hAnsi="Times New Roman" w:cs="Times New Roman"/>
        </w:rPr>
        <w:t>n</w:t>
      </w:r>
      <w:proofErr w:type="spellEnd"/>
      <w:r w:rsidRPr="00626A06">
        <w:rPr>
          <w:rFonts w:ascii="Times New Roman" w:hAnsi="Times New Roman" w:cs="Times New Roman"/>
        </w:rPr>
        <w:t xml:space="preserve"> </w:t>
      </w:r>
      <w:r w:rsidR="0092581E">
        <w:rPr>
          <w:rFonts w:ascii="Times New Roman" w:hAnsi="Times New Roman" w:cs="Times New Roman"/>
        </w:rPr>
        <w:t xml:space="preserve">(London, Sweet &amp; Maxwell, </w:t>
      </w:r>
      <w:r w:rsidRPr="00626A06">
        <w:rPr>
          <w:rFonts w:ascii="Times New Roman" w:hAnsi="Times New Roman" w:cs="Times New Roman"/>
        </w:rPr>
        <w:t>2010) 13.64.</w:t>
      </w:r>
      <w:proofErr w:type="gramEnd"/>
      <w:r w:rsidRPr="00626A06">
        <w:rPr>
          <w:rFonts w:ascii="Times New Roman" w:hAnsi="Times New Roman" w:cs="Times New Roman"/>
        </w:rPr>
        <w:t xml:space="preserve"> For discussion see N Tomkins, ‘Getting contributory negligence right’ </w:t>
      </w:r>
      <w:r w:rsidR="0092581E">
        <w:rPr>
          <w:rFonts w:ascii="Times New Roman" w:hAnsi="Times New Roman" w:cs="Times New Roman"/>
        </w:rPr>
        <w:t>[</w:t>
      </w:r>
      <w:r w:rsidRPr="00626A06">
        <w:rPr>
          <w:rFonts w:ascii="Times New Roman" w:hAnsi="Times New Roman" w:cs="Times New Roman"/>
        </w:rPr>
        <w:t>2008</w:t>
      </w:r>
      <w:r w:rsidR="0092581E">
        <w:rPr>
          <w:rFonts w:ascii="Times New Roman" w:hAnsi="Times New Roman" w:cs="Times New Roman"/>
        </w:rPr>
        <w:t>]</w:t>
      </w:r>
      <w:r w:rsidRPr="00626A06">
        <w:rPr>
          <w:rFonts w:ascii="Times New Roman" w:hAnsi="Times New Roman" w:cs="Times New Roman"/>
        </w:rPr>
        <w:t xml:space="preserve"> </w:t>
      </w:r>
      <w:r w:rsidRPr="00D7285D">
        <w:rPr>
          <w:rFonts w:ascii="Times New Roman" w:hAnsi="Times New Roman" w:cs="Times New Roman"/>
          <w:i/>
        </w:rPr>
        <w:t>JPIL</w:t>
      </w:r>
      <w:r w:rsidRPr="00626A06">
        <w:rPr>
          <w:rFonts w:ascii="Times New Roman" w:hAnsi="Times New Roman" w:cs="Times New Roman"/>
        </w:rPr>
        <w:t xml:space="preserve"> 249. It is important to be clear that this is not an argument from ‘de </w:t>
      </w:r>
      <w:proofErr w:type="spellStart"/>
      <w:r w:rsidRPr="00626A06">
        <w:rPr>
          <w:rFonts w:ascii="Times New Roman" w:hAnsi="Times New Roman" w:cs="Times New Roman"/>
        </w:rPr>
        <w:t>minimis</w:t>
      </w:r>
      <w:proofErr w:type="spellEnd"/>
      <w:r w:rsidRPr="00626A06">
        <w:rPr>
          <w:rFonts w:ascii="Times New Roman" w:hAnsi="Times New Roman" w:cs="Times New Roman"/>
        </w:rPr>
        <w:t>’ carelessness, associated with the (contested) possibility of ‘0% contributory negligence’.</w:t>
      </w:r>
    </w:p>
  </w:footnote>
  <w:footnote w:id="8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See for example the duty in </w:t>
      </w:r>
      <w:r w:rsidRPr="00626A06">
        <w:rPr>
          <w:rFonts w:ascii="Times New Roman" w:hAnsi="Times New Roman" w:cs="Times New Roman"/>
          <w:i/>
        </w:rPr>
        <w:t>Reeves</w:t>
      </w:r>
      <w:r w:rsidRPr="00626A06">
        <w:rPr>
          <w:rFonts w:ascii="Times New Roman" w:hAnsi="Times New Roman" w:cs="Times New Roman"/>
        </w:rPr>
        <w:t xml:space="preserve"> </w:t>
      </w:r>
      <w:r w:rsidRPr="00626A06">
        <w:rPr>
          <w:rFonts w:ascii="Times New Roman" w:hAnsi="Times New Roman" w:cs="Times New Roman"/>
          <w:i/>
        </w:rPr>
        <w:t xml:space="preserve">v Commissioner of Police for the Metropolis </w:t>
      </w:r>
      <w:r w:rsidRPr="00626A06">
        <w:rPr>
          <w:rFonts w:ascii="Times New Roman" w:hAnsi="Times New Roman" w:cs="Times New Roman"/>
        </w:rPr>
        <w:t>[2000] 1 AC 360.</w:t>
      </w:r>
    </w:p>
  </w:footnote>
  <w:footnote w:id="8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Workmen’s compensation was the subject of committee discussion throughout the 1920s and 1930s, until the </w:t>
      </w:r>
      <w:proofErr w:type="spellStart"/>
      <w:r w:rsidRPr="00626A06">
        <w:rPr>
          <w:rFonts w:ascii="Times New Roman" w:hAnsi="Times New Roman" w:cs="Times New Roman"/>
        </w:rPr>
        <w:t>Beveridge</w:t>
      </w:r>
      <w:proofErr w:type="spellEnd"/>
      <w:r w:rsidRPr="00626A06">
        <w:rPr>
          <w:rFonts w:ascii="Times New Roman" w:hAnsi="Times New Roman" w:cs="Times New Roman"/>
        </w:rPr>
        <w:t xml:space="preserve"> Report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_Ref319260958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22</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highlighted its relationship with tort by centring the ‘alternative remedy’</w:t>
      </w:r>
      <w:r>
        <w:rPr>
          <w:rFonts w:ascii="Times New Roman" w:hAnsi="Times New Roman" w:cs="Times New Roman"/>
        </w:rPr>
        <w:t>.</w:t>
      </w:r>
    </w:p>
  </w:footnote>
  <w:footnote w:id="8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62416A" w:rsidRPr="00D7285D">
        <w:rPr>
          <w:rFonts w:ascii="Times New Roman" w:hAnsi="Times New Roman" w:cs="Times New Roman"/>
          <w:i/>
        </w:rPr>
        <w:t xml:space="preserve">The Boy Andrew v </w:t>
      </w:r>
      <w:proofErr w:type="gramStart"/>
      <w:r w:rsidR="0062416A" w:rsidRPr="00D7285D">
        <w:rPr>
          <w:rFonts w:ascii="Times New Roman" w:hAnsi="Times New Roman" w:cs="Times New Roman"/>
          <w:i/>
        </w:rPr>
        <w:t>The</w:t>
      </w:r>
      <w:proofErr w:type="gramEnd"/>
      <w:r w:rsidR="0062416A" w:rsidRPr="00D7285D">
        <w:rPr>
          <w:rFonts w:ascii="Times New Roman" w:hAnsi="Times New Roman" w:cs="Times New Roman"/>
          <w:i/>
        </w:rPr>
        <w:t xml:space="preserve"> St </w:t>
      </w:r>
      <w:proofErr w:type="spellStart"/>
      <w:r w:rsidR="0062416A" w:rsidRPr="00D7285D">
        <w:rPr>
          <w:rFonts w:ascii="Times New Roman" w:hAnsi="Times New Roman" w:cs="Times New Roman"/>
          <w:i/>
        </w:rPr>
        <w:t>Rognvald</w:t>
      </w:r>
      <w:proofErr w:type="spellEnd"/>
      <w:r w:rsidR="0062416A" w:rsidRPr="0062416A">
        <w:rPr>
          <w:rFonts w:ascii="Times New Roman" w:hAnsi="Times New Roman" w:cs="Times New Roman"/>
        </w:rPr>
        <w:t xml:space="preserve"> </w:t>
      </w:r>
      <w:r w:rsidRPr="00626A06">
        <w:rPr>
          <w:rFonts w:ascii="Times New Roman" w:hAnsi="Times New Roman" w:cs="Times New Roman"/>
        </w:rPr>
        <w:t>[1948] AC</w:t>
      </w:r>
      <w:r w:rsidR="0062416A">
        <w:rPr>
          <w:rFonts w:ascii="Times New Roman" w:hAnsi="Times New Roman" w:cs="Times New Roman"/>
        </w:rPr>
        <w:t xml:space="preserve"> </w:t>
      </w:r>
      <w:r w:rsidRPr="00626A06">
        <w:rPr>
          <w:rFonts w:ascii="Times New Roman" w:hAnsi="Times New Roman" w:cs="Times New Roman"/>
        </w:rPr>
        <w:t xml:space="preserve">140. This was a maritime collision so did not raise the question of the 1945 Act. Viscount Simon explained that the doctrine of last opportunity was ‘inaptly phrased’, and ‘likely in some cases to lead to error’ – not that it was itself in error. He explained the result in </w:t>
      </w:r>
      <w:r w:rsidRPr="00626A06">
        <w:rPr>
          <w:rFonts w:ascii="Times New Roman" w:hAnsi="Times New Roman" w:cs="Times New Roman"/>
          <w:i/>
        </w:rPr>
        <w:t xml:space="preserve">Davies v Mann </w:t>
      </w:r>
      <w:r w:rsidRPr="00626A06">
        <w:rPr>
          <w:rFonts w:ascii="Times New Roman" w:hAnsi="Times New Roman" w:cs="Times New Roman"/>
        </w:rPr>
        <w:t xml:space="preserve">(1842) 10 M &amp; W 546 from which the doctrine was derived in terms of sole legal cause: ‘As by driving more carefully [the driver] could have avoided hitting the donkey, his negligence was the sole cause. The negligence of the donkey-owner was therefore a fault not contributing to the collision: it was merely a </w:t>
      </w:r>
      <w:proofErr w:type="spellStart"/>
      <w:r w:rsidRPr="00626A06">
        <w:rPr>
          <w:rFonts w:ascii="Times New Roman" w:hAnsi="Times New Roman" w:cs="Times New Roman"/>
        </w:rPr>
        <w:t>causa</w:t>
      </w:r>
      <w:proofErr w:type="spellEnd"/>
      <w:r w:rsidRPr="00626A06">
        <w:rPr>
          <w:rFonts w:ascii="Times New Roman" w:hAnsi="Times New Roman" w:cs="Times New Roman"/>
        </w:rPr>
        <w:t xml:space="preserve"> sine qua non’: 149. He clearly regarded </w:t>
      </w:r>
      <w:r w:rsidRPr="00626A06">
        <w:rPr>
          <w:rFonts w:ascii="Times New Roman" w:hAnsi="Times New Roman" w:cs="Times New Roman"/>
          <w:i/>
        </w:rPr>
        <w:t xml:space="preserve">Davies v Mann </w:t>
      </w:r>
      <w:r w:rsidRPr="00626A06">
        <w:rPr>
          <w:rFonts w:ascii="Times New Roman" w:hAnsi="Times New Roman" w:cs="Times New Roman"/>
        </w:rPr>
        <w:t xml:space="preserve">as good law. This was applied to a contributory negligence case in </w:t>
      </w:r>
      <w:r w:rsidRPr="00626A06">
        <w:rPr>
          <w:rFonts w:ascii="Times New Roman" w:hAnsi="Times New Roman" w:cs="Times New Roman"/>
          <w:i/>
        </w:rPr>
        <w:t xml:space="preserve">Davies v Swan Motor </w:t>
      </w:r>
      <w:r w:rsidRPr="00626A06">
        <w:rPr>
          <w:rFonts w:ascii="Times New Roman" w:hAnsi="Times New Roman" w:cs="Times New Roman"/>
        </w:rPr>
        <w:t>(n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_Ref319270187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76</w:t>
      </w:r>
      <w:r w:rsidR="007E7C1D">
        <w:rPr>
          <w:rFonts w:ascii="Times New Roman" w:hAnsi="Times New Roman" w:cs="Times New Roman"/>
        </w:rPr>
        <w:fldChar w:fldCharType="end"/>
      </w:r>
      <w:r w:rsidRPr="00626A06">
        <w:rPr>
          <w:rFonts w:ascii="Times New Roman" w:hAnsi="Times New Roman" w:cs="Times New Roman"/>
        </w:rPr>
        <w:t>).</w:t>
      </w:r>
    </w:p>
  </w:footnote>
  <w:footnote w:id="8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00CA243D" w:rsidRPr="00626A06">
        <w:rPr>
          <w:rFonts w:ascii="Times New Roman" w:hAnsi="Times New Roman" w:cs="Times New Roman"/>
          <w:i/>
        </w:rPr>
        <w:t>Reeves</w:t>
      </w:r>
      <w:r w:rsidR="00CA243D">
        <w:rPr>
          <w:rFonts w:ascii="Times New Roman" w:hAnsi="Times New Roman" w:cs="Times New Roman"/>
        </w:rPr>
        <w:t xml:space="preserve"> (n </w:t>
      </w:r>
      <w:r w:rsidR="007E7C1D">
        <w:rPr>
          <w:rFonts w:ascii="Times New Roman" w:hAnsi="Times New Roman" w:cs="Times New Roman"/>
        </w:rPr>
        <w:fldChar w:fldCharType="begin"/>
      </w:r>
      <w:r w:rsidR="00CA243D">
        <w:rPr>
          <w:rFonts w:ascii="Times New Roman" w:hAnsi="Times New Roman" w:cs="Times New Roman"/>
        </w:rPr>
        <w:instrText xml:space="preserve"> NOTEREF _Ref319271141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81</w:t>
      </w:r>
      <w:r w:rsidR="007E7C1D">
        <w:rPr>
          <w:rFonts w:ascii="Times New Roman" w:hAnsi="Times New Roman" w:cs="Times New Roman"/>
        </w:rPr>
        <w:fldChar w:fldCharType="end"/>
      </w:r>
      <w:r w:rsidR="00CA243D">
        <w:rPr>
          <w:rFonts w:ascii="Times New Roman" w:hAnsi="Times New Roman" w:cs="Times New Roman"/>
        </w:rPr>
        <w:t>).</w:t>
      </w:r>
      <w:proofErr w:type="gramEnd"/>
    </w:p>
  </w:footnote>
  <w:footnote w:id="8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This indicates how far the continuity between pre-1945 Act and post-1945 Act cases has generally been forgotten. </w:t>
      </w:r>
      <w:proofErr w:type="spellStart"/>
      <w:r w:rsidRPr="00626A06">
        <w:rPr>
          <w:rFonts w:ascii="Times New Roman" w:hAnsi="Times New Roman" w:cs="Times New Roman"/>
          <w:i/>
        </w:rPr>
        <w:t>Staveley</w:t>
      </w:r>
      <w:proofErr w:type="spellEnd"/>
      <w:r w:rsidRPr="00626A06">
        <w:rPr>
          <w:rFonts w:ascii="Times New Roman" w:hAnsi="Times New Roman" w:cs="Times New Roman"/>
          <w:i/>
        </w:rPr>
        <w:t xml:space="preserve"> </w:t>
      </w:r>
      <w:r w:rsidR="0092581E">
        <w:rPr>
          <w:rFonts w:ascii="Times New Roman" w:hAnsi="Times New Roman" w:cs="Times New Roman"/>
        </w:rPr>
        <w:t xml:space="preserve">(n </w:t>
      </w:r>
      <w:r w:rsidR="007E7C1D">
        <w:rPr>
          <w:rFonts w:ascii="Times New Roman" w:hAnsi="Times New Roman" w:cs="Times New Roman"/>
        </w:rPr>
        <w:fldChar w:fldCharType="begin"/>
      </w:r>
      <w:r w:rsidR="0092581E">
        <w:rPr>
          <w:rFonts w:ascii="Times New Roman" w:hAnsi="Times New Roman" w:cs="Times New Roman"/>
        </w:rPr>
        <w:instrText xml:space="preserve"> NOTEREF _Ref319271070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80</w:t>
      </w:r>
      <w:r w:rsidR="007E7C1D">
        <w:rPr>
          <w:rFonts w:ascii="Times New Roman" w:hAnsi="Times New Roman" w:cs="Times New Roman"/>
        </w:rPr>
        <w:fldChar w:fldCharType="end"/>
      </w:r>
      <w:r w:rsidR="0092581E">
        <w:rPr>
          <w:rFonts w:ascii="Times New Roman" w:hAnsi="Times New Roman" w:cs="Times New Roman"/>
        </w:rPr>
        <w:t xml:space="preserve">) </w:t>
      </w:r>
      <w:r w:rsidRPr="00626A06">
        <w:rPr>
          <w:rFonts w:ascii="Times New Roman" w:hAnsi="Times New Roman" w:cs="Times New Roman"/>
        </w:rPr>
        <w:t xml:space="preserve">is consistent with </w:t>
      </w:r>
      <w:r w:rsidRPr="007E46D5">
        <w:rPr>
          <w:rFonts w:ascii="Times New Roman" w:hAnsi="Times New Roman" w:cs="Times New Roman"/>
          <w:i/>
        </w:rPr>
        <w:t>Hutchinson</w:t>
      </w:r>
      <w:r w:rsidRPr="00EB1D39">
        <w:rPr>
          <w:rFonts w:ascii="Times New Roman" w:hAnsi="Times New Roman" w:cs="Times New Roman"/>
        </w:rPr>
        <w:t xml:space="preserve"> </w:t>
      </w:r>
      <w:r w:rsidRPr="00D7285D">
        <w:rPr>
          <w:rFonts w:ascii="Times New Roman" w:hAnsi="Times New Roman" w:cs="Times New Roman"/>
        </w:rPr>
        <w:t xml:space="preserve">(n </w:t>
      </w:r>
      <w:fldSimple w:instr=" NOTEREF _Ref319269680 \h  \* MERGEFORMAT ">
        <w:r w:rsidR="002661CF">
          <w:rPr>
            <w:rFonts w:ascii="Times New Roman" w:hAnsi="Times New Roman" w:cs="Times New Roman"/>
          </w:rPr>
          <w:t>71</w:t>
        </w:r>
      </w:fldSimple>
      <w:r w:rsidRPr="00D7285D">
        <w:rPr>
          <w:rFonts w:ascii="Times New Roman" w:hAnsi="Times New Roman" w:cs="Times New Roman"/>
        </w:rPr>
        <w:t>)</w:t>
      </w:r>
      <w:r>
        <w:rPr>
          <w:rFonts w:ascii="Times New Roman" w:hAnsi="Times New Roman" w:cs="Times New Roman"/>
        </w:rPr>
        <w:t xml:space="preserve"> </w:t>
      </w:r>
      <w:r w:rsidRPr="00626A06">
        <w:rPr>
          <w:rFonts w:ascii="Times New Roman" w:hAnsi="Times New Roman" w:cs="Times New Roman"/>
        </w:rPr>
        <w:t>– as the authors of LRC</w:t>
      </w:r>
      <w:r>
        <w:rPr>
          <w:rFonts w:ascii="Times New Roman" w:hAnsi="Times New Roman" w:cs="Times New Roman"/>
        </w:rPr>
        <w:t>’s</w:t>
      </w:r>
      <w:r w:rsidRPr="00626A06">
        <w:rPr>
          <w:rFonts w:ascii="Times New Roman" w:hAnsi="Times New Roman" w:cs="Times New Roman"/>
        </w:rPr>
        <w:t xml:space="preserve"> 8</w:t>
      </w:r>
      <w:r w:rsidRPr="00626A06">
        <w:rPr>
          <w:rFonts w:ascii="Times New Roman" w:hAnsi="Times New Roman" w:cs="Times New Roman"/>
          <w:vertAlign w:val="superscript"/>
        </w:rPr>
        <w:t>th</w:t>
      </w:r>
      <w:r w:rsidRPr="00626A06">
        <w:rPr>
          <w:rFonts w:ascii="Times New Roman" w:hAnsi="Times New Roman" w:cs="Times New Roman"/>
        </w:rPr>
        <w:t xml:space="preserve"> Report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_Ref319267705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would have expected.</w:t>
      </w:r>
    </w:p>
  </w:footnote>
  <w:footnote w:id="8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Pr="00626A06">
        <w:rPr>
          <w:rFonts w:ascii="Times New Roman" w:hAnsi="Times New Roman" w:cs="Times New Roman"/>
          <w:i/>
        </w:rPr>
        <w:t>Reeves</w:t>
      </w:r>
      <w:r w:rsidR="0092581E">
        <w:rPr>
          <w:rFonts w:ascii="Times New Roman" w:hAnsi="Times New Roman" w:cs="Times New Roman"/>
        </w:rPr>
        <w:t xml:space="preserve"> (n </w:t>
      </w:r>
      <w:r w:rsidR="007E7C1D">
        <w:rPr>
          <w:rFonts w:ascii="Times New Roman" w:hAnsi="Times New Roman" w:cs="Times New Roman"/>
        </w:rPr>
        <w:fldChar w:fldCharType="begin"/>
      </w:r>
      <w:r w:rsidR="0092581E">
        <w:rPr>
          <w:rFonts w:ascii="Times New Roman" w:hAnsi="Times New Roman" w:cs="Times New Roman"/>
        </w:rPr>
        <w:instrText xml:space="preserve"> NOTEREF _Ref319271141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81</w:t>
      </w:r>
      <w:r w:rsidR="007E7C1D">
        <w:rPr>
          <w:rFonts w:ascii="Times New Roman" w:hAnsi="Times New Roman" w:cs="Times New Roman"/>
        </w:rPr>
        <w:fldChar w:fldCharType="end"/>
      </w:r>
      <w:r w:rsidR="0092581E">
        <w:rPr>
          <w:rFonts w:ascii="Times New Roman" w:hAnsi="Times New Roman" w:cs="Times New Roman"/>
        </w:rPr>
        <w:t>)</w:t>
      </w:r>
      <w:r w:rsidRPr="00626A06">
        <w:rPr>
          <w:rFonts w:ascii="Times New Roman" w:hAnsi="Times New Roman" w:cs="Times New Roman"/>
        </w:rPr>
        <w:t>.</w:t>
      </w:r>
      <w:proofErr w:type="gramEnd"/>
      <w:r w:rsidRPr="00626A06">
        <w:rPr>
          <w:rFonts w:ascii="Times New Roman" w:hAnsi="Times New Roman" w:cs="Times New Roman"/>
        </w:rPr>
        <w:t xml:space="preserve"> </w:t>
      </w:r>
    </w:p>
  </w:footnote>
  <w:footnote w:id="88">
    <w:p w:rsidR="00CF75CC" w:rsidRPr="00D7285D" w:rsidRDefault="00CF75CC">
      <w:pPr>
        <w:pStyle w:val="FootnoteText"/>
        <w:rPr>
          <w:rFonts w:ascii="Times New Roman" w:hAnsi="Times New Roman" w:cs="Times New Roman"/>
        </w:rPr>
      </w:pPr>
      <w:r w:rsidRPr="00D7285D">
        <w:rPr>
          <w:rStyle w:val="FootnoteReference"/>
          <w:rFonts w:ascii="Times New Roman" w:hAnsi="Times New Roman" w:cs="Times New Roman"/>
        </w:rPr>
        <w:footnoteRef/>
      </w:r>
      <w:r w:rsidRPr="00D7285D">
        <w:rPr>
          <w:rFonts w:ascii="Times New Roman" w:hAnsi="Times New Roman" w:cs="Times New Roman"/>
        </w:rPr>
        <w:t xml:space="preserve"> </w:t>
      </w:r>
      <w:r w:rsidRPr="00CF75CC">
        <w:rPr>
          <w:rFonts w:ascii="Times New Roman" w:hAnsi="Times New Roman" w:cs="Times New Roman"/>
          <w:i/>
        </w:rPr>
        <w:t xml:space="preserve">McLean </w:t>
      </w:r>
      <w:r w:rsidRPr="00CF75CC">
        <w:rPr>
          <w:rFonts w:ascii="Times New Roman" w:hAnsi="Times New Roman" w:cs="Times New Roman"/>
        </w:rPr>
        <w:t xml:space="preserve">(n </w:t>
      </w:r>
      <w:fldSimple w:instr=" NOTEREF _Ref319261674 \h  \* MERGEFORMAT ">
        <w:r w:rsidR="002661CF">
          <w:rPr>
            <w:rFonts w:ascii="Times New Roman" w:hAnsi="Times New Roman" w:cs="Times New Roman"/>
          </w:rPr>
          <w:t>27</w:t>
        </w:r>
      </w:fldSimple>
      <w:r w:rsidRPr="00CF75CC">
        <w:rPr>
          <w:rFonts w:ascii="Times New Roman" w:hAnsi="Times New Roman" w:cs="Times New Roman"/>
        </w:rPr>
        <w:t>)</w:t>
      </w:r>
    </w:p>
  </w:footnote>
  <w:footnote w:id="89">
    <w:p w:rsidR="00203530" w:rsidRPr="00626A06" w:rsidRDefault="00203530" w:rsidP="00CE20D3">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Court of Appeal in </w:t>
      </w:r>
      <w:r w:rsidRPr="00626A06">
        <w:rPr>
          <w:rFonts w:ascii="Times New Roman" w:hAnsi="Times New Roman" w:cs="Times New Roman"/>
          <w:i/>
        </w:rPr>
        <w:t xml:space="preserve">St George v Home Office </w:t>
      </w:r>
      <w:r w:rsidRPr="00626A06">
        <w:rPr>
          <w:rFonts w:ascii="Times New Roman" w:hAnsi="Times New Roman" w:cs="Times New Roman"/>
        </w:rPr>
        <w:t xml:space="preserve">[2008] EWCA </w:t>
      </w:r>
      <w:proofErr w:type="spellStart"/>
      <w:r w:rsidRPr="00626A06">
        <w:rPr>
          <w:rFonts w:ascii="Times New Roman" w:hAnsi="Times New Roman" w:cs="Times New Roman"/>
        </w:rPr>
        <w:t>Civ</w:t>
      </w:r>
      <w:proofErr w:type="spellEnd"/>
      <w:r w:rsidRPr="00626A06">
        <w:rPr>
          <w:rFonts w:ascii="Times New Roman" w:hAnsi="Times New Roman" w:cs="Times New Roman"/>
        </w:rPr>
        <w:t xml:space="preserve"> 1068</w:t>
      </w:r>
      <w:r w:rsidR="0082415E">
        <w:rPr>
          <w:rFonts w:ascii="Times New Roman" w:hAnsi="Times New Roman" w:cs="Times New Roman"/>
        </w:rPr>
        <w:t>,</w:t>
      </w:r>
      <w:r w:rsidRPr="00626A06">
        <w:rPr>
          <w:rFonts w:ascii="Times New Roman" w:hAnsi="Times New Roman" w:cs="Times New Roman"/>
        </w:rPr>
        <w:t xml:space="preserve"> [2009] 1 WLR 1670 deployed the idea of causation in the legal sense (seeing a rare terrestrial outing for </w:t>
      </w:r>
      <w:r w:rsidRPr="00626A06">
        <w:rPr>
          <w:rFonts w:ascii="Times New Roman" w:hAnsi="Times New Roman" w:cs="Times New Roman"/>
          <w:i/>
        </w:rPr>
        <w:t>The Volute</w:t>
      </w:r>
      <w:r w:rsidRPr="00626A06">
        <w:rPr>
          <w:rFonts w:ascii="Times New Roman" w:hAnsi="Times New Roman" w:cs="Times New Roman"/>
        </w:rPr>
        <w:t xml:space="preserve"> [1922] AC 129) when deciding that there should be no reduction for contributory negligence where a prisoner with a drug addiction fell out of a bunk: his actions in forming an addiction were not a ‘potent’ cause of the fall. But the Court added that in case that approach was wrong, it would also not be fair and equitable to reduce damages. A ‘straight’ responsibility approach (without falling back on causation) was employed at around the same time by a different court of Appeal in </w:t>
      </w:r>
      <w:r w:rsidRPr="00626A06">
        <w:rPr>
          <w:rFonts w:ascii="Times New Roman" w:hAnsi="Times New Roman" w:cs="Times New Roman"/>
          <w:i/>
        </w:rPr>
        <w:t xml:space="preserve">Calvert v William Hill </w:t>
      </w:r>
      <w:r w:rsidRPr="00626A06">
        <w:rPr>
          <w:rFonts w:ascii="Times New Roman" w:hAnsi="Times New Roman" w:cs="Times New Roman"/>
        </w:rPr>
        <w:t xml:space="preserve">[2008] EWCA </w:t>
      </w:r>
      <w:proofErr w:type="spellStart"/>
      <w:r w:rsidRPr="00626A06">
        <w:rPr>
          <w:rFonts w:ascii="Times New Roman" w:hAnsi="Times New Roman" w:cs="Times New Roman"/>
        </w:rPr>
        <w:t>Civ</w:t>
      </w:r>
      <w:proofErr w:type="spellEnd"/>
      <w:r w:rsidRPr="00626A06">
        <w:rPr>
          <w:rFonts w:ascii="Times New Roman" w:hAnsi="Times New Roman" w:cs="Times New Roman"/>
        </w:rPr>
        <w:t xml:space="preserve"> 1427</w:t>
      </w:r>
      <w:r w:rsidR="0082415E">
        <w:rPr>
          <w:rFonts w:ascii="Times New Roman" w:hAnsi="Times New Roman" w:cs="Times New Roman"/>
        </w:rPr>
        <w:t>,</w:t>
      </w:r>
      <w:r w:rsidRPr="00626A06">
        <w:rPr>
          <w:rFonts w:ascii="Times New Roman" w:hAnsi="Times New Roman" w:cs="Times New Roman"/>
        </w:rPr>
        <w:t xml:space="preserve"> [2009] Ch 330 (gambling addiction). </w:t>
      </w:r>
    </w:p>
  </w:footnote>
  <w:footnote w:id="9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 2/3563, </w:t>
      </w:r>
      <w:r w:rsidR="0082415E">
        <w:rPr>
          <w:rFonts w:ascii="Times New Roman" w:hAnsi="Times New Roman" w:cs="Times New Roman"/>
        </w:rPr>
        <w:t>L</w:t>
      </w:r>
      <w:r w:rsidRPr="00626A06">
        <w:rPr>
          <w:rFonts w:ascii="Times New Roman" w:hAnsi="Times New Roman" w:cs="Times New Roman"/>
        </w:rPr>
        <w:t>etter dated 24 January 1945.</w:t>
      </w:r>
    </w:p>
  </w:footnote>
  <w:footnote w:id="9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TNA LCO 2/3563, </w:t>
      </w:r>
      <w:r w:rsidR="0082415E">
        <w:rPr>
          <w:rFonts w:ascii="Times New Roman" w:hAnsi="Times New Roman" w:cs="Times New Roman"/>
        </w:rPr>
        <w:t>L</w:t>
      </w:r>
      <w:r w:rsidRPr="00626A06">
        <w:rPr>
          <w:rFonts w:ascii="Times New Roman" w:hAnsi="Times New Roman" w:cs="Times New Roman"/>
        </w:rPr>
        <w:t>etter from Napier</w:t>
      </w:r>
      <w:r w:rsidR="0082415E">
        <w:rPr>
          <w:rFonts w:ascii="Times New Roman" w:hAnsi="Times New Roman" w:cs="Times New Roman"/>
        </w:rPr>
        <w:t xml:space="preserve"> dated</w:t>
      </w:r>
      <w:r w:rsidRPr="00626A06">
        <w:rPr>
          <w:rFonts w:ascii="Times New Roman" w:hAnsi="Times New Roman" w:cs="Times New Roman"/>
        </w:rPr>
        <w:t xml:space="preserve"> 3 February 1945. Perhaps a member of the Association of Provincial Solicitors ought to have been admitted to the Law Revision Committee after all.</w:t>
      </w:r>
    </w:p>
  </w:footnote>
  <w:footnote w:id="9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Amongst others </w:t>
      </w:r>
      <w:r w:rsidRPr="00626A06">
        <w:rPr>
          <w:rFonts w:ascii="Times New Roman" w:hAnsi="Times New Roman" w:cs="Times New Roman"/>
          <w:i/>
        </w:rPr>
        <w:t xml:space="preserve">Sparks v Edward Ash </w:t>
      </w:r>
      <w:r w:rsidRPr="00626A06">
        <w:rPr>
          <w:rFonts w:ascii="Times New Roman" w:hAnsi="Times New Roman" w:cs="Times New Roman"/>
        </w:rPr>
        <w:t xml:space="preserve">[1943] KB 223, which was described by the Court of Appeal as raising an issue of broad public importance, namely the applicability of regulations devised for conditions of full visibility to the use of pedestrian crossings during blackout conditions – particularly the duties of </w:t>
      </w:r>
      <w:r w:rsidRPr="00626A06">
        <w:rPr>
          <w:rFonts w:ascii="Times New Roman" w:hAnsi="Times New Roman" w:cs="Times New Roman"/>
          <w:i/>
        </w:rPr>
        <w:t xml:space="preserve">pedestrians </w:t>
      </w:r>
      <w:r w:rsidRPr="00626A06">
        <w:rPr>
          <w:rFonts w:ascii="Times New Roman" w:hAnsi="Times New Roman" w:cs="Times New Roman"/>
        </w:rPr>
        <w:t xml:space="preserve">using such crossings to car drivers. Goddard LJ (a member of the Law Revision Committee) was joined in this case by Scott LJ, who had signed the Brussels Convention in 1910, and who analogised from collisions between ships to consider whether there was any alleviation of the </w:t>
      </w:r>
      <w:r w:rsidRPr="00626A06">
        <w:rPr>
          <w:rFonts w:ascii="Times New Roman" w:hAnsi="Times New Roman" w:cs="Times New Roman"/>
          <w:i/>
        </w:rPr>
        <w:t xml:space="preserve">pedestrian’s </w:t>
      </w:r>
      <w:r w:rsidRPr="00626A06">
        <w:rPr>
          <w:rFonts w:ascii="Times New Roman" w:hAnsi="Times New Roman" w:cs="Times New Roman"/>
        </w:rPr>
        <w:t>duty while using a controlled crossing. This underlines the distance travelled from the maritime model by the reform as enacted.</w:t>
      </w:r>
    </w:p>
  </w:footnote>
  <w:footnote w:id="9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Initially Lord Simon said that he ‘blamed himself’ for not thinking of this area of law; in writing to give notice that he would withdraw the clause he said that it was a ‘very serious matter’ (10 June 1943).</w:t>
      </w:r>
    </w:p>
  </w:footnote>
  <w:footnote w:id="9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spellStart"/>
      <w:proofErr w:type="gramStart"/>
      <w:r w:rsidR="00403652" w:rsidRPr="00626A06">
        <w:rPr>
          <w:rFonts w:ascii="Times New Roman" w:hAnsi="Times New Roman" w:cs="Times New Roman"/>
        </w:rPr>
        <w:t>Beveridge</w:t>
      </w:r>
      <w:proofErr w:type="spellEnd"/>
      <w:r w:rsidR="00403652" w:rsidRPr="00626A06">
        <w:rPr>
          <w:rFonts w:ascii="Times New Roman" w:hAnsi="Times New Roman" w:cs="Times New Roman"/>
        </w:rPr>
        <w:t xml:space="preserve"> </w:t>
      </w:r>
      <w:r w:rsidR="00403652">
        <w:rPr>
          <w:rFonts w:ascii="Times New Roman" w:hAnsi="Times New Roman" w:cs="Times New Roman"/>
        </w:rPr>
        <w:t>Report</w:t>
      </w:r>
      <w:r w:rsidR="00403652" w:rsidRPr="00626A06">
        <w:rPr>
          <w:rFonts w:ascii="Times New Roman" w:hAnsi="Times New Roman" w:cs="Times New Roman"/>
        </w:rPr>
        <w:t xml:space="preserve"> </w:t>
      </w:r>
      <w:r w:rsidR="00403652">
        <w:rPr>
          <w:rFonts w:ascii="Times New Roman" w:hAnsi="Times New Roman" w:cs="Times New Roman"/>
        </w:rPr>
        <w:t xml:space="preserve">(n </w:t>
      </w:r>
      <w:r w:rsidR="007E7C1D">
        <w:rPr>
          <w:rFonts w:ascii="Times New Roman" w:hAnsi="Times New Roman" w:cs="Times New Roman"/>
        </w:rPr>
        <w:fldChar w:fldCharType="begin"/>
      </w:r>
      <w:r w:rsidR="00403652">
        <w:rPr>
          <w:rFonts w:ascii="Times New Roman" w:hAnsi="Times New Roman" w:cs="Times New Roman"/>
        </w:rPr>
        <w:instrText xml:space="preserve"> NOTEREF _Ref319260958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22</w:t>
      </w:r>
      <w:r w:rsidR="007E7C1D">
        <w:rPr>
          <w:rFonts w:ascii="Times New Roman" w:hAnsi="Times New Roman" w:cs="Times New Roman"/>
        </w:rPr>
        <w:fldChar w:fldCharType="end"/>
      </w:r>
      <w:r w:rsidR="00403652">
        <w:rPr>
          <w:rFonts w:ascii="Times New Roman" w:hAnsi="Times New Roman" w:cs="Times New Roman"/>
        </w:rPr>
        <w:t>)</w:t>
      </w:r>
      <w:r w:rsidRPr="00626A06">
        <w:rPr>
          <w:rFonts w:ascii="Times New Roman" w:hAnsi="Times New Roman" w:cs="Times New Roman"/>
        </w:rPr>
        <w:t xml:space="preserve"> </w:t>
      </w:r>
      <w:proofErr w:type="spellStart"/>
      <w:r w:rsidRPr="00626A06">
        <w:rPr>
          <w:rFonts w:ascii="Times New Roman" w:hAnsi="Times New Roman" w:cs="Times New Roman"/>
        </w:rPr>
        <w:t>paras</w:t>
      </w:r>
      <w:proofErr w:type="spellEnd"/>
      <w:r w:rsidRPr="00626A06">
        <w:rPr>
          <w:rFonts w:ascii="Times New Roman" w:hAnsi="Times New Roman" w:cs="Times New Roman"/>
        </w:rPr>
        <w:t xml:space="preserve"> 81, 98, and 258-264.</w:t>
      </w:r>
      <w:proofErr w:type="gramEnd"/>
      <w:r w:rsidRPr="00626A06">
        <w:rPr>
          <w:rFonts w:ascii="Times New Roman" w:hAnsi="Times New Roman" w:cs="Times New Roman"/>
        </w:rPr>
        <w:t xml:space="preserve"> </w:t>
      </w:r>
    </w:p>
  </w:footnote>
  <w:footnote w:id="9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‘industrial preference’ at this stage marked an exception to the </w:t>
      </w:r>
      <w:proofErr w:type="spellStart"/>
      <w:r w:rsidRPr="00626A06">
        <w:rPr>
          <w:rFonts w:ascii="Times New Roman" w:hAnsi="Times New Roman" w:cs="Times New Roman"/>
        </w:rPr>
        <w:t>Beveridge</w:t>
      </w:r>
      <w:proofErr w:type="spellEnd"/>
      <w:r w:rsidRPr="00626A06">
        <w:rPr>
          <w:rFonts w:ascii="Times New Roman" w:hAnsi="Times New Roman" w:cs="Times New Roman"/>
        </w:rPr>
        <w:t xml:space="preserve"> view that benefits and contributions should be set at a flat rate.</w:t>
      </w:r>
    </w:p>
  </w:footnote>
  <w:footnote w:id="9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spellStart"/>
      <w:proofErr w:type="gramStart"/>
      <w:r w:rsidR="00403652" w:rsidRPr="00626A06">
        <w:rPr>
          <w:rFonts w:ascii="Times New Roman" w:hAnsi="Times New Roman" w:cs="Times New Roman"/>
        </w:rPr>
        <w:t>Beveridge</w:t>
      </w:r>
      <w:proofErr w:type="spellEnd"/>
      <w:r w:rsidR="00403652" w:rsidRPr="00626A06">
        <w:rPr>
          <w:rFonts w:ascii="Times New Roman" w:hAnsi="Times New Roman" w:cs="Times New Roman"/>
        </w:rPr>
        <w:t xml:space="preserve"> </w:t>
      </w:r>
      <w:r w:rsidR="00403652">
        <w:rPr>
          <w:rFonts w:ascii="Times New Roman" w:hAnsi="Times New Roman" w:cs="Times New Roman"/>
        </w:rPr>
        <w:t>Report</w:t>
      </w:r>
      <w:r w:rsidR="00403652" w:rsidRPr="00626A06">
        <w:rPr>
          <w:rFonts w:ascii="Times New Roman" w:hAnsi="Times New Roman" w:cs="Times New Roman"/>
        </w:rPr>
        <w:t xml:space="preserve"> </w:t>
      </w:r>
      <w:r w:rsidR="00403652">
        <w:rPr>
          <w:rFonts w:ascii="Times New Roman" w:hAnsi="Times New Roman" w:cs="Times New Roman"/>
        </w:rPr>
        <w:t xml:space="preserve">(n </w:t>
      </w:r>
      <w:r w:rsidR="007E7C1D">
        <w:rPr>
          <w:rFonts w:ascii="Times New Roman" w:hAnsi="Times New Roman" w:cs="Times New Roman"/>
        </w:rPr>
        <w:fldChar w:fldCharType="begin"/>
      </w:r>
      <w:r w:rsidR="00403652">
        <w:rPr>
          <w:rFonts w:ascii="Times New Roman" w:hAnsi="Times New Roman" w:cs="Times New Roman"/>
        </w:rPr>
        <w:instrText xml:space="preserve"> NOTEREF _Ref319260958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22</w:t>
      </w:r>
      <w:r w:rsidR="007E7C1D">
        <w:rPr>
          <w:rFonts w:ascii="Times New Roman" w:hAnsi="Times New Roman" w:cs="Times New Roman"/>
        </w:rPr>
        <w:fldChar w:fldCharType="end"/>
      </w:r>
      <w:r w:rsidR="00403652">
        <w:rPr>
          <w:rFonts w:ascii="Times New Roman" w:hAnsi="Times New Roman" w:cs="Times New Roman"/>
        </w:rPr>
        <w:t>)</w:t>
      </w:r>
      <w:r w:rsidR="00403652" w:rsidRPr="00626A06">
        <w:rPr>
          <w:rFonts w:ascii="Times New Roman" w:hAnsi="Times New Roman" w:cs="Times New Roman"/>
        </w:rPr>
        <w:t xml:space="preserve"> </w:t>
      </w:r>
      <w:proofErr w:type="spellStart"/>
      <w:r w:rsidR="00403652">
        <w:rPr>
          <w:rFonts w:ascii="Times New Roman" w:hAnsi="Times New Roman" w:cs="Times New Roman"/>
        </w:rPr>
        <w:t>p</w:t>
      </w:r>
      <w:r w:rsidRPr="00626A06">
        <w:rPr>
          <w:rFonts w:ascii="Times New Roman" w:hAnsi="Times New Roman" w:cs="Times New Roman"/>
        </w:rPr>
        <w:t>ara</w:t>
      </w:r>
      <w:proofErr w:type="spellEnd"/>
      <w:r w:rsidRPr="00626A06">
        <w:rPr>
          <w:rFonts w:ascii="Times New Roman" w:hAnsi="Times New Roman" w:cs="Times New Roman"/>
        </w:rPr>
        <w:t xml:space="preserve"> 81.</w:t>
      </w:r>
      <w:proofErr w:type="gramEnd"/>
    </w:p>
  </w:footnote>
  <w:footnote w:id="9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Throughout its history, workmen’s compensation had not been warmly embraced by the union movement as a whole. In the appraisal of Joseph Cohen, an economist and student of </w:t>
      </w:r>
      <w:proofErr w:type="spellStart"/>
      <w:r w:rsidRPr="00626A06">
        <w:rPr>
          <w:rFonts w:ascii="Times New Roman" w:hAnsi="Times New Roman" w:cs="Times New Roman"/>
        </w:rPr>
        <w:t>Pigou</w:t>
      </w:r>
      <w:proofErr w:type="spellEnd"/>
      <w:r w:rsidRPr="00626A06">
        <w:rPr>
          <w:rFonts w:ascii="Times New Roman" w:hAnsi="Times New Roman" w:cs="Times New Roman"/>
        </w:rPr>
        <w:t xml:space="preserve">, ‘No understanding of the discontent of the working class with the existing compensation system is possible, unless it is realised that about two-thirds of the total money loss resulting from accidents, in addition, of course, to the pain, is still borne by injured workmen’, </w:t>
      </w:r>
      <w:r w:rsidR="00657FE3">
        <w:rPr>
          <w:rFonts w:ascii="Times New Roman" w:hAnsi="Times New Roman" w:cs="Times New Roman"/>
        </w:rPr>
        <w:t xml:space="preserve">J Cohen, </w:t>
      </w:r>
      <w:r w:rsidRPr="00626A06">
        <w:rPr>
          <w:rFonts w:ascii="Times New Roman" w:hAnsi="Times New Roman" w:cs="Times New Roman"/>
          <w:i/>
        </w:rPr>
        <w:t xml:space="preserve">Workmen’s Compensation in Great Britain </w:t>
      </w:r>
      <w:r w:rsidRPr="00626A06">
        <w:rPr>
          <w:rFonts w:ascii="Times New Roman" w:hAnsi="Times New Roman" w:cs="Times New Roman"/>
        </w:rPr>
        <w:t xml:space="preserve">(London, </w:t>
      </w:r>
      <w:r w:rsidR="00657FE3">
        <w:rPr>
          <w:rFonts w:ascii="Times New Roman" w:hAnsi="Times New Roman" w:cs="Times New Roman"/>
        </w:rPr>
        <w:t xml:space="preserve">Post Magazine, </w:t>
      </w:r>
      <w:r w:rsidRPr="00626A06">
        <w:rPr>
          <w:rFonts w:ascii="Times New Roman" w:hAnsi="Times New Roman" w:cs="Times New Roman"/>
        </w:rPr>
        <w:t xml:space="preserve">1923) 30. </w:t>
      </w:r>
    </w:p>
  </w:footnote>
  <w:footnote w:id="98">
    <w:p w:rsidR="00203530" w:rsidRPr="00626A06" w:rsidRDefault="00203530" w:rsidP="00BE3E0F">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Initially set up as the ‘Hetherington Committee’, with the same Chair as the disbanded Committee set up by Chamberlain to consider the future of Workmen’s Compensation. With the </w:t>
      </w:r>
      <w:proofErr w:type="spellStart"/>
      <w:r w:rsidRPr="00626A06">
        <w:rPr>
          <w:rFonts w:ascii="Times New Roman" w:hAnsi="Times New Roman" w:cs="Times New Roman"/>
        </w:rPr>
        <w:t>Beveridge</w:t>
      </w:r>
      <w:proofErr w:type="spellEnd"/>
      <w:r w:rsidRPr="00626A06">
        <w:rPr>
          <w:rFonts w:ascii="Times New Roman" w:hAnsi="Times New Roman" w:cs="Times New Roman"/>
        </w:rPr>
        <w:t xml:space="preserve"> Report</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_Ref319260958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22</w:t>
      </w:r>
      <w:r w:rsidR="007E7C1D">
        <w:rPr>
          <w:rFonts w:ascii="Times New Roman" w:hAnsi="Times New Roman" w:cs="Times New Roman"/>
        </w:rPr>
        <w:fldChar w:fldCharType="end"/>
      </w:r>
      <w:r>
        <w:rPr>
          <w:rFonts w:ascii="Times New Roman" w:hAnsi="Times New Roman" w:cs="Times New Roman"/>
        </w:rPr>
        <w:t>)</w:t>
      </w:r>
      <w:r w:rsidRPr="00626A06">
        <w:rPr>
          <w:rFonts w:ascii="Times New Roman" w:hAnsi="Times New Roman" w:cs="Times New Roman"/>
        </w:rPr>
        <w:t xml:space="preserve">, the issues had changed. </w:t>
      </w:r>
    </w:p>
  </w:footnote>
  <w:footnote w:id="99">
    <w:p w:rsidR="00203530" w:rsidRPr="00626A06" w:rsidRDefault="00203530" w:rsidP="00884764">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Ironically perhaps, Friedman and </w:t>
      </w:r>
      <w:proofErr w:type="spellStart"/>
      <w:r w:rsidRPr="00626A06">
        <w:rPr>
          <w:rFonts w:ascii="Times New Roman" w:hAnsi="Times New Roman" w:cs="Times New Roman"/>
        </w:rPr>
        <w:t>Ladinsky</w:t>
      </w:r>
      <w:proofErr w:type="spellEnd"/>
      <w:r w:rsidRPr="00626A06">
        <w:rPr>
          <w:rFonts w:ascii="Times New Roman" w:hAnsi="Times New Roman" w:cs="Times New Roman"/>
        </w:rPr>
        <w:t xml:space="preserve"> suggested in 1967 that Britain had progressed further than the United States in the extent to which it had collectivised risks, since its national insurance scheme was far more general in its coverage than the US workers’ compensation provision, marking a further shift from liability to social insurance: LM</w:t>
      </w:r>
      <w:r w:rsidR="00FC2CE4">
        <w:rPr>
          <w:rFonts w:ascii="Times New Roman" w:hAnsi="Times New Roman" w:cs="Times New Roman"/>
        </w:rPr>
        <w:t xml:space="preserve"> </w:t>
      </w:r>
      <w:r w:rsidRPr="00626A06">
        <w:rPr>
          <w:rFonts w:ascii="Times New Roman" w:hAnsi="Times New Roman" w:cs="Times New Roman"/>
        </w:rPr>
        <w:t>Friedman and J</w:t>
      </w:r>
      <w:r w:rsidR="00FC2CE4">
        <w:rPr>
          <w:rFonts w:ascii="Times New Roman" w:hAnsi="Times New Roman" w:cs="Times New Roman"/>
        </w:rPr>
        <w:t xml:space="preserve"> </w:t>
      </w:r>
      <w:proofErr w:type="spellStart"/>
      <w:r w:rsidRPr="00626A06">
        <w:rPr>
          <w:rFonts w:ascii="Times New Roman" w:hAnsi="Times New Roman" w:cs="Times New Roman"/>
        </w:rPr>
        <w:t>Ladinsky</w:t>
      </w:r>
      <w:proofErr w:type="spellEnd"/>
      <w:r w:rsidRPr="00626A06">
        <w:rPr>
          <w:rFonts w:ascii="Times New Roman" w:hAnsi="Times New Roman" w:cs="Times New Roman"/>
        </w:rPr>
        <w:t xml:space="preserve">, ‘Social Change and the Law of Industrial Accidents’ (1967) 67 </w:t>
      </w:r>
      <w:r w:rsidRPr="00D7285D">
        <w:rPr>
          <w:rFonts w:ascii="Times New Roman" w:hAnsi="Times New Roman" w:cs="Times New Roman"/>
          <w:i/>
        </w:rPr>
        <w:t>Col</w:t>
      </w:r>
      <w:r w:rsidR="00FC2CE4">
        <w:rPr>
          <w:rFonts w:ascii="Times New Roman" w:hAnsi="Times New Roman" w:cs="Times New Roman"/>
          <w:i/>
        </w:rPr>
        <w:t>um</w:t>
      </w:r>
      <w:r w:rsidRPr="00D7285D">
        <w:rPr>
          <w:rFonts w:ascii="Times New Roman" w:hAnsi="Times New Roman" w:cs="Times New Roman"/>
          <w:i/>
        </w:rPr>
        <w:t xml:space="preserve"> L Rev</w:t>
      </w:r>
      <w:r w:rsidRPr="00626A06">
        <w:rPr>
          <w:rFonts w:ascii="Times New Roman" w:hAnsi="Times New Roman" w:cs="Times New Roman"/>
        </w:rPr>
        <w:t xml:space="preserve"> 50, 81. But the history of contributory negligence reform and the ‘alternative remedy’ is also the story of how common law damages were fully restored to this part of UK law.</w:t>
      </w:r>
    </w:p>
  </w:footnote>
  <w:footnote w:id="100">
    <w:p w:rsidR="00203530" w:rsidRPr="00626A06" w:rsidRDefault="00203530" w:rsidP="00097E3D">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FC2CE4" w:rsidRPr="00626A06">
        <w:rPr>
          <w:rFonts w:ascii="Times New Roman" w:hAnsi="Times New Roman" w:cs="Times New Roman"/>
        </w:rPr>
        <w:t>Lord Chancellor’s Office</w:t>
      </w:r>
      <w:r w:rsidR="00FC2CE4">
        <w:rPr>
          <w:rFonts w:ascii="Times New Roman" w:hAnsi="Times New Roman" w:cs="Times New Roman"/>
        </w:rPr>
        <w:t>,</w:t>
      </w:r>
      <w:r w:rsidR="00FC2CE4" w:rsidRPr="00626A06">
        <w:rPr>
          <w:rFonts w:ascii="Times New Roman" w:hAnsi="Times New Roman" w:cs="Times New Roman"/>
        </w:rPr>
        <w:t xml:space="preserve"> </w:t>
      </w:r>
      <w:r w:rsidRPr="00626A06">
        <w:rPr>
          <w:rFonts w:ascii="Times New Roman" w:hAnsi="Times New Roman" w:cs="Times New Roman"/>
        </w:rPr>
        <w:t>Memo dated</w:t>
      </w:r>
      <w:r w:rsidR="00FC2CE4">
        <w:rPr>
          <w:rFonts w:ascii="Times New Roman" w:hAnsi="Times New Roman" w:cs="Times New Roman"/>
        </w:rPr>
        <w:t xml:space="preserve"> 17 June 1943</w:t>
      </w:r>
      <w:r w:rsidRPr="00626A06">
        <w:rPr>
          <w:rFonts w:ascii="Times New Roman" w:hAnsi="Times New Roman" w:cs="Times New Roman"/>
        </w:rPr>
        <w:t>, GPC (</w:t>
      </w:r>
      <w:proofErr w:type="spellStart"/>
      <w:r w:rsidRPr="00626A06">
        <w:rPr>
          <w:rFonts w:ascii="Times New Roman" w:hAnsi="Times New Roman" w:cs="Times New Roman"/>
        </w:rPr>
        <w:t>Coldstream</w:t>
      </w:r>
      <w:proofErr w:type="spellEnd"/>
      <w:r w:rsidRPr="00626A06">
        <w:rPr>
          <w:rFonts w:ascii="Times New Roman" w:hAnsi="Times New Roman" w:cs="Times New Roman"/>
        </w:rPr>
        <w:t>).</w:t>
      </w:r>
    </w:p>
  </w:footnote>
  <w:footnote w:id="10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191AF6">
        <w:rPr>
          <w:rFonts w:ascii="Times New Roman" w:hAnsi="Times New Roman" w:cs="Times New Roman"/>
        </w:rPr>
        <w:t xml:space="preserve">See </w:t>
      </w:r>
      <w:r w:rsidRPr="00626A06">
        <w:rPr>
          <w:rFonts w:ascii="Times New Roman" w:hAnsi="Times New Roman" w:cs="Times New Roman"/>
        </w:rPr>
        <w:t>n</w:t>
      </w:r>
      <w:r w:rsidR="00191AF6">
        <w:rPr>
          <w:rFonts w:ascii="Times New Roman" w:hAnsi="Times New Roman" w:cs="Times New Roman"/>
        </w:rPr>
        <w:t xml:space="preserve"> </w:t>
      </w:r>
      <w:r w:rsidR="007E7C1D">
        <w:rPr>
          <w:rFonts w:ascii="Times New Roman" w:hAnsi="Times New Roman" w:cs="Times New Roman"/>
        </w:rPr>
        <w:fldChar w:fldCharType="begin"/>
      </w:r>
      <w:r w:rsidR="00191AF6">
        <w:rPr>
          <w:rFonts w:ascii="Times New Roman" w:hAnsi="Times New Roman" w:cs="Times New Roman"/>
        </w:rPr>
        <w:instrText xml:space="preserve"> NOTEREF _Ref319272821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29</w:t>
      </w:r>
      <w:r w:rsidR="007E7C1D">
        <w:rPr>
          <w:rFonts w:ascii="Times New Roman" w:hAnsi="Times New Roman" w:cs="Times New Roman"/>
        </w:rPr>
        <w:fldChar w:fldCharType="end"/>
      </w:r>
      <w:r w:rsidRPr="00626A06">
        <w:rPr>
          <w:rFonts w:ascii="Times New Roman" w:hAnsi="Times New Roman" w:cs="Times New Roman"/>
        </w:rPr>
        <w:t>.</w:t>
      </w:r>
    </w:p>
  </w:footnote>
  <w:footnote w:id="102">
    <w:p w:rsidR="00203530" w:rsidRPr="00626A06" w:rsidRDefault="00203530" w:rsidP="008F5348">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191AF6">
        <w:rPr>
          <w:rFonts w:ascii="Times New Roman" w:hAnsi="Times New Roman" w:cs="Times New Roman"/>
        </w:rPr>
        <w:t>ibid</w:t>
      </w:r>
      <w:r w:rsidRPr="00626A06">
        <w:rPr>
          <w:rFonts w:ascii="Times New Roman" w:hAnsi="Times New Roman" w:cs="Times New Roman"/>
        </w:rPr>
        <w:t>.</w:t>
      </w:r>
    </w:p>
  </w:footnote>
  <w:footnote w:id="103">
    <w:p w:rsidR="00203530" w:rsidRPr="00626A06" w:rsidRDefault="00203530" w:rsidP="00D34E49">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Simon wrote to Kent after the meeting to report that on its present wording, the Bill had been taken to mean that the claimant might be liable to the defendant in damages, and that a revised version would be needed to make clear that this was not the intention: letter </w:t>
      </w:r>
      <w:r w:rsidR="0082415E">
        <w:rPr>
          <w:rFonts w:ascii="Times New Roman" w:hAnsi="Times New Roman" w:cs="Times New Roman"/>
        </w:rPr>
        <w:t>dated</w:t>
      </w:r>
      <w:r w:rsidRPr="00626A06">
        <w:rPr>
          <w:rFonts w:ascii="Times New Roman" w:hAnsi="Times New Roman" w:cs="Times New Roman"/>
        </w:rPr>
        <w:t xml:space="preserve"> 13 December 1944. Other correspondence makes clear Lord Simon was to attempt the required redrafting.</w:t>
      </w:r>
    </w:p>
  </w:footnote>
  <w:footnote w:id="10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004C1C20">
        <w:rPr>
          <w:rFonts w:ascii="Times New Roman" w:hAnsi="Times New Roman" w:cs="Times New Roman"/>
          <w:i/>
        </w:rPr>
        <w:t xml:space="preserve"> </w:t>
      </w:r>
      <w:r w:rsidR="00CE1F49">
        <w:rPr>
          <w:rFonts w:ascii="Times New Roman" w:hAnsi="Times New Roman" w:cs="Times New Roman"/>
          <w:i/>
        </w:rPr>
        <w:t xml:space="preserve">Workmen’s Compensation: </w:t>
      </w:r>
      <w:r w:rsidR="004C1C20" w:rsidRPr="00D7285D">
        <w:rPr>
          <w:rFonts w:ascii="Times New Roman" w:hAnsi="Times New Roman" w:cs="Times New Roman"/>
          <w:i/>
        </w:rPr>
        <w:t>Interim Report of the Departmental Committee on Alternative Remedies (Contributory Negligence)</w:t>
      </w:r>
      <w:r w:rsidR="004C1C20">
        <w:rPr>
          <w:rFonts w:ascii="Times New Roman" w:hAnsi="Times New Roman" w:cs="Times New Roman"/>
        </w:rPr>
        <w:t xml:space="preserve"> (</w:t>
      </w:r>
      <w:proofErr w:type="spellStart"/>
      <w:r w:rsidRPr="00626A06">
        <w:rPr>
          <w:rFonts w:ascii="Times New Roman" w:hAnsi="Times New Roman" w:cs="Times New Roman"/>
        </w:rPr>
        <w:t>Cmd</w:t>
      </w:r>
      <w:proofErr w:type="spellEnd"/>
      <w:r w:rsidRPr="00626A06">
        <w:rPr>
          <w:rFonts w:ascii="Times New Roman" w:hAnsi="Times New Roman" w:cs="Times New Roman"/>
        </w:rPr>
        <w:t xml:space="preserve"> 6580, 1944</w:t>
      </w:r>
      <w:r w:rsidR="004C1C20">
        <w:rPr>
          <w:rFonts w:ascii="Times New Roman" w:hAnsi="Times New Roman" w:cs="Times New Roman"/>
        </w:rPr>
        <w:t>)</w:t>
      </w:r>
      <w:r w:rsidRPr="00626A06">
        <w:rPr>
          <w:rFonts w:ascii="Times New Roman" w:hAnsi="Times New Roman" w:cs="Times New Roman"/>
        </w:rPr>
        <w:t xml:space="preserve">. Lord Simon was surprised by the TUC’s position in this, mentioning that the recommendation to exclude workers was particularly supported by George Isaacs MP, a TUC representative (Simon to Morrison, 21 December 1944). Isaacs was later described as the only member of the Parliamentary Labour party likely to vote against an amendment to the 1945 Act, to include workers’ claims. </w:t>
      </w:r>
    </w:p>
  </w:footnote>
  <w:footnote w:id="10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gramStart"/>
      <w:r w:rsidR="00EC0373" w:rsidRPr="00626A06">
        <w:rPr>
          <w:rFonts w:ascii="Times New Roman" w:hAnsi="Times New Roman" w:cs="Times New Roman"/>
        </w:rPr>
        <w:t>HC Deb 22 Feb 1945</w:t>
      </w:r>
      <w:r w:rsidR="00EC0373">
        <w:rPr>
          <w:rFonts w:ascii="Times New Roman" w:hAnsi="Times New Roman" w:cs="Times New Roman"/>
        </w:rPr>
        <w:t xml:space="preserve">, </w:t>
      </w:r>
      <w:proofErr w:type="spellStart"/>
      <w:r w:rsidR="00EC0373">
        <w:rPr>
          <w:rFonts w:ascii="Times New Roman" w:hAnsi="Times New Roman" w:cs="Times New Roman"/>
        </w:rPr>
        <w:t>vol</w:t>
      </w:r>
      <w:proofErr w:type="spellEnd"/>
      <w:r w:rsidR="00EC0373">
        <w:rPr>
          <w:rFonts w:ascii="Times New Roman" w:hAnsi="Times New Roman" w:cs="Times New Roman"/>
        </w:rPr>
        <w:t xml:space="preserve"> </w:t>
      </w:r>
      <w:r w:rsidR="00F802D3">
        <w:rPr>
          <w:rFonts w:ascii="Times New Roman" w:hAnsi="Times New Roman" w:cs="Times New Roman"/>
        </w:rPr>
        <w:t>408</w:t>
      </w:r>
      <w:r w:rsidR="00EC0373">
        <w:rPr>
          <w:rFonts w:ascii="Times New Roman" w:hAnsi="Times New Roman" w:cs="Times New Roman"/>
        </w:rPr>
        <w:t>, col</w:t>
      </w:r>
      <w:r w:rsidR="00F802D3">
        <w:rPr>
          <w:rFonts w:ascii="Times New Roman" w:hAnsi="Times New Roman" w:cs="Times New Roman"/>
        </w:rPr>
        <w:t xml:space="preserve">s </w:t>
      </w:r>
      <w:r w:rsidR="00F802D3" w:rsidRPr="00F802D3">
        <w:rPr>
          <w:rFonts w:ascii="Times New Roman" w:hAnsi="Times New Roman" w:cs="Times New Roman"/>
        </w:rPr>
        <w:t>988-1035</w:t>
      </w:r>
      <w:r w:rsidR="00EC0373">
        <w:rPr>
          <w:rFonts w:ascii="Times New Roman" w:hAnsi="Times New Roman" w:cs="Times New Roman"/>
        </w:rPr>
        <w:t>,</w:t>
      </w:r>
      <w:r w:rsidR="00F802D3">
        <w:rPr>
          <w:rFonts w:ascii="Times New Roman" w:hAnsi="Times New Roman" w:cs="Times New Roman"/>
        </w:rPr>
        <w:t xml:space="preserve"> </w:t>
      </w:r>
      <w:r w:rsidRPr="00626A06">
        <w:rPr>
          <w:rFonts w:ascii="Times New Roman" w:hAnsi="Times New Roman" w:cs="Times New Roman"/>
        </w:rPr>
        <w:t>Stephen Davies MP, Merthyr Tydfil.</w:t>
      </w:r>
      <w:proofErr w:type="gramEnd"/>
    </w:p>
  </w:footnote>
  <w:footnote w:id="10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CE1F49">
        <w:rPr>
          <w:rFonts w:ascii="Times New Roman" w:hAnsi="Times New Roman" w:cs="Times New Roman"/>
          <w:i/>
        </w:rPr>
        <w:t xml:space="preserve">Workmen’s Compensation: Second </w:t>
      </w:r>
      <w:r w:rsidR="00CE1F49" w:rsidRPr="004C1C20">
        <w:rPr>
          <w:rFonts w:ascii="Times New Roman" w:hAnsi="Times New Roman" w:cs="Times New Roman"/>
          <w:i/>
        </w:rPr>
        <w:t>Interim Report of the Departmental Committee on Alternative Remedies (Contributory Negligence)</w:t>
      </w:r>
      <w:r w:rsidR="00CE1F49">
        <w:rPr>
          <w:rFonts w:ascii="Times New Roman" w:hAnsi="Times New Roman" w:cs="Times New Roman"/>
        </w:rPr>
        <w:t xml:space="preserve"> (</w:t>
      </w:r>
      <w:proofErr w:type="spellStart"/>
      <w:r w:rsidRPr="00626A06">
        <w:rPr>
          <w:rFonts w:ascii="Times New Roman" w:hAnsi="Times New Roman" w:cs="Times New Roman"/>
        </w:rPr>
        <w:t>Cm</w:t>
      </w:r>
      <w:r w:rsidR="00CE1F49">
        <w:rPr>
          <w:rFonts w:ascii="Times New Roman" w:hAnsi="Times New Roman" w:cs="Times New Roman"/>
        </w:rPr>
        <w:t>d</w:t>
      </w:r>
      <w:proofErr w:type="spellEnd"/>
      <w:r w:rsidRPr="00626A06">
        <w:rPr>
          <w:rFonts w:ascii="Times New Roman" w:hAnsi="Times New Roman" w:cs="Times New Roman"/>
        </w:rPr>
        <w:t xml:space="preserve"> 6642, 1945</w:t>
      </w:r>
      <w:r w:rsidR="00CE1F49">
        <w:rPr>
          <w:rFonts w:ascii="Times New Roman" w:hAnsi="Times New Roman" w:cs="Times New Roman"/>
        </w:rPr>
        <w:t>)</w:t>
      </w:r>
      <w:r w:rsidRPr="00626A06">
        <w:rPr>
          <w:rFonts w:ascii="Times New Roman" w:hAnsi="Times New Roman" w:cs="Times New Roman"/>
        </w:rPr>
        <w:t>.</w:t>
      </w:r>
    </w:p>
  </w:footnote>
  <w:footnote w:id="10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A note on file records an apology to Monckton and a promise to explain on meeting – it seems this refers to the decision to put the revised Bill forward for Committee approval before his second interim report was received – in terms of ‘practical politics’ it was the only option.</w:t>
      </w:r>
    </w:p>
  </w:footnote>
  <w:footnote w:id="10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PWJ </w:t>
      </w:r>
      <w:proofErr w:type="spellStart"/>
      <w:r w:rsidRPr="00626A06">
        <w:rPr>
          <w:rFonts w:ascii="Times New Roman" w:hAnsi="Times New Roman" w:cs="Times New Roman"/>
        </w:rPr>
        <w:t>Bartrip</w:t>
      </w:r>
      <w:proofErr w:type="spellEnd"/>
      <w:r w:rsidRPr="00626A06">
        <w:rPr>
          <w:rFonts w:ascii="Times New Roman" w:hAnsi="Times New Roman" w:cs="Times New Roman"/>
        </w:rPr>
        <w:t xml:space="preserve">, </w:t>
      </w:r>
      <w:r w:rsidRPr="00626A06">
        <w:rPr>
          <w:rFonts w:ascii="Times New Roman" w:hAnsi="Times New Roman" w:cs="Times New Roman"/>
          <w:i/>
        </w:rPr>
        <w:t xml:space="preserve">Workmen’s </w:t>
      </w:r>
      <w:r w:rsidR="004A3616">
        <w:rPr>
          <w:rFonts w:ascii="Times New Roman" w:hAnsi="Times New Roman" w:cs="Times New Roman"/>
          <w:i/>
        </w:rPr>
        <w:t>Compensation in Twentieth</w:t>
      </w:r>
      <w:r w:rsidRPr="00626A06">
        <w:rPr>
          <w:rFonts w:ascii="Times New Roman" w:hAnsi="Times New Roman" w:cs="Times New Roman"/>
          <w:i/>
        </w:rPr>
        <w:t xml:space="preserve"> Century</w:t>
      </w:r>
      <w:r w:rsidR="004A3616">
        <w:rPr>
          <w:rFonts w:ascii="Times New Roman" w:hAnsi="Times New Roman" w:cs="Times New Roman"/>
          <w:i/>
        </w:rPr>
        <w:t xml:space="preserve"> Britain</w:t>
      </w:r>
      <w:r w:rsidRPr="00626A06">
        <w:rPr>
          <w:rFonts w:ascii="Times New Roman" w:hAnsi="Times New Roman" w:cs="Times New Roman"/>
          <w:i/>
        </w:rPr>
        <w:t xml:space="preserve"> </w:t>
      </w:r>
      <w:r w:rsidRPr="00626A06">
        <w:rPr>
          <w:rFonts w:ascii="Times New Roman" w:hAnsi="Times New Roman" w:cs="Times New Roman"/>
        </w:rPr>
        <w:t>(Aldershot</w:t>
      </w:r>
      <w:r w:rsidR="00A30DAF">
        <w:rPr>
          <w:rFonts w:ascii="Times New Roman" w:hAnsi="Times New Roman" w:cs="Times New Roman"/>
        </w:rPr>
        <w:t>,</w:t>
      </w:r>
      <w:r w:rsidRPr="00626A06">
        <w:rPr>
          <w:rFonts w:ascii="Times New Roman" w:hAnsi="Times New Roman" w:cs="Times New Roman"/>
        </w:rPr>
        <w:t xml:space="preserve"> </w:t>
      </w:r>
      <w:r w:rsidR="007150E6">
        <w:rPr>
          <w:rFonts w:ascii="Times New Roman" w:hAnsi="Times New Roman" w:cs="Times New Roman"/>
        </w:rPr>
        <w:t>Gower</w:t>
      </w:r>
      <w:r w:rsidRPr="00626A06">
        <w:rPr>
          <w:rFonts w:ascii="Times New Roman" w:hAnsi="Times New Roman" w:cs="Times New Roman"/>
        </w:rPr>
        <w:t xml:space="preserve">, 1987), particularly identifies cases of the 1930s such as </w:t>
      </w:r>
      <w:proofErr w:type="spellStart"/>
      <w:r w:rsidRPr="00626A06">
        <w:rPr>
          <w:rFonts w:ascii="Times New Roman" w:hAnsi="Times New Roman" w:cs="Times New Roman"/>
          <w:i/>
        </w:rPr>
        <w:t>Lochgelly</w:t>
      </w:r>
      <w:proofErr w:type="spellEnd"/>
      <w:r w:rsidRPr="00626A06">
        <w:rPr>
          <w:rFonts w:ascii="Times New Roman" w:hAnsi="Times New Roman" w:cs="Times New Roman"/>
          <w:i/>
        </w:rPr>
        <w:t xml:space="preserve"> </w:t>
      </w:r>
      <w:r w:rsidRPr="00626A06">
        <w:rPr>
          <w:rFonts w:ascii="Times New Roman" w:hAnsi="Times New Roman" w:cs="Times New Roman"/>
        </w:rPr>
        <w:t xml:space="preserve">and </w:t>
      </w:r>
      <w:r w:rsidRPr="00626A06">
        <w:rPr>
          <w:rFonts w:ascii="Times New Roman" w:hAnsi="Times New Roman" w:cs="Times New Roman"/>
          <w:i/>
        </w:rPr>
        <w:t xml:space="preserve">Wilsons &amp; Clyde Coal </w:t>
      </w:r>
      <w:r>
        <w:rPr>
          <w:rFonts w:ascii="Times New Roman" w:hAnsi="Times New Roman" w:cs="Times New Roman"/>
        </w:rPr>
        <w:t xml:space="preserve">(n </w:t>
      </w:r>
      <w:r w:rsidR="007E7C1D">
        <w:rPr>
          <w:rFonts w:ascii="Times New Roman" w:hAnsi="Times New Roman" w:cs="Times New Roman"/>
        </w:rPr>
        <w:fldChar w:fldCharType="begin"/>
      </w:r>
      <w:r>
        <w:rPr>
          <w:rFonts w:ascii="Times New Roman" w:hAnsi="Times New Roman" w:cs="Times New Roman"/>
        </w:rPr>
        <w:instrText xml:space="preserve"> NOTEREF _Ref319261294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70</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and text, as instrumental in this.</w:t>
      </w:r>
    </w:p>
  </w:footnote>
  <w:footnote w:id="10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proofErr w:type="spellStart"/>
      <w:proofErr w:type="gramStart"/>
      <w:r w:rsidRPr="00626A06">
        <w:rPr>
          <w:rFonts w:ascii="Times New Roman" w:hAnsi="Times New Roman" w:cs="Times New Roman"/>
        </w:rPr>
        <w:t>Bartrip</w:t>
      </w:r>
      <w:proofErr w:type="spellEnd"/>
      <w:r w:rsidR="00CE1F49">
        <w:rPr>
          <w:rFonts w:ascii="Times New Roman" w:hAnsi="Times New Roman" w:cs="Times New Roman"/>
        </w:rPr>
        <w:t xml:space="preserve"> (n </w:t>
      </w:r>
      <w:r w:rsidR="007E7C1D">
        <w:rPr>
          <w:rFonts w:ascii="Times New Roman" w:hAnsi="Times New Roman" w:cs="Times New Roman"/>
        </w:rPr>
        <w:fldChar w:fldCharType="begin"/>
      </w:r>
      <w:r w:rsidR="00CE1F49">
        <w:rPr>
          <w:rFonts w:ascii="Times New Roman" w:hAnsi="Times New Roman" w:cs="Times New Roman"/>
        </w:rPr>
        <w:instrText xml:space="preserve"> NOTEREF _Ref319274325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107</w:t>
      </w:r>
      <w:r w:rsidR="007E7C1D">
        <w:rPr>
          <w:rFonts w:ascii="Times New Roman" w:hAnsi="Times New Roman" w:cs="Times New Roman"/>
        </w:rPr>
        <w:fldChar w:fldCharType="end"/>
      </w:r>
      <w:r w:rsidR="00CE1F49">
        <w:rPr>
          <w:rFonts w:ascii="Times New Roman" w:hAnsi="Times New Roman" w:cs="Times New Roman"/>
        </w:rPr>
        <w:t>)</w:t>
      </w:r>
      <w:r w:rsidRPr="00626A06">
        <w:rPr>
          <w:rFonts w:ascii="Times New Roman" w:hAnsi="Times New Roman" w:cs="Times New Roman"/>
        </w:rPr>
        <w:t xml:space="preserve"> 223, citing various secondary sources.</w:t>
      </w:r>
      <w:proofErr w:type="gramEnd"/>
      <w:r w:rsidRPr="00626A06">
        <w:rPr>
          <w:rFonts w:ascii="Times New Roman" w:hAnsi="Times New Roman" w:cs="Times New Roman"/>
        </w:rPr>
        <w:t xml:space="preserve"> Evidence from the National Society of Friendly Societies to the Monckton Committee referred to the impact of ‘the wide disparity between what is awarded in road accident cases and under workmen’s compensation’. </w:t>
      </w:r>
      <w:r w:rsidR="00ED58FE" w:rsidRPr="00626A06">
        <w:rPr>
          <w:rFonts w:ascii="Times New Roman" w:hAnsi="Times New Roman" w:cs="Times New Roman"/>
        </w:rPr>
        <w:t>TNA LCO 2/3779</w:t>
      </w:r>
      <w:r w:rsidR="00ED58FE">
        <w:rPr>
          <w:rFonts w:ascii="Times New Roman" w:hAnsi="Times New Roman" w:cs="Times New Roman"/>
        </w:rPr>
        <w:t xml:space="preserve">, </w:t>
      </w:r>
      <w:r w:rsidRPr="00626A06">
        <w:rPr>
          <w:rFonts w:ascii="Times New Roman" w:hAnsi="Times New Roman" w:cs="Times New Roman"/>
        </w:rPr>
        <w:t>Evidence from WH Thompson, founder of Thompsons Solicitors and author of a text on Workmen’s Compensation, identified the ‘misery and injustice inflicted upon the workman by the grossly inadequate weekly payments’, while criticising common law as a ‘lottery’ (well ahead of more famous uses of the description):.</w:t>
      </w:r>
    </w:p>
  </w:footnote>
  <w:footnote w:id="11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In his autobiography, Kent refers to himself as the draftsman to the Law Revision Committee</w:t>
      </w:r>
      <w:r>
        <w:rPr>
          <w:rFonts w:ascii="Times New Roman" w:hAnsi="Times New Roman" w:cs="Times New Roman"/>
        </w:rPr>
        <w:t xml:space="preserve"> (n </w:t>
      </w:r>
      <w:r w:rsidR="007E7C1D">
        <w:rPr>
          <w:rFonts w:ascii="Times New Roman" w:hAnsi="Times New Roman" w:cs="Times New Roman"/>
        </w:rPr>
        <w:fldChar w:fldCharType="begin"/>
      </w:r>
      <w:r>
        <w:rPr>
          <w:rFonts w:ascii="Times New Roman" w:hAnsi="Times New Roman" w:cs="Times New Roman"/>
        </w:rPr>
        <w:instrText xml:space="preserve"> NOTEREF _Ref319261609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26</w:t>
      </w:r>
      <w:r w:rsidR="007E7C1D">
        <w:rPr>
          <w:rFonts w:ascii="Times New Roman" w:hAnsi="Times New Roman" w:cs="Times New Roman"/>
        </w:rPr>
        <w:fldChar w:fldCharType="end"/>
      </w:r>
      <w:r>
        <w:rPr>
          <w:rFonts w:ascii="Times New Roman" w:hAnsi="Times New Roman" w:cs="Times New Roman"/>
        </w:rPr>
        <w:t xml:space="preserve">) </w:t>
      </w:r>
      <w:r w:rsidRPr="00626A06">
        <w:rPr>
          <w:rFonts w:ascii="Times New Roman" w:hAnsi="Times New Roman" w:cs="Times New Roman"/>
        </w:rPr>
        <w:t>148.</w:t>
      </w:r>
    </w:p>
  </w:footnote>
  <w:footnote w:id="111">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A30DAF" w:rsidRPr="00626A06">
        <w:rPr>
          <w:rFonts w:ascii="Times New Roman" w:hAnsi="Times New Roman" w:cs="Times New Roman"/>
        </w:rPr>
        <w:t>LCO 2/3563</w:t>
      </w:r>
      <w:r w:rsidR="00A30DAF">
        <w:rPr>
          <w:rFonts w:ascii="Times New Roman" w:hAnsi="Times New Roman" w:cs="Times New Roman"/>
        </w:rPr>
        <w:t xml:space="preserve">, </w:t>
      </w:r>
      <w:r w:rsidRPr="00626A06">
        <w:rPr>
          <w:rFonts w:ascii="Times New Roman" w:hAnsi="Times New Roman" w:cs="Times New Roman"/>
        </w:rPr>
        <w:t>Note from Lord Simon to HS</w:t>
      </w:r>
      <w:r w:rsidR="00A30DAF">
        <w:rPr>
          <w:rFonts w:ascii="Times New Roman" w:hAnsi="Times New Roman" w:cs="Times New Roman"/>
        </w:rPr>
        <w:t xml:space="preserve"> </w:t>
      </w:r>
      <w:r w:rsidRPr="00626A06">
        <w:rPr>
          <w:rFonts w:ascii="Times New Roman" w:hAnsi="Times New Roman" w:cs="Times New Roman"/>
        </w:rPr>
        <w:t>Kent</w:t>
      </w:r>
      <w:r w:rsidR="00A30DAF">
        <w:rPr>
          <w:rFonts w:ascii="Times New Roman" w:hAnsi="Times New Roman" w:cs="Times New Roman"/>
        </w:rPr>
        <w:t xml:space="preserve"> dated</w:t>
      </w:r>
      <w:r w:rsidRPr="00626A06">
        <w:rPr>
          <w:rFonts w:ascii="Times New Roman" w:hAnsi="Times New Roman" w:cs="Times New Roman"/>
        </w:rPr>
        <w:t xml:space="preserve"> 9 January 1945. </w:t>
      </w:r>
    </w:p>
  </w:footnote>
  <w:footnote w:id="112">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The description of workmen’s compensation as similar to insurance can be found in a variety of contrasting contemporaneous sources. See for example the Court of Appeal in </w:t>
      </w:r>
      <w:r w:rsidRPr="00626A06">
        <w:rPr>
          <w:rFonts w:ascii="Times New Roman" w:hAnsi="Times New Roman" w:cs="Times New Roman"/>
          <w:i/>
        </w:rPr>
        <w:t xml:space="preserve">Simpson v Ebbw Vale </w:t>
      </w:r>
      <w:r w:rsidRPr="00626A06">
        <w:rPr>
          <w:rFonts w:ascii="Times New Roman" w:hAnsi="Times New Roman" w:cs="Times New Roman"/>
        </w:rPr>
        <w:t>[1905] 1 KB 453 (‘it gives them a sort of state insurance, it being thought they are not sufficiently intelligent nor sufficiently in funds to insure themselves’, Collins MR); J</w:t>
      </w:r>
      <w:r w:rsidR="00657FE3">
        <w:rPr>
          <w:rFonts w:ascii="Times New Roman" w:hAnsi="Times New Roman" w:cs="Times New Roman"/>
        </w:rPr>
        <w:t xml:space="preserve"> </w:t>
      </w:r>
      <w:r w:rsidRPr="00626A06">
        <w:rPr>
          <w:rFonts w:ascii="Times New Roman" w:hAnsi="Times New Roman" w:cs="Times New Roman"/>
        </w:rPr>
        <w:t>Cohen</w:t>
      </w:r>
      <w:r w:rsidR="00657FE3">
        <w:rPr>
          <w:rFonts w:ascii="Times New Roman" w:hAnsi="Times New Roman" w:cs="Times New Roman"/>
        </w:rPr>
        <w:t xml:space="preserve"> (n </w:t>
      </w:r>
      <w:r w:rsidR="007E7C1D">
        <w:rPr>
          <w:rFonts w:ascii="Times New Roman" w:hAnsi="Times New Roman" w:cs="Times New Roman"/>
        </w:rPr>
        <w:fldChar w:fldCharType="begin"/>
      </w:r>
      <w:r w:rsidR="00657FE3">
        <w:rPr>
          <w:rFonts w:ascii="Times New Roman" w:hAnsi="Times New Roman" w:cs="Times New Roman"/>
        </w:rPr>
        <w:instrText xml:space="preserve"> NOTEREF _Ref319272441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96</w:t>
      </w:r>
      <w:r w:rsidR="007E7C1D">
        <w:rPr>
          <w:rFonts w:ascii="Times New Roman" w:hAnsi="Times New Roman" w:cs="Times New Roman"/>
        </w:rPr>
        <w:fldChar w:fldCharType="end"/>
      </w:r>
      <w:r w:rsidR="00657FE3">
        <w:rPr>
          <w:rFonts w:ascii="Times New Roman" w:hAnsi="Times New Roman" w:cs="Times New Roman"/>
        </w:rPr>
        <w:t>)</w:t>
      </w:r>
      <w:r w:rsidRPr="00626A06">
        <w:rPr>
          <w:rFonts w:ascii="Times New Roman" w:hAnsi="Times New Roman" w:cs="Times New Roman"/>
        </w:rPr>
        <w:t xml:space="preserve"> 95 (‘the collectivist legislation .. practically insured the workman against accidents at the expense of the employer’); and WH Thompson, </w:t>
      </w:r>
      <w:r w:rsidRPr="00626A06">
        <w:rPr>
          <w:rFonts w:ascii="Times New Roman" w:hAnsi="Times New Roman" w:cs="Times New Roman"/>
          <w:i/>
        </w:rPr>
        <w:t>Workmen’s Compensation: an Outline of the Acts</w:t>
      </w:r>
      <w:r w:rsidR="00406800">
        <w:rPr>
          <w:rFonts w:ascii="Times New Roman" w:hAnsi="Times New Roman" w:cs="Times New Roman"/>
        </w:rPr>
        <w:t>,</w:t>
      </w:r>
      <w:r w:rsidRPr="00626A06">
        <w:rPr>
          <w:rFonts w:ascii="Times New Roman" w:hAnsi="Times New Roman" w:cs="Times New Roman"/>
          <w:i/>
        </w:rPr>
        <w:t xml:space="preserve"> </w:t>
      </w:r>
      <w:proofErr w:type="spellStart"/>
      <w:r w:rsidRPr="00626A06">
        <w:rPr>
          <w:rFonts w:ascii="Times New Roman" w:hAnsi="Times New Roman" w:cs="Times New Roman"/>
        </w:rPr>
        <w:t>rev</w:t>
      </w:r>
      <w:r w:rsidR="00406800">
        <w:rPr>
          <w:rFonts w:ascii="Times New Roman" w:hAnsi="Times New Roman" w:cs="Times New Roman"/>
        </w:rPr>
        <w:t>’</w:t>
      </w:r>
      <w:r w:rsidRPr="00626A06">
        <w:rPr>
          <w:rFonts w:ascii="Times New Roman" w:hAnsi="Times New Roman" w:cs="Times New Roman"/>
        </w:rPr>
        <w:t>d</w:t>
      </w:r>
      <w:proofErr w:type="spellEnd"/>
      <w:r w:rsidRPr="00626A06">
        <w:rPr>
          <w:rFonts w:ascii="Times New Roman" w:hAnsi="Times New Roman" w:cs="Times New Roman"/>
        </w:rPr>
        <w:t xml:space="preserve"> </w:t>
      </w:r>
      <w:proofErr w:type="spellStart"/>
      <w:r w:rsidRPr="00626A06">
        <w:rPr>
          <w:rFonts w:ascii="Times New Roman" w:hAnsi="Times New Roman" w:cs="Times New Roman"/>
        </w:rPr>
        <w:t>ed</w:t>
      </w:r>
      <w:r w:rsidR="00406800">
        <w:rPr>
          <w:rFonts w:ascii="Times New Roman" w:hAnsi="Times New Roman" w:cs="Times New Roman"/>
        </w:rPr>
        <w:t>n</w:t>
      </w:r>
      <w:proofErr w:type="spellEnd"/>
      <w:r w:rsidRPr="00626A06">
        <w:rPr>
          <w:rFonts w:ascii="Times New Roman" w:hAnsi="Times New Roman" w:cs="Times New Roman"/>
        </w:rPr>
        <w:t xml:space="preserve"> </w:t>
      </w:r>
      <w:r w:rsidR="00406800">
        <w:rPr>
          <w:rFonts w:ascii="Times New Roman" w:hAnsi="Times New Roman" w:cs="Times New Roman"/>
        </w:rPr>
        <w:t xml:space="preserve">(London, Labour Publishing Co, </w:t>
      </w:r>
      <w:r w:rsidRPr="00626A06">
        <w:rPr>
          <w:rFonts w:ascii="Times New Roman" w:hAnsi="Times New Roman" w:cs="Times New Roman"/>
        </w:rPr>
        <w:t>1924) 10, ‘In short, it was more like an insurance of the workman against accidents at work’).</w:t>
      </w:r>
    </w:p>
  </w:footnote>
  <w:footnote w:id="113">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657FE3" w:rsidRPr="00626A06">
        <w:rPr>
          <w:rFonts w:ascii="Times New Roman" w:hAnsi="Times New Roman" w:cs="Times New Roman"/>
        </w:rPr>
        <w:t>TNA LCO 2/3563</w:t>
      </w:r>
      <w:r w:rsidR="00657FE3">
        <w:rPr>
          <w:rFonts w:ascii="Times New Roman" w:hAnsi="Times New Roman" w:cs="Times New Roman"/>
        </w:rPr>
        <w:t xml:space="preserve">, </w:t>
      </w:r>
      <w:r w:rsidRPr="00626A06">
        <w:rPr>
          <w:rFonts w:ascii="Times New Roman" w:hAnsi="Times New Roman" w:cs="Times New Roman"/>
        </w:rPr>
        <w:t>22 January 1945.</w:t>
      </w:r>
    </w:p>
  </w:footnote>
  <w:footnote w:id="114">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Law Commission</w:t>
      </w:r>
      <w:r w:rsidR="00F00A51">
        <w:rPr>
          <w:rFonts w:ascii="Times New Roman" w:hAnsi="Times New Roman" w:cs="Times New Roman"/>
        </w:rPr>
        <w:t>,</w:t>
      </w:r>
      <w:r w:rsidRPr="00626A06">
        <w:rPr>
          <w:rFonts w:ascii="Times New Roman" w:hAnsi="Times New Roman" w:cs="Times New Roman"/>
        </w:rPr>
        <w:t xml:space="preserve"> </w:t>
      </w:r>
      <w:r w:rsidR="00F00A51" w:rsidRPr="00626A06">
        <w:rPr>
          <w:rFonts w:ascii="Times New Roman" w:hAnsi="Times New Roman" w:cs="Times New Roman"/>
          <w:i/>
        </w:rPr>
        <w:t>Contributory Negligence as a Defence in Contract</w:t>
      </w:r>
      <w:r w:rsidR="00F00A51" w:rsidRPr="00626A06">
        <w:rPr>
          <w:rFonts w:ascii="Times New Roman" w:hAnsi="Times New Roman" w:cs="Times New Roman"/>
        </w:rPr>
        <w:t xml:space="preserve"> </w:t>
      </w:r>
      <w:r w:rsidR="00F00A51">
        <w:rPr>
          <w:rFonts w:ascii="Times New Roman" w:hAnsi="Times New Roman" w:cs="Times New Roman"/>
        </w:rPr>
        <w:t xml:space="preserve">(Law Com </w:t>
      </w:r>
      <w:r w:rsidRPr="00626A06">
        <w:rPr>
          <w:rFonts w:ascii="Times New Roman" w:hAnsi="Times New Roman" w:cs="Times New Roman"/>
        </w:rPr>
        <w:t xml:space="preserve">Working Paper No 114, </w:t>
      </w:r>
      <w:r w:rsidR="00F00A51">
        <w:rPr>
          <w:rFonts w:ascii="Times New Roman" w:hAnsi="Times New Roman" w:cs="Times New Roman"/>
        </w:rPr>
        <w:t>1990)</w:t>
      </w:r>
      <w:r w:rsidRPr="00626A06">
        <w:rPr>
          <w:rFonts w:ascii="Times New Roman" w:hAnsi="Times New Roman" w:cs="Times New Roman"/>
        </w:rPr>
        <w:t xml:space="preserve"> 3.31.</w:t>
      </w:r>
    </w:p>
  </w:footnote>
  <w:footnote w:id="115">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2E6F9F" w:rsidRPr="00626A06">
        <w:rPr>
          <w:rFonts w:ascii="Times New Roman" w:hAnsi="Times New Roman" w:cs="Times New Roman"/>
        </w:rPr>
        <w:t>LCO 2/3563</w:t>
      </w:r>
      <w:r w:rsidR="002E6F9F">
        <w:rPr>
          <w:rFonts w:ascii="Times New Roman" w:hAnsi="Times New Roman" w:cs="Times New Roman"/>
        </w:rPr>
        <w:t xml:space="preserve">, </w:t>
      </w:r>
      <w:r w:rsidRPr="00626A06">
        <w:rPr>
          <w:rFonts w:ascii="Times New Roman" w:hAnsi="Times New Roman" w:cs="Times New Roman"/>
        </w:rPr>
        <w:t>Memorandum of meeting dated 16 January 1945.</w:t>
      </w:r>
    </w:p>
  </w:footnote>
  <w:footnote w:id="116">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2E6F9F" w:rsidRPr="00626A06">
        <w:rPr>
          <w:rFonts w:ascii="Times New Roman" w:hAnsi="Times New Roman" w:cs="Times New Roman"/>
        </w:rPr>
        <w:t>LCO 2/3563</w:t>
      </w:r>
      <w:r w:rsidR="002E6F9F">
        <w:rPr>
          <w:rFonts w:ascii="Times New Roman" w:hAnsi="Times New Roman" w:cs="Times New Roman"/>
        </w:rPr>
        <w:t xml:space="preserve">, </w:t>
      </w:r>
      <w:r w:rsidRPr="00626A06">
        <w:rPr>
          <w:rFonts w:ascii="Times New Roman" w:hAnsi="Times New Roman" w:cs="Times New Roman"/>
        </w:rPr>
        <w:t>Memorandum dated 22 January 1945.</w:t>
      </w:r>
    </w:p>
  </w:footnote>
  <w:footnote w:id="117">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w:t>
      </w:r>
      <w:r w:rsidR="00406800" w:rsidRPr="00626A06">
        <w:rPr>
          <w:rFonts w:ascii="Times New Roman" w:hAnsi="Times New Roman" w:cs="Times New Roman"/>
        </w:rPr>
        <w:t>LCO 2/3563</w:t>
      </w:r>
      <w:r w:rsidR="00406800">
        <w:rPr>
          <w:rFonts w:ascii="Times New Roman" w:hAnsi="Times New Roman" w:cs="Times New Roman"/>
        </w:rPr>
        <w:t xml:space="preserve">, </w:t>
      </w:r>
      <w:r w:rsidRPr="00626A06">
        <w:rPr>
          <w:rFonts w:ascii="Times New Roman" w:hAnsi="Times New Roman" w:cs="Times New Roman"/>
        </w:rPr>
        <w:t>17</w:t>
      </w:r>
      <w:r w:rsidRPr="00626A06">
        <w:rPr>
          <w:rFonts w:ascii="Times New Roman" w:hAnsi="Times New Roman" w:cs="Times New Roman"/>
          <w:vertAlign w:val="superscript"/>
        </w:rPr>
        <w:t>th</w:t>
      </w:r>
      <w:r w:rsidRPr="00626A06">
        <w:rPr>
          <w:rFonts w:ascii="Times New Roman" w:hAnsi="Times New Roman" w:cs="Times New Roman"/>
        </w:rPr>
        <w:t xml:space="preserve"> January 1945.</w:t>
      </w:r>
    </w:p>
  </w:footnote>
  <w:footnote w:id="118">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This is Lord Wright’s word: ‘Contributory Negligence’ (1950) 13 </w:t>
      </w:r>
      <w:r w:rsidRPr="00D7285D">
        <w:rPr>
          <w:rFonts w:ascii="Times New Roman" w:hAnsi="Times New Roman" w:cs="Times New Roman"/>
          <w:i/>
        </w:rPr>
        <w:t>MLR</w:t>
      </w:r>
      <w:r w:rsidRPr="00626A06">
        <w:rPr>
          <w:rFonts w:ascii="Times New Roman" w:hAnsi="Times New Roman" w:cs="Times New Roman"/>
        </w:rPr>
        <w:t xml:space="preserve"> 2-23, 23.</w:t>
      </w:r>
    </w:p>
  </w:footnote>
  <w:footnote w:id="119">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Evidence from the Home Office to the Monckton Committee was headed, ‘How far is damages for tort compensation and how far </w:t>
      </w:r>
      <w:proofErr w:type="gramStart"/>
      <w:r w:rsidRPr="00626A06">
        <w:rPr>
          <w:rFonts w:ascii="Times New Roman" w:hAnsi="Times New Roman" w:cs="Times New Roman"/>
        </w:rPr>
        <w:t>is it</w:t>
      </w:r>
      <w:proofErr w:type="gramEnd"/>
      <w:r w:rsidRPr="00626A06">
        <w:rPr>
          <w:rFonts w:ascii="Times New Roman" w:hAnsi="Times New Roman" w:cs="Times New Roman"/>
        </w:rPr>
        <w:t xml:space="preserve"> a penalty for wrongdoing?’ In its origins, the maritime rule was about neither, but about sharing of losses.</w:t>
      </w:r>
    </w:p>
  </w:footnote>
  <w:footnote w:id="120">
    <w:p w:rsidR="00203530" w:rsidRPr="00626A06" w:rsidRDefault="00203530">
      <w:pPr>
        <w:pStyle w:val="FootnoteText"/>
        <w:rPr>
          <w:rFonts w:ascii="Times New Roman" w:hAnsi="Times New Roman" w:cs="Times New Roman"/>
        </w:rPr>
      </w:pPr>
      <w:r w:rsidRPr="00626A06">
        <w:rPr>
          <w:rStyle w:val="FootnoteReference"/>
          <w:rFonts w:ascii="Times New Roman" w:hAnsi="Times New Roman" w:cs="Times New Roman"/>
        </w:rPr>
        <w:footnoteRef/>
      </w:r>
      <w:r w:rsidRPr="00626A06">
        <w:rPr>
          <w:rFonts w:ascii="Times New Roman" w:hAnsi="Times New Roman" w:cs="Times New Roman"/>
        </w:rPr>
        <w:t xml:space="preserve"> This contrast is derived from P Birks, </w:t>
      </w:r>
      <w:r w:rsidRPr="00626A06">
        <w:rPr>
          <w:rFonts w:ascii="Times New Roman" w:hAnsi="Times New Roman" w:cs="Times New Roman"/>
          <w:i/>
        </w:rPr>
        <w:t xml:space="preserve">Introduction to the Law of Restitution </w:t>
      </w:r>
      <w:r w:rsidRPr="00626A06">
        <w:rPr>
          <w:rFonts w:ascii="Times New Roman" w:hAnsi="Times New Roman" w:cs="Times New Roman"/>
        </w:rPr>
        <w:t xml:space="preserve">(Oxford, </w:t>
      </w:r>
      <w:r w:rsidR="001C2CE0">
        <w:rPr>
          <w:rFonts w:ascii="Times New Roman" w:hAnsi="Times New Roman" w:cs="Times New Roman"/>
        </w:rPr>
        <w:t xml:space="preserve">Clarendon Press, </w:t>
      </w:r>
      <w:r w:rsidRPr="00626A06">
        <w:rPr>
          <w:rFonts w:ascii="Times New Roman" w:hAnsi="Times New Roman" w:cs="Times New Roman"/>
        </w:rPr>
        <w:t>1985)</w:t>
      </w:r>
      <w:r w:rsidR="007E46D5">
        <w:rPr>
          <w:rFonts w:ascii="Times New Roman" w:hAnsi="Times New Roman" w:cs="Times New Roman"/>
        </w:rPr>
        <w:t xml:space="preserve"> 73-4, and referred to by</w:t>
      </w:r>
      <w:r w:rsidRPr="00626A06">
        <w:rPr>
          <w:rFonts w:ascii="Times New Roman" w:hAnsi="Times New Roman" w:cs="Times New Roman"/>
        </w:rPr>
        <w:t xml:space="preserve"> </w:t>
      </w:r>
      <w:proofErr w:type="spellStart"/>
      <w:r w:rsidRPr="00626A06">
        <w:rPr>
          <w:rFonts w:ascii="Times New Roman" w:hAnsi="Times New Roman" w:cs="Times New Roman"/>
        </w:rPr>
        <w:t>Deakin</w:t>
      </w:r>
      <w:proofErr w:type="spellEnd"/>
      <w:r w:rsidRPr="00626A06">
        <w:rPr>
          <w:rFonts w:ascii="Times New Roman" w:hAnsi="Times New Roman" w:cs="Times New Roman"/>
        </w:rPr>
        <w:t xml:space="preserve"> and Wilkinson (n</w:t>
      </w:r>
      <w:r>
        <w:rPr>
          <w:rFonts w:ascii="Times New Roman" w:hAnsi="Times New Roman" w:cs="Times New Roman"/>
        </w:rPr>
        <w:t xml:space="preserve"> </w:t>
      </w:r>
      <w:r w:rsidR="007E7C1D">
        <w:rPr>
          <w:rFonts w:ascii="Times New Roman" w:hAnsi="Times New Roman" w:cs="Times New Roman"/>
        </w:rPr>
        <w:fldChar w:fldCharType="begin"/>
      </w:r>
      <w:r>
        <w:rPr>
          <w:rFonts w:ascii="Times New Roman" w:hAnsi="Times New Roman" w:cs="Times New Roman"/>
        </w:rPr>
        <w:instrText xml:space="preserve"> NOTEREF _Ref319256554 \h </w:instrText>
      </w:r>
      <w:r w:rsidR="007E7C1D">
        <w:rPr>
          <w:rFonts w:ascii="Times New Roman" w:hAnsi="Times New Roman" w:cs="Times New Roman"/>
        </w:rPr>
      </w:r>
      <w:r w:rsidR="007E7C1D">
        <w:rPr>
          <w:rFonts w:ascii="Times New Roman" w:hAnsi="Times New Roman" w:cs="Times New Roman"/>
        </w:rPr>
        <w:fldChar w:fldCharType="separate"/>
      </w:r>
      <w:r w:rsidR="002661CF">
        <w:rPr>
          <w:rFonts w:ascii="Times New Roman" w:hAnsi="Times New Roman" w:cs="Times New Roman"/>
        </w:rPr>
        <w:t>11</w:t>
      </w:r>
      <w:r w:rsidR="007E7C1D">
        <w:rPr>
          <w:rFonts w:ascii="Times New Roman" w:hAnsi="Times New Roman" w:cs="Times New Roman"/>
        </w:rPr>
        <w:fldChar w:fldCharType="end"/>
      </w:r>
      <w:r w:rsidRPr="00626A06">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1D90"/>
    <w:multiLevelType w:val="hybridMultilevel"/>
    <w:tmpl w:val="10F01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5457E0A"/>
    <w:multiLevelType w:val="hybridMultilevel"/>
    <w:tmpl w:val="C4F81478"/>
    <w:lvl w:ilvl="0" w:tplc="4AF4FC9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3757D"/>
    <w:rsid w:val="000101EE"/>
    <w:rsid w:val="00010EBB"/>
    <w:rsid w:val="00012C94"/>
    <w:rsid w:val="000130AD"/>
    <w:rsid w:val="00013D8D"/>
    <w:rsid w:val="00014762"/>
    <w:rsid w:val="00015450"/>
    <w:rsid w:val="00020E79"/>
    <w:rsid w:val="00027A3B"/>
    <w:rsid w:val="00030907"/>
    <w:rsid w:val="0003234A"/>
    <w:rsid w:val="000336AC"/>
    <w:rsid w:val="000350D2"/>
    <w:rsid w:val="00037D33"/>
    <w:rsid w:val="00040092"/>
    <w:rsid w:val="00042006"/>
    <w:rsid w:val="00044BDB"/>
    <w:rsid w:val="00045214"/>
    <w:rsid w:val="000513D3"/>
    <w:rsid w:val="0005435A"/>
    <w:rsid w:val="00055A5C"/>
    <w:rsid w:val="00056483"/>
    <w:rsid w:val="0005711F"/>
    <w:rsid w:val="00061070"/>
    <w:rsid w:val="0006366F"/>
    <w:rsid w:val="000636B1"/>
    <w:rsid w:val="000645B3"/>
    <w:rsid w:val="00064D24"/>
    <w:rsid w:val="00066075"/>
    <w:rsid w:val="00072710"/>
    <w:rsid w:val="0007273F"/>
    <w:rsid w:val="00072765"/>
    <w:rsid w:val="0007336C"/>
    <w:rsid w:val="000756BC"/>
    <w:rsid w:val="00075C75"/>
    <w:rsid w:val="000770FA"/>
    <w:rsid w:val="000806EF"/>
    <w:rsid w:val="00081C8D"/>
    <w:rsid w:val="00082293"/>
    <w:rsid w:val="00082A87"/>
    <w:rsid w:val="00082D81"/>
    <w:rsid w:val="00085049"/>
    <w:rsid w:val="00091B25"/>
    <w:rsid w:val="0009273D"/>
    <w:rsid w:val="0009316D"/>
    <w:rsid w:val="000938CD"/>
    <w:rsid w:val="000957F1"/>
    <w:rsid w:val="00096079"/>
    <w:rsid w:val="00096621"/>
    <w:rsid w:val="00097E3D"/>
    <w:rsid w:val="000A069B"/>
    <w:rsid w:val="000A0CE5"/>
    <w:rsid w:val="000A1F6E"/>
    <w:rsid w:val="000A2057"/>
    <w:rsid w:val="000A31C5"/>
    <w:rsid w:val="000A4074"/>
    <w:rsid w:val="000A5184"/>
    <w:rsid w:val="000A68B5"/>
    <w:rsid w:val="000A69FA"/>
    <w:rsid w:val="000A735B"/>
    <w:rsid w:val="000B00C2"/>
    <w:rsid w:val="000B0129"/>
    <w:rsid w:val="000B1457"/>
    <w:rsid w:val="000B23D8"/>
    <w:rsid w:val="000B45DB"/>
    <w:rsid w:val="000B680D"/>
    <w:rsid w:val="000B6B61"/>
    <w:rsid w:val="000B6FA9"/>
    <w:rsid w:val="000B76DF"/>
    <w:rsid w:val="000B78C1"/>
    <w:rsid w:val="000C0653"/>
    <w:rsid w:val="000C1E45"/>
    <w:rsid w:val="000C2CBD"/>
    <w:rsid w:val="000C3C7D"/>
    <w:rsid w:val="000D0A54"/>
    <w:rsid w:val="000D0AFD"/>
    <w:rsid w:val="000D2FA2"/>
    <w:rsid w:val="000D3007"/>
    <w:rsid w:val="000D7A5C"/>
    <w:rsid w:val="000D7E77"/>
    <w:rsid w:val="000E10D3"/>
    <w:rsid w:val="000E33CE"/>
    <w:rsid w:val="000F1971"/>
    <w:rsid w:val="000F1BE7"/>
    <w:rsid w:val="000F2EC8"/>
    <w:rsid w:val="000F3226"/>
    <w:rsid w:val="000F6D3D"/>
    <w:rsid w:val="0010162F"/>
    <w:rsid w:val="00103459"/>
    <w:rsid w:val="00105AB7"/>
    <w:rsid w:val="00105E31"/>
    <w:rsid w:val="00106D9D"/>
    <w:rsid w:val="00111781"/>
    <w:rsid w:val="001117FC"/>
    <w:rsid w:val="00112B36"/>
    <w:rsid w:val="00113CFF"/>
    <w:rsid w:val="00114655"/>
    <w:rsid w:val="00115205"/>
    <w:rsid w:val="00116090"/>
    <w:rsid w:val="00116310"/>
    <w:rsid w:val="00117191"/>
    <w:rsid w:val="00120E70"/>
    <w:rsid w:val="00121652"/>
    <w:rsid w:val="00121CD1"/>
    <w:rsid w:val="0012212C"/>
    <w:rsid w:val="00123E60"/>
    <w:rsid w:val="00123FDE"/>
    <w:rsid w:val="00125067"/>
    <w:rsid w:val="0012552E"/>
    <w:rsid w:val="001266E4"/>
    <w:rsid w:val="001275AA"/>
    <w:rsid w:val="00127918"/>
    <w:rsid w:val="001303CC"/>
    <w:rsid w:val="0013163A"/>
    <w:rsid w:val="00133FF8"/>
    <w:rsid w:val="00134283"/>
    <w:rsid w:val="00134724"/>
    <w:rsid w:val="0014511A"/>
    <w:rsid w:val="0015081E"/>
    <w:rsid w:val="0015233C"/>
    <w:rsid w:val="001529CE"/>
    <w:rsid w:val="001537D9"/>
    <w:rsid w:val="00153B92"/>
    <w:rsid w:val="001558EA"/>
    <w:rsid w:val="0015697B"/>
    <w:rsid w:val="00156BC6"/>
    <w:rsid w:val="00160289"/>
    <w:rsid w:val="001646A8"/>
    <w:rsid w:val="001652BA"/>
    <w:rsid w:val="00171B5C"/>
    <w:rsid w:val="00172FD6"/>
    <w:rsid w:val="0017398E"/>
    <w:rsid w:val="0018258C"/>
    <w:rsid w:val="0018276F"/>
    <w:rsid w:val="00182C56"/>
    <w:rsid w:val="00185C33"/>
    <w:rsid w:val="00186CE9"/>
    <w:rsid w:val="00190153"/>
    <w:rsid w:val="00190934"/>
    <w:rsid w:val="00191AF6"/>
    <w:rsid w:val="00192CE7"/>
    <w:rsid w:val="00192FB1"/>
    <w:rsid w:val="00193BF7"/>
    <w:rsid w:val="00196C84"/>
    <w:rsid w:val="00196EE8"/>
    <w:rsid w:val="001975AE"/>
    <w:rsid w:val="00197B36"/>
    <w:rsid w:val="001A1126"/>
    <w:rsid w:val="001B4967"/>
    <w:rsid w:val="001C2CE0"/>
    <w:rsid w:val="001C4C8D"/>
    <w:rsid w:val="001C56ED"/>
    <w:rsid w:val="001C5FCB"/>
    <w:rsid w:val="001C6AA3"/>
    <w:rsid w:val="001D1D21"/>
    <w:rsid w:val="001D25E4"/>
    <w:rsid w:val="001D42A9"/>
    <w:rsid w:val="001D48BE"/>
    <w:rsid w:val="001D5B34"/>
    <w:rsid w:val="001D7269"/>
    <w:rsid w:val="001E1B60"/>
    <w:rsid w:val="001E25E8"/>
    <w:rsid w:val="001E4228"/>
    <w:rsid w:val="001E5A66"/>
    <w:rsid w:val="001E6A5D"/>
    <w:rsid w:val="001F01B4"/>
    <w:rsid w:val="001F0B75"/>
    <w:rsid w:val="001F15DF"/>
    <w:rsid w:val="001F1C54"/>
    <w:rsid w:val="001F335B"/>
    <w:rsid w:val="001F5717"/>
    <w:rsid w:val="001F5DD3"/>
    <w:rsid w:val="001F653C"/>
    <w:rsid w:val="001F6FDD"/>
    <w:rsid w:val="00201CB9"/>
    <w:rsid w:val="00201CBF"/>
    <w:rsid w:val="00202E79"/>
    <w:rsid w:val="00203530"/>
    <w:rsid w:val="00206E28"/>
    <w:rsid w:val="00207C6C"/>
    <w:rsid w:val="002101F7"/>
    <w:rsid w:val="002107CD"/>
    <w:rsid w:val="002144CD"/>
    <w:rsid w:val="00215CF4"/>
    <w:rsid w:val="00215E93"/>
    <w:rsid w:val="002202A4"/>
    <w:rsid w:val="00220DE0"/>
    <w:rsid w:val="00221197"/>
    <w:rsid w:val="00222A9E"/>
    <w:rsid w:val="0022432D"/>
    <w:rsid w:val="00226C4A"/>
    <w:rsid w:val="00227317"/>
    <w:rsid w:val="00230C1B"/>
    <w:rsid w:val="002358A9"/>
    <w:rsid w:val="00236BDF"/>
    <w:rsid w:val="00237832"/>
    <w:rsid w:val="00237FD1"/>
    <w:rsid w:val="00240F6E"/>
    <w:rsid w:val="0024348C"/>
    <w:rsid w:val="002437FA"/>
    <w:rsid w:val="00244F36"/>
    <w:rsid w:val="00245D15"/>
    <w:rsid w:val="00247D76"/>
    <w:rsid w:val="0025272E"/>
    <w:rsid w:val="00253F60"/>
    <w:rsid w:val="0026007A"/>
    <w:rsid w:val="0026143C"/>
    <w:rsid w:val="00261606"/>
    <w:rsid w:val="002626F1"/>
    <w:rsid w:val="00263EA0"/>
    <w:rsid w:val="0026577C"/>
    <w:rsid w:val="002661CF"/>
    <w:rsid w:val="00270222"/>
    <w:rsid w:val="002717BC"/>
    <w:rsid w:val="00272195"/>
    <w:rsid w:val="00272B84"/>
    <w:rsid w:val="00272F08"/>
    <w:rsid w:val="002755AA"/>
    <w:rsid w:val="00280494"/>
    <w:rsid w:val="002805DF"/>
    <w:rsid w:val="002807D7"/>
    <w:rsid w:val="00280F45"/>
    <w:rsid w:val="002864E1"/>
    <w:rsid w:val="00286B0F"/>
    <w:rsid w:val="002879CD"/>
    <w:rsid w:val="00292C14"/>
    <w:rsid w:val="00293AE6"/>
    <w:rsid w:val="00294008"/>
    <w:rsid w:val="0029402A"/>
    <w:rsid w:val="002961B6"/>
    <w:rsid w:val="002A4E6B"/>
    <w:rsid w:val="002A616B"/>
    <w:rsid w:val="002A635B"/>
    <w:rsid w:val="002B2637"/>
    <w:rsid w:val="002B42C1"/>
    <w:rsid w:val="002B5542"/>
    <w:rsid w:val="002B685F"/>
    <w:rsid w:val="002B6DF6"/>
    <w:rsid w:val="002C5C47"/>
    <w:rsid w:val="002C5EFB"/>
    <w:rsid w:val="002C76B8"/>
    <w:rsid w:val="002D070F"/>
    <w:rsid w:val="002D13DC"/>
    <w:rsid w:val="002D2DCC"/>
    <w:rsid w:val="002D483B"/>
    <w:rsid w:val="002D5050"/>
    <w:rsid w:val="002D6DE9"/>
    <w:rsid w:val="002D77BF"/>
    <w:rsid w:val="002D7E2C"/>
    <w:rsid w:val="002E1010"/>
    <w:rsid w:val="002E146E"/>
    <w:rsid w:val="002E40E4"/>
    <w:rsid w:val="002E4D2A"/>
    <w:rsid w:val="002E6F9F"/>
    <w:rsid w:val="002E7139"/>
    <w:rsid w:val="002F0DE4"/>
    <w:rsid w:val="002F34A1"/>
    <w:rsid w:val="002F40D8"/>
    <w:rsid w:val="002F4214"/>
    <w:rsid w:val="002F4C93"/>
    <w:rsid w:val="002F5492"/>
    <w:rsid w:val="002F6B74"/>
    <w:rsid w:val="002F7BA6"/>
    <w:rsid w:val="003036D5"/>
    <w:rsid w:val="003041E4"/>
    <w:rsid w:val="00307C33"/>
    <w:rsid w:val="00311148"/>
    <w:rsid w:val="0031167C"/>
    <w:rsid w:val="0031173B"/>
    <w:rsid w:val="00312799"/>
    <w:rsid w:val="00313ECB"/>
    <w:rsid w:val="003147CA"/>
    <w:rsid w:val="00317877"/>
    <w:rsid w:val="0032669D"/>
    <w:rsid w:val="00327D13"/>
    <w:rsid w:val="00330171"/>
    <w:rsid w:val="0033054C"/>
    <w:rsid w:val="00335E25"/>
    <w:rsid w:val="00336D5E"/>
    <w:rsid w:val="003379D8"/>
    <w:rsid w:val="00340333"/>
    <w:rsid w:val="003405E8"/>
    <w:rsid w:val="00340710"/>
    <w:rsid w:val="003420D3"/>
    <w:rsid w:val="00342355"/>
    <w:rsid w:val="00342C84"/>
    <w:rsid w:val="00342E8B"/>
    <w:rsid w:val="00343B11"/>
    <w:rsid w:val="00343F5E"/>
    <w:rsid w:val="00344736"/>
    <w:rsid w:val="003448E1"/>
    <w:rsid w:val="00345084"/>
    <w:rsid w:val="00345959"/>
    <w:rsid w:val="00345CC9"/>
    <w:rsid w:val="00346523"/>
    <w:rsid w:val="00346EE1"/>
    <w:rsid w:val="00347F40"/>
    <w:rsid w:val="003500A3"/>
    <w:rsid w:val="00352E86"/>
    <w:rsid w:val="00354268"/>
    <w:rsid w:val="00354988"/>
    <w:rsid w:val="00354A8F"/>
    <w:rsid w:val="0035530F"/>
    <w:rsid w:val="00356106"/>
    <w:rsid w:val="00356720"/>
    <w:rsid w:val="00357C04"/>
    <w:rsid w:val="00360774"/>
    <w:rsid w:val="0036137F"/>
    <w:rsid w:val="003651DC"/>
    <w:rsid w:val="00366A11"/>
    <w:rsid w:val="00370363"/>
    <w:rsid w:val="00370A47"/>
    <w:rsid w:val="00370FF0"/>
    <w:rsid w:val="0037192B"/>
    <w:rsid w:val="00375FF0"/>
    <w:rsid w:val="0037645D"/>
    <w:rsid w:val="0037776F"/>
    <w:rsid w:val="00377866"/>
    <w:rsid w:val="00377FC8"/>
    <w:rsid w:val="00380CE8"/>
    <w:rsid w:val="00383E4E"/>
    <w:rsid w:val="00385E58"/>
    <w:rsid w:val="0038629C"/>
    <w:rsid w:val="003862C7"/>
    <w:rsid w:val="0039090F"/>
    <w:rsid w:val="00391876"/>
    <w:rsid w:val="003960E8"/>
    <w:rsid w:val="003A1314"/>
    <w:rsid w:val="003A26A3"/>
    <w:rsid w:val="003A31BE"/>
    <w:rsid w:val="003A449C"/>
    <w:rsid w:val="003A6900"/>
    <w:rsid w:val="003A6D35"/>
    <w:rsid w:val="003A714F"/>
    <w:rsid w:val="003B239B"/>
    <w:rsid w:val="003B44C8"/>
    <w:rsid w:val="003B4806"/>
    <w:rsid w:val="003B5AF4"/>
    <w:rsid w:val="003B61AD"/>
    <w:rsid w:val="003C33F3"/>
    <w:rsid w:val="003C4428"/>
    <w:rsid w:val="003C7304"/>
    <w:rsid w:val="003D06F7"/>
    <w:rsid w:val="003D2F9F"/>
    <w:rsid w:val="003D4B44"/>
    <w:rsid w:val="003D4D61"/>
    <w:rsid w:val="003D66A5"/>
    <w:rsid w:val="003D7092"/>
    <w:rsid w:val="003D7BD4"/>
    <w:rsid w:val="003E0466"/>
    <w:rsid w:val="003E1A25"/>
    <w:rsid w:val="003E2133"/>
    <w:rsid w:val="003E289C"/>
    <w:rsid w:val="003E5698"/>
    <w:rsid w:val="003E6960"/>
    <w:rsid w:val="003F049E"/>
    <w:rsid w:val="003F0A09"/>
    <w:rsid w:val="003F10C6"/>
    <w:rsid w:val="003F2673"/>
    <w:rsid w:val="003F43AA"/>
    <w:rsid w:val="003F596F"/>
    <w:rsid w:val="003F69FB"/>
    <w:rsid w:val="003F6A32"/>
    <w:rsid w:val="003F6DB6"/>
    <w:rsid w:val="00401C6D"/>
    <w:rsid w:val="00402CF8"/>
    <w:rsid w:val="00403652"/>
    <w:rsid w:val="00403F93"/>
    <w:rsid w:val="00404A32"/>
    <w:rsid w:val="00406800"/>
    <w:rsid w:val="00407913"/>
    <w:rsid w:val="004112B1"/>
    <w:rsid w:val="004114DC"/>
    <w:rsid w:val="0041175D"/>
    <w:rsid w:val="00411F0E"/>
    <w:rsid w:val="0041656A"/>
    <w:rsid w:val="00417BB4"/>
    <w:rsid w:val="00417C3A"/>
    <w:rsid w:val="00417F8F"/>
    <w:rsid w:val="00420C45"/>
    <w:rsid w:val="00424565"/>
    <w:rsid w:val="0042647A"/>
    <w:rsid w:val="0042694E"/>
    <w:rsid w:val="00433843"/>
    <w:rsid w:val="00433E56"/>
    <w:rsid w:val="0043428D"/>
    <w:rsid w:val="0043757D"/>
    <w:rsid w:val="00440CEA"/>
    <w:rsid w:val="004410CE"/>
    <w:rsid w:val="00442CF9"/>
    <w:rsid w:val="00443E96"/>
    <w:rsid w:val="004451E1"/>
    <w:rsid w:val="00445222"/>
    <w:rsid w:val="00446662"/>
    <w:rsid w:val="004474C9"/>
    <w:rsid w:val="00447916"/>
    <w:rsid w:val="00447AE9"/>
    <w:rsid w:val="004516E3"/>
    <w:rsid w:val="0045272F"/>
    <w:rsid w:val="00453882"/>
    <w:rsid w:val="00456464"/>
    <w:rsid w:val="00457113"/>
    <w:rsid w:val="00457681"/>
    <w:rsid w:val="00460139"/>
    <w:rsid w:val="00461424"/>
    <w:rsid w:val="00461BB2"/>
    <w:rsid w:val="00464751"/>
    <w:rsid w:val="004660C6"/>
    <w:rsid w:val="00466C12"/>
    <w:rsid w:val="00470E46"/>
    <w:rsid w:val="00472FD6"/>
    <w:rsid w:val="00473649"/>
    <w:rsid w:val="00474A85"/>
    <w:rsid w:val="00475887"/>
    <w:rsid w:val="00476A7E"/>
    <w:rsid w:val="00476DAD"/>
    <w:rsid w:val="004812C5"/>
    <w:rsid w:val="00482602"/>
    <w:rsid w:val="00483491"/>
    <w:rsid w:val="0048471F"/>
    <w:rsid w:val="004873FE"/>
    <w:rsid w:val="004901CC"/>
    <w:rsid w:val="0049066C"/>
    <w:rsid w:val="004909D1"/>
    <w:rsid w:val="004910CE"/>
    <w:rsid w:val="00491E50"/>
    <w:rsid w:val="00492AB4"/>
    <w:rsid w:val="00496379"/>
    <w:rsid w:val="00497713"/>
    <w:rsid w:val="00497F03"/>
    <w:rsid w:val="004A34B7"/>
    <w:rsid w:val="004A34DA"/>
    <w:rsid w:val="004A3616"/>
    <w:rsid w:val="004A374F"/>
    <w:rsid w:val="004A52C0"/>
    <w:rsid w:val="004A6F9A"/>
    <w:rsid w:val="004B278A"/>
    <w:rsid w:val="004B429B"/>
    <w:rsid w:val="004B59F3"/>
    <w:rsid w:val="004B65F8"/>
    <w:rsid w:val="004C177D"/>
    <w:rsid w:val="004C1C20"/>
    <w:rsid w:val="004C7166"/>
    <w:rsid w:val="004C7ECD"/>
    <w:rsid w:val="004D0EDB"/>
    <w:rsid w:val="004D121D"/>
    <w:rsid w:val="004D4417"/>
    <w:rsid w:val="004D61B7"/>
    <w:rsid w:val="004D7D16"/>
    <w:rsid w:val="004E09CD"/>
    <w:rsid w:val="004E2C3A"/>
    <w:rsid w:val="004E4AA8"/>
    <w:rsid w:val="004E5BB3"/>
    <w:rsid w:val="004E5E0F"/>
    <w:rsid w:val="004E6CE5"/>
    <w:rsid w:val="004F2B18"/>
    <w:rsid w:val="004F3F63"/>
    <w:rsid w:val="004F42FB"/>
    <w:rsid w:val="004F466A"/>
    <w:rsid w:val="004F4D89"/>
    <w:rsid w:val="004F5F50"/>
    <w:rsid w:val="005006E7"/>
    <w:rsid w:val="0050090D"/>
    <w:rsid w:val="00500E2B"/>
    <w:rsid w:val="00502E9E"/>
    <w:rsid w:val="00503CC7"/>
    <w:rsid w:val="00506722"/>
    <w:rsid w:val="0050694B"/>
    <w:rsid w:val="0051396A"/>
    <w:rsid w:val="00513B99"/>
    <w:rsid w:val="00514FB1"/>
    <w:rsid w:val="00516BED"/>
    <w:rsid w:val="005170A9"/>
    <w:rsid w:val="00517EF9"/>
    <w:rsid w:val="00520256"/>
    <w:rsid w:val="0052740B"/>
    <w:rsid w:val="00532400"/>
    <w:rsid w:val="00532E1E"/>
    <w:rsid w:val="00534C15"/>
    <w:rsid w:val="00542434"/>
    <w:rsid w:val="00542A23"/>
    <w:rsid w:val="005431B7"/>
    <w:rsid w:val="0054455C"/>
    <w:rsid w:val="00546AE6"/>
    <w:rsid w:val="0054715B"/>
    <w:rsid w:val="005507D1"/>
    <w:rsid w:val="00551722"/>
    <w:rsid w:val="005530D3"/>
    <w:rsid w:val="00553FAA"/>
    <w:rsid w:val="00554291"/>
    <w:rsid w:val="00557106"/>
    <w:rsid w:val="00560295"/>
    <w:rsid w:val="00563086"/>
    <w:rsid w:val="00563E94"/>
    <w:rsid w:val="00564170"/>
    <w:rsid w:val="005652DB"/>
    <w:rsid w:val="00566E9B"/>
    <w:rsid w:val="005710DE"/>
    <w:rsid w:val="00571A03"/>
    <w:rsid w:val="005753A2"/>
    <w:rsid w:val="00575B13"/>
    <w:rsid w:val="0057718B"/>
    <w:rsid w:val="00580B36"/>
    <w:rsid w:val="00581467"/>
    <w:rsid w:val="00581AC0"/>
    <w:rsid w:val="005837F9"/>
    <w:rsid w:val="00584D47"/>
    <w:rsid w:val="0058614F"/>
    <w:rsid w:val="00586ACE"/>
    <w:rsid w:val="00591A68"/>
    <w:rsid w:val="00594644"/>
    <w:rsid w:val="00594A52"/>
    <w:rsid w:val="005A3765"/>
    <w:rsid w:val="005A381A"/>
    <w:rsid w:val="005A7C87"/>
    <w:rsid w:val="005B0E1E"/>
    <w:rsid w:val="005B0FA3"/>
    <w:rsid w:val="005B1D3A"/>
    <w:rsid w:val="005B204D"/>
    <w:rsid w:val="005B4555"/>
    <w:rsid w:val="005B4BF0"/>
    <w:rsid w:val="005B6150"/>
    <w:rsid w:val="005B703C"/>
    <w:rsid w:val="005B7DBE"/>
    <w:rsid w:val="005C001F"/>
    <w:rsid w:val="005C16A6"/>
    <w:rsid w:val="005C1820"/>
    <w:rsid w:val="005C24BD"/>
    <w:rsid w:val="005C3BC9"/>
    <w:rsid w:val="005C556D"/>
    <w:rsid w:val="005C7437"/>
    <w:rsid w:val="005D08FC"/>
    <w:rsid w:val="005D2279"/>
    <w:rsid w:val="005D309E"/>
    <w:rsid w:val="005D7D88"/>
    <w:rsid w:val="005E04D8"/>
    <w:rsid w:val="005E12DD"/>
    <w:rsid w:val="005E1EB9"/>
    <w:rsid w:val="005E3649"/>
    <w:rsid w:val="005E393B"/>
    <w:rsid w:val="005E5B97"/>
    <w:rsid w:val="005E6DC4"/>
    <w:rsid w:val="005F0529"/>
    <w:rsid w:val="005F0DEE"/>
    <w:rsid w:val="005F2462"/>
    <w:rsid w:val="005F4433"/>
    <w:rsid w:val="005F4C7D"/>
    <w:rsid w:val="005F572D"/>
    <w:rsid w:val="005F668E"/>
    <w:rsid w:val="005F79AE"/>
    <w:rsid w:val="005F7C09"/>
    <w:rsid w:val="00601BD5"/>
    <w:rsid w:val="0060413E"/>
    <w:rsid w:val="00604D1E"/>
    <w:rsid w:val="0060528C"/>
    <w:rsid w:val="006067D2"/>
    <w:rsid w:val="00607FA7"/>
    <w:rsid w:val="006124C1"/>
    <w:rsid w:val="00612F83"/>
    <w:rsid w:val="00613589"/>
    <w:rsid w:val="00615235"/>
    <w:rsid w:val="00615438"/>
    <w:rsid w:val="00615F85"/>
    <w:rsid w:val="00616560"/>
    <w:rsid w:val="00617D8B"/>
    <w:rsid w:val="00621884"/>
    <w:rsid w:val="00623BE8"/>
    <w:rsid w:val="0062416A"/>
    <w:rsid w:val="006244C8"/>
    <w:rsid w:val="0062453F"/>
    <w:rsid w:val="0062584D"/>
    <w:rsid w:val="00626A06"/>
    <w:rsid w:val="006278E7"/>
    <w:rsid w:val="00627C6E"/>
    <w:rsid w:val="006303F7"/>
    <w:rsid w:val="00632650"/>
    <w:rsid w:val="00632EF7"/>
    <w:rsid w:val="0063388E"/>
    <w:rsid w:val="00633C70"/>
    <w:rsid w:val="00633EE1"/>
    <w:rsid w:val="00634139"/>
    <w:rsid w:val="00634588"/>
    <w:rsid w:val="006358BA"/>
    <w:rsid w:val="00635DCA"/>
    <w:rsid w:val="00636158"/>
    <w:rsid w:val="00637516"/>
    <w:rsid w:val="00637C65"/>
    <w:rsid w:val="00641963"/>
    <w:rsid w:val="00643220"/>
    <w:rsid w:val="006464BB"/>
    <w:rsid w:val="006478C2"/>
    <w:rsid w:val="00650FB0"/>
    <w:rsid w:val="00652FCD"/>
    <w:rsid w:val="006551FB"/>
    <w:rsid w:val="0065546F"/>
    <w:rsid w:val="006579D0"/>
    <w:rsid w:val="00657FE3"/>
    <w:rsid w:val="0066194B"/>
    <w:rsid w:val="006626B0"/>
    <w:rsid w:val="00662BB7"/>
    <w:rsid w:val="00663BC1"/>
    <w:rsid w:val="00663FC2"/>
    <w:rsid w:val="0067146A"/>
    <w:rsid w:val="006758E7"/>
    <w:rsid w:val="00676686"/>
    <w:rsid w:val="00677E16"/>
    <w:rsid w:val="0068005A"/>
    <w:rsid w:val="00680A22"/>
    <w:rsid w:val="00682BCD"/>
    <w:rsid w:val="00682D18"/>
    <w:rsid w:val="00683E06"/>
    <w:rsid w:val="00685663"/>
    <w:rsid w:val="00685774"/>
    <w:rsid w:val="00687EE9"/>
    <w:rsid w:val="006900BA"/>
    <w:rsid w:val="006911DD"/>
    <w:rsid w:val="0069174C"/>
    <w:rsid w:val="00692E06"/>
    <w:rsid w:val="00693BDA"/>
    <w:rsid w:val="00694389"/>
    <w:rsid w:val="00696660"/>
    <w:rsid w:val="00697A40"/>
    <w:rsid w:val="006A2064"/>
    <w:rsid w:val="006A2C5D"/>
    <w:rsid w:val="006A5CDB"/>
    <w:rsid w:val="006B026A"/>
    <w:rsid w:val="006B2501"/>
    <w:rsid w:val="006B2698"/>
    <w:rsid w:val="006B4AB7"/>
    <w:rsid w:val="006C290A"/>
    <w:rsid w:val="006C2956"/>
    <w:rsid w:val="006C3DA5"/>
    <w:rsid w:val="006C3EBF"/>
    <w:rsid w:val="006C4902"/>
    <w:rsid w:val="006C4D12"/>
    <w:rsid w:val="006C5214"/>
    <w:rsid w:val="006C691E"/>
    <w:rsid w:val="006C7B9A"/>
    <w:rsid w:val="006D0037"/>
    <w:rsid w:val="006D0F51"/>
    <w:rsid w:val="006D19F3"/>
    <w:rsid w:val="006D2B25"/>
    <w:rsid w:val="006D4E51"/>
    <w:rsid w:val="006D5182"/>
    <w:rsid w:val="006D74E5"/>
    <w:rsid w:val="006E0A22"/>
    <w:rsid w:val="006E204C"/>
    <w:rsid w:val="006E3B51"/>
    <w:rsid w:val="006E573D"/>
    <w:rsid w:val="006E5E39"/>
    <w:rsid w:val="006E5F67"/>
    <w:rsid w:val="006E7342"/>
    <w:rsid w:val="006E7F34"/>
    <w:rsid w:val="006F0541"/>
    <w:rsid w:val="006F09AB"/>
    <w:rsid w:val="006F0C20"/>
    <w:rsid w:val="006F2D9C"/>
    <w:rsid w:val="006F2F67"/>
    <w:rsid w:val="007026A3"/>
    <w:rsid w:val="00703325"/>
    <w:rsid w:val="00703CC9"/>
    <w:rsid w:val="00703E0A"/>
    <w:rsid w:val="00704A9D"/>
    <w:rsid w:val="0070595B"/>
    <w:rsid w:val="00710D49"/>
    <w:rsid w:val="007132B7"/>
    <w:rsid w:val="00713CA0"/>
    <w:rsid w:val="007150E6"/>
    <w:rsid w:val="00716394"/>
    <w:rsid w:val="007211C5"/>
    <w:rsid w:val="007212BD"/>
    <w:rsid w:val="00722417"/>
    <w:rsid w:val="007243B6"/>
    <w:rsid w:val="007248D4"/>
    <w:rsid w:val="00725E95"/>
    <w:rsid w:val="0072603D"/>
    <w:rsid w:val="0073111E"/>
    <w:rsid w:val="00732D3C"/>
    <w:rsid w:val="0073602A"/>
    <w:rsid w:val="007365AF"/>
    <w:rsid w:val="00736A91"/>
    <w:rsid w:val="007407CD"/>
    <w:rsid w:val="0074118E"/>
    <w:rsid w:val="00743D51"/>
    <w:rsid w:val="00746113"/>
    <w:rsid w:val="00746447"/>
    <w:rsid w:val="00751608"/>
    <w:rsid w:val="00752814"/>
    <w:rsid w:val="00752A82"/>
    <w:rsid w:val="007532ED"/>
    <w:rsid w:val="00753D8C"/>
    <w:rsid w:val="00753EC7"/>
    <w:rsid w:val="007552DD"/>
    <w:rsid w:val="00756622"/>
    <w:rsid w:val="00761BC4"/>
    <w:rsid w:val="00763272"/>
    <w:rsid w:val="00767881"/>
    <w:rsid w:val="00767A9B"/>
    <w:rsid w:val="007708D9"/>
    <w:rsid w:val="00771034"/>
    <w:rsid w:val="00771102"/>
    <w:rsid w:val="00773810"/>
    <w:rsid w:val="00776584"/>
    <w:rsid w:val="00776758"/>
    <w:rsid w:val="00777941"/>
    <w:rsid w:val="00777DC3"/>
    <w:rsid w:val="0078087B"/>
    <w:rsid w:val="00781DAB"/>
    <w:rsid w:val="0078454D"/>
    <w:rsid w:val="007848FF"/>
    <w:rsid w:val="00784C7E"/>
    <w:rsid w:val="00786B69"/>
    <w:rsid w:val="007878A1"/>
    <w:rsid w:val="00794709"/>
    <w:rsid w:val="00794D56"/>
    <w:rsid w:val="00796257"/>
    <w:rsid w:val="00796A71"/>
    <w:rsid w:val="00797B46"/>
    <w:rsid w:val="00797E7F"/>
    <w:rsid w:val="00797F58"/>
    <w:rsid w:val="007A1F70"/>
    <w:rsid w:val="007A4289"/>
    <w:rsid w:val="007A4A28"/>
    <w:rsid w:val="007A69A3"/>
    <w:rsid w:val="007A6F5D"/>
    <w:rsid w:val="007A7A43"/>
    <w:rsid w:val="007B1224"/>
    <w:rsid w:val="007B1683"/>
    <w:rsid w:val="007B1C92"/>
    <w:rsid w:val="007B1F7F"/>
    <w:rsid w:val="007B3BFB"/>
    <w:rsid w:val="007B54A0"/>
    <w:rsid w:val="007C0A7F"/>
    <w:rsid w:val="007C1ACF"/>
    <w:rsid w:val="007C21F2"/>
    <w:rsid w:val="007C6FE3"/>
    <w:rsid w:val="007D25A6"/>
    <w:rsid w:val="007D2FCF"/>
    <w:rsid w:val="007D3335"/>
    <w:rsid w:val="007D3BF0"/>
    <w:rsid w:val="007D4A55"/>
    <w:rsid w:val="007D5ED5"/>
    <w:rsid w:val="007D61EF"/>
    <w:rsid w:val="007E2FD5"/>
    <w:rsid w:val="007E3162"/>
    <w:rsid w:val="007E4030"/>
    <w:rsid w:val="007E46D5"/>
    <w:rsid w:val="007E49DC"/>
    <w:rsid w:val="007E5213"/>
    <w:rsid w:val="007E528E"/>
    <w:rsid w:val="007E69CB"/>
    <w:rsid w:val="007E7C1D"/>
    <w:rsid w:val="007E7E3A"/>
    <w:rsid w:val="007F177A"/>
    <w:rsid w:val="007F18F5"/>
    <w:rsid w:val="007F1A48"/>
    <w:rsid w:val="007F2550"/>
    <w:rsid w:val="007F68D0"/>
    <w:rsid w:val="007F6A0B"/>
    <w:rsid w:val="007F76FD"/>
    <w:rsid w:val="00800FA8"/>
    <w:rsid w:val="00804141"/>
    <w:rsid w:val="0080438A"/>
    <w:rsid w:val="00804764"/>
    <w:rsid w:val="0080566C"/>
    <w:rsid w:val="00812400"/>
    <w:rsid w:val="00812C6F"/>
    <w:rsid w:val="00814538"/>
    <w:rsid w:val="00814E97"/>
    <w:rsid w:val="00817E98"/>
    <w:rsid w:val="0082062A"/>
    <w:rsid w:val="00822A1A"/>
    <w:rsid w:val="00822AD9"/>
    <w:rsid w:val="0082415E"/>
    <w:rsid w:val="00825B3A"/>
    <w:rsid w:val="008263DD"/>
    <w:rsid w:val="0082784E"/>
    <w:rsid w:val="008302F0"/>
    <w:rsid w:val="00831B63"/>
    <w:rsid w:val="00832EA9"/>
    <w:rsid w:val="008344DF"/>
    <w:rsid w:val="00835464"/>
    <w:rsid w:val="00835613"/>
    <w:rsid w:val="008359FE"/>
    <w:rsid w:val="0083614A"/>
    <w:rsid w:val="008409E2"/>
    <w:rsid w:val="00841560"/>
    <w:rsid w:val="00841AEF"/>
    <w:rsid w:val="0084215E"/>
    <w:rsid w:val="00842F43"/>
    <w:rsid w:val="00842FB0"/>
    <w:rsid w:val="008434A5"/>
    <w:rsid w:val="0084483E"/>
    <w:rsid w:val="00846C58"/>
    <w:rsid w:val="008471C5"/>
    <w:rsid w:val="00850E18"/>
    <w:rsid w:val="00850FED"/>
    <w:rsid w:val="00851FB8"/>
    <w:rsid w:val="0085203C"/>
    <w:rsid w:val="008527BA"/>
    <w:rsid w:val="00853BDE"/>
    <w:rsid w:val="0085429B"/>
    <w:rsid w:val="008560DD"/>
    <w:rsid w:val="00856E88"/>
    <w:rsid w:val="00857B65"/>
    <w:rsid w:val="00862BEE"/>
    <w:rsid w:val="00862C63"/>
    <w:rsid w:val="00863C50"/>
    <w:rsid w:val="00864693"/>
    <w:rsid w:val="00866685"/>
    <w:rsid w:val="00867BF1"/>
    <w:rsid w:val="00867E79"/>
    <w:rsid w:val="00873D27"/>
    <w:rsid w:val="00880255"/>
    <w:rsid w:val="00880DA7"/>
    <w:rsid w:val="008814D6"/>
    <w:rsid w:val="00881648"/>
    <w:rsid w:val="00882179"/>
    <w:rsid w:val="0088234E"/>
    <w:rsid w:val="00884764"/>
    <w:rsid w:val="00887722"/>
    <w:rsid w:val="0088792B"/>
    <w:rsid w:val="00890BB9"/>
    <w:rsid w:val="00890FEB"/>
    <w:rsid w:val="0089233F"/>
    <w:rsid w:val="00892BC9"/>
    <w:rsid w:val="00892D74"/>
    <w:rsid w:val="008932CC"/>
    <w:rsid w:val="00895526"/>
    <w:rsid w:val="00896C36"/>
    <w:rsid w:val="008A07C4"/>
    <w:rsid w:val="008A0B32"/>
    <w:rsid w:val="008A2653"/>
    <w:rsid w:val="008A4974"/>
    <w:rsid w:val="008A6AB5"/>
    <w:rsid w:val="008B2156"/>
    <w:rsid w:val="008B2A4E"/>
    <w:rsid w:val="008B33FB"/>
    <w:rsid w:val="008B4E9D"/>
    <w:rsid w:val="008B56C5"/>
    <w:rsid w:val="008B5910"/>
    <w:rsid w:val="008B597E"/>
    <w:rsid w:val="008B5EF1"/>
    <w:rsid w:val="008B7FCE"/>
    <w:rsid w:val="008C0D42"/>
    <w:rsid w:val="008C110C"/>
    <w:rsid w:val="008C25F1"/>
    <w:rsid w:val="008C513C"/>
    <w:rsid w:val="008D0142"/>
    <w:rsid w:val="008D11AF"/>
    <w:rsid w:val="008D11E2"/>
    <w:rsid w:val="008D3B61"/>
    <w:rsid w:val="008D6F54"/>
    <w:rsid w:val="008D77A4"/>
    <w:rsid w:val="008E11B0"/>
    <w:rsid w:val="008E21C0"/>
    <w:rsid w:val="008E2FDA"/>
    <w:rsid w:val="008E3D3F"/>
    <w:rsid w:val="008E43F8"/>
    <w:rsid w:val="008E46BA"/>
    <w:rsid w:val="008E799D"/>
    <w:rsid w:val="008E7BFC"/>
    <w:rsid w:val="008F0281"/>
    <w:rsid w:val="008F0D6B"/>
    <w:rsid w:val="008F1066"/>
    <w:rsid w:val="008F3414"/>
    <w:rsid w:val="008F38F3"/>
    <w:rsid w:val="008F4665"/>
    <w:rsid w:val="008F5348"/>
    <w:rsid w:val="008F5A41"/>
    <w:rsid w:val="008F66B8"/>
    <w:rsid w:val="008F7BE4"/>
    <w:rsid w:val="0090064C"/>
    <w:rsid w:val="00901BF8"/>
    <w:rsid w:val="00902483"/>
    <w:rsid w:val="00907164"/>
    <w:rsid w:val="00911575"/>
    <w:rsid w:val="0091160E"/>
    <w:rsid w:val="009118FE"/>
    <w:rsid w:val="009126B6"/>
    <w:rsid w:val="00912FBA"/>
    <w:rsid w:val="00916AB2"/>
    <w:rsid w:val="009211E4"/>
    <w:rsid w:val="0092581E"/>
    <w:rsid w:val="00925918"/>
    <w:rsid w:val="00927BA4"/>
    <w:rsid w:val="00931F54"/>
    <w:rsid w:val="00932977"/>
    <w:rsid w:val="00933329"/>
    <w:rsid w:val="0093355B"/>
    <w:rsid w:val="00933943"/>
    <w:rsid w:val="009340C0"/>
    <w:rsid w:val="009344B9"/>
    <w:rsid w:val="00940052"/>
    <w:rsid w:val="00941BCB"/>
    <w:rsid w:val="00942864"/>
    <w:rsid w:val="00942A1F"/>
    <w:rsid w:val="0094330D"/>
    <w:rsid w:val="009434E2"/>
    <w:rsid w:val="0094362C"/>
    <w:rsid w:val="00943B73"/>
    <w:rsid w:val="00944610"/>
    <w:rsid w:val="00944D98"/>
    <w:rsid w:val="00944E2A"/>
    <w:rsid w:val="009458E5"/>
    <w:rsid w:val="009467A9"/>
    <w:rsid w:val="00946DD6"/>
    <w:rsid w:val="00950D05"/>
    <w:rsid w:val="00950D41"/>
    <w:rsid w:val="009540A1"/>
    <w:rsid w:val="009545DA"/>
    <w:rsid w:val="009546EF"/>
    <w:rsid w:val="00954FD9"/>
    <w:rsid w:val="009551AA"/>
    <w:rsid w:val="0095646F"/>
    <w:rsid w:val="00956E4B"/>
    <w:rsid w:val="009640A1"/>
    <w:rsid w:val="00965594"/>
    <w:rsid w:val="0096731C"/>
    <w:rsid w:val="00967506"/>
    <w:rsid w:val="0097052C"/>
    <w:rsid w:val="009748D5"/>
    <w:rsid w:val="0097527D"/>
    <w:rsid w:val="00977B7C"/>
    <w:rsid w:val="00977FA2"/>
    <w:rsid w:val="00981FC5"/>
    <w:rsid w:val="00982D94"/>
    <w:rsid w:val="0098430E"/>
    <w:rsid w:val="009849E9"/>
    <w:rsid w:val="00986943"/>
    <w:rsid w:val="00986B1D"/>
    <w:rsid w:val="00986D40"/>
    <w:rsid w:val="009930C5"/>
    <w:rsid w:val="0099326D"/>
    <w:rsid w:val="00994028"/>
    <w:rsid w:val="0099407F"/>
    <w:rsid w:val="0099462E"/>
    <w:rsid w:val="00995E53"/>
    <w:rsid w:val="009A1E2E"/>
    <w:rsid w:val="009A35CC"/>
    <w:rsid w:val="009A3615"/>
    <w:rsid w:val="009A3749"/>
    <w:rsid w:val="009A3A59"/>
    <w:rsid w:val="009A5173"/>
    <w:rsid w:val="009A59A1"/>
    <w:rsid w:val="009A7A18"/>
    <w:rsid w:val="009A7BBD"/>
    <w:rsid w:val="009B1FA0"/>
    <w:rsid w:val="009B3970"/>
    <w:rsid w:val="009B417E"/>
    <w:rsid w:val="009B45C5"/>
    <w:rsid w:val="009B6218"/>
    <w:rsid w:val="009B720D"/>
    <w:rsid w:val="009B74CE"/>
    <w:rsid w:val="009B7D38"/>
    <w:rsid w:val="009C0701"/>
    <w:rsid w:val="009C0C13"/>
    <w:rsid w:val="009C0F31"/>
    <w:rsid w:val="009C134D"/>
    <w:rsid w:val="009C1B6B"/>
    <w:rsid w:val="009C2DF3"/>
    <w:rsid w:val="009C5282"/>
    <w:rsid w:val="009D0F1A"/>
    <w:rsid w:val="009D115A"/>
    <w:rsid w:val="009D43BC"/>
    <w:rsid w:val="009D670F"/>
    <w:rsid w:val="009E0124"/>
    <w:rsid w:val="009E0D6A"/>
    <w:rsid w:val="009E14D1"/>
    <w:rsid w:val="009E1F8B"/>
    <w:rsid w:val="009E2022"/>
    <w:rsid w:val="009E24A6"/>
    <w:rsid w:val="009E4752"/>
    <w:rsid w:val="009E7548"/>
    <w:rsid w:val="009E7C8E"/>
    <w:rsid w:val="009F4050"/>
    <w:rsid w:val="009F5022"/>
    <w:rsid w:val="009F5DB1"/>
    <w:rsid w:val="009F5DE5"/>
    <w:rsid w:val="009F6C7A"/>
    <w:rsid w:val="00A000D8"/>
    <w:rsid w:val="00A00FFD"/>
    <w:rsid w:val="00A0260C"/>
    <w:rsid w:val="00A02E70"/>
    <w:rsid w:val="00A03AA0"/>
    <w:rsid w:val="00A04B23"/>
    <w:rsid w:val="00A060E7"/>
    <w:rsid w:val="00A0752D"/>
    <w:rsid w:val="00A0795C"/>
    <w:rsid w:val="00A1175D"/>
    <w:rsid w:val="00A11B6D"/>
    <w:rsid w:val="00A11BB0"/>
    <w:rsid w:val="00A123B9"/>
    <w:rsid w:val="00A12C32"/>
    <w:rsid w:val="00A146AC"/>
    <w:rsid w:val="00A15875"/>
    <w:rsid w:val="00A15FB8"/>
    <w:rsid w:val="00A161BB"/>
    <w:rsid w:val="00A16508"/>
    <w:rsid w:val="00A16741"/>
    <w:rsid w:val="00A20F35"/>
    <w:rsid w:val="00A23347"/>
    <w:rsid w:val="00A27441"/>
    <w:rsid w:val="00A30109"/>
    <w:rsid w:val="00A30979"/>
    <w:rsid w:val="00A30DAF"/>
    <w:rsid w:val="00A30F9A"/>
    <w:rsid w:val="00A32F2B"/>
    <w:rsid w:val="00A33131"/>
    <w:rsid w:val="00A34738"/>
    <w:rsid w:val="00A37C33"/>
    <w:rsid w:val="00A40433"/>
    <w:rsid w:val="00A418DB"/>
    <w:rsid w:val="00A43BA0"/>
    <w:rsid w:val="00A455E4"/>
    <w:rsid w:val="00A50C7B"/>
    <w:rsid w:val="00A521B4"/>
    <w:rsid w:val="00A52D9A"/>
    <w:rsid w:val="00A54A08"/>
    <w:rsid w:val="00A55B4F"/>
    <w:rsid w:val="00A55C90"/>
    <w:rsid w:val="00A609A4"/>
    <w:rsid w:val="00A62167"/>
    <w:rsid w:val="00A62A98"/>
    <w:rsid w:val="00A6399E"/>
    <w:rsid w:val="00A64CEB"/>
    <w:rsid w:val="00A654A1"/>
    <w:rsid w:val="00A659DF"/>
    <w:rsid w:val="00A67984"/>
    <w:rsid w:val="00A70E1D"/>
    <w:rsid w:val="00A7120E"/>
    <w:rsid w:val="00A713B7"/>
    <w:rsid w:val="00A7364D"/>
    <w:rsid w:val="00A749D0"/>
    <w:rsid w:val="00A758B6"/>
    <w:rsid w:val="00A77282"/>
    <w:rsid w:val="00A774F9"/>
    <w:rsid w:val="00A77ECB"/>
    <w:rsid w:val="00A814CF"/>
    <w:rsid w:val="00A81541"/>
    <w:rsid w:val="00A816E8"/>
    <w:rsid w:val="00A8285A"/>
    <w:rsid w:val="00A829E0"/>
    <w:rsid w:val="00A84CE5"/>
    <w:rsid w:val="00A85301"/>
    <w:rsid w:val="00A87304"/>
    <w:rsid w:val="00A90C0D"/>
    <w:rsid w:val="00A91C81"/>
    <w:rsid w:val="00A91D93"/>
    <w:rsid w:val="00A94780"/>
    <w:rsid w:val="00A94F8D"/>
    <w:rsid w:val="00AA146D"/>
    <w:rsid w:val="00AA40E6"/>
    <w:rsid w:val="00AA4262"/>
    <w:rsid w:val="00AA565E"/>
    <w:rsid w:val="00AA664D"/>
    <w:rsid w:val="00AB2E12"/>
    <w:rsid w:val="00AB36AF"/>
    <w:rsid w:val="00AB3F97"/>
    <w:rsid w:val="00AB68C8"/>
    <w:rsid w:val="00AB69CB"/>
    <w:rsid w:val="00AB7C3B"/>
    <w:rsid w:val="00AB7D96"/>
    <w:rsid w:val="00AC1F58"/>
    <w:rsid w:val="00AC3845"/>
    <w:rsid w:val="00AC4C15"/>
    <w:rsid w:val="00AD4449"/>
    <w:rsid w:val="00AD48AE"/>
    <w:rsid w:val="00AD543A"/>
    <w:rsid w:val="00AD6F7B"/>
    <w:rsid w:val="00AE3131"/>
    <w:rsid w:val="00AE37C7"/>
    <w:rsid w:val="00AE6534"/>
    <w:rsid w:val="00AF38DA"/>
    <w:rsid w:val="00AF3A3D"/>
    <w:rsid w:val="00AF4BE2"/>
    <w:rsid w:val="00AF5D89"/>
    <w:rsid w:val="00AF6B3D"/>
    <w:rsid w:val="00AF7E9E"/>
    <w:rsid w:val="00B00051"/>
    <w:rsid w:val="00B0033C"/>
    <w:rsid w:val="00B0182F"/>
    <w:rsid w:val="00B0432D"/>
    <w:rsid w:val="00B0468B"/>
    <w:rsid w:val="00B0721F"/>
    <w:rsid w:val="00B10D5C"/>
    <w:rsid w:val="00B12C55"/>
    <w:rsid w:val="00B1331B"/>
    <w:rsid w:val="00B16271"/>
    <w:rsid w:val="00B2027A"/>
    <w:rsid w:val="00B215C4"/>
    <w:rsid w:val="00B2555D"/>
    <w:rsid w:val="00B26BAA"/>
    <w:rsid w:val="00B30649"/>
    <w:rsid w:val="00B32023"/>
    <w:rsid w:val="00B34333"/>
    <w:rsid w:val="00B43420"/>
    <w:rsid w:val="00B446CB"/>
    <w:rsid w:val="00B44FCD"/>
    <w:rsid w:val="00B534B4"/>
    <w:rsid w:val="00B538E9"/>
    <w:rsid w:val="00B577F6"/>
    <w:rsid w:val="00B62886"/>
    <w:rsid w:val="00B64455"/>
    <w:rsid w:val="00B70F59"/>
    <w:rsid w:val="00B7104C"/>
    <w:rsid w:val="00B71DEE"/>
    <w:rsid w:val="00B72E1B"/>
    <w:rsid w:val="00B744F8"/>
    <w:rsid w:val="00B7484B"/>
    <w:rsid w:val="00B74E60"/>
    <w:rsid w:val="00B761A3"/>
    <w:rsid w:val="00B77FDB"/>
    <w:rsid w:val="00B82DE7"/>
    <w:rsid w:val="00B83772"/>
    <w:rsid w:val="00B83B76"/>
    <w:rsid w:val="00B860E1"/>
    <w:rsid w:val="00B863C4"/>
    <w:rsid w:val="00B874F7"/>
    <w:rsid w:val="00B87E8E"/>
    <w:rsid w:val="00B90355"/>
    <w:rsid w:val="00B92987"/>
    <w:rsid w:val="00B92A33"/>
    <w:rsid w:val="00B95388"/>
    <w:rsid w:val="00B95D77"/>
    <w:rsid w:val="00BA280E"/>
    <w:rsid w:val="00BA48D6"/>
    <w:rsid w:val="00BA5F2B"/>
    <w:rsid w:val="00BB04E8"/>
    <w:rsid w:val="00BB0968"/>
    <w:rsid w:val="00BB43C8"/>
    <w:rsid w:val="00BB457D"/>
    <w:rsid w:val="00BB5534"/>
    <w:rsid w:val="00BB5E00"/>
    <w:rsid w:val="00BB6020"/>
    <w:rsid w:val="00BB6D44"/>
    <w:rsid w:val="00BC10DC"/>
    <w:rsid w:val="00BC1EFA"/>
    <w:rsid w:val="00BC1FF8"/>
    <w:rsid w:val="00BC44F9"/>
    <w:rsid w:val="00BC53D5"/>
    <w:rsid w:val="00BC625D"/>
    <w:rsid w:val="00BC7E90"/>
    <w:rsid w:val="00BD0B35"/>
    <w:rsid w:val="00BD1B96"/>
    <w:rsid w:val="00BD2EC5"/>
    <w:rsid w:val="00BD5C2F"/>
    <w:rsid w:val="00BD712C"/>
    <w:rsid w:val="00BE18F3"/>
    <w:rsid w:val="00BE1C4E"/>
    <w:rsid w:val="00BE2625"/>
    <w:rsid w:val="00BE2D58"/>
    <w:rsid w:val="00BE2DB9"/>
    <w:rsid w:val="00BE2F63"/>
    <w:rsid w:val="00BE3E0F"/>
    <w:rsid w:val="00BE711E"/>
    <w:rsid w:val="00BF32B1"/>
    <w:rsid w:val="00BF3922"/>
    <w:rsid w:val="00BF4A33"/>
    <w:rsid w:val="00BF4AAA"/>
    <w:rsid w:val="00BF6027"/>
    <w:rsid w:val="00BF635A"/>
    <w:rsid w:val="00C001ED"/>
    <w:rsid w:val="00C0160D"/>
    <w:rsid w:val="00C01818"/>
    <w:rsid w:val="00C04DB3"/>
    <w:rsid w:val="00C07318"/>
    <w:rsid w:val="00C07884"/>
    <w:rsid w:val="00C103A8"/>
    <w:rsid w:val="00C10EC9"/>
    <w:rsid w:val="00C12A90"/>
    <w:rsid w:val="00C13B03"/>
    <w:rsid w:val="00C140F9"/>
    <w:rsid w:val="00C1563E"/>
    <w:rsid w:val="00C16F80"/>
    <w:rsid w:val="00C17906"/>
    <w:rsid w:val="00C209DF"/>
    <w:rsid w:val="00C21A9F"/>
    <w:rsid w:val="00C3035C"/>
    <w:rsid w:val="00C30DB8"/>
    <w:rsid w:val="00C31862"/>
    <w:rsid w:val="00C31A45"/>
    <w:rsid w:val="00C31E63"/>
    <w:rsid w:val="00C33A11"/>
    <w:rsid w:val="00C3610B"/>
    <w:rsid w:val="00C36725"/>
    <w:rsid w:val="00C40747"/>
    <w:rsid w:val="00C40BBF"/>
    <w:rsid w:val="00C41D27"/>
    <w:rsid w:val="00C456B5"/>
    <w:rsid w:val="00C46431"/>
    <w:rsid w:val="00C47224"/>
    <w:rsid w:val="00C47A5C"/>
    <w:rsid w:val="00C47D6C"/>
    <w:rsid w:val="00C54299"/>
    <w:rsid w:val="00C54E4A"/>
    <w:rsid w:val="00C56419"/>
    <w:rsid w:val="00C56424"/>
    <w:rsid w:val="00C60CBE"/>
    <w:rsid w:val="00C61245"/>
    <w:rsid w:val="00C6534C"/>
    <w:rsid w:val="00C677B3"/>
    <w:rsid w:val="00C7078B"/>
    <w:rsid w:val="00C70904"/>
    <w:rsid w:val="00C7090C"/>
    <w:rsid w:val="00C70B3B"/>
    <w:rsid w:val="00C71189"/>
    <w:rsid w:val="00C725A7"/>
    <w:rsid w:val="00C7269C"/>
    <w:rsid w:val="00C7493D"/>
    <w:rsid w:val="00C7530B"/>
    <w:rsid w:val="00C77B43"/>
    <w:rsid w:val="00C802B8"/>
    <w:rsid w:val="00C80B09"/>
    <w:rsid w:val="00C85E13"/>
    <w:rsid w:val="00C85F17"/>
    <w:rsid w:val="00C863AE"/>
    <w:rsid w:val="00C86EBC"/>
    <w:rsid w:val="00C87B3E"/>
    <w:rsid w:val="00C91F3B"/>
    <w:rsid w:val="00C92E67"/>
    <w:rsid w:val="00C936CA"/>
    <w:rsid w:val="00C96304"/>
    <w:rsid w:val="00CA243D"/>
    <w:rsid w:val="00CA2A69"/>
    <w:rsid w:val="00CA2AFF"/>
    <w:rsid w:val="00CA3138"/>
    <w:rsid w:val="00CA4370"/>
    <w:rsid w:val="00CA5530"/>
    <w:rsid w:val="00CB0DB9"/>
    <w:rsid w:val="00CC11A6"/>
    <w:rsid w:val="00CC1AB3"/>
    <w:rsid w:val="00CC3B83"/>
    <w:rsid w:val="00CC4294"/>
    <w:rsid w:val="00CC4609"/>
    <w:rsid w:val="00CC579A"/>
    <w:rsid w:val="00CC633D"/>
    <w:rsid w:val="00CD017C"/>
    <w:rsid w:val="00CD23B1"/>
    <w:rsid w:val="00CD30A9"/>
    <w:rsid w:val="00CD401B"/>
    <w:rsid w:val="00CD629F"/>
    <w:rsid w:val="00CE1640"/>
    <w:rsid w:val="00CE1F49"/>
    <w:rsid w:val="00CE20D3"/>
    <w:rsid w:val="00CE2B51"/>
    <w:rsid w:val="00CF15D1"/>
    <w:rsid w:val="00CF1F4E"/>
    <w:rsid w:val="00CF253A"/>
    <w:rsid w:val="00CF586D"/>
    <w:rsid w:val="00CF75CC"/>
    <w:rsid w:val="00CF7B48"/>
    <w:rsid w:val="00D038A2"/>
    <w:rsid w:val="00D03C42"/>
    <w:rsid w:val="00D04E67"/>
    <w:rsid w:val="00D05CCC"/>
    <w:rsid w:val="00D101FC"/>
    <w:rsid w:val="00D132B8"/>
    <w:rsid w:val="00D20672"/>
    <w:rsid w:val="00D22726"/>
    <w:rsid w:val="00D233B5"/>
    <w:rsid w:val="00D24A80"/>
    <w:rsid w:val="00D303ED"/>
    <w:rsid w:val="00D30A69"/>
    <w:rsid w:val="00D31048"/>
    <w:rsid w:val="00D3111E"/>
    <w:rsid w:val="00D313EF"/>
    <w:rsid w:val="00D32E8A"/>
    <w:rsid w:val="00D3312A"/>
    <w:rsid w:val="00D33362"/>
    <w:rsid w:val="00D34E49"/>
    <w:rsid w:val="00D37980"/>
    <w:rsid w:val="00D37FD4"/>
    <w:rsid w:val="00D40A82"/>
    <w:rsid w:val="00D463A7"/>
    <w:rsid w:val="00D46E2E"/>
    <w:rsid w:val="00D47A77"/>
    <w:rsid w:val="00D532B1"/>
    <w:rsid w:val="00D578A9"/>
    <w:rsid w:val="00D646B9"/>
    <w:rsid w:val="00D65AB3"/>
    <w:rsid w:val="00D6684C"/>
    <w:rsid w:val="00D67274"/>
    <w:rsid w:val="00D70744"/>
    <w:rsid w:val="00D7214D"/>
    <w:rsid w:val="00D7285D"/>
    <w:rsid w:val="00D7400B"/>
    <w:rsid w:val="00D76045"/>
    <w:rsid w:val="00D7653A"/>
    <w:rsid w:val="00D8291A"/>
    <w:rsid w:val="00D83F9D"/>
    <w:rsid w:val="00D860E7"/>
    <w:rsid w:val="00D90655"/>
    <w:rsid w:val="00D90B69"/>
    <w:rsid w:val="00D91310"/>
    <w:rsid w:val="00D91D3C"/>
    <w:rsid w:val="00D92828"/>
    <w:rsid w:val="00D95ED1"/>
    <w:rsid w:val="00DA04A7"/>
    <w:rsid w:val="00DA09F4"/>
    <w:rsid w:val="00DA5253"/>
    <w:rsid w:val="00DA54AB"/>
    <w:rsid w:val="00DA70BC"/>
    <w:rsid w:val="00DA7644"/>
    <w:rsid w:val="00DB12F9"/>
    <w:rsid w:val="00DB3A6D"/>
    <w:rsid w:val="00DB5BBF"/>
    <w:rsid w:val="00DB5CE0"/>
    <w:rsid w:val="00DC2A67"/>
    <w:rsid w:val="00DC3DE9"/>
    <w:rsid w:val="00DC4094"/>
    <w:rsid w:val="00DC4509"/>
    <w:rsid w:val="00DC6FBA"/>
    <w:rsid w:val="00DD0166"/>
    <w:rsid w:val="00DD1F6E"/>
    <w:rsid w:val="00DD2F7E"/>
    <w:rsid w:val="00DD383F"/>
    <w:rsid w:val="00DD5A64"/>
    <w:rsid w:val="00DD6936"/>
    <w:rsid w:val="00DE089C"/>
    <w:rsid w:val="00DE0B32"/>
    <w:rsid w:val="00DE232B"/>
    <w:rsid w:val="00DE28E1"/>
    <w:rsid w:val="00DE3697"/>
    <w:rsid w:val="00DE3AD0"/>
    <w:rsid w:val="00DE45A1"/>
    <w:rsid w:val="00DE49AE"/>
    <w:rsid w:val="00DE4B53"/>
    <w:rsid w:val="00DE7646"/>
    <w:rsid w:val="00DF0673"/>
    <w:rsid w:val="00DF24FF"/>
    <w:rsid w:val="00DF6023"/>
    <w:rsid w:val="00DF6A46"/>
    <w:rsid w:val="00E0043F"/>
    <w:rsid w:val="00E029B1"/>
    <w:rsid w:val="00E04694"/>
    <w:rsid w:val="00E054DF"/>
    <w:rsid w:val="00E05741"/>
    <w:rsid w:val="00E071D4"/>
    <w:rsid w:val="00E11A15"/>
    <w:rsid w:val="00E11B78"/>
    <w:rsid w:val="00E1221B"/>
    <w:rsid w:val="00E13191"/>
    <w:rsid w:val="00E175C6"/>
    <w:rsid w:val="00E22027"/>
    <w:rsid w:val="00E244D0"/>
    <w:rsid w:val="00E247F6"/>
    <w:rsid w:val="00E24E0F"/>
    <w:rsid w:val="00E25926"/>
    <w:rsid w:val="00E27AF5"/>
    <w:rsid w:val="00E27CB6"/>
    <w:rsid w:val="00E3119D"/>
    <w:rsid w:val="00E3377D"/>
    <w:rsid w:val="00E346A1"/>
    <w:rsid w:val="00E34E0F"/>
    <w:rsid w:val="00E419D6"/>
    <w:rsid w:val="00E42A24"/>
    <w:rsid w:val="00E456A3"/>
    <w:rsid w:val="00E4607D"/>
    <w:rsid w:val="00E47455"/>
    <w:rsid w:val="00E5029E"/>
    <w:rsid w:val="00E51AAD"/>
    <w:rsid w:val="00E51AC6"/>
    <w:rsid w:val="00E52F21"/>
    <w:rsid w:val="00E565BE"/>
    <w:rsid w:val="00E610C7"/>
    <w:rsid w:val="00E61BAE"/>
    <w:rsid w:val="00E62FB7"/>
    <w:rsid w:val="00E65918"/>
    <w:rsid w:val="00E65A57"/>
    <w:rsid w:val="00E669E1"/>
    <w:rsid w:val="00E70997"/>
    <w:rsid w:val="00E722A3"/>
    <w:rsid w:val="00E748C0"/>
    <w:rsid w:val="00E74DE4"/>
    <w:rsid w:val="00E75420"/>
    <w:rsid w:val="00E772A1"/>
    <w:rsid w:val="00E80CD9"/>
    <w:rsid w:val="00E871ED"/>
    <w:rsid w:val="00E936B1"/>
    <w:rsid w:val="00E9550A"/>
    <w:rsid w:val="00EA09C7"/>
    <w:rsid w:val="00EA0EB5"/>
    <w:rsid w:val="00EA0F19"/>
    <w:rsid w:val="00EA14AD"/>
    <w:rsid w:val="00EA238B"/>
    <w:rsid w:val="00EA35B1"/>
    <w:rsid w:val="00EA55B4"/>
    <w:rsid w:val="00EA597A"/>
    <w:rsid w:val="00EA78E0"/>
    <w:rsid w:val="00EB18B6"/>
    <w:rsid w:val="00EB1D39"/>
    <w:rsid w:val="00EB6D44"/>
    <w:rsid w:val="00EC0373"/>
    <w:rsid w:val="00EC3114"/>
    <w:rsid w:val="00EC4DFF"/>
    <w:rsid w:val="00EC5B50"/>
    <w:rsid w:val="00EC734C"/>
    <w:rsid w:val="00EC7404"/>
    <w:rsid w:val="00ED054C"/>
    <w:rsid w:val="00ED58FE"/>
    <w:rsid w:val="00ED7C6C"/>
    <w:rsid w:val="00EE022D"/>
    <w:rsid w:val="00EE4058"/>
    <w:rsid w:val="00EE44E0"/>
    <w:rsid w:val="00EE48A2"/>
    <w:rsid w:val="00EE5495"/>
    <w:rsid w:val="00EE6347"/>
    <w:rsid w:val="00EE6E88"/>
    <w:rsid w:val="00EF177E"/>
    <w:rsid w:val="00EF5D4E"/>
    <w:rsid w:val="00EF62F6"/>
    <w:rsid w:val="00EF6E16"/>
    <w:rsid w:val="00EF6EAF"/>
    <w:rsid w:val="00EF6F3E"/>
    <w:rsid w:val="00F00A51"/>
    <w:rsid w:val="00F0130E"/>
    <w:rsid w:val="00F0730F"/>
    <w:rsid w:val="00F13C15"/>
    <w:rsid w:val="00F14DB9"/>
    <w:rsid w:val="00F1528A"/>
    <w:rsid w:val="00F15489"/>
    <w:rsid w:val="00F15C18"/>
    <w:rsid w:val="00F16218"/>
    <w:rsid w:val="00F21098"/>
    <w:rsid w:val="00F24348"/>
    <w:rsid w:val="00F25760"/>
    <w:rsid w:val="00F25D62"/>
    <w:rsid w:val="00F32C0F"/>
    <w:rsid w:val="00F331C5"/>
    <w:rsid w:val="00F333C5"/>
    <w:rsid w:val="00F34BC6"/>
    <w:rsid w:val="00F36305"/>
    <w:rsid w:val="00F4263C"/>
    <w:rsid w:val="00F45A00"/>
    <w:rsid w:val="00F506B6"/>
    <w:rsid w:val="00F51EDD"/>
    <w:rsid w:val="00F52058"/>
    <w:rsid w:val="00F5336B"/>
    <w:rsid w:val="00F556EC"/>
    <w:rsid w:val="00F5747F"/>
    <w:rsid w:val="00F60CF9"/>
    <w:rsid w:val="00F60F5A"/>
    <w:rsid w:val="00F614A9"/>
    <w:rsid w:val="00F6453A"/>
    <w:rsid w:val="00F64982"/>
    <w:rsid w:val="00F713DF"/>
    <w:rsid w:val="00F73153"/>
    <w:rsid w:val="00F73F34"/>
    <w:rsid w:val="00F745C7"/>
    <w:rsid w:val="00F74706"/>
    <w:rsid w:val="00F76B41"/>
    <w:rsid w:val="00F802D3"/>
    <w:rsid w:val="00F82AD0"/>
    <w:rsid w:val="00F83688"/>
    <w:rsid w:val="00F86ACC"/>
    <w:rsid w:val="00F90BE4"/>
    <w:rsid w:val="00F915A9"/>
    <w:rsid w:val="00F92072"/>
    <w:rsid w:val="00F96D12"/>
    <w:rsid w:val="00F97D55"/>
    <w:rsid w:val="00FA45A6"/>
    <w:rsid w:val="00FA74F0"/>
    <w:rsid w:val="00FB1DF8"/>
    <w:rsid w:val="00FB2C47"/>
    <w:rsid w:val="00FB416F"/>
    <w:rsid w:val="00FB5DB6"/>
    <w:rsid w:val="00FB6B19"/>
    <w:rsid w:val="00FC01F6"/>
    <w:rsid w:val="00FC2CE4"/>
    <w:rsid w:val="00FC33F7"/>
    <w:rsid w:val="00FC3D8D"/>
    <w:rsid w:val="00FC4083"/>
    <w:rsid w:val="00FC4409"/>
    <w:rsid w:val="00FC47A1"/>
    <w:rsid w:val="00FC6117"/>
    <w:rsid w:val="00FD1291"/>
    <w:rsid w:val="00FD24B0"/>
    <w:rsid w:val="00FD336C"/>
    <w:rsid w:val="00FD6A7E"/>
    <w:rsid w:val="00FE2ED4"/>
    <w:rsid w:val="00FE5CFE"/>
    <w:rsid w:val="00FE61C5"/>
    <w:rsid w:val="00FE635C"/>
    <w:rsid w:val="00FF0C96"/>
    <w:rsid w:val="00FF1052"/>
    <w:rsid w:val="00FF17C8"/>
    <w:rsid w:val="00FF3B7B"/>
    <w:rsid w:val="00FF57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5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C2F"/>
    <w:rPr>
      <w:sz w:val="20"/>
      <w:szCs w:val="20"/>
    </w:rPr>
  </w:style>
  <w:style w:type="character" w:styleId="FootnoteReference">
    <w:name w:val="footnote reference"/>
    <w:basedOn w:val="DefaultParagraphFont"/>
    <w:uiPriority w:val="99"/>
    <w:semiHidden/>
    <w:unhideWhenUsed/>
    <w:rsid w:val="00BD5C2F"/>
    <w:rPr>
      <w:vertAlign w:val="superscript"/>
    </w:rPr>
  </w:style>
  <w:style w:type="paragraph" w:styleId="ListParagraph">
    <w:name w:val="List Paragraph"/>
    <w:basedOn w:val="Normal"/>
    <w:uiPriority w:val="34"/>
    <w:qFormat/>
    <w:rsid w:val="006911DD"/>
    <w:pPr>
      <w:ind w:left="720"/>
      <w:contextualSpacing/>
    </w:pPr>
  </w:style>
  <w:style w:type="paragraph" w:styleId="Header">
    <w:name w:val="header"/>
    <w:basedOn w:val="Normal"/>
    <w:link w:val="HeaderChar"/>
    <w:uiPriority w:val="99"/>
    <w:unhideWhenUsed/>
    <w:rsid w:val="0044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222"/>
  </w:style>
  <w:style w:type="paragraph" w:styleId="Footer">
    <w:name w:val="footer"/>
    <w:basedOn w:val="Normal"/>
    <w:link w:val="FooterChar"/>
    <w:uiPriority w:val="99"/>
    <w:unhideWhenUsed/>
    <w:rsid w:val="0044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22"/>
  </w:style>
  <w:style w:type="paragraph" w:styleId="BalloonText">
    <w:name w:val="Balloon Text"/>
    <w:basedOn w:val="Normal"/>
    <w:link w:val="BalloonTextChar"/>
    <w:uiPriority w:val="99"/>
    <w:semiHidden/>
    <w:unhideWhenUsed/>
    <w:rsid w:val="00934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4B9"/>
    <w:rPr>
      <w:rFonts w:ascii="Tahoma" w:hAnsi="Tahoma" w:cs="Tahoma"/>
      <w:sz w:val="16"/>
      <w:szCs w:val="16"/>
    </w:rPr>
  </w:style>
  <w:style w:type="character" w:styleId="CommentReference">
    <w:name w:val="annotation reference"/>
    <w:basedOn w:val="DefaultParagraphFont"/>
    <w:uiPriority w:val="99"/>
    <w:semiHidden/>
    <w:unhideWhenUsed/>
    <w:rsid w:val="003420D3"/>
    <w:rPr>
      <w:sz w:val="16"/>
      <w:szCs w:val="16"/>
    </w:rPr>
  </w:style>
  <w:style w:type="paragraph" w:styleId="CommentText">
    <w:name w:val="annotation text"/>
    <w:basedOn w:val="Normal"/>
    <w:link w:val="CommentTextChar"/>
    <w:uiPriority w:val="99"/>
    <w:semiHidden/>
    <w:unhideWhenUsed/>
    <w:rsid w:val="003420D3"/>
    <w:pPr>
      <w:spacing w:line="240" w:lineRule="auto"/>
    </w:pPr>
    <w:rPr>
      <w:sz w:val="20"/>
      <w:szCs w:val="20"/>
    </w:rPr>
  </w:style>
  <w:style w:type="character" w:customStyle="1" w:styleId="CommentTextChar">
    <w:name w:val="Comment Text Char"/>
    <w:basedOn w:val="DefaultParagraphFont"/>
    <w:link w:val="CommentText"/>
    <w:uiPriority w:val="99"/>
    <w:semiHidden/>
    <w:rsid w:val="003420D3"/>
    <w:rPr>
      <w:sz w:val="20"/>
      <w:szCs w:val="20"/>
    </w:rPr>
  </w:style>
  <w:style w:type="paragraph" w:styleId="CommentSubject">
    <w:name w:val="annotation subject"/>
    <w:basedOn w:val="CommentText"/>
    <w:next w:val="CommentText"/>
    <w:link w:val="CommentSubjectChar"/>
    <w:uiPriority w:val="99"/>
    <w:semiHidden/>
    <w:unhideWhenUsed/>
    <w:rsid w:val="003420D3"/>
    <w:rPr>
      <w:b/>
      <w:bCs/>
    </w:rPr>
  </w:style>
  <w:style w:type="character" w:customStyle="1" w:styleId="CommentSubjectChar">
    <w:name w:val="Comment Subject Char"/>
    <w:basedOn w:val="CommentTextChar"/>
    <w:link w:val="CommentSubject"/>
    <w:uiPriority w:val="99"/>
    <w:semiHidden/>
    <w:rsid w:val="003420D3"/>
    <w:rPr>
      <w:b/>
      <w:bCs/>
      <w:sz w:val="20"/>
      <w:szCs w:val="20"/>
    </w:rPr>
  </w:style>
  <w:style w:type="paragraph" w:styleId="Revision">
    <w:name w:val="Revision"/>
    <w:hidden/>
    <w:uiPriority w:val="99"/>
    <w:semiHidden/>
    <w:rsid w:val="00A91D93"/>
    <w:pPr>
      <w:spacing w:after="0" w:line="240" w:lineRule="auto"/>
    </w:pPr>
  </w:style>
  <w:style w:type="character" w:styleId="Hyperlink">
    <w:name w:val="Hyperlink"/>
    <w:basedOn w:val="DefaultParagraphFont"/>
    <w:uiPriority w:val="99"/>
    <w:unhideWhenUsed/>
    <w:rsid w:val="009258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5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C2F"/>
    <w:rPr>
      <w:sz w:val="20"/>
      <w:szCs w:val="20"/>
    </w:rPr>
  </w:style>
  <w:style w:type="character" w:styleId="FootnoteReference">
    <w:name w:val="footnote reference"/>
    <w:basedOn w:val="DefaultParagraphFont"/>
    <w:uiPriority w:val="99"/>
    <w:semiHidden/>
    <w:unhideWhenUsed/>
    <w:rsid w:val="00BD5C2F"/>
    <w:rPr>
      <w:vertAlign w:val="superscript"/>
    </w:rPr>
  </w:style>
  <w:style w:type="paragraph" w:styleId="ListParagraph">
    <w:name w:val="List Paragraph"/>
    <w:basedOn w:val="Normal"/>
    <w:uiPriority w:val="34"/>
    <w:qFormat/>
    <w:rsid w:val="006911DD"/>
    <w:pPr>
      <w:ind w:left="720"/>
      <w:contextualSpacing/>
    </w:pPr>
  </w:style>
  <w:style w:type="paragraph" w:styleId="Header">
    <w:name w:val="header"/>
    <w:basedOn w:val="Normal"/>
    <w:link w:val="HeaderChar"/>
    <w:uiPriority w:val="99"/>
    <w:unhideWhenUsed/>
    <w:rsid w:val="0044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222"/>
  </w:style>
  <w:style w:type="paragraph" w:styleId="Footer">
    <w:name w:val="footer"/>
    <w:basedOn w:val="Normal"/>
    <w:link w:val="FooterChar"/>
    <w:uiPriority w:val="99"/>
    <w:unhideWhenUsed/>
    <w:rsid w:val="0044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22"/>
  </w:style>
  <w:style w:type="paragraph" w:styleId="BalloonText">
    <w:name w:val="Balloon Text"/>
    <w:basedOn w:val="Normal"/>
    <w:link w:val="BalloonTextChar"/>
    <w:uiPriority w:val="99"/>
    <w:semiHidden/>
    <w:unhideWhenUsed/>
    <w:rsid w:val="00934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4B9"/>
    <w:rPr>
      <w:rFonts w:ascii="Tahoma" w:hAnsi="Tahoma" w:cs="Tahoma"/>
      <w:sz w:val="16"/>
      <w:szCs w:val="16"/>
    </w:rPr>
  </w:style>
  <w:style w:type="character" w:styleId="CommentReference">
    <w:name w:val="annotation reference"/>
    <w:basedOn w:val="DefaultParagraphFont"/>
    <w:uiPriority w:val="99"/>
    <w:semiHidden/>
    <w:unhideWhenUsed/>
    <w:rsid w:val="003420D3"/>
    <w:rPr>
      <w:sz w:val="16"/>
      <w:szCs w:val="16"/>
    </w:rPr>
  </w:style>
  <w:style w:type="paragraph" w:styleId="CommentText">
    <w:name w:val="annotation text"/>
    <w:basedOn w:val="Normal"/>
    <w:link w:val="CommentTextChar"/>
    <w:uiPriority w:val="99"/>
    <w:semiHidden/>
    <w:unhideWhenUsed/>
    <w:rsid w:val="003420D3"/>
    <w:pPr>
      <w:spacing w:line="240" w:lineRule="auto"/>
    </w:pPr>
    <w:rPr>
      <w:sz w:val="20"/>
      <w:szCs w:val="20"/>
    </w:rPr>
  </w:style>
  <w:style w:type="character" w:customStyle="1" w:styleId="CommentTextChar">
    <w:name w:val="Comment Text Char"/>
    <w:basedOn w:val="DefaultParagraphFont"/>
    <w:link w:val="CommentText"/>
    <w:uiPriority w:val="99"/>
    <w:semiHidden/>
    <w:rsid w:val="003420D3"/>
    <w:rPr>
      <w:sz w:val="20"/>
      <w:szCs w:val="20"/>
    </w:rPr>
  </w:style>
  <w:style w:type="paragraph" w:styleId="CommentSubject">
    <w:name w:val="annotation subject"/>
    <w:basedOn w:val="CommentText"/>
    <w:next w:val="CommentText"/>
    <w:link w:val="CommentSubjectChar"/>
    <w:uiPriority w:val="99"/>
    <w:semiHidden/>
    <w:unhideWhenUsed/>
    <w:rsid w:val="003420D3"/>
    <w:rPr>
      <w:b/>
      <w:bCs/>
    </w:rPr>
  </w:style>
  <w:style w:type="character" w:customStyle="1" w:styleId="CommentSubjectChar">
    <w:name w:val="Comment Subject Char"/>
    <w:basedOn w:val="CommentTextChar"/>
    <w:link w:val="CommentSubject"/>
    <w:uiPriority w:val="99"/>
    <w:semiHidden/>
    <w:rsid w:val="003420D3"/>
    <w:rPr>
      <w:b/>
      <w:bCs/>
      <w:sz w:val="20"/>
      <w:szCs w:val="20"/>
    </w:rPr>
  </w:style>
  <w:style w:type="paragraph" w:styleId="Revision">
    <w:name w:val="Revision"/>
    <w:hidden/>
    <w:uiPriority w:val="99"/>
    <w:semiHidden/>
    <w:rsid w:val="00A91D93"/>
    <w:pPr>
      <w:spacing w:after="0" w:line="240" w:lineRule="auto"/>
    </w:pPr>
  </w:style>
  <w:style w:type="character" w:styleId="Hyperlink">
    <w:name w:val="Hyperlink"/>
    <w:basedOn w:val="DefaultParagraphFont"/>
    <w:uiPriority w:val="99"/>
    <w:unhideWhenUsed/>
    <w:rsid w:val="009258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ldy.com/books?author=Dugdale,%20Anthony%20M" TargetMode="External"/><Relationship Id="rId1" Type="http://schemas.openxmlformats.org/officeDocument/2006/relationships/hyperlink" Target="http://www.wildy.com/books?author=Jones,%20Michael%2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ADD9-BDD1-48DD-B2E0-350279FC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10931</Words>
  <Characters>62309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jcs507</dc:creator>
  <cp:lastModifiedBy>jcs507</cp:lastModifiedBy>
  <cp:revision>4</cp:revision>
  <cp:lastPrinted>2012-03-12T16:15:00Z</cp:lastPrinted>
  <dcterms:created xsi:type="dcterms:W3CDTF">2012-03-13T13:12:00Z</dcterms:created>
  <dcterms:modified xsi:type="dcterms:W3CDTF">2012-03-13T14:08:00Z</dcterms:modified>
</cp:coreProperties>
</file>