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920F2" w:rsidRDefault="009E4571">
      <w:pPr>
        <w:pStyle w:val="Heading1"/>
        <w:rPr>
          <w:rFonts w:eastAsia="Georgia"/>
        </w:rPr>
      </w:pPr>
      <w:bookmarkStart w:id="0" w:name="_vq0h4bweyjt4" w:colFirst="0" w:colLast="0"/>
      <w:bookmarkEnd w:id="0"/>
      <w:r w:rsidRPr="002C0CF8">
        <w:rPr>
          <w:rFonts w:eastAsia="Georgia"/>
        </w:rPr>
        <w:t>Power of inter-chapter distance: Shaping social movement networks in Extinction Rebellion Australia</w:t>
      </w:r>
    </w:p>
    <w:p w14:paraId="4BC4E6A3" w14:textId="77777777" w:rsidR="00BC11CF" w:rsidRPr="00BC11CF" w:rsidRDefault="00BC11CF" w:rsidP="00BC11CF">
      <w:pPr>
        <w:rPr>
          <w:rFonts w:eastAsia="Georgia"/>
          <w:i/>
          <w:iCs/>
          <w:sz w:val="24"/>
          <w:szCs w:val="24"/>
        </w:rPr>
      </w:pPr>
      <w:r w:rsidRPr="00BC11CF">
        <w:rPr>
          <w:rFonts w:eastAsia="Georgia"/>
          <w:i/>
          <w:iCs/>
          <w:sz w:val="24"/>
          <w:szCs w:val="24"/>
        </w:rPr>
        <w:t>Peter Gardner, University of York</w:t>
      </w:r>
    </w:p>
    <w:p w14:paraId="5BD0D846" w14:textId="77777777" w:rsidR="00BC11CF" w:rsidRPr="00BC11CF" w:rsidRDefault="00BC11CF" w:rsidP="00BC11CF">
      <w:pPr>
        <w:rPr>
          <w:rFonts w:eastAsia="Georgia"/>
          <w:i/>
          <w:iCs/>
          <w:sz w:val="24"/>
          <w:szCs w:val="24"/>
        </w:rPr>
      </w:pPr>
      <w:r w:rsidRPr="00BC11CF">
        <w:rPr>
          <w:rFonts w:eastAsia="Georgia"/>
          <w:i/>
          <w:iCs/>
          <w:sz w:val="24"/>
          <w:szCs w:val="24"/>
        </w:rPr>
        <w:t>Tiago Carvalho, ISCTE – Instituto Universitário de Lisboa</w:t>
      </w:r>
    </w:p>
    <w:p w14:paraId="7605E632" w14:textId="77777777" w:rsidR="00BC11CF" w:rsidRPr="00BC11CF" w:rsidRDefault="00BC11CF" w:rsidP="00BC11CF">
      <w:pPr>
        <w:rPr>
          <w:rFonts w:eastAsia="Georgia"/>
          <w:i/>
          <w:iCs/>
          <w:sz w:val="24"/>
          <w:szCs w:val="24"/>
        </w:rPr>
      </w:pPr>
      <w:r w:rsidRPr="00BC11CF">
        <w:rPr>
          <w:rFonts w:eastAsia="Georgia"/>
          <w:i/>
          <w:iCs/>
          <w:sz w:val="24"/>
          <w:szCs w:val="24"/>
        </w:rPr>
        <w:t>Thomas O’Brien, University of York</w:t>
      </w:r>
    </w:p>
    <w:p w14:paraId="47C5B95D" w14:textId="5B5CF42A" w:rsidR="00BC11CF" w:rsidRPr="00BC11CF" w:rsidRDefault="00BC11CF" w:rsidP="00BC11CF">
      <w:pPr>
        <w:rPr>
          <w:rFonts w:eastAsia="Georgia"/>
          <w:i/>
          <w:iCs/>
          <w:sz w:val="24"/>
          <w:szCs w:val="24"/>
        </w:rPr>
      </w:pPr>
      <w:r w:rsidRPr="00BC11CF">
        <w:rPr>
          <w:rFonts w:eastAsia="Georgia"/>
          <w:i/>
          <w:iCs/>
          <w:sz w:val="24"/>
          <w:szCs w:val="24"/>
        </w:rPr>
        <w:t>Erin Rose Newman-Grigg, Radboud University</w:t>
      </w:r>
    </w:p>
    <w:p w14:paraId="00000002" w14:textId="77777777" w:rsidR="00D920F2" w:rsidRPr="00BC11CF" w:rsidRDefault="00D920F2">
      <w:pPr>
        <w:spacing w:line="480" w:lineRule="auto"/>
        <w:rPr>
          <w:rFonts w:eastAsia="Georgia"/>
          <w:i/>
          <w:iCs/>
          <w:sz w:val="24"/>
          <w:szCs w:val="24"/>
        </w:rPr>
      </w:pPr>
      <w:bookmarkStart w:id="1" w:name="_oztn3sjsh64u" w:colFirst="0" w:colLast="0"/>
      <w:bookmarkEnd w:id="1"/>
    </w:p>
    <w:p w14:paraId="00000008" w14:textId="77777777" w:rsidR="00D920F2" w:rsidRPr="002C0CF8" w:rsidRDefault="009E4571">
      <w:pPr>
        <w:pStyle w:val="Heading2"/>
        <w:rPr>
          <w:rFonts w:eastAsia="Georgia"/>
        </w:rPr>
      </w:pPr>
      <w:bookmarkStart w:id="2" w:name="_5qz0j16wxck4" w:colFirst="0" w:colLast="0"/>
      <w:bookmarkEnd w:id="2"/>
      <w:r w:rsidRPr="002C0CF8">
        <w:rPr>
          <w:rFonts w:eastAsia="Georgia"/>
        </w:rPr>
        <w:t>Abstract</w:t>
      </w:r>
    </w:p>
    <w:p w14:paraId="00000009" w14:textId="5FC6ECE7" w:rsidR="00D920F2" w:rsidRPr="002C0CF8" w:rsidRDefault="009E4571">
      <w:pPr>
        <w:spacing w:line="480" w:lineRule="auto"/>
        <w:ind w:left="720"/>
        <w:jc w:val="both"/>
        <w:rPr>
          <w:rFonts w:eastAsia="Georgia"/>
          <w:sz w:val="24"/>
          <w:szCs w:val="24"/>
        </w:rPr>
      </w:pPr>
      <w:r w:rsidRPr="002C0CF8">
        <w:rPr>
          <w:rFonts w:eastAsia="Georgia"/>
          <w:sz w:val="24"/>
          <w:szCs w:val="24"/>
        </w:rPr>
        <w:t xml:space="preserve">This paper examines how distance impacts the network of connections across social movement organisations. Much of the social movements research on scale and spatiality has focused on micro (the immediate vicinity in protest events) and macro levels (local-global connections), with limited attention paid to the role played by distance in shaping networks across a single country context. To examine this phenomenon, we analyse Extinction Rebellion Australia: an environmental social movement organisation that diffused from the densely populated and spatially compact UK to Australia, with its geographically concentrated populations separated by large distances. Building on </w:t>
      </w:r>
      <w:proofErr w:type="spellStart"/>
      <w:r w:rsidRPr="002C0CF8">
        <w:rPr>
          <w:rFonts w:eastAsia="Georgia"/>
          <w:sz w:val="24"/>
          <w:szCs w:val="24"/>
        </w:rPr>
        <w:t>Davis’</w:t>
      </w:r>
      <w:proofErr w:type="spellEnd"/>
      <w:r w:rsidRPr="002C0CF8">
        <w:rPr>
          <w:rFonts w:eastAsia="Georgia"/>
          <w:sz w:val="24"/>
          <w:szCs w:val="24"/>
        </w:rPr>
        <w:t xml:space="preserve"> power of distance framework, this paper introduces the </w:t>
      </w:r>
      <w:r w:rsidRPr="002C0CF8">
        <w:rPr>
          <w:rFonts w:eastAsia="Georgia"/>
          <w:i/>
          <w:iCs/>
          <w:sz w:val="24"/>
          <w:szCs w:val="24"/>
        </w:rPr>
        <w:t>power of inter-chapter distance</w:t>
      </w:r>
      <w:r w:rsidRPr="002C0CF8">
        <w:rPr>
          <w:rFonts w:eastAsia="Georgia"/>
          <w:sz w:val="24"/>
          <w:szCs w:val="24"/>
        </w:rPr>
        <w:t>: a framework wherein physical, institutional, cultural, and class-based distances shape network connections within social movements. Our network analysis revealed four network archetypes: a bridge-rich core spans the eastern coast from Melbourne to Brisbane, while affinity-clustered, chapter-centred, and bifurcated systems are found elsewhere in the country. A thematic analysis then draws on rich qualitative data to discuss how inter-chapter distances impact the character of mobilisation in Extinction Rebellion Australia.</w:t>
      </w:r>
    </w:p>
    <w:p w14:paraId="0000000A" w14:textId="77777777" w:rsidR="00D920F2" w:rsidRPr="002C0CF8" w:rsidRDefault="00D920F2">
      <w:pPr>
        <w:spacing w:line="480" w:lineRule="auto"/>
        <w:rPr>
          <w:rFonts w:eastAsia="Georgia"/>
          <w:sz w:val="24"/>
          <w:szCs w:val="24"/>
        </w:rPr>
      </w:pPr>
    </w:p>
    <w:p w14:paraId="0000000B" w14:textId="77777777" w:rsidR="00D920F2" w:rsidRPr="002C0CF8" w:rsidRDefault="009E4571">
      <w:pPr>
        <w:spacing w:line="480" w:lineRule="auto"/>
        <w:jc w:val="both"/>
        <w:rPr>
          <w:rFonts w:eastAsia="Georgia"/>
          <w:b/>
          <w:bCs/>
          <w:i/>
          <w:iCs/>
          <w:sz w:val="24"/>
          <w:szCs w:val="24"/>
        </w:rPr>
      </w:pPr>
      <w:r w:rsidRPr="002C0CF8">
        <w:rPr>
          <w:rFonts w:eastAsia="Georgia"/>
          <w:b/>
          <w:bCs/>
          <w:i/>
          <w:iCs/>
          <w:sz w:val="24"/>
          <w:szCs w:val="24"/>
        </w:rPr>
        <w:lastRenderedPageBreak/>
        <w:t>Keywords: Australia; Distance; Climate and ecological breakdown; Geographies of activism; Diffusion</w:t>
      </w:r>
    </w:p>
    <w:p w14:paraId="0000000C" w14:textId="77777777" w:rsidR="00D920F2" w:rsidRPr="002C0CF8" w:rsidRDefault="00D920F2">
      <w:pPr>
        <w:spacing w:line="480" w:lineRule="auto"/>
        <w:rPr>
          <w:rFonts w:eastAsia="Georgia"/>
          <w:sz w:val="24"/>
          <w:szCs w:val="24"/>
        </w:rPr>
      </w:pPr>
    </w:p>
    <w:p w14:paraId="0000000D" w14:textId="77777777" w:rsidR="00D920F2" w:rsidRPr="002C0CF8" w:rsidRDefault="009E4571">
      <w:pPr>
        <w:pStyle w:val="Heading2"/>
        <w:spacing w:before="400" w:after="120"/>
        <w:rPr>
          <w:rFonts w:eastAsia="Georgia"/>
        </w:rPr>
      </w:pPr>
      <w:bookmarkStart w:id="3" w:name="_2hem8b8gidf6" w:colFirst="0" w:colLast="0"/>
      <w:bookmarkEnd w:id="3"/>
      <w:r w:rsidRPr="002C0CF8">
        <w:rPr>
          <w:rFonts w:eastAsia="Georgia"/>
        </w:rPr>
        <w:t>Introduction</w:t>
      </w:r>
    </w:p>
    <w:p w14:paraId="0000000E" w14:textId="77777777" w:rsidR="00D920F2" w:rsidRPr="002C0CF8" w:rsidRDefault="009E4571">
      <w:pPr>
        <w:spacing w:after="160" w:line="480" w:lineRule="auto"/>
        <w:jc w:val="both"/>
        <w:rPr>
          <w:rFonts w:eastAsia="Georgia"/>
          <w:sz w:val="24"/>
          <w:szCs w:val="24"/>
        </w:rPr>
      </w:pPr>
      <w:r w:rsidRPr="002C0CF8">
        <w:rPr>
          <w:rFonts w:eastAsia="Georgia"/>
          <w:sz w:val="24"/>
          <w:szCs w:val="24"/>
        </w:rPr>
        <w:t xml:space="preserve">This paper examines the role of distance between local chapters of a social movement organisation (“SMO” herein) in shaping its network connections. As critical geography scholars have long contended, distance is not a </w:t>
      </w:r>
      <w:proofErr w:type="spellStart"/>
      <w:r w:rsidRPr="002C0CF8">
        <w:rPr>
          <w:rFonts w:eastAsia="Georgia"/>
          <w:sz w:val="24"/>
          <w:szCs w:val="24"/>
        </w:rPr>
        <w:t>prediscursive</w:t>
      </w:r>
      <w:proofErr w:type="spellEnd"/>
      <w:r w:rsidRPr="002C0CF8">
        <w:rPr>
          <w:rFonts w:eastAsia="Georgia"/>
          <w:sz w:val="24"/>
          <w:szCs w:val="24"/>
        </w:rPr>
        <w:t xml:space="preserve"> fact, but one that is socially and relationally produced (Massey 2005; 2013; Endres and Senda-Cook, 2011). Spatiality is ‘semantically complex concept’ (Sewell 2001: 52) with wide-ranging impacts on social movements (Scholl 2020; Nicholls 2007; 2009). The spatial arrangements, boundaries, and configurations within which individuals and organisations operate profoundly shape their social connections, behaviours, and identities; or, as Nicholls, Miller, and Beaumont (2016: 2) succinctly put it, ‘social relations are spatial relations’. However, little attention has thus far been paid to how distance at the scale of a national territory shapes SMOs. This is particularly worthy of attention </w:t>
      </w:r>
      <w:proofErr w:type="gramStart"/>
      <w:r w:rsidRPr="002C0CF8">
        <w:rPr>
          <w:rFonts w:eastAsia="Georgia"/>
          <w:sz w:val="24"/>
          <w:szCs w:val="24"/>
        </w:rPr>
        <w:t>in light of</w:t>
      </w:r>
      <w:proofErr w:type="gramEnd"/>
      <w:r w:rsidRPr="002C0CF8">
        <w:rPr>
          <w:rFonts w:eastAsia="Georgia"/>
          <w:sz w:val="24"/>
          <w:szCs w:val="24"/>
        </w:rPr>
        <w:t xml:space="preserve"> the transnational diffusion of SMOs, as social movements spread to countries with radically different geographies. In this paper, we build on </w:t>
      </w:r>
      <w:proofErr w:type="spellStart"/>
      <w:r w:rsidRPr="002C0CF8">
        <w:rPr>
          <w:rFonts w:eastAsia="Georgia"/>
          <w:sz w:val="24"/>
          <w:szCs w:val="24"/>
        </w:rPr>
        <w:t>Davis’</w:t>
      </w:r>
      <w:proofErr w:type="spellEnd"/>
      <w:r w:rsidRPr="002C0CF8">
        <w:rPr>
          <w:rFonts w:eastAsia="Georgia"/>
          <w:sz w:val="24"/>
          <w:szCs w:val="24"/>
        </w:rPr>
        <w:t xml:space="preserve"> (1999) power of distance (POD) framework, which provides insights into how physical, institutional, cultural and class distances from the state influence the characteristics and outcomes of social movements. Applying this to examine how distance affects networks of local chapters within SMOs, we put forward the </w:t>
      </w:r>
      <w:r w:rsidRPr="002C0CF8">
        <w:rPr>
          <w:rFonts w:eastAsia="Georgia"/>
          <w:i/>
          <w:iCs/>
          <w:sz w:val="24"/>
          <w:szCs w:val="24"/>
        </w:rPr>
        <w:t>power of inter-chapter distance</w:t>
      </w:r>
      <w:r w:rsidRPr="002C0CF8">
        <w:rPr>
          <w:rFonts w:eastAsia="Georgia"/>
          <w:sz w:val="24"/>
          <w:szCs w:val="24"/>
        </w:rPr>
        <w:t xml:space="preserve"> framework: an analytical approach to examining how physical, institutional, cultural and class-based distances between local chapters of an SMO shape its network, enabling and constraining various outcomes.</w:t>
      </w:r>
    </w:p>
    <w:p w14:paraId="0000000F" w14:textId="28ACC32A" w:rsidR="00D920F2" w:rsidRPr="002C0CF8" w:rsidRDefault="009E4571">
      <w:pPr>
        <w:spacing w:after="160" w:line="480" w:lineRule="auto"/>
        <w:jc w:val="both"/>
        <w:rPr>
          <w:rFonts w:eastAsia="Georgia"/>
          <w:sz w:val="24"/>
          <w:szCs w:val="24"/>
        </w:rPr>
      </w:pPr>
      <w:r w:rsidRPr="002C0CF8">
        <w:rPr>
          <w:rFonts w:eastAsia="Georgia"/>
          <w:sz w:val="24"/>
          <w:szCs w:val="24"/>
        </w:rPr>
        <w:lastRenderedPageBreak/>
        <w:t xml:space="preserve">Contemporary SMOs are commonly organised into chapters: decentralised, federated and ‘dispersed local affiliates’ (McCarthy 2005). Chapters are usually spread </w:t>
      </w:r>
      <w:proofErr w:type="spellStart"/>
      <w:r w:rsidRPr="002C0CF8">
        <w:rPr>
          <w:rFonts w:eastAsia="Georgia"/>
          <w:sz w:val="24"/>
          <w:szCs w:val="24"/>
        </w:rPr>
        <w:t>cross</w:t>
      </w:r>
      <w:proofErr w:type="spellEnd"/>
      <w:r w:rsidRPr="002C0CF8">
        <w:rPr>
          <w:rFonts w:eastAsia="Georgia"/>
          <w:sz w:val="24"/>
          <w:szCs w:val="24"/>
        </w:rPr>
        <w:t xml:space="preserve"> the landscape such that individual activists in local areas can meet and engage in localised forms of protest (Gardner, Carvalho and </w:t>
      </w:r>
      <w:proofErr w:type="spellStart"/>
      <w:r w:rsidRPr="002C0CF8">
        <w:rPr>
          <w:rFonts w:eastAsia="Georgia"/>
          <w:sz w:val="24"/>
          <w:szCs w:val="24"/>
        </w:rPr>
        <w:t>Valenstain</w:t>
      </w:r>
      <w:proofErr w:type="spellEnd"/>
      <w:r w:rsidRPr="002C0CF8">
        <w:rPr>
          <w:rFonts w:eastAsia="Georgia"/>
          <w:sz w:val="24"/>
          <w:szCs w:val="24"/>
        </w:rPr>
        <w:t xml:space="preserve"> 2022). In highly decentralised, non-hierarchical SMOs, such as Extinction Rebellion, the ways in which movements organise, mobilise, and engage in protest are influenced by inter-chapter networks: the set of relational connections across chapters of a single SMO. In this paper, we offer a framework with which to examine how distances shape SMO network constellations and ties.</w:t>
      </w:r>
    </w:p>
    <w:p w14:paraId="00000010" w14:textId="77777777" w:rsidR="00D920F2" w:rsidRPr="002C0CF8" w:rsidRDefault="009E4571">
      <w:pPr>
        <w:spacing w:after="160" w:line="480" w:lineRule="auto"/>
        <w:jc w:val="both"/>
        <w:rPr>
          <w:rFonts w:eastAsia="Georgia"/>
          <w:sz w:val="24"/>
          <w:szCs w:val="24"/>
        </w:rPr>
      </w:pPr>
      <w:r w:rsidRPr="002C0CF8">
        <w:rPr>
          <w:rFonts w:eastAsia="Georgia"/>
          <w:sz w:val="24"/>
          <w:szCs w:val="24"/>
        </w:rPr>
        <w:t xml:space="preserve">Research on the global diffusion of Extinction Rebellion has considered aspects of local adaptation of the movement across a wide variety of contexts, including Europe (Buzogány and Scherhaufer, 2022; Falanga and Carvalho, 2025), Africa (Müller 2025; Gardner et al. 2023), North America (James and Mack 2020), and Oceania (Matthews, Bond and Nairn 2025). Despite the radically different geographical terrains Extinction Rebellion has diffused to, little is known about the role spatiality played in the strength of ties between its local chapters. This paper offers an analysis of the distance between – and connections among – the local chapters of a single SMO across a country, using Extinction Rebellion Australia (“XR Australia” herein) as its case study. To do so, we draw on a network analysis and thematic analysis of 20 semi-structured interviews with XR Australia. The paper proceeds through five substantive sections. After first discussing the social movement studies research on spatiality, we provide a brief overview of environmental activism in Australia. The third section describes the methodology used in the study. We then outline our findings: first the network analysis, then the thematic analyses. The paper concludes by discussing the implications of the paper for understanding social movement dynamics. </w:t>
      </w:r>
    </w:p>
    <w:p w14:paraId="00000011" w14:textId="77777777" w:rsidR="00D920F2" w:rsidRPr="002C0CF8" w:rsidRDefault="00D920F2">
      <w:pPr>
        <w:spacing w:after="160" w:line="480" w:lineRule="auto"/>
        <w:jc w:val="both"/>
        <w:rPr>
          <w:rFonts w:eastAsia="Georgia"/>
          <w:sz w:val="24"/>
          <w:szCs w:val="24"/>
        </w:rPr>
      </w:pPr>
    </w:p>
    <w:p w14:paraId="00000012" w14:textId="77777777" w:rsidR="00D920F2" w:rsidRPr="002C0CF8" w:rsidRDefault="009E4571">
      <w:pPr>
        <w:pStyle w:val="Heading2"/>
        <w:spacing w:after="60"/>
        <w:rPr>
          <w:rFonts w:eastAsia="Georgia"/>
        </w:rPr>
      </w:pPr>
      <w:bookmarkStart w:id="4" w:name="_b5aqffqikb7a" w:colFirst="0" w:colLast="0"/>
      <w:bookmarkEnd w:id="4"/>
      <w:r w:rsidRPr="002C0CF8">
        <w:rPr>
          <w:rFonts w:eastAsia="Georgia"/>
        </w:rPr>
        <w:t>Spatial Perspectives in the Analysis of Social Movements</w:t>
      </w:r>
    </w:p>
    <w:p w14:paraId="00000013" w14:textId="77777777" w:rsidR="00D920F2" w:rsidRPr="002C0CF8" w:rsidRDefault="009E4571">
      <w:pPr>
        <w:spacing w:line="480" w:lineRule="auto"/>
        <w:jc w:val="both"/>
        <w:rPr>
          <w:rFonts w:eastAsia="Georgia"/>
          <w:sz w:val="24"/>
          <w:szCs w:val="24"/>
        </w:rPr>
      </w:pPr>
      <w:r w:rsidRPr="002C0CF8">
        <w:rPr>
          <w:rFonts w:eastAsia="Georgia"/>
          <w:sz w:val="24"/>
          <w:szCs w:val="24"/>
        </w:rPr>
        <w:t xml:space="preserve">By the turn of the millennium, although the spatial dynamics of contentious politics were commonplace in the narratives of specific case study events scholars provided in their work, the subject ‘rarely play[ed] a significant part in analysts’ explanations of what is going on, much less in general formulations concerning social movements, industrial conflict, revolutions, democratization, or ethnic struggle’ (Tilly 2000: 139; Jessop, Brenner and Jones 2008). In the quarter-century since, much productive work on the topic has covered a variety of subjects, including discussions of how movements utilise the concept of place in their protests to rhetorical effect (Endres and Senda-Cook 2011), the role of the street and public statues as spatially meaningful symbolic objects (Whelan 2010; Gardner and Abrams 2023), how disruptive environmental protest can disrupt the meanings of the urban landscapes they inhabit (Axon 2019), spatial dimensions of local-global interaction in transnational social movements (Sikkink 2005; della Porta and Tarrow 2005), and generally how protest, resistance and revolution transform, reshape or (re)build public space and </w:t>
      </w:r>
      <w:proofErr w:type="spellStart"/>
      <w:r w:rsidRPr="002C0CF8">
        <w:rPr>
          <w:rFonts w:eastAsia="Georgia"/>
          <w:sz w:val="24"/>
          <w:szCs w:val="24"/>
        </w:rPr>
        <w:t>spatialities</w:t>
      </w:r>
      <w:proofErr w:type="spellEnd"/>
      <w:r w:rsidRPr="002C0CF8">
        <w:rPr>
          <w:rFonts w:eastAsia="Georgia"/>
          <w:sz w:val="24"/>
          <w:szCs w:val="24"/>
        </w:rPr>
        <w:t xml:space="preserve"> (see Mitchell 2003; </w:t>
      </w:r>
      <w:proofErr w:type="spellStart"/>
      <w:r w:rsidRPr="002C0CF8">
        <w:rPr>
          <w:rFonts w:eastAsia="Georgia"/>
          <w:sz w:val="24"/>
          <w:szCs w:val="24"/>
        </w:rPr>
        <w:t>Padawangi</w:t>
      </w:r>
      <w:proofErr w:type="spellEnd"/>
      <w:r w:rsidRPr="002C0CF8">
        <w:rPr>
          <w:rFonts w:eastAsia="Georgia"/>
          <w:sz w:val="24"/>
          <w:szCs w:val="24"/>
        </w:rPr>
        <w:t xml:space="preserve"> 2013; Miller and Nicholls 2013; O’Brien 2025; Said 2023). However, much of this work has focused either on the micro level of the immediate space in which protests are staged or on the global – and more nebulous – conceptualisations of space in the networked connections of transnational movements. Few have considered its mid-level dynamics: the roles played by the regional spatiality of – and distance between – social movements or, as in the case for the current study, local chapters of a single social movement.</w:t>
      </w:r>
    </w:p>
    <w:p w14:paraId="00000014" w14:textId="77777777" w:rsidR="00D920F2" w:rsidRPr="002C0CF8" w:rsidRDefault="00D920F2">
      <w:pPr>
        <w:spacing w:line="480" w:lineRule="auto"/>
        <w:jc w:val="both"/>
        <w:rPr>
          <w:rFonts w:eastAsia="Georgia"/>
          <w:sz w:val="24"/>
          <w:szCs w:val="24"/>
        </w:rPr>
      </w:pPr>
    </w:p>
    <w:p w14:paraId="00000015" w14:textId="77777777" w:rsidR="00D920F2" w:rsidRPr="002C0CF8" w:rsidRDefault="009E4571">
      <w:pPr>
        <w:spacing w:line="480" w:lineRule="auto"/>
        <w:jc w:val="both"/>
        <w:rPr>
          <w:rFonts w:eastAsia="Georgia"/>
          <w:sz w:val="24"/>
          <w:szCs w:val="24"/>
        </w:rPr>
      </w:pPr>
      <w:r w:rsidRPr="002C0CF8">
        <w:rPr>
          <w:rFonts w:eastAsia="Georgia"/>
          <w:sz w:val="24"/>
          <w:szCs w:val="24"/>
        </w:rPr>
        <w:lastRenderedPageBreak/>
        <w:t xml:space="preserve">Critical geographers have long contended that space, place, and scale are not fixed, objective phenomena but are socially produced and mediated (Massey 2005; 2013; Jessop, Brenner and Jones 2008). Distance is not an objective feature of the landscape, but a dynamic process produced through ‘social interactions’ (Massey 2012: 68). Massey’s concept of power-geometry is instructive here, wherein social inequalities and forms of power impact whose mobility – be it the flow of people, information or capital – gets accelerated and whose is restricted (Massey 2012; 2013). These create differentials in how individuals and social groups in different locations connect to networks across regional, national and global scales, with time-space compression for some leading to a widening of distances for others. Hence, the contemporary environmental movement’s aim to minimise emissions, and the additional moral costs attached to ecologically damaging forms of transport (particularly airline travel), increases distances across wide landmasses such as Australia. Having originated in the UK and spread to widely diverging territories across the world (Gardner, Carvalho and </w:t>
      </w:r>
      <w:proofErr w:type="spellStart"/>
      <w:r w:rsidRPr="002C0CF8">
        <w:rPr>
          <w:rFonts w:eastAsia="Georgia"/>
          <w:sz w:val="24"/>
          <w:szCs w:val="24"/>
        </w:rPr>
        <w:t>Valenstain</w:t>
      </w:r>
      <w:proofErr w:type="spellEnd"/>
      <w:r w:rsidRPr="002C0CF8">
        <w:rPr>
          <w:rFonts w:eastAsia="Georgia"/>
          <w:sz w:val="24"/>
          <w:szCs w:val="24"/>
        </w:rPr>
        <w:t xml:space="preserve">, 2022), the role of distance in national networks of Extinction Rebellion has been underappreciated by both scholars and by social movement actors themselves. Moreover, this lacuna is not specific to the research on Extinction </w:t>
      </w:r>
      <w:proofErr w:type="gramStart"/>
      <w:r w:rsidRPr="002C0CF8">
        <w:rPr>
          <w:rFonts w:eastAsia="Georgia"/>
          <w:sz w:val="24"/>
          <w:szCs w:val="24"/>
        </w:rPr>
        <w:t>Rebellion, but</w:t>
      </w:r>
      <w:proofErr w:type="gramEnd"/>
      <w:r w:rsidRPr="002C0CF8">
        <w:rPr>
          <w:rFonts w:eastAsia="Georgia"/>
          <w:sz w:val="24"/>
          <w:szCs w:val="24"/>
        </w:rPr>
        <w:t xml:space="preserve"> is largely missing in social movement analysis more broadly.</w:t>
      </w:r>
    </w:p>
    <w:p w14:paraId="00000016" w14:textId="77777777" w:rsidR="00D920F2" w:rsidRPr="002C0CF8" w:rsidRDefault="00D920F2">
      <w:pPr>
        <w:spacing w:line="480" w:lineRule="auto"/>
        <w:jc w:val="both"/>
        <w:rPr>
          <w:rFonts w:eastAsia="Georgia"/>
          <w:sz w:val="24"/>
          <w:szCs w:val="24"/>
        </w:rPr>
      </w:pPr>
    </w:p>
    <w:p w14:paraId="00000017" w14:textId="77777777" w:rsidR="00D920F2" w:rsidRPr="002C0CF8" w:rsidRDefault="009E4571">
      <w:pPr>
        <w:spacing w:line="480" w:lineRule="auto"/>
        <w:jc w:val="both"/>
        <w:rPr>
          <w:rFonts w:eastAsia="Georgia"/>
          <w:sz w:val="24"/>
          <w:szCs w:val="24"/>
        </w:rPr>
      </w:pPr>
      <w:r w:rsidRPr="002C0CF8">
        <w:rPr>
          <w:rFonts w:eastAsia="Georgia"/>
          <w:sz w:val="24"/>
          <w:szCs w:val="24"/>
        </w:rPr>
        <w:t xml:space="preserve">In her analysis of Latin American social movements, Davis (1999) engaged the concept of distance across territory to explain the dynamics of mobilisation, radicalism, and the outcomes of and meanings attached to activist engagement. Her work centres on the relationship between movements and the state, examining how these dynamics are influenced by various forms of distance that individual citizens experience from the </w:t>
      </w:r>
      <w:r w:rsidRPr="002C0CF8">
        <w:rPr>
          <w:rFonts w:eastAsia="Georgia"/>
          <w:sz w:val="24"/>
          <w:szCs w:val="24"/>
        </w:rPr>
        <w:lastRenderedPageBreak/>
        <w:t xml:space="preserve">centre of state power. For Davis, the spatial dimension of social movement analysis has been under-considered in social movement studies research. In contrast, </w:t>
      </w:r>
      <w:proofErr w:type="spellStart"/>
      <w:r w:rsidRPr="002C0CF8">
        <w:rPr>
          <w:rFonts w:eastAsia="Georgia"/>
          <w:sz w:val="24"/>
          <w:szCs w:val="24"/>
        </w:rPr>
        <w:t>Davis’</w:t>
      </w:r>
      <w:proofErr w:type="spellEnd"/>
      <w:r w:rsidRPr="002C0CF8">
        <w:rPr>
          <w:rFonts w:eastAsia="Georgia"/>
          <w:sz w:val="24"/>
          <w:szCs w:val="24"/>
        </w:rPr>
        <w:t xml:space="preserve"> work demonstrates how space, location and distance ‘[establish] parameters on action even as it interacts with social forces, structures, and conditions to construct that action … directly </w:t>
      </w:r>
      <w:proofErr w:type="spellStart"/>
      <w:r w:rsidRPr="002C0CF8">
        <w:rPr>
          <w:rFonts w:eastAsia="Georgia"/>
          <w:sz w:val="24"/>
          <w:szCs w:val="24"/>
        </w:rPr>
        <w:t>influenc</w:t>
      </w:r>
      <w:proofErr w:type="spellEnd"/>
      <w:r w:rsidRPr="002C0CF8">
        <w:rPr>
          <w:rFonts w:eastAsia="Georgia"/>
          <w:sz w:val="24"/>
          <w:szCs w:val="24"/>
        </w:rPr>
        <w:t>[</w:t>
      </w:r>
      <w:proofErr w:type="spellStart"/>
      <w:r w:rsidRPr="002C0CF8">
        <w:rPr>
          <w:rFonts w:eastAsia="Georgia"/>
          <w:sz w:val="24"/>
          <w:szCs w:val="24"/>
        </w:rPr>
        <w:t>ing</w:t>
      </w:r>
      <w:proofErr w:type="spellEnd"/>
      <w:r w:rsidRPr="002C0CF8">
        <w:rPr>
          <w:rFonts w:eastAsia="Georgia"/>
          <w:sz w:val="24"/>
          <w:szCs w:val="24"/>
        </w:rPr>
        <w:t>] the formation, objectives, and strategies of citizens as individuals and collectively in social movements’ (1999: 601).</w:t>
      </w:r>
    </w:p>
    <w:p w14:paraId="00000018" w14:textId="77777777" w:rsidR="00D920F2" w:rsidRPr="002C0CF8" w:rsidRDefault="00D920F2">
      <w:pPr>
        <w:spacing w:line="480" w:lineRule="auto"/>
        <w:rPr>
          <w:rFonts w:eastAsia="Georgia"/>
          <w:sz w:val="24"/>
          <w:szCs w:val="24"/>
        </w:rPr>
      </w:pPr>
    </w:p>
    <w:p w14:paraId="00000019" w14:textId="77777777" w:rsidR="00D920F2" w:rsidRPr="002C0CF8" w:rsidRDefault="009E4571">
      <w:pPr>
        <w:spacing w:line="480" w:lineRule="auto"/>
        <w:jc w:val="both"/>
        <w:rPr>
          <w:rFonts w:eastAsia="Georgia"/>
          <w:sz w:val="24"/>
          <w:szCs w:val="24"/>
        </w:rPr>
      </w:pPr>
      <w:proofErr w:type="spellStart"/>
      <w:r w:rsidRPr="002C0CF8">
        <w:rPr>
          <w:rFonts w:eastAsia="Georgia"/>
          <w:sz w:val="24"/>
          <w:szCs w:val="24"/>
        </w:rPr>
        <w:t>Davis’</w:t>
      </w:r>
      <w:proofErr w:type="spellEnd"/>
      <w:r w:rsidRPr="002C0CF8">
        <w:rPr>
          <w:rFonts w:eastAsia="Georgia"/>
          <w:sz w:val="24"/>
          <w:szCs w:val="24"/>
        </w:rPr>
        <w:t xml:space="preserve"> framework – the </w:t>
      </w:r>
      <w:r w:rsidRPr="002C0CF8">
        <w:rPr>
          <w:rFonts w:eastAsia="Georgia"/>
          <w:i/>
          <w:iCs/>
          <w:sz w:val="24"/>
          <w:szCs w:val="24"/>
        </w:rPr>
        <w:t>power of distance</w:t>
      </w:r>
      <w:r w:rsidRPr="002C0CF8">
        <w:rPr>
          <w:rFonts w:eastAsia="Georgia"/>
          <w:sz w:val="24"/>
          <w:szCs w:val="24"/>
        </w:rPr>
        <w:t xml:space="preserve"> (POD) model – aims at “understanding social movement origins and successes based on a relational understanding of state-society dynamics” (1999; Davis and Rosan, 2004: 281). In this framework, four forms of distance from the state are relevant for the analysis: geographic, institutional, cultural and </w:t>
      </w:r>
      <w:proofErr w:type="gramStart"/>
      <w:r w:rsidRPr="002C0CF8">
        <w:rPr>
          <w:rFonts w:eastAsia="Georgia"/>
          <w:sz w:val="24"/>
          <w:szCs w:val="24"/>
        </w:rPr>
        <w:t>class-based</w:t>
      </w:r>
      <w:proofErr w:type="gramEnd"/>
      <w:r w:rsidRPr="002C0CF8">
        <w:rPr>
          <w:rFonts w:eastAsia="Georgia"/>
          <w:sz w:val="24"/>
          <w:szCs w:val="24"/>
        </w:rPr>
        <w:t xml:space="preserve">. For the first of these, physical distance from the seat of political power, commonly located in urban centres that are ‘endowed with activities, resources, symbolic meaning, and a political centrality that differentiates it from other places in the nation’, creates fundamentally different contexts for social movement organising (1999: 603). Distance need not be limited to one’s proximity to the capital: differentiated extents of institutional integration across the country create a patchwork of proximity to the state. For example, ‘in some countries, border regions, although geographically distant from the capital city and central state, will be well integrated institutionally because of the state’s warmaking or defensive capacities’ (1999: 604). Institutional distance relates to the extent to which individuals and cohorts </w:t>
      </w:r>
      <w:proofErr w:type="gramStart"/>
      <w:r w:rsidRPr="002C0CF8">
        <w:rPr>
          <w:rFonts w:eastAsia="Georgia"/>
          <w:sz w:val="24"/>
          <w:szCs w:val="24"/>
        </w:rPr>
        <w:t>have the ability to</w:t>
      </w:r>
      <w:proofErr w:type="gramEnd"/>
      <w:r w:rsidRPr="002C0CF8">
        <w:rPr>
          <w:rFonts w:eastAsia="Georgia"/>
          <w:sz w:val="24"/>
          <w:szCs w:val="24"/>
        </w:rPr>
        <w:t xml:space="preserve"> engage with or are permitted entry to the ‘formal institutions of governance’ (1999: 606). The history of colonialism, marginalisation, and systemic violence in Latin America render cultural differences a crucial factor for understanding the degree of alienation from spaces of political power. Likewise, on class, Davis contends that, </w:t>
      </w:r>
      <w:r w:rsidRPr="002C0CF8">
        <w:rPr>
          <w:rFonts w:eastAsia="Georgia"/>
          <w:sz w:val="24"/>
          <w:szCs w:val="24"/>
        </w:rPr>
        <w:lastRenderedPageBreak/>
        <w:t>unlike the well-off, the poor tend to ‘lack the connections, education, and political strength to make the state respond to their concerns’ (1999: 612). Applying the POD model, Davis examines how each of these four distances from the state give rise to specific sets of outcomes for social movements.</w:t>
      </w:r>
    </w:p>
    <w:p w14:paraId="0000001A" w14:textId="77777777" w:rsidR="00D920F2" w:rsidRPr="002C0CF8" w:rsidRDefault="00D920F2">
      <w:pPr>
        <w:spacing w:line="480" w:lineRule="auto"/>
        <w:rPr>
          <w:rFonts w:eastAsia="Georgia"/>
          <w:sz w:val="24"/>
          <w:szCs w:val="24"/>
        </w:rPr>
      </w:pPr>
    </w:p>
    <w:p w14:paraId="0000001B" w14:textId="77777777" w:rsidR="00D920F2" w:rsidRPr="002C0CF8" w:rsidRDefault="009E4571">
      <w:pPr>
        <w:spacing w:line="480" w:lineRule="auto"/>
        <w:jc w:val="both"/>
        <w:rPr>
          <w:rFonts w:eastAsia="Georgia"/>
          <w:sz w:val="24"/>
          <w:szCs w:val="24"/>
        </w:rPr>
      </w:pPr>
      <w:r w:rsidRPr="002C0CF8">
        <w:rPr>
          <w:rFonts w:eastAsia="Georgia"/>
          <w:sz w:val="24"/>
          <w:szCs w:val="24"/>
        </w:rPr>
        <w:t xml:space="preserve">Drawing on </w:t>
      </w:r>
      <w:proofErr w:type="spellStart"/>
      <w:r w:rsidRPr="002C0CF8">
        <w:rPr>
          <w:rFonts w:eastAsia="Georgia"/>
          <w:sz w:val="24"/>
          <w:szCs w:val="24"/>
        </w:rPr>
        <w:t>Davis’</w:t>
      </w:r>
      <w:proofErr w:type="spellEnd"/>
      <w:r w:rsidRPr="002C0CF8">
        <w:rPr>
          <w:rFonts w:eastAsia="Georgia"/>
          <w:sz w:val="24"/>
          <w:szCs w:val="24"/>
        </w:rPr>
        <w:t xml:space="preserve"> work, we explore the role of distance in examining the dynamics of networks among the local chapters of XR Australia. Our framework differs from </w:t>
      </w:r>
      <w:proofErr w:type="spellStart"/>
      <w:r w:rsidRPr="002C0CF8">
        <w:rPr>
          <w:rFonts w:eastAsia="Georgia"/>
          <w:sz w:val="24"/>
          <w:szCs w:val="24"/>
        </w:rPr>
        <w:t>Davis’</w:t>
      </w:r>
      <w:proofErr w:type="spellEnd"/>
      <w:r w:rsidRPr="002C0CF8">
        <w:rPr>
          <w:rFonts w:eastAsia="Georgia"/>
          <w:sz w:val="24"/>
          <w:szCs w:val="24"/>
        </w:rPr>
        <w:t xml:space="preserve"> POD model in several important respects. By focusing on Australia rather than Latin America, our analysis addresses a significantly different societal context to the one for which POD was initially developed. There are, therefore, historical and geographical specificities to be incorporated when considering the Australian context (as we detail below). In addition, where </w:t>
      </w:r>
      <w:proofErr w:type="spellStart"/>
      <w:r w:rsidRPr="002C0CF8">
        <w:rPr>
          <w:rFonts w:eastAsia="Georgia"/>
          <w:sz w:val="24"/>
          <w:szCs w:val="24"/>
        </w:rPr>
        <w:t>Davis’</w:t>
      </w:r>
      <w:proofErr w:type="spellEnd"/>
      <w:r w:rsidRPr="002C0CF8">
        <w:rPr>
          <w:rFonts w:eastAsia="Georgia"/>
          <w:sz w:val="24"/>
          <w:szCs w:val="24"/>
        </w:rPr>
        <w:t xml:space="preserve"> work explored distances between activists and the state, our analysis concentrates on the role played by distance for social movement organising across a country. While physical, institutional, cultural, and class-based-colonial distances from the state are also important here, our primary interest lies in understanding these dynamics of distance among the local chapters of XR Australia.</w:t>
      </w:r>
    </w:p>
    <w:p w14:paraId="0000001C" w14:textId="77777777" w:rsidR="00D920F2" w:rsidRPr="002C0CF8" w:rsidRDefault="00D920F2">
      <w:pPr>
        <w:spacing w:line="480" w:lineRule="auto"/>
        <w:rPr>
          <w:rFonts w:eastAsia="Georgia"/>
          <w:sz w:val="24"/>
          <w:szCs w:val="24"/>
        </w:rPr>
      </w:pPr>
    </w:p>
    <w:p w14:paraId="0000001D" w14:textId="77777777" w:rsidR="00D920F2" w:rsidRPr="002C0CF8" w:rsidRDefault="009E4571">
      <w:pPr>
        <w:spacing w:line="480" w:lineRule="auto"/>
        <w:jc w:val="both"/>
        <w:rPr>
          <w:rFonts w:eastAsia="Georgia"/>
          <w:sz w:val="24"/>
          <w:szCs w:val="24"/>
        </w:rPr>
      </w:pPr>
      <w:r w:rsidRPr="002C0CF8">
        <w:rPr>
          <w:rFonts w:eastAsia="Georgia"/>
          <w:sz w:val="24"/>
          <w:szCs w:val="24"/>
        </w:rPr>
        <w:t xml:space="preserve">Substantial contributions to the understanding of space and social movements have been made by network analysis-centred scholarship. Here, social movements have been conceptualised as highly spatial and relational players (e.g. Diani, 2003; Harvey, 2006; Castells, 2012). For Nicholls (2007; 2009), paying attention to space, scale and place provides a more thorough understanding of contentious politics, as material conditions of local spaces and the negotiation of multiple </w:t>
      </w:r>
      <w:proofErr w:type="spellStart"/>
      <w:r w:rsidRPr="002C0CF8">
        <w:rPr>
          <w:rFonts w:eastAsia="Georgia"/>
          <w:sz w:val="24"/>
          <w:szCs w:val="24"/>
        </w:rPr>
        <w:t>spatialities</w:t>
      </w:r>
      <w:proofErr w:type="spellEnd"/>
      <w:r w:rsidRPr="002C0CF8">
        <w:rPr>
          <w:rFonts w:eastAsia="Georgia"/>
          <w:sz w:val="24"/>
          <w:szCs w:val="24"/>
        </w:rPr>
        <w:t xml:space="preserve"> are central for understanding social movement practices and outcomes. As such, to understand the development of social movements, attention must be paid to how networks are forged, </w:t>
      </w:r>
      <w:r w:rsidRPr="002C0CF8">
        <w:rPr>
          <w:rFonts w:eastAsia="Georgia"/>
          <w:sz w:val="24"/>
          <w:szCs w:val="24"/>
        </w:rPr>
        <w:lastRenderedPageBreak/>
        <w:t>used and maintained in specific material contexts. Nicholls (2007) argues that place-based relationships and geographically extensive networks are important for gathering and deploying resources. In this sense, geographies of activist networks are understood to play a crucial role in enabling or constraining social movements in their diffusion and mobilisation. Building on this body of work, this paper incorporates an analysis of the network of local chapters into its examination of how distance impacts movements.</w:t>
      </w:r>
    </w:p>
    <w:p w14:paraId="0000001E" w14:textId="77777777" w:rsidR="00D920F2" w:rsidRPr="002C0CF8" w:rsidRDefault="00D920F2">
      <w:pPr>
        <w:spacing w:line="480" w:lineRule="auto"/>
        <w:jc w:val="both"/>
        <w:rPr>
          <w:rFonts w:eastAsia="Georgia"/>
          <w:sz w:val="24"/>
          <w:szCs w:val="24"/>
        </w:rPr>
      </w:pPr>
    </w:p>
    <w:p w14:paraId="0000001F" w14:textId="77777777" w:rsidR="00D920F2" w:rsidRPr="002C0CF8" w:rsidRDefault="009E4571">
      <w:pPr>
        <w:spacing w:line="480" w:lineRule="auto"/>
        <w:jc w:val="both"/>
        <w:rPr>
          <w:rFonts w:eastAsia="Georgia"/>
          <w:b/>
          <w:bCs/>
          <w:sz w:val="24"/>
          <w:szCs w:val="24"/>
        </w:rPr>
      </w:pPr>
      <w:r w:rsidRPr="002C0CF8">
        <w:rPr>
          <w:rFonts w:eastAsia="Georgia"/>
          <w:b/>
          <w:bCs/>
          <w:sz w:val="24"/>
          <w:szCs w:val="24"/>
        </w:rPr>
        <w:t>Environmental Activism in Australia</w:t>
      </w:r>
    </w:p>
    <w:p w14:paraId="00000020" w14:textId="77777777" w:rsidR="00D920F2" w:rsidRPr="002C0CF8" w:rsidRDefault="009E4571">
      <w:pPr>
        <w:spacing w:before="240" w:line="480" w:lineRule="auto"/>
        <w:jc w:val="both"/>
        <w:rPr>
          <w:rFonts w:eastAsia="Georgia"/>
          <w:sz w:val="24"/>
          <w:szCs w:val="24"/>
        </w:rPr>
      </w:pPr>
      <w:r w:rsidRPr="002C0CF8">
        <w:rPr>
          <w:rFonts w:eastAsia="Georgia"/>
          <w:sz w:val="24"/>
          <w:szCs w:val="24"/>
        </w:rPr>
        <w:t>The geography of Australia has played an important role in shaping the character of the environmental movement since it first emerged in the 1960s. The Federal structure has created challenges for the movement, as ‘responsibility for natural resource management is constitutionally vested in the State and Territory Governments’ with ‘the Commonwealth Government… [responsible for] national coordination and the provision of incentives’ (</w:t>
      </w:r>
      <w:proofErr w:type="spellStart"/>
      <w:r w:rsidRPr="002C0CF8">
        <w:rPr>
          <w:rFonts w:eastAsia="Georgia"/>
          <w:sz w:val="24"/>
          <w:szCs w:val="24"/>
        </w:rPr>
        <w:t>Samnakay</w:t>
      </w:r>
      <w:proofErr w:type="spellEnd"/>
      <w:r w:rsidRPr="002C0CF8">
        <w:rPr>
          <w:rFonts w:eastAsia="Georgia"/>
          <w:sz w:val="24"/>
          <w:szCs w:val="24"/>
        </w:rPr>
        <w:t xml:space="preserve">, 2022: 717). The divided responsibilities </w:t>
      </w:r>
      <w:proofErr w:type="gramStart"/>
      <w:r w:rsidRPr="002C0CF8">
        <w:rPr>
          <w:rFonts w:eastAsia="Georgia"/>
          <w:sz w:val="24"/>
          <w:szCs w:val="24"/>
        </w:rPr>
        <w:t>has</w:t>
      </w:r>
      <w:proofErr w:type="gramEnd"/>
      <w:r w:rsidRPr="002C0CF8">
        <w:rPr>
          <w:rFonts w:eastAsia="Georgia"/>
          <w:sz w:val="24"/>
          <w:szCs w:val="24"/>
        </w:rPr>
        <w:t xml:space="preserve"> resulted in a movement constituted of three layers, consisting of national or transnational organisations, subnational conservation councils, and community-based groups (Christoff, 2016:5). Much of the campaigning by the major organisations is targeted at the national level, leading to a perceived disconnect with local, grassroots groups (McDonald, 2016). This tendency is shaped by the fact that most of these groups are led by professionalised networks in urban settings (Marshall and Pearse, 2025). Alongside urban activities, the preservationist focus has emphasised major historical campaigns targeting sites of significant environmental value, such as the Franklin River in Tasmania and the Great Barrier Reef (Hutton and Connors, 1999), </w:t>
      </w:r>
      <w:r w:rsidRPr="002C0CF8">
        <w:rPr>
          <w:rFonts w:eastAsia="Georgia"/>
          <w:sz w:val="24"/>
          <w:szCs w:val="24"/>
        </w:rPr>
        <w:lastRenderedPageBreak/>
        <w:t>or more recent efforts to prevent the development of coal seam gas at Lismore in the Northern Rivers region of New South Wales (Ricketts, 2020).</w:t>
      </w:r>
    </w:p>
    <w:p w14:paraId="00000021" w14:textId="77777777" w:rsidR="00D920F2" w:rsidRPr="002C0CF8" w:rsidRDefault="009E4571">
      <w:pPr>
        <w:spacing w:before="240" w:line="480" w:lineRule="auto"/>
        <w:jc w:val="both"/>
        <w:rPr>
          <w:rFonts w:eastAsia="Georgia"/>
          <w:sz w:val="24"/>
          <w:szCs w:val="24"/>
        </w:rPr>
      </w:pPr>
      <w:r w:rsidRPr="002C0CF8">
        <w:rPr>
          <w:rFonts w:eastAsia="Georgia"/>
          <w:sz w:val="24"/>
          <w:szCs w:val="24"/>
        </w:rPr>
        <w:t>In the climate space, there has been some movement towards encouraging greater grassroots involvement. Pearse (2016) notes that Greenpeace was involved in pressing for the formation of local Climate Action Groups (CAGs) from the mid-2000s, developing capacity and networks at the local level, echoing earlier resident action groups (Costello and Dunn, 1994). Following the election of the climate sceptic, Liberal-National Coalition government in 2013, there was a shift within the movement to focus on challenging coal and gas projects, moving away from campaigning directly on climate. Groups like Lock the Gate and the Sunrise Project were formed, coordinating local campaigns against fossil fuel exploration and extraction (Marshall and Pearse, 2025). The character of these groups was important in broadening the range of movement participants, as Arashiro (2017: 666) argues:</w:t>
      </w:r>
    </w:p>
    <w:p w14:paraId="00000022" w14:textId="77777777" w:rsidR="00D920F2" w:rsidRPr="002C0CF8" w:rsidRDefault="009E4571">
      <w:pPr>
        <w:spacing w:line="480" w:lineRule="auto"/>
        <w:ind w:left="720"/>
        <w:jc w:val="both"/>
        <w:rPr>
          <w:rFonts w:eastAsia="Georgia"/>
          <w:sz w:val="24"/>
          <w:szCs w:val="24"/>
        </w:rPr>
      </w:pPr>
      <w:r w:rsidRPr="002C0CF8">
        <w:rPr>
          <w:rFonts w:eastAsia="Georgia"/>
          <w:sz w:val="24"/>
          <w:szCs w:val="24"/>
        </w:rPr>
        <w:t>When farmers, Indigenous elders, grandmothers and whole families join non-violent walks or sits, as they did in the Bentley [Northern Rivers] case, they visually disrupt government and corporate descriptions of who the protesters are.</w:t>
      </w:r>
    </w:p>
    <w:p w14:paraId="00000023" w14:textId="77777777" w:rsidR="00D920F2" w:rsidRPr="002C0CF8" w:rsidRDefault="009E4571">
      <w:pPr>
        <w:spacing w:before="240" w:line="480" w:lineRule="auto"/>
        <w:jc w:val="both"/>
        <w:rPr>
          <w:rFonts w:eastAsia="Georgia"/>
          <w:sz w:val="24"/>
          <w:szCs w:val="24"/>
        </w:rPr>
      </w:pPr>
      <w:r w:rsidRPr="002C0CF8">
        <w:rPr>
          <w:rFonts w:eastAsia="Georgia"/>
          <w:sz w:val="24"/>
          <w:szCs w:val="24"/>
        </w:rPr>
        <w:t>The shift in focus and tactics also connected to the longer history of obstructive direct action in Australian environmental protest, mobilising support while protecting spaces (McIntyre, 2021; see also Ricketts, 2020). The combined effect can be seen as a greater connection between environmental movement actors and communities impacted by actions that amplified the climate risk, giving them a stronger voice.</w:t>
      </w:r>
    </w:p>
    <w:p w14:paraId="00000024" w14:textId="7EDCEB11" w:rsidR="00D920F2" w:rsidRPr="002C0CF8" w:rsidRDefault="009E4571">
      <w:pPr>
        <w:spacing w:before="240" w:line="480" w:lineRule="auto"/>
        <w:jc w:val="both"/>
        <w:rPr>
          <w:rFonts w:eastAsia="Georgia"/>
          <w:sz w:val="24"/>
          <w:szCs w:val="24"/>
        </w:rPr>
      </w:pPr>
      <w:r w:rsidRPr="002C0CF8">
        <w:rPr>
          <w:rFonts w:eastAsia="Georgia"/>
          <w:sz w:val="24"/>
          <w:szCs w:val="24"/>
        </w:rPr>
        <w:t xml:space="preserve">The move away from climate change broadly constituted in favour of a more sectoral focus on coal and gas shifted again in 2018 in response to wider global events, with </w:t>
      </w:r>
      <w:r w:rsidRPr="002C0CF8">
        <w:rPr>
          <w:rFonts w:eastAsia="Georgia"/>
          <w:sz w:val="24"/>
          <w:szCs w:val="24"/>
        </w:rPr>
        <w:lastRenderedPageBreak/>
        <w:t xml:space="preserve">the emergence of local chapters of Fridays for Future and XR Australia. Hilder and Collin (2022: 793) point to the significance of these developments, noting that ‘an estimated 500,000 people… [participated] in physical rallies and online’ between 2018 and 2020. XR Australia initially targeted the Galilee Basin in Queensland, continuing the focus on coal extraction that had animated the wider movement previously. Goodman and Morton (2023: 1403) argue that, as XR Australia engaged in urban actions across major cities, ‘they drew support from mainstream ENGOs [environmental non-governmental </w:t>
      </w:r>
      <w:r w:rsidR="009315FF" w:rsidRPr="002C0CF8">
        <w:rPr>
          <w:rFonts w:eastAsia="Georgia"/>
          <w:sz w:val="24"/>
          <w:szCs w:val="24"/>
        </w:rPr>
        <w:t>organisations] …</w:t>
      </w:r>
      <w:r w:rsidRPr="002C0CF8">
        <w:rPr>
          <w:rFonts w:eastAsia="Georgia"/>
          <w:sz w:val="24"/>
          <w:szCs w:val="24"/>
        </w:rPr>
        <w:t xml:space="preserve"> in a significant realignment’. The use of obstructive direct action and high-profile actions was in line with previous patterns in Australian environmental protest. However, Grenfell (2025: 69) argues that there was an important difference:</w:t>
      </w:r>
    </w:p>
    <w:p w14:paraId="00000025" w14:textId="77777777" w:rsidR="00D920F2" w:rsidRPr="002C0CF8" w:rsidRDefault="009E4571">
      <w:pPr>
        <w:spacing w:line="480" w:lineRule="auto"/>
        <w:ind w:left="720"/>
        <w:jc w:val="both"/>
        <w:rPr>
          <w:rFonts w:eastAsia="Georgia"/>
          <w:sz w:val="24"/>
          <w:szCs w:val="24"/>
        </w:rPr>
      </w:pPr>
      <w:r w:rsidRPr="002C0CF8">
        <w:rPr>
          <w:rFonts w:eastAsia="Georgia"/>
          <w:sz w:val="24"/>
          <w:szCs w:val="24"/>
        </w:rPr>
        <w:t>Since Extinction Rebellion only occupies space to create a spectacle that can be shared via platforms, the primary reason for using the platform, arguably shifts from one of aiding a ‘real world’ action to being the totality of the action.</w:t>
      </w:r>
    </w:p>
    <w:p w14:paraId="00000026" w14:textId="77777777" w:rsidR="00D920F2" w:rsidRPr="002C0CF8" w:rsidRDefault="009E4571">
      <w:pPr>
        <w:spacing w:before="240" w:line="480" w:lineRule="auto"/>
        <w:jc w:val="both"/>
        <w:rPr>
          <w:rFonts w:eastAsia="Georgia"/>
          <w:sz w:val="24"/>
          <w:szCs w:val="24"/>
        </w:rPr>
      </w:pPr>
      <w:r w:rsidRPr="002C0CF8">
        <w:rPr>
          <w:rFonts w:eastAsia="Georgia"/>
          <w:sz w:val="24"/>
          <w:szCs w:val="24"/>
        </w:rPr>
        <w:t xml:space="preserve">This is an important consideration, given the impactful role of obstructive direct action in historic campaigns in the Northern Rivers such as at </w:t>
      </w:r>
      <w:proofErr w:type="spellStart"/>
      <w:r w:rsidRPr="002C0CF8">
        <w:rPr>
          <w:rFonts w:eastAsia="Georgia"/>
          <w:sz w:val="24"/>
          <w:szCs w:val="24"/>
        </w:rPr>
        <w:t>Terania</w:t>
      </w:r>
      <w:proofErr w:type="spellEnd"/>
      <w:r w:rsidRPr="002C0CF8">
        <w:rPr>
          <w:rFonts w:eastAsia="Georgia"/>
          <w:sz w:val="24"/>
          <w:szCs w:val="24"/>
        </w:rPr>
        <w:t xml:space="preserve"> Creek and the Bentley blockade, which were able to halt environmentally harmful developments (McIntyre, 2021; Ricketts, 2020).</w:t>
      </w:r>
    </w:p>
    <w:p w14:paraId="00000027" w14:textId="77777777" w:rsidR="00D920F2" w:rsidRPr="002C0CF8" w:rsidRDefault="009E4571">
      <w:pPr>
        <w:spacing w:before="240" w:line="480" w:lineRule="auto"/>
        <w:jc w:val="both"/>
        <w:rPr>
          <w:rFonts w:eastAsia="Georgia"/>
          <w:sz w:val="24"/>
          <w:szCs w:val="24"/>
        </w:rPr>
      </w:pPr>
      <w:r w:rsidRPr="002C0CF8">
        <w:rPr>
          <w:rFonts w:eastAsia="Georgia"/>
          <w:sz w:val="24"/>
          <w:szCs w:val="24"/>
        </w:rPr>
        <w:t xml:space="preserve">The organisational structure of Extinction Rebellion is seen as one of its strengths, as it has enabled chapters to form in different communities, echoing the earlier CAGs. Chang (2024: 610) identified 63 local groups operating in 2023 across all of Australia’s States and Territories, as well as a national-level chapter playing a coordinating role. Exploring the operation of XR Australia, Chang (2024: 610) argues that compared to mainstream ENGOs, the organisation ‘is vastly different in that it has loose organising </w:t>
      </w:r>
      <w:r w:rsidRPr="002C0CF8">
        <w:rPr>
          <w:rFonts w:eastAsia="Georgia"/>
          <w:sz w:val="24"/>
          <w:szCs w:val="24"/>
        </w:rPr>
        <w:lastRenderedPageBreak/>
        <w:t xml:space="preserve">structures without central </w:t>
      </w:r>
      <w:proofErr w:type="gramStart"/>
      <w:r w:rsidRPr="002C0CF8">
        <w:rPr>
          <w:rFonts w:eastAsia="Georgia"/>
          <w:sz w:val="24"/>
          <w:szCs w:val="24"/>
        </w:rPr>
        <w:t>leaders’</w:t>
      </w:r>
      <w:proofErr w:type="gramEnd"/>
      <w:r w:rsidRPr="002C0CF8">
        <w:rPr>
          <w:rFonts w:eastAsia="Georgia"/>
          <w:sz w:val="24"/>
          <w:szCs w:val="24"/>
        </w:rPr>
        <w:t>. The self-organising character of the chapters means that XR Australia can ‘accommodate individuals from different social and political groups’ (Chang, 2024: 617), allowing a degree of flexibility in the extent to which each engages in radical or disruptive actions. This is important in a context where Extinction Rebellion and allied direct action groups such as Blockade Australia face increasing levels criminalisation, as State and Commonwealth governments attempt to restrict environmental protest (Gulliver et al, 2023), amplifying efforts ‘to disempower and discredit environmental concerns’ (Doyle, 2010: 155). This paper explores some of these tensions, considering the way XR Australia diffused across the country.</w:t>
      </w:r>
    </w:p>
    <w:p w14:paraId="00000028" w14:textId="77777777" w:rsidR="00D920F2" w:rsidRPr="002C0CF8" w:rsidRDefault="009E4571">
      <w:pPr>
        <w:pStyle w:val="Heading2"/>
        <w:spacing w:before="400" w:after="120"/>
        <w:rPr>
          <w:rFonts w:eastAsia="Georgia"/>
        </w:rPr>
      </w:pPr>
      <w:bookmarkStart w:id="5" w:name="_drs7qzjyzqsv" w:colFirst="0" w:colLast="0"/>
      <w:bookmarkEnd w:id="5"/>
      <w:r w:rsidRPr="002C0CF8">
        <w:rPr>
          <w:rFonts w:eastAsia="Georgia"/>
        </w:rPr>
        <w:t>Methods</w:t>
      </w:r>
    </w:p>
    <w:p w14:paraId="00000029" w14:textId="77777777" w:rsidR="00D920F2" w:rsidRPr="002C0CF8" w:rsidRDefault="009E4571">
      <w:pPr>
        <w:spacing w:before="240" w:after="240" w:line="480" w:lineRule="auto"/>
        <w:jc w:val="both"/>
        <w:rPr>
          <w:rFonts w:eastAsia="Georgia"/>
          <w:sz w:val="24"/>
          <w:szCs w:val="24"/>
        </w:rPr>
      </w:pPr>
      <w:r w:rsidRPr="002C0CF8">
        <w:rPr>
          <w:rFonts w:eastAsia="Georgia"/>
          <w:sz w:val="24"/>
          <w:szCs w:val="24"/>
        </w:rPr>
        <w:t>This study draws on 20 semi-structured interviews with XR Australia activists, completed in the summer of 2022. Each interview was conducted online, averaged approximately 75 minutes in duration, and subsequently fully transcribed. Participants were primarily activists involved in the establishment of local chapters, including co-founders of the organisation in the Australian context. Participants were recruited via invitations sent to all registered local chapters within Australia, as provided by the Extinction Rebellion global website (</w:t>
      </w:r>
      <w:proofErr w:type="spellStart"/>
      <w:proofErr w:type="gramStart"/>
      <w:r w:rsidRPr="002C0CF8">
        <w:rPr>
          <w:rFonts w:eastAsia="Georgia"/>
          <w:sz w:val="24"/>
          <w:szCs w:val="24"/>
        </w:rPr>
        <w:t>rebellion.global</w:t>
      </w:r>
      <w:proofErr w:type="spellEnd"/>
      <w:proofErr w:type="gramEnd"/>
      <w:r w:rsidRPr="002C0CF8">
        <w:rPr>
          <w:rFonts w:eastAsia="Georgia"/>
          <w:sz w:val="24"/>
          <w:szCs w:val="24"/>
        </w:rPr>
        <w:t>) at the time of data collection, with all interested respondents invited to interview. Ethical approval for the study was obtained from the University of York before data collection commenced.</w:t>
      </w:r>
    </w:p>
    <w:p w14:paraId="0000002A" w14:textId="77777777" w:rsidR="00D920F2" w:rsidRPr="002C0CF8" w:rsidRDefault="009E4571">
      <w:pPr>
        <w:spacing w:before="240" w:after="240" w:line="480" w:lineRule="auto"/>
        <w:jc w:val="both"/>
        <w:rPr>
          <w:rFonts w:eastAsia="Georgia"/>
          <w:sz w:val="24"/>
          <w:szCs w:val="24"/>
        </w:rPr>
      </w:pPr>
      <w:r w:rsidRPr="002C0CF8">
        <w:rPr>
          <w:rFonts w:eastAsia="Georgia"/>
          <w:sz w:val="24"/>
          <w:szCs w:val="24"/>
        </w:rPr>
        <w:t xml:space="preserve">Our analysis proceeds through a sequential mixed-methods design combining: (1) a network analysis, and (2) a thematic analysis. All 20 interviews were used in the thematic analysis, while the network analysis drew only on the 15 interviews that provided data conducive to this analysis. This mixed-methods approach captures both </w:t>
      </w:r>
      <w:r w:rsidRPr="002C0CF8">
        <w:rPr>
          <w:rFonts w:eastAsia="Georgia"/>
          <w:sz w:val="24"/>
          <w:szCs w:val="24"/>
        </w:rPr>
        <w:lastRenderedPageBreak/>
        <w:t>how XR Australia spread across space and how activists understood and experienced that process, addressing two related but distinct analytical questions. Network analysis identifies patterned differences in the relational structure of chapters, including variation in the strength, breadth, and positioning of their ties. Thematic analysis complements this by showing how activists interpreted and navigated distance and connection in practice. Together, these methods link structural patterns of relations among chapters to activists’ own accounts.</w:t>
      </w:r>
    </w:p>
    <w:p w14:paraId="0000002B" w14:textId="6BCD99EA" w:rsidR="00D920F2" w:rsidRPr="002C0CF8" w:rsidRDefault="009E4571">
      <w:pPr>
        <w:spacing w:before="240" w:after="240" w:line="480" w:lineRule="auto"/>
        <w:jc w:val="both"/>
        <w:rPr>
          <w:rFonts w:eastAsia="Georgia"/>
          <w:sz w:val="24"/>
          <w:szCs w:val="24"/>
        </w:rPr>
      </w:pPr>
      <w:r w:rsidRPr="002C0CF8">
        <w:rPr>
          <w:rFonts w:eastAsia="Georgia"/>
          <w:sz w:val="24"/>
          <w:szCs w:val="24"/>
        </w:rPr>
        <w:t>As the network analysis was rooted in qualitative interviews (</w:t>
      </w:r>
      <w:proofErr w:type="spellStart"/>
      <w:r w:rsidRPr="002C0CF8">
        <w:rPr>
          <w:rFonts w:eastAsia="Georgia"/>
          <w:sz w:val="24"/>
          <w:szCs w:val="24"/>
        </w:rPr>
        <w:t>McKether</w:t>
      </w:r>
      <w:proofErr w:type="spellEnd"/>
      <w:r w:rsidRPr="002C0CF8">
        <w:rPr>
          <w:rFonts w:eastAsia="Georgia"/>
          <w:sz w:val="24"/>
          <w:szCs w:val="24"/>
        </w:rPr>
        <w:t xml:space="preserve">, Gluesing, and Riopelle, 2009), and the interviews themselves were not initially designed for the purpose of network analysis, we were unable to model the entire structure of the activist network of XR Australia, nor provide an exhaustive list of ties between alters in a given ego network. In interviews, </w:t>
      </w:r>
      <w:r w:rsidR="00855CF4" w:rsidRPr="002C0CF8">
        <w:rPr>
          <w:rFonts w:eastAsia="Georgia"/>
          <w:sz w:val="24"/>
          <w:szCs w:val="24"/>
        </w:rPr>
        <w:t>we did not elicit all ego-to-alter ties across Australia</w:t>
      </w:r>
      <w:r w:rsidRPr="002C0CF8">
        <w:rPr>
          <w:rFonts w:eastAsia="Georgia"/>
          <w:sz w:val="24"/>
          <w:szCs w:val="24"/>
        </w:rPr>
        <w:t>, the precise frequency or duration of every tie, reciprocity of reported ties, or the full set of alter–alter ties within each ego network. Thus, rather than having a full network connecting all the chapters across the country, we build chapter networks through which we match the patterns found in terms of archetypes. Even if this limits the claims that can be made from the network analysis, the approach remains valuable because it provides a systematic way of comparing how activists described the structure, intensity, and diversity of their chapters’ spatially distributed relationships.</w:t>
      </w:r>
    </w:p>
    <w:p w14:paraId="0000002C" w14:textId="77777777" w:rsidR="00D920F2" w:rsidRPr="002C0CF8" w:rsidRDefault="009E4571">
      <w:pPr>
        <w:spacing w:before="240" w:after="240" w:line="480" w:lineRule="auto"/>
        <w:jc w:val="both"/>
        <w:rPr>
          <w:rFonts w:eastAsia="Georgia"/>
          <w:sz w:val="24"/>
          <w:szCs w:val="24"/>
        </w:rPr>
      </w:pPr>
      <w:r w:rsidRPr="002C0CF8">
        <w:rPr>
          <w:rFonts w:eastAsia="Georgia"/>
          <w:sz w:val="24"/>
          <w:szCs w:val="24"/>
        </w:rPr>
        <w:t xml:space="preserve">Social network analysis relational structures as graphs composed of nodes and edges. Nodes are the actors in the network, while edges are the ties connecting them. For the purposes of this study, a tie refers to any reported relationship between one chapter and another, such as communication, joint protest activity, training, interpersonal contact, or organizational association. The objective of the network analysis was </w:t>
      </w:r>
      <w:r w:rsidRPr="002C0CF8">
        <w:rPr>
          <w:rFonts w:eastAsia="Georgia"/>
          <w:sz w:val="24"/>
          <w:szCs w:val="24"/>
        </w:rPr>
        <w:lastRenderedPageBreak/>
        <w:t>therefore not simply to identify whether chapters were connected, but to assess the strength and range of those connections. For the network analysis, a codebook (see Appendix 1) was developed prior to coding the interviews to guide the cataloguing of all ties detailed by interviewees. Once coded, the qualitative data were transformed into a numeric form using SPSS.</w:t>
      </w:r>
    </w:p>
    <w:p w14:paraId="0000002D" w14:textId="7BC95579" w:rsidR="00D920F2" w:rsidRPr="002C0CF8" w:rsidRDefault="00855CF4">
      <w:pPr>
        <w:spacing w:before="240" w:after="240" w:line="480" w:lineRule="auto"/>
        <w:jc w:val="both"/>
        <w:rPr>
          <w:rFonts w:eastAsia="Georgia"/>
          <w:sz w:val="24"/>
          <w:szCs w:val="24"/>
        </w:rPr>
      </w:pPr>
      <w:r w:rsidRPr="002C0CF8">
        <w:rPr>
          <w:rFonts w:eastAsia="Georgia"/>
          <w:sz w:val="24"/>
          <w:szCs w:val="24"/>
        </w:rPr>
        <w:t>Interview data were coded into ego-alter dyads</w:t>
      </w:r>
      <w:r w:rsidR="009E4571" w:rsidRPr="002C0CF8">
        <w:rPr>
          <w:rFonts w:eastAsia="Georgia"/>
          <w:sz w:val="24"/>
          <w:szCs w:val="24"/>
        </w:rPr>
        <w:t xml:space="preserve">, with each mention classified by tie type and assigned an intensity value according to the coding rubric. Two edge-level measures were then derived for each dyad: intensity (sum of all coded mentions), which captures the strength or substance of a reported tie; and diversity (number of distinct tie types present), capturing its multidimensionality. These scores were used to construct a network in RStudio using the packages </w:t>
      </w:r>
      <w:proofErr w:type="spellStart"/>
      <w:r w:rsidR="009E4571" w:rsidRPr="002C0CF8">
        <w:rPr>
          <w:rFonts w:eastAsia="Georgia"/>
          <w:i/>
          <w:iCs/>
          <w:sz w:val="24"/>
          <w:szCs w:val="24"/>
        </w:rPr>
        <w:t>sna</w:t>
      </w:r>
      <w:proofErr w:type="spellEnd"/>
      <w:r w:rsidR="009E4571" w:rsidRPr="002C0CF8">
        <w:rPr>
          <w:rFonts w:eastAsia="Georgia"/>
          <w:sz w:val="24"/>
          <w:szCs w:val="24"/>
        </w:rPr>
        <w:t xml:space="preserve"> and </w:t>
      </w:r>
      <w:proofErr w:type="spellStart"/>
      <w:r w:rsidR="009E4571" w:rsidRPr="002C0CF8">
        <w:rPr>
          <w:rFonts w:eastAsia="Georgia"/>
          <w:i/>
          <w:iCs/>
          <w:sz w:val="24"/>
          <w:szCs w:val="24"/>
        </w:rPr>
        <w:t>igraph</w:t>
      </w:r>
      <w:proofErr w:type="spellEnd"/>
      <w:r w:rsidR="009E4571" w:rsidRPr="002C0CF8">
        <w:rPr>
          <w:rFonts w:eastAsia="Georgia"/>
          <w:sz w:val="24"/>
          <w:szCs w:val="24"/>
        </w:rPr>
        <w:t>,</w:t>
      </w:r>
      <w:r w:rsidR="009E4571" w:rsidRPr="002C0CF8">
        <w:rPr>
          <w:rFonts w:eastAsia="Georgia"/>
          <w:sz w:val="24"/>
          <w:szCs w:val="24"/>
          <w:vertAlign w:val="superscript"/>
        </w:rPr>
        <w:footnoteReference w:id="1"/>
      </w:r>
      <w:r w:rsidR="009E4571" w:rsidRPr="002C0CF8">
        <w:rPr>
          <w:rFonts w:eastAsia="Georgia"/>
          <w:sz w:val="24"/>
          <w:szCs w:val="24"/>
        </w:rPr>
        <w:t xml:space="preserve"> in which </w:t>
      </w:r>
      <w:r w:rsidRPr="002C0CF8">
        <w:rPr>
          <w:rFonts w:eastAsia="Georgia"/>
          <w:sz w:val="24"/>
          <w:szCs w:val="24"/>
        </w:rPr>
        <w:t>nodes represent focal chapters and their alters, while edges represent coded ego-alter ties</w:t>
      </w:r>
      <w:r w:rsidR="009E4571" w:rsidRPr="002C0CF8">
        <w:rPr>
          <w:rFonts w:eastAsia="Georgia"/>
          <w:sz w:val="24"/>
          <w:szCs w:val="24"/>
        </w:rPr>
        <w:t xml:space="preserve"> </w:t>
      </w:r>
      <w:proofErr w:type="spellStart"/>
      <w:r w:rsidR="009E4571" w:rsidRPr="002C0CF8">
        <w:rPr>
          <w:rFonts w:eastAsia="Georgia"/>
          <w:sz w:val="24"/>
          <w:szCs w:val="24"/>
        </w:rPr>
        <w:t>ties</w:t>
      </w:r>
      <w:proofErr w:type="spellEnd"/>
      <w:r w:rsidR="009E4571" w:rsidRPr="002C0CF8">
        <w:rPr>
          <w:rFonts w:eastAsia="Georgia"/>
          <w:sz w:val="24"/>
          <w:szCs w:val="24"/>
        </w:rPr>
        <w:t xml:space="preserve">. Ego networks were then visualised to show the ties associated with individual chapters. For example, if an interviewee described chapter A as regularly communicating with chapter B, attending B’s training events, protesting alongside B, these would be coded as multiple tie types within the A–B dyad. The intensity score would be the sum of those coded mentions, while the diversity score would be 3, reflecting the </w:t>
      </w:r>
      <w:r w:rsidR="004B4837" w:rsidRPr="002C0CF8">
        <w:rPr>
          <w:rFonts w:eastAsia="Georgia"/>
          <w:sz w:val="24"/>
          <w:szCs w:val="24"/>
        </w:rPr>
        <w:t>three</w:t>
      </w:r>
      <w:r w:rsidR="009E4571" w:rsidRPr="002C0CF8">
        <w:rPr>
          <w:rFonts w:eastAsia="Georgia"/>
          <w:sz w:val="24"/>
          <w:szCs w:val="24"/>
        </w:rPr>
        <w:t xml:space="preserve"> distinct forms of connection present in that relationship.</w:t>
      </w:r>
    </w:p>
    <w:p w14:paraId="0000002E" w14:textId="77777777" w:rsidR="00D920F2" w:rsidRPr="002C0CF8" w:rsidRDefault="009E4571">
      <w:pPr>
        <w:spacing w:before="240" w:after="240" w:line="480" w:lineRule="auto"/>
        <w:jc w:val="both"/>
        <w:rPr>
          <w:rFonts w:eastAsia="Georgia"/>
          <w:sz w:val="24"/>
          <w:szCs w:val="24"/>
        </w:rPr>
      </w:pPr>
      <w:r w:rsidRPr="002C0CF8">
        <w:rPr>
          <w:rFonts w:eastAsia="Georgia"/>
          <w:sz w:val="24"/>
          <w:szCs w:val="24"/>
        </w:rPr>
        <w:t xml:space="preserve">For each ego network, intensity was reflected in the thickness of lines between ego and alter, while diversity was represented by the size of the </w:t>
      </w:r>
      <w:proofErr w:type="spellStart"/>
      <w:r w:rsidRPr="002C0CF8">
        <w:rPr>
          <w:rFonts w:eastAsia="Georgia"/>
          <w:sz w:val="24"/>
          <w:szCs w:val="24"/>
        </w:rPr>
        <w:t>alter’s</w:t>
      </w:r>
      <w:proofErr w:type="spellEnd"/>
      <w:r w:rsidRPr="002C0CF8">
        <w:rPr>
          <w:rFonts w:eastAsia="Georgia"/>
          <w:sz w:val="24"/>
          <w:szCs w:val="24"/>
        </w:rPr>
        <w:t xml:space="preserve"> node. The visualisations make the configuration of ties around focal chapters easier to see and help illustrate recurring relational patterns. They are not, however, the basis for </w:t>
      </w:r>
      <w:r w:rsidRPr="002C0CF8">
        <w:rPr>
          <w:rFonts w:eastAsia="Georgia"/>
          <w:sz w:val="24"/>
          <w:szCs w:val="24"/>
        </w:rPr>
        <w:lastRenderedPageBreak/>
        <w:t>systematic comparison by themselves. For that reason, cross-chapter comparison relies primarily on the derived scores rather than on the visualisations alone. Centrality scores were generated for each chapter using the intensity and diversity scores: a chapter’s score increases when it is connected to more partners through stronger ties and/or through a wider range of tie types. These scores should therefore be interpreted as indicators of the connectedness of focal chapters within their reported ego networks.</w:t>
      </w:r>
      <w:r w:rsidRPr="002C0CF8">
        <w:rPr>
          <w:rFonts w:eastAsia="Georgia"/>
          <w:b/>
          <w:bCs/>
          <w:sz w:val="24"/>
          <w:szCs w:val="24"/>
        </w:rPr>
        <w:t xml:space="preserve"> </w:t>
      </w:r>
      <w:r w:rsidRPr="002C0CF8">
        <w:rPr>
          <w:rFonts w:eastAsia="Georgia"/>
          <w:sz w:val="24"/>
          <w:szCs w:val="24"/>
        </w:rPr>
        <w:t xml:space="preserve">Intensity-based centrality captures the weighted connectedness of the focal chapter within its reported ego network, based on the strength of its ties. Diversity-based centrality captures the breadth of relationship types linking the focal chapter to </w:t>
      </w:r>
      <w:proofErr w:type="gramStart"/>
      <w:r w:rsidRPr="002C0CF8">
        <w:rPr>
          <w:rFonts w:eastAsia="Georgia"/>
          <w:sz w:val="24"/>
          <w:szCs w:val="24"/>
        </w:rPr>
        <w:t>its</w:t>
      </w:r>
      <w:proofErr w:type="gramEnd"/>
      <w:r w:rsidRPr="002C0CF8">
        <w:rPr>
          <w:rFonts w:eastAsia="Georgia"/>
          <w:sz w:val="24"/>
          <w:szCs w:val="24"/>
        </w:rPr>
        <w:t xml:space="preserve"> alters.</w:t>
      </w:r>
    </w:p>
    <w:p w14:paraId="0000002F" w14:textId="77777777" w:rsidR="00D920F2" w:rsidRPr="002C0CF8" w:rsidRDefault="009E4571">
      <w:pPr>
        <w:spacing w:before="240" w:after="240" w:line="480" w:lineRule="auto"/>
        <w:jc w:val="both"/>
        <w:rPr>
          <w:rFonts w:eastAsia="Georgia"/>
          <w:sz w:val="24"/>
          <w:szCs w:val="24"/>
        </w:rPr>
      </w:pPr>
      <w:r w:rsidRPr="002C0CF8">
        <w:rPr>
          <w:rFonts w:eastAsia="Georgia"/>
          <w:sz w:val="24"/>
          <w:szCs w:val="24"/>
        </w:rPr>
        <w:t xml:space="preserve">Second, our 20 interviews with XR Australia activists were analysed thematically. First, each researcher read five interviews, producing inductive codes and themes (Braun and Clarke, 2006; Braun, Clarke, and Hayfield, 2022). Next, we compared analyses and discussed overarching narratives, noting significant overlap with </w:t>
      </w:r>
      <w:proofErr w:type="spellStart"/>
      <w:r w:rsidRPr="002C0CF8">
        <w:rPr>
          <w:rFonts w:eastAsia="Georgia"/>
          <w:sz w:val="24"/>
          <w:szCs w:val="24"/>
        </w:rPr>
        <w:t>Davis’</w:t>
      </w:r>
      <w:proofErr w:type="spellEnd"/>
      <w:r w:rsidRPr="002C0CF8">
        <w:rPr>
          <w:rFonts w:eastAsia="Georgia"/>
          <w:sz w:val="24"/>
          <w:szCs w:val="24"/>
        </w:rPr>
        <w:t xml:space="preserve"> (1999) four types of distance. Two researchers then undertook deductive coding of the whole dataset, resulting in four themes: physical, institutional, cultural, and class-based distance. In what follows, we present the findings of the network and thematic analyses in sequential order.</w:t>
      </w:r>
    </w:p>
    <w:p w14:paraId="00000030" w14:textId="77777777" w:rsidR="00D920F2" w:rsidRPr="002C0CF8" w:rsidRDefault="009E4571">
      <w:pPr>
        <w:pStyle w:val="Heading2"/>
        <w:spacing w:before="400" w:after="120"/>
        <w:rPr>
          <w:rFonts w:eastAsia="Georgia"/>
        </w:rPr>
      </w:pPr>
      <w:bookmarkStart w:id="6" w:name="_vgu959pikd3p" w:colFirst="0" w:colLast="0"/>
      <w:bookmarkEnd w:id="6"/>
      <w:r w:rsidRPr="002C0CF8">
        <w:rPr>
          <w:rFonts w:eastAsia="Georgia"/>
        </w:rPr>
        <w:t>Network Analysis</w:t>
      </w:r>
    </w:p>
    <w:p w14:paraId="00000031" w14:textId="77777777" w:rsidR="00D920F2" w:rsidRPr="002C0CF8" w:rsidRDefault="009E4571">
      <w:pPr>
        <w:spacing w:line="480" w:lineRule="auto"/>
        <w:jc w:val="both"/>
        <w:rPr>
          <w:rFonts w:eastAsia="Georgia"/>
          <w:sz w:val="24"/>
          <w:szCs w:val="24"/>
        </w:rPr>
      </w:pPr>
      <w:r w:rsidRPr="002C0CF8">
        <w:rPr>
          <w:rFonts w:eastAsia="Georgia"/>
          <w:sz w:val="24"/>
          <w:szCs w:val="24"/>
        </w:rPr>
        <w:t xml:space="preserve">This section outlines the findings from the network analysis. Having analysed the ego-networks of local XR Australia chapters, we found that geography plays a significant role in structuring the movement’s organisational dynamics. Overall, tie intensity declines as physical distance between chapters increases and rises where population density and intercity proximity are higher, leading to chapter insularity in more sparsely </w:t>
      </w:r>
      <w:r w:rsidRPr="002C0CF8">
        <w:rPr>
          <w:rFonts w:eastAsia="Georgia"/>
          <w:sz w:val="24"/>
          <w:szCs w:val="24"/>
        </w:rPr>
        <w:lastRenderedPageBreak/>
        <w:t>populated states and cross-state bridges across the more densely populated east coast. We observed that these mechanisms play out in four network archetypes: structural patterns that best characterise how ties are formed and sustained. The network archetypes identified are: (1) a bridge-rich core, where within-state cores are connected via selective cross-state bridges to large metropolitan areas; (2) affinity-clustered systems, where suburb-level affinity groups clustered around a single state node; (3) chapter-centred systems, where independent local chapters had few non-state links; and (4) bifurcated states, where organisational separation is observable within a state.</w:t>
      </w:r>
    </w:p>
    <w:p w14:paraId="00000032" w14:textId="77777777" w:rsidR="00D920F2" w:rsidRPr="002C0CF8" w:rsidRDefault="00D920F2">
      <w:pPr>
        <w:spacing w:line="480" w:lineRule="auto"/>
        <w:rPr>
          <w:rFonts w:eastAsia="Georgia"/>
          <w:sz w:val="24"/>
          <w:szCs w:val="24"/>
        </w:rPr>
      </w:pPr>
    </w:p>
    <w:p w14:paraId="00000033" w14:textId="347C27EC" w:rsidR="00D920F2" w:rsidRPr="002C0CF8" w:rsidRDefault="009E4571">
      <w:pPr>
        <w:spacing w:after="160" w:line="480" w:lineRule="auto"/>
        <w:jc w:val="both"/>
        <w:rPr>
          <w:rFonts w:eastAsia="Georgia"/>
          <w:sz w:val="24"/>
          <w:szCs w:val="24"/>
        </w:rPr>
      </w:pPr>
      <w:r w:rsidRPr="002C0CF8">
        <w:rPr>
          <w:rFonts w:eastAsia="Georgia"/>
          <w:sz w:val="24"/>
          <w:szCs w:val="24"/>
        </w:rPr>
        <w:t xml:space="preserve">First, a </w:t>
      </w:r>
      <w:r w:rsidRPr="002C0CF8">
        <w:rPr>
          <w:rFonts w:eastAsia="Georgia"/>
          <w:i/>
          <w:iCs/>
          <w:sz w:val="24"/>
          <w:szCs w:val="24"/>
        </w:rPr>
        <w:t>bridge-rich core</w:t>
      </w:r>
      <w:r w:rsidRPr="002C0CF8">
        <w:rPr>
          <w:rFonts w:eastAsia="Georgia"/>
          <w:sz w:val="24"/>
          <w:szCs w:val="24"/>
        </w:rPr>
        <w:t xml:space="preserve"> runs along the east coast from Melbourne to Brisbane. While states continue to be instrumental in the formation of network ties among chapters, selective cross-state bridges are observable between large metropolitan areas (Melbourne, Canberra, Sydney, Newcastle, Gold Coast, and Brisbane) and from rural chapters to these population centres</w:t>
      </w:r>
      <w:r w:rsidR="008A26C2" w:rsidRPr="002C0CF8">
        <w:rPr>
          <w:rFonts w:eastAsia="Georgia"/>
          <w:sz w:val="24"/>
          <w:szCs w:val="24"/>
        </w:rPr>
        <w:t xml:space="preserve"> (see figure 1)</w:t>
      </w:r>
      <w:r w:rsidRPr="002C0CF8">
        <w:rPr>
          <w:rFonts w:eastAsia="Georgia"/>
          <w:sz w:val="24"/>
          <w:szCs w:val="24"/>
        </w:rPr>
        <w:t xml:space="preserve">. Chapters in the bridge-rich core showed more consistent and equally spread contact with their alters than elsewhere in Australia, as demonstrated by larger nodes and, on average, stronger ties. For instance, in New South Wales (NSW), both groups analysed (Newcastle and Shoalhaven) held primary connections to other chapters in their state and the Australian Capital Territory, with Shoalhaven showing more connections to large chapters in neighbouring states, including Melbourne, Victoria, and Brisbane, Queensland. The same pattern is found in Gold Coast, Queensland: a notably strong tie with Brisbane, the state capital, was complemented with moderate ties maintained to chapters in neighbouring states, as well as non-XR actors such as the Australian Green Party and both local (Stop Adani) and global (the Pachamama Alliance) </w:t>
      </w:r>
      <w:r w:rsidRPr="002C0CF8">
        <w:rPr>
          <w:rFonts w:eastAsia="Georgia"/>
          <w:sz w:val="24"/>
          <w:szCs w:val="24"/>
        </w:rPr>
        <w:lastRenderedPageBreak/>
        <w:t>environmentalist movements. Hence, despite having a clear within-state core, selective bridges were observable across the region.</w:t>
      </w:r>
    </w:p>
    <w:p w14:paraId="00000034" w14:textId="77777777" w:rsidR="00D920F2" w:rsidRPr="002C0CF8" w:rsidRDefault="009E4571">
      <w:pPr>
        <w:spacing w:after="160" w:line="480" w:lineRule="auto"/>
        <w:jc w:val="center"/>
        <w:rPr>
          <w:rFonts w:eastAsia="Georgia"/>
          <w:sz w:val="24"/>
          <w:szCs w:val="24"/>
        </w:rPr>
      </w:pPr>
      <w:r w:rsidRPr="002C0CF8">
        <w:rPr>
          <w:rFonts w:eastAsia="Georgia"/>
          <w:sz w:val="24"/>
          <w:szCs w:val="24"/>
        </w:rPr>
        <w:t>[Figure 1 about here]</w:t>
      </w:r>
    </w:p>
    <w:p w14:paraId="00000035" w14:textId="7A6D47FB" w:rsidR="00D920F2" w:rsidRPr="002C0CF8" w:rsidRDefault="009E4571">
      <w:pPr>
        <w:spacing w:after="160" w:line="480" w:lineRule="auto"/>
        <w:jc w:val="both"/>
        <w:rPr>
          <w:rFonts w:eastAsia="Georgia"/>
          <w:sz w:val="24"/>
          <w:szCs w:val="24"/>
        </w:rPr>
      </w:pPr>
      <w:r w:rsidRPr="002C0CF8">
        <w:rPr>
          <w:rFonts w:eastAsia="Georgia"/>
          <w:sz w:val="24"/>
          <w:szCs w:val="24"/>
        </w:rPr>
        <w:t xml:space="preserve">Second, the </w:t>
      </w:r>
      <w:r w:rsidRPr="002C0CF8">
        <w:rPr>
          <w:rFonts w:eastAsia="Georgia"/>
          <w:i/>
          <w:iCs/>
          <w:sz w:val="24"/>
          <w:szCs w:val="24"/>
        </w:rPr>
        <w:t>affinity-clustered system</w:t>
      </w:r>
      <w:r w:rsidRPr="002C0CF8">
        <w:rPr>
          <w:rFonts w:eastAsia="Georgia"/>
          <w:sz w:val="24"/>
          <w:szCs w:val="24"/>
        </w:rPr>
        <w:t xml:space="preserve"> is found in South Australia (SA), where chapter organisation is mainly composed of affinity groups with a single recognised state chapter: Extinction Rebellion South Australia (XRSA)</w:t>
      </w:r>
      <w:r w:rsidR="0066055B" w:rsidRPr="002C0CF8">
        <w:rPr>
          <w:rFonts w:eastAsia="Georgia"/>
          <w:sz w:val="24"/>
          <w:szCs w:val="24"/>
        </w:rPr>
        <w:t xml:space="preserve"> (see figure 2)</w:t>
      </w:r>
      <w:r w:rsidRPr="002C0CF8">
        <w:rPr>
          <w:rFonts w:eastAsia="Georgia"/>
          <w:sz w:val="24"/>
          <w:szCs w:val="24"/>
        </w:rPr>
        <w:t xml:space="preserve">. With SA’s population overwhelmingly centred in and around Adelaide, XRXR operates through a range of neighbourhood-defined affinity groups: the six examined here, alongside others mentioned in interviews, act locally and coordinate under the XRSA banner for major mobilisations. Suburb-level affinity groups cluster tightly around a single state node, with a dense local structure and limited cross-state connections. A concerted effort had been made by XRSA to foster neighbourhood affinity groups, resulting in an ego network constructed of limited ties to other affinity groups and almost unanimously having their strongest tie with the state chapter, XRSA. </w:t>
      </w:r>
    </w:p>
    <w:p w14:paraId="00000036" w14:textId="77777777" w:rsidR="00D920F2" w:rsidRPr="002C0CF8" w:rsidRDefault="009E4571">
      <w:pPr>
        <w:spacing w:after="160" w:line="480" w:lineRule="auto"/>
        <w:jc w:val="center"/>
        <w:rPr>
          <w:rFonts w:eastAsia="Georgia"/>
          <w:sz w:val="24"/>
          <w:szCs w:val="24"/>
        </w:rPr>
      </w:pPr>
      <w:r w:rsidRPr="002C0CF8">
        <w:rPr>
          <w:rFonts w:eastAsia="Georgia"/>
          <w:sz w:val="24"/>
          <w:szCs w:val="24"/>
        </w:rPr>
        <w:t>[Figure 2 about here]</w:t>
      </w:r>
    </w:p>
    <w:p w14:paraId="00000037" w14:textId="6969006B" w:rsidR="00D920F2" w:rsidRPr="002C0CF8" w:rsidRDefault="009E4571">
      <w:pPr>
        <w:spacing w:after="160" w:line="480" w:lineRule="auto"/>
        <w:jc w:val="both"/>
        <w:rPr>
          <w:rFonts w:eastAsia="Georgia"/>
          <w:sz w:val="24"/>
          <w:szCs w:val="24"/>
        </w:rPr>
      </w:pPr>
      <w:r w:rsidRPr="002C0CF8">
        <w:rPr>
          <w:rFonts w:eastAsia="Georgia"/>
          <w:sz w:val="24"/>
          <w:szCs w:val="24"/>
        </w:rPr>
        <w:t>Third, the chapter-centred system is found in Western Australia (WA)</w:t>
      </w:r>
      <w:r w:rsidR="00874517" w:rsidRPr="002C0CF8">
        <w:rPr>
          <w:rFonts w:eastAsia="Georgia"/>
          <w:sz w:val="24"/>
          <w:szCs w:val="24"/>
        </w:rPr>
        <w:t xml:space="preserve"> (see Figure 3)</w:t>
      </w:r>
      <w:r w:rsidRPr="002C0CF8">
        <w:rPr>
          <w:rFonts w:eastAsia="Georgia"/>
          <w:sz w:val="24"/>
          <w:szCs w:val="24"/>
        </w:rPr>
        <w:t xml:space="preserve">. Our analysis included XR Western Suburbs, XR Dianella, XR Fremantle and the overarching XR Western Australia (XRWA) chapter. Although WA has a comparable pattern of population density to SA – a vast sparsely populated landmass with a single overwhelmingly dominant state capital – here, a range of local autonomous chapters emerged rather than affinity groups centred on the state-level chapter. Unlike the affinity groups of XRSA, which cluster in the suburbs around Adelaide, the chapters of XRWA were spread out over a larger physical area. Chapter seeding also took place in WA but was largely unsuccessful. Weak connections were found both beyond the </w:t>
      </w:r>
      <w:r w:rsidRPr="002C0CF8">
        <w:rPr>
          <w:rFonts w:eastAsia="Georgia"/>
          <w:sz w:val="24"/>
          <w:szCs w:val="24"/>
        </w:rPr>
        <w:lastRenderedPageBreak/>
        <w:t xml:space="preserve">state (due largely to physical distance from the rest of Australia) and within the state, with some chapters holding small numbers of weak ties to the wider movement. </w:t>
      </w:r>
    </w:p>
    <w:p w14:paraId="00000038" w14:textId="77777777" w:rsidR="00D920F2" w:rsidRPr="002C0CF8" w:rsidRDefault="009E4571">
      <w:pPr>
        <w:spacing w:after="160" w:line="480" w:lineRule="auto"/>
        <w:jc w:val="center"/>
        <w:rPr>
          <w:rFonts w:eastAsia="Georgia"/>
          <w:sz w:val="24"/>
          <w:szCs w:val="24"/>
        </w:rPr>
      </w:pPr>
      <w:r w:rsidRPr="002C0CF8">
        <w:rPr>
          <w:rFonts w:eastAsia="Georgia"/>
          <w:sz w:val="24"/>
          <w:szCs w:val="24"/>
        </w:rPr>
        <w:t>[Figure 3 about here]</w:t>
      </w:r>
    </w:p>
    <w:p w14:paraId="00000039" w14:textId="62999E72" w:rsidR="00D920F2" w:rsidRPr="002C0CF8" w:rsidRDefault="009E4571">
      <w:pPr>
        <w:spacing w:after="160" w:line="480" w:lineRule="auto"/>
        <w:jc w:val="both"/>
        <w:rPr>
          <w:rFonts w:eastAsia="Georgia"/>
          <w:sz w:val="24"/>
          <w:szCs w:val="24"/>
        </w:rPr>
      </w:pPr>
      <w:r w:rsidRPr="002C0CF8">
        <w:rPr>
          <w:rFonts w:eastAsia="Georgia"/>
          <w:sz w:val="24"/>
          <w:szCs w:val="24"/>
        </w:rPr>
        <w:t xml:space="preserve">Finally, we find a </w:t>
      </w:r>
      <w:r w:rsidRPr="002C0CF8">
        <w:rPr>
          <w:rFonts w:eastAsia="Georgia"/>
          <w:i/>
          <w:iCs/>
          <w:sz w:val="24"/>
          <w:szCs w:val="24"/>
        </w:rPr>
        <w:t>bifurcated</w:t>
      </w:r>
      <w:r w:rsidRPr="002C0CF8">
        <w:rPr>
          <w:rFonts w:eastAsia="Georgia"/>
          <w:sz w:val="24"/>
          <w:szCs w:val="24"/>
        </w:rPr>
        <w:t xml:space="preserve"> network structure in </w:t>
      </w:r>
      <w:proofErr w:type="gramStart"/>
      <w:r w:rsidRPr="002C0CF8">
        <w:rPr>
          <w:rFonts w:eastAsia="Georgia"/>
          <w:sz w:val="24"/>
          <w:szCs w:val="24"/>
        </w:rPr>
        <w:t>Tasmania</w:t>
      </w:r>
      <w:r w:rsidR="00874517" w:rsidRPr="002C0CF8">
        <w:rPr>
          <w:rFonts w:eastAsia="Georgia"/>
          <w:sz w:val="24"/>
          <w:szCs w:val="24"/>
        </w:rPr>
        <w:t xml:space="preserve"> </w:t>
      </w:r>
      <w:r w:rsidR="00874517" w:rsidRPr="002C0CF8">
        <w:rPr>
          <w:color w:val="000000"/>
          <w:sz w:val="24"/>
        </w:rPr>
        <w:t xml:space="preserve"> (</w:t>
      </w:r>
      <w:proofErr w:type="gramEnd"/>
      <w:r w:rsidR="00874517" w:rsidRPr="002C0CF8">
        <w:rPr>
          <w:color w:val="000000"/>
          <w:sz w:val="24"/>
        </w:rPr>
        <w:t>see Figure 4</w:t>
      </w:r>
      <w:r w:rsidR="00874517" w:rsidRPr="002C0CF8">
        <w:rPr>
          <w:sz w:val="24"/>
        </w:rPr>
        <w:t>)</w:t>
      </w:r>
      <w:r w:rsidRPr="002C0CF8">
        <w:rPr>
          <w:rFonts w:eastAsia="Georgia"/>
          <w:sz w:val="24"/>
          <w:szCs w:val="24"/>
        </w:rPr>
        <w:t>. A north-south organisational separation is observable here; a result of divergent member interests and perspectives on how to conduct environmental activism in the wake of Tasmania’s “forest wars”. Although the northern and southern chapters of the state were on amicable standing, reflected in XR Southern Tasmania being the strongest tie for XR Northern Tasmania, there was no functioning state-wide chapter, with network connections to the wider movement being notably weak. </w:t>
      </w:r>
    </w:p>
    <w:p w14:paraId="0000003A" w14:textId="77777777" w:rsidR="00D920F2" w:rsidRPr="002C0CF8" w:rsidRDefault="009E4571">
      <w:pPr>
        <w:spacing w:after="160" w:line="480" w:lineRule="auto"/>
        <w:jc w:val="center"/>
        <w:rPr>
          <w:rFonts w:eastAsia="Georgia"/>
          <w:sz w:val="24"/>
          <w:szCs w:val="24"/>
        </w:rPr>
      </w:pPr>
      <w:r w:rsidRPr="002C0CF8">
        <w:rPr>
          <w:rFonts w:eastAsia="Georgia"/>
          <w:sz w:val="24"/>
          <w:szCs w:val="24"/>
        </w:rPr>
        <w:t>[Figure 4 about here]</w:t>
      </w:r>
    </w:p>
    <w:p w14:paraId="0000003B" w14:textId="04A95A42" w:rsidR="00D920F2" w:rsidRPr="002C0CF8" w:rsidRDefault="009E4571">
      <w:pPr>
        <w:spacing w:before="240" w:after="240" w:line="480" w:lineRule="auto"/>
        <w:jc w:val="both"/>
        <w:rPr>
          <w:rFonts w:eastAsia="Georgia"/>
          <w:sz w:val="24"/>
          <w:szCs w:val="24"/>
        </w:rPr>
      </w:pPr>
      <w:r w:rsidRPr="002C0CF8">
        <w:rPr>
          <w:rFonts w:eastAsia="Georgia"/>
          <w:sz w:val="24"/>
          <w:szCs w:val="24"/>
        </w:rPr>
        <w:t>The national-level chapter – XR Australia – played a comparatively marginal role in the movement</w:t>
      </w:r>
      <w:r w:rsidR="00874517" w:rsidRPr="002C0CF8">
        <w:rPr>
          <w:color w:val="000000"/>
          <w:sz w:val="24"/>
        </w:rPr>
        <w:t xml:space="preserve"> (see Figure 5</w:t>
      </w:r>
      <w:r w:rsidR="00874517" w:rsidRPr="002C0CF8">
        <w:rPr>
          <w:sz w:val="24"/>
        </w:rPr>
        <w:t>).</w:t>
      </w:r>
      <w:r w:rsidRPr="002C0CF8">
        <w:rPr>
          <w:rFonts w:eastAsia="Georgia"/>
          <w:sz w:val="24"/>
          <w:szCs w:val="24"/>
        </w:rPr>
        <w:t xml:space="preserve"> XR Australia was instrumental in providing advice and resources to many of the chapters in their infancy; however, almost all interaction in this regard has been limited to online spaces. Local chapter connections to XR Australia were greatly strengthened during the COVID-19 lockdowns, with in-person events largely replaced with digital interaction. </w:t>
      </w:r>
    </w:p>
    <w:p w14:paraId="0000003C" w14:textId="77777777" w:rsidR="00D920F2" w:rsidRPr="002C0CF8" w:rsidRDefault="009E4571">
      <w:pPr>
        <w:spacing w:before="240" w:after="240" w:line="480" w:lineRule="auto"/>
        <w:jc w:val="both"/>
        <w:rPr>
          <w:rFonts w:eastAsia="Georgia"/>
          <w:sz w:val="24"/>
          <w:szCs w:val="24"/>
        </w:rPr>
      </w:pPr>
      <w:r w:rsidRPr="002C0CF8">
        <w:rPr>
          <w:rFonts w:eastAsia="Georgia"/>
          <w:sz w:val="24"/>
          <w:szCs w:val="24"/>
        </w:rPr>
        <w:t>Across the four network archetypes, distance and scale shaped the organisational dynamics of the movement: dense, short-range clustering contrasts with dispersed, chapter-centred networks, while the population-rich southeastern corridor sustains within-state cores with selective interstate bridges. However, the constellations of connection and non-connection, and the meaning attached to both were mediated by a rich tapestry of meanings attached to distance. The following section speaks to this rich tapestry examined through our thematic analysis.</w:t>
      </w:r>
    </w:p>
    <w:p w14:paraId="0000003D" w14:textId="77777777" w:rsidR="00D920F2" w:rsidRPr="002C0CF8" w:rsidRDefault="009E4571">
      <w:pPr>
        <w:spacing w:after="160" w:line="480" w:lineRule="auto"/>
        <w:jc w:val="center"/>
        <w:rPr>
          <w:rFonts w:eastAsia="Georgia"/>
          <w:sz w:val="24"/>
          <w:szCs w:val="24"/>
        </w:rPr>
      </w:pPr>
      <w:r w:rsidRPr="002C0CF8">
        <w:rPr>
          <w:rFonts w:eastAsia="Georgia"/>
          <w:sz w:val="24"/>
          <w:szCs w:val="24"/>
        </w:rPr>
        <w:lastRenderedPageBreak/>
        <w:t>[Figure 5 about here]</w:t>
      </w:r>
    </w:p>
    <w:p w14:paraId="0000003E" w14:textId="77777777" w:rsidR="00D920F2" w:rsidRPr="002C0CF8" w:rsidRDefault="009E4571">
      <w:pPr>
        <w:pStyle w:val="Heading2"/>
        <w:spacing w:before="400" w:after="120"/>
        <w:rPr>
          <w:rFonts w:eastAsia="Georgia"/>
        </w:rPr>
      </w:pPr>
      <w:bookmarkStart w:id="7" w:name="_ap8zoialmmct" w:colFirst="0" w:colLast="0"/>
      <w:bookmarkEnd w:id="7"/>
      <w:r w:rsidRPr="002C0CF8">
        <w:rPr>
          <w:rFonts w:eastAsia="Georgia"/>
        </w:rPr>
        <w:t>Thematic analysis</w:t>
      </w:r>
    </w:p>
    <w:p w14:paraId="0000003F" w14:textId="77777777" w:rsidR="00D920F2" w:rsidRPr="002C0CF8" w:rsidRDefault="009E4571">
      <w:pPr>
        <w:spacing w:line="480" w:lineRule="auto"/>
        <w:jc w:val="both"/>
        <w:rPr>
          <w:rFonts w:eastAsia="Georgia"/>
          <w:sz w:val="24"/>
          <w:szCs w:val="24"/>
        </w:rPr>
      </w:pPr>
      <w:r w:rsidRPr="002C0CF8">
        <w:rPr>
          <w:rFonts w:eastAsia="Georgia"/>
          <w:sz w:val="24"/>
          <w:szCs w:val="24"/>
        </w:rPr>
        <w:t>In this section, we present the findings from the thematic analysis, organised into the four themes developed by Davis (1999): physical, institutional, cultural, and class-based distance. These four types of distance shed light on the diversity of connections observed among local chapters of XR Australia. </w:t>
      </w:r>
    </w:p>
    <w:p w14:paraId="00000040" w14:textId="77777777" w:rsidR="00D920F2" w:rsidRPr="002C0CF8" w:rsidRDefault="00D920F2">
      <w:pPr>
        <w:spacing w:line="480" w:lineRule="auto"/>
        <w:rPr>
          <w:rFonts w:eastAsia="Georgia"/>
          <w:sz w:val="24"/>
          <w:szCs w:val="24"/>
        </w:rPr>
      </w:pPr>
    </w:p>
    <w:p w14:paraId="00000041" w14:textId="77777777" w:rsidR="00D920F2" w:rsidRPr="002C0CF8" w:rsidRDefault="009E4571">
      <w:pPr>
        <w:pStyle w:val="Heading3"/>
        <w:rPr>
          <w:rFonts w:eastAsia="Georgia"/>
        </w:rPr>
      </w:pPr>
      <w:bookmarkStart w:id="8" w:name="_kqs6se9li87u" w:colFirst="0" w:colLast="0"/>
      <w:bookmarkEnd w:id="8"/>
      <w:r w:rsidRPr="002C0CF8">
        <w:rPr>
          <w:rFonts w:eastAsia="Georgia"/>
        </w:rPr>
        <w:t>Physical Distance</w:t>
      </w:r>
    </w:p>
    <w:p w14:paraId="00000042" w14:textId="77777777" w:rsidR="00D920F2" w:rsidRPr="002C0CF8" w:rsidRDefault="009E4571">
      <w:pPr>
        <w:spacing w:line="480" w:lineRule="auto"/>
        <w:jc w:val="both"/>
        <w:rPr>
          <w:rFonts w:eastAsia="Georgia"/>
          <w:sz w:val="24"/>
          <w:szCs w:val="24"/>
        </w:rPr>
      </w:pPr>
      <w:r w:rsidRPr="002C0CF8">
        <w:rPr>
          <w:rFonts w:eastAsia="Georgia"/>
          <w:sz w:val="24"/>
          <w:szCs w:val="24"/>
        </w:rPr>
        <w:t>At 7.7 million square kilometres in size, yet the fifth-most sparsely populated, Australia’s geography poses a challenge for building country-wide movements. Its main urban centres are separated by vast physical distances, with remarkably low levels of population density between them. Participants repeatedly described how, in contrast to Extinction Rebellion groups elsewhere across the world, ‘geographical distances in this country’ had been ‘fairly prohibitive’ for the formation of a cohesive national movement (XRA7). As XRA11 explained, ‘because Australia is so big … you just can’t organise except state by state. There’s, like, 1000 km of just nothingness in between the capitals’.</w:t>
      </w:r>
      <w:r w:rsidRPr="002C0CF8">
        <w:rPr>
          <w:rFonts w:eastAsia="Georgia"/>
          <w:sz w:val="24"/>
          <w:szCs w:val="24"/>
          <w:vertAlign w:val="superscript"/>
        </w:rPr>
        <w:footnoteReference w:id="2"/>
      </w:r>
      <w:r w:rsidRPr="002C0CF8">
        <w:rPr>
          <w:rFonts w:eastAsia="Georgia"/>
          <w:sz w:val="24"/>
          <w:szCs w:val="24"/>
        </w:rPr>
        <w:t xml:space="preserve"> Activists in the bridge-rich core between Melbourne and Brisbane described taking multi-hour journeys to meet with other chapters or converge on a space of protest; however, beyond a certain distance, the time, effort, and financial cost of such journeys was perceived as too burdensome to undertake. </w:t>
      </w:r>
    </w:p>
    <w:p w14:paraId="00000043" w14:textId="77777777" w:rsidR="00D920F2" w:rsidRPr="002C0CF8" w:rsidRDefault="00D920F2">
      <w:pPr>
        <w:spacing w:line="480" w:lineRule="auto"/>
        <w:rPr>
          <w:rFonts w:eastAsia="Georgia"/>
          <w:sz w:val="24"/>
          <w:szCs w:val="24"/>
        </w:rPr>
      </w:pPr>
    </w:p>
    <w:p w14:paraId="00000044" w14:textId="77777777" w:rsidR="00D920F2" w:rsidRPr="002C0CF8" w:rsidRDefault="009E4571">
      <w:pPr>
        <w:spacing w:line="480" w:lineRule="auto"/>
        <w:jc w:val="both"/>
        <w:rPr>
          <w:rFonts w:eastAsia="Georgia"/>
          <w:sz w:val="24"/>
          <w:szCs w:val="24"/>
        </w:rPr>
      </w:pPr>
      <w:r w:rsidRPr="002C0CF8">
        <w:rPr>
          <w:rFonts w:eastAsia="Georgia"/>
          <w:sz w:val="24"/>
          <w:szCs w:val="24"/>
        </w:rPr>
        <w:lastRenderedPageBreak/>
        <w:t>The starkest physical distance between local Extinction Rebellion chapters was found in the ‘divide between the East Coast and the West Coast’ (XRA4). While small numbers made occasional journeys from Adelaide to Melbourne or Sydney, this was neither common nor commonly reciprocated. However, this issue was considerably more pronounced for Perth. Five UKs would fit inside the vast and highly sparsely populated expanse between Perth and Adelaide, linked by a 30-hour drive, with an additional 8-15 hours to get to Melbourne, Sydney or Canberra. In the absence of air travel, activists wishing to connect to other chapters and attend protests in other cities were forced to contend with deserts, mountain ranges, and inter-city distances (XRA7). </w:t>
      </w:r>
    </w:p>
    <w:p w14:paraId="00000045" w14:textId="77777777" w:rsidR="00D920F2" w:rsidRPr="002C0CF8" w:rsidRDefault="00D920F2">
      <w:pPr>
        <w:spacing w:line="480" w:lineRule="auto"/>
        <w:jc w:val="both"/>
        <w:rPr>
          <w:rFonts w:eastAsia="Georgia"/>
          <w:sz w:val="24"/>
          <w:szCs w:val="24"/>
        </w:rPr>
      </w:pPr>
    </w:p>
    <w:p w14:paraId="00000046" w14:textId="77777777" w:rsidR="00D920F2" w:rsidRPr="002C0CF8" w:rsidRDefault="009E4571">
      <w:pPr>
        <w:spacing w:line="480" w:lineRule="auto"/>
        <w:jc w:val="both"/>
        <w:rPr>
          <w:rFonts w:eastAsia="Georgia"/>
          <w:sz w:val="24"/>
          <w:szCs w:val="24"/>
        </w:rPr>
      </w:pPr>
      <w:r w:rsidRPr="002C0CF8">
        <w:rPr>
          <w:rFonts w:eastAsia="Georgia"/>
          <w:sz w:val="24"/>
          <w:szCs w:val="24"/>
        </w:rPr>
        <w:t xml:space="preserve">Meanwhile, proximity supported the production of strong ties among local chapters. Despite being a rural chapter connecting small towns across a region on the east coast, XR Shoalhaven nevertheless had numerous strong network ties within its State capital (NSW) and beyond. With Sydney and Canberra both ‘about two hours away’ by car or train (XRA10), Shoalhaven activists had attended protest events in both. However, physical distances also impacted decision-making when it came to network ties. While attendance at Sydney protests included the aim ‘to try and organise to bring some rebels from the region’ (XRA10), and it ‘was really a Canberra mob who called out to local regional groups to come to Canberra, and [XR Shoalhaven] responded’ (XRA3), stronger ties were built with closer groups: ‘We had a group next door to us, the </w:t>
      </w:r>
      <w:proofErr w:type="spellStart"/>
      <w:r w:rsidRPr="002C0CF8">
        <w:rPr>
          <w:rFonts w:eastAsia="Georgia"/>
          <w:sz w:val="24"/>
          <w:szCs w:val="24"/>
        </w:rPr>
        <w:t>Wingecarribee</w:t>
      </w:r>
      <w:proofErr w:type="spellEnd"/>
      <w:r w:rsidRPr="002C0CF8">
        <w:rPr>
          <w:rFonts w:eastAsia="Georgia"/>
          <w:sz w:val="24"/>
          <w:szCs w:val="24"/>
        </w:rPr>
        <w:t xml:space="preserve"> group, and they were a lot more organised, so they just helped us out. They gave us flags. They turned up and they encouraged us’ (XRA10). These connections were important for the chapter’s endurance, as XRA10 explained: ‘I think we wouldn’t have got anywhere if we weren’t connected to other local </w:t>
      </w:r>
      <w:proofErr w:type="gramStart"/>
      <w:r w:rsidRPr="002C0CF8">
        <w:rPr>
          <w:rFonts w:eastAsia="Georgia"/>
          <w:sz w:val="24"/>
          <w:szCs w:val="24"/>
        </w:rPr>
        <w:t>groups’</w:t>
      </w:r>
      <w:proofErr w:type="gramEnd"/>
      <w:r w:rsidRPr="002C0CF8">
        <w:rPr>
          <w:rFonts w:eastAsia="Georgia"/>
          <w:sz w:val="24"/>
          <w:szCs w:val="24"/>
        </w:rPr>
        <w:t>.</w:t>
      </w:r>
    </w:p>
    <w:p w14:paraId="00000047" w14:textId="77777777" w:rsidR="00D920F2" w:rsidRPr="002C0CF8" w:rsidRDefault="00D920F2">
      <w:pPr>
        <w:spacing w:line="480" w:lineRule="auto"/>
        <w:rPr>
          <w:rFonts w:eastAsia="Georgia"/>
          <w:sz w:val="24"/>
          <w:szCs w:val="24"/>
        </w:rPr>
      </w:pPr>
    </w:p>
    <w:p w14:paraId="00000048" w14:textId="77777777" w:rsidR="00D920F2" w:rsidRPr="002C0CF8" w:rsidRDefault="009E4571">
      <w:pPr>
        <w:spacing w:line="480" w:lineRule="auto"/>
        <w:jc w:val="both"/>
        <w:rPr>
          <w:rFonts w:eastAsia="Georgia"/>
          <w:sz w:val="24"/>
          <w:szCs w:val="24"/>
        </w:rPr>
      </w:pPr>
      <w:r w:rsidRPr="002C0CF8">
        <w:rPr>
          <w:rFonts w:eastAsia="Georgia"/>
          <w:sz w:val="24"/>
          <w:szCs w:val="24"/>
        </w:rPr>
        <w:t xml:space="preserve">In addition to the physical distances between urban centres, activists described the impact of physical distances </w:t>
      </w:r>
      <w:r w:rsidRPr="002C0CF8">
        <w:rPr>
          <w:rFonts w:eastAsia="Georgia"/>
          <w:i/>
          <w:iCs/>
          <w:sz w:val="24"/>
          <w:szCs w:val="24"/>
        </w:rPr>
        <w:t xml:space="preserve">within </w:t>
      </w:r>
      <w:r w:rsidRPr="002C0CF8">
        <w:rPr>
          <w:rFonts w:eastAsia="Georgia"/>
          <w:sz w:val="24"/>
          <w:szCs w:val="24"/>
        </w:rPr>
        <w:t xml:space="preserve">cities on social movement organising. Perth was described as a prohibitively ‘big, spread-out city’ (XRA4), a dynamic that negatively affected the local movement’s efforts at mobilisation. As one activist put it: </w:t>
      </w:r>
    </w:p>
    <w:p w14:paraId="00000049" w14:textId="77777777" w:rsidR="00D920F2" w:rsidRPr="002C0CF8" w:rsidRDefault="00D920F2">
      <w:pPr>
        <w:spacing w:line="480" w:lineRule="auto"/>
        <w:jc w:val="both"/>
        <w:rPr>
          <w:rFonts w:eastAsia="Georgia"/>
          <w:sz w:val="24"/>
          <w:szCs w:val="24"/>
        </w:rPr>
      </w:pPr>
    </w:p>
    <w:p w14:paraId="0000004A" w14:textId="77777777" w:rsidR="00D920F2" w:rsidRPr="002C0CF8" w:rsidRDefault="009E4571">
      <w:pPr>
        <w:spacing w:line="480" w:lineRule="auto"/>
        <w:ind w:left="720"/>
        <w:jc w:val="both"/>
        <w:rPr>
          <w:rFonts w:eastAsia="Georgia"/>
          <w:sz w:val="24"/>
          <w:szCs w:val="24"/>
        </w:rPr>
      </w:pPr>
      <w:r w:rsidRPr="002C0CF8">
        <w:rPr>
          <w:rFonts w:eastAsia="Georgia"/>
          <w:sz w:val="24"/>
          <w:szCs w:val="24"/>
        </w:rPr>
        <w:t xml:space="preserve">In London, everybody’s stacked on top of each other. We are the bloody poster child for urban sprawl. … Even doing a local area group, like my own suburb, isn’t walkable - you can’t walk from one end of the suburb to the other. (XRA12) </w:t>
      </w:r>
    </w:p>
    <w:p w14:paraId="0000004B" w14:textId="77777777" w:rsidR="00D920F2" w:rsidRPr="002C0CF8" w:rsidRDefault="00D920F2">
      <w:pPr>
        <w:spacing w:line="480" w:lineRule="auto"/>
        <w:jc w:val="both"/>
        <w:rPr>
          <w:rFonts w:eastAsia="Georgia"/>
          <w:sz w:val="24"/>
          <w:szCs w:val="24"/>
        </w:rPr>
      </w:pPr>
    </w:p>
    <w:p w14:paraId="0000004C" w14:textId="77777777" w:rsidR="00D920F2" w:rsidRPr="002C0CF8" w:rsidRDefault="009E4571">
      <w:pPr>
        <w:spacing w:line="480" w:lineRule="auto"/>
        <w:jc w:val="both"/>
        <w:rPr>
          <w:rFonts w:eastAsia="Georgia"/>
          <w:sz w:val="24"/>
          <w:szCs w:val="24"/>
        </w:rPr>
      </w:pPr>
      <w:r w:rsidRPr="002C0CF8">
        <w:rPr>
          <w:rFonts w:eastAsia="Georgia"/>
          <w:sz w:val="24"/>
          <w:szCs w:val="24"/>
        </w:rPr>
        <w:t>In contrast, Adelaide being a ‘relatively small city’ allowed for a stronger sense of community to be built: ‘we all know each other. … I’ve certainly run into people who I have known over the years, and we share similar politics and ideas’ (XRAus16). Overall, the physical spread of the population across the city, state, and landscape was instrumental in shaping the network archetype that emerged, such as the affinity-centred system in Adelaide, chapter-centred system in Perth, and the bridge-rich core on the east coast. </w:t>
      </w:r>
    </w:p>
    <w:p w14:paraId="0000004D" w14:textId="77777777" w:rsidR="00D920F2" w:rsidRPr="002C0CF8" w:rsidRDefault="00D920F2">
      <w:pPr>
        <w:spacing w:line="480" w:lineRule="auto"/>
        <w:rPr>
          <w:rFonts w:eastAsia="Georgia"/>
          <w:sz w:val="24"/>
          <w:szCs w:val="24"/>
        </w:rPr>
      </w:pPr>
    </w:p>
    <w:p w14:paraId="0000004E" w14:textId="77777777" w:rsidR="00D920F2" w:rsidRPr="002C0CF8" w:rsidRDefault="009E4571">
      <w:pPr>
        <w:pStyle w:val="Heading3"/>
        <w:rPr>
          <w:rFonts w:eastAsia="Georgia"/>
        </w:rPr>
      </w:pPr>
      <w:bookmarkStart w:id="9" w:name="_ahi0d4rzesb" w:colFirst="0" w:colLast="0"/>
      <w:bookmarkEnd w:id="9"/>
      <w:r w:rsidRPr="002C0CF8">
        <w:rPr>
          <w:rFonts w:eastAsia="Georgia"/>
        </w:rPr>
        <w:t>Institutional Distance</w:t>
      </w:r>
    </w:p>
    <w:p w14:paraId="0000004F" w14:textId="77777777" w:rsidR="00D920F2" w:rsidRPr="002C0CF8" w:rsidRDefault="009E4571">
      <w:pPr>
        <w:spacing w:line="480" w:lineRule="auto"/>
        <w:jc w:val="both"/>
        <w:rPr>
          <w:rFonts w:eastAsia="Georgia"/>
          <w:sz w:val="24"/>
          <w:szCs w:val="24"/>
        </w:rPr>
      </w:pPr>
      <w:r w:rsidRPr="002C0CF8">
        <w:rPr>
          <w:rFonts w:eastAsia="Georgia"/>
          <w:sz w:val="24"/>
          <w:szCs w:val="24"/>
        </w:rPr>
        <w:t xml:space="preserve">In contrast to </w:t>
      </w:r>
      <w:proofErr w:type="spellStart"/>
      <w:r w:rsidRPr="002C0CF8">
        <w:rPr>
          <w:rFonts w:eastAsia="Georgia"/>
          <w:sz w:val="24"/>
          <w:szCs w:val="24"/>
        </w:rPr>
        <w:t>Davis’</w:t>
      </w:r>
      <w:proofErr w:type="spellEnd"/>
      <w:r w:rsidRPr="002C0CF8">
        <w:rPr>
          <w:rFonts w:eastAsia="Georgia"/>
          <w:sz w:val="24"/>
          <w:szCs w:val="24"/>
        </w:rPr>
        <w:t xml:space="preserve"> (1999) focus on SMOs’ relational position with respect to public institutions, our interest here is on how such distances influence local chapters’ connections, formed through decision-making on where and in collaboration with whom protest should be focused. In many other countries where Extinction Rebellion is active, including its original UK context, the capital city has been the focal point for protest activities as the national centre of political, economic and ideological power </w:t>
      </w:r>
      <w:r w:rsidRPr="002C0CF8">
        <w:rPr>
          <w:rFonts w:eastAsia="Georgia"/>
          <w:sz w:val="24"/>
          <w:szCs w:val="24"/>
        </w:rPr>
        <w:lastRenderedPageBreak/>
        <w:t xml:space="preserve">(Berglund, 2023). For XR Australia, the focus was generally centred on the State and Territory capitals rather than Canberra, a result of both the physical distance from the seat of government and the importance of State capitals as centres of political, economic and ideological </w:t>
      </w:r>
      <w:proofErr w:type="gramStart"/>
      <w:r w:rsidRPr="002C0CF8">
        <w:rPr>
          <w:rFonts w:eastAsia="Georgia"/>
          <w:sz w:val="24"/>
          <w:szCs w:val="24"/>
        </w:rPr>
        <w:t>power in their own right</w:t>
      </w:r>
      <w:proofErr w:type="gramEnd"/>
      <w:r w:rsidRPr="002C0CF8">
        <w:rPr>
          <w:rFonts w:eastAsia="Georgia"/>
          <w:sz w:val="24"/>
          <w:szCs w:val="24"/>
        </w:rPr>
        <w:t>. For XR chapters in small towns and rural areas, their focus tended to be split between local actions and travelling to attend larger state-level events at the State capital. Although activists engaged in various forms of travel to attend protests – including cases of XR chapters in State capitals travelling to participate in protests in small towns (such as groups in Sydney and rural-based ones in New South Wales), activists travelling from one State capital to others, and convergence on the national capital – the State capitals represented the key nodal points for the movement. Indeed, many activists reported ‘never really [having] any sense of the national’ (XRA10), with actions in the Australian Capital Territory largely limited to chapters in Victoria and New South Wales. </w:t>
      </w:r>
    </w:p>
    <w:p w14:paraId="00000050" w14:textId="77777777" w:rsidR="00D920F2" w:rsidRPr="002C0CF8" w:rsidRDefault="00D920F2">
      <w:pPr>
        <w:spacing w:line="480" w:lineRule="auto"/>
        <w:rPr>
          <w:rFonts w:eastAsia="Georgia"/>
          <w:sz w:val="24"/>
          <w:szCs w:val="24"/>
        </w:rPr>
      </w:pPr>
    </w:p>
    <w:p w14:paraId="00000051" w14:textId="77777777" w:rsidR="00D920F2" w:rsidRPr="002C0CF8" w:rsidRDefault="009E4571">
      <w:pPr>
        <w:spacing w:line="480" w:lineRule="auto"/>
        <w:jc w:val="both"/>
        <w:rPr>
          <w:rFonts w:eastAsia="Georgia"/>
          <w:sz w:val="24"/>
          <w:szCs w:val="24"/>
        </w:rPr>
      </w:pPr>
      <w:r w:rsidRPr="002C0CF8">
        <w:rPr>
          <w:rFonts w:eastAsia="Georgia"/>
          <w:sz w:val="24"/>
          <w:szCs w:val="24"/>
        </w:rPr>
        <w:t>The distance between local XR chapters and the institutions of government was not only physical but also social. Greater knowledge of, contact with, and access to local MPs and political parties led to more of a focus on engaging local politicians (‘we tailor our messages to our local MPs’, XRA2). Meanwhile, other local institutions loomed large as targets for protest actions, such as fossil fuel company headquarters, spaces of extraction, or the banks and insurance companies that supply them with capital. As an XR Adelaide activist explained:</w:t>
      </w:r>
    </w:p>
    <w:p w14:paraId="00000052" w14:textId="77777777" w:rsidR="00D920F2" w:rsidRPr="002C0CF8" w:rsidRDefault="00D920F2">
      <w:pPr>
        <w:spacing w:line="480" w:lineRule="auto"/>
        <w:rPr>
          <w:rFonts w:eastAsia="Georgia"/>
          <w:sz w:val="24"/>
          <w:szCs w:val="24"/>
        </w:rPr>
      </w:pPr>
    </w:p>
    <w:p w14:paraId="00000053" w14:textId="77777777" w:rsidR="00D920F2" w:rsidRPr="002C0CF8" w:rsidRDefault="009E4571">
      <w:pPr>
        <w:spacing w:line="480" w:lineRule="auto"/>
        <w:ind w:left="720"/>
        <w:jc w:val="both"/>
        <w:rPr>
          <w:rFonts w:eastAsia="Georgia"/>
          <w:sz w:val="24"/>
          <w:szCs w:val="24"/>
        </w:rPr>
      </w:pPr>
      <w:r w:rsidRPr="002C0CF8">
        <w:rPr>
          <w:rFonts w:eastAsia="Georgia"/>
          <w:sz w:val="24"/>
          <w:szCs w:val="24"/>
        </w:rPr>
        <w:t xml:space="preserve">One of our key targets … is Santos: the fuel company – gas and oil. They have their headquarters in Adelaide. Their big operations are across the country, but the headquarters is in Adelaide – so we </w:t>
      </w:r>
      <w:proofErr w:type="gramStart"/>
      <w:r w:rsidRPr="002C0CF8">
        <w:rPr>
          <w:rFonts w:eastAsia="Georgia"/>
          <w:sz w:val="24"/>
          <w:szCs w:val="24"/>
        </w:rPr>
        <w:t>actually see</w:t>
      </w:r>
      <w:proofErr w:type="gramEnd"/>
      <w:r w:rsidRPr="002C0CF8">
        <w:rPr>
          <w:rFonts w:eastAsia="Georgia"/>
          <w:sz w:val="24"/>
          <w:szCs w:val="24"/>
        </w:rPr>
        <w:t xml:space="preserve"> that our role in XR is to </w:t>
      </w:r>
      <w:r w:rsidRPr="002C0CF8">
        <w:rPr>
          <w:rFonts w:eastAsia="Georgia"/>
          <w:sz w:val="24"/>
          <w:szCs w:val="24"/>
        </w:rPr>
        <w:lastRenderedPageBreak/>
        <w:t xml:space="preserve">hold them to account. … Western Australia has got the Scarborough project. Woodside Energy [Australia’s biggest gas producer] is based in Perth. The Scarborough project will be, I think, the biggest gas project ever anywhere in the world … Victoria has got one of Australia’s last remaining refineries … – that’s their focus. </w:t>
      </w:r>
      <w:proofErr w:type="gramStart"/>
      <w:r w:rsidRPr="002C0CF8">
        <w:rPr>
          <w:rFonts w:eastAsia="Georgia"/>
          <w:sz w:val="24"/>
          <w:szCs w:val="24"/>
        </w:rPr>
        <w:t>So</w:t>
      </w:r>
      <w:proofErr w:type="gramEnd"/>
      <w:r w:rsidRPr="002C0CF8">
        <w:rPr>
          <w:rFonts w:eastAsia="Georgia"/>
          <w:sz w:val="24"/>
          <w:szCs w:val="24"/>
        </w:rPr>
        <w:t xml:space="preserve"> it’s very hard to give up your resources for some national thing when you’ve got very specific local things you need to deal with. (XRAus15)</w:t>
      </w:r>
    </w:p>
    <w:p w14:paraId="00000054" w14:textId="77777777" w:rsidR="00D920F2" w:rsidRPr="002C0CF8" w:rsidRDefault="00D920F2">
      <w:pPr>
        <w:spacing w:line="480" w:lineRule="auto"/>
        <w:ind w:left="720"/>
        <w:jc w:val="both"/>
        <w:rPr>
          <w:rFonts w:eastAsia="Georgia"/>
          <w:sz w:val="24"/>
          <w:szCs w:val="24"/>
        </w:rPr>
      </w:pPr>
    </w:p>
    <w:p w14:paraId="00000055" w14:textId="77777777" w:rsidR="00D920F2" w:rsidRPr="002C0CF8" w:rsidRDefault="009E4571">
      <w:pPr>
        <w:spacing w:line="480" w:lineRule="auto"/>
        <w:jc w:val="both"/>
        <w:rPr>
          <w:rFonts w:eastAsia="Georgia"/>
          <w:sz w:val="24"/>
          <w:szCs w:val="24"/>
        </w:rPr>
      </w:pPr>
      <w:r w:rsidRPr="002C0CF8">
        <w:rPr>
          <w:rFonts w:eastAsia="Georgia"/>
          <w:sz w:val="24"/>
          <w:szCs w:val="24"/>
        </w:rPr>
        <w:t xml:space="preserve">Perceived distances to protest targets were inflected by </w:t>
      </w:r>
      <w:proofErr w:type="gramStart"/>
      <w:r w:rsidRPr="002C0CF8">
        <w:rPr>
          <w:rFonts w:eastAsia="Georgia"/>
          <w:sz w:val="24"/>
          <w:szCs w:val="24"/>
        </w:rPr>
        <w:t>geography, and</w:t>
      </w:r>
      <w:proofErr w:type="gramEnd"/>
      <w:r w:rsidRPr="002C0CF8">
        <w:rPr>
          <w:rFonts w:eastAsia="Georgia"/>
          <w:sz w:val="24"/>
          <w:szCs w:val="24"/>
        </w:rPr>
        <w:t xml:space="preserve"> influenced the strategies of action and connection adopted. In the more physically isolated affinity-clustered and chapter-centred systems of SA and WA, the State legislatures, headquarters of key polluting industries, and more rural spaces of fossil fuel extraction became key focal points for protest. Meanwhile, on the east coast, more achievable journeys and stronger network connections provided greater potential for chapters to engage with protest targets across state boundaries. Overall, institutional distances shaped XR Australia’s network of chapters through protest event organising and attendance, with local groups engaging primarily with those institutions conceptualised as local. </w:t>
      </w:r>
    </w:p>
    <w:p w14:paraId="00000056" w14:textId="77777777" w:rsidR="00D920F2" w:rsidRPr="002C0CF8" w:rsidRDefault="00D920F2">
      <w:pPr>
        <w:spacing w:line="480" w:lineRule="auto"/>
        <w:rPr>
          <w:rFonts w:eastAsia="Georgia"/>
          <w:sz w:val="24"/>
          <w:szCs w:val="24"/>
        </w:rPr>
      </w:pPr>
    </w:p>
    <w:p w14:paraId="00000057" w14:textId="77777777" w:rsidR="00D920F2" w:rsidRPr="002C0CF8" w:rsidRDefault="009E4571">
      <w:pPr>
        <w:pStyle w:val="Heading3"/>
        <w:rPr>
          <w:rFonts w:eastAsia="Georgia"/>
        </w:rPr>
      </w:pPr>
      <w:bookmarkStart w:id="10" w:name="_rprevsnbmeqw" w:colFirst="0" w:colLast="0"/>
      <w:bookmarkEnd w:id="10"/>
      <w:r w:rsidRPr="002C0CF8">
        <w:rPr>
          <w:rFonts w:eastAsia="Georgia"/>
        </w:rPr>
        <w:t>Cultural Distance</w:t>
      </w:r>
    </w:p>
    <w:p w14:paraId="00000058" w14:textId="77777777" w:rsidR="00D920F2" w:rsidRPr="002C0CF8" w:rsidRDefault="009E4571">
      <w:pPr>
        <w:spacing w:line="480" w:lineRule="auto"/>
        <w:jc w:val="both"/>
        <w:rPr>
          <w:rFonts w:eastAsia="Georgia"/>
          <w:sz w:val="24"/>
          <w:szCs w:val="24"/>
        </w:rPr>
      </w:pPr>
      <w:r w:rsidRPr="002C0CF8">
        <w:rPr>
          <w:rFonts w:eastAsia="Georgia"/>
          <w:sz w:val="24"/>
          <w:szCs w:val="24"/>
        </w:rPr>
        <w:t xml:space="preserve">Cultural differences across Australia played an important role in explaining distance between chapters. Regional stereotypes were referenced to explain the diversity of practices and approaches across the movement, such as Queensland being ‘a bit of a law unto itself … a bit like Texas’ (XRAus02), ‘very low-key, niche’ Gold Coast, (XRAus01), ‘very polite and very easy-going’ Adelaide that tended to be ‘regarded as </w:t>
      </w:r>
      <w:r w:rsidRPr="002C0CF8">
        <w:rPr>
          <w:rFonts w:eastAsia="Georgia"/>
          <w:sz w:val="24"/>
          <w:szCs w:val="24"/>
        </w:rPr>
        <w:lastRenderedPageBreak/>
        <w:t>a weird sort of place, where things don’t work’ (XRAus02; XRAus14), isolated and self-reliant Perth a ‘banana republic’ where fossil fuel extraction looms large (XRAus12), and ‘argumentative’ Sydney where ‘something about the culture’ made it ‘a bit of an uphill battle getting them to all agree’ (XRAus02). Histories of activism matter here. Long-standing traditions of radical feminist organising in Adelaide, and a strong representation of these activists in XRSA underpinned the formation of the affinity-clustered system in that State. Similar patterns are observed elsewhere, emerging out of traditions of anti-mining protest in Brisbane, labour organising in Melbourne, and, in Tasmania, the anti-logging ‘forestry wars’ of the 1970s-90s (XRAus05). In the latter, preferences over organising structure diverged between the north and south of the island. A ‘meeting in the middle of the state’ resulted in division, with ‘infighting and contention over who was leading’ and ‘whose role was what’ (XRAus05). In this manner, cultural distance shaped inter-chapter networks across XR Australia, impacting decision-making on contact, connections and collaborations.</w:t>
      </w:r>
    </w:p>
    <w:p w14:paraId="00000059" w14:textId="77777777" w:rsidR="00D920F2" w:rsidRPr="002C0CF8" w:rsidRDefault="00D920F2">
      <w:pPr>
        <w:spacing w:line="480" w:lineRule="auto"/>
        <w:rPr>
          <w:rFonts w:eastAsia="Georgia"/>
          <w:sz w:val="24"/>
          <w:szCs w:val="24"/>
        </w:rPr>
      </w:pPr>
    </w:p>
    <w:p w14:paraId="0000005A" w14:textId="77777777" w:rsidR="00D920F2" w:rsidRPr="002C0CF8" w:rsidRDefault="009E4571">
      <w:pPr>
        <w:spacing w:line="480" w:lineRule="auto"/>
        <w:jc w:val="both"/>
        <w:rPr>
          <w:rFonts w:eastAsia="Georgia"/>
          <w:sz w:val="24"/>
          <w:szCs w:val="24"/>
        </w:rPr>
      </w:pPr>
      <w:r w:rsidRPr="002C0CF8">
        <w:rPr>
          <w:rFonts w:eastAsia="Georgia"/>
          <w:sz w:val="24"/>
          <w:szCs w:val="24"/>
        </w:rPr>
        <w:t xml:space="preserve">The experiences of rural chapters differed starkly from urban ones. The bustle of major urban centres, where nonviolent civil disobedience could be undertaken with relative anonymity, was contrasted with activism in ‘a regional town, where everyone knows you’ (XRAus10). Rural chapters regularly travelled to cities for protest events, but this was rarely reciprocated. Meanwhile, cultural distances across the movement were accentuated by the disparate histories of colonial and systemic violence against – as well as resistance by – the more than 250 First Nations peoples across the territory that now constitutes Australia. Settler-Indigenous coalitions were influenced by settler activist cultures, including the extent of Extinction Rebellion’s engagement with antiracism and the historical relations between settler- and Indigenous-led movements </w:t>
      </w:r>
      <w:r w:rsidRPr="002C0CF8">
        <w:rPr>
          <w:rFonts w:eastAsia="Georgia"/>
          <w:sz w:val="24"/>
          <w:szCs w:val="24"/>
        </w:rPr>
        <w:lastRenderedPageBreak/>
        <w:t>in the area. Settler-coloniality has previously been found to be a crucial factor for understanding the diffusion of Extinction Rebellion to Aotearoa New Zealand (Matthews, Bond, and Nairn, 2025); the same could be said of the movement in Australia.</w:t>
      </w:r>
    </w:p>
    <w:p w14:paraId="0000005B" w14:textId="77777777" w:rsidR="00D920F2" w:rsidRPr="002C0CF8" w:rsidRDefault="00D920F2">
      <w:pPr>
        <w:spacing w:line="480" w:lineRule="auto"/>
        <w:rPr>
          <w:rFonts w:eastAsia="Georgia"/>
          <w:sz w:val="24"/>
          <w:szCs w:val="24"/>
        </w:rPr>
      </w:pPr>
    </w:p>
    <w:p w14:paraId="0000005C" w14:textId="77777777" w:rsidR="00D920F2" w:rsidRPr="002C0CF8" w:rsidRDefault="009E4571">
      <w:pPr>
        <w:pStyle w:val="Heading3"/>
        <w:rPr>
          <w:rFonts w:eastAsia="Georgia"/>
        </w:rPr>
      </w:pPr>
      <w:bookmarkStart w:id="11" w:name="_104ltiq9n9vy" w:colFirst="0" w:colLast="0"/>
      <w:bookmarkEnd w:id="11"/>
      <w:r w:rsidRPr="002C0CF8">
        <w:rPr>
          <w:rFonts w:eastAsia="Georgia"/>
        </w:rPr>
        <w:t>Class-Based Distance</w:t>
      </w:r>
    </w:p>
    <w:p w14:paraId="0000005D" w14:textId="77777777" w:rsidR="00D920F2" w:rsidRPr="002C0CF8" w:rsidRDefault="009E4571">
      <w:pPr>
        <w:spacing w:line="480" w:lineRule="auto"/>
        <w:jc w:val="both"/>
        <w:rPr>
          <w:rFonts w:eastAsia="Georgia"/>
          <w:sz w:val="24"/>
          <w:szCs w:val="24"/>
        </w:rPr>
      </w:pPr>
      <w:r w:rsidRPr="002C0CF8">
        <w:rPr>
          <w:rFonts w:eastAsia="Georgia"/>
          <w:sz w:val="24"/>
          <w:szCs w:val="24"/>
        </w:rPr>
        <w:t xml:space="preserve">Social class fundamentally shapes the social construction of distance (Davis 1999; Massey 2012, 2013), including the ability of social movements to build coalitions, attract a broad-based membership, and create effective strategies, practices and discourses (Wang, Piazza and Soule, 2018; Bell, 2021; Bell and Bevan, 2021). As a predominantly middle-class movement, XR frequently struggled to gain traction among working-class constituencies. Participants described how attempts to mobilise in such communities foundered. A working-class activist from Perth, who described their own neighbourhood as ‘too bogan’ for XR to flourish, described how the movement had flourished in ‘upper </w:t>
      </w:r>
      <w:proofErr w:type="spellStart"/>
      <w:r w:rsidRPr="002C0CF8">
        <w:rPr>
          <w:rFonts w:eastAsia="Georgia"/>
          <w:sz w:val="24"/>
          <w:szCs w:val="24"/>
        </w:rPr>
        <w:t>class’</w:t>
      </w:r>
      <w:proofErr w:type="spellEnd"/>
      <w:r w:rsidRPr="002C0CF8">
        <w:rPr>
          <w:rFonts w:eastAsia="Georgia"/>
          <w:sz w:val="24"/>
          <w:szCs w:val="24"/>
        </w:rPr>
        <w:t xml:space="preserve"> Subiaco and the ‘bougie suburb’ of Dianella (XRAus12). Meanwhile, the movement has been confronted with political and media discourses seeking to present a narrative of ‘us and them – the greenies versus the honest, working people: that culture war stuff’ (XRAus13), only further exacerbating the challenge to connect with working-class audiences. Overall, class played a crucial role in producing the patchwork of distances across middle- and working-class areas that shaped and influenced the structure of the </w:t>
      </w:r>
      <w:proofErr w:type="gramStart"/>
      <w:r w:rsidRPr="002C0CF8">
        <w:rPr>
          <w:rFonts w:eastAsia="Georgia"/>
          <w:sz w:val="24"/>
          <w:szCs w:val="24"/>
        </w:rPr>
        <w:t>movement as a whole</w:t>
      </w:r>
      <w:proofErr w:type="gramEnd"/>
      <w:r w:rsidRPr="002C0CF8">
        <w:rPr>
          <w:rFonts w:eastAsia="Georgia"/>
          <w:sz w:val="24"/>
          <w:szCs w:val="24"/>
        </w:rPr>
        <w:t>.</w:t>
      </w:r>
    </w:p>
    <w:p w14:paraId="0000005E" w14:textId="77777777" w:rsidR="00D920F2" w:rsidRPr="002C0CF8" w:rsidRDefault="009E4571">
      <w:pPr>
        <w:pStyle w:val="Heading2"/>
        <w:spacing w:before="400" w:after="120"/>
        <w:rPr>
          <w:rFonts w:eastAsia="Georgia"/>
        </w:rPr>
      </w:pPr>
      <w:bookmarkStart w:id="12" w:name="_fignfhmkej2d" w:colFirst="0" w:colLast="0"/>
      <w:bookmarkEnd w:id="12"/>
      <w:r w:rsidRPr="002C0CF8">
        <w:rPr>
          <w:rFonts w:eastAsia="Georgia"/>
        </w:rPr>
        <w:t>Conclusion</w:t>
      </w:r>
    </w:p>
    <w:p w14:paraId="0000005F" w14:textId="77777777" w:rsidR="00D920F2" w:rsidRPr="002C0CF8" w:rsidRDefault="009E4571">
      <w:pPr>
        <w:spacing w:before="240" w:line="480" w:lineRule="auto"/>
        <w:jc w:val="both"/>
        <w:rPr>
          <w:rFonts w:eastAsia="Georgia"/>
          <w:sz w:val="24"/>
          <w:szCs w:val="24"/>
        </w:rPr>
      </w:pPr>
      <w:r w:rsidRPr="002C0CF8">
        <w:rPr>
          <w:rFonts w:eastAsia="Georgia"/>
          <w:sz w:val="24"/>
          <w:szCs w:val="24"/>
        </w:rPr>
        <w:t xml:space="preserve">Through an examination of XR Australia, this paper illustrates the impact of physical, institutional, cultural and class-based distance on the nature of inter-chapter network </w:t>
      </w:r>
      <w:r w:rsidRPr="002C0CF8">
        <w:rPr>
          <w:rFonts w:eastAsia="Georgia"/>
          <w:sz w:val="24"/>
          <w:szCs w:val="24"/>
        </w:rPr>
        <w:lastRenderedPageBreak/>
        <w:t xml:space="preserve">connections within SMOs. Our network analysis identified four network archetypes: a bridge-rich core along the east coast, an affinity-clustered system (exemplified by Adelaide), a chapter-centred system (as found in Perth), and the bifurcated state of Tasmania. The thematic analysis furthered these insights. Physical distance, elongated for environmental activists through the ethic of minimising fossil fuel usage, shaped the nature of interactions, protest event attendance, and resource sharing. Institutional distance – particularly State capitals and fossil fuel projects or company headquarters – influenced inter-chapter ties through protest event organising and attendance, with chapters preferring to act local. Cultural distances between and within States and Territories had meaningful repercussions, playing a role in decision-making on contact, connections and collaborations across chapters. Within cities and regions, class-based distances produced a constellation of chapters around middle- and working-class areas. In this way, our </w:t>
      </w:r>
      <w:r w:rsidRPr="002C0CF8">
        <w:rPr>
          <w:rFonts w:eastAsia="Georgia"/>
          <w:i/>
          <w:iCs/>
          <w:sz w:val="24"/>
          <w:szCs w:val="24"/>
        </w:rPr>
        <w:t>power of inter-chapter distance</w:t>
      </w:r>
      <w:r w:rsidRPr="002C0CF8">
        <w:rPr>
          <w:rFonts w:eastAsia="Georgia"/>
          <w:sz w:val="24"/>
          <w:szCs w:val="24"/>
        </w:rPr>
        <w:t xml:space="preserve"> framework provides an analytical approach to explore the network connections within SMOs that constrain or enable resource sharing, collaboration, protest event attendance, and local group endurance. </w:t>
      </w:r>
    </w:p>
    <w:p w14:paraId="00000060" w14:textId="77777777" w:rsidR="00D920F2" w:rsidRPr="002C0CF8" w:rsidRDefault="009E4571">
      <w:pPr>
        <w:spacing w:before="240" w:line="480" w:lineRule="auto"/>
        <w:jc w:val="both"/>
        <w:rPr>
          <w:rFonts w:eastAsia="Georgia"/>
          <w:sz w:val="24"/>
          <w:szCs w:val="24"/>
        </w:rPr>
      </w:pPr>
      <w:r w:rsidRPr="002C0CF8">
        <w:rPr>
          <w:rFonts w:eastAsia="Georgia"/>
          <w:sz w:val="24"/>
          <w:szCs w:val="24"/>
        </w:rPr>
        <w:t xml:space="preserve">By examining the case of XR Australia, our analysis highlights the importance of distance across territories in shaping social movement networks. Even where activists understood themselves to be replicating the organisational structures of Extinction Rebellion UK, the movement was nonetheless moulded by physical, institutional, cultural and class-based forms of distance. The impossibility of replicating the British model of local chapter networks at the scale of Australia’s physical and human geography was not lost on local activist communities, of course, who translated the movement to their local environment in a process of ‘creative, agentic, and strategic’ engagement (Soule and </w:t>
      </w:r>
      <w:proofErr w:type="spellStart"/>
      <w:r w:rsidRPr="002C0CF8">
        <w:rPr>
          <w:rFonts w:eastAsia="Georgia"/>
          <w:sz w:val="24"/>
          <w:szCs w:val="24"/>
        </w:rPr>
        <w:t>Roggeband</w:t>
      </w:r>
      <w:proofErr w:type="spellEnd"/>
      <w:r w:rsidRPr="002C0CF8">
        <w:rPr>
          <w:rFonts w:eastAsia="Georgia"/>
          <w:sz w:val="24"/>
          <w:szCs w:val="24"/>
        </w:rPr>
        <w:t xml:space="preserve">, 2013: 244). Nevertheless, this dynamic appears </w:t>
      </w:r>
      <w:r w:rsidRPr="002C0CF8">
        <w:rPr>
          <w:rFonts w:eastAsia="Georgia"/>
          <w:sz w:val="24"/>
          <w:szCs w:val="24"/>
        </w:rPr>
        <w:lastRenderedPageBreak/>
        <w:t>to have been underappreciated during the movement’s early phases of diffusion. By contributing a framework for understanding this, our paper offers insights that are usable for social movement scholars and activists alike.</w:t>
      </w:r>
    </w:p>
    <w:p w14:paraId="00000061" w14:textId="77777777" w:rsidR="00D920F2" w:rsidRPr="002C0CF8" w:rsidRDefault="00D920F2">
      <w:pPr>
        <w:spacing w:before="240" w:line="480" w:lineRule="auto"/>
        <w:jc w:val="both"/>
        <w:rPr>
          <w:rFonts w:eastAsia="Georgia"/>
          <w:sz w:val="24"/>
          <w:szCs w:val="24"/>
        </w:rPr>
      </w:pPr>
    </w:p>
    <w:p w14:paraId="00000062" w14:textId="77777777" w:rsidR="00D920F2" w:rsidRPr="002C0CF8" w:rsidRDefault="009E4571">
      <w:pPr>
        <w:pStyle w:val="Heading1"/>
        <w:rPr>
          <w:rFonts w:eastAsia="Georgia"/>
        </w:rPr>
      </w:pPr>
      <w:bookmarkStart w:id="13" w:name="_n9tdf42c67i" w:colFirst="0" w:colLast="0"/>
      <w:bookmarkEnd w:id="13"/>
      <w:r w:rsidRPr="002C0CF8">
        <w:rPr>
          <w:rFonts w:eastAsia="Georgia"/>
        </w:rPr>
        <w:t>References</w:t>
      </w:r>
    </w:p>
    <w:p w14:paraId="00000063"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Abrams B and Gardner P (Eds.) 2023. </w:t>
      </w:r>
      <w:r w:rsidRPr="002C0CF8">
        <w:rPr>
          <w:rFonts w:eastAsia="Georgia"/>
          <w:i/>
          <w:iCs/>
          <w:sz w:val="24"/>
          <w:szCs w:val="24"/>
        </w:rPr>
        <w:t>Symbolic Objects in Contentious Politics</w:t>
      </w:r>
      <w:r w:rsidRPr="002C0CF8">
        <w:rPr>
          <w:rFonts w:eastAsia="Georgia"/>
          <w:sz w:val="24"/>
          <w:szCs w:val="24"/>
        </w:rPr>
        <w:t>, Ann Arbor, MI: The University of Michigan Press.</w:t>
      </w:r>
    </w:p>
    <w:p w14:paraId="00000064"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Arashiro Z 2017. Mining, Social Contestation and the Reclaiming of Voice in Australia’s Democracy, </w:t>
      </w:r>
      <w:r w:rsidRPr="002C0CF8">
        <w:rPr>
          <w:rFonts w:eastAsia="Georgia"/>
          <w:i/>
          <w:iCs/>
          <w:sz w:val="24"/>
          <w:szCs w:val="24"/>
        </w:rPr>
        <w:t>Social Identities</w:t>
      </w:r>
      <w:r w:rsidRPr="002C0CF8">
        <w:rPr>
          <w:rFonts w:eastAsia="Georgia"/>
          <w:sz w:val="24"/>
          <w:szCs w:val="24"/>
        </w:rPr>
        <w:t xml:space="preserve"> </w:t>
      </w:r>
      <w:r w:rsidRPr="002C0CF8">
        <w:rPr>
          <w:rFonts w:eastAsia="Georgia"/>
          <w:i/>
          <w:iCs/>
          <w:sz w:val="24"/>
          <w:szCs w:val="24"/>
        </w:rPr>
        <w:t>23</w:t>
      </w:r>
      <w:r w:rsidRPr="002C0CF8">
        <w:rPr>
          <w:rFonts w:eastAsia="Georgia"/>
          <w:sz w:val="24"/>
          <w:szCs w:val="24"/>
        </w:rPr>
        <w:t xml:space="preserve">(6): 661-673. </w:t>
      </w:r>
      <w:proofErr w:type="spellStart"/>
      <w:r w:rsidRPr="002C0CF8">
        <w:rPr>
          <w:rFonts w:eastAsia="Georgia"/>
          <w:sz w:val="24"/>
          <w:szCs w:val="24"/>
        </w:rPr>
        <w:t>doi</w:t>
      </w:r>
      <w:proofErr w:type="spellEnd"/>
      <w:r w:rsidRPr="002C0CF8">
        <w:rPr>
          <w:rFonts w:eastAsia="Georgia"/>
          <w:sz w:val="24"/>
          <w:szCs w:val="24"/>
        </w:rPr>
        <w:t>: 10.1080/13504630.2017.1291090</w:t>
      </w:r>
    </w:p>
    <w:p w14:paraId="00000065"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Axon S 2019. Warning: Extinction ahead! Theorizing the spatial disruption and place contestation of climate justice activism. </w:t>
      </w:r>
      <w:r w:rsidRPr="002C0CF8">
        <w:rPr>
          <w:rFonts w:eastAsia="Georgia"/>
          <w:i/>
          <w:iCs/>
          <w:sz w:val="24"/>
          <w:szCs w:val="24"/>
        </w:rPr>
        <w:t>Environment, Space, Place</w:t>
      </w:r>
      <w:r w:rsidRPr="002C0CF8">
        <w:rPr>
          <w:rFonts w:eastAsia="Georgia"/>
          <w:sz w:val="24"/>
          <w:szCs w:val="24"/>
        </w:rPr>
        <w:t xml:space="preserve"> </w:t>
      </w:r>
      <w:r w:rsidRPr="002C0CF8">
        <w:rPr>
          <w:rFonts w:eastAsia="Georgia"/>
          <w:i/>
          <w:iCs/>
          <w:sz w:val="24"/>
          <w:szCs w:val="24"/>
        </w:rPr>
        <w:t>11</w:t>
      </w:r>
      <w:r w:rsidRPr="002C0CF8">
        <w:rPr>
          <w:rFonts w:eastAsia="Georgia"/>
          <w:sz w:val="24"/>
          <w:szCs w:val="24"/>
        </w:rPr>
        <w:t xml:space="preserve">(2): 1-26. </w:t>
      </w:r>
      <w:proofErr w:type="spellStart"/>
      <w:r w:rsidRPr="002C0CF8">
        <w:rPr>
          <w:rFonts w:eastAsia="Georgia"/>
          <w:sz w:val="24"/>
          <w:szCs w:val="24"/>
        </w:rPr>
        <w:t>doi</w:t>
      </w:r>
      <w:proofErr w:type="spellEnd"/>
      <w:r w:rsidRPr="002C0CF8">
        <w:rPr>
          <w:rFonts w:eastAsia="Georgia"/>
          <w:sz w:val="24"/>
          <w:szCs w:val="24"/>
        </w:rPr>
        <w:t xml:space="preserve">: 10.5749/envispacplac.11.2.0001 </w:t>
      </w:r>
    </w:p>
    <w:p w14:paraId="00000066"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Berglund O 2023. Disruptive protest, civil disobedience &amp; direct action. </w:t>
      </w:r>
      <w:r w:rsidRPr="002C0CF8">
        <w:rPr>
          <w:rFonts w:eastAsia="Georgia"/>
          <w:i/>
          <w:iCs/>
          <w:sz w:val="24"/>
          <w:szCs w:val="24"/>
        </w:rPr>
        <w:t>Politics</w:t>
      </w:r>
      <w:r w:rsidRPr="002C0CF8">
        <w:rPr>
          <w:rFonts w:eastAsia="Georgia"/>
          <w:sz w:val="24"/>
          <w:szCs w:val="24"/>
        </w:rPr>
        <w:t xml:space="preserve"> </w:t>
      </w:r>
      <w:r w:rsidRPr="002C0CF8">
        <w:rPr>
          <w:rFonts w:eastAsia="Georgia"/>
          <w:i/>
          <w:iCs/>
          <w:sz w:val="24"/>
          <w:szCs w:val="24"/>
        </w:rPr>
        <w:t>45</w:t>
      </w:r>
      <w:r w:rsidRPr="002C0CF8">
        <w:rPr>
          <w:rFonts w:eastAsia="Georgia"/>
          <w:sz w:val="24"/>
          <w:szCs w:val="24"/>
        </w:rPr>
        <w:t>(2): 239–257. doi:10.1177/02633957231176999</w:t>
      </w:r>
    </w:p>
    <w:p w14:paraId="00000067"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Braun V and Clarke V 2006. Using thematic analysis in psychology. </w:t>
      </w:r>
      <w:r w:rsidRPr="002C0CF8">
        <w:rPr>
          <w:rFonts w:eastAsia="Georgia"/>
          <w:i/>
          <w:iCs/>
          <w:sz w:val="24"/>
          <w:szCs w:val="24"/>
        </w:rPr>
        <w:t>Qualitative Research in Psychology</w:t>
      </w:r>
      <w:r w:rsidRPr="002C0CF8">
        <w:rPr>
          <w:rFonts w:eastAsia="Georgia"/>
          <w:sz w:val="24"/>
          <w:szCs w:val="24"/>
        </w:rPr>
        <w:t xml:space="preserve"> </w:t>
      </w:r>
      <w:r w:rsidRPr="002C0CF8">
        <w:rPr>
          <w:rFonts w:eastAsia="Georgia"/>
          <w:i/>
          <w:iCs/>
          <w:sz w:val="24"/>
          <w:szCs w:val="24"/>
        </w:rPr>
        <w:t>3</w:t>
      </w:r>
      <w:r w:rsidRPr="002C0CF8">
        <w:rPr>
          <w:rFonts w:eastAsia="Georgia"/>
          <w:sz w:val="24"/>
          <w:szCs w:val="24"/>
        </w:rPr>
        <w:t>(2): 77-101. doi:10.1191/1478088706qp063oa</w:t>
      </w:r>
    </w:p>
    <w:p w14:paraId="00000068"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Braun V, Clarke V and Hayfield N 2022. ‘A starting point for your journey, not a map’: Nikki Hayfield in conversation with Virginia Braun and Victoria Clarke about thematic analysis. </w:t>
      </w:r>
      <w:r w:rsidRPr="002C0CF8">
        <w:rPr>
          <w:rFonts w:eastAsia="Georgia"/>
          <w:i/>
          <w:iCs/>
          <w:sz w:val="24"/>
          <w:szCs w:val="24"/>
        </w:rPr>
        <w:t>Qualitative Research in Psychology</w:t>
      </w:r>
      <w:r w:rsidRPr="002C0CF8">
        <w:rPr>
          <w:rFonts w:eastAsia="Georgia"/>
          <w:sz w:val="24"/>
          <w:szCs w:val="24"/>
        </w:rPr>
        <w:t xml:space="preserve"> </w:t>
      </w:r>
      <w:r w:rsidRPr="002C0CF8">
        <w:rPr>
          <w:rFonts w:eastAsia="Georgia"/>
          <w:i/>
          <w:iCs/>
          <w:sz w:val="24"/>
          <w:szCs w:val="24"/>
        </w:rPr>
        <w:t>19</w:t>
      </w:r>
      <w:r w:rsidRPr="002C0CF8">
        <w:rPr>
          <w:rFonts w:eastAsia="Georgia"/>
          <w:sz w:val="24"/>
          <w:szCs w:val="24"/>
        </w:rPr>
        <w:t>(2): 424-445. doi:10.1080/14780887.2019.1670765</w:t>
      </w:r>
    </w:p>
    <w:p w14:paraId="00000069"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color w:val="222222"/>
          <w:sz w:val="24"/>
          <w:szCs w:val="24"/>
        </w:rPr>
        <w:lastRenderedPageBreak/>
        <w:t xml:space="preserve">Buzogány A and </w:t>
      </w:r>
      <w:proofErr w:type="spellStart"/>
      <w:r w:rsidRPr="002C0CF8">
        <w:rPr>
          <w:rFonts w:eastAsia="Georgia"/>
          <w:color w:val="222222"/>
          <w:sz w:val="24"/>
          <w:szCs w:val="24"/>
        </w:rPr>
        <w:t>Scherhaufer</w:t>
      </w:r>
      <w:proofErr w:type="spellEnd"/>
      <w:r w:rsidRPr="002C0CF8">
        <w:rPr>
          <w:rFonts w:eastAsia="Georgia"/>
          <w:color w:val="222222"/>
          <w:sz w:val="24"/>
          <w:szCs w:val="24"/>
        </w:rPr>
        <w:t xml:space="preserve"> P 2022. Framing different energy futures? Comparing Fridays for future and extinction rebellion in Germany. </w:t>
      </w:r>
      <w:r w:rsidRPr="002C0CF8">
        <w:rPr>
          <w:rFonts w:eastAsia="Georgia"/>
          <w:i/>
          <w:iCs/>
          <w:color w:val="222222"/>
          <w:sz w:val="24"/>
          <w:szCs w:val="24"/>
        </w:rPr>
        <w:t>Futures</w:t>
      </w:r>
      <w:r w:rsidRPr="002C0CF8">
        <w:rPr>
          <w:rFonts w:eastAsia="Georgia"/>
          <w:color w:val="222222"/>
          <w:sz w:val="24"/>
          <w:szCs w:val="24"/>
        </w:rPr>
        <w:t xml:space="preserve"> </w:t>
      </w:r>
      <w:r w:rsidRPr="002C0CF8">
        <w:rPr>
          <w:rFonts w:eastAsia="Georgia"/>
          <w:i/>
          <w:iCs/>
          <w:color w:val="222222"/>
          <w:sz w:val="24"/>
          <w:szCs w:val="24"/>
        </w:rPr>
        <w:t>137</w:t>
      </w:r>
      <w:r w:rsidRPr="002C0CF8">
        <w:rPr>
          <w:rFonts w:eastAsia="Georgia"/>
          <w:color w:val="222222"/>
          <w:sz w:val="24"/>
          <w:szCs w:val="24"/>
        </w:rPr>
        <w:t xml:space="preserve">: 102904. </w:t>
      </w:r>
      <w:proofErr w:type="gramStart"/>
      <w:r w:rsidRPr="002C0CF8">
        <w:rPr>
          <w:rFonts w:eastAsia="Georgia"/>
          <w:color w:val="222222"/>
          <w:sz w:val="24"/>
          <w:szCs w:val="24"/>
        </w:rPr>
        <w:t>doi:10.1016/j.futures</w:t>
      </w:r>
      <w:proofErr w:type="gramEnd"/>
      <w:r w:rsidRPr="002C0CF8">
        <w:rPr>
          <w:rFonts w:eastAsia="Georgia"/>
          <w:color w:val="222222"/>
          <w:sz w:val="24"/>
          <w:szCs w:val="24"/>
        </w:rPr>
        <w:t>.2022.102904</w:t>
      </w:r>
    </w:p>
    <w:p w14:paraId="0000006A"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Castells M (2012). </w:t>
      </w:r>
      <w:r w:rsidRPr="002C0CF8">
        <w:rPr>
          <w:rFonts w:eastAsia="Georgia"/>
          <w:i/>
          <w:iCs/>
          <w:sz w:val="24"/>
          <w:szCs w:val="24"/>
        </w:rPr>
        <w:t>Networks of Outrage and Hope: Social Movements in the Internet Age</w:t>
      </w:r>
      <w:r w:rsidRPr="002C0CF8">
        <w:rPr>
          <w:rFonts w:eastAsia="Georgia"/>
          <w:sz w:val="24"/>
          <w:szCs w:val="24"/>
        </w:rPr>
        <w:t>. Cambridge: Polity Press.</w:t>
      </w:r>
    </w:p>
    <w:p w14:paraId="0000006B"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Chang P 2024. Understanding Environmental NGOs’ Inclusiveness: A Comparative Analysis of Two Australian Climate Action Groups, </w:t>
      </w:r>
      <w:r w:rsidRPr="002C0CF8">
        <w:rPr>
          <w:rFonts w:eastAsia="Georgia"/>
          <w:i/>
          <w:iCs/>
          <w:sz w:val="24"/>
          <w:szCs w:val="24"/>
        </w:rPr>
        <w:t>Nonprofit Policy Forum</w:t>
      </w:r>
      <w:r w:rsidRPr="002C0CF8">
        <w:rPr>
          <w:rFonts w:eastAsia="Georgia"/>
          <w:sz w:val="24"/>
          <w:szCs w:val="24"/>
        </w:rPr>
        <w:t xml:space="preserve"> </w:t>
      </w:r>
      <w:r w:rsidRPr="002C0CF8">
        <w:rPr>
          <w:rFonts w:eastAsia="Georgia"/>
          <w:i/>
          <w:iCs/>
          <w:sz w:val="24"/>
          <w:szCs w:val="24"/>
        </w:rPr>
        <w:t>16</w:t>
      </w:r>
      <w:r w:rsidRPr="002C0CF8">
        <w:rPr>
          <w:rFonts w:eastAsia="Georgia"/>
          <w:sz w:val="24"/>
          <w:szCs w:val="24"/>
        </w:rPr>
        <w:t xml:space="preserve">(4): 603-625. </w:t>
      </w:r>
      <w:proofErr w:type="spellStart"/>
      <w:r w:rsidRPr="002C0CF8">
        <w:rPr>
          <w:rFonts w:eastAsia="Georgia"/>
          <w:sz w:val="24"/>
          <w:szCs w:val="24"/>
        </w:rPr>
        <w:t>doi</w:t>
      </w:r>
      <w:proofErr w:type="spellEnd"/>
      <w:r w:rsidRPr="002C0CF8">
        <w:rPr>
          <w:rFonts w:eastAsia="Georgia"/>
          <w:sz w:val="24"/>
          <w:szCs w:val="24"/>
        </w:rPr>
        <w:t>: 10.1515/npf-2024-0010</w:t>
      </w:r>
    </w:p>
    <w:p w14:paraId="0000006C"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Christoff P 2016. Renegotiating Nature in the Anthropocene: Australia’s Environment Movement in a Time of Crisis, </w:t>
      </w:r>
      <w:r w:rsidRPr="002C0CF8">
        <w:rPr>
          <w:rFonts w:eastAsia="Georgia"/>
          <w:i/>
          <w:iCs/>
          <w:sz w:val="24"/>
          <w:szCs w:val="24"/>
        </w:rPr>
        <w:t>Environmental Politics</w:t>
      </w:r>
      <w:r w:rsidRPr="002C0CF8">
        <w:rPr>
          <w:rFonts w:eastAsia="Georgia"/>
          <w:sz w:val="24"/>
          <w:szCs w:val="24"/>
        </w:rPr>
        <w:t xml:space="preserve"> </w:t>
      </w:r>
      <w:r w:rsidRPr="002C0CF8">
        <w:rPr>
          <w:rFonts w:eastAsia="Georgia"/>
          <w:i/>
          <w:iCs/>
          <w:sz w:val="24"/>
          <w:szCs w:val="24"/>
        </w:rPr>
        <w:t>25</w:t>
      </w:r>
      <w:r w:rsidRPr="002C0CF8">
        <w:rPr>
          <w:rFonts w:eastAsia="Georgia"/>
          <w:sz w:val="24"/>
          <w:szCs w:val="24"/>
        </w:rPr>
        <w:t>(6): 1034-57. doi:10.1080/09644016.2016.1200253</w:t>
      </w:r>
    </w:p>
    <w:p w14:paraId="0000006D"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Costello L and Dunn K 1994. Resident Action Groups in Sydney: People Power or Rat-</w:t>
      </w:r>
      <w:proofErr w:type="gramStart"/>
      <w:r w:rsidRPr="002C0CF8">
        <w:rPr>
          <w:rFonts w:eastAsia="Georgia"/>
          <w:sz w:val="24"/>
          <w:szCs w:val="24"/>
        </w:rPr>
        <w:t>Bags?,</w:t>
      </w:r>
      <w:proofErr w:type="gramEnd"/>
      <w:r w:rsidRPr="002C0CF8">
        <w:rPr>
          <w:rFonts w:eastAsia="Georgia"/>
          <w:sz w:val="24"/>
          <w:szCs w:val="24"/>
        </w:rPr>
        <w:t xml:space="preserve"> </w:t>
      </w:r>
      <w:r w:rsidRPr="002C0CF8">
        <w:rPr>
          <w:rFonts w:eastAsia="Georgia"/>
          <w:i/>
          <w:iCs/>
          <w:sz w:val="24"/>
          <w:szCs w:val="24"/>
        </w:rPr>
        <w:t>Australian Geographer 25</w:t>
      </w:r>
      <w:r w:rsidRPr="002C0CF8">
        <w:rPr>
          <w:rFonts w:eastAsia="Georgia"/>
          <w:sz w:val="24"/>
          <w:szCs w:val="24"/>
        </w:rPr>
        <w:t xml:space="preserve">(1): 61-76. </w:t>
      </w:r>
      <w:proofErr w:type="spellStart"/>
      <w:r w:rsidRPr="002C0CF8">
        <w:rPr>
          <w:rFonts w:eastAsia="Georgia"/>
          <w:sz w:val="24"/>
          <w:szCs w:val="24"/>
        </w:rPr>
        <w:t>doi</w:t>
      </w:r>
      <w:proofErr w:type="spellEnd"/>
      <w:r w:rsidRPr="002C0CF8">
        <w:rPr>
          <w:rFonts w:eastAsia="Georgia"/>
          <w:sz w:val="24"/>
          <w:szCs w:val="24"/>
        </w:rPr>
        <w:t>: 10.1080/00049189408703099</w:t>
      </w:r>
    </w:p>
    <w:p w14:paraId="0000006E"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Davis D and Rosan C 2004. Social movements in the Mexico City airport controversy: globalization, democracy, and the power of distance. </w:t>
      </w:r>
      <w:r w:rsidRPr="002C0CF8">
        <w:rPr>
          <w:rFonts w:eastAsia="Georgia"/>
          <w:i/>
          <w:iCs/>
          <w:sz w:val="24"/>
          <w:szCs w:val="24"/>
        </w:rPr>
        <w:t>Mobilization: An International Quarterly</w:t>
      </w:r>
      <w:r w:rsidRPr="002C0CF8">
        <w:rPr>
          <w:rFonts w:eastAsia="Georgia"/>
          <w:sz w:val="24"/>
          <w:szCs w:val="24"/>
        </w:rPr>
        <w:t xml:space="preserve"> </w:t>
      </w:r>
      <w:r w:rsidRPr="002C0CF8">
        <w:rPr>
          <w:rFonts w:eastAsia="Georgia"/>
          <w:i/>
          <w:iCs/>
          <w:sz w:val="24"/>
          <w:szCs w:val="24"/>
        </w:rPr>
        <w:t>9</w:t>
      </w:r>
      <w:r w:rsidRPr="002C0CF8">
        <w:rPr>
          <w:rFonts w:eastAsia="Georgia"/>
          <w:sz w:val="24"/>
          <w:szCs w:val="24"/>
        </w:rPr>
        <w:t>(3): 279-293. doi:10.17813/maiq.9.3.866k48l6876gt317</w:t>
      </w:r>
    </w:p>
    <w:p w14:paraId="0000006F"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Davis DE 1999. The power of distance: re-theorizing social movements in Latin America. </w:t>
      </w:r>
      <w:r w:rsidRPr="002C0CF8">
        <w:rPr>
          <w:rFonts w:eastAsia="Georgia"/>
          <w:i/>
          <w:iCs/>
          <w:sz w:val="24"/>
          <w:szCs w:val="24"/>
        </w:rPr>
        <w:t>Theory and Society</w:t>
      </w:r>
      <w:r w:rsidRPr="002C0CF8">
        <w:rPr>
          <w:rFonts w:eastAsia="Georgia"/>
          <w:sz w:val="24"/>
          <w:szCs w:val="24"/>
        </w:rPr>
        <w:t xml:space="preserve"> </w:t>
      </w:r>
      <w:r w:rsidRPr="002C0CF8">
        <w:rPr>
          <w:rFonts w:eastAsia="Georgia"/>
          <w:i/>
          <w:iCs/>
          <w:sz w:val="24"/>
          <w:szCs w:val="24"/>
        </w:rPr>
        <w:t>28</w:t>
      </w:r>
      <w:r w:rsidRPr="002C0CF8">
        <w:rPr>
          <w:rFonts w:eastAsia="Georgia"/>
          <w:sz w:val="24"/>
          <w:szCs w:val="24"/>
        </w:rPr>
        <w:t xml:space="preserve">(4): 585-638. </w:t>
      </w:r>
      <w:proofErr w:type="spellStart"/>
      <w:proofErr w:type="gramStart"/>
      <w:r w:rsidRPr="002C0CF8">
        <w:rPr>
          <w:rFonts w:eastAsia="Georgia"/>
          <w:sz w:val="24"/>
          <w:szCs w:val="24"/>
        </w:rPr>
        <w:t>doi:stable</w:t>
      </w:r>
      <w:proofErr w:type="spellEnd"/>
      <w:proofErr w:type="gramEnd"/>
      <w:r w:rsidRPr="002C0CF8">
        <w:rPr>
          <w:rFonts w:eastAsia="Georgia"/>
          <w:sz w:val="24"/>
          <w:szCs w:val="24"/>
        </w:rPr>
        <w:t>/3108563?seq=1</w:t>
      </w:r>
    </w:p>
    <w:p w14:paraId="00000070"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della Porta D and Tarrow S 2005. (eds) </w:t>
      </w:r>
      <w:r w:rsidRPr="002C0CF8">
        <w:rPr>
          <w:rFonts w:eastAsia="Georgia"/>
          <w:i/>
          <w:iCs/>
          <w:sz w:val="24"/>
          <w:szCs w:val="24"/>
        </w:rPr>
        <w:t>Transnational Protest and Global Activism</w:t>
      </w:r>
      <w:r w:rsidRPr="002C0CF8">
        <w:rPr>
          <w:rFonts w:eastAsia="Georgia"/>
          <w:sz w:val="24"/>
          <w:szCs w:val="24"/>
        </w:rPr>
        <w:t>. Lanham: Rowman and Littlefield.</w:t>
      </w:r>
    </w:p>
    <w:p w14:paraId="00000071"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lastRenderedPageBreak/>
        <w:t xml:space="preserve">Diani M 2003. Networks and social movements: A research programme. In M. Diani &amp; D. McAdam (Eds.) </w:t>
      </w:r>
      <w:r w:rsidRPr="002C0CF8">
        <w:rPr>
          <w:rFonts w:eastAsia="Georgia"/>
          <w:i/>
          <w:iCs/>
          <w:sz w:val="24"/>
          <w:szCs w:val="24"/>
        </w:rPr>
        <w:t>Social Movements and Networks: Relational Approaches to Collective Action</w:t>
      </w:r>
      <w:r w:rsidRPr="002C0CF8">
        <w:rPr>
          <w:rFonts w:eastAsia="Georgia"/>
          <w:sz w:val="24"/>
          <w:szCs w:val="24"/>
        </w:rPr>
        <w:t xml:space="preserve"> (pp. 299–318). Oxford: Oxford University Press. </w:t>
      </w:r>
    </w:p>
    <w:p w14:paraId="00000072"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Doyle T 2010. Surviving the Gang Bang Theory of Nature: The Environment Movement during the Howard Years, </w:t>
      </w:r>
      <w:r w:rsidRPr="002C0CF8">
        <w:rPr>
          <w:rFonts w:eastAsia="Georgia"/>
          <w:i/>
          <w:iCs/>
          <w:sz w:val="24"/>
          <w:szCs w:val="24"/>
        </w:rPr>
        <w:t>Social Movement Studies</w:t>
      </w:r>
      <w:r w:rsidRPr="002C0CF8">
        <w:rPr>
          <w:rFonts w:eastAsia="Georgia"/>
          <w:sz w:val="24"/>
          <w:szCs w:val="24"/>
        </w:rPr>
        <w:t xml:space="preserve"> </w:t>
      </w:r>
      <w:r w:rsidRPr="002C0CF8">
        <w:rPr>
          <w:rFonts w:eastAsia="Georgia"/>
          <w:i/>
          <w:iCs/>
          <w:sz w:val="24"/>
          <w:szCs w:val="24"/>
        </w:rPr>
        <w:t>9</w:t>
      </w:r>
      <w:r w:rsidRPr="002C0CF8">
        <w:rPr>
          <w:rFonts w:eastAsia="Georgia"/>
          <w:sz w:val="24"/>
          <w:szCs w:val="24"/>
        </w:rPr>
        <w:t>(2): 155-69. doi:10.1080/14742831003603307</w:t>
      </w:r>
    </w:p>
    <w:p w14:paraId="00000073"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Endres D and Senda-Cook S 2011. Location matters: The rhetoric of place in protest. Quarterly Journal of Speech </w:t>
      </w:r>
      <w:r w:rsidRPr="002C0CF8">
        <w:rPr>
          <w:rFonts w:eastAsia="Georgia"/>
          <w:i/>
          <w:iCs/>
          <w:sz w:val="24"/>
          <w:szCs w:val="24"/>
        </w:rPr>
        <w:t>97</w:t>
      </w:r>
      <w:r w:rsidRPr="002C0CF8">
        <w:rPr>
          <w:rFonts w:eastAsia="Georgia"/>
          <w:sz w:val="24"/>
          <w:szCs w:val="24"/>
        </w:rPr>
        <w:t>(3): 257-282. doi:10.1080/00335630.2011.585167</w:t>
      </w:r>
    </w:p>
    <w:p w14:paraId="00000074"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color w:val="222222"/>
          <w:sz w:val="24"/>
          <w:szCs w:val="24"/>
        </w:rPr>
        <w:t xml:space="preserve">Falanga R and Carvalho T 2025. What change? Assessing the Extinction Rebellion’s support for climate assemblies. </w:t>
      </w:r>
      <w:r w:rsidRPr="002C0CF8">
        <w:rPr>
          <w:rFonts w:eastAsia="Georgia"/>
          <w:i/>
          <w:iCs/>
          <w:color w:val="222222"/>
          <w:sz w:val="24"/>
          <w:szCs w:val="24"/>
        </w:rPr>
        <w:t>Environmental Science &amp; Policy</w:t>
      </w:r>
      <w:r w:rsidRPr="002C0CF8">
        <w:rPr>
          <w:rFonts w:eastAsia="Georgia"/>
          <w:color w:val="222222"/>
          <w:sz w:val="24"/>
          <w:szCs w:val="24"/>
        </w:rPr>
        <w:t xml:space="preserve"> 164: 104010.</w:t>
      </w:r>
    </w:p>
    <w:p w14:paraId="00000075"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Gardner P, Carvalho T and </w:t>
      </w:r>
      <w:proofErr w:type="spellStart"/>
      <w:r w:rsidRPr="002C0CF8">
        <w:rPr>
          <w:rFonts w:eastAsia="Georgia"/>
          <w:sz w:val="24"/>
          <w:szCs w:val="24"/>
        </w:rPr>
        <w:t>Valenstain</w:t>
      </w:r>
      <w:proofErr w:type="spellEnd"/>
      <w:r w:rsidRPr="002C0CF8">
        <w:rPr>
          <w:rFonts w:eastAsia="Georgia"/>
          <w:sz w:val="24"/>
          <w:szCs w:val="24"/>
        </w:rPr>
        <w:t xml:space="preserve"> M 2022. Spreading </w:t>
      </w:r>
      <w:proofErr w:type="gramStart"/>
      <w:r w:rsidRPr="002C0CF8">
        <w:rPr>
          <w:rFonts w:eastAsia="Georgia"/>
          <w:sz w:val="24"/>
          <w:szCs w:val="24"/>
        </w:rPr>
        <w:t>rebellion?:</w:t>
      </w:r>
      <w:proofErr w:type="gramEnd"/>
      <w:r w:rsidRPr="002C0CF8">
        <w:rPr>
          <w:rFonts w:eastAsia="Georgia"/>
          <w:sz w:val="24"/>
          <w:szCs w:val="24"/>
        </w:rPr>
        <w:t xml:space="preserve"> The rise of Extinction Rebellion chapters across the world. </w:t>
      </w:r>
      <w:r w:rsidRPr="002C0CF8">
        <w:rPr>
          <w:rFonts w:eastAsia="Georgia"/>
          <w:i/>
          <w:iCs/>
          <w:sz w:val="24"/>
          <w:szCs w:val="24"/>
        </w:rPr>
        <w:t>Environmental Sociology</w:t>
      </w:r>
      <w:r w:rsidRPr="002C0CF8">
        <w:rPr>
          <w:rFonts w:eastAsia="Georgia"/>
          <w:sz w:val="24"/>
          <w:szCs w:val="24"/>
        </w:rPr>
        <w:t xml:space="preserve"> </w:t>
      </w:r>
      <w:r w:rsidRPr="002C0CF8">
        <w:rPr>
          <w:rFonts w:eastAsia="Georgia"/>
          <w:i/>
          <w:iCs/>
          <w:sz w:val="24"/>
          <w:szCs w:val="24"/>
        </w:rPr>
        <w:t>8</w:t>
      </w:r>
      <w:r w:rsidRPr="002C0CF8">
        <w:rPr>
          <w:rFonts w:eastAsia="Georgia"/>
          <w:sz w:val="24"/>
          <w:szCs w:val="24"/>
        </w:rPr>
        <w:t>(4): 424-435. doi:10.1080/23251042.2022.2094995</w:t>
      </w:r>
    </w:p>
    <w:p w14:paraId="00000076"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Gardner P, O’Brien T, Carvalho T and Adekola O 2023. Confronting the Climate Crisis in Africa: The Just Transition Movement and Extinction Rebellion in Nigeria and South Africa, </w:t>
      </w:r>
      <w:r w:rsidRPr="002C0CF8">
        <w:rPr>
          <w:rFonts w:eastAsia="Georgia"/>
          <w:i/>
          <w:iCs/>
          <w:sz w:val="24"/>
          <w:szCs w:val="24"/>
        </w:rPr>
        <w:t>Review of African Political Economy</w:t>
      </w:r>
      <w:r w:rsidRPr="002C0CF8">
        <w:rPr>
          <w:rFonts w:eastAsia="Georgia"/>
          <w:sz w:val="24"/>
          <w:szCs w:val="24"/>
        </w:rPr>
        <w:t xml:space="preserve"> </w:t>
      </w:r>
      <w:r w:rsidRPr="002C0CF8">
        <w:rPr>
          <w:rFonts w:eastAsia="Georgia"/>
          <w:i/>
          <w:iCs/>
          <w:sz w:val="24"/>
          <w:szCs w:val="24"/>
        </w:rPr>
        <w:t>50</w:t>
      </w:r>
      <w:r w:rsidRPr="002C0CF8">
        <w:rPr>
          <w:rFonts w:eastAsia="Georgia"/>
          <w:sz w:val="24"/>
          <w:szCs w:val="24"/>
        </w:rPr>
        <w:t>(177-178): 475-490. doi:10.1080/03056244.2023.2283988</w:t>
      </w:r>
    </w:p>
    <w:p w14:paraId="00000077"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Goodman J and Morton T 2023. Climate Movements in Germany, India, and Australia: Dynamics of Transition, Transformation, and Emergency, </w:t>
      </w:r>
      <w:r w:rsidRPr="002C0CF8">
        <w:rPr>
          <w:rFonts w:eastAsia="Georgia"/>
          <w:i/>
          <w:iCs/>
          <w:sz w:val="24"/>
          <w:szCs w:val="24"/>
        </w:rPr>
        <w:t>Globalizations</w:t>
      </w:r>
      <w:r w:rsidRPr="002C0CF8">
        <w:rPr>
          <w:rFonts w:eastAsia="Georgia"/>
          <w:sz w:val="24"/>
          <w:szCs w:val="24"/>
        </w:rPr>
        <w:t xml:space="preserve"> </w:t>
      </w:r>
      <w:r w:rsidRPr="002C0CF8">
        <w:rPr>
          <w:rFonts w:eastAsia="Georgia"/>
          <w:i/>
          <w:iCs/>
          <w:sz w:val="24"/>
          <w:szCs w:val="24"/>
        </w:rPr>
        <w:t>20</w:t>
      </w:r>
      <w:r w:rsidRPr="002C0CF8">
        <w:rPr>
          <w:rFonts w:eastAsia="Georgia"/>
          <w:sz w:val="24"/>
          <w:szCs w:val="24"/>
        </w:rPr>
        <w:t xml:space="preserve">(8): 1393-1410. </w:t>
      </w:r>
      <w:proofErr w:type="spellStart"/>
      <w:r w:rsidRPr="002C0CF8">
        <w:rPr>
          <w:rFonts w:eastAsia="Georgia"/>
          <w:sz w:val="24"/>
          <w:szCs w:val="24"/>
        </w:rPr>
        <w:t>doi</w:t>
      </w:r>
      <w:proofErr w:type="spellEnd"/>
      <w:r w:rsidRPr="002C0CF8">
        <w:rPr>
          <w:rFonts w:eastAsia="Georgia"/>
          <w:sz w:val="24"/>
          <w:szCs w:val="24"/>
        </w:rPr>
        <w:t>: 10.1080/14747731.2023.2215101</w:t>
      </w:r>
    </w:p>
    <w:p w14:paraId="00000078"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Gulliver R, Banks R, Fielding K and Louis W 2023. The Criminalization of Climate Change Protest, </w:t>
      </w:r>
      <w:r w:rsidRPr="002C0CF8">
        <w:rPr>
          <w:rFonts w:eastAsia="Georgia"/>
          <w:i/>
          <w:iCs/>
          <w:sz w:val="24"/>
          <w:szCs w:val="24"/>
        </w:rPr>
        <w:t>Contention</w:t>
      </w:r>
      <w:r w:rsidRPr="002C0CF8">
        <w:rPr>
          <w:rFonts w:eastAsia="Georgia"/>
          <w:sz w:val="24"/>
          <w:szCs w:val="24"/>
        </w:rPr>
        <w:t xml:space="preserve"> </w:t>
      </w:r>
      <w:r w:rsidRPr="002C0CF8">
        <w:rPr>
          <w:rFonts w:eastAsia="Georgia"/>
          <w:i/>
          <w:iCs/>
          <w:sz w:val="24"/>
          <w:szCs w:val="24"/>
        </w:rPr>
        <w:t>11</w:t>
      </w:r>
      <w:r w:rsidRPr="002C0CF8">
        <w:rPr>
          <w:rFonts w:eastAsia="Georgia"/>
          <w:sz w:val="24"/>
          <w:szCs w:val="24"/>
        </w:rPr>
        <w:t xml:space="preserve">(1): 24-54. </w:t>
      </w:r>
      <w:proofErr w:type="spellStart"/>
      <w:r w:rsidRPr="002C0CF8">
        <w:rPr>
          <w:rFonts w:eastAsia="Georgia"/>
          <w:sz w:val="24"/>
          <w:szCs w:val="24"/>
        </w:rPr>
        <w:t>doi</w:t>
      </w:r>
      <w:proofErr w:type="spellEnd"/>
      <w:r w:rsidRPr="002C0CF8">
        <w:rPr>
          <w:rFonts w:eastAsia="Georgia"/>
          <w:sz w:val="24"/>
          <w:szCs w:val="24"/>
        </w:rPr>
        <w:t>: 10.3167/cont.2023.110103</w:t>
      </w:r>
    </w:p>
    <w:p w14:paraId="00000079"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lastRenderedPageBreak/>
        <w:t xml:space="preserve">Harvey D (2006). </w:t>
      </w:r>
      <w:r w:rsidRPr="002C0CF8">
        <w:rPr>
          <w:rFonts w:eastAsia="Georgia"/>
          <w:i/>
          <w:iCs/>
          <w:sz w:val="24"/>
          <w:szCs w:val="24"/>
        </w:rPr>
        <w:t>Spaces of Global Capitalism: Towards a Theory of Uneven Geographical Development</w:t>
      </w:r>
      <w:r w:rsidRPr="002C0CF8">
        <w:rPr>
          <w:rFonts w:eastAsia="Georgia"/>
          <w:sz w:val="24"/>
          <w:szCs w:val="24"/>
        </w:rPr>
        <w:t>. London: Verso.</w:t>
      </w:r>
    </w:p>
    <w:p w14:paraId="0000007A"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Hilder C and Collin P 2022. The Role of Youth-Led Activist Organisations for Contemporary Climate Activism: The Case of the Australian Youth Climate Coalition, </w:t>
      </w:r>
      <w:r w:rsidRPr="002C0CF8">
        <w:rPr>
          <w:rFonts w:eastAsia="Georgia"/>
          <w:i/>
          <w:iCs/>
          <w:sz w:val="24"/>
          <w:szCs w:val="24"/>
        </w:rPr>
        <w:t>Journal of Youth Studies</w:t>
      </w:r>
      <w:r w:rsidRPr="002C0CF8">
        <w:rPr>
          <w:rFonts w:eastAsia="Georgia"/>
          <w:sz w:val="24"/>
          <w:szCs w:val="24"/>
        </w:rPr>
        <w:t xml:space="preserve"> </w:t>
      </w:r>
      <w:r w:rsidRPr="002C0CF8">
        <w:rPr>
          <w:rFonts w:eastAsia="Georgia"/>
          <w:i/>
          <w:iCs/>
          <w:sz w:val="24"/>
          <w:szCs w:val="24"/>
        </w:rPr>
        <w:t>25</w:t>
      </w:r>
      <w:r w:rsidRPr="002C0CF8">
        <w:rPr>
          <w:rFonts w:eastAsia="Georgia"/>
          <w:sz w:val="24"/>
          <w:szCs w:val="24"/>
        </w:rPr>
        <w:t>(6): 793-811. doi:10.1080/13676261.2022.2054691</w:t>
      </w:r>
    </w:p>
    <w:p w14:paraId="0000007B"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Hutton D and Connors L 1999. </w:t>
      </w:r>
      <w:r w:rsidRPr="002C0CF8">
        <w:rPr>
          <w:rFonts w:eastAsia="Georgia"/>
          <w:i/>
          <w:iCs/>
          <w:sz w:val="24"/>
          <w:szCs w:val="24"/>
        </w:rPr>
        <w:t>A History of the Australian Environmental Movement</w:t>
      </w:r>
      <w:r w:rsidRPr="002C0CF8">
        <w:rPr>
          <w:rFonts w:eastAsia="Georgia"/>
          <w:sz w:val="24"/>
          <w:szCs w:val="24"/>
        </w:rPr>
        <w:t>. Cambridge: Cambridge University Press.</w:t>
      </w:r>
    </w:p>
    <w:p w14:paraId="0000007C"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color w:val="222222"/>
          <w:sz w:val="24"/>
          <w:szCs w:val="24"/>
        </w:rPr>
        <w:t xml:space="preserve">James D and Mack T 2020. Toward an ethics of decolonizing allyship in climate organizing: Reflections on Extinction Rebellion Vancouver. In </w:t>
      </w:r>
      <w:r w:rsidRPr="002C0CF8">
        <w:rPr>
          <w:rFonts w:eastAsia="Georgia"/>
          <w:i/>
          <w:iCs/>
          <w:color w:val="222222"/>
          <w:sz w:val="24"/>
          <w:szCs w:val="24"/>
        </w:rPr>
        <w:t>From student strikes to the extinction rebellion</w:t>
      </w:r>
      <w:r w:rsidRPr="002C0CF8">
        <w:rPr>
          <w:rFonts w:eastAsia="Georgia"/>
          <w:color w:val="222222"/>
          <w:sz w:val="24"/>
          <w:szCs w:val="24"/>
        </w:rPr>
        <w:t xml:space="preserve"> (pp. 32-53). Edward Elgar Publishing.</w:t>
      </w:r>
    </w:p>
    <w:p w14:paraId="0000007D"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Jessop B, Brenner N and Jones M 2008. Theorizing </w:t>
      </w:r>
      <w:proofErr w:type="spellStart"/>
      <w:r w:rsidRPr="002C0CF8">
        <w:rPr>
          <w:rFonts w:eastAsia="Georgia"/>
          <w:sz w:val="24"/>
          <w:szCs w:val="24"/>
        </w:rPr>
        <w:t>sociospatial</w:t>
      </w:r>
      <w:proofErr w:type="spellEnd"/>
      <w:r w:rsidRPr="002C0CF8">
        <w:rPr>
          <w:rFonts w:eastAsia="Georgia"/>
          <w:sz w:val="24"/>
          <w:szCs w:val="24"/>
        </w:rPr>
        <w:t xml:space="preserve"> relations. </w:t>
      </w:r>
      <w:r w:rsidRPr="002C0CF8">
        <w:rPr>
          <w:rFonts w:eastAsia="Georgia"/>
          <w:i/>
          <w:iCs/>
          <w:sz w:val="24"/>
          <w:szCs w:val="24"/>
        </w:rPr>
        <w:t>Environment and Planning D: Society and Space</w:t>
      </w:r>
      <w:r w:rsidRPr="002C0CF8">
        <w:rPr>
          <w:rFonts w:eastAsia="Georgia"/>
          <w:sz w:val="24"/>
          <w:szCs w:val="24"/>
        </w:rPr>
        <w:t xml:space="preserve">, </w:t>
      </w:r>
      <w:r w:rsidRPr="002C0CF8">
        <w:rPr>
          <w:rFonts w:eastAsia="Georgia"/>
          <w:i/>
          <w:iCs/>
          <w:sz w:val="24"/>
          <w:szCs w:val="24"/>
        </w:rPr>
        <w:t>26</w:t>
      </w:r>
      <w:r w:rsidRPr="002C0CF8">
        <w:rPr>
          <w:rFonts w:eastAsia="Georgia"/>
          <w:sz w:val="24"/>
          <w:szCs w:val="24"/>
        </w:rPr>
        <w:t>(3), pp.389-401.</w:t>
      </w:r>
    </w:p>
    <w:p w14:paraId="0000007E"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Kohn E 2013. </w:t>
      </w:r>
      <w:r w:rsidRPr="002C0CF8">
        <w:rPr>
          <w:rFonts w:eastAsia="Georgia"/>
          <w:i/>
          <w:iCs/>
          <w:sz w:val="24"/>
          <w:szCs w:val="24"/>
        </w:rPr>
        <w:t>How forests think: Toward an anthropology beyond the human</w:t>
      </w:r>
      <w:r w:rsidRPr="002C0CF8">
        <w:rPr>
          <w:rFonts w:eastAsia="Georgia"/>
          <w:sz w:val="24"/>
          <w:szCs w:val="24"/>
        </w:rPr>
        <w:t>. Oakland, CA: University of California Press.</w:t>
      </w:r>
    </w:p>
    <w:p w14:paraId="0000007F"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Marshall S and Pearse R 2025. Reading the Room: Developing a Practical Justice Politics of Regional Energy Transition, </w:t>
      </w:r>
      <w:r w:rsidRPr="002C0CF8">
        <w:rPr>
          <w:rFonts w:eastAsia="Georgia"/>
          <w:i/>
          <w:iCs/>
          <w:sz w:val="24"/>
          <w:szCs w:val="24"/>
        </w:rPr>
        <w:t>Environmental Politics</w:t>
      </w:r>
      <w:r w:rsidRPr="002C0CF8">
        <w:rPr>
          <w:rFonts w:eastAsia="Georgia"/>
          <w:sz w:val="24"/>
          <w:szCs w:val="24"/>
        </w:rPr>
        <w:t xml:space="preserve"> </w:t>
      </w:r>
      <w:r w:rsidRPr="002C0CF8">
        <w:rPr>
          <w:rFonts w:eastAsia="Georgia"/>
          <w:i/>
          <w:iCs/>
          <w:sz w:val="24"/>
          <w:szCs w:val="24"/>
        </w:rPr>
        <w:t>34</w:t>
      </w:r>
      <w:r w:rsidRPr="002C0CF8">
        <w:rPr>
          <w:rFonts w:eastAsia="Georgia"/>
          <w:sz w:val="24"/>
          <w:szCs w:val="24"/>
        </w:rPr>
        <w:t xml:space="preserve">(1): 70-91. </w:t>
      </w:r>
      <w:proofErr w:type="spellStart"/>
      <w:r w:rsidRPr="002C0CF8">
        <w:rPr>
          <w:rFonts w:eastAsia="Georgia"/>
          <w:sz w:val="24"/>
          <w:szCs w:val="24"/>
        </w:rPr>
        <w:t>doi</w:t>
      </w:r>
      <w:proofErr w:type="spellEnd"/>
      <w:r w:rsidRPr="002C0CF8">
        <w:rPr>
          <w:rFonts w:eastAsia="Georgia"/>
          <w:sz w:val="24"/>
          <w:szCs w:val="24"/>
        </w:rPr>
        <w:t>: 10.1080/09644016.2024.2347164</w:t>
      </w:r>
    </w:p>
    <w:p w14:paraId="00000080"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Massey D 2005. </w:t>
      </w:r>
      <w:r w:rsidRPr="002C0CF8">
        <w:rPr>
          <w:rFonts w:eastAsia="Georgia"/>
          <w:i/>
          <w:iCs/>
          <w:sz w:val="24"/>
          <w:szCs w:val="24"/>
        </w:rPr>
        <w:t>For space</w:t>
      </w:r>
      <w:r w:rsidRPr="002C0CF8">
        <w:rPr>
          <w:rFonts w:eastAsia="Georgia"/>
          <w:sz w:val="24"/>
          <w:szCs w:val="24"/>
        </w:rPr>
        <w:t>. London: Sage.</w:t>
      </w:r>
    </w:p>
    <w:p w14:paraId="00000081"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Massey D 2012. Power-geometry and a progressive sense of place. In Bird J (ed.) </w:t>
      </w:r>
      <w:r w:rsidRPr="002C0CF8">
        <w:rPr>
          <w:rFonts w:eastAsia="Georgia"/>
          <w:i/>
          <w:iCs/>
          <w:sz w:val="24"/>
          <w:szCs w:val="24"/>
        </w:rPr>
        <w:t>Mapping the futures: Local cultures, global change</w:t>
      </w:r>
      <w:r w:rsidRPr="002C0CF8">
        <w:rPr>
          <w:rFonts w:eastAsia="Georgia"/>
          <w:sz w:val="24"/>
          <w:szCs w:val="24"/>
        </w:rPr>
        <w:t xml:space="preserve"> (pp. 60-70). London: Routledge.</w:t>
      </w:r>
    </w:p>
    <w:p w14:paraId="00000082"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Massey D 2013. </w:t>
      </w:r>
      <w:r w:rsidRPr="002C0CF8">
        <w:rPr>
          <w:rFonts w:eastAsia="Georgia"/>
          <w:i/>
          <w:iCs/>
          <w:sz w:val="24"/>
          <w:szCs w:val="24"/>
        </w:rPr>
        <w:t>Space, place and gender</w:t>
      </w:r>
      <w:r w:rsidRPr="002C0CF8">
        <w:rPr>
          <w:rFonts w:eastAsia="Georgia"/>
          <w:sz w:val="24"/>
          <w:szCs w:val="24"/>
        </w:rPr>
        <w:t>. Oxford: John Wiley &amp; Sons.</w:t>
      </w:r>
    </w:p>
    <w:p w14:paraId="00000083"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lastRenderedPageBreak/>
        <w:t xml:space="preserve">Matthews KR, Bond S and Nairn K 2025. Diffusion as a colonizing process and the challenges of decolonizing Extinction Rebellion Aotearoa New Zealand. </w:t>
      </w:r>
      <w:r w:rsidRPr="002C0CF8">
        <w:rPr>
          <w:rFonts w:eastAsia="Georgia"/>
          <w:i/>
          <w:iCs/>
          <w:sz w:val="24"/>
          <w:szCs w:val="24"/>
        </w:rPr>
        <w:t>Social Movement Studies</w:t>
      </w:r>
      <w:r w:rsidRPr="002C0CF8">
        <w:rPr>
          <w:rFonts w:eastAsia="Georgia"/>
          <w:sz w:val="24"/>
          <w:szCs w:val="24"/>
        </w:rPr>
        <w:t xml:space="preserve"> doi:10.1080/14742837.2025.2512714</w:t>
      </w:r>
    </w:p>
    <w:p w14:paraId="00000084"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McCarthy JD 2005. Persistence and change among nationally federated social movements, in Davis GF, McAdam D, Scott WR and </w:t>
      </w:r>
      <w:proofErr w:type="spellStart"/>
      <w:r w:rsidRPr="002C0CF8">
        <w:rPr>
          <w:rFonts w:eastAsia="Georgia"/>
          <w:sz w:val="24"/>
          <w:szCs w:val="24"/>
        </w:rPr>
        <w:t>Zald</w:t>
      </w:r>
      <w:proofErr w:type="spellEnd"/>
      <w:r w:rsidRPr="002C0CF8">
        <w:rPr>
          <w:rFonts w:eastAsia="Georgia"/>
          <w:sz w:val="24"/>
          <w:szCs w:val="24"/>
        </w:rPr>
        <w:t xml:space="preserve"> MN (eds.) </w:t>
      </w:r>
      <w:r w:rsidRPr="002C0CF8">
        <w:rPr>
          <w:rFonts w:eastAsia="Georgia"/>
          <w:i/>
          <w:iCs/>
          <w:sz w:val="24"/>
          <w:szCs w:val="24"/>
        </w:rPr>
        <w:t>Social movements and organization theory</w:t>
      </w:r>
      <w:r w:rsidRPr="002C0CF8">
        <w:rPr>
          <w:rFonts w:eastAsia="Georgia"/>
          <w:sz w:val="24"/>
          <w:szCs w:val="24"/>
        </w:rPr>
        <w:t>, Cambridge: Cambridge University Press. Pp.193-225.</w:t>
      </w:r>
    </w:p>
    <w:p w14:paraId="00000085"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McDonald M 2016. Bourdieu, Environmental NGOs, and Australian Climate Politics, </w:t>
      </w:r>
      <w:r w:rsidRPr="002C0CF8">
        <w:rPr>
          <w:rFonts w:eastAsia="Georgia"/>
          <w:i/>
          <w:iCs/>
          <w:sz w:val="24"/>
          <w:szCs w:val="24"/>
        </w:rPr>
        <w:t>Environmental Politics</w:t>
      </w:r>
      <w:r w:rsidRPr="002C0CF8">
        <w:rPr>
          <w:rFonts w:eastAsia="Georgia"/>
          <w:sz w:val="24"/>
          <w:szCs w:val="24"/>
        </w:rPr>
        <w:t xml:space="preserve"> </w:t>
      </w:r>
      <w:r w:rsidRPr="002C0CF8">
        <w:rPr>
          <w:rFonts w:eastAsia="Georgia"/>
          <w:i/>
          <w:iCs/>
          <w:sz w:val="24"/>
          <w:szCs w:val="24"/>
        </w:rPr>
        <w:t>25</w:t>
      </w:r>
      <w:r w:rsidRPr="002C0CF8">
        <w:rPr>
          <w:rFonts w:eastAsia="Georgia"/>
          <w:sz w:val="24"/>
          <w:szCs w:val="24"/>
        </w:rPr>
        <w:t>(6): 1058-1078. 10.1080/09644016.2016.1196968</w:t>
      </w:r>
    </w:p>
    <w:p w14:paraId="00000086"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McIntyre I 2021. </w:t>
      </w:r>
      <w:r w:rsidRPr="002C0CF8">
        <w:rPr>
          <w:rFonts w:eastAsia="Georgia"/>
          <w:i/>
          <w:iCs/>
          <w:sz w:val="24"/>
          <w:szCs w:val="24"/>
        </w:rPr>
        <w:t>Environmental Blockades: Obstructive Direct Action and the History of the Environmental Movement</w:t>
      </w:r>
      <w:r w:rsidRPr="002C0CF8">
        <w:rPr>
          <w:rFonts w:eastAsia="Georgia"/>
          <w:sz w:val="24"/>
          <w:szCs w:val="24"/>
        </w:rPr>
        <w:t>. Abingdon: Routledge.</w:t>
      </w:r>
    </w:p>
    <w:p w14:paraId="00000087" w14:textId="77777777" w:rsidR="00D920F2" w:rsidRPr="002C0CF8" w:rsidRDefault="009E4571" w:rsidP="007A1A81">
      <w:pPr>
        <w:spacing w:before="120" w:after="120" w:line="480" w:lineRule="auto"/>
        <w:ind w:left="720" w:hanging="720"/>
        <w:jc w:val="both"/>
        <w:rPr>
          <w:rFonts w:eastAsia="Georgia"/>
          <w:sz w:val="24"/>
          <w:szCs w:val="24"/>
        </w:rPr>
      </w:pPr>
      <w:proofErr w:type="spellStart"/>
      <w:r w:rsidRPr="002C0CF8">
        <w:rPr>
          <w:rFonts w:eastAsia="Georgia"/>
          <w:sz w:val="24"/>
          <w:szCs w:val="24"/>
        </w:rPr>
        <w:t>McKether</w:t>
      </w:r>
      <w:proofErr w:type="spellEnd"/>
      <w:r w:rsidRPr="002C0CF8">
        <w:rPr>
          <w:rFonts w:eastAsia="Georgia"/>
          <w:sz w:val="24"/>
          <w:szCs w:val="24"/>
        </w:rPr>
        <w:t xml:space="preserve"> WL, Gluesing JC and Riopelle K 2009. From interviews to social network analysis: An approach for revealing social networks embedded in narrative data. </w:t>
      </w:r>
      <w:r w:rsidRPr="002C0CF8">
        <w:rPr>
          <w:rFonts w:eastAsia="Georgia"/>
          <w:i/>
          <w:iCs/>
          <w:sz w:val="24"/>
          <w:szCs w:val="24"/>
        </w:rPr>
        <w:t>Field Methods</w:t>
      </w:r>
      <w:r w:rsidRPr="002C0CF8">
        <w:rPr>
          <w:rFonts w:eastAsia="Georgia"/>
          <w:sz w:val="24"/>
          <w:szCs w:val="24"/>
        </w:rPr>
        <w:t xml:space="preserve"> </w:t>
      </w:r>
      <w:r w:rsidRPr="002C0CF8">
        <w:rPr>
          <w:rFonts w:eastAsia="Georgia"/>
          <w:i/>
          <w:iCs/>
          <w:sz w:val="24"/>
          <w:szCs w:val="24"/>
        </w:rPr>
        <w:t>21</w:t>
      </w:r>
      <w:r w:rsidRPr="002C0CF8">
        <w:rPr>
          <w:rFonts w:eastAsia="Georgia"/>
          <w:sz w:val="24"/>
          <w:szCs w:val="24"/>
        </w:rPr>
        <w:t>(2): 154-180. doi:10.1177/1525822X08329697</w:t>
      </w:r>
    </w:p>
    <w:p w14:paraId="00000088"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Miller B and Nicholls W 2013. Social movements in urban society: The city as a space of politicization. </w:t>
      </w:r>
      <w:r w:rsidRPr="002C0CF8">
        <w:rPr>
          <w:rFonts w:eastAsia="Georgia"/>
          <w:i/>
          <w:iCs/>
          <w:sz w:val="24"/>
          <w:szCs w:val="24"/>
        </w:rPr>
        <w:t>Urban Geography</w:t>
      </w:r>
      <w:r w:rsidRPr="002C0CF8">
        <w:rPr>
          <w:rFonts w:eastAsia="Georgia"/>
          <w:sz w:val="24"/>
          <w:szCs w:val="24"/>
        </w:rPr>
        <w:t xml:space="preserve"> </w:t>
      </w:r>
      <w:r w:rsidRPr="002C0CF8">
        <w:rPr>
          <w:rFonts w:eastAsia="Georgia"/>
          <w:i/>
          <w:iCs/>
          <w:sz w:val="24"/>
          <w:szCs w:val="24"/>
        </w:rPr>
        <w:t>34</w:t>
      </w:r>
      <w:r w:rsidRPr="002C0CF8">
        <w:rPr>
          <w:rFonts w:eastAsia="Georgia"/>
          <w:sz w:val="24"/>
          <w:szCs w:val="24"/>
        </w:rPr>
        <w:t xml:space="preserve">(4): 452-473. </w:t>
      </w:r>
    </w:p>
    <w:p w14:paraId="00000089"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Mitchell D 2003. </w:t>
      </w:r>
      <w:r w:rsidRPr="002C0CF8">
        <w:rPr>
          <w:rFonts w:eastAsia="Georgia"/>
          <w:i/>
          <w:iCs/>
          <w:sz w:val="24"/>
          <w:szCs w:val="24"/>
        </w:rPr>
        <w:t>The right to the city: Social justice and the fight for public space</w:t>
      </w:r>
      <w:r w:rsidRPr="002C0CF8">
        <w:rPr>
          <w:rFonts w:eastAsia="Georgia"/>
          <w:sz w:val="24"/>
          <w:szCs w:val="24"/>
        </w:rPr>
        <w:t>. Guilford Press.</w:t>
      </w:r>
    </w:p>
    <w:p w14:paraId="0000008A"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color w:val="222222"/>
          <w:sz w:val="24"/>
          <w:szCs w:val="24"/>
        </w:rPr>
        <w:t xml:space="preserve">Morgan H. 2021. Extinction Rebellion in Aotearoa: the possibilities and pitfalls of importing a social movement organisation. </w:t>
      </w:r>
      <w:r w:rsidRPr="002C0CF8">
        <w:rPr>
          <w:rFonts w:eastAsia="Georgia"/>
          <w:i/>
          <w:iCs/>
          <w:color w:val="222222"/>
          <w:sz w:val="24"/>
          <w:szCs w:val="24"/>
        </w:rPr>
        <w:t>Interface: A Journal on Social Movements</w:t>
      </w:r>
      <w:r w:rsidRPr="002C0CF8">
        <w:rPr>
          <w:rFonts w:eastAsia="Georgia"/>
          <w:color w:val="222222"/>
          <w:sz w:val="24"/>
          <w:szCs w:val="24"/>
        </w:rPr>
        <w:t xml:space="preserve"> </w:t>
      </w:r>
      <w:r w:rsidRPr="002C0CF8">
        <w:rPr>
          <w:rFonts w:eastAsia="Georgia"/>
          <w:i/>
          <w:iCs/>
          <w:color w:val="222222"/>
          <w:sz w:val="24"/>
          <w:szCs w:val="24"/>
        </w:rPr>
        <w:t>13</w:t>
      </w:r>
      <w:r w:rsidRPr="002C0CF8">
        <w:rPr>
          <w:rFonts w:eastAsia="Georgia"/>
          <w:color w:val="222222"/>
          <w:sz w:val="24"/>
          <w:szCs w:val="24"/>
        </w:rPr>
        <w:t>(1): 157-173. doi:10.16995/ijsm.10134</w:t>
      </w:r>
    </w:p>
    <w:p w14:paraId="0000008B"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Müller T. 2025. Gendered </w:t>
      </w:r>
      <w:proofErr w:type="spellStart"/>
      <w:r w:rsidRPr="002C0CF8">
        <w:rPr>
          <w:rFonts w:eastAsia="Georgia"/>
          <w:sz w:val="24"/>
          <w:szCs w:val="24"/>
        </w:rPr>
        <w:t>extractivism</w:t>
      </w:r>
      <w:proofErr w:type="spellEnd"/>
      <w:r w:rsidRPr="002C0CF8">
        <w:rPr>
          <w:rFonts w:eastAsia="Georgia"/>
          <w:sz w:val="24"/>
          <w:szCs w:val="24"/>
        </w:rPr>
        <w:t xml:space="preserve"> in Uganda: implications for just transitions. </w:t>
      </w:r>
      <w:r w:rsidRPr="002C0CF8">
        <w:rPr>
          <w:rFonts w:eastAsia="Georgia"/>
          <w:i/>
          <w:iCs/>
          <w:sz w:val="24"/>
          <w:szCs w:val="24"/>
        </w:rPr>
        <w:t>Environmental Research Letters</w:t>
      </w:r>
      <w:r w:rsidRPr="002C0CF8">
        <w:rPr>
          <w:rFonts w:eastAsia="Georgia"/>
          <w:sz w:val="24"/>
          <w:szCs w:val="24"/>
        </w:rPr>
        <w:t xml:space="preserve"> </w:t>
      </w:r>
      <w:r w:rsidRPr="002C0CF8">
        <w:rPr>
          <w:rFonts w:eastAsia="Georgia"/>
          <w:i/>
          <w:iCs/>
          <w:sz w:val="24"/>
          <w:szCs w:val="24"/>
        </w:rPr>
        <w:t>20</w:t>
      </w:r>
      <w:r w:rsidRPr="002C0CF8">
        <w:rPr>
          <w:rFonts w:eastAsia="Georgia"/>
          <w:sz w:val="24"/>
          <w:szCs w:val="24"/>
        </w:rPr>
        <w:t>(8): 084048. doi:10.1088/1748-9326/ade26a</w:t>
      </w:r>
    </w:p>
    <w:p w14:paraId="0000008C"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lastRenderedPageBreak/>
        <w:t xml:space="preserve">Nicholls W. 2007. The geographies of social movements. </w:t>
      </w:r>
      <w:r w:rsidRPr="002C0CF8">
        <w:rPr>
          <w:rFonts w:eastAsia="Georgia"/>
          <w:i/>
          <w:iCs/>
          <w:sz w:val="24"/>
          <w:szCs w:val="24"/>
        </w:rPr>
        <w:t>Progress in Human Geography</w:t>
      </w:r>
      <w:r w:rsidRPr="002C0CF8">
        <w:rPr>
          <w:rFonts w:eastAsia="Georgia"/>
          <w:sz w:val="24"/>
          <w:szCs w:val="24"/>
        </w:rPr>
        <w:t xml:space="preserve"> </w:t>
      </w:r>
      <w:r w:rsidRPr="002C0CF8">
        <w:rPr>
          <w:rFonts w:eastAsia="Georgia"/>
          <w:i/>
          <w:iCs/>
          <w:sz w:val="24"/>
          <w:szCs w:val="24"/>
        </w:rPr>
        <w:t>31</w:t>
      </w:r>
      <w:r w:rsidRPr="002C0CF8">
        <w:rPr>
          <w:rFonts w:eastAsia="Georgia"/>
          <w:sz w:val="24"/>
          <w:szCs w:val="24"/>
        </w:rPr>
        <w:t xml:space="preserve">(1): 78–98. </w:t>
      </w:r>
      <w:hyperlink r:id="rId7">
        <w:r w:rsidRPr="002C0CF8">
          <w:rPr>
            <w:rFonts w:eastAsia="Georgia"/>
            <w:sz w:val="24"/>
            <w:szCs w:val="24"/>
          </w:rPr>
          <w:t>doi:10.1177/0309132507071404</w:t>
        </w:r>
      </w:hyperlink>
    </w:p>
    <w:p w14:paraId="0000008D"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Nicholls W. 2009. Place, networks, space: Theorizing the geographies of social movements. </w:t>
      </w:r>
      <w:r w:rsidRPr="002C0CF8">
        <w:rPr>
          <w:rFonts w:eastAsia="Georgia"/>
          <w:i/>
          <w:iCs/>
          <w:sz w:val="24"/>
          <w:szCs w:val="24"/>
        </w:rPr>
        <w:t>Transactions of the Institute of British Geographers</w:t>
      </w:r>
      <w:r w:rsidRPr="002C0CF8">
        <w:rPr>
          <w:rFonts w:eastAsia="Georgia"/>
          <w:sz w:val="24"/>
          <w:szCs w:val="24"/>
        </w:rPr>
        <w:t xml:space="preserve"> </w:t>
      </w:r>
      <w:r w:rsidRPr="002C0CF8">
        <w:rPr>
          <w:rFonts w:eastAsia="Georgia"/>
          <w:i/>
          <w:iCs/>
          <w:sz w:val="24"/>
          <w:szCs w:val="24"/>
        </w:rPr>
        <w:t>34</w:t>
      </w:r>
      <w:r w:rsidRPr="002C0CF8">
        <w:rPr>
          <w:rFonts w:eastAsia="Georgia"/>
          <w:sz w:val="24"/>
          <w:szCs w:val="24"/>
        </w:rPr>
        <w:t xml:space="preserve">(1): 78–93. </w:t>
      </w:r>
      <w:hyperlink r:id="rId8">
        <w:r w:rsidRPr="002C0CF8">
          <w:rPr>
            <w:rFonts w:eastAsia="Georgia"/>
            <w:sz w:val="24"/>
            <w:szCs w:val="24"/>
          </w:rPr>
          <w:t>doi:10.1111/j.1475-5661.</w:t>
        </w:r>
        <w:proofErr w:type="gramStart"/>
        <w:r w:rsidRPr="002C0CF8">
          <w:rPr>
            <w:rFonts w:eastAsia="Georgia"/>
            <w:sz w:val="24"/>
            <w:szCs w:val="24"/>
          </w:rPr>
          <w:t>2009.00331.x</w:t>
        </w:r>
        <w:proofErr w:type="gramEnd"/>
      </w:hyperlink>
    </w:p>
    <w:p w14:paraId="0000008E"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Nicholls W., Miller B. and Beaumont J. 2016. Introduction: Conceptualizing the </w:t>
      </w:r>
      <w:proofErr w:type="spellStart"/>
      <w:r w:rsidRPr="002C0CF8">
        <w:rPr>
          <w:rFonts w:eastAsia="Georgia"/>
          <w:sz w:val="24"/>
          <w:szCs w:val="24"/>
        </w:rPr>
        <w:t>spatialities</w:t>
      </w:r>
      <w:proofErr w:type="spellEnd"/>
      <w:r w:rsidRPr="002C0CF8">
        <w:rPr>
          <w:rFonts w:eastAsia="Georgia"/>
          <w:sz w:val="24"/>
          <w:szCs w:val="24"/>
        </w:rPr>
        <w:t xml:space="preserve"> of social movements. In Miller B. and Nicholls W. (Eds.) </w:t>
      </w:r>
      <w:r w:rsidRPr="002C0CF8">
        <w:rPr>
          <w:rFonts w:eastAsia="Georgia"/>
          <w:i/>
          <w:iCs/>
          <w:sz w:val="24"/>
          <w:szCs w:val="24"/>
        </w:rPr>
        <w:t xml:space="preserve">Spaces of contention: </w:t>
      </w:r>
      <w:proofErr w:type="spellStart"/>
      <w:r w:rsidRPr="002C0CF8">
        <w:rPr>
          <w:rFonts w:eastAsia="Georgia"/>
          <w:i/>
          <w:iCs/>
          <w:sz w:val="24"/>
          <w:szCs w:val="24"/>
        </w:rPr>
        <w:t>Spatialities</w:t>
      </w:r>
      <w:proofErr w:type="spellEnd"/>
      <w:r w:rsidRPr="002C0CF8">
        <w:rPr>
          <w:rFonts w:eastAsia="Georgia"/>
          <w:i/>
          <w:iCs/>
          <w:sz w:val="24"/>
          <w:szCs w:val="24"/>
        </w:rPr>
        <w:t xml:space="preserve"> and social movements</w:t>
      </w:r>
      <w:r w:rsidRPr="002C0CF8">
        <w:rPr>
          <w:rFonts w:eastAsia="Georgia"/>
          <w:sz w:val="24"/>
          <w:szCs w:val="24"/>
        </w:rPr>
        <w:t>. London and New York: Routledge. (pp. 1-23).</w:t>
      </w:r>
    </w:p>
    <w:p w14:paraId="0000008F"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O'Brien, T. (2025) 'A Study of Patterns of Environmental Protest in Sydney, Australia', Journal of Australian Studies, 49(3): 297-312. </w:t>
      </w:r>
    </w:p>
    <w:p w14:paraId="00000090" w14:textId="77777777" w:rsidR="00D920F2" w:rsidRPr="002C0CF8" w:rsidRDefault="009E4571" w:rsidP="007A1A81">
      <w:pPr>
        <w:spacing w:before="120" w:after="120" w:line="480" w:lineRule="auto"/>
        <w:ind w:left="720" w:hanging="720"/>
        <w:jc w:val="both"/>
        <w:rPr>
          <w:rFonts w:eastAsia="Georgia"/>
          <w:sz w:val="24"/>
          <w:szCs w:val="24"/>
        </w:rPr>
      </w:pPr>
      <w:proofErr w:type="spellStart"/>
      <w:r w:rsidRPr="002C0CF8">
        <w:rPr>
          <w:rFonts w:eastAsia="Georgia"/>
          <w:sz w:val="24"/>
          <w:szCs w:val="24"/>
        </w:rPr>
        <w:t>Padawangi</w:t>
      </w:r>
      <w:proofErr w:type="spellEnd"/>
      <w:r w:rsidRPr="002C0CF8">
        <w:rPr>
          <w:rFonts w:eastAsia="Georgia"/>
          <w:sz w:val="24"/>
          <w:szCs w:val="24"/>
        </w:rPr>
        <w:t xml:space="preserve"> R. 2013. The Cosmopolitan Grassroots City as Megaphone: Reconstructing Public Spaces through Urban Activism in Jakarta. </w:t>
      </w:r>
      <w:r w:rsidRPr="002C0CF8">
        <w:rPr>
          <w:rFonts w:eastAsia="Georgia"/>
          <w:i/>
          <w:iCs/>
          <w:sz w:val="24"/>
          <w:szCs w:val="24"/>
        </w:rPr>
        <w:t>International Journal of Urban and Regional Research</w:t>
      </w:r>
      <w:r w:rsidRPr="002C0CF8">
        <w:rPr>
          <w:rFonts w:eastAsia="Georgia"/>
          <w:sz w:val="24"/>
          <w:szCs w:val="24"/>
        </w:rPr>
        <w:t xml:space="preserve"> </w:t>
      </w:r>
      <w:r w:rsidRPr="002C0CF8">
        <w:rPr>
          <w:rFonts w:eastAsia="Georgia"/>
          <w:i/>
          <w:iCs/>
          <w:sz w:val="24"/>
          <w:szCs w:val="24"/>
        </w:rPr>
        <w:t>37</w:t>
      </w:r>
      <w:r w:rsidRPr="002C0CF8">
        <w:rPr>
          <w:rFonts w:eastAsia="Georgia"/>
          <w:sz w:val="24"/>
          <w:szCs w:val="24"/>
        </w:rPr>
        <w:t>(3): 849-863. doi:10.1111/j.1468-2427.</w:t>
      </w:r>
      <w:proofErr w:type="gramStart"/>
      <w:r w:rsidRPr="002C0CF8">
        <w:rPr>
          <w:rFonts w:eastAsia="Georgia"/>
          <w:sz w:val="24"/>
          <w:szCs w:val="24"/>
        </w:rPr>
        <w:t>2013.01210.x</w:t>
      </w:r>
      <w:proofErr w:type="gramEnd"/>
    </w:p>
    <w:p w14:paraId="00000091"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Pearse R. 2016. Moving Targets: Carbon Pricing, Energy Markets, and Social Movements in Australia, </w:t>
      </w:r>
      <w:r w:rsidRPr="002C0CF8">
        <w:rPr>
          <w:rFonts w:eastAsia="Georgia"/>
          <w:i/>
          <w:iCs/>
          <w:sz w:val="24"/>
          <w:szCs w:val="24"/>
        </w:rPr>
        <w:t>Environmental Politics</w:t>
      </w:r>
      <w:r w:rsidRPr="002C0CF8">
        <w:rPr>
          <w:rFonts w:eastAsia="Georgia"/>
          <w:sz w:val="24"/>
          <w:szCs w:val="24"/>
        </w:rPr>
        <w:t xml:space="preserve"> </w:t>
      </w:r>
      <w:r w:rsidRPr="002C0CF8">
        <w:rPr>
          <w:rFonts w:eastAsia="Georgia"/>
          <w:i/>
          <w:iCs/>
          <w:sz w:val="24"/>
          <w:szCs w:val="24"/>
        </w:rPr>
        <w:t>25</w:t>
      </w:r>
      <w:r w:rsidRPr="002C0CF8">
        <w:rPr>
          <w:rFonts w:eastAsia="Georgia"/>
          <w:sz w:val="24"/>
          <w:szCs w:val="24"/>
        </w:rPr>
        <w:t>(6): 1079-1101. doi:10.1080/09644016.2016.1181051</w:t>
      </w:r>
    </w:p>
    <w:p w14:paraId="00000092"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color w:val="222222"/>
          <w:sz w:val="24"/>
          <w:szCs w:val="24"/>
        </w:rPr>
        <w:t xml:space="preserve">Ricketts, A. (2020) “We Have the Right to be Arrested and Processed According to the Law”: The Power of Effective Police Liaison at the Bentley Blockade, </w:t>
      </w:r>
      <w:r w:rsidRPr="002C0CF8">
        <w:rPr>
          <w:rFonts w:eastAsia="Georgia"/>
          <w:i/>
          <w:iCs/>
          <w:color w:val="222222"/>
          <w:sz w:val="24"/>
          <w:szCs w:val="24"/>
        </w:rPr>
        <w:t>Journal of Australian Studies</w:t>
      </w:r>
      <w:r w:rsidRPr="002C0CF8">
        <w:rPr>
          <w:rFonts w:eastAsia="Georgia"/>
          <w:color w:val="222222"/>
          <w:sz w:val="24"/>
          <w:szCs w:val="24"/>
        </w:rPr>
        <w:t xml:space="preserve"> </w:t>
      </w:r>
      <w:r w:rsidRPr="002C0CF8">
        <w:rPr>
          <w:rFonts w:eastAsia="Georgia"/>
          <w:i/>
          <w:iCs/>
          <w:color w:val="222222"/>
          <w:sz w:val="24"/>
          <w:szCs w:val="24"/>
        </w:rPr>
        <w:t>44</w:t>
      </w:r>
      <w:r w:rsidRPr="002C0CF8">
        <w:rPr>
          <w:rFonts w:eastAsia="Georgia"/>
          <w:color w:val="222222"/>
          <w:sz w:val="24"/>
          <w:szCs w:val="24"/>
        </w:rPr>
        <w:t xml:space="preserve">(3): 384-400. </w:t>
      </w:r>
      <w:proofErr w:type="spellStart"/>
      <w:r w:rsidRPr="002C0CF8">
        <w:rPr>
          <w:rFonts w:eastAsia="Georgia"/>
          <w:color w:val="222222"/>
          <w:sz w:val="24"/>
          <w:szCs w:val="24"/>
        </w:rPr>
        <w:t>doi</w:t>
      </w:r>
      <w:proofErr w:type="spellEnd"/>
      <w:r w:rsidRPr="002C0CF8">
        <w:rPr>
          <w:rFonts w:eastAsia="Georgia"/>
          <w:color w:val="222222"/>
          <w:sz w:val="24"/>
          <w:szCs w:val="24"/>
        </w:rPr>
        <w:t>: 10.1080/14443058.2020.1790629</w:t>
      </w:r>
    </w:p>
    <w:p w14:paraId="00000093"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Said A.S. 2023. </w:t>
      </w:r>
      <w:r w:rsidRPr="002C0CF8">
        <w:rPr>
          <w:rFonts w:eastAsia="Georgia"/>
          <w:i/>
          <w:iCs/>
          <w:sz w:val="24"/>
          <w:szCs w:val="24"/>
        </w:rPr>
        <w:t>Revolution Squared: Tahrir, Political Possibilities, and Counterrevolution in Egypt</w:t>
      </w:r>
      <w:r w:rsidRPr="002C0CF8">
        <w:rPr>
          <w:rFonts w:eastAsia="Georgia"/>
          <w:sz w:val="24"/>
          <w:szCs w:val="24"/>
        </w:rPr>
        <w:t>. Duke University Press.</w:t>
      </w:r>
    </w:p>
    <w:p w14:paraId="00000094" w14:textId="77777777" w:rsidR="00D920F2" w:rsidRPr="002C0CF8" w:rsidRDefault="009E4571" w:rsidP="007A1A81">
      <w:pPr>
        <w:spacing w:before="120" w:after="120" w:line="480" w:lineRule="auto"/>
        <w:ind w:left="720" w:hanging="720"/>
        <w:jc w:val="both"/>
        <w:rPr>
          <w:rFonts w:eastAsia="Georgia"/>
          <w:sz w:val="24"/>
          <w:szCs w:val="24"/>
        </w:rPr>
      </w:pPr>
      <w:proofErr w:type="spellStart"/>
      <w:r w:rsidRPr="002C0CF8">
        <w:rPr>
          <w:rFonts w:eastAsia="Georgia"/>
          <w:sz w:val="24"/>
          <w:szCs w:val="24"/>
        </w:rPr>
        <w:lastRenderedPageBreak/>
        <w:t>Samnakay</w:t>
      </w:r>
      <w:proofErr w:type="spellEnd"/>
      <w:r w:rsidRPr="002C0CF8">
        <w:rPr>
          <w:rFonts w:eastAsia="Georgia"/>
          <w:sz w:val="24"/>
          <w:szCs w:val="24"/>
        </w:rPr>
        <w:t xml:space="preserve"> N. 2022. Understanding Design and Implementation Attributes for Strategic Policies: The Case of Australia’s National Environment Policies, </w:t>
      </w:r>
      <w:r w:rsidRPr="002C0CF8">
        <w:rPr>
          <w:rFonts w:eastAsia="Georgia"/>
          <w:i/>
          <w:iCs/>
          <w:sz w:val="24"/>
          <w:szCs w:val="24"/>
        </w:rPr>
        <w:t>Policy Studies</w:t>
      </w:r>
      <w:r w:rsidRPr="002C0CF8">
        <w:rPr>
          <w:rFonts w:eastAsia="Georgia"/>
          <w:sz w:val="24"/>
          <w:szCs w:val="24"/>
        </w:rPr>
        <w:t xml:space="preserve"> </w:t>
      </w:r>
      <w:r w:rsidRPr="002C0CF8">
        <w:rPr>
          <w:rFonts w:eastAsia="Georgia"/>
          <w:i/>
          <w:iCs/>
          <w:sz w:val="24"/>
          <w:szCs w:val="24"/>
        </w:rPr>
        <w:t>43</w:t>
      </w:r>
      <w:r w:rsidRPr="002C0CF8">
        <w:rPr>
          <w:rFonts w:eastAsia="Georgia"/>
          <w:sz w:val="24"/>
          <w:szCs w:val="24"/>
        </w:rPr>
        <w:t>(4): 715-37. doi:10.1080/01442872.2020.1760232</w:t>
      </w:r>
    </w:p>
    <w:p w14:paraId="00000095"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Scholl S 2020. </w:t>
      </w:r>
      <w:proofErr w:type="spellStart"/>
      <w:r w:rsidRPr="002C0CF8">
        <w:rPr>
          <w:rFonts w:eastAsia="Georgia"/>
          <w:i/>
          <w:iCs/>
          <w:sz w:val="24"/>
          <w:szCs w:val="24"/>
        </w:rPr>
        <w:t>Geographien</w:t>
      </w:r>
      <w:proofErr w:type="spellEnd"/>
      <w:r w:rsidRPr="002C0CF8">
        <w:rPr>
          <w:rFonts w:eastAsia="Georgia"/>
          <w:i/>
          <w:iCs/>
          <w:sz w:val="24"/>
          <w:szCs w:val="24"/>
        </w:rPr>
        <w:t xml:space="preserve"> des Protests: </w:t>
      </w:r>
      <w:proofErr w:type="spellStart"/>
      <w:r w:rsidRPr="002C0CF8">
        <w:rPr>
          <w:rFonts w:eastAsia="Georgia"/>
          <w:i/>
          <w:iCs/>
          <w:sz w:val="24"/>
          <w:szCs w:val="24"/>
        </w:rPr>
        <w:t>eine</w:t>
      </w:r>
      <w:proofErr w:type="spellEnd"/>
      <w:r w:rsidRPr="002C0CF8">
        <w:rPr>
          <w:rFonts w:eastAsia="Georgia"/>
          <w:i/>
          <w:iCs/>
          <w:sz w:val="24"/>
          <w:szCs w:val="24"/>
        </w:rPr>
        <w:t xml:space="preserve"> </w:t>
      </w:r>
      <w:proofErr w:type="spellStart"/>
      <w:r w:rsidRPr="002C0CF8">
        <w:rPr>
          <w:rFonts w:eastAsia="Georgia"/>
          <w:i/>
          <w:iCs/>
          <w:sz w:val="24"/>
          <w:szCs w:val="24"/>
        </w:rPr>
        <w:t>räumliche</w:t>
      </w:r>
      <w:proofErr w:type="spellEnd"/>
      <w:r w:rsidRPr="002C0CF8">
        <w:rPr>
          <w:rFonts w:eastAsia="Georgia"/>
          <w:i/>
          <w:iCs/>
          <w:sz w:val="24"/>
          <w:szCs w:val="24"/>
        </w:rPr>
        <w:t xml:space="preserve"> Analyse der "</w:t>
      </w:r>
      <w:proofErr w:type="spellStart"/>
      <w:r w:rsidRPr="002C0CF8">
        <w:rPr>
          <w:rFonts w:eastAsia="Georgia"/>
          <w:i/>
          <w:iCs/>
          <w:sz w:val="24"/>
          <w:szCs w:val="24"/>
        </w:rPr>
        <w:t>Movimiento</w:t>
      </w:r>
      <w:proofErr w:type="spellEnd"/>
      <w:r w:rsidRPr="002C0CF8">
        <w:rPr>
          <w:rFonts w:eastAsia="Georgia"/>
          <w:i/>
          <w:iCs/>
          <w:sz w:val="24"/>
          <w:szCs w:val="24"/>
        </w:rPr>
        <w:t xml:space="preserve"> </w:t>
      </w:r>
      <w:proofErr w:type="spellStart"/>
      <w:r w:rsidRPr="002C0CF8">
        <w:rPr>
          <w:rFonts w:eastAsia="Georgia"/>
          <w:i/>
          <w:iCs/>
          <w:sz w:val="24"/>
          <w:szCs w:val="24"/>
        </w:rPr>
        <w:t>por</w:t>
      </w:r>
      <w:proofErr w:type="spellEnd"/>
      <w:r w:rsidRPr="002C0CF8">
        <w:rPr>
          <w:rFonts w:eastAsia="Georgia"/>
          <w:i/>
          <w:iCs/>
          <w:sz w:val="24"/>
          <w:szCs w:val="24"/>
        </w:rPr>
        <w:t xml:space="preserve"> la Paz con Justicia y Dignidad" in </w:t>
      </w:r>
      <w:proofErr w:type="spellStart"/>
      <w:r w:rsidRPr="002C0CF8">
        <w:rPr>
          <w:rFonts w:eastAsia="Georgia"/>
          <w:i/>
          <w:iCs/>
          <w:sz w:val="24"/>
          <w:szCs w:val="24"/>
        </w:rPr>
        <w:t>Mexiko</w:t>
      </w:r>
      <w:proofErr w:type="spellEnd"/>
      <w:r w:rsidRPr="002C0CF8">
        <w:rPr>
          <w:rFonts w:eastAsia="Georgia"/>
          <w:sz w:val="24"/>
          <w:szCs w:val="24"/>
        </w:rPr>
        <w:t xml:space="preserve"> (Vol. 35). Bielefeld: transcript Verlag.</w:t>
      </w:r>
    </w:p>
    <w:p w14:paraId="00000096"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Sewell W. H. 2001. ‘Space in Contentious Politics,’ in R. R. </w:t>
      </w:r>
      <w:proofErr w:type="spellStart"/>
      <w:r w:rsidRPr="002C0CF8">
        <w:rPr>
          <w:rFonts w:eastAsia="Georgia"/>
          <w:sz w:val="24"/>
          <w:szCs w:val="24"/>
        </w:rPr>
        <w:t>Aminzade</w:t>
      </w:r>
      <w:proofErr w:type="spellEnd"/>
      <w:r w:rsidRPr="002C0CF8">
        <w:rPr>
          <w:rFonts w:eastAsia="Georgia"/>
          <w:sz w:val="24"/>
          <w:szCs w:val="24"/>
        </w:rPr>
        <w:t xml:space="preserve"> et al. (eds.) </w:t>
      </w:r>
      <w:r w:rsidRPr="002C0CF8">
        <w:rPr>
          <w:rFonts w:eastAsia="Georgia"/>
          <w:i/>
          <w:iCs/>
          <w:sz w:val="24"/>
          <w:szCs w:val="24"/>
        </w:rPr>
        <w:t>Silence and Voice in the Study of Contentious Politics</w:t>
      </w:r>
      <w:r w:rsidRPr="002C0CF8">
        <w:rPr>
          <w:rFonts w:eastAsia="Georgia"/>
          <w:sz w:val="24"/>
          <w:szCs w:val="24"/>
        </w:rPr>
        <w:t>. Cambridge: Cambridge University Press.</w:t>
      </w:r>
    </w:p>
    <w:p w14:paraId="00000097"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Sikkink K. 2005. ‘Patterns of Dynamic Multilevel Governance and the Insider-Outsider Coalition’, in della Porta D. and Tarrow S. (eds) </w:t>
      </w:r>
      <w:r w:rsidRPr="002C0CF8">
        <w:rPr>
          <w:rFonts w:eastAsia="Georgia"/>
          <w:i/>
          <w:iCs/>
          <w:sz w:val="24"/>
          <w:szCs w:val="24"/>
        </w:rPr>
        <w:t>Transnational Protest and Global Activism</w:t>
      </w:r>
      <w:r w:rsidRPr="002C0CF8">
        <w:rPr>
          <w:rFonts w:eastAsia="Georgia"/>
          <w:sz w:val="24"/>
          <w:szCs w:val="24"/>
        </w:rPr>
        <w:t>. Lanham: Rowman and Littlefield: 151–173.</w:t>
      </w:r>
    </w:p>
    <w:p w14:paraId="00000098"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Tilly C. 2000. Spaces of contention. </w:t>
      </w:r>
      <w:r w:rsidRPr="002C0CF8">
        <w:rPr>
          <w:rFonts w:eastAsia="Georgia"/>
          <w:i/>
          <w:iCs/>
          <w:sz w:val="24"/>
          <w:szCs w:val="24"/>
        </w:rPr>
        <w:t>Mobilization: An International Quarterly</w:t>
      </w:r>
      <w:r w:rsidRPr="002C0CF8">
        <w:rPr>
          <w:rFonts w:eastAsia="Georgia"/>
          <w:sz w:val="24"/>
          <w:szCs w:val="24"/>
        </w:rPr>
        <w:t xml:space="preserve"> </w:t>
      </w:r>
      <w:r w:rsidRPr="002C0CF8">
        <w:rPr>
          <w:rFonts w:eastAsia="Georgia"/>
          <w:i/>
          <w:iCs/>
          <w:sz w:val="24"/>
          <w:szCs w:val="24"/>
        </w:rPr>
        <w:t>5</w:t>
      </w:r>
      <w:r w:rsidRPr="002C0CF8">
        <w:rPr>
          <w:rFonts w:eastAsia="Georgia"/>
          <w:sz w:val="24"/>
          <w:szCs w:val="24"/>
        </w:rPr>
        <w:t>(2): 135-159. doi:10.17813/maiq.5.</w:t>
      </w:r>
      <w:proofErr w:type="gramStart"/>
      <w:r w:rsidRPr="002C0CF8">
        <w:rPr>
          <w:rFonts w:eastAsia="Georgia"/>
          <w:sz w:val="24"/>
          <w:szCs w:val="24"/>
        </w:rPr>
        <w:t>2.j</w:t>
      </w:r>
      <w:proofErr w:type="gramEnd"/>
      <w:r w:rsidRPr="002C0CF8">
        <w:rPr>
          <w:rFonts w:eastAsia="Georgia"/>
          <w:sz w:val="24"/>
          <w:szCs w:val="24"/>
        </w:rPr>
        <w:t>6321h02n200h764</w:t>
      </w:r>
    </w:p>
    <w:p w14:paraId="00000099" w14:textId="77777777" w:rsidR="00D920F2"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Wang D., Piazza A. and Soule S.A. 2018. Boundary-spanning in social movements: Antecedents and outcomes. </w:t>
      </w:r>
      <w:r w:rsidRPr="002C0CF8">
        <w:rPr>
          <w:rFonts w:eastAsia="Georgia"/>
          <w:i/>
          <w:iCs/>
          <w:sz w:val="24"/>
          <w:szCs w:val="24"/>
        </w:rPr>
        <w:t>Annual Review of Sociology</w:t>
      </w:r>
      <w:r w:rsidRPr="002C0CF8">
        <w:rPr>
          <w:rFonts w:eastAsia="Georgia"/>
          <w:sz w:val="24"/>
          <w:szCs w:val="24"/>
        </w:rPr>
        <w:t xml:space="preserve"> </w:t>
      </w:r>
      <w:r w:rsidRPr="002C0CF8">
        <w:rPr>
          <w:rFonts w:eastAsia="Georgia"/>
          <w:i/>
          <w:iCs/>
          <w:sz w:val="24"/>
          <w:szCs w:val="24"/>
        </w:rPr>
        <w:t>44</w:t>
      </w:r>
      <w:r w:rsidRPr="002C0CF8">
        <w:rPr>
          <w:rFonts w:eastAsia="Georgia"/>
          <w:sz w:val="24"/>
          <w:szCs w:val="24"/>
        </w:rPr>
        <w:t>(1): 167-187. doi:10.1146/annurev-soc-073117-041258</w:t>
      </w:r>
    </w:p>
    <w:p w14:paraId="0000009A" w14:textId="66F623DF" w:rsidR="002C0CF8" w:rsidRPr="002C0CF8" w:rsidRDefault="009E4571" w:rsidP="007A1A81">
      <w:pPr>
        <w:spacing w:before="120" w:after="120" w:line="480" w:lineRule="auto"/>
        <w:ind w:left="720" w:hanging="720"/>
        <w:jc w:val="both"/>
        <w:rPr>
          <w:rFonts w:eastAsia="Georgia"/>
          <w:sz w:val="24"/>
          <w:szCs w:val="24"/>
        </w:rPr>
      </w:pPr>
      <w:r w:rsidRPr="002C0CF8">
        <w:rPr>
          <w:rFonts w:eastAsia="Georgia"/>
          <w:sz w:val="24"/>
          <w:szCs w:val="24"/>
        </w:rPr>
        <w:t xml:space="preserve">Whelan Y. 2001. Monuments, power and contested space—the iconography of Sackville Street (O'Connell Street) before independence (1922). </w:t>
      </w:r>
      <w:r w:rsidRPr="002C0CF8">
        <w:rPr>
          <w:rFonts w:eastAsia="Georgia"/>
          <w:i/>
          <w:iCs/>
          <w:sz w:val="24"/>
          <w:szCs w:val="24"/>
        </w:rPr>
        <w:t>Irish</w:t>
      </w:r>
      <w:r w:rsidRPr="002C0CF8">
        <w:rPr>
          <w:rFonts w:eastAsia="Georgia"/>
          <w:sz w:val="24"/>
          <w:szCs w:val="24"/>
        </w:rPr>
        <w:t xml:space="preserve"> </w:t>
      </w:r>
      <w:r w:rsidRPr="002C0CF8">
        <w:rPr>
          <w:rFonts w:eastAsia="Georgia"/>
          <w:i/>
          <w:iCs/>
          <w:sz w:val="24"/>
          <w:szCs w:val="24"/>
        </w:rPr>
        <w:t>Geography</w:t>
      </w:r>
      <w:r w:rsidRPr="002C0CF8">
        <w:rPr>
          <w:rFonts w:eastAsia="Georgia"/>
          <w:sz w:val="24"/>
          <w:szCs w:val="24"/>
        </w:rPr>
        <w:t xml:space="preserve"> </w:t>
      </w:r>
      <w:r w:rsidRPr="002C0CF8">
        <w:rPr>
          <w:rFonts w:eastAsia="Georgia"/>
          <w:i/>
          <w:iCs/>
          <w:sz w:val="24"/>
          <w:szCs w:val="24"/>
        </w:rPr>
        <w:t>34</w:t>
      </w:r>
      <w:r w:rsidRPr="002C0CF8">
        <w:rPr>
          <w:rFonts w:eastAsia="Georgia"/>
          <w:sz w:val="24"/>
          <w:szCs w:val="24"/>
        </w:rPr>
        <w:t>(1): 11-33. doi:10.1080/14443058.2000.9636251.</w:t>
      </w:r>
    </w:p>
    <w:p w14:paraId="0BCB0C30" w14:textId="77777777" w:rsidR="002C0CF8" w:rsidRPr="002C0CF8" w:rsidRDefault="002C0CF8">
      <w:pPr>
        <w:rPr>
          <w:rFonts w:eastAsia="Georgia"/>
          <w:sz w:val="24"/>
          <w:szCs w:val="24"/>
        </w:rPr>
      </w:pPr>
      <w:r w:rsidRPr="002C0CF8">
        <w:rPr>
          <w:rFonts w:eastAsia="Georgia"/>
          <w:sz w:val="24"/>
          <w:szCs w:val="24"/>
        </w:rPr>
        <w:br w:type="page"/>
      </w:r>
    </w:p>
    <w:p w14:paraId="48444908" w14:textId="77777777" w:rsidR="002C0CF8" w:rsidRPr="002C0CF8" w:rsidRDefault="002C0CF8" w:rsidP="002C0CF8">
      <w:pPr>
        <w:pStyle w:val="Title"/>
        <w:jc w:val="center"/>
      </w:pPr>
      <w:r w:rsidRPr="002C0CF8">
        <w:lastRenderedPageBreak/>
        <w:t>Appendix 1. Network Coding Codebook</w:t>
      </w:r>
    </w:p>
    <w:p w14:paraId="7EB282C2" w14:textId="77777777" w:rsidR="002C0CF8" w:rsidRPr="002C0CF8" w:rsidRDefault="002C0CF8" w:rsidP="002C0CF8">
      <w:pPr>
        <w:pStyle w:val="Heading1"/>
      </w:pPr>
      <w:r w:rsidRPr="002C0CF8">
        <w:t>Purpose and unit of analysis</w:t>
      </w:r>
    </w:p>
    <w:p w14:paraId="214F37ED" w14:textId="77777777" w:rsidR="002C0CF8" w:rsidRPr="002C0CF8" w:rsidRDefault="002C0CF8" w:rsidP="002C0CF8">
      <w:pPr>
        <w:spacing w:after="20" w:line="228" w:lineRule="auto"/>
      </w:pPr>
      <w:r w:rsidRPr="002C0CF8">
        <w:t>The network analysis coded reported relationships between a focal Extinction Rebellion chapter or group (ego) and another chapter, organisation, group, or movement actor (alter). Each row represented a coded mention of an ego–alter relationship; multiple mentions of the same pair were later aggregated into a dyad. The network analysis used the 15 interviews that contained relational information suitable for network coding.</w:t>
      </w:r>
    </w:p>
    <w:p w14:paraId="772144DA" w14:textId="77777777" w:rsidR="002C0CF8" w:rsidRPr="002C0CF8" w:rsidRDefault="002C0CF8" w:rsidP="002C0CF8">
      <w:pPr>
        <w:pStyle w:val="Heading1"/>
      </w:pPr>
      <w:r w:rsidRPr="002C0CF8">
        <w:t>A1. Raw coding fields</w:t>
      </w:r>
    </w:p>
    <w:tbl>
      <w:tblPr>
        <w:tblW w:w="97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52"/>
        <w:gridCol w:w="6840"/>
      </w:tblGrid>
      <w:tr w:rsidR="002C0CF8" w:rsidRPr="002C0CF8" w14:paraId="514141B0" w14:textId="77777777" w:rsidTr="00F01584">
        <w:trPr>
          <w:jc w:val="center"/>
        </w:trPr>
        <w:tc>
          <w:tcPr>
            <w:tcW w:w="2952" w:type="dxa"/>
            <w:vAlign w:val="center"/>
          </w:tcPr>
          <w:p w14:paraId="525B6385" w14:textId="77777777" w:rsidR="002C0CF8" w:rsidRPr="002C0CF8" w:rsidRDefault="002C0CF8" w:rsidP="00F01584">
            <w:pPr>
              <w:spacing w:line="228" w:lineRule="auto"/>
            </w:pPr>
            <w:r w:rsidRPr="002C0CF8">
              <w:rPr>
                <w:b/>
                <w:bCs/>
                <w:sz w:val="15"/>
                <w:szCs w:val="15"/>
              </w:rPr>
              <w:t>Field</w:t>
            </w:r>
          </w:p>
        </w:tc>
        <w:tc>
          <w:tcPr>
            <w:tcW w:w="6840" w:type="dxa"/>
            <w:vAlign w:val="center"/>
          </w:tcPr>
          <w:p w14:paraId="1705B6C4" w14:textId="77777777" w:rsidR="002C0CF8" w:rsidRPr="002C0CF8" w:rsidRDefault="002C0CF8" w:rsidP="00F01584">
            <w:pPr>
              <w:spacing w:line="228" w:lineRule="auto"/>
            </w:pPr>
            <w:r w:rsidRPr="002C0CF8">
              <w:rPr>
                <w:b/>
                <w:bCs/>
                <w:sz w:val="15"/>
                <w:szCs w:val="15"/>
              </w:rPr>
              <w:t>Function</w:t>
            </w:r>
          </w:p>
        </w:tc>
      </w:tr>
      <w:tr w:rsidR="002C0CF8" w:rsidRPr="002C0CF8" w14:paraId="0E903D08" w14:textId="77777777" w:rsidTr="00F01584">
        <w:trPr>
          <w:jc w:val="center"/>
        </w:trPr>
        <w:tc>
          <w:tcPr>
            <w:tcW w:w="2952" w:type="dxa"/>
            <w:vAlign w:val="center"/>
          </w:tcPr>
          <w:p w14:paraId="4F81D786" w14:textId="77777777" w:rsidR="002C0CF8" w:rsidRPr="002C0CF8" w:rsidRDefault="002C0CF8" w:rsidP="00F01584">
            <w:pPr>
              <w:spacing w:line="228" w:lineRule="auto"/>
            </w:pPr>
            <w:r w:rsidRPr="002C0CF8">
              <w:rPr>
                <w:sz w:val="15"/>
                <w:szCs w:val="15"/>
              </w:rPr>
              <w:t>Interviewee Code</w:t>
            </w:r>
          </w:p>
        </w:tc>
        <w:tc>
          <w:tcPr>
            <w:tcW w:w="6840" w:type="dxa"/>
            <w:vAlign w:val="center"/>
          </w:tcPr>
          <w:p w14:paraId="433620AC" w14:textId="77777777" w:rsidR="002C0CF8" w:rsidRPr="002C0CF8" w:rsidRDefault="002C0CF8" w:rsidP="00F01584">
            <w:pPr>
              <w:spacing w:line="228" w:lineRule="auto"/>
            </w:pPr>
            <w:r w:rsidRPr="002C0CF8">
              <w:rPr>
                <w:sz w:val="15"/>
                <w:szCs w:val="15"/>
              </w:rPr>
              <w:t>Unique interview identifier.</w:t>
            </w:r>
          </w:p>
        </w:tc>
      </w:tr>
      <w:tr w:rsidR="002C0CF8" w:rsidRPr="002C0CF8" w14:paraId="288A8C4D" w14:textId="77777777" w:rsidTr="00F01584">
        <w:trPr>
          <w:jc w:val="center"/>
        </w:trPr>
        <w:tc>
          <w:tcPr>
            <w:tcW w:w="2952" w:type="dxa"/>
            <w:vAlign w:val="center"/>
          </w:tcPr>
          <w:p w14:paraId="4E820784" w14:textId="77777777" w:rsidR="002C0CF8" w:rsidRPr="002C0CF8" w:rsidRDefault="002C0CF8" w:rsidP="00F01584">
            <w:pPr>
              <w:spacing w:line="228" w:lineRule="auto"/>
            </w:pPr>
            <w:r w:rsidRPr="002C0CF8">
              <w:rPr>
                <w:sz w:val="15"/>
                <w:szCs w:val="15"/>
              </w:rPr>
              <w:t>Interviewee Group</w:t>
            </w:r>
          </w:p>
        </w:tc>
        <w:tc>
          <w:tcPr>
            <w:tcW w:w="6840" w:type="dxa"/>
            <w:vAlign w:val="center"/>
          </w:tcPr>
          <w:p w14:paraId="6D6721DA" w14:textId="77777777" w:rsidR="002C0CF8" w:rsidRPr="002C0CF8" w:rsidRDefault="002C0CF8" w:rsidP="00F01584">
            <w:pPr>
              <w:spacing w:line="228" w:lineRule="auto"/>
            </w:pPr>
            <w:r w:rsidRPr="002C0CF8">
              <w:rPr>
                <w:sz w:val="15"/>
                <w:szCs w:val="15"/>
              </w:rPr>
              <w:t>Extinction Rebellion group/chapter associated with the interviewee.</w:t>
            </w:r>
          </w:p>
        </w:tc>
      </w:tr>
      <w:tr w:rsidR="002C0CF8" w:rsidRPr="002C0CF8" w14:paraId="33BAB98E" w14:textId="77777777" w:rsidTr="00F01584">
        <w:trPr>
          <w:jc w:val="center"/>
        </w:trPr>
        <w:tc>
          <w:tcPr>
            <w:tcW w:w="2952" w:type="dxa"/>
            <w:vAlign w:val="center"/>
          </w:tcPr>
          <w:p w14:paraId="66353339" w14:textId="77777777" w:rsidR="002C0CF8" w:rsidRPr="002C0CF8" w:rsidRDefault="002C0CF8" w:rsidP="00F01584">
            <w:pPr>
              <w:spacing w:line="228" w:lineRule="auto"/>
            </w:pPr>
            <w:r w:rsidRPr="002C0CF8">
              <w:rPr>
                <w:sz w:val="15"/>
                <w:szCs w:val="15"/>
              </w:rPr>
              <w:t>Location</w:t>
            </w:r>
          </w:p>
        </w:tc>
        <w:tc>
          <w:tcPr>
            <w:tcW w:w="6840" w:type="dxa"/>
            <w:vAlign w:val="center"/>
          </w:tcPr>
          <w:p w14:paraId="21FAF5F7" w14:textId="77777777" w:rsidR="002C0CF8" w:rsidRPr="002C0CF8" w:rsidRDefault="002C0CF8" w:rsidP="00F01584">
            <w:pPr>
              <w:spacing w:line="228" w:lineRule="auto"/>
            </w:pPr>
            <w:r w:rsidRPr="002C0CF8">
              <w:rPr>
                <w:sz w:val="15"/>
                <w:szCs w:val="15"/>
              </w:rPr>
              <w:t>Geographical location of the focal chapter or interviewee.</w:t>
            </w:r>
          </w:p>
        </w:tc>
      </w:tr>
      <w:tr w:rsidR="002C0CF8" w:rsidRPr="002C0CF8" w14:paraId="43C8E049" w14:textId="77777777" w:rsidTr="00F01584">
        <w:trPr>
          <w:jc w:val="center"/>
        </w:trPr>
        <w:tc>
          <w:tcPr>
            <w:tcW w:w="2952" w:type="dxa"/>
            <w:vAlign w:val="center"/>
          </w:tcPr>
          <w:p w14:paraId="1D6D589A" w14:textId="77777777" w:rsidR="002C0CF8" w:rsidRPr="002C0CF8" w:rsidRDefault="002C0CF8" w:rsidP="00F01584">
            <w:pPr>
              <w:spacing w:line="228" w:lineRule="auto"/>
            </w:pPr>
            <w:r w:rsidRPr="002C0CF8">
              <w:rPr>
                <w:sz w:val="15"/>
                <w:szCs w:val="15"/>
              </w:rPr>
              <w:t>Connection: Chapter / Connection Name</w:t>
            </w:r>
          </w:p>
        </w:tc>
        <w:tc>
          <w:tcPr>
            <w:tcW w:w="6840" w:type="dxa"/>
            <w:vAlign w:val="center"/>
          </w:tcPr>
          <w:p w14:paraId="06ECC186" w14:textId="77777777" w:rsidR="002C0CF8" w:rsidRPr="002C0CF8" w:rsidRDefault="002C0CF8" w:rsidP="00F01584">
            <w:pPr>
              <w:spacing w:line="228" w:lineRule="auto"/>
            </w:pPr>
            <w:r w:rsidRPr="002C0CF8">
              <w:rPr>
                <w:sz w:val="15"/>
                <w:szCs w:val="15"/>
              </w:rPr>
              <w:t>Chapter, organisation, group, or movement actor to which the focal chapter was connected.</w:t>
            </w:r>
          </w:p>
        </w:tc>
      </w:tr>
      <w:tr w:rsidR="002C0CF8" w:rsidRPr="002C0CF8" w14:paraId="05B89835" w14:textId="77777777" w:rsidTr="00F01584">
        <w:trPr>
          <w:jc w:val="center"/>
        </w:trPr>
        <w:tc>
          <w:tcPr>
            <w:tcW w:w="2952" w:type="dxa"/>
            <w:vAlign w:val="center"/>
          </w:tcPr>
          <w:p w14:paraId="0C51299D" w14:textId="77777777" w:rsidR="002C0CF8" w:rsidRPr="002C0CF8" w:rsidRDefault="002C0CF8" w:rsidP="00F01584">
            <w:pPr>
              <w:spacing w:line="228" w:lineRule="auto"/>
            </w:pPr>
            <w:r w:rsidRPr="002C0CF8">
              <w:rPr>
                <w:sz w:val="15"/>
                <w:szCs w:val="15"/>
              </w:rPr>
              <w:t>Type of connection</w:t>
            </w:r>
          </w:p>
        </w:tc>
        <w:tc>
          <w:tcPr>
            <w:tcW w:w="6840" w:type="dxa"/>
            <w:vAlign w:val="center"/>
          </w:tcPr>
          <w:p w14:paraId="20B61E64" w14:textId="77777777" w:rsidR="002C0CF8" w:rsidRPr="002C0CF8" w:rsidRDefault="002C0CF8" w:rsidP="00F01584">
            <w:pPr>
              <w:spacing w:line="228" w:lineRule="auto"/>
            </w:pPr>
            <w:r w:rsidRPr="002C0CF8">
              <w:rPr>
                <w:sz w:val="15"/>
                <w:szCs w:val="15"/>
              </w:rPr>
              <w:t>Primary category used to classify the form of tie.</w:t>
            </w:r>
          </w:p>
        </w:tc>
      </w:tr>
      <w:tr w:rsidR="002C0CF8" w:rsidRPr="002C0CF8" w14:paraId="32251F1D" w14:textId="77777777" w:rsidTr="00F01584">
        <w:trPr>
          <w:jc w:val="center"/>
        </w:trPr>
        <w:tc>
          <w:tcPr>
            <w:tcW w:w="2952" w:type="dxa"/>
            <w:vAlign w:val="center"/>
          </w:tcPr>
          <w:p w14:paraId="15B3CD5F" w14:textId="77777777" w:rsidR="002C0CF8" w:rsidRPr="002C0CF8" w:rsidRDefault="002C0CF8" w:rsidP="00F01584">
            <w:pPr>
              <w:spacing w:line="228" w:lineRule="auto"/>
            </w:pPr>
            <w:r w:rsidRPr="002C0CF8">
              <w:rPr>
                <w:sz w:val="15"/>
                <w:szCs w:val="15"/>
              </w:rPr>
              <w:t>Details of connection</w:t>
            </w:r>
          </w:p>
        </w:tc>
        <w:tc>
          <w:tcPr>
            <w:tcW w:w="6840" w:type="dxa"/>
            <w:vAlign w:val="center"/>
          </w:tcPr>
          <w:p w14:paraId="2DDA7E1E" w14:textId="77777777" w:rsidR="002C0CF8" w:rsidRPr="002C0CF8" w:rsidRDefault="002C0CF8" w:rsidP="00F01584">
            <w:pPr>
              <w:spacing w:line="228" w:lineRule="auto"/>
            </w:pPr>
            <w:r w:rsidRPr="002C0CF8">
              <w:rPr>
                <w:sz w:val="15"/>
                <w:szCs w:val="15"/>
              </w:rPr>
              <w:t>Secondary descriptor specifying the character of the connection where available.</w:t>
            </w:r>
          </w:p>
        </w:tc>
      </w:tr>
      <w:tr w:rsidR="002C0CF8" w:rsidRPr="002C0CF8" w14:paraId="132F0E4F" w14:textId="77777777" w:rsidTr="00F01584">
        <w:trPr>
          <w:jc w:val="center"/>
        </w:trPr>
        <w:tc>
          <w:tcPr>
            <w:tcW w:w="2952" w:type="dxa"/>
            <w:vAlign w:val="center"/>
          </w:tcPr>
          <w:p w14:paraId="552769AF" w14:textId="77777777" w:rsidR="002C0CF8" w:rsidRPr="002C0CF8" w:rsidRDefault="002C0CF8" w:rsidP="00F01584">
            <w:pPr>
              <w:spacing w:line="228" w:lineRule="auto"/>
            </w:pPr>
            <w:r w:rsidRPr="002C0CF8">
              <w:rPr>
                <w:sz w:val="15"/>
                <w:szCs w:val="15"/>
              </w:rPr>
              <w:t>Interview timestamp</w:t>
            </w:r>
          </w:p>
        </w:tc>
        <w:tc>
          <w:tcPr>
            <w:tcW w:w="6840" w:type="dxa"/>
            <w:vAlign w:val="center"/>
          </w:tcPr>
          <w:p w14:paraId="640E49B8" w14:textId="77777777" w:rsidR="002C0CF8" w:rsidRPr="002C0CF8" w:rsidRDefault="002C0CF8" w:rsidP="00F01584">
            <w:pPr>
              <w:spacing w:line="228" w:lineRule="auto"/>
            </w:pPr>
            <w:r w:rsidRPr="002C0CF8">
              <w:rPr>
                <w:sz w:val="15"/>
                <w:szCs w:val="15"/>
              </w:rPr>
              <w:t>Location of the evidence within the interview transcript where recorded.</w:t>
            </w:r>
          </w:p>
        </w:tc>
      </w:tr>
      <w:tr w:rsidR="002C0CF8" w:rsidRPr="002C0CF8" w14:paraId="3605597A" w14:textId="77777777" w:rsidTr="00F01584">
        <w:trPr>
          <w:jc w:val="center"/>
        </w:trPr>
        <w:tc>
          <w:tcPr>
            <w:tcW w:w="2952" w:type="dxa"/>
            <w:vAlign w:val="center"/>
          </w:tcPr>
          <w:p w14:paraId="0F44A6D9" w14:textId="77777777" w:rsidR="002C0CF8" w:rsidRPr="002C0CF8" w:rsidRDefault="002C0CF8" w:rsidP="00F01584">
            <w:pPr>
              <w:spacing w:line="228" w:lineRule="auto"/>
            </w:pPr>
            <w:r w:rsidRPr="002C0CF8">
              <w:rPr>
                <w:sz w:val="15"/>
                <w:szCs w:val="15"/>
              </w:rPr>
              <w:t>Further details on connection</w:t>
            </w:r>
          </w:p>
        </w:tc>
        <w:tc>
          <w:tcPr>
            <w:tcW w:w="6840" w:type="dxa"/>
            <w:vAlign w:val="center"/>
          </w:tcPr>
          <w:p w14:paraId="57C18482" w14:textId="77777777" w:rsidR="002C0CF8" w:rsidRPr="002C0CF8" w:rsidRDefault="002C0CF8" w:rsidP="00F01584">
            <w:pPr>
              <w:spacing w:line="228" w:lineRule="auto"/>
            </w:pPr>
            <w:r w:rsidRPr="002C0CF8">
              <w:rPr>
                <w:sz w:val="15"/>
                <w:szCs w:val="15"/>
              </w:rPr>
              <w:t>Free-text contextual note clarifying the tie.</w:t>
            </w:r>
          </w:p>
        </w:tc>
      </w:tr>
      <w:tr w:rsidR="002C0CF8" w:rsidRPr="002C0CF8" w14:paraId="5CA88D56" w14:textId="77777777" w:rsidTr="00F01584">
        <w:trPr>
          <w:jc w:val="center"/>
        </w:trPr>
        <w:tc>
          <w:tcPr>
            <w:tcW w:w="2952" w:type="dxa"/>
            <w:vAlign w:val="center"/>
          </w:tcPr>
          <w:p w14:paraId="06466687" w14:textId="77777777" w:rsidR="002C0CF8" w:rsidRPr="002C0CF8" w:rsidRDefault="002C0CF8" w:rsidP="00F01584">
            <w:pPr>
              <w:spacing w:line="228" w:lineRule="auto"/>
            </w:pPr>
            <w:r w:rsidRPr="002C0CF8">
              <w:rPr>
                <w:sz w:val="15"/>
                <w:szCs w:val="15"/>
              </w:rPr>
              <w:t>Relevant Transcript Excerpts</w:t>
            </w:r>
          </w:p>
        </w:tc>
        <w:tc>
          <w:tcPr>
            <w:tcW w:w="6840" w:type="dxa"/>
            <w:vAlign w:val="center"/>
          </w:tcPr>
          <w:p w14:paraId="55D80E47" w14:textId="77777777" w:rsidR="002C0CF8" w:rsidRPr="002C0CF8" w:rsidRDefault="002C0CF8" w:rsidP="00F01584">
            <w:pPr>
              <w:spacing w:line="228" w:lineRule="auto"/>
            </w:pPr>
            <w:r w:rsidRPr="002C0CF8">
              <w:rPr>
                <w:sz w:val="15"/>
                <w:szCs w:val="15"/>
              </w:rPr>
              <w:t xml:space="preserve">Interview material supporting the coded relationship </w:t>
            </w:r>
            <w:proofErr w:type="gramStart"/>
            <w:r w:rsidRPr="002C0CF8">
              <w:rPr>
                <w:sz w:val="15"/>
                <w:szCs w:val="15"/>
              </w:rPr>
              <w:t>where</w:t>
            </w:r>
            <w:proofErr w:type="gramEnd"/>
            <w:r w:rsidRPr="002C0CF8">
              <w:rPr>
                <w:sz w:val="15"/>
                <w:szCs w:val="15"/>
              </w:rPr>
              <w:t xml:space="preserve"> retained in the coding sheet.</w:t>
            </w:r>
          </w:p>
        </w:tc>
      </w:tr>
    </w:tbl>
    <w:p w14:paraId="49430A63" w14:textId="77777777" w:rsidR="002C0CF8" w:rsidRPr="002C0CF8" w:rsidRDefault="002C0CF8" w:rsidP="002C0CF8">
      <w:pPr>
        <w:pStyle w:val="Heading1"/>
      </w:pPr>
      <w:r w:rsidRPr="002C0CF8">
        <w:t>A2. Final analytical tie categories</w:t>
      </w:r>
    </w:p>
    <w:p w14:paraId="2BF25241" w14:textId="77777777" w:rsidR="002C0CF8" w:rsidRPr="002C0CF8" w:rsidRDefault="002C0CF8" w:rsidP="002C0CF8">
      <w:pPr>
        <w:spacing w:after="20" w:line="228" w:lineRule="auto"/>
      </w:pPr>
      <w:r w:rsidRPr="002C0CF8">
        <w:t>The Australia data were organised into nine analytical tie categories used to calculate dyad-level intensity and diversity. Analytical categories were assigned using the coded form of connection together with the connection descriptor and contextual evidence where necessary.</w:t>
      </w:r>
    </w:p>
    <w:tbl>
      <w:tblPr>
        <w:tblW w:w="101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83"/>
        <w:gridCol w:w="5083"/>
      </w:tblGrid>
      <w:tr w:rsidR="002C0CF8" w:rsidRPr="002C0CF8" w14:paraId="2A65A5D8" w14:textId="77777777" w:rsidTr="00F01584">
        <w:trPr>
          <w:jc w:val="center"/>
        </w:trPr>
        <w:tc>
          <w:tcPr>
            <w:tcW w:w="5083" w:type="dxa"/>
          </w:tcPr>
          <w:p w14:paraId="0A4A5CBC" w14:textId="77777777" w:rsidR="002C0CF8" w:rsidRPr="002C0CF8" w:rsidRDefault="002C0CF8" w:rsidP="00F01584">
            <w:pPr>
              <w:spacing w:line="228" w:lineRule="auto"/>
            </w:pPr>
            <w:r w:rsidRPr="002C0CF8">
              <w:rPr>
                <w:b/>
                <w:bCs/>
                <w:sz w:val="15"/>
                <w:szCs w:val="15"/>
              </w:rPr>
              <w:t>Analytical category</w:t>
            </w:r>
          </w:p>
        </w:tc>
        <w:tc>
          <w:tcPr>
            <w:tcW w:w="5083" w:type="dxa"/>
          </w:tcPr>
          <w:p w14:paraId="61D458F5" w14:textId="77777777" w:rsidR="002C0CF8" w:rsidRPr="002C0CF8" w:rsidRDefault="002C0CF8" w:rsidP="00F01584">
            <w:pPr>
              <w:spacing w:line="228" w:lineRule="auto"/>
            </w:pPr>
            <w:r w:rsidRPr="002C0CF8">
              <w:rPr>
                <w:b/>
                <w:bCs/>
                <w:sz w:val="15"/>
                <w:szCs w:val="15"/>
              </w:rPr>
              <w:t>Operational description</w:t>
            </w:r>
          </w:p>
        </w:tc>
      </w:tr>
      <w:tr w:rsidR="002C0CF8" w:rsidRPr="002C0CF8" w14:paraId="6376E64A" w14:textId="77777777" w:rsidTr="00F01584">
        <w:trPr>
          <w:jc w:val="center"/>
        </w:trPr>
        <w:tc>
          <w:tcPr>
            <w:tcW w:w="5083" w:type="dxa"/>
          </w:tcPr>
          <w:p w14:paraId="18980618" w14:textId="77777777" w:rsidR="002C0CF8" w:rsidRPr="002C0CF8" w:rsidRDefault="002C0CF8" w:rsidP="00F01584">
            <w:pPr>
              <w:spacing w:line="228" w:lineRule="auto"/>
            </w:pPr>
            <w:r w:rsidRPr="002C0CF8">
              <w:rPr>
                <w:sz w:val="15"/>
                <w:szCs w:val="15"/>
              </w:rPr>
              <w:t>Events (Protest)</w:t>
            </w:r>
          </w:p>
        </w:tc>
        <w:tc>
          <w:tcPr>
            <w:tcW w:w="5083" w:type="dxa"/>
          </w:tcPr>
          <w:p w14:paraId="1B2E8A28" w14:textId="77777777" w:rsidR="002C0CF8" w:rsidRPr="002C0CF8" w:rsidRDefault="002C0CF8" w:rsidP="00F01584">
            <w:pPr>
              <w:spacing w:line="228" w:lineRule="auto"/>
            </w:pPr>
            <w:r w:rsidRPr="002C0CF8">
              <w:rPr>
                <w:sz w:val="15"/>
                <w:szCs w:val="15"/>
              </w:rPr>
              <w:t>Protest action involving the focal chapter and another actor.</w:t>
            </w:r>
          </w:p>
        </w:tc>
      </w:tr>
      <w:tr w:rsidR="002C0CF8" w:rsidRPr="002C0CF8" w14:paraId="1783611E" w14:textId="77777777" w:rsidTr="00F01584">
        <w:trPr>
          <w:jc w:val="center"/>
        </w:trPr>
        <w:tc>
          <w:tcPr>
            <w:tcW w:w="5083" w:type="dxa"/>
          </w:tcPr>
          <w:p w14:paraId="636D82D7" w14:textId="77777777" w:rsidR="002C0CF8" w:rsidRPr="002C0CF8" w:rsidRDefault="002C0CF8" w:rsidP="00F01584">
            <w:pPr>
              <w:spacing w:line="228" w:lineRule="auto"/>
            </w:pPr>
            <w:r w:rsidRPr="002C0CF8">
              <w:rPr>
                <w:sz w:val="15"/>
                <w:szCs w:val="15"/>
              </w:rPr>
              <w:t>Events (Training)</w:t>
            </w:r>
          </w:p>
        </w:tc>
        <w:tc>
          <w:tcPr>
            <w:tcW w:w="5083" w:type="dxa"/>
          </w:tcPr>
          <w:p w14:paraId="7B4169C3" w14:textId="77777777" w:rsidR="002C0CF8" w:rsidRPr="002C0CF8" w:rsidRDefault="002C0CF8" w:rsidP="00F01584">
            <w:pPr>
              <w:spacing w:line="228" w:lineRule="auto"/>
            </w:pPr>
            <w:r w:rsidRPr="002C0CF8">
              <w:rPr>
                <w:sz w:val="15"/>
                <w:szCs w:val="15"/>
              </w:rPr>
              <w:t>Training activity linking the focal chapter and another actor.</w:t>
            </w:r>
          </w:p>
        </w:tc>
      </w:tr>
      <w:tr w:rsidR="002C0CF8" w:rsidRPr="002C0CF8" w14:paraId="7B808220" w14:textId="77777777" w:rsidTr="00F01584">
        <w:trPr>
          <w:jc w:val="center"/>
        </w:trPr>
        <w:tc>
          <w:tcPr>
            <w:tcW w:w="5083" w:type="dxa"/>
          </w:tcPr>
          <w:p w14:paraId="2631785E" w14:textId="77777777" w:rsidR="002C0CF8" w:rsidRPr="002C0CF8" w:rsidRDefault="002C0CF8" w:rsidP="00F01584">
            <w:pPr>
              <w:spacing w:line="228" w:lineRule="auto"/>
            </w:pPr>
            <w:r w:rsidRPr="002C0CF8">
              <w:rPr>
                <w:sz w:val="15"/>
                <w:szCs w:val="15"/>
              </w:rPr>
              <w:t>Events (Other)</w:t>
            </w:r>
          </w:p>
        </w:tc>
        <w:tc>
          <w:tcPr>
            <w:tcW w:w="5083" w:type="dxa"/>
          </w:tcPr>
          <w:p w14:paraId="52E37807" w14:textId="77777777" w:rsidR="002C0CF8" w:rsidRPr="002C0CF8" w:rsidRDefault="002C0CF8" w:rsidP="00F01584">
            <w:pPr>
              <w:spacing w:line="228" w:lineRule="auto"/>
            </w:pPr>
            <w:r w:rsidRPr="002C0CF8">
              <w:rPr>
                <w:sz w:val="15"/>
                <w:szCs w:val="15"/>
              </w:rPr>
              <w:t>Joint or linked activity other than protest or training.</w:t>
            </w:r>
          </w:p>
        </w:tc>
      </w:tr>
      <w:tr w:rsidR="002C0CF8" w:rsidRPr="002C0CF8" w14:paraId="0A19EDA8" w14:textId="77777777" w:rsidTr="00F01584">
        <w:trPr>
          <w:jc w:val="center"/>
        </w:trPr>
        <w:tc>
          <w:tcPr>
            <w:tcW w:w="5083" w:type="dxa"/>
          </w:tcPr>
          <w:p w14:paraId="0C0D00D0" w14:textId="77777777" w:rsidR="002C0CF8" w:rsidRPr="002C0CF8" w:rsidRDefault="002C0CF8" w:rsidP="00F01584">
            <w:pPr>
              <w:spacing w:line="228" w:lineRule="auto"/>
            </w:pPr>
            <w:r w:rsidRPr="002C0CF8">
              <w:rPr>
                <w:sz w:val="15"/>
                <w:szCs w:val="15"/>
              </w:rPr>
              <w:t>Inter-actor associations</w:t>
            </w:r>
          </w:p>
        </w:tc>
        <w:tc>
          <w:tcPr>
            <w:tcW w:w="5083" w:type="dxa"/>
          </w:tcPr>
          <w:p w14:paraId="69E4D05A" w14:textId="77777777" w:rsidR="002C0CF8" w:rsidRPr="002C0CF8" w:rsidRDefault="002C0CF8" w:rsidP="00F01584">
            <w:pPr>
              <w:spacing w:line="228" w:lineRule="auto"/>
            </w:pPr>
            <w:r w:rsidRPr="002C0CF8">
              <w:rPr>
                <w:sz w:val="15"/>
                <w:szCs w:val="15"/>
              </w:rPr>
              <w:t>Organisational association, collaboration, advice, promotion, conflict, or other substantive association.</w:t>
            </w:r>
          </w:p>
        </w:tc>
      </w:tr>
      <w:tr w:rsidR="002C0CF8" w:rsidRPr="002C0CF8" w14:paraId="6D068789" w14:textId="77777777" w:rsidTr="00F01584">
        <w:trPr>
          <w:jc w:val="center"/>
        </w:trPr>
        <w:tc>
          <w:tcPr>
            <w:tcW w:w="5083" w:type="dxa"/>
          </w:tcPr>
          <w:p w14:paraId="1FBEFB28" w14:textId="77777777" w:rsidR="002C0CF8" w:rsidRPr="002C0CF8" w:rsidRDefault="002C0CF8" w:rsidP="00F01584">
            <w:pPr>
              <w:spacing w:line="228" w:lineRule="auto"/>
            </w:pPr>
            <w:r w:rsidRPr="002C0CF8">
              <w:rPr>
                <w:sz w:val="15"/>
                <w:szCs w:val="15"/>
              </w:rPr>
              <w:t>Inter-actor communications</w:t>
            </w:r>
          </w:p>
        </w:tc>
        <w:tc>
          <w:tcPr>
            <w:tcW w:w="5083" w:type="dxa"/>
          </w:tcPr>
          <w:p w14:paraId="7CB5FF0D" w14:textId="77777777" w:rsidR="002C0CF8" w:rsidRPr="002C0CF8" w:rsidRDefault="002C0CF8" w:rsidP="00F01584">
            <w:pPr>
              <w:spacing w:line="228" w:lineRule="auto"/>
            </w:pPr>
            <w:r w:rsidRPr="002C0CF8">
              <w:rPr>
                <w:sz w:val="15"/>
                <w:szCs w:val="15"/>
              </w:rPr>
              <w:t>Communication or information exchange between actors.</w:t>
            </w:r>
          </w:p>
        </w:tc>
      </w:tr>
      <w:tr w:rsidR="002C0CF8" w:rsidRPr="002C0CF8" w14:paraId="3FD3740F" w14:textId="77777777" w:rsidTr="00F01584">
        <w:trPr>
          <w:jc w:val="center"/>
        </w:trPr>
        <w:tc>
          <w:tcPr>
            <w:tcW w:w="5083" w:type="dxa"/>
          </w:tcPr>
          <w:p w14:paraId="2E8A8FAD" w14:textId="77777777" w:rsidR="002C0CF8" w:rsidRPr="002C0CF8" w:rsidRDefault="002C0CF8" w:rsidP="00F01584">
            <w:pPr>
              <w:spacing w:line="228" w:lineRule="auto"/>
            </w:pPr>
            <w:r w:rsidRPr="002C0CF8">
              <w:rPr>
                <w:sz w:val="15"/>
                <w:szCs w:val="15"/>
              </w:rPr>
              <w:t>Inter-actor observation</w:t>
            </w:r>
          </w:p>
        </w:tc>
        <w:tc>
          <w:tcPr>
            <w:tcW w:w="5083" w:type="dxa"/>
          </w:tcPr>
          <w:p w14:paraId="14B6B1E6" w14:textId="77777777" w:rsidR="002C0CF8" w:rsidRPr="002C0CF8" w:rsidRDefault="002C0CF8" w:rsidP="00F01584">
            <w:pPr>
              <w:spacing w:line="228" w:lineRule="auto"/>
            </w:pPr>
            <w:r w:rsidRPr="002C0CF8">
              <w:rPr>
                <w:sz w:val="15"/>
                <w:szCs w:val="15"/>
              </w:rPr>
              <w:t>Observation, inspiration, or indirect awareness of another actor.</w:t>
            </w:r>
          </w:p>
        </w:tc>
      </w:tr>
      <w:tr w:rsidR="002C0CF8" w:rsidRPr="002C0CF8" w14:paraId="6AE03902" w14:textId="77777777" w:rsidTr="00F01584">
        <w:trPr>
          <w:jc w:val="center"/>
        </w:trPr>
        <w:tc>
          <w:tcPr>
            <w:tcW w:w="5083" w:type="dxa"/>
          </w:tcPr>
          <w:p w14:paraId="2E18436F" w14:textId="77777777" w:rsidR="002C0CF8" w:rsidRPr="002C0CF8" w:rsidRDefault="002C0CF8" w:rsidP="00F01584">
            <w:pPr>
              <w:spacing w:line="228" w:lineRule="auto"/>
            </w:pPr>
            <w:r w:rsidRPr="002C0CF8">
              <w:rPr>
                <w:sz w:val="15"/>
                <w:szCs w:val="15"/>
              </w:rPr>
              <w:t>Interpersonal</w:t>
            </w:r>
          </w:p>
        </w:tc>
        <w:tc>
          <w:tcPr>
            <w:tcW w:w="5083" w:type="dxa"/>
          </w:tcPr>
          <w:p w14:paraId="73DFC6F2" w14:textId="77777777" w:rsidR="002C0CF8" w:rsidRPr="002C0CF8" w:rsidRDefault="002C0CF8" w:rsidP="00F01584">
            <w:pPr>
              <w:spacing w:line="228" w:lineRule="auto"/>
            </w:pPr>
            <w:r w:rsidRPr="002C0CF8">
              <w:rPr>
                <w:sz w:val="15"/>
                <w:szCs w:val="15"/>
              </w:rPr>
              <w:t>Connection mediated through individual members or personal ties.</w:t>
            </w:r>
          </w:p>
        </w:tc>
      </w:tr>
      <w:tr w:rsidR="002C0CF8" w:rsidRPr="002C0CF8" w14:paraId="6825C29A" w14:textId="77777777" w:rsidTr="00F01584">
        <w:trPr>
          <w:jc w:val="center"/>
        </w:trPr>
        <w:tc>
          <w:tcPr>
            <w:tcW w:w="5083" w:type="dxa"/>
          </w:tcPr>
          <w:p w14:paraId="36F7EEC0" w14:textId="77777777" w:rsidR="002C0CF8" w:rsidRPr="002C0CF8" w:rsidRDefault="002C0CF8" w:rsidP="00F01584">
            <w:pPr>
              <w:spacing w:line="228" w:lineRule="auto"/>
            </w:pPr>
            <w:r w:rsidRPr="002C0CF8">
              <w:rPr>
                <w:sz w:val="15"/>
                <w:szCs w:val="15"/>
              </w:rPr>
              <w:t>Resource Sharing</w:t>
            </w:r>
          </w:p>
        </w:tc>
        <w:tc>
          <w:tcPr>
            <w:tcW w:w="5083" w:type="dxa"/>
          </w:tcPr>
          <w:p w14:paraId="608EFA50" w14:textId="77777777" w:rsidR="002C0CF8" w:rsidRPr="002C0CF8" w:rsidRDefault="002C0CF8" w:rsidP="00F01584">
            <w:pPr>
              <w:spacing w:line="228" w:lineRule="auto"/>
            </w:pPr>
            <w:r w:rsidRPr="002C0CF8">
              <w:rPr>
                <w:sz w:val="15"/>
                <w:szCs w:val="15"/>
              </w:rPr>
              <w:t>Transfer, lending, provision, or exchange of resources.</w:t>
            </w:r>
          </w:p>
        </w:tc>
      </w:tr>
      <w:tr w:rsidR="002C0CF8" w:rsidRPr="002C0CF8" w14:paraId="408275A9" w14:textId="77777777" w:rsidTr="00F01584">
        <w:trPr>
          <w:jc w:val="center"/>
        </w:trPr>
        <w:tc>
          <w:tcPr>
            <w:tcW w:w="5083" w:type="dxa"/>
          </w:tcPr>
          <w:p w14:paraId="0BA76B3C" w14:textId="77777777" w:rsidR="002C0CF8" w:rsidRPr="002C0CF8" w:rsidRDefault="002C0CF8" w:rsidP="00F01584">
            <w:pPr>
              <w:spacing w:line="228" w:lineRule="auto"/>
            </w:pPr>
            <w:r w:rsidRPr="002C0CF8">
              <w:rPr>
                <w:sz w:val="15"/>
                <w:szCs w:val="15"/>
              </w:rPr>
              <w:t>Other (see further details)</w:t>
            </w:r>
          </w:p>
        </w:tc>
        <w:tc>
          <w:tcPr>
            <w:tcW w:w="5083" w:type="dxa"/>
          </w:tcPr>
          <w:p w14:paraId="30C995BE" w14:textId="77777777" w:rsidR="002C0CF8" w:rsidRPr="002C0CF8" w:rsidRDefault="002C0CF8" w:rsidP="00F01584">
            <w:pPr>
              <w:spacing w:line="228" w:lineRule="auto"/>
            </w:pPr>
            <w:r w:rsidRPr="002C0CF8">
              <w:rPr>
                <w:sz w:val="15"/>
                <w:szCs w:val="15"/>
              </w:rPr>
              <w:t>Tie not captured by the principal categories and documented in contextual notes.</w:t>
            </w:r>
          </w:p>
        </w:tc>
      </w:tr>
    </w:tbl>
    <w:p w14:paraId="67E8B3DA" w14:textId="77777777" w:rsidR="002C0CF8" w:rsidRPr="002C0CF8" w:rsidRDefault="002C0CF8" w:rsidP="002C0CF8">
      <w:pPr>
        <w:pStyle w:val="Heading1"/>
      </w:pPr>
      <w:r w:rsidRPr="002C0CF8">
        <w:t>A3. Numerical weighting rubric</w:t>
      </w:r>
    </w:p>
    <w:p w14:paraId="65489BC4" w14:textId="77777777" w:rsidR="002C0CF8" w:rsidRPr="002C0CF8" w:rsidRDefault="002C0CF8" w:rsidP="002C0CF8">
      <w:r w:rsidRPr="002C0CF8">
        <w:t>Each coded mention received an intensity value calculated from two components: a base value for the tie category (`Type`) and, where applicable, a multiplier for the connection descriptor (`details`). The coded value for one mention was:</w:t>
      </w:r>
    </w:p>
    <w:p w14:paraId="2D8CABC9" w14:textId="77777777" w:rsidR="002C0CF8" w:rsidRPr="002C0CF8" w:rsidRDefault="002C0CF8" w:rsidP="002C0CF8">
      <w:pPr>
        <w:jc w:val="center"/>
      </w:pPr>
      <w:r w:rsidRPr="002C0CF8">
        <w:rPr>
          <w:b/>
          <w:bCs/>
        </w:rPr>
        <w:t>mention intensity = Type × details</w:t>
      </w:r>
    </w:p>
    <w:p w14:paraId="08A701FC" w14:textId="77777777" w:rsidR="002C0CF8" w:rsidRPr="002C0CF8" w:rsidRDefault="002C0CF8" w:rsidP="002C0CF8">
      <w:pPr>
        <w:pStyle w:val="Heading2"/>
      </w:pPr>
      <w:r w:rsidRPr="002C0CF8">
        <w:t>A3.1 Base value by tie category (`Type`)</w:t>
      </w:r>
    </w:p>
    <w:tbl>
      <w:tblPr>
        <w:tblW w:w="101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83"/>
        <w:gridCol w:w="5083"/>
      </w:tblGrid>
      <w:tr w:rsidR="002C0CF8" w:rsidRPr="002C0CF8" w14:paraId="435D17B0" w14:textId="77777777" w:rsidTr="00F01584">
        <w:trPr>
          <w:jc w:val="center"/>
        </w:trPr>
        <w:tc>
          <w:tcPr>
            <w:tcW w:w="5083" w:type="dxa"/>
          </w:tcPr>
          <w:p w14:paraId="0A03CA5C" w14:textId="77777777" w:rsidR="002C0CF8" w:rsidRPr="002C0CF8" w:rsidRDefault="002C0CF8" w:rsidP="00F01584">
            <w:r w:rsidRPr="002C0CF8">
              <w:rPr>
                <w:b/>
                <w:bCs/>
                <w:sz w:val="16"/>
                <w:szCs w:val="16"/>
              </w:rPr>
              <w:t>Tie category</w:t>
            </w:r>
          </w:p>
        </w:tc>
        <w:tc>
          <w:tcPr>
            <w:tcW w:w="5083" w:type="dxa"/>
          </w:tcPr>
          <w:p w14:paraId="4E76EC89" w14:textId="77777777" w:rsidR="002C0CF8" w:rsidRPr="002C0CF8" w:rsidRDefault="002C0CF8" w:rsidP="00F01584">
            <w:r w:rsidRPr="002C0CF8">
              <w:rPr>
                <w:b/>
                <w:bCs/>
                <w:sz w:val="16"/>
                <w:szCs w:val="16"/>
              </w:rPr>
              <w:t>Base value (Type)</w:t>
            </w:r>
          </w:p>
        </w:tc>
      </w:tr>
      <w:tr w:rsidR="002C0CF8" w:rsidRPr="002C0CF8" w14:paraId="1927EFA2" w14:textId="77777777" w:rsidTr="00F01584">
        <w:trPr>
          <w:jc w:val="center"/>
        </w:trPr>
        <w:tc>
          <w:tcPr>
            <w:tcW w:w="5083" w:type="dxa"/>
          </w:tcPr>
          <w:p w14:paraId="6562A58F" w14:textId="77777777" w:rsidR="002C0CF8" w:rsidRPr="002C0CF8" w:rsidRDefault="002C0CF8" w:rsidP="00F01584">
            <w:r w:rsidRPr="002C0CF8">
              <w:rPr>
                <w:sz w:val="16"/>
                <w:szCs w:val="16"/>
              </w:rPr>
              <w:t>Inter-actor associations</w:t>
            </w:r>
          </w:p>
        </w:tc>
        <w:tc>
          <w:tcPr>
            <w:tcW w:w="5083" w:type="dxa"/>
          </w:tcPr>
          <w:p w14:paraId="14764B00" w14:textId="77777777" w:rsidR="002C0CF8" w:rsidRPr="002C0CF8" w:rsidRDefault="002C0CF8" w:rsidP="00F01584">
            <w:r w:rsidRPr="002C0CF8">
              <w:rPr>
                <w:sz w:val="16"/>
                <w:szCs w:val="16"/>
              </w:rPr>
              <w:t>10</w:t>
            </w:r>
          </w:p>
        </w:tc>
      </w:tr>
      <w:tr w:rsidR="002C0CF8" w:rsidRPr="002C0CF8" w14:paraId="1E9E6048" w14:textId="77777777" w:rsidTr="00F01584">
        <w:trPr>
          <w:jc w:val="center"/>
        </w:trPr>
        <w:tc>
          <w:tcPr>
            <w:tcW w:w="5083" w:type="dxa"/>
          </w:tcPr>
          <w:p w14:paraId="2C20C8E8" w14:textId="77777777" w:rsidR="002C0CF8" w:rsidRPr="002C0CF8" w:rsidRDefault="002C0CF8" w:rsidP="00F01584">
            <w:r w:rsidRPr="002C0CF8">
              <w:rPr>
                <w:sz w:val="16"/>
                <w:szCs w:val="16"/>
              </w:rPr>
              <w:t>Events (Protest)</w:t>
            </w:r>
          </w:p>
        </w:tc>
        <w:tc>
          <w:tcPr>
            <w:tcW w:w="5083" w:type="dxa"/>
          </w:tcPr>
          <w:p w14:paraId="00C848D2" w14:textId="77777777" w:rsidR="002C0CF8" w:rsidRPr="002C0CF8" w:rsidRDefault="002C0CF8" w:rsidP="00F01584">
            <w:r w:rsidRPr="002C0CF8">
              <w:rPr>
                <w:sz w:val="16"/>
                <w:szCs w:val="16"/>
              </w:rPr>
              <w:t>5</w:t>
            </w:r>
          </w:p>
        </w:tc>
      </w:tr>
      <w:tr w:rsidR="002C0CF8" w:rsidRPr="002C0CF8" w14:paraId="03C38C68" w14:textId="77777777" w:rsidTr="00F01584">
        <w:trPr>
          <w:jc w:val="center"/>
        </w:trPr>
        <w:tc>
          <w:tcPr>
            <w:tcW w:w="5083" w:type="dxa"/>
          </w:tcPr>
          <w:p w14:paraId="3CE06247" w14:textId="77777777" w:rsidR="002C0CF8" w:rsidRPr="002C0CF8" w:rsidRDefault="002C0CF8" w:rsidP="00F01584">
            <w:r w:rsidRPr="002C0CF8">
              <w:rPr>
                <w:sz w:val="16"/>
                <w:szCs w:val="16"/>
              </w:rPr>
              <w:t>Events (Training)</w:t>
            </w:r>
          </w:p>
        </w:tc>
        <w:tc>
          <w:tcPr>
            <w:tcW w:w="5083" w:type="dxa"/>
          </w:tcPr>
          <w:p w14:paraId="07272503" w14:textId="77777777" w:rsidR="002C0CF8" w:rsidRPr="002C0CF8" w:rsidRDefault="002C0CF8" w:rsidP="00F01584">
            <w:r w:rsidRPr="002C0CF8">
              <w:rPr>
                <w:sz w:val="16"/>
                <w:szCs w:val="16"/>
              </w:rPr>
              <w:t>5</w:t>
            </w:r>
          </w:p>
        </w:tc>
      </w:tr>
      <w:tr w:rsidR="002C0CF8" w:rsidRPr="002C0CF8" w14:paraId="0480CB39" w14:textId="77777777" w:rsidTr="00F01584">
        <w:trPr>
          <w:jc w:val="center"/>
        </w:trPr>
        <w:tc>
          <w:tcPr>
            <w:tcW w:w="5083" w:type="dxa"/>
          </w:tcPr>
          <w:p w14:paraId="7FEE1A9D" w14:textId="77777777" w:rsidR="002C0CF8" w:rsidRPr="002C0CF8" w:rsidRDefault="002C0CF8" w:rsidP="00F01584">
            <w:r w:rsidRPr="002C0CF8">
              <w:rPr>
                <w:sz w:val="16"/>
                <w:szCs w:val="16"/>
              </w:rPr>
              <w:t>Events (Other)</w:t>
            </w:r>
          </w:p>
        </w:tc>
        <w:tc>
          <w:tcPr>
            <w:tcW w:w="5083" w:type="dxa"/>
          </w:tcPr>
          <w:p w14:paraId="6C7FF903" w14:textId="77777777" w:rsidR="002C0CF8" w:rsidRPr="002C0CF8" w:rsidRDefault="002C0CF8" w:rsidP="00F01584">
            <w:r w:rsidRPr="002C0CF8">
              <w:rPr>
                <w:sz w:val="16"/>
                <w:szCs w:val="16"/>
              </w:rPr>
              <w:t>5</w:t>
            </w:r>
          </w:p>
        </w:tc>
      </w:tr>
      <w:tr w:rsidR="002C0CF8" w:rsidRPr="002C0CF8" w14:paraId="0A9A3849" w14:textId="77777777" w:rsidTr="00F01584">
        <w:trPr>
          <w:jc w:val="center"/>
        </w:trPr>
        <w:tc>
          <w:tcPr>
            <w:tcW w:w="5083" w:type="dxa"/>
          </w:tcPr>
          <w:p w14:paraId="5C01092B" w14:textId="77777777" w:rsidR="002C0CF8" w:rsidRPr="002C0CF8" w:rsidRDefault="002C0CF8" w:rsidP="00F01584">
            <w:r w:rsidRPr="002C0CF8">
              <w:rPr>
                <w:sz w:val="16"/>
                <w:szCs w:val="16"/>
              </w:rPr>
              <w:t>Resource Sharing</w:t>
            </w:r>
          </w:p>
        </w:tc>
        <w:tc>
          <w:tcPr>
            <w:tcW w:w="5083" w:type="dxa"/>
          </w:tcPr>
          <w:p w14:paraId="2EC9B10E" w14:textId="77777777" w:rsidR="002C0CF8" w:rsidRPr="002C0CF8" w:rsidRDefault="002C0CF8" w:rsidP="00F01584">
            <w:r w:rsidRPr="002C0CF8">
              <w:rPr>
                <w:sz w:val="16"/>
                <w:szCs w:val="16"/>
              </w:rPr>
              <w:t>5</w:t>
            </w:r>
          </w:p>
        </w:tc>
      </w:tr>
      <w:tr w:rsidR="002C0CF8" w:rsidRPr="002C0CF8" w14:paraId="0910AE8D" w14:textId="77777777" w:rsidTr="00F01584">
        <w:trPr>
          <w:jc w:val="center"/>
        </w:trPr>
        <w:tc>
          <w:tcPr>
            <w:tcW w:w="5083" w:type="dxa"/>
          </w:tcPr>
          <w:p w14:paraId="596E05F6" w14:textId="77777777" w:rsidR="002C0CF8" w:rsidRPr="002C0CF8" w:rsidRDefault="002C0CF8" w:rsidP="00F01584">
            <w:r w:rsidRPr="002C0CF8">
              <w:rPr>
                <w:sz w:val="16"/>
                <w:szCs w:val="16"/>
              </w:rPr>
              <w:t>Inter-actor communications</w:t>
            </w:r>
          </w:p>
        </w:tc>
        <w:tc>
          <w:tcPr>
            <w:tcW w:w="5083" w:type="dxa"/>
          </w:tcPr>
          <w:p w14:paraId="6CE7861B" w14:textId="77777777" w:rsidR="002C0CF8" w:rsidRPr="002C0CF8" w:rsidRDefault="002C0CF8" w:rsidP="00F01584">
            <w:r w:rsidRPr="002C0CF8">
              <w:rPr>
                <w:sz w:val="16"/>
                <w:szCs w:val="16"/>
              </w:rPr>
              <w:t>3</w:t>
            </w:r>
          </w:p>
        </w:tc>
      </w:tr>
      <w:tr w:rsidR="002C0CF8" w:rsidRPr="002C0CF8" w14:paraId="6D3D1A6A" w14:textId="77777777" w:rsidTr="00F01584">
        <w:trPr>
          <w:jc w:val="center"/>
        </w:trPr>
        <w:tc>
          <w:tcPr>
            <w:tcW w:w="5083" w:type="dxa"/>
          </w:tcPr>
          <w:p w14:paraId="60050AB2" w14:textId="77777777" w:rsidR="002C0CF8" w:rsidRPr="002C0CF8" w:rsidRDefault="002C0CF8" w:rsidP="00F01584">
            <w:r w:rsidRPr="002C0CF8">
              <w:rPr>
                <w:sz w:val="16"/>
                <w:szCs w:val="16"/>
              </w:rPr>
              <w:t>Inter-actor observation</w:t>
            </w:r>
          </w:p>
        </w:tc>
        <w:tc>
          <w:tcPr>
            <w:tcW w:w="5083" w:type="dxa"/>
          </w:tcPr>
          <w:p w14:paraId="3C7846B3" w14:textId="77777777" w:rsidR="002C0CF8" w:rsidRPr="002C0CF8" w:rsidRDefault="002C0CF8" w:rsidP="00F01584">
            <w:r w:rsidRPr="002C0CF8">
              <w:rPr>
                <w:sz w:val="16"/>
                <w:szCs w:val="16"/>
              </w:rPr>
              <w:t>1</w:t>
            </w:r>
          </w:p>
        </w:tc>
      </w:tr>
      <w:tr w:rsidR="002C0CF8" w:rsidRPr="002C0CF8" w14:paraId="2E8C50B9" w14:textId="77777777" w:rsidTr="00F01584">
        <w:trPr>
          <w:jc w:val="center"/>
        </w:trPr>
        <w:tc>
          <w:tcPr>
            <w:tcW w:w="5083" w:type="dxa"/>
          </w:tcPr>
          <w:p w14:paraId="5C2B4918" w14:textId="77777777" w:rsidR="002C0CF8" w:rsidRPr="002C0CF8" w:rsidRDefault="002C0CF8" w:rsidP="00F01584">
            <w:r w:rsidRPr="002C0CF8">
              <w:rPr>
                <w:sz w:val="16"/>
                <w:szCs w:val="16"/>
              </w:rPr>
              <w:t>Interpersonal</w:t>
            </w:r>
          </w:p>
        </w:tc>
        <w:tc>
          <w:tcPr>
            <w:tcW w:w="5083" w:type="dxa"/>
          </w:tcPr>
          <w:p w14:paraId="03A00FD7" w14:textId="77777777" w:rsidR="002C0CF8" w:rsidRPr="002C0CF8" w:rsidRDefault="002C0CF8" w:rsidP="00F01584">
            <w:r w:rsidRPr="002C0CF8">
              <w:rPr>
                <w:sz w:val="16"/>
                <w:szCs w:val="16"/>
              </w:rPr>
              <w:t>1</w:t>
            </w:r>
          </w:p>
        </w:tc>
      </w:tr>
      <w:tr w:rsidR="002C0CF8" w:rsidRPr="002C0CF8" w14:paraId="777886FF" w14:textId="77777777" w:rsidTr="00F01584">
        <w:trPr>
          <w:jc w:val="center"/>
        </w:trPr>
        <w:tc>
          <w:tcPr>
            <w:tcW w:w="5083" w:type="dxa"/>
          </w:tcPr>
          <w:p w14:paraId="580183BA" w14:textId="77777777" w:rsidR="002C0CF8" w:rsidRPr="002C0CF8" w:rsidRDefault="002C0CF8" w:rsidP="00F01584">
            <w:r w:rsidRPr="002C0CF8">
              <w:rPr>
                <w:sz w:val="16"/>
                <w:szCs w:val="16"/>
              </w:rPr>
              <w:t>Other (see further details)</w:t>
            </w:r>
          </w:p>
        </w:tc>
        <w:tc>
          <w:tcPr>
            <w:tcW w:w="5083" w:type="dxa"/>
          </w:tcPr>
          <w:p w14:paraId="4D274B17" w14:textId="77777777" w:rsidR="002C0CF8" w:rsidRPr="002C0CF8" w:rsidRDefault="002C0CF8" w:rsidP="00F01584">
            <w:r w:rsidRPr="002C0CF8">
              <w:rPr>
                <w:sz w:val="16"/>
                <w:szCs w:val="16"/>
              </w:rPr>
              <w:t>1</w:t>
            </w:r>
          </w:p>
        </w:tc>
      </w:tr>
    </w:tbl>
    <w:p w14:paraId="65DFD614" w14:textId="77777777" w:rsidR="002C0CF8" w:rsidRPr="002C0CF8" w:rsidRDefault="002C0CF8" w:rsidP="002C0CF8">
      <w:pPr>
        <w:pStyle w:val="Heading2"/>
        <w:pageBreakBefore/>
      </w:pPr>
      <w:r w:rsidRPr="002C0CF8">
        <w:lastRenderedPageBreak/>
        <w:t>A3.2 Multiplier by connection descriptor (`details`)</w:t>
      </w:r>
    </w:p>
    <w:tbl>
      <w:tblPr>
        <w:tblW w:w="101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83"/>
        <w:gridCol w:w="5083"/>
      </w:tblGrid>
      <w:tr w:rsidR="002C0CF8" w:rsidRPr="002C0CF8" w14:paraId="425CC7A3" w14:textId="77777777" w:rsidTr="00F01584">
        <w:trPr>
          <w:jc w:val="center"/>
        </w:trPr>
        <w:tc>
          <w:tcPr>
            <w:tcW w:w="5083" w:type="dxa"/>
          </w:tcPr>
          <w:p w14:paraId="57249767" w14:textId="77777777" w:rsidR="002C0CF8" w:rsidRPr="002C0CF8" w:rsidRDefault="002C0CF8" w:rsidP="00F01584">
            <w:r w:rsidRPr="002C0CF8">
              <w:rPr>
                <w:b/>
                <w:bCs/>
                <w:sz w:val="16"/>
                <w:szCs w:val="16"/>
              </w:rPr>
              <w:t>Connection descriptor</w:t>
            </w:r>
          </w:p>
        </w:tc>
        <w:tc>
          <w:tcPr>
            <w:tcW w:w="5083" w:type="dxa"/>
          </w:tcPr>
          <w:p w14:paraId="31D137F7" w14:textId="77777777" w:rsidR="002C0CF8" w:rsidRPr="002C0CF8" w:rsidRDefault="002C0CF8" w:rsidP="00F01584">
            <w:r w:rsidRPr="002C0CF8">
              <w:rPr>
                <w:b/>
                <w:bCs/>
                <w:sz w:val="16"/>
                <w:szCs w:val="16"/>
              </w:rPr>
              <w:t>Multiplier (details)</w:t>
            </w:r>
          </w:p>
        </w:tc>
      </w:tr>
      <w:tr w:rsidR="002C0CF8" w:rsidRPr="002C0CF8" w14:paraId="1A26B8B4" w14:textId="77777777" w:rsidTr="00F01584">
        <w:trPr>
          <w:jc w:val="center"/>
        </w:trPr>
        <w:tc>
          <w:tcPr>
            <w:tcW w:w="5083" w:type="dxa"/>
          </w:tcPr>
          <w:p w14:paraId="7C6387EF" w14:textId="77777777" w:rsidR="002C0CF8" w:rsidRPr="002C0CF8" w:rsidRDefault="002C0CF8" w:rsidP="00F01584">
            <w:r w:rsidRPr="002C0CF8">
              <w:rPr>
                <w:sz w:val="16"/>
                <w:szCs w:val="16"/>
              </w:rPr>
              <w:t>Advice</w:t>
            </w:r>
          </w:p>
        </w:tc>
        <w:tc>
          <w:tcPr>
            <w:tcW w:w="5083" w:type="dxa"/>
          </w:tcPr>
          <w:p w14:paraId="1162E638" w14:textId="77777777" w:rsidR="002C0CF8" w:rsidRPr="002C0CF8" w:rsidRDefault="002C0CF8" w:rsidP="00F01584">
            <w:r w:rsidRPr="002C0CF8">
              <w:rPr>
                <w:sz w:val="16"/>
                <w:szCs w:val="16"/>
              </w:rPr>
              <w:t>2</w:t>
            </w:r>
          </w:p>
        </w:tc>
      </w:tr>
      <w:tr w:rsidR="002C0CF8" w:rsidRPr="002C0CF8" w14:paraId="4DAF7BCC" w14:textId="77777777" w:rsidTr="00F01584">
        <w:trPr>
          <w:jc w:val="center"/>
        </w:trPr>
        <w:tc>
          <w:tcPr>
            <w:tcW w:w="5083" w:type="dxa"/>
          </w:tcPr>
          <w:p w14:paraId="5A889A5F" w14:textId="77777777" w:rsidR="002C0CF8" w:rsidRPr="002C0CF8" w:rsidRDefault="002C0CF8" w:rsidP="00F01584">
            <w:r w:rsidRPr="002C0CF8">
              <w:rPr>
                <w:sz w:val="16"/>
                <w:szCs w:val="16"/>
              </w:rPr>
              <w:t>Collaboration</w:t>
            </w:r>
          </w:p>
        </w:tc>
        <w:tc>
          <w:tcPr>
            <w:tcW w:w="5083" w:type="dxa"/>
          </w:tcPr>
          <w:p w14:paraId="45970534" w14:textId="77777777" w:rsidR="002C0CF8" w:rsidRPr="002C0CF8" w:rsidRDefault="002C0CF8" w:rsidP="00F01584">
            <w:r w:rsidRPr="002C0CF8">
              <w:rPr>
                <w:sz w:val="16"/>
                <w:szCs w:val="16"/>
              </w:rPr>
              <w:t>2</w:t>
            </w:r>
          </w:p>
        </w:tc>
      </w:tr>
      <w:tr w:rsidR="002C0CF8" w:rsidRPr="002C0CF8" w14:paraId="46DB00AD" w14:textId="77777777" w:rsidTr="00F01584">
        <w:trPr>
          <w:jc w:val="center"/>
        </w:trPr>
        <w:tc>
          <w:tcPr>
            <w:tcW w:w="5083" w:type="dxa"/>
          </w:tcPr>
          <w:p w14:paraId="602D2E21" w14:textId="77777777" w:rsidR="002C0CF8" w:rsidRPr="002C0CF8" w:rsidRDefault="002C0CF8" w:rsidP="00F01584">
            <w:r w:rsidRPr="002C0CF8">
              <w:rPr>
                <w:sz w:val="16"/>
                <w:szCs w:val="16"/>
              </w:rPr>
              <w:t>Alter Attendance</w:t>
            </w:r>
          </w:p>
        </w:tc>
        <w:tc>
          <w:tcPr>
            <w:tcW w:w="5083" w:type="dxa"/>
          </w:tcPr>
          <w:p w14:paraId="404F8CD8" w14:textId="77777777" w:rsidR="002C0CF8" w:rsidRPr="002C0CF8" w:rsidRDefault="002C0CF8" w:rsidP="00F01584">
            <w:r w:rsidRPr="002C0CF8">
              <w:rPr>
                <w:sz w:val="16"/>
                <w:szCs w:val="16"/>
              </w:rPr>
              <w:t>1.5</w:t>
            </w:r>
          </w:p>
        </w:tc>
      </w:tr>
      <w:tr w:rsidR="002C0CF8" w:rsidRPr="002C0CF8" w14:paraId="71554404" w14:textId="77777777" w:rsidTr="00F01584">
        <w:trPr>
          <w:jc w:val="center"/>
        </w:trPr>
        <w:tc>
          <w:tcPr>
            <w:tcW w:w="5083" w:type="dxa"/>
          </w:tcPr>
          <w:p w14:paraId="5AB5CE41" w14:textId="77777777" w:rsidR="002C0CF8" w:rsidRPr="002C0CF8" w:rsidRDefault="002C0CF8" w:rsidP="00F01584">
            <w:r w:rsidRPr="002C0CF8">
              <w:rPr>
                <w:sz w:val="16"/>
                <w:szCs w:val="16"/>
              </w:rPr>
              <w:t>Ego Attendance</w:t>
            </w:r>
          </w:p>
        </w:tc>
        <w:tc>
          <w:tcPr>
            <w:tcW w:w="5083" w:type="dxa"/>
          </w:tcPr>
          <w:p w14:paraId="0BB6728D" w14:textId="77777777" w:rsidR="002C0CF8" w:rsidRPr="002C0CF8" w:rsidRDefault="002C0CF8" w:rsidP="00F01584">
            <w:r w:rsidRPr="002C0CF8">
              <w:rPr>
                <w:sz w:val="16"/>
                <w:szCs w:val="16"/>
              </w:rPr>
              <w:t>1.5</w:t>
            </w:r>
          </w:p>
        </w:tc>
      </w:tr>
      <w:tr w:rsidR="002C0CF8" w:rsidRPr="002C0CF8" w14:paraId="21896B71" w14:textId="77777777" w:rsidTr="00F01584">
        <w:trPr>
          <w:jc w:val="center"/>
        </w:trPr>
        <w:tc>
          <w:tcPr>
            <w:tcW w:w="5083" w:type="dxa"/>
          </w:tcPr>
          <w:p w14:paraId="6F1F4184" w14:textId="77777777" w:rsidR="002C0CF8" w:rsidRPr="002C0CF8" w:rsidRDefault="002C0CF8" w:rsidP="00F01584">
            <w:r w:rsidRPr="002C0CF8">
              <w:rPr>
                <w:sz w:val="16"/>
                <w:szCs w:val="16"/>
              </w:rPr>
              <w:t>Inspiration</w:t>
            </w:r>
          </w:p>
        </w:tc>
        <w:tc>
          <w:tcPr>
            <w:tcW w:w="5083" w:type="dxa"/>
          </w:tcPr>
          <w:p w14:paraId="1D214CBB" w14:textId="77777777" w:rsidR="002C0CF8" w:rsidRPr="002C0CF8" w:rsidRDefault="002C0CF8" w:rsidP="00F01584">
            <w:r w:rsidRPr="002C0CF8">
              <w:rPr>
                <w:sz w:val="16"/>
                <w:szCs w:val="16"/>
              </w:rPr>
              <w:t>1</w:t>
            </w:r>
          </w:p>
        </w:tc>
      </w:tr>
      <w:tr w:rsidR="002C0CF8" w:rsidRPr="002C0CF8" w14:paraId="63C50A43" w14:textId="77777777" w:rsidTr="00F01584">
        <w:trPr>
          <w:jc w:val="center"/>
        </w:trPr>
        <w:tc>
          <w:tcPr>
            <w:tcW w:w="5083" w:type="dxa"/>
          </w:tcPr>
          <w:p w14:paraId="2FEB88CC" w14:textId="77777777" w:rsidR="002C0CF8" w:rsidRPr="002C0CF8" w:rsidRDefault="002C0CF8" w:rsidP="00F01584">
            <w:r w:rsidRPr="002C0CF8">
              <w:rPr>
                <w:sz w:val="16"/>
                <w:szCs w:val="16"/>
              </w:rPr>
              <w:t>Other (see further details)</w:t>
            </w:r>
          </w:p>
        </w:tc>
        <w:tc>
          <w:tcPr>
            <w:tcW w:w="5083" w:type="dxa"/>
          </w:tcPr>
          <w:p w14:paraId="79EBBD2B" w14:textId="77777777" w:rsidR="002C0CF8" w:rsidRPr="002C0CF8" w:rsidRDefault="002C0CF8" w:rsidP="00F01584">
            <w:r w:rsidRPr="002C0CF8">
              <w:rPr>
                <w:sz w:val="16"/>
                <w:szCs w:val="16"/>
              </w:rPr>
              <w:t>1</w:t>
            </w:r>
          </w:p>
        </w:tc>
      </w:tr>
      <w:tr w:rsidR="002C0CF8" w:rsidRPr="002C0CF8" w14:paraId="499030B1" w14:textId="77777777" w:rsidTr="00F01584">
        <w:trPr>
          <w:jc w:val="center"/>
        </w:trPr>
        <w:tc>
          <w:tcPr>
            <w:tcW w:w="5083" w:type="dxa"/>
          </w:tcPr>
          <w:p w14:paraId="19279F0F" w14:textId="77777777" w:rsidR="002C0CF8" w:rsidRPr="002C0CF8" w:rsidRDefault="002C0CF8" w:rsidP="00F01584">
            <w:r w:rsidRPr="002C0CF8">
              <w:rPr>
                <w:sz w:val="16"/>
                <w:szCs w:val="16"/>
              </w:rPr>
              <w:t>Promotion</w:t>
            </w:r>
          </w:p>
        </w:tc>
        <w:tc>
          <w:tcPr>
            <w:tcW w:w="5083" w:type="dxa"/>
          </w:tcPr>
          <w:p w14:paraId="200DB973" w14:textId="77777777" w:rsidR="002C0CF8" w:rsidRPr="002C0CF8" w:rsidRDefault="002C0CF8" w:rsidP="00F01584">
            <w:r w:rsidRPr="002C0CF8">
              <w:rPr>
                <w:sz w:val="16"/>
                <w:szCs w:val="16"/>
              </w:rPr>
              <w:t>1</w:t>
            </w:r>
          </w:p>
        </w:tc>
      </w:tr>
      <w:tr w:rsidR="002C0CF8" w:rsidRPr="002C0CF8" w14:paraId="735FBA87" w14:textId="77777777" w:rsidTr="00F01584">
        <w:trPr>
          <w:jc w:val="center"/>
        </w:trPr>
        <w:tc>
          <w:tcPr>
            <w:tcW w:w="5083" w:type="dxa"/>
          </w:tcPr>
          <w:p w14:paraId="3BA8CDD1" w14:textId="77777777" w:rsidR="002C0CF8" w:rsidRPr="002C0CF8" w:rsidRDefault="002C0CF8" w:rsidP="00F01584">
            <w:r w:rsidRPr="002C0CF8">
              <w:t xml:space="preserve">Social Media / Group Chat / Newsletter; </w:t>
            </w:r>
            <w:proofErr w:type="gramStart"/>
            <w:r w:rsidRPr="002C0CF8">
              <w:t>Social Media</w:t>
            </w:r>
            <w:proofErr w:type="gramEnd"/>
            <w:r w:rsidRPr="002C0CF8">
              <w:t xml:space="preserve"> / Newsletter</w:t>
            </w:r>
          </w:p>
        </w:tc>
        <w:tc>
          <w:tcPr>
            <w:tcW w:w="5083" w:type="dxa"/>
          </w:tcPr>
          <w:p w14:paraId="55ECAAC2" w14:textId="77777777" w:rsidR="002C0CF8" w:rsidRPr="002C0CF8" w:rsidRDefault="002C0CF8" w:rsidP="00F01584">
            <w:r w:rsidRPr="002C0CF8">
              <w:t>1 (explicit or by base carry-through)</w:t>
            </w:r>
          </w:p>
        </w:tc>
      </w:tr>
      <w:tr w:rsidR="002C0CF8" w:rsidRPr="002C0CF8" w14:paraId="6997DC1A" w14:textId="77777777" w:rsidTr="00F01584">
        <w:trPr>
          <w:jc w:val="center"/>
        </w:trPr>
        <w:tc>
          <w:tcPr>
            <w:tcW w:w="5083" w:type="dxa"/>
          </w:tcPr>
          <w:p w14:paraId="3A83B605" w14:textId="77777777" w:rsidR="002C0CF8" w:rsidRPr="002C0CF8" w:rsidRDefault="002C0CF8" w:rsidP="00F01584">
            <w:r w:rsidRPr="002C0CF8">
              <w:rPr>
                <w:sz w:val="16"/>
                <w:szCs w:val="16"/>
              </w:rPr>
              <w:t>Conflict</w:t>
            </w:r>
          </w:p>
        </w:tc>
        <w:tc>
          <w:tcPr>
            <w:tcW w:w="5083" w:type="dxa"/>
          </w:tcPr>
          <w:p w14:paraId="69EAA3B9" w14:textId="77777777" w:rsidR="002C0CF8" w:rsidRPr="002C0CF8" w:rsidRDefault="002C0CF8" w:rsidP="00F01584">
            <w:r w:rsidRPr="002C0CF8">
              <w:rPr>
                <w:sz w:val="16"/>
                <w:szCs w:val="16"/>
              </w:rPr>
              <w:t>−1</w:t>
            </w:r>
          </w:p>
        </w:tc>
      </w:tr>
      <w:tr w:rsidR="002C0CF8" w:rsidRPr="002C0CF8" w14:paraId="2EB90EB4" w14:textId="77777777" w:rsidTr="00F01584">
        <w:trPr>
          <w:jc w:val="center"/>
        </w:trPr>
        <w:tc>
          <w:tcPr>
            <w:tcW w:w="5083" w:type="dxa"/>
          </w:tcPr>
          <w:p w14:paraId="01E3C0DE" w14:textId="77777777" w:rsidR="002C0CF8" w:rsidRPr="002C0CF8" w:rsidRDefault="002C0CF8" w:rsidP="00F01584">
            <w:r w:rsidRPr="002C0CF8">
              <w:rPr>
                <w:sz w:val="16"/>
                <w:szCs w:val="16"/>
              </w:rPr>
              <w:t>No multiplier recorded</w:t>
            </w:r>
          </w:p>
        </w:tc>
        <w:tc>
          <w:tcPr>
            <w:tcW w:w="5083" w:type="dxa"/>
          </w:tcPr>
          <w:p w14:paraId="196ABBF3" w14:textId="77777777" w:rsidR="002C0CF8" w:rsidRPr="002C0CF8" w:rsidRDefault="002C0CF8" w:rsidP="00F01584">
            <w:r w:rsidRPr="002C0CF8">
              <w:rPr>
                <w:sz w:val="16"/>
                <w:szCs w:val="16"/>
              </w:rPr>
              <w:t>1 (base value carried through unchanged)</w:t>
            </w:r>
          </w:p>
        </w:tc>
      </w:tr>
    </w:tbl>
    <w:p w14:paraId="0C75ED6E" w14:textId="77777777" w:rsidR="002C0CF8" w:rsidRPr="002C0CF8" w:rsidRDefault="002C0CF8" w:rsidP="002C0CF8">
      <w:r w:rsidRPr="002C0CF8">
        <w:t>The labels “Alter Attendance” and “Ego Attendance” are retained as used in the analytical data. Alter Attendance means that the partner/alter attended an activity associated with the focal ego; Ego Attendance means that the focal ego attended an activity associated with the partner/alter. In the source coding, these correspond to “Away attendance” and “Home attendance”, respectively. “Attending training” was coded as Ego Attendance when the focal actor attended training organised by the alter.</w:t>
      </w:r>
    </w:p>
    <w:p w14:paraId="232246DE" w14:textId="77777777" w:rsidR="002C0CF8" w:rsidRPr="002C0CF8" w:rsidRDefault="002C0CF8" w:rsidP="002C0CF8">
      <w:pPr>
        <w:pStyle w:val="Heading1"/>
      </w:pPr>
      <w:r w:rsidRPr="002C0CF8">
        <w:t>A4. Construction of dyad-level measures</w:t>
      </w:r>
    </w:p>
    <w:p w14:paraId="75056513" w14:textId="77777777" w:rsidR="002C0CF8" w:rsidRPr="002C0CF8" w:rsidRDefault="002C0CF8" w:rsidP="002C0CF8">
      <w:pPr>
        <w:numPr>
          <w:ilvl w:val="0"/>
          <w:numId w:val="1"/>
        </w:numPr>
        <w:pBdr>
          <w:top w:val="nil"/>
          <w:left w:val="nil"/>
          <w:bottom w:val="nil"/>
          <w:right w:val="nil"/>
          <w:between w:val="nil"/>
        </w:pBdr>
      </w:pPr>
      <w:r w:rsidRPr="002C0CF8">
        <w:rPr>
          <w:color w:val="000000"/>
        </w:rPr>
        <w:t>Dyadic relation: all coded mentions referring to the same focal chapter–partner pair were grouped into a single ego–alter dyad.</w:t>
      </w:r>
    </w:p>
    <w:p w14:paraId="6B036D1B" w14:textId="77777777" w:rsidR="002C0CF8" w:rsidRPr="002C0CF8" w:rsidRDefault="002C0CF8" w:rsidP="002C0CF8">
      <w:pPr>
        <w:numPr>
          <w:ilvl w:val="0"/>
          <w:numId w:val="1"/>
        </w:numPr>
        <w:pBdr>
          <w:top w:val="nil"/>
          <w:left w:val="nil"/>
          <w:bottom w:val="nil"/>
          <w:right w:val="nil"/>
          <w:between w:val="nil"/>
        </w:pBdr>
      </w:pPr>
      <w:r w:rsidRPr="002C0CF8">
        <w:rPr>
          <w:color w:val="000000"/>
        </w:rPr>
        <w:t>Intensity: the mention-level intensity values were summed within each dyad. Negative conflict ties therefore reduced the dyad total where they occurred.</w:t>
      </w:r>
    </w:p>
    <w:p w14:paraId="7D7D9187" w14:textId="77777777" w:rsidR="002C0CF8" w:rsidRPr="002C0CF8" w:rsidRDefault="002C0CF8" w:rsidP="002C0CF8">
      <w:pPr>
        <w:numPr>
          <w:ilvl w:val="0"/>
          <w:numId w:val="1"/>
        </w:numPr>
        <w:pBdr>
          <w:top w:val="nil"/>
          <w:left w:val="nil"/>
          <w:bottom w:val="nil"/>
          <w:right w:val="nil"/>
          <w:between w:val="nil"/>
        </w:pBdr>
      </w:pPr>
      <w:r w:rsidRPr="002C0CF8">
        <w:rPr>
          <w:color w:val="000000"/>
        </w:rPr>
        <w:t>Diversity: the number of distinct analytical tie categories present within the dyad.</w:t>
      </w:r>
    </w:p>
    <w:p w14:paraId="5544D776" w14:textId="77777777" w:rsidR="002C0CF8" w:rsidRPr="002C0CF8" w:rsidRDefault="002C0CF8" w:rsidP="002C0CF8">
      <w:pPr>
        <w:numPr>
          <w:ilvl w:val="0"/>
          <w:numId w:val="1"/>
        </w:numPr>
        <w:pBdr>
          <w:top w:val="nil"/>
          <w:left w:val="nil"/>
          <w:bottom w:val="nil"/>
          <w:right w:val="nil"/>
          <w:between w:val="nil"/>
        </w:pBdr>
        <w:spacing w:after="50"/>
      </w:pPr>
      <w:r w:rsidRPr="002C0CF8">
        <w:rPr>
          <w:color w:val="000000"/>
        </w:rPr>
        <w:t>Network construction: dyad-level intensity and diversity were used to construct ego networks; edge thickness represented intensity and alter-node size represented diversity.</w:t>
      </w:r>
    </w:p>
    <w:p w14:paraId="4D0AA79A" w14:textId="77777777" w:rsidR="002C0CF8" w:rsidRPr="002C0CF8" w:rsidRDefault="002C0CF8" w:rsidP="002C0CF8">
      <w:pPr>
        <w:pStyle w:val="Heading1"/>
      </w:pPr>
      <w:r w:rsidRPr="002C0CF8">
        <w:t>A5. Worked examples from the XR Australia data</w:t>
      </w:r>
    </w:p>
    <w:tbl>
      <w:tblPr>
        <w:tblW w:w="101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83"/>
        <w:gridCol w:w="5083"/>
      </w:tblGrid>
      <w:tr w:rsidR="002C0CF8" w:rsidRPr="002C0CF8" w14:paraId="3CF720AE" w14:textId="77777777" w:rsidTr="00F01584">
        <w:trPr>
          <w:jc w:val="center"/>
        </w:trPr>
        <w:tc>
          <w:tcPr>
            <w:tcW w:w="5083" w:type="dxa"/>
          </w:tcPr>
          <w:p w14:paraId="2CCCA1B4" w14:textId="77777777" w:rsidR="002C0CF8" w:rsidRPr="002C0CF8" w:rsidRDefault="002C0CF8" w:rsidP="00F01584">
            <w:r w:rsidRPr="002C0CF8">
              <w:rPr>
                <w:b/>
                <w:bCs/>
                <w:sz w:val="16"/>
                <w:szCs w:val="16"/>
              </w:rPr>
              <w:t>Dyad</w:t>
            </w:r>
          </w:p>
        </w:tc>
        <w:tc>
          <w:tcPr>
            <w:tcW w:w="5083" w:type="dxa"/>
          </w:tcPr>
          <w:p w14:paraId="4164394D" w14:textId="77777777" w:rsidR="002C0CF8" w:rsidRPr="002C0CF8" w:rsidRDefault="002C0CF8" w:rsidP="00F01584">
            <w:r w:rsidRPr="002C0CF8">
              <w:rPr>
                <w:b/>
                <w:bCs/>
                <w:sz w:val="16"/>
                <w:szCs w:val="16"/>
              </w:rPr>
              <w:t>Check</w:t>
            </w:r>
          </w:p>
        </w:tc>
      </w:tr>
      <w:tr w:rsidR="002C0CF8" w:rsidRPr="002C0CF8" w14:paraId="20201D1B" w14:textId="77777777" w:rsidTr="00F01584">
        <w:trPr>
          <w:jc w:val="center"/>
        </w:trPr>
        <w:tc>
          <w:tcPr>
            <w:tcW w:w="5083" w:type="dxa"/>
          </w:tcPr>
          <w:p w14:paraId="6FAD87A7" w14:textId="77777777" w:rsidR="002C0CF8" w:rsidRPr="002C0CF8" w:rsidRDefault="002C0CF8" w:rsidP="00F01584">
            <w:r w:rsidRPr="002C0CF8">
              <w:rPr>
                <w:sz w:val="16"/>
                <w:szCs w:val="16"/>
              </w:rPr>
              <w:t xml:space="preserve">XR Shoalhaven – XR </w:t>
            </w:r>
            <w:proofErr w:type="spellStart"/>
            <w:r w:rsidRPr="002C0CF8">
              <w:rPr>
                <w:sz w:val="16"/>
                <w:szCs w:val="16"/>
              </w:rPr>
              <w:t>Wingecarribee</w:t>
            </w:r>
            <w:proofErr w:type="spellEnd"/>
          </w:p>
        </w:tc>
        <w:tc>
          <w:tcPr>
            <w:tcW w:w="5083" w:type="dxa"/>
          </w:tcPr>
          <w:p w14:paraId="6F3A06B4" w14:textId="77777777" w:rsidR="002C0CF8" w:rsidRPr="002C0CF8" w:rsidRDefault="002C0CF8" w:rsidP="00F01584">
            <w:r w:rsidRPr="002C0CF8">
              <w:rPr>
                <w:sz w:val="16"/>
                <w:szCs w:val="16"/>
              </w:rPr>
              <w:t>Events (Protest) × Alter Attendance = 5 × 1.5 = 7.5; Inter-actor associations × Advice = 10 × 2 = 20; Resource Sharing = 5; Inter-actor associations × Other = 10 × 1 = 10. Total intensity = 42.5; diversity = 3 distinct tie categories.</w:t>
            </w:r>
          </w:p>
        </w:tc>
      </w:tr>
      <w:tr w:rsidR="002C0CF8" w:rsidRPr="002C0CF8" w14:paraId="788F4F12" w14:textId="77777777" w:rsidTr="00F01584">
        <w:trPr>
          <w:jc w:val="center"/>
        </w:trPr>
        <w:tc>
          <w:tcPr>
            <w:tcW w:w="5083" w:type="dxa"/>
          </w:tcPr>
          <w:p w14:paraId="0B095613" w14:textId="77777777" w:rsidR="002C0CF8" w:rsidRPr="002C0CF8" w:rsidRDefault="002C0CF8" w:rsidP="00F01584">
            <w:r w:rsidRPr="002C0CF8">
              <w:rPr>
                <w:sz w:val="16"/>
                <w:szCs w:val="16"/>
              </w:rPr>
              <w:t>XR South Australia – Victoria</w:t>
            </w:r>
          </w:p>
        </w:tc>
        <w:tc>
          <w:tcPr>
            <w:tcW w:w="5083" w:type="dxa"/>
          </w:tcPr>
          <w:p w14:paraId="0037D266" w14:textId="77777777" w:rsidR="002C0CF8" w:rsidRPr="002C0CF8" w:rsidRDefault="002C0CF8" w:rsidP="00F01584">
            <w:r w:rsidRPr="002C0CF8">
              <w:rPr>
                <w:sz w:val="16"/>
                <w:szCs w:val="16"/>
              </w:rPr>
              <w:t>Events (Protest) × Conflict = 5 × (−1) = −5. The final dyad intensity is −5.</w:t>
            </w:r>
          </w:p>
        </w:tc>
      </w:tr>
    </w:tbl>
    <w:p w14:paraId="2CD95257" w14:textId="77777777" w:rsidR="002C0CF8" w:rsidRPr="002C0CF8" w:rsidRDefault="002C0CF8" w:rsidP="002C0CF8">
      <w:pPr>
        <w:widowControl w:val="0"/>
        <w:pBdr>
          <w:top w:val="nil"/>
          <w:left w:val="nil"/>
          <w:bottom w:val="nil"/>
          <w:right w:val="nil"/>
          <w:between w:val="nil"/>
        </w:pBdr>
      </w:pPr>
    </w:p>
    <w:p w14:paraId="7B9D91FA" w14:textId="77777777" w:rsidR="00D920F2" w:rsidRPr="002C0CF8" w:rsidRDefault="00D920F2" w:rsidP="007A1A81">
      <w:pPr>
        <w:spacing w:before="120" w:after="120" w:line="480" w:lineRule="auto"/>
        <w:ind w:left="720" w:hanging="720"/>
        <w:jc w:val="both"/>
        <w:rPr>
          <w:rFonts w:eastAsia="Georgia"/>
          <w:sz w:val="24"/>
          <w:szCs w:val="24"/>
        </w:rPr>
      </w:pPr>
    </w:p>
    <w:sectPr w:rsidR="00D920F2" w:rsidRPr="002C0CF8">
      <w:headerReference w:type="default" r:id="rId9"/>
      <w:footerReference w:type="default" r:id="rId1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9C7D5" w14:textId="77777777" w:rsidR="00525EB3" w:rsidRDefault="00525EB3">
      <w:pPr>
        <w:spacing w:line="240" w:lineRule="auto"/>
      </w:pPr>
      <w:r>
        <w:separator/>
      </w:r>
    </w:p>
  </w:endnote>
  <w:endnote w:type="continuationSeparator" w:id="0">
    <w:p w14:paraId="7CCD20CD" w14:textId="77777777" w:rsidR="00525EB3" w:rsidRDefault="00525E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F70E0B25-CBDE-4FBA-9063-28B55DB3915F}"/>
  </w:font>
  <w:font w:name="Georgia">
    <w:panose1 w:val="02040502050405020303"/>
    <w:charset w:val="00"/>
    <w:family w:val="roman"/>
    <w:pitch w:val="variable"/>
    <w:sig w:usb0="00000287" w:usb1="00000000" w:usb2="00000000" w:usb3="00000000" w:csb0="0000009F" w:csb1="00000000"/>
    <w:embedRegular r:id="rId2" w:fontKey="{9AF84BF1-9ACA-4F3A-97DF-FCC2D0435D3C}"/>
    <w:embedBold r:id="rId3" w:fontKey="{B27B832C-DD29-4FC8-B3F8-6CFEE3744FFD}"/>
    <w:embedItalic r:id="rId4" w:fontKey="{57462FEB-C4D8-477D-BB8D-649E4403D05E}"/>
    <w:embedBoldItalic r:id="rId5" w:fontKey="{15FC86BB-3EE3-4420-8BDC-D5592369930F}"/>
  </w:font>
  <w:font w:name="Calibri">
    <w:panose1 w:val="020F0502020204030204"/>
    <w:charset w:val="00"/>
    <w:family w:val="swiss"/>
    <w:pitch w:val="variable"/>
    <w:sig w:usb0="E4002EFF" w:usb1="C200247B" w:usb2="00000009" w:usb3="00000000" w:csb0="000001FF" w:csb1="00000000"/>
    <w:embedRegular r:id="rId6" w:fontKey="{306CAA8A-A0AC-45B4-9E75-6D22760FEBB8}"/>
  </w:font>
  <w:font w:name="Cambria">
    <w:panose1 w:val="02040503050406030204"/>
    <w:charset w:val="00"/>
    <w:family w:val="roman"/>
    <w:pitch w:val="variable"/>
    <w:sig w:usb0="E00006FF" w:usb1="420024FF" w:usb2="02000000" w:usb3="00000000" w:csb0="0000019F" w:csb1="00000000"/>
    <w:embedRegular r:id="rId7" w:fontKey="{5FD3F202-D6F8-481F-B737-5B9B215F998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E" w14:textId="74766C22" w:rsidR="00D920F2" w:rsidRDefault="009E4571">
    <w:pPr>
      <w:jc w:val="center"/>
    </w:pPr>
    <w:r>
      <w:fldChar w:fldCharType="begin"/>
    </w:r>
    <w:r>
      <w:instrText>PAGE</w:instrText>
    </w:r>
    <w:r>
      <w:fldChar w:fldCharType="separate"/>
    </w:r>
    <w:r w:rsidR="00BD1DC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01806" w14:textId="77777777" w:rsidR="00525EB3" w:rsidRDefault="00525EB3">
      <w:pPr>
        <w:spacing w:line="240" w:lineRule="auto"/>
      </w:pPr>
      <w:r>
        <w:separator/>
      </w:r>
    </w:p>
  </w:footnote>
  <w:footnote w:type="continuationSeparator" w:id="0">
    <w:p w14:paraId="5D2D7629" w14:textId="77777777" w:rsidR="00525EB3" w:rsidRDefault="00525EB3">
      <w:pPr>
        <w:spacing w:line="240" w:lineRule="auto"/>
      </w:pPr>
      <w:r>
        <w:continuationSeparator/>
      </w:r>
    </w:p>
  </w:footnote>
  <w:footnote w:id="1">
    <w:p w14:paraId="0000009B" w14:textId="77777777" w:rsidR="00D920F2" w:rsidRPr="007A1A81" w:rsidRDefault="009E4571">
      <w:pPr>
        <w:spacing w:line="240" w:lineRule="auto"/>
        <w:rPr>
          <w:sz w:val="16"/>
          <w:szCs w:val="16"/>
        </w:rPr>
      </w:pPr>
      <w:r w:rsidRPr="007A1A81">
        <w:rPr>
          <w:vertAlign w:val="superscript"/>
        </w:rPr>
        <w:footnoteRef/>
      </w:r>
      <w:r w:rsidRPr="007A1A81">
        <w:rPr>
          <w:sz w:val="20"/>
          <w:szCs w:val="20"/>
        </w:rPr>
        <w:t xml:space="preserve"> The analysis was conducted in R using the packages igraph and sna, which support the construction, analysis, and visualisation of relational data. In this study, they were used to build ego networks from the coded edge lists, calculate node-level measures, and generate the visualisations used in the analysis.</w:t>
      </w:r>
    </w:p>
  </w:footnote>
  <w:footnote w:id="2">
    <w:p w14:paraId="0000009C" w14:textId="77777777" w:rsidR="00D920F2" w:rsidRPr="007A1A81" w:rsidRDefault="009E4571">
      <w:pPr>
        <w:spacing w:line="240" w:lineRule="auto"/>
        <w:rPr>
          <w:sz w:val="20"/>
          <w:szCs w:val="20"/>
        </w:rPr>
      </w:pPr>
      <w:r w:rsidRPr="007A1A81">
        <w:rPr>
          <w:vertAlign w:val="superscript"/>
        </w:rPr>
        <w:footnoteRef/>
      </w:r>
      <w:r w:rsidRPr="007A1A81">
        <w:rPr>
          <w:sz w:val="20"/>
          <w:szCs w:val="20"/>
        </w:rPr>
        <w:t xml:space="preserve"> We note potential settler-colonial connotations here, reflecting problamtic notions of empty land. Matthews, Bond and Nairn (2025) provide a productive consideration of coloniality in climate SMO diffusion.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D" w14:textId="77777777" w:rsidR="00D920F2" w:rsidRDefault="00D920F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87ACB"/>
    <w:multiLevelType w:val="multilevel"/>
    <w:tmpl w:val="45CCF826"/>
    <w:lvl w:ilvl="0">
      <w:start w:val="1"/>
      <w:numFmt w:val="bullet"/>
      <w:pStyle w:val="List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59060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0F2"/>
    <w:rsid w:val="001064E9"/>
    <w:rsid w:val="002C0CF8"/>
    <w:rsid w:val="002E7BFE"/>
    <w:rsid w:val="002F4CD8"/>
    <w:rsid w:val="00333C5C"/>
    <w:rsid w:val="00430658"/>
    <w:rsid w:val="00440A34"/>
    <w:rsid w:val="004608E7"/>
    <w:rsid w:val="004B4837"/>
    <w:rsid w:val="00511788"/>
    <w:rsid w:val="00525EB3"/>
    <w:rsid w:val="005B1F95"/>
    <w:rsid w:val="0066055B"/>
    <w:rsid w:val="006A0A8B"/>
    <w:rsid w:val="006C73F1"/>
    <w:rsid w:val="006D3FDB"/>
    <w:rsid w:val="006F41F3"/>
    <w:rsid w:val="007A1A81"/>
    <w:rsid w:val="007B5638"/>
    <w:rsid w:val="0080769E"/>
    <w:rsid w:val="00855CF4"/>
    <w:rsid w:val="00874517"/>
    <w:rsid w:val="00881C25"/>
    <w:rsid w:val="008A26C2"/>
    <w:rsid w:val="009315FF"/>
    <w:rsid w:val="009B4E6F"/>
    <w:rsid w:val="009E4571"/>
    <w:rsid w:val="00A359E6"/>
    <w:rsid w:val="00BB403F"/>
    <w:rsid w:val="00BC11CF"/>
    <w:rsid w:val="00BD1DC3"/>
    <w:rsid w:val="00C84474"/>
    <w:rsid w:val="00D7369F"/>
    <w:rsid w:val="00D87188"/>
    <w:rsid w:val="00D920F2"/>
    <w:rsid w:val="00E234D8"/>
    <w:rsid w:val="00EF4329"/>
    <w:rsid w:val="00F53A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C2DD5"/>
  <w15:docId w15:val="{A6556DF0-96AB-4F54-8CAA-FF09B9023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line="480" w:lineRule="auto"/>
      <w:jc w:val="both"/>
      <w:outlineLvl w:val="0"/>
    </w:pPr>
    <w:rPr>
      <w:b/>
      <w:bCs/>
      <w:sz w:val="24"/>
      <w:szCs w:val="24"/>
    </w:rPr>
  </w:style>
  <w:style w:type="paragraph" w:styleId="Heading2">
    <w:name w:val="heading 2"/>
    <w:basedOn w:val="Normal"/>
    <w:next w:val="Normal"/>
    <w:uiPriority w:val="9"/>
    <w:unhideWhenUsed/>
    <w:qFormat/>
    <w:pPr>
      <w:keepNext/>
      <w:keepLines/>
      <w:spacing w:line="480" w:lineRule="auto"/>
      <w:jc w:val="both"/>
      <w:outlineLvl w:val="1"/>
    </w:pPr>
    <w:rPr>
      <w:b/>
      <w:bCs/>
      <w:sz w:val="24"/>
      <w:szCs w:val="24"/>
    </w:rPr>
  </w:style>
  <w:style w:type="paragraph" w:styleId="Heading3">
    <w:name w:val="heading 3"/>
    <w:basedOn w:val="Normal"/>
    <w:next w:val="Normal"/>
    <w:uiPriority w:val="9"/>
    <w:unhideWhenUsed/>
    <w:qFormat/>
    <w:pPr>
      <w:keepNext/>
      <w:keepLines/>
      <w:spacing w:line="480" w:lineRule="auto"/>
      <w:jc w:val="both"/>
      <w:outlineLvl w:val="2"/>
    </w:pPr>
    <w:rPr>
      <w:i/>
      <w:iCs/>
      <w:sz w:val="24"/>
      <w:szCs w:val="24"/>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customStyle="1" w:styleId="TitleChar">
    <w:name w:val="Title Char"/>
    <w:basedOn w:val="DefaultParagraphFont"/>
    <w:link w:val="Title"/>
    <w:uiPriority w:val="10"/>
    <w:rsid w:val="002C0CF8"/>
    <w:rPr>
      <w:sz w:val="52"/>
      <w:szCs w:val="52"/>
    </w:rPr>
  </w:style>
  <w:style w:type="paragraph" w:styleId="ListBullet">
    <w:name w:val="List Bullet"/>
    <w:basedOn w:val="Normal"/>
    <w:uiPriority w:val="99"/>
    <w:unhideWhenUsed/>
    <w:rsid w:val="002C0CF8"/>
    <w:pPr>
      <w:numPr>
        <w:numId w:val="1"/>
      </w:numPr>
      <w:spacing w:after="50"/>
      <w:ind w:left="0" w:firstLine="0"/>
      <w:contextualSpacing/>
    </w:pPr>
    <w:rPr>
      <w:rFonts w:ascii="Aptos" w:eastAsia="Aptos" w:hAnsi="Aptos" w:cs="Aptos"/>
      <w:sz w:val="18"/>
      <w:szCs w:val="18"/>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111/j.1475-5661.2009.00331.x" TargetMode="External"/><Relationship Id="rId3" Type="http://schemas.openxmlformats.org/officeDocument/2006/relationships/settings" Target="settings.xml"/><Relationship Id="rId7" Type="http://schemas.openxmlformats.org/officeDocument/2006/relationships/hyperlink" Target="https://doi.org/10.1177/030913250707140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34</Pages>
  <Words>9064</Words>
  <Characters>51665</Characters>
  <Application>Microsoft Office Word</Application>
  <DocSecurity>0</DocSecurity>
  <Lines>430</Lines>
  <Paragraphs>121</Paragraphs>
  <ScaleCrop>false</ScaleCrop>
  <Company/>
  <LinksUpToDate>false</LinksUpToDate>
  <CharactersWithSpaces>60608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Gardner</dc:creator>
  <cp:lastModifiedBy>Peter Gardner</cp:lastModifiedBy>
  <cp:revision>2</cp:revision>
  <dcterms:created xsi:type="dcterms:W3CDTF">2026-09-28T08:30:00Z</dcterms:created>
  <dcterms:modified xsi:type="dcterms:W3CDTF">2026-09-28T08:30:00Z</dcterms:modified>
</cp:coreProperties>
</file>