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16415" w:rsidP="00FA7D12">
      <w:pPr>
        <w:spacing w:after="160" w:line="240" w:lineRule="auto"/>
        <w:jc w:val="center"/>
        <w:rPr>
          <w:rFonts w:ascii="Calibri" w:hAnsi="Calibri" w:cs="Calibri"/>
          <w:b/>
          <w:bCs/>
        </w:rPr>
      </w:pPr>
      <w:bookmarkStart w:id="0" w:name="_k9wn0maiqgqk" w:colFirst="0" w:colLast="0"/>
      <w:bookmarkStart w:id="1" w:name="_p5ih94jtxavm" w:colFirst="0" w:colLast="0"/>
      <w:bookmarkStart w:id="2" w:name="_6ljdeol8bgq6" w:colFirst="0" w:colLast="0"/>
      <w:bookmarkStart w:id="3" w:name="_5qul3byasao4" w:colFirst="0" w:colLast="0"/>
      <w:bookmarkStart w:id="4" w:name="_cbfw0ucw7pjf" w:colFirst="0" w:colLast="0"/>
      <w:bookmarkEnd w:id="0"/>
      <w:bookmarkEnd w:id="1"/>
      <w:bookmarkEnd w:id="2"/>
      <w:bookmarkEnd w:id="3"/>
      <w:bookmarkEnd w:id="4"/>
      <w:r>
        <w:rPr>
          <w:rFonts w:ascii="Calibri" w:hAnsi="Calibri" w:cs="Calibri"/>
          <w:b/>
          <w:bCs/>
        </w:rPr>
        <w:t xml:space="preserve">Written evidence by </w:t>
      </w:r>
      <w:r w:rsidRPr="00FA7D12">
        <w:rPr>
          <w:rFonts w:ascii="Calibri" w:hAnsi="Calibri" w:cs="Calibri"/>
          <w:b/>
          <w:bCs/>
        </w:rPr>
        <w:t>Dr Laura Fox</w:t>
      </w:r>
      <w:r>
        <w:rPr>
          <w:rFonts w:ascii="Calibri" w:hAnsi="Calibri" w:cs="Calibri"/>
          <w:b/>
          <w:bCs/>
        </w:rPr>
        <w:t xml:space="preserve"> </w:t>
      </w:r>
      <w:r w:rsidRPr="00FA7D12">
        <w:rPr>
          <w:rFonts w:ascii="Calibri" w:hAnsi="Calibri" w:cs="Calibri"/>
          <w:b/>
          <w:bCs/>
        </w:rPr>
        <w:t>Dr Nathalie Noret</w:t>
      </w:r>
      <w:r>
        <w:rPr>
          <w:rFonts w:ascii="Calibri" w:hAnsi="Calibri" w:cs="Calibri"/>
          <w:b/>
          <w:bCs/>
        </w:rPr>
        <w:t xml:space="preserve"> </w:t>
      </w:r>
      <w:r w:rsidRPr="00FA7D12">
        <w:rPr>
          <w:rFonts w:ascii="Calibri" w:hAnsi="Calibri" w:cs="Calibri"/>
          <w:b/>
          <w:bCs/>
        </w:rPr>
        <w:t>Dr Kayleigh Doyle</w:t>
      </w:r>
      <w:r>
        <w:rPr>
          <w:rFonts w:ascii="Calibri" w:hAnsi="Calibri" w:cs="Calibri"/>
          <w:b/>
          <w:bCs/>
        </w:rPr>
        <w:t xml:space="preserve"> </w:t>
      </w:r>
      <w:r w:rsidRPr="00FA7D12">
        <w:rPr>
          <w:rFonts w:ascii="Calibri" w:hAnsi="Calibri" w:cs="Calibri"/>
          <w:b/>
          <w:bCs/>
        </w:rPr>
        <w:t>Bethan Miller</w:t>
      </w:r>
      <w:r>
        <w:rPr>
          <w:rFonts w:ascii="Calibri" w:hAnsi="Calibri" w:cs="Calibri"/>
          <w:b/>
          <w:bCs/>
        </w:rPr>
        <w:t xml:space="preserve"> </w:t>
      </w:r>
      <w:r w:rsidRPr="00FA7D12">
        <w:rPr>
          <w:rFonts w:ascii="Calibri" w:hAnsi="Calibri" w:cs="Calibri"/>
          <w:b/>
          <w:bCs/>
        </w:rPr>
        <w:t>Anna Linehan</w:t>
      </w:r>
      <w:r>
        <w:rPr>
          <w:rFonts w:ascii="Calibri" w:hAnsi="Calibri" w:cs="Calibri"/>
          <w:b/>
          <w:bCs/>
        </w:rPr>
        <w:t xml:space="preserve"> </w:t>
      </w:r>
      <w:r w:rsidRPr="00FA7D12">
        <w:rPr>
          <w:rFonts w:ascii="Calibri" w:hAnsi="Calibri" w:cs="Calibri"/>
          <w:b/>
          <w:bCs/>
        </w:rPr>
        <w:t>Claire Vincent</w:t>
      </w:r>
      <w:r>
        <w:rPr>
          <w:rFonts w:ascii="Calibri" w:hAnsi="Calibri" w:cs="Calibri"/>
          <w:b/>
          <w:bCs/>
        </w:rPr>
        <w:t xml:space="preserve"> (</w:t>
      </w:r>
      <w:r w:rsidRPr="00FA7D12">
        <w:rPr>
          <w:rFonts w:ascii="Calibri" w:hAnsi="Calibri" w:cs="Calibri"/>
          <w:b/>
          <w:bCs/>
        </w:rPr>
        <w:t>ECA0083</w:t>
      </w:r>
      <w:r>
        <w:rPr>
          <w:rFonts w:ascii="Calibri" w:hAnsi="Calibri" w:cs="Calibri"/>
          <w:b/>
          <w:bCs/>
        </w:rPr>
        <w:t>)</w:t>
      </w:r>
    </w:p>
    <w:p w:rsidR="00FA7D12">
      <w:pPr>
        <w:pStyle w:val="Heading2"/>
        <w:keepNext w:val="0"/>
        <w:keepLines w:val="0"/>
        <w:spacing w:after="80"/>
        <w:rPr>
          <w:rFonts w:ascii="Calibri" w:hAnsi="Calibri" w:cs="Calibri"/>
          <w:b/>
          <w:bCs/>
          <w:sz w:val="22"/>
          <w:szCs w:val="22"/>
        </w:rPr>
      </w:pPr>
      <w:bookmarkStart w:id="5" w:name="_45o8prc2jeem" w:colFirst="0" w:colLast="0"/>
      <w:bookmarkEnd w:id="5"/>
      <w:r w:rsidRPr="00FA7D12">
        <w:rPr>
          <w:rFonts w:ascii="Calibri" w:hAnsi="Calibri" w:cs="Calibri"/>
          <w:b/>
          <w:bCs/>
          <w:sz w:val="22"/>
          <w:szCs w:val="22"/>
        </w:rPr>
        <w:t>Education Committee</w:t>
      </w:r>
    </w:p>
    <w:p w:rsidR="00FA7D12">
      <w:pPr>
        <w:pStyle w:val="Heading2"/>
        <w:keepNext w:val="0"/>
        <w:keepLines w:val="0"/>
        <w:spacing w:after="80"/>
        <w:rPr>
          <w:rFonts w:ascii="Calibri" w:hAnsi="Calibri" w:cs="Calibri"/>
          <w:b/>
          <w:bCs/>
          <w:sz w:val="22"/>
          <w:szCs w:val="22"/>
        </w:rPr>
      </w:pPr>
      <w:r w:rsidRPr="00FA7D12">
        <w:rPr>
          <w:b/>
          <w:bCs/>
          <w:sz w:val="22"/>
          <w:szCs w:val="22"/>
        </w:rPr>
        <w:t>Every Child Achieving and Thriving’ White Paper</w:t>
      </w:r>
      <w:r w:rsidRPr="00FA7D12">
        <w:rPr>
          <w:rFonts w:ascii="Calibri" w:hAnsi="Calibri" w:cs="Calibri"/>
          <w:b/>
          <w:bCs/>
          <w:sz w:val="22"/>
          <w:szCs w:val="22"/>
        </w:rPr>
        <w:t xml:space="preserve"> </w:t>
      </w:r>
      <w:bookmarkStart w:id="6" w:name="_akt0r21ziw6i" w:colFirst="0" w:colLast="0"/>
      <w:bookmarkEnd w:id="6"/>
    </w:p>
    <w:p w:rsidR="00716415" w:rsidRPr="00FA7D12">
      <w:pPr>
        <w:pStyle w:val="Heading2"/>
        <w:keepNext w:val="0"/>
        <w:keepLines w:val="0"/>
        <w:spacing w:after="80"/>
        <w:rPr>
          <w:rFonts w:ascii="Calibri" w:hAnsi="Calibri" w:cs="Calibri"/>
          <w:b/>
          <w:bCs/>
          <w:sz w:val="22"/>
          <w:szCs w:val="22"/>
        </w:rPr>
      </w:pPr>
      <w:r>
        <w:rPr>
          <w:b/>
          <w:bCs/>
          <w:sz w:val="28"/>
          <w:szCs w:val="28"/>
        </w:rPr>
        <w:t>About this response</w:t>
      </w:r>
    </w:p>
    <w:p w:rsidR="00716415">
      <w:r>
        <w:t xml:space="preserve">Our response draws on our research with pupils, as well as systematic reviews of relevant evidence. </w:t>
      </w:r>
      <w:r>
        <w:t>We respond to the following areas, under the theme ‘Enrichment, Belonging and Behaviour’:</w:t>
      </w:r>
    </w:p>
    <w:p w:rsidR="00716415">
      <w:pPr>
        <w:numPr>
          <w:ilvl w:val="0"/>
          <w:numId w:val="2"/>
        </w:numPr>
      </w:pPr>
      <w:r>
        <w:t>How schools can promote belonging and positive relationships, while addressing bullying and discrimination.</w:t>
      </w:r>
    </w:p>
    <w:p w:rsidR="00716415">
      <w:pPr>
        <w:numPr>
          <w:ilvl w:val="0"/>
          <w:numId w:val="2"/>
        </w:numPr>
      </w:pPr>
      <w:r>
        <w:t>The role of the proposed Pupil Engagement Framework in enhancing pupils’ sense of belonging and enjoyment of school.</w:t>
      </w:r>
    </w:p>
    <w:p w:rsidR="00716415">
      <w:pPr>
        <w:numPr>
          <w:ilvl w:val="0"/>
          <w:numId w:val="2"/>
        </w:numPr>
      </w:pPr>
      <w:r>
        <w:t>How enrichment and pupil engagement should be measured and incorporated into school accountability frameworks.</w:t>
      </w:r>
    </w:p>
    <w:p w:rsidR="00716415">
      <w:pPr>
        <w:spacing w:after="160" w:line="240" w:lineRule="auto"/>
      </w:pPr>
      <w:r>
        <w:rPr>
          <w:rFonts w:ascii="Times New Roman" w:eastAsia="Times New Roman" w:hAnsi="Times New Roman" w:cs="Times New Roman"/>
          <w:sz w:val="14"/>
          <w:szCs w:val="14"/>
        </w:rPr>
        <w:br/>
      </w:r>
      <w:r>
        <w:t>We acknowledge that the Education Committee is examining SEND reform separately. Where we have shared evidence related to pupils with SEND, we have done so to highlight how the White Paper’s proposals relating to belonging and the Pupil Engagement Framework can work equitably for the diverse range of pupils attending schools in England.</w:t>
      </w:r>
    </w:p>
    <w:p w:rsidR="00716415">
      <w:pPr>
        <w:pStyle w:val="Heading3"/>
        <w:keepNext w:val="0"/>
        <w:keepLines w:val="0"/>
        <w:spacing w:before="280"/>
        <w:rPr>
          <w:b/>
          <w:bCs/>
          <w:color w:val="000000"/>
          <w:sz w:val="26"/>
          <w:szCs w:val="26"/>
        </w:rPr>
      </w:pPr>
      <w:bookmarkStart w:id="7" w:name="_evr1yw887wxl" w:colFirst="0" w:colLast="0"/>
      <w:bookmarkEnd w:id="7"/>
      <w:r>
        <w:rPr>
          <w:b/>
          <w:bCs/>
          <w:color w:val="000000"/>
          <w:sz w:val="26"/>
          <w:szCs w:val="26"/>
        </w:rPr>
        <w:t>Summary</w:t>
      </w:r>
    </w:p>
    <w:p w:rsidR="00716415">
      <w:r>
        <w:t>Schools play a fundamental role in supporting positive relationships, promoting a sense of belonging, and ensuring that pupils feel safe from bullying and discrimination. To ensure this role is met, the Government must recognise:</w:t>
      </w:r>
    </w:p>
    <w:p w:rsidR="00716415">
      <w:pPr>
        <w:numPr>
          <w:ilvl w:val="0"/>
          <w:numId w:val="4"/>
        </w:numPr>
      </w:pPr>
      <w:r>
        <w:t>that individual differences</w:t>
      </w:r>
      <w:r>
        <w:t xml:space="preserve"> influence pupils’ experiences of belonging, relationships, bullying and discrimination;</w:t>
      </w:r>
    </w:p>
    <w:p w:rsidR="00716415">
      <w:pPr>
        <w:numPr>
          <w:ilvl w:val="0"/>
          <w:numId w:val="4"/>
        </w:numPr>
      </w:pPr>
      <w:r>
        <w:t>the need for a youth-led definition of belonging grounded in pupils' experiences;</w:t>
      </w:r>
    </w:p>
    <w:p w:rsidR="00716415">
      <w:pPr>
        <w:numPr>
          <w:ilvl w:val="0"/>
          <w:numId w:val="4"/>
        </w:numPr>
      </w:pPr>
      <w:r>
        <w:t>t</w:t>
      </w:r>
      <w:r>
        <w:t>he need for multidimensional, accessible, and well-validated measures within the Pupil Engagement Framework;</w:t>
      </w:r>
    </w:p>
    <w:p w:rsidR="00716415">
      <w:pPr>
        <w:numPr>
          <w:ilvl w:val="0"/>
          <w:numId w:val="4"/>
        </w:numPr>
      </w:pPr>
      <w:r>
        <w:t>that measures of belonging must consider pupils' experiences of support, not just their availability;</w:t>
      </w:r>
    </w:p>
    <w:p w:rsidR="00716415">
      <w:pPr>
        <w:numPr>
          <w:ilvl w:val="0"/>
          <w:numId w:val="4"/>
        </w:numPr>
        <w:spacing w:after="160" w:line="240" w:lineRule="auto"/>
      </w:pPr>
      <w:r>
        <w:t>the importance of combining whole-school approaches with targeted support.</w:t>
      </w:r>
    </w:p>
    <w:p w:rsidR="00716415" w:rsidP="00FA7D12">
      <w:pPr>
        <w:pStyle w:val="Heading3"/>
        <w:keepNext w:val="0"/>
        <w:keepLines w:val="0"/>
        <w:spacing w:before="280"/>
        <w:rPr>
          <w:b/>
          <w:bCs/>
          <w:color w:val="262626"/>
        </w:rPr>
      </w:pPr>
      <w:bookmarkStart w:id="8" w:name="_ol73e931sfis" w:colFirst="0" w:colLast="0"/>
      <w:bookmarkStart w:id="9" w:name="_d1lkgs9n7xgt" w:colFirst="0" w:colLast="0"/>
      <w:bookmarkEnd w:id="8"/>
      <w:bookmarkEnd w:id="9"/>
      <w:r>
        <w:rPr>
          <w:b/>
          <w:bCs/>
          <w:color w:val="262626"/>
        </w:rPr>
        <w:t>How schools can promote belonging and positive relationships, while addressing bullying and discrimination?</w:t>
      </w:r>
    </w:p>
    <w:p w:rsidR="00716415">
      <w:pPr>
        <w:pStyle w:val="Heading3"/>
        <w:keepNext w:val="0"/>
        <w:keepLines w:val="0"/>
        <w:spacing w:before="280"/>
        <w:rPr>
          <w:b/>
          <w:bCs/>
          <w:color w:val="000000"/>
          <w:sz w:val="26"/>
          <w:szCs w:val="26"/>
        </w:rPr>
      </w:pPr>
      <w:bookmarkStart w:id="10" w:name="_31k4mda685zx" w:colFirst="0" w:colLast="0"/>
      <w:bookmarkEnd w:id="10"/>
      <w:r>
        <w:rPr>
          <w:b/>
          <w:bCs/>
          <w:color w:val="000000"/>
          <w:sz w:val="26"/>
          <w:szCs w:val="26"/>
        </w:rPr>
        <w:t>Positive relationships as a pillar of belonging:</w:t>
      </w:r>
    </w:p>
    <w:p w:rsidR="00716415">
      <w:r>
        <w:t xml:space="preserve">A large body of evidence suggests that positive relationships with peers and school staff are vitally important to pupils’ sense of belonging. Our research highlights 1) the importance of understanding and supporting these relationships across different groups of pupils, and 2) how experiences of bullying/ harassment may challenge positive relationships and impact on a sense of belonging in school. </w:t>
      </w:r>
    </w:p>
    <w:p w:rsidR="00716415">
      <w:pPr>
        <w:pStyle w:val="Heading4"/>
      </w:pPr>
      <w:bookmarkStart w:id="11" w:name="_ft45i8qgf7z4" w:colFirst="0" w:colLast="0"/>
      <w:bookmarkEnd w:id="11"/>
      <w:r>
        <w:t>Teacher-Pupil Relationships</w:t>
      </w:r>
      <w:r>
        <w:br/>
      </w:r>
    </w:p>
    <w:p w:rsidR="00716415">
      <w:pPr>
        <w:numPr>
          <w:ilvl w:val="0"/>
          <w:numId w:val="8"/>
        </w:numPr>
      </w:pPr>
      <w:r>
        <w:t>Teacher relationships can be a barrier for pupils experiencing emotionally based school avoidance (Fox &amp; Noret, 2024).</w:t>
      </w:r>
    </w:p>
    <w:p w:rsidR="00716415">
      <w:pPr>
        <w:numPr>
          <w:ilvl w:val="0"/>
          <w:numId w:val="8"/>
        </w:numPr>
      </w:pPr>
      <w:r>
        <w:t xml:space="preserve">Supportive and positive teacher-student relationships increase enjoyment and engagement with school for autistic girls (Gordon et al., 2026). </w:t>
      </w:r>
    </w:p>
    <w:p w:rsidR="00716415">
      <w:pPr>
        <w:numPr>
          <w:ilvl w:val="0"/>
          <w:numId w:val="8"/>
        </w:numPr>
      </w:pPr>
      <w:r>
        <w:t>Positive teacher relationships support successful transitions for autistic pupils across age ranges, with implications for belonging (Fox et al., 2023).</w:t>
      </w:r>
    </w:p>
    <w:p w:rsidR="00716415">
      <w:pPr>
        <w:numPr>
          <w:ilvl w:val="0"/>
          <w:numId w:val="8"/>
        </w:numPr>
        <w:spacing w:after="160" w:line="240" w:lineRule="auto"/>
      </w:pPr>
      <w:r>
        <w:t>Teacher-pupil relationships are dynamic and influenced by teacher and pupil</w:t>
      </w:r>
      <w:r>
        <w:t xml:space="preserve"> characteristics, the classroom and whole school environment, and everyday interactions (Spilt et al., 2022). </w:t>
      </w:r>
    </w:p>
    <w:p w:rsidR="00716415">
      <w:pPr>
        <w:pStyle w:val="Heading4"/>
        <w:spacing w:after="160"/>
      </w:pPr>
      <w:bookmarkStart w:id="12" w:name="_20qdmr256xxj" w:colFirst="0" w:colLast="0"/>
      <w:bookmarkEnd w:id="12"/>
      <w:r>
        <w:t>Peer relationships</w:t>
      </w:r>
    </w:p>
    <w:p w:rsidR="00716415">
      <w:pPr>
        <w:numPr>
          <w:ilvl w:val="0"/>
          <w:numId w:val="8"/>
        </w:numPr>
      </w:pPr>
      <w:r>
        <w:t xml:space="preserve">Experiences of peer relationships differ for autistic primary school pupils by school setting and the support they receive. Some pupils in mainstream </w:t>
      </w:r>
      <w:r>
        <w:t>schools</w:t>
      </w:r>
      <w:r>
        <w:t xml:space="preserve"> report feeling isolated from peers while receiving adult support during lessons, which impacts their sense of belonging and ability to build successful friendships (Fox et al., 2024).</w:t>
      </w:r>
    </w:p>
    <w:p w:rsidR="00716415">
      <w:pPr>
        <w:numPr>
          <w:ilvl w:val="0"/>
          <w:numId w:val="8"/>
        </w:numPr>
      </w:pPr>
      <w:r>
        <w:t>Undiagnosed autistic girls are at higher risk of peer difficulties resulting in increased difficulties with peers and teachers, and providing safe spaces for relationships to form was seen to foster a sense of belonging for this group (White &amp; Fox, 2026).</w:t>
      </w:r>
    </w:p>
    <w:p w:rsidR="00716415">
      <w:pPr>
        <w:numPr>
          <w:ilvl w:val="0"/>
          <w:numId w:val="8"/>
        </w:numPr>
        <w:spacing w:line="240" w:lineRule="auto"/>
      </w:pPr>
      <w:r>
        <w:t xml:space="preserve">Not all experiences of bullying are the same, and the heterogeneity of experiences of bullying can impact on school safety and belonging differently. Young people who are chronically bullied (frequently bullied) in school report feeling scared and isolated in school, to the point of becoming persistently absent (Noret et al., 2024). </w:t>
      </w:r>
    </w:p>
    <w:p w:rsidR="00716415">
      <w:pPr>
        <w:numPr>
          <w:ilvl w:val="0"/>
          <w:numId w:val="8"/>
        </w:numPr>
        <w:spacing w:line="240" w:lineRule="auto"/>
      </w:pPr>
      <w:r>
        <w:t xml:space="preserve">While a sense of having social support available should protect young people from the negative effects of bullying, the evidence is somewhat inconsistent. Suggesting that at times support from teachers and parents can buffer the negative impact of bullying, whereas at other times it can play no role at all (Noret et al., 2018; 2020).  </w:t>
      </w:r>
    </w:p>
    <w:p w:rsidR="00716415">
      <w:pPr>
        <w:numPr>
          <w:ilvl w:val="0"/>
          <w:numId w:val="8"/>
        </w:numPr>
        <w:spacing w:line="240" w:lineRule="auto"/>
      </w:pPr>
      <w:r>
        <w:t>Social support from friends can be both helpful and harmful. Perceived social support</w:t>
      </w:r>
      <w:r>
        <w:t xml:space="preserve"> from friends can buffer the impact of bullying on poor mental health for both autistic and neurotypical youth (Deniz et al., 2026). Evidence also suggests that the relationship between being bullied and poor mental health is stronger in young people with a high degree of social support from peers/ friends (Noret et al., 2018; 2020). Such evidence suggests that the role of peers is not always straightforward, may differ by age, and be </w:t>
      </w:r>
      <w:r>
        <w:t>context-specific</w:t>
      </w:r>
      <w:r>
        <w:t xml:space="preserve">.  </w:t>
      </w:r>
    </w:p>
    <w:p w:rsidR="00716415">
      <w:pPr>
        <w:numPr>
          <w:ilvl w:val="0"/>
          <w:numId w:val="8"/>
        </w:numPr>
      </w:pPr>
      <w:r>
        <w:t>Promoting belonging and positive relationships, whilst also addressing bullying and discrimination, is a key feature of the Relationships and Sex Education (RSE) curriculum. This curriculum can support pupils in understanding and navigating relationships with peers that may affect their sense of belonging. Young people prefer to be taught about complex relationship issues through interactive, workshop-style activities with experts in the field, rather than standard classroom-based teaching (Noret et al., 20</w:t>
      </w:r>
      <w:r>
        <w:t xml:space="preserve">25). There should be greater alignment between the approaches used across schools and the relevant elements of the RSE curriculum, so that key knowledge and skills for peer relationships are consistent and provide a coherent package of education and support. </w:t>
      </w:r>
    </w:p>
    <w:p w:rsidR="00716415"/>
    <w:p w:rsidR="00716415">
      <w:pPr>
        <w:spacing w:after="160" w:line="240" w:lineRule="auto"/>
      </w:pPr>
      <w:r>
        <w:t>To promote belonging, policy should recognise the multiple factors that contribute to positive relationships and support schools in addressing breakdowns in teacher-student and peer relationships through evidence-informed, whole-school and targeted interventions.</w:t>
      </w:r>
    </w:p>
    <w:p w:rsidR="00716415"/>
    <w:p w:rsidR="00716415">
      <w:pPr>
        <w:numPr>
          <w:ilvl w:val="0"/>
          <w:numId w:val="3"/>
        </w:numPr>
        <w:rPr>
          <w:b/>
          <w:bCs/>
          <w:sz w:val="28"/>
          <w:szCs w:val="28"/>
        </w:rPr>
      </w:pPr>
      <w:r>
        <w:rPr>
          <w:b/>
          <w:bCs/>
          <w:sz w:val="28"/>
          <w:szCs w:val="28"/>
        </w:rPr>
        <w:t>The role of the proposed Pupil Engagement Framework in enhancing pupils’ sense of belonging and enjoyment of school.</w:t>
      </w:r>
    </w:p>
    <w:p w:rsidR="00716415">
      <w:pPr>
        <w:spacing w:after="160" w:line="240" w:lineRule="auto"/>
      </w:pPr>
    </w:p>
    <w:p w:rsidR="00716415">
      <w:pPr>
        <w:spacing w:after="160" w:line="240" w:lineRule="auto"/>
      </w:pPr>
      <w:r>
        <w:t>We welcome the development of the Pupil Engagement Framework, particularly its focus on belonging, safety and the quality of relationships. The inclusion of pupils' voices in its development is welcome and will be crucial to the framework’s success. Creating a framework that accurately captures student voice to support their enjoyment and sense of belonging will have clear, positive impacts on pupils</w:t>
      </w:r>
      <w:r>
        <w:t>' school experiences. However, we have some concerns around the use of a universal pupil engagement framework, which will need to be carefully developed to include the diverse perspectives of all pupils attending schools across England, if it is to be successful. We have highlighted some of our concerns below.</w:t>
      </w:r>
    </w:p>
    <w:p w:rsidR="00716415">
      <w:pPr>
        <w:pStyle w:val="Heading3"/>
        <w:keepNext w:val="0"/>
        <w:keepLines w:val="0"/>
        <w:spacing w:before="280"/>
        <w:rPr>
          <w:b/>
          <w:bCs/>
          <w:color w:val="000000"/>
          <w:sz w:val="26"/>
          <w:szCs w:val="26"/>
        </w:rPr>
      </w:pPr>
      <w:bookmarkStart w:id="13" w:name="_aluhe36mle8m" w:colFirst="0" w:colLast="0"/>
      <w:bookmarkEnd w:id="13"/>
      <w:r>
        <w:rPr>
          <w:b/>
          <w:bCs/>
          <w:color w:val="000000"/>
          <w:sz w:val="26"/>
          <w:szCs w:val="26"/>
        </w:rPr>
        <w:t>Defining belonging and the importance for measurement:</w:t>
      </w:r>
    </w:p>
    <w:p w:rsidR="00716415">
      <w:r>
        <w:t xml:space="preserve">School belonging has been described as feeling safe to be yourself in and through relationships within school (Craggs &amp; Kelly, 2018). However, this definition of belonging may not suit every pupil and may change over time. Inconsistent definitions and terminology have also made it difficult to measure belonging consistently, with implications for monitoring it in schools (Allen et al., 2022; </w:t>
      </w:r>
      <w:r>
        <w:t>Štremfel</w:t>
      </w:r>
      <w:r>
        <w:t xml:space="preserve"> et al., 2024). </w:t>
      </w:r>
      <w:r>
        <w:t>We suggest that the government takes time to co-produce a multifaceted definition of belonging and suggest the following to ensure belonging is defined clearly and, in turn, measured effectively:</w:t>
      </w:r>
      <w:r>
        <w:br/>
      </w:r>
    </w:p>
    <w:p w:rsidR="00716415">
      <w:pPr>
        <w:numPr>
          <w:ilvl w:val="0"/>
          <w:numId w:val="1"/>
        </w:numPr>
      </w:pPr>
      <w:r>
        <w:t>There is a need to develop a definition of inclusion and belonging with pupils to ensure their perspectives are foregrounded in that definition. This definition should distinguish between:</w:t>
      </w:r>
    </w:p>
    <w:p w:rsidR="00716415">
      <w:pPr>
        <w:numPr>
          <w:ilvl w:val="1"/>
          <w:numId w:val="1"/>
        </w:numPr>
      </w:pPr>
      <w:r>
        <w:rPr>
          <w:b/>
          <w:bCs/>
        </w:rPr>
        <w:t>formal participation</w:t>
      </w:r>
      <w:r>
        <w:t>, such as classroom placement and attendance; and</w:t>
      </w:r>
    </w:p>
    <w:p w:rsidR="00716415">
      <w:pPr>
        <w:numPr>
          <w:ilvl w:val="1"/>
          <w:numId w:val="1"/>
        </w:numPr>
      </w:pPr>
      <w:r>
        <w:rPr>
          <w:b/>
          <w:bCs/>
        </w:rPr>
        <w:t>substantive participation</w:t>
      </w:r>
      <w:r>
        <w:t xml:space="preserve">, such as meaningful engagement and relationships. </w:t>
      </w:r>
    </w:p>
    <w:p w:rsidR="00716415">
      <w:pPr>
        <w:numPr>
          <w:ilvl w:val="1"/>
          <w:numId w:val="1"/>
        </w:numPr>
      </w:pPr>
      <w:r>
        <w:t>This distinction is important because pupils may attend or be physically included without feeling that they belong (Qvortrup &amp; Qvortrup, 2018).</w:t>
      </w:r>
    </w:p>
    <w:p w:rsidR="00716415">
      <w:pPr>
        <w:numPr>
          <w:ilvl w:val="0"/>
          <w:numId w:val="6"/>
        </w:numPr>
      </w:pPr>
      <w:r>
        <w:t xml:space="preserve">The definition must reflect both individual experiences and the wider school context. It should be </w:t>
      </w:r>
      <w:r>
        <w:rPr>
          <w:b/>
          <w:bCs/>
        </w:rPr>
        <w:t>co-produced inclusively with a diverse range of pupils</w:t>
      </w:r>
      <w:r>
        <w:t xml:space="preserve"> so that it is relevant across England’s schools. Our research has co-produced tools to support the inclusion of diverse voices in research, and approaches like this should be integrated into the development of a definition </w:t>
      </w:r>
      <w:r>
        <w:rPr>
          <w:b/>
          <w:bCs/>
        </w:rPr>
        <w:t>used consistently</w:t>
      </w:r>
      <w:r>
        <w:t xml:space="preserve"> across the country (Asbury et al., 2026). </w:t>
      </w:r>
    </w:p>
    <w:p w:rsidR="00716415">
      <w:pPr>
        <w:numPr>
          <w:ilvl w:val="0"/>
          <w:numId w:val="7"/>
        </w:numPr>
      </w:pPr>
      <w:r>
        <w:t>Evidence clearly shows that a sense of school belonging varies across developmental stages, and that definitions differ for subgroups of pupils who may be at risk of low school belonging. For example, pupils</w:t>
      </w:r>
      <w:r>
        <w:t xml:space="preserve"> with SEND have been shown to have different definitions of what it means to belong in mainstream school (Herbert et al., 2026). </w:t>
      </w:r>
    </w:p>
    <w:p w:rsidR="00716415">
      <w:pPr>
        <w:numPr>
          <w:ilvl w:val="1"/>
          <w:numId w:val="7"/>
        </w:numPr>
      </w:pPr>
      <w:r>
        <w:t xml:space="preserve">Definitions must be developmentally appropriate and flexible enough to include subgroups whose educational experiences may differ, which, in turn, will affect their definition of belonging, such as those with EBSA or those who are NEET. </w:t>
      </w:r>
      <w:r>
        <w:br/>
      </w:r>
    </w:p>
    <w:p w:rsidR="00716415">
      <w:pPr>
        <w:pStyle w:val="Heading2"/>
        <w:keepNext w:val="0"/>
        <w:keepLines w:val="0"/>
        <w:numPr>
          <w:ilvl w:val="0"/>
          <w:numId w:val="3"/>
        </w:numPr>
        <w:spacing w:before="0" w:after="80"/>
        <w:rPr>
          <w:b/>
          <w:bCs/>
          <w:sz w:val="28"/>
          <w:szCs w:val="28"/>
        </w:rPr>
      </w:pPr>
      <w:bookmarkStart w:id="14" w:name="_w4027jx00gn7" w:colFirst="0" w:colLast="0"/>
      <w:bookmarkEnd w:id="14"/>
      <w:r>
        <w:rPr>
          <w:b/>
          <w:bCs/>
          <w:sz w:val="28"/>
          <w:szCs w:val="28"/>
        </w:rPr>
        <w:t>How enrichment and pupil engagement should be measured and incorporated into school accountability frameworks.</w:t>
      </w:r>
    </w:p>
    <w:p w:rsidR="00716415">
      <w:pPr>
        <w:spacing w:after="160" w:line="240" w:lineRule="auto"/>
      </w:pPr>
      <w:r>
        <w:t>School is not a homogenous experience, and measures of belonging will need to reflect the varied experiences of pupils within mainstream school systems (</w:t>
      </w:r>
      <w:r>
        <w:t>Štremfel</w:t>
      </w:r>
      <w:r>
        <w:t xml:space="preserve"> </w:t>
      </w:r>
      <w:r>
        <w:rPr>
          <w:i/>
          <w:iCs/>
        </w:rPr>
        <w:t>et al.</w:t>
      </w:r>
      <w:r>
        <w:t xml:space="preserve">, 2024). </w:t>
      </w:r>
      <w:r>
        <w:t xml:space="preserve">Measures of pupil engagement and enrichment can help schools evaluate their work </w:t>
      </w:r>
      <w:r>
        <w:t>over time</w:t>
      </w:r>
      <w:r>
        <w:t xml:space="preserve"> and inform future policy; monitoring and measuring belonging in a meaningful way is therefore important for understanding the success of the proposed changes outlined in the White Paper. To do this effectively, measures will need to be inclusive, well-validated and suitable for repeated use. Accurately defining and measuring these areas will enable a clearer understanding of how the universal offer is working for all </w:t>
      </w:r>
      <w:r>
        <w:t>pupils.</w:t>
      </w:r>
    </w:p>
    <w:p w:rsidR="00716415">
      <w:pPr>
        <w:spacing w:after="160" w:line="240" w:lineRule="auto"/>
      </w:pPr>
      <w:r>
        <w:t>Below, we outline our suggestions for developing and implementing acceptable measures which can feed into school accountability frameworks.</w:t>
      </w:r>
      <w:r>
        <w:rPr>
          <w:b/>
          <w:bCs/>
          <w:sz w:val="26"/>
          <w:szCs w:val="26"/>
        </w:rPr>
        <w:t xml:space="preserve"> </w:t>
      </w:r>
      <w:r>
        <w:t>We suggest that measures are designed with different learners in mind from the very beginning by:</w:t>
      </w:r>
    </w:p>
    <w:p w:rsidR="00716415">
      <w:pPr>
        <w:numPr>
          <w:ilvl w:val="0"/>
          <w:numId w:val="5"/>
        </w:numPr>
      </w:pPr>
      <w:r>
        <w:t xml:space="preserve">Consulting pupils to co-design clear, flexible, and inclusive measures of belonging is essential, as our research shows that we cannot rely solely on adult reports to accurately capture this (Fox &amp; Asbury, 2024). </w:t>
      </w:r>
    </w:p>
    <w:p w:rsidR="00716415">
      <w:pPr>
        <w:numPr>
          <w:ilvl w:val="0"/>
          <w:numId w:val="5"/>
        </w:numPr>
      </w:pPr>
      <w:r>
        <w:t xml:space="preserve">Considering age and developmental stage in measure development. Social-conventional reasoning develops through interactions with particular </w:t>
      </w:r>
      <w:r>
        <w:rPr>
          <w:b/>
          <w:bCs/>
        </w:rPr>
        <w:t>social and cultural contexts</w:t>
      </w:r>
      <w:r>
        <w:t xml:space="preserve"> and may change over time. A measure developed for one group may therefore not accurately capture another group’s experiences (</w:t>
      </w:r>
      <w:r>
        <w:t>Turiel</w:t>
      </w:r>
      <w:r>
        <w:t>, 2008). This must be reflected in the measures developed.</w:t>
      </w:r>
    </w:p>
    <w:p w:rsidR="00716415">
      <w:pPr>
        <w:numPr>
          <w:ilvl w:val="0"/>
          <w:numId w:val="5"/>
        </w:numPr>
      </w:pPr>
      <w:r>
        <w:t xml:space="preserve">Some pupils may not be able to access conventional questionnaires. This may include pupils with learning disabilities and pupils who struggle to attend school. Their understanding and experience of belonging may also differ from that assumed within standard measures. </w:t>
      </w:r>
    </w:p>
    <w:p w:rsidR="00716415">
      <w:pPr>
        <w:numPr>
          <w:ilvl w:val="1"/>
          <w:numId w:val="5"/>
        </w:numPr>
      </w:pPr>
      <w:r>
        <w:t>Measures for specific subgroups will be needed to accurately measure these learners' experiences.</w:t>
      </w:r>
    </w:p>
    <w:p w:rsidR="00716415">
      <w:pPr>
        <w:numPr>
          <w:ilvl w:val="0"/>
          <w:numId w:val="5"/>
        </w:numPr>
      </w:pPr>
      <w:r>
        <w:t xml:space="preserve">Evidence-informed tools developed through our research could support a wider range of pupils to share their day-to-day experiences through the Pupil Engagement Framework, rather than capturing only those able to participate through conventional methods. These should be co-designed with pupils and stakeholders, and could be hosted through </w:t>
      </w:r>
      <w:r>
        <w:t>ADLib</w:t>
      </w:r>
      <w:r>
        <w:t xml:space="preserve"> (Asbury et al., 2026) and shared via the Government’s planned digital resource platform.</w:t>
      </w:r>
    </w:p>
    <w:p w:rsidR="00716415">
      <w:pPr>
        <w:numPr>
          <w:ilvl w:val="0"/>
          <w:numId w:val="5"/>
        </w:numPr>
      </w:pPr>
      <w:r>
        <w:t>Developing consistent and validated measures will be essential for gathering high-quality data. This is in line with a report we recently contributed to, which highlights that higher-quality, better-connected data are essential if we are serious about providing prevention, earlier intervention, and better outcomes for pupils across the country (Child of the North, 2026).</w:t>
      </w:r>
    </w:p>
    <w:p w:rsidR="00716415"/>
    <w:p w:rsidR="00716415">
      <w:r>
        <w:t>These factors should be considered when deciding what the Pupil Engagement Framework measures and how pupils are enabled to respond (McKinlay et al., 2025). The Framework should recognise that belonging is influenced by relationships, safety, understanding, acceptance, agency and pupils’ experiences of the social, sensory and physical school environment.</w:t>
      </w:r>
    </w:p>
    <w:p w:rsidR="00716415"/>
    <w:p w:rsidR="00716415">
      <w:r>
        <w:t xml:space="preserve">On this, we urge the government to consider what a </w:t>
      </w:r>
      <w:r>
        <w:rPr>
          <w:b/>
          <w:bCs/>
        </w:rPr>
        <w:t>safe, respectful school culture looks like for pupils</w:t>
      </w:r>
      <w:r>
        <w:t xml:space="preserve">. This is extremely important given the recent SEND reform, which aims to </w:t>
      </w:r>
      <w:r>
        <w:t>include more diverse learners in mainstream education. We suggest that consideration of how safety is defined and measured will be imperative for successful monitoring and support of school belonging for all pupils. For example, recent research shows that feeling socially included is related to a sense of belonging among autistic pupils, but that they feel able to engage socially only when they feel safe at school</w:t>
      </w:r>
      <w:r>
        <w:t xml:space="preserve"> (Herbert et al., 2026). For these pupils, feeling safe meant being able to express their autistic identities and to feel supported and understood by their teachers. This highlights the complexity and intersectionality of belonging and the need for a framework to measure multiple dimensions of what it means to belong at school. </w:t>
      </w:r>
    </w:p>
    <w:p w:rsidR="00716415">
      <w:pPr>
        <w:spacing w:after="160" w:line="240" w:lineRule="auto"/>
        <w:ind w:left="720"/>
        <w:rPr>
          <w:sz w:val="24"/>
          <w:szCs w:val="24"/>
        </w:rPr>
      </w:pPr>
      <w:r>
        <w:rPr>
          <w:sz w:val="24"/>
          <w:szCs w:val="24"/>
        </w:rPr>
        <w:t xml:space="preserve"> </w:t>
      </w:r>
    </w:p>
    <w:p w:rsidR="00716415">
      <w:pPr>
        <w:spacing w:after="160" w:line="240" w:lineRule="auto"/>
        <w:rPr>
          <w:sz w:val="24"/>
          <w:szCs w:val="24"/>
        </w:rPr>
      </w:pPr>
      <w:r>
        <w:rPr>
          <w:sz w:val="24"/>
          <w:szCs w:val="24"/>
        </w:rPr>
        <w:t xml:space="preserve"> </w:t>
      </w:r>
    </w:p>
    <w:p w:rsidR="00716415">
      <w:pPr>
        <w:spacing w:after="160" w:line="240" w:lineRule="auto"/>
        <w:rPr>
          <w:b/>
          <w:bCs/>
        </w:rPr>
      </w:pPr>
      <w:r>
        <w:rPr>
          <w:b/>
          <w:bCs/>
        </w:rPr>
        <w:t xml:space="preserve"> </w:t>
      </w:r>
    </w:p>
    <w:p w:rsidR="00716415">
      <w:pPr>
        <w:spacing w:after="160" w:line="240" w:lineRule="auto"/>
        <w:rPr>
          <w:b/>
          <w:bCs/>
        </w:rPr>
      </w:pPr>
      <w:r>
        <w:rPr>
          <w:b/>
          <w:bCs/>
        </w:rPr>
        <w:t xml:space="preserve"> </w:t>
      </w:r>
    </w:p>
    <w:p w:rsidR="00716415">
      <w:pPr>
        <w:spacing w:after="160" w:line="240" w:lineRule="auto"/>
        <w:rPr>
          <w:b/>
          <w:bCs/>
        </w:rPr>
      </w:pPr>
      <w:r>
        <w:rPr>
          <w:b/>
          <w:bCs/>
        </w:rPr>
        <w:t xml:space="preserve"> </w:t>
      </w:r>
    </w:p>
    <w:p w:rsidR="00716415" w:rsidRPr="00FA7D12" w:rsidP="00FA7D12">
      <w:pPr>
        <w:spacing w:after="160" w:line="240" w:lineRule="auto"/>
      </w:pPr>
      <w:r>
        <w:rPr>
          <w:b/>
          <w:bCs/>
        </w:rPr>
        <w:t xml:space="preserve">References </w:t>
      </w:r>
    </w:p>
    <w:p w:rsidR="00716415">
      <w:pPr>
        <w:widowControl w:val="0"/>
        <w:ind w:left="992" w:hanging="567"/>
      </w:pPr>
      <w:r>
        <w:t xml:space="preserve">Allen, K.-A., Jamshidi, N., Berger, E., Reupert, A., </w:t>
      </w:r>
      <w:r>
        <w:t>Wurf</w:t>
      </w:r>
      <w:r>
        <w:t xml:space="preserve">, G., &amp; May, F. (2022). Impact of school-based interventions for building school belonging in adolescence: A systematic review. </w:t>
      </w:r>
      <w:r>
        <w:rPr>
          <w:i/>
          <w:iCs/>
        </w:rPr>
        <w:t>Educational Psychology Review, 34</w:t>
      </w:r>
      <w:r>
        <w:t xml:space="preserve">(1), 229–257. </w:t>
      </w:r>
      <w:r>
        <w:fldChar w:fldCharType="begin"/>
      </w:r>
      <w:r>
        <w:instrText xml:space="preserve"> HYPERLINK "https://doi.org/10.1007/s10648-021-09621-w" </w:instrText>
      </w:r>
      <w:r>
        <w:fldChar w:fldCharType="separate"/>
      </w:r>
      <w:r>
        <w:rPr>
          <w:color w:val="1155CC"/>
          <w:u w:val="single"/>
        </w:rPr>
        <w:t>https://doi.org/10.1007/s10648-021-09621-w</w:t>
      </w:r>
      <w:r>
        <w:fldChar w:fldCharType="end"/>
      </w:r>
      <w:r>
        <w:t xml:space="preserve"> </w:t>
      </w:r>
    </w:p>
    <w:p w:rsidR="00716415">
      <w:pPr>
        <w:widowControl w:val="0"/>
        <w:ind w:left="992" w:hanging="567"/>
        <w:rPr>
          <w:color w:val="1155CC"/>
          <w:u w:val="single"/>
        </w:rPr>
      </w:pPr>
      <w:r>
        <w:t xml:space="preserve">Asbury, K., Doyle, K., Fox, L. (2026). </w:t>
      </w:r>
      <w:r>
        <w:t>ADLib</w:t>
      </w:r>
      <w:r>
        <w:t>. Accessing Disability Library.</w:t>
      </w:r>
      <w:r>
        <w:fldChar w:fldCharType="begin"/>
      </w:r>
      <w:r>
        <w:instrText xml:space="preserve"> HYPERLINK "https://sites.google.com/york.ac.uk/adlib/" </w:instrText>
      </w:r>
      <w:r>
        <w:fldChar w:fldCharType="separate"/>
      </w:r>
      <w:r>
        <w:t xml:space="preserve"> </w:t>
      </w:r>
      <w:r>
        <w:fldChar w:fldCharType="end"/>
      </w:r>
      <w:r>
        <w:fldChar w:fldCharType="begin"/>
      </w:r>
      <w:r>
        <w:instrText xml:space="preserve"> HYPERLINK "https://sites.google.com/york.ac.uk/adlib/" </w:instrText>
      </w:r>
      <w:r>
        <w:fldChar w:fldCharType="separate"/>
      </w:r>
      <w:r>
        <w:rPr>
          <w:color w:val="1155CC"/>
          <w:u w:val="single"/>
        </w:rPr>
        <w:t>https://sites.google.com/york.ac.uk/adlib/</w:t>
      </w:r>
      <w:r>
        <w:fldChar w:fldCharType="end"/>
      </w:r>
    </w:p>
    <w:p w:rsidR="00716415">
      <w:pPr>
        <w:widowControl w:val="0"/>
        <w:ind w:left="992" w:hanging="567"/>
      </w:pPr>
      <w:r>
        <w:t xml:space="preserve">Child of the North. (2026). A country that works for all children and young people. Connecting data: Intelligent and informed delivery to support every child to succeed. </w:t>
      </w:r>
      <w:r>
        <w:fldChar w:fldCharType="begin"/>
      </w:r>
      <w:r>
        <w:instrText xml:space="preserve"> HYPERLINK "https://www.n8research.org.uk/view/16643/CotN_Connecting-Data-Report-2026.pdf" </w:instrText>
      </w:r>
      <w:r>
        <w:fldChar w:fldCharType="separate"/>
      </w:r>
      <w:r>
        <w:rPr>
          <w:color w:val="1155CC"/>
          <w:u w:val="single"/>
        </w:rPr>
        <w:t>https://www.n8research.org.uk/view/16643/CotN_Connecting-Data-Report-2026.pdf</w:t>
      </w:r>
      <w:r>
        <w:fldChar w:fldCharType="end"/>
      </w:r>
      <w:r>
        <w:t xml:space="preserve"> </w:t>
      </w:r>
    </w:p>
    <w:p w:rsidR="00716415">
      <w:pPr>
        <w:widowControl w:val="0"/>
        <w:ind w:left="992" w:hanging="567"/>
      </w:pPr>
      <w:r>
        <w:t xml:space="preserve">Craggs, H., &amp; Kelly, C. (2018). Adolescents’ experiences of school belonging: A qualitative meta-synthesis. </w:t>
      </w:r>
      <w:r>
        <w:rPr>
          <w:i/>
          <w:iCs/>
        </w:rPr>
        <w:t>Journal of Youth Studies, 21</w:t>
      </w:r>
      <w:r>
        <w:t>(10), 1411–1425.</w:t>
      </w:r>
    </w:p>
    <w:p w:rsidR="00716415">
      <w:pPr>
        <w:widowControl w:val="0"/>
        <w:ind w:left="992" w:hanging="567"/>
      </w:pPr>
      <w:r>
        <w:t xml:space="preserve">Deniz, E., Noret, N., Chow, A., Baldwin, J., &amp; </w:t>
      </w:r>
      <w:r>
        <w:t>Toseeb</w:t>
      </w:r>
      <w:r>
        <w:t xml:space="preserve">, U. Bullying Trajectories from Childhood to Adolescence: The Relationship with Mental Health Outcomes for Autistic and Neurotypical Youth. </w:t>
      </w:r>
      <w:r>
        <w:rPr>
          <w:i/>
          <w:iCs/>
        </w:rPr>
        <w:t>Autism Research.</w:t>
      </w:r>
      <w:r>
        <w:fldChar w:fldCharType="begin"/>
      </w:r>
      <w:r>
        <w:instrText xml:space="preserve"> HYPERLINK "https://doi.org/10.1002/aur.70227" </w:instrText>
      </w:r>
      <w:r>
        <w:fldChar w:fldCharType="separate"/>
      </w:r>
      <w:r>
        <w:rPr>
          <w:i/>
          <w:iCs/>
        </w:rPr>
        <w:t xml:space="preserve"> </w:t>
      </w:r>
      <w:r>
        <w:fldChar w:fldCharType="end"/>
      </w:r>
      <w:r>
        <w:fldChar w:fldCharType="begin"/>
      </w:r>
      <w:r>
        <w:instrText xml:space="preserve"> HYPERLINK "https://doi.org/10.1002/aur.70227" </w:instrText>
      </w:r>
      <w:r>
        <w:fldChar w:fldCharType="separate"/>
      </w:r>
      <w:r>
        <w:rPr>
          <w:color w:val="1155CC"/>
          <w:u w:val="single"/>
        </w:rPr>
        <w:t>https://doi.org/10.1002/aur.70227</w:t>
      </w:r>
      <w:r>
        <w:fldChar w:fldCharType="end"/>
      </w:r>
      <w:r>
        <w:t xml:space="preserve"> </w:t>
      </w:r>
    </w:p>
    <w:p w:rsidR="00716415">
      <w:pPr>
        <w:widowControl w:val="0"/>
        <w:ind w:left="992" w:hanging="567"/>
      </w:pPr>
      <w:r>
        <w:t xml:space="preserve">Fox, L., &amp; Asbury, K. (2024). “I need them for my autism, but I don’t know why”: Exploring the friendship experiences of autistic children in UK primary schools. </w:t>
      </w:r>
      <w:r>
        <w:rPr>
          <w:i/>
          <w:iCs/>
        </w:rPr>
        <w:t>Autism &amp; Developmental Language Impairments</w:t>
      </w:r>
      <w:r>
        <w:t>, 9, 23969415241275934.</w:t>
      </w:r>
    </w:p>
    <w:p w:rsidR="00716415">
      <w:pPr>
        <w:widowControl w:val="0"/>
        <w:ind w:left="992" w:hanging="567"/>
      </w:pPr>
      <w:r>
        <w:t xml:space="preserve">Fox, L., Asbury, K., Code, A., &amp; </w:t>
      </w:r>
      <w:r>
        <w:t>Toseeb</w:t>
      </w:r>
      <w:r>
        <w:t xml:space="preserve">, U. (2023). Parents’ perceptions of the impact of COVID-19 and school transition on autistic children's friendships. Autism: The </w:t>
      </w:r>
      <w:r>
        <w:rPr>
          <w:i/>
          <w:iCs/>
        </w:rPr>
        <w:t>International Journal of Research and Practice, 27</w:t>
      </w:r>
      <w:r>
        <w:t xml:space="preserve">(4), 983–996. </w:t>
      </w:r>
      <w:r>
        <w:fldChar w:fldCharType="begin"/>
      </w:r>
      <w:r>
        <w:instrText xml:space="preserve"> HYPERLINK "https://doi.org/10.1177/13623613221123734" </w:instrText>
      </w:r>
      <w:r>
        <w:fldChar w:fldCharType="separate"/>
      </w:r>
      <w:r>
        <w:rPr>
          <w:color w:val="1155CC"/>
          <w:u w:val="single"/>
        </w:rPr>
        <w:t>https://doi.org/10.1177/13623613221123734</w:t>
      </w:r>
      <w:r>
        <w:fldChar w:fldCharType="end"/>
      </w:r>
      <w:r>
        <w:t xml:space="preserve"> </w:t>
      </w:r>
    </w:p>
    <w:p w:rsidR="00716415">
      <w:pPr>
        <w:widowControl w:val="0"/>
        <w:ind w:left="992" w:hanging="567"/>
      </w:pPr>
      <w:r>
        <w:t xml:space="preserve">Fox, L., &amp; Noret, N. F. (2024). Why students hide: Hiding in York schools. </w:t>
      </w:r>
      <w:r>
        <w:fldChar w:fldCharType="begin"/>
      </w:r>
      <w:r>
        <w:instrText xml:space="preserve"> HYPERLINK "https://eprints.whiterose.ac.uk/id/eprint/217708/1/Hiding_in_School_Brief_Report_-_Schools_Final.pdf" </w:instrText>
      </w:r>
      <w:r>
        <w:fldChar w:fldCharType="separate"/>
      </w:r>
      <w:r>
        <w:rPr>
          <w:color w:val="1155CC"/>
          <w:u w:val="single"/>
        </w:rPr>
        <w:t>https://eprints.whiterose.ac.uk/id/eprint/217708/1/Hiding_in_School_Brief_Report_-_Schools_Final.pdf</w:t>
      </w:r>
      <w:r>
        <w:fldChar w:fldCharType="end"/>
      </w:r>
      <w:r>
        <w:t xml:space="preserve"> </w:t>
      </w:r>
    </w:p>
    <w:p w:rsidR="00716415">
      <w:pPr>
        <w:widowControl w:val="0"/>
        <w:ind w:left="992" w:hanging="567"/>
      </w:pPr>
      <w:r>
        <w:t xml:space="preserve">Fox, L., Williams, R., &amp; Asbury, K. (2024). Experiences of friendships among autistic children in UK schools: A qualitative meta-synthesis. </w:t>
      </w:r>
      <w:r>
        <w:rPr>
          <w:i/>
          <w:iCs/>
        </w:rPr>
        <w:t>Neurodiversity</w:t>
      </w:r>
      <w:r>
        <w:t xml:space="preserve"> (Thousand Oaks (Ventura County, Calif.)), 2, 27546330241272250. https://doi.org/10.1177/27546330241272250</w:t>
      </w:r>
    </w:p>
    <w:p w:rsidR="00716415">
      <w:pPr>
        <w:widowControl w:val="0"/>
        <w:ind w:left="992" w:hanging="567"/>
      </w:pPr>
      <w:r>
        <w:t xml:space="preserve">Gordon, A., Fox, L., &amp; Asbury, K. (2026). What can the retrospective experiences of autistic women reveal about supporting autistic or potentially autistic girls in school? An exploration of school experiences based on diagnosis during or post-school. </w:t>
      </w:r>
      <w:r>
        <w:rPr>
          <w:i/>
          <w:iCs/>
        </w:rPr>
        <w:t>Disabilities</w:t>
      </w:r>
      <w:r>
        <w:t xml:space="preserve"> (Basel, Switzerland), 6(3), 51. https://doi.org/10.3390/disabilities6030051</w:t>
      </w:r>
    </w:p>
    <w:p w:rsidR="00716415">
      <w:pPr>
        <w:widowControl w:val="0"/>
        <w:ind w:left="992" w:hanging="567"/>
        <w:rPr>
          <w:color w:val="1155CC"/>
          <w:u w:val="single"/>
        </w:rPr>
      </w:pPr>
      <w:r>
        <w:t xml:space="preserve">Herbert, G., Hanley, M., &amp; Riby, D. M. (2026). Understanding, affirmation, and belonging: Autistic </w:t>
      </w:r>
      <w:r>
        <w:t>pupils</w:t>
      </w:r>
      <w:r>
        <w:t xml:space="preserve"> conceptualisations of inclusion in mainstream secondary schools. </w:t>
      </w:r>
      <w:r>
        <w:rPr>
          <w:i/>
          <w:iCs/>
        </w:rPr>
        <w:t>Research in Neurodiversity, 2</w:t>
      </w:r>
      <w:r>
        <w:t>(100037), 100037.</w:t>
      </w:r>
      <w:r>
        <w:fldChar w:fldCharType="begin"/>
      </w:r>
      <w:r>
        <w:instrText xml:space="preserve"> HYPERLINK "https://doi.org/10.1016/j.rin.2026.100037" </w:instrText>
      </w:r>
      <w:r>
        <w:fldChar w:fldCharType="separate"/>
      </w:r>
      <w:r>
        <w:t xml:space="preserve"> </w:t>
      </w:r>
      <w:r>
        <w:fldChar w:fldCharType="end"/>
      </w:r>
      <w:r>
        <w:fldChar w:fldCharType="begin"/>
      </w:r>
      <w:r>
        <w:instrText xml:space="preserve"> HYPERLINK "https://doi.org/10.1016/j.rin.2026.100037" </w:instrText>
      </w:r>
      <w:r>
        <w:fldChar w:fldCharType="separate"/>
      </w:r>
      <w:r>
        <w:rPr>
          <w:color w:val="1155CC"/>
          <w:u w:val="single"/>
        </w:rPr>
        <w:t>https://doi.org/10.1016/j.rin.2026.100037</w:t>
      </w:r>
      <w:r>
        <w:fldChar w:fldCharType="end"/>
      </w:r>
    </w:p>
    <w:p w:rsidR="00716415">
      <w:pPr>
        <w:widowControl w:val="0"/>
        <w:ind w:left="992" w:hanging="567"/>
        <w:rPr>
          <w:sz w:val="24"/>
          <w:szCs w:val="24"/>
        </w:rPr>
      </w:pPr>
      <w:r>
        <w:rPr>
          <w:color w:val="222222"/>
          <w:highlight w:val="white"/>
        </w:rPr>
        <w:t xml:space="preserve">McKinlay, M., Thorpe, D., Cage, E., Grainger, C., Jasper, C., &amp; Stewart, M. E. (2025). A systematic review: Which psycho-social-environmental factors do autistic students identify as being important for positive experiences in mainstream secondary </w:t>
      </w:r>
      <w:r>
        <w:rPr>
          <w:color w:val="222222"/>
          <w:highlight w:val="white"/>
        </w:rPr>
        <w:t>school?.</w:t>
      </w:r>
      <w:r>
        <w:rPr>
          <w:color w:val="222222"/>
          <w:highlight w:val="white"/>
        </w:rPr>
        <w:t xml:space="preserve"> </w:t>
      </w:r>
      <w:r>
        <w:rPr>
          <w:i/>
          <w:iCs/>
          <w:color w:val="222222"/>
          <w:highlight w:val="white"/>
        </w:rPr>
        <w:t>Autism</w:t>
      </w:r>
      <w:r>
        <w:rPr>
          <w:color w:val="222222"/>
          <w:highlight w:val="white"/>
        </w:rPr>
        <w:t xml:space="preserve">, </w:t>
      </w:r>
      <w:r>
        <w:rPr>
          <w:i/>
          <w:iCs/>
          <w:color w:val="222222"/>
          <w:highlight w:val="white"/>
        </w:rPr>
        <w:t>29</w:t>
      </w:r>
      <w:r>
        <w:rPr>
          <w:color w:val="222222"/>
          <w:highlight w:val="white"/>
        </w:rPr>
        <w:t>(3), 566-578.</w:t>
      </w:r>
    </w:p>
    <w:p w:rsidR="00716415">
      <w:pPr>
        <w:widowControl w:val="0"/>
        <w:ind w:left="992" w:hanging="567"/>
      </w:pPr>
      <w:r>
        <w:t xml:space="preserve">Noret, N., Hejazi, H., Wilson, K., Timms, P., Fuller, K., &amp; Lambe, Y. (2025). The trauma of bullying: Evaluating the impact of a trauma-informed therapeutic intervention to support children who have been chronically bullied in school. </w:t>
      </w:r>
      <w:r>
        <w:rPr>
          <w:i/>
          <w:iCs/>
        </w:rPr>
        <w:t>Journal of Psychologists and Counsellors in Schools, 35</w:t>
      </w:r>
      <w:r>
        <w:t>(2), 99-111.</w:t>
      </w:r>
      <w:r>
        <w:fldChar w:fldCharType="begin"/>
      </w:r>
      <w:r>
        <w:instrText xml:space="preserve"> HYPERLINK "https://doi.org/10.1177/20556365251321846" </w:instrText>
      </w:r>
      <w:r>
        <w:fldChar w:fldCharType="separate"/>
      </w:r>
      <w:r>
        <w:t xml:space="preserve"> </w:t>
      </w:r>
      <w:r>
        <w:fldChar w:fldCharType="end"/>
      </w:r>
      <w:r>
        <w:fldChar w:fldCharType="begin"/>
      </w:r>
      <w:r>
        <w:instrText xml:space="preserve"> HYPERLINK "https://doi.org/10.1177/20556365251321846" </w:instrText>
      </w:r>
      <w:r>
        <w:fldChar w:fldCharType="separate"/>
      </w:r>
      <w:r>
        <w:rPr>
          <w:color w:val="1155CC"/>
          <w:u w:val="single"/>
        </w:rPr>
        <w:t>https://doi.org/10.1177/20556365251321846</w:t>
      </w:r>
      <w:r>
        <w:fldChar w:fldCharType="end"/>
      </w:r>
    </w:p>
    <w:p w:rsidR="00716415">
      <w:pPr>
        <w:widowControl w:val="0"/>
        <w:ind w:left="992" w:hanging="567"/>
      </w:pPr>
      <w:r>
        <w:t xml:space="preserve">Noret, N., Hunter, S. C., &amp; Rasmussen, S. (2020). The role of perceived social support in the relationship between bullying and mental health difficulties in adolescents. </w:t>
      </w:r>
      <w:r>
        <w:rPr>
          <w:i/>
          <w:iCs/>
        </w:rPr>
        <w:t>School Mental Health,12,</w:t>
      </w:r>
      <w:r>
        <w:t xml:space="preserve"> 156-168</w:t>
      </w:r>
      <w:r>
        <w:rPr>
          <w:i/>
          <w:iCs/>
        </w:rPr>
        <w:t>.</w:t>
      </w:r>
      <w:r>
        <w:fldChar w:fldCharType="begin"/>
      </w:r>
      <w:r>
        <w:instrText xml:space="preserve"> HYPERLINK "about:blank" </w:instrText>
      </w:r>
      <w:r>
        <w:fldChar w:fldCharType="separate"/>
      </w:r>
      <w:r>
        <w:rPr>
          <w:i/>
          <w:iCs/>
        </w:rPr>
        <w:t xml:space="preserve"> </w:t>
      </w:r>
      <w:r>
        <w:fldChar w:fldCharType="end"/>
      </w:r>
      <w:r>
        <w:fldChar w:fldCharType="begin"/>
      </w:r>
      <w:r>
        <w:instrText xml:space="preserve"> HYPERLINK "about:blank" </w:instrText>
      </w:r>
      <w:r>
        <w:fldChar w:fldCharType="separate"/>
      </w:r>
      <w:r>
        <w:rPr>
          <w:color w:val="1155CC"/>
          <w:u w:val="single"/>
        </w:rPr>
        <w:t>https://1007/s12310-019-09339-9</w:t>
      </w:r>
      <w:r>
        <w:fldChar w:fldCharType="end"/>
      </w:r>
    </w:p>
    <w:p w:rsidR="00716415">
      <w:pPr>
        <w:widowControl w:val="0"/>
        <w:ind w:left="992" w:hanging="567"/>
        <w:jc w:val="both"/>
      </w:pPr>
      <w:r>
        <w:t xml:space="preserve">Noret, N., Hunter, S. C., &amp; Rasmussen, S. (2018). The relationship between peer victimization, cognitive appraisals, and adjustment: A systematic review. </w:t>
      </w:r>
      <w:r>
        <w:rPr>
          <w:i/>
          <w:iCs/>
        </w:rPr>
        <w:t>Journal of School Violence</w:t>
      </w:r>
      <w:r>
        <w:t xml:space="preserve">, </w:t>
      </w:r>
      <w:r>
        <w:rPr>
          <w:i/>
          <w:iCs/>
        </w:rPr>
        <w:t>17</w:t>
      </w:r>
      <w:r>
        <w:t>(4), 451-471,</w:t>
      </w:r>
      <w:r>
        <w:fldChar w:fldCharType="begin"/>
      </w:r>
      <w:r>
        <w:instrText xml:space="preserve"> HYPERLINK "about:blank" </w:instrText>
      </w:r>
      <w:r>
        <w:fldChar w:fldCharType="separate"/>
      </w:r>
      <w:r>
        <w:t xml:space="preserve"> </w:t>
      </w:r>
      <w:r>
        <w:fldChar w:fldCharType="end"/>
      </w:r>
      <w:r>
        <w:fldChar w:fldCharType="begin"/>
      </w:r>
      <w:r>
        <w:instrText xml:space="preserve"> HYPERLINK "about:blank" </w:instrText>
      </w:r>
      <w:r>
        <w:fldChar w:fldCharType="separate"/>
      </w:r>
      <w:r>
        <w:rPr>
          <w:color w:val="1155CC"/>
          <w:u w:val="single"/>
        </w:rPr>
        <w:t>https://10.1080/15388220.2017.1423492</w:t>
      </w:r>
      <w:r>
        <w:fldChar w:fldCharType="end"/>
      </w:r>
    </w:p>
    <w:p w:rsidR="00716415">
      <w:pPr>
        <w:widowControl w:val="0"/>
        <w:ind w:left="992" w:hanging="567"/>
      </w:pPr>
      <w:r>
        <w:t xml:space="preserve">Qvortrup, A., &amp; Qvortrup, L. (2018). Inclusion: Dimensions of inclusion in education. </w:t>
      </w:r>
      <w:r>
        <w:rPr>
          <w:i/>
          <w:iCs/>
        </w:rPr>
        <w:t>International Journal of Inclusive Education, 22</w:t>
      </w:r>
      <w:r>
        <w:t xml:space="preserve">(7), 803–817. </w:t>
      </w:r>
      <w:r>
        <w:fldChar w:fldCharType="begin"/>
      </w:r>
      <w:r>
        <w:instrText xml:space="preserve"> HYPERLINK "https://doi.org/10.1080/13603116.2017.1412506" </w:instrText>
      </w:r>
      <w:r>
        <w:fldChar w:fldCharType="separate"/>
      </w:r>
      <w:r>
        <w:rPr>
          <w:color w:val="1155CC"/>
          <w:u w:val="single"/>
        </w:rPr>
        <w:t>https://doi.org/10.1080/13603116.2017.1412506</w:t>
      </w:r>
      <w:r>
        <w:fldChar w:fldCharType="end"/>
      </w:r>
      <w:r>
        <w:t xml:space="preserve"> </w:t>
      </w:r>
    </w:p>
    <w:p w:rsidR="00716415">
      <w:pPr>
        <w:ind w:left="992" w:hanging="567"/>
      </w:pPr>
      <w:r>
        <w:t xml:space="preserve">Spilt, Jantine L., Karine Verschueren, Mirella B. W. M. Van </w:t>
      </w:r>
      <w:r>
        <w:t>Minderhout</w:t>
      </w:r>
      <w:r>
        <w:t xml:space="preserve">, and Helma M. Y. Koomen. 2022. ‘Practitioner Review: Dyadic Teacher–Child Relationships: Comparing Theories, Empirical Evidence and Implications for Practice’. </w:t>
      </w:r>
      <w:r>
        <w:rPr>
          <w:i/>
          <w:iCs/>
        </w:rPr>
        <w:t>Journal of Child Psychology and Psychiatry 63</w:t>
      </w:r>
      <w:r>
        <w:t>(7), 724–733. https://doi.org/10.1111/jcpp.13573</w:t>
      </w:r>
    </w:p>
    <w:p w:rsidR="00716415">
      <w:pPr>
        <w:widowControl w:val="0"/>
        <w:ind w:left="992" w:hanging="567"/>
      </w:pPr>
      <w:r>
        <w:t>Štremfel</w:t>
      </w:r>
      <w:r>
        <w:t xml:space="preserve">, U., </w:t>
      </w:r>
      <w:r>
        <w:t>Šterman</w:t>
      </w:r>
      <w:r>
        <w:t xml:space="preserve"> Ivančič, K., &amp; Peras, I. (2024). Addressing the sense of school belonging among all students? A systematic literature review. </w:t>
      </w:r>
      <w:r>
        <w:rPr>
          <w:i/>
          <w:iCs/>
        </w:rPr>
        <w:t>European Journal of Investigation in Health Psychology and Education</w:t>
      </w:r>
      <w:r>
        <w:t xml:space="preserve">, 14(11), 2901–2917. </w:t>
      </w:r>
      <w:r>
        <w:fldChar w:fldCharType="begin"/>
      </w:r>
      <w:r>
        <w:instrText xml:space="preserve"> HYPERLINK "https://doi.org/10.3390/ejihpe14110190" </w:instrText>
      </w:r>
      <w:r>
        <w:fldChar w:fldCharType="separate"/>
      </w:r>
      <w:r>
        <w:rPr>
          <w:color w:val="1155CC"/>
          <w:u w:val="single"/>
        </w:rPr>
        <w:t>https://doi.org/10.3390/ejihpe14110190</w:t>
      </w:r>
      <w:r>
        <w:fldChar w:fldCharType="end"/>
      </w:r>
      <w:r>
        <w:t xml:space="preserve"> </w:t>
      </w:r>
    </w:p>
    <w:p w:rsidR="00716415">
      <w:pPr>
        <w:widowControl w:val="0"/>
        <w:ind w:left="992" w:hanging="567"/>
      </w:pPr>
      <w:r>
        <w:t>Turiel</w:t>
      </w:r>
      <w:r>
        <w:t xml:space="preserve">, E. (2008). Thought about actions in social domains: Morality, social conventions, and social interactions. </w:t>
      </w:r>
      <w:r>
        <w:rPr>
          <w:i/>
          <w:iCs/>
        </w:rPr>
        <w:t>Cognitive Development, 23</w:t>
      </w:r>
      <w:r>
        <w:t xml:space="preserve">(1), 136–154. </w:t>
      </w:r>
      <w:r>
        <w:fldChar w:fldCharType="begin"/>
      </w:r>
      <w:r>
        <w:instrText xml:space="preserve"> HYPERLINK "https://doi.org/10.1016/j.cogdev.2007.04.001" </w:instrText>
      </w:r>
      <w:r>
        <w:fldChar w:fldCharType="separate"/>
      </w:r>
      <w:r>
        <w:rPr>
          <w:color w:val="1155CC"/>
          <w:u w:val="single"/>
        </w:rPr>
        <w:t>https://doi.org/10.1016/j.cogdev.2007.04.001</w:t>
      </w:r>
      <w:r>
        <w:fldChar w:fldCharType="end"/>
      </w:r>
      <w:r>
        <w:t xml:space="preserve"> </w:t>
      </w:r>
    </w:p>
    <w:p w:rsidR="00716415">
      <w:pPr>
        <w:widowControl w:val="0"/>
        <w:ind w:left="992" w:hanging="567"/>
      </w:pPr>
      <w:r>
        <w:t>White, E.-M., &amp; Fox, L. (2026). “</w:t>
      </w:r>
      <w:r>
        <w:t>it</w:t>
      </w:r>
      <w:r>
        <w:t xml:space="preserve"> felt like all my friendship issues suddenly made sense”: The friendship experiences of late-diagnosed autistic women. Research in Neurodiversity.</w:t>
      </w:r>
    </w:p>
    <w:p w:rsidR="00716415">
      <w:pPr>
        <w:ind w:left="992" w:hanging="567"/>
      </w:pPr>
    </w:p>
    <w:p w:rsidR="00FA7D12" w:rsidRPr="00FA7D12">
      <w:pPr>
        <w:ind w:left="992" w:hanging="567"/>
        <w:rPr>
          <w:i/>
          <w:iCs/>
        </w:rPr>
      </w:pPr>
      <w:r w:rsidRPr="00FA7D12">
        <w:rPr>
          <w:i/>
          <w:iCs/>
        </w:rPr>
        <w:t>September 2026</w:t>
      </w:r>
    </w:p>
    <w:sectPr>
      <w:footerReference w:type="default" r:id="rId4"/>
      <w:footerReference w:type="first" r:id="rId5"/>
      <w:pgSz w:w="11909" w:h="16834"/>
      <w:pgMar w:top="1440" w:right="1440" w:bottom="1440" w:left="1440" w:header="720" w:footer="720"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2B9BE84-2F87-49E9-8BB9-75B9C839E7E3}"/>
    <w:embedBold r:id="rId2" w:fontKey="{1DE8BFE4-2555-4AA7-A5AB-532F6B482ACB}"/>
  </w:font>
  <w:font w:name="Cambria">
    <w:panose1 w:val="02040503050406030204"/>
    <w:charset w:val="00"/>
    <w:family w:val="roman"/>
    <w:pitch w:val="variable"/>
    <w:sig w:usb0="E00006FF" w:usb1="420024FF" w:usb2="02000000" w:usb3="00000000" w:csb0="0000019F" w:csb1="00000000"/>
    <w:embedRegular r:id="rId3" w:fontKey="{538FC917-4A3B-4EE2-9FC3-057C14E3ADF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415">
    <w:pPr>
      <w:jc w:val="right"/>
      <w:rPr>
        <w:sz w:val="20"/>
        <w:szCs w:val="20"/>
      </w:rPr>
    </w:pPr>
    <w:r>
      <w:rPr>
        <w:sz w:val="20"/>
        <w:szCs w:val="20"/>
      </w:rPr>
      <w:fldChar w:fldCharType="begin"/>
    </w:r>
    <w:r>
      <w:rPr>
        <w:sz w:val="20"/>
        <w:szCs w:val="20"/>
      </w:rPr>
      <w:instrText>PAGE</w:instrText>
    </w:r>
    <w:r>
      <w:rPr>
        <w:sz w:val="20"/>
        <w:szCs w:val="20"/>
      </w:rPr>
      <w:fldChar w:fldCharType="separate"/>
    </w:r>
    <w:r w:rsidR="00FA7D12">
      <w:rPr>
        <w:noProof/>
        <w:sz w:val="20"/>
        <w:szCs w:val="20"/>
      </w:rPr>
      <w:t>2</w:t>
    </w:r>
    <w:r>
      <w:rPr>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6415"/>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0000002"/>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0000003"/>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00000004"/>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00000005"/>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00000006"/>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00000007"/>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00000008"/>
    <w:multiLevelType w:val="hybridMultilevel"/>
    <w:tmpl w:val="00000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customStyle="1" w:styleId="Normal1">
    <w:name w:val="Normal1"/>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ECA0083</dc:title>
  <cp:revision>0</cp:revision>
</cp:coreProperties>
</file>