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CDBCD" w14:textId="7472CA71" w:rsidR="00937FC1" w:rsidRPr="00586786" w:rsidRDefault="00937FC1" w:rsidP="00586786">
      <w:pPr>
        <w:tabs>
          <w:tab w:val="num" w:pos="720"/>
        </w:tabs>
        <w:spacing w:line="360" w:lineRule="auto"/>
        <w:rPr>
          <w:rFonts w:ascii="Arial" w:hAnsi="Arial" w:cs="Arial"/>
          <w:b/>
          <w:bCs/>
        </w:rPr>
      </w:pPr>
      <w:r w:rsidRPr="00586786">
        <w:rPr>
          <w:rFonts w:ascii="Arial" w:hAnsi="Arial" w:cs="Arial"/>
          <w:b/>
          <w:bCs/>
        </w:rPr>
        <w:t xml:space="preserve">A scoping review </w:t>
      </w:r>
      <w:r w:rsidR="00730A5F" w:rsidRPr="00586786">
        <w:rPr>
          <w:rFonts w:ascii="Arial" w:hAnsi="Arial" w:cs="Arial"/>
          <w:b/>
          <w:bCs/>
        </w:rPr>
        <w:t xml:space="preserve">to identify clinician reported measurement instruments </w:t>
      </w:r>
      <w:r w:rsidR="005B09D2" w:rsidRPr="00586786">
        <w:rPr>
          <w:rFonts w:ascii="Arial" w:hAnsi="Arial" w:cs="Arial"/>
          <w:b/>
          <w:bCs/>
        </w:rPr>
        <w:t xml:space="preserve">of glucocorticoid toxicity </w:t>
      </w:r>
      <w:r w:rsidR="00730A5F" w:rsidRPr="00586786">
        <w:rPr>
          <w:rFonts w:ascii="Arial" w:hAnsi="Arial" w:cs="Arial"/>
          <w:b/>
          <w:bCs/>
        </w:rPr>
        <w:t>for the OMERACT Glucocorticoid Impact working group</w:t>
      </w:r>
    </w:p>
    <w:p w14:paraId="714D7F1A" w14:textId="56FF6E80" w:rsidR="00D71DF0" w:rsidRPr="00586786" w:rsidRDefault="00D71DF0" w:rsidP="00586786">
      <w:pPr>
        <w:pStyle w:val="NormalWeb"/>
        <w:spacing w:line="360" w:lineRule="auto"/>
        <w:rPr>
          <w:rFonts w:ascii="Arial" w:hAnsi="Arial" w:cs="Arial"/>
          <w:color w:val="1F1F1F"/>
        </w:rPr>
      </w:pPr>
      <w:r w:rsidRPr="00586786">
        <w:rPr>
          <w:rFonts w:ascii="Arial" w:hAnsi="Arial" w:cs="Arial"/>
          <w:color w:val="1F1F1F"/>
        </w:rPr>
        <w:t>Alice Terrett</w:t>
      </w:r>
      <w:r w:rsidRPr="00586786">
        <w:rPr>
          <w:rFonts w:ascii="Arial" w:hAnsi="Arial" w:cs="Arial"/>
          <w:color w:val="1F1F1F"/>
          <w:vertAlign w:val="superscript"/>
        </w:rPr>
        <w:t>1 2</w:t>
      </w:r>
      <w:r w:rsidRPr="00586786">
        <w:rPr>
          <w:rFonts w:ascii="Arial" w:hAnsi="Arial" w:cs="Arial"/>
          <w:color w:val="1F1F1F"/>
        </w:rPr>
        <w:t>, Clare Shere</w:t>
      </w:r>
      <w:r w:rsidRPr="00586786">
        <w:rPr>
          <w:rFonts w:ascii="Arial" w:hAnsi="Arial" w:cs="Arial"/>
          <w:color w:val="1F1F1F"/>
          <w:vertAlign w:val="superscript"/>
        </w:rPr>
        <w:t>3 4</w:t>
      </w:r>
      <w:r w:rsidRPr="00586786">
        <w:rPr>
          <w:rFonts w:ascii="Arial" w:hAnsi="Arial" w:cs="Arial"/>
          <w:color w:val="1F1F1F"/>
        </w:rPr>
        <w:t>, Gabriella Venter</w:t>
      </w:r>
      <w:r w:rsidRPr="00586786">
        <w:rPr>
          <w:rFonts w:ascii="Arial" w:hAnsi="Arial" w:cs="Arial"/>
          <w:color w:val="1F1F1F"/>
          <w:vertAlign w:val="superscript"/>
        </w:rPr>
        <w:t>2 8</w:t>
      </w:r>
      <w:r w:rsidRPr="00586786">
        <w:rPr>
          <w:rFonts w:ascii="Arial" w:hAnsi="Arial" w:cs="Arial"/>
          <w:color w:val="1F1F1F"/>
        </w:rPr>
        <w:t>, Joanna</w:t>
      </w:r>
      <w:r w:rsidR="00B17A73" w:rsidRPr="00586786">
        <w:rPr>
          <w:rFonts w:ascii="Arial" w:hAnsi="Arial" w:cs="Arial"/>
          <w:color w:val="1F1F1F"/>
        </w:rPr>
        <w:t xml:space="preserve"> C</w:t>
      </w:r>
      <w:r w:rsidRPr="00586786">
        <w:rPr>
          <w:rFonts w:ascii="Arial" w:hAnsi="Arial" w:cs="Arial"/>
          <w:color w:val="1F1F1F"/>
        </w:rPr>
        <w:t xml:space="preserve"> Robson</w:t>
      </w:r>
      <w:r w:rsidRPr="00586786">
        <w:rPr>
          <w:rFonts w:ascii="Arial" w:hAnsi="Arial" w:cs="Arial"/>
          <w:color w:val="1F1F1F"/>
          <w:vertAlign w:val="superscript"/>
        </w:rPr>
        <w:t>3 5</w:t>
      </w:r>
      <w:r w:rsidRPr="00586786">
        <w:rPr>
          <w:rFonts w:ascii="Arial" w:hAnsi="Arial" w:cs="Arial"/>
          <w:color w:val="1F1F1F"/>
        </w:rPr>
        <w:t>, Vasilis Vasiliou</w:t>
      </w:r>
      <w:r w:rsidRPr="00586786">
        <w:rPr>
          <w:rFonts w:ascii="Arial" w:hAnsi="Arial" w:cs="Arial"/>
          <w:color w:val="1F1F1F"/>
          <w:vertAlign w:val="superscript"/>
        </w:rPr>
        <w:t>6 7</w:t>
      </w:r>
      <w:r w:rsidRPr="00586786">
        <w:rPr>
          <w:rFonts w:ascii="Arial" w:hAnsi="Arial" w:cs="Arial"/>
          <w:color w:val="1F1F1F"/>
        </w:rPr>
        <w:t>, Suellen Lyne</w:t>
      </w:r>
      <w:r w:rsidRPr="00586786">
        <w:rPr>
          <w:rFonts w:ascii="Arial" w:hAnsi="Arial" w:cs="Arial"/>
          <w:color w:val="1F1F1F"/>
          <w:vertAlign w:val="superscript"/>
        </w:rPr>
        <w:t>1 2</w:t>
      </w:r>
      <w:r w:rsidRPr="00586786">
        <w:rPr>
          <w:rFonts w:ascii="Arial" w:hAnsi="Arial" w:cs="Arial"/>
          <w:color w:val="1F1F1F"/>
        </w:rPr>
        <w:t xml:space="preserve"> , </w:t>
      </w:r>
      <w:r w:rsidR="000515D5" w:rsidRPr="00586786">
        <w:rPr>
          <w:rFonts w:ascii="Arial" w:hAnsi="Arial" w:cs="Arial"/>
          <w:color w:val="1F1F1F"/>
        </w:rPr>
        <w:t xml:space="preserve">Kevin Yip </w:t>
      </w:r>
      <w:r w:rsidR="000515D5" w:rsidRPr="00586786">
        <w:rPr>
          <w:rFonts w:ascii="Arial" w:hAnsi="Arial" w:cs="Arial"/>
          <w:color w:val="1F1F1F"/>
          <w:vertAlign w:val="superscript"/>
        </w:rPr>
        <w:t>8</w:t>
      </w:r>
      <w:r w:rsidR="000515D5" w:rsidRPr="00586786">
        <w:rPr>
          <w:rFonts w:ascii="Arial" w:hAnsi="Arial" w:cs="Arial"/>
          <w:color w:val="1F1F1F"/>
        </w:rPr>
        <w:t xml:space="preserve">, </w:t>
      </w:r>
      <w:r w:rsidR="0058382E">
        <w:rPr>
          <w:rFonts w:ascii="Arial" w:hAnsi="Arial" w:cs="Arial"/>
          <w:color w:val="1F1F1F"/>
        </w:rPr>
        <w:t>Pamela Richards</w:t>
      </w:r>
      <w:r w:rsidR="0058382E">
        <w:rPr>
          <w:rFonts w:ascii="Arial" w:hAnsi="Arial" w:cs="Arial"/>
          <w:color w:val="1F1F1F"/>
          <w:vertAlign w:val="superscript"/>
        </w:rPr>
        <w:t>9</w:t>
      </w:r>
      <w:r w:rsidR="0058382E">
        <w:rPr>
          <w:rFonts w:ascii="Arial" w:hAnsi="Arial" w:cs="Arial"/>
          <w:color w:val="1F1F1F"/>
        </w:rPr>
        <w:t xml:space="preserve">, </w:t>
      </w:r>
      <w:r w:rsidR="00F718BB">
        <w:rPr>
          <w:rFonts w:ascii="Arial" w:hAnsi="Arial" w:cs="Arial"/>
          <w:color w:val="1F1F1F"/>
        </w:rPr>
        <w:t>Susan Goodman</w:t>
      </w:r>
      <w:r w:rsidR="0058382E">
        <w:rPr>
          <w:rFonts w:ascii="Arial" w:hAnsi="Arial" w:cs="Arial"/>
          <w:color w:val="1F1F1F"/>
          <w:vertAlign w:val="superscript"/>
        </w:rPr>
        <w:t>10</w:t>
      </w:r>
      <w:r w:rsidR="00F718BB">
        <w:rPr>
          <w:rFonts w:ascii="Arial" w:hAnsi="Arial" w:cs="Arial"/>
          <w:color w:val="1F1F1F"/>
        </w:rPr>
        <w:t xml:space="preserve">, </w:t>
      </w:r>
      <w:r w:rsidRPr="00586786">
        <w:rPr>
          <w:rFonts w:ascii="Arial" w:hAnsi="Arial" w:cs="Arial"/>
          <w:color w:val="1F1F1F"/>
        </w:rPr>
        <w:t>Joanna Tieu</w:t>
      </w:r>
      <w:r w:rsidRPr="00586786">
        <w:rPr>
          <w:rFonts w:ascii="Arial" w:hAnsi="Arial" w:cs="Arial"/>
          <w:color w:val="1F1F1F"/>
          <w:vertAlign w:val="superscript"/>
        </w:rPr>
        <w:t xml:space="preserve">2 </w:t>
      </w:r>
      <w:r w:rsidR="00E7166F">
        <w:rPr>
          <w:rFonts w:ascii="Arial" w:hAnsi="Arial" w:cs="Arial"/>
          <w:color w:val="1F1F1F"/>
          <w:vertAlign w:val="superscript"/>
        </w:rPr>
        <w:t>1</w:t>
      </w:r>
      <w:r w:rsidR="0058382E">
        <w:rPr>
          <w:rFonts w:ascii="Arial" w:hAnsi="Arial" w:cs="Arial"/>
          <w:color w:val="1F1F1F"/>
          <w:vertAlign w:val="superscript"/>
        </w:rPr>
        <w:t>1</w:t>
      </w:r>
      <w:r w:rsidR="00E7166F">
        <w:rPr>
          <w:rFonts w:ascii="Arial" w:hAnsi="Arial" w:cs="Arial"/>
          <w:color w:val="1F1F1F"/>
          <w:vertAlign w:val="superscript"/>
        </w:rPr>
        <w:t xml:space="preserve"> 1</w:t>
      </w:r>
      <w:r w:rsidR="0058382E">
        <w:rPr>
          <w:rFonts w:ascii="Arial" w:hAnsi="Arial" w:cs="Arial"/>
          <w:color w:val="1F1F1F"/>
          <w:vertAlign w:val="superscript"/>
        </w:rPr>
        <w:t>2</w:t>
      </w:r>
      <w:r w:rsidRPr="00586786">
        <w:rPr>
          <w:rFonts w:ascii="Arial" w:hAnsi="Arial" w:cs="Arial"/>
          <w:color w:val="1F1F1F"/>
        </w:rPr>
        <w:t>, Rachel</w:t>
      </w:r>
      <w:r w:rsidR="00280A76" w:rsidRPr="00586786">
        <w:rPr>
          <w:rFonts w:ascii="Arial" w:hAnsi="Arial" w:cs="Arial"/>
          <w:color w:val="1F1F1F"/>
        </w:rPr>
        <w:t xml:space="preserve"> J</w:t>
      </w:r>
      <w:r w:rsidRPr="00586786">
        <w:rPr>
          <w:rFonts w:ascii="Arial" w:hAnsi="Arial" w:cs="Arial"/>
          <w:color w:val="1F1F1F"/>
        </w:rPr>
        <w:t xml:space="preserve"> Black</w:t>
      </w:r>
      <w:r w:rsidRPr="00586786">
        <w:rPr>
          <w:rFonts w:ascii="Arial" w:hAnsi="Arial" w:cs="Arial"/>
          <w:color w:val="1F1F1F"/>
          <w:vertAlign w:val="superscript"/>
        </w:rPr>
        <w:t xml:space="preserve">2 </w:t>
      </w:r>
      <w:r w:rsidR="00E7166F">
        <w:rPr>
          <w:rFonts w:ascii="Arial" w:hAnsi="Arial" w:cs="Arial"/>
          <w:color w:val="1F1F1F"/>
          <w:vertAlign w:val="superscript"/>
        </w:rPr>
        <w:t>1</w:t>
      </w:r>
      <w:r w:rsidR="0058382E">
        <w:rPr>
          <w:rFonts w:ascii="Arial" w:hAnsi="Arial" w:cs="Arial"/>
          <w:color w:val="1F1F1F"/>
          <w:vertAlign w:val="superscript"/>
        </w:rPr>
        <w:t>1</w:t>
      </w:r>
      <w:r w:rsidR="00E7166F">
        <w:rPr>
          <w:rFonts w:ascii="Arial" w:hAnsi="Arial" w:cs="Arial"/>
          <w:color w:val="1F1F1F"/>
          <w:vertAlign w:val="superscript"/>
        </w:rPr>
        <w:t xml:space="preserve"> 1</w:t>
      </w:r>
      <w:r w:rsidR="0058382E">
        <w:rPr>
          <w:rFonts w:ascii="Arial" w:hAnsi="Arial" w:cs="Arial"/>
          <w:color w:val="1F1F1F"/>
          <w:vertAlign w:val="superscript"/>
        </w:rPr>
        <w:t>2</w:t>
      </w:r>
      <w:r w:rsidRPr="00586786">
        <w:rPr>
          <w:rFonts w:ascii="Arial" w:hAnsi="Arial" w:cs="Arial"/>
          <w:color w:val="1F1F1F"/>
        </w:rPr>
        <w:t>, Sarah</w:t>
      </w:r>
      <w:r w:rsidR="007A7082" w:rsidRPr="00586786">
        <w:rPr>
          <w:rFonts w:ascii="Arial" w:hAnsi="Arial" w:cs="Arial"/>
          <w:color w:val="1F1F1F"/>
        </w:rPr>
        <w:t xml:space="preserve"> L</w:t>
      </w:r>
      <w:r w:rsidRPr="00586786">
        <w:rPr>
          <w:rFonts w:ascii="Arial" w:hAnsi="Arial" w:cs="Arial"/>
          <w:color w:val="1F1F1F"/>
        </w:rPr>
        <w:t xml:space="preserve"> Mackie</w:t>
      </w:r>
      <w:r w:rsidRPr="00586786">
        <w:rPr>
          <w:rFonts w:ascii="Arial" w:hAnsi="Arial" w:cs="Arial"/>
          <w:color w:val="1F1F1F"/>
          <w:vertAlign w:val="superscript"/>
        </w:rPr>
        <w:t>1</w:t>
      </w:r>
      <w:r w:rsidR="0058382E">
        <w:rPr>
          <w:rFonts w:ascii="Arial" w:hAnsi="Arial" w:cs="Arial"/>
          <w:color w:val="1F1F1F"/>
          <w:vertAlign w:val="superscript"/>
        </w:rPr>
        <w:t>3</w:t>
      </w:r>
      <w:r w:rsidR="000515D5" w:rsidRPr="00586786">
        <w:rPr>
          <w:rFonts w:ascii="Arial" w:hAnsi="Arial" w:cs="Arial"/>
          <w:color w:val="1F1F1F"/>
          <w:vertAlign w:val="superscript"/>
        </w:rPr>
        <w:t xml:space="preserve"> 1</w:t>
      </w:r>
      <w:r w:rsidR="0058382E">
        <w:rPr>
          <w:rFonts w:ascii="Arial" w:hAnsi="Arial" w:cs="Arial"/>
          <w:color w:val="1F1F1F"/>
          <w:vertAlign w:val="superscript"/>
        </w:rPr>
        <w:t>4</w:t>
      </w:r>
      <w:r w:rsidRPr="00586786">
        <w:rPr>
          <w:rFonts w:ascii="Arial" w:hAnsi="Arial" w:cs="Arial"/>
          <w:color w:val="1F1F1F"/>
        </w:rPr>
        <w:t>, Catherine L Hill</w:t>
      </w:r>
      <w:r w:rsidRPr="00586786">
        <w:rPr>
          <w:rFonts w:ascii="Arial" w:hAnsi="Arial" w:cs="Arial"/>
          <w:color w:val="1F1F1F"/>
          <w:vertAlign w:val="superscript"/>
        </w:rPr>
        <w:t xml:space="preserve">2 </w:t>
      </w:r>
      <w:r w:rsidR="000515D5" w:rsidRPr="00586786">
        <w:rPr>
          <w:rFonts w:ascii="Arial" w:hAnsi="Arial" w:cs="Arial"/>
          <w:color w:val="1F1F1F"/>
          <w:vertAlign w:val="superscript"/>
        </w:rPr>
        <w:t>1</w:t>
      </w:r>
      <w:r w:rsidR="0058382E">
        <w:rPr>
          <w:rFonts w:ascii="Arial" w:hAnsi="Arial" w:cs="Arial"/>
          <w:color w:val="1F1F1F"/>
          <w:vertAlign w:val="superscript"/>
        </w:rPr>
        <w:t>2</w:t>
      </w:r>
      <w:r w:rsidRPr="00586786">
        <w:rPr>
          <w:rFonts w:ascii="Arial" w:hAnsi="Arial" w:cs="Arial"/>
          <w:color w:val="1F1F1F"/>
          <w:vertAlign w:val="superscript"/>
        </w:rPr>
        <w:t xml:space="preserve"> </w:t>
      </w:r>
      <w:r w:rsidRPr="00586786">
        <w:rPr>
          <w:rFonts w:ascii="Arial" w:hAnsi="Arial" w:cs="Arial"/>
          <w:color w:val="1F1F1F"/>
        </w:rPr>
        <w:t>for the OMERACT Glucocorticoid</w:t>
      </w:r>
      <w:r w:rsidR="005B09D2" w:rsidRPr="00586786">
        <w:rPr>
          <w:rFonts w:ascii="Arial" w:hAnsi="Arial" w:cs="Arial"/>
          <w:color w:val="1F1F1F"/>
        </w:rPr>
        <w:t xml:space="preserve"> Impact</w:t>
      </w:r>
      <w:r w:rsidRPr="00586786">
        <w:rPr>
          <w:rFonts w:ascii="Arial" w:hAnsi="Arial" w:cs="Arial"/>
          <w:color w:val="1F1F1F"/>
        </w:rPr>
        <w:t xml:space="preserve"> Working Group</w:t>
      </w:r>
    </w:p>
    <w:p w14:paraId="4511E967" w14:textId="77777777" w:rsidR="00D71DF0" w:rsidRPr="00586786" w:rsidRDefault="00D71DF0" w:rsidP="00586786">
      <w:pPr>
        <w:pStyle w:val="NormalWeb"/>
        <w:spacing w:line="360" w:lineRule="auto"/>
        <w:rPr>
          <w:rFonts w:ascii="Arial" w:hAnsi="Arial" w:cs="Arial"/>
          <w:color w:val="1F1F1F"/>
        </w:rPr>
      </w:pPr>
      <w:r w:rsidRPr="00586786">
        <w:rPr>
          <w:rFonts w:ascii="Arial" w:hAnsi="Arial" w:cs="Arial"/>
          <w:color w:val="1F1F1F"/>
          <w:vertAlign w:val="superscript"/>
        </w:rPr>
        <w:t>1</w:t>
      </w:r>
      <w:r w:rsidRPr="00586786">
        <w:rPr>
          <w:rFonts w:ascii="Arial" w:hAnsi="Arial" w:cs="Arial"/>
          <w:color w:val="1F1F1F"/>
        </w:rPr>
        <w:t xml:space="preserve"> Rheumatology Unit, Flinders Medical Centre, Bedford Park, Adelaide, South Australia</w:t>
      </w:r>
    </w:p>
    <w:p w14:paraId="5B33EFE7" w14:textId="596994B3" w:rsidR="00D71DF0" w:rsidRPr="00586786" w:rsidRDefault="00D71DF0" w:rsidP="00586786">
      <w:pPr>
        <w:pStyle w:val="NormalWeb"/>
        <w:spacing w:line="360" w:lineRule="auto"/>
        <w:rPr>
          <w:rFonts w:ascii="Arial" w:hAnsi="Arial" w:cs="Arial"/>
          <w:color w:val="1F1F1F"/>
          <w:vertAlign w:val="superscript"/>
          <w:lang w:val="en-GB"/>
        </w:rPr>
      </w:pPr>
      <w:r w:rsidRPr="00586786">
        <w:rPr>
          <w:rFonts w:ascii="Arial" w:hAnsi="Arial" w:cs="Arial"/>
          <w:color w:val="1F1F1F"/>
          <w:vertAlign w:val="superscript"/>
        </w:rPr>
        <w:t>2</w:t>
      </w:r>
      <w:r w:rsidRPr="00586786">
        <w:rPr>
          <w:rFonts w:ascii="Arial" w:hAnsi="Arial" w:cs="Arial"/>
          <w:color w:val="1F1F1F"/>
        </w:rPr>
        <w:t xml:space="preserve"> </w:t>
      </w:r>
      <w:r w:rsidR="005B09D2" w:rsidRPr="00586786">
        <w:rPr>
          <w:rFonts w:ascii="Arial" w:hAnsi="Arial" w:cs="Arial"/>
          <w:color w:val="1F1F1F"/>
          <w:lang w:val="en-GB"/>
        </w:rPr>
        <w:t>School of Medicine, College of Health, Adelaide University</w:t>
      </w:r>
      <w:r w:rsidRPr="00586786">
        <w:rPr>
          <w:rFonts w:ascii="Arial" w:hAnsi="Arial" w:cs="Arial"/>
          <w:color w:val="1F1F1F"/>
          <w:lang w:val="en-GB"/>
        </w:rPr>
        <w:t>, Australia</w:t>
      </w:r>
      <w:r w:rsidRPr="00586786">
        <w:rPr>
          <w:rFonts w:ascii="Arial" w:hAnsi="Arial" w:cs="Arial"/>
          <w:color w:val="1F1F1F"/>
          <w:vertAlign w:val="superscript"/>
          <w:lang w:val="en-GB"/>
        </w:rPr>
        <w:t xml:space="preserve"> </w:t>
      </w:r>
    </w:p>
    <w:p w14:paraId="728768CD" w14:textId="77777777" w:rsidR="00D71DF0" w:rsidRPr="00586786" w:rsidRDefault="00D71DF0" w:rsidP="00586786">
      <w:pPr>
        <w:pStyle w:val="NormalWeb"/>
        <w:spacing w:line="360" w:lineRule="auto"/>
        <w:rPr>
          <w:rFonts w:ascii="Arial" w:hAnsi="Arial" w:cs="Arial"/>
          <w:color w:val="1F1F1F"/>
        </w:rPr>
      </w:pPr>
      <w:r w:rsidRPr="00586786">
        <w:rPr>
          <w:rFonts w:ascii="Arial" w:hAnsi="Arial" w:cs="Arial"/>
          <w:color w:val="1F1F1F"/>
          <w:vertAlign w:val="superscript"/>
        </w:rPr>
        <w:t xml:space="preserve">3 </w:t>
      </w:r>
      <w:r w:rsidRPr="00586786">
        <w:rPr>
          <w:rFonts w:ascii="Arial" w:hAnsi="Arial" w:cs="Arial"/>
          <w:color w:val="1F1F1F"/>
        </w:rPr>
        <w:t>Rheumatology Department, University Hospitals Bristol and Weston NHS Foundation Trust, Bristol, UK</w:t>
      </w:r>
    </w:p>
    <w:p w14:paraId="4FCC724A" w14:textId="77777777" w:rsidR="00D71DF0" w:rsidRPr="00586786" w:rsidRDefault="00D71DF0" w:rsidP="00586786">
      <w:pPr>
        <w:pStyle w:val="NormalWeb"/>
        <w:spacing w:line="360" w:lineRule="auto"/>
        <w:rPr>
          <w:rFonts w:ascii="Arial" w:hAnsi="Arial" w:cs="Arial"/>
          <w:color w:val="1F1F1F"/>
        </w:rPr>
      </w:pPr>
      <w:r w:rsidRPr="00586786">
        <w:rPr>
          <w:rFonts w:ascii="Arial" w:hAnsi="Arial" w:cs="Arial"/>
          <w:color w:val="1F1F1F"/>
          <w:vertAlign w:val="superscript"/>
        </w:rPr>
        <w:t xml:space="preserve">4 </w:t>
      </w:r>
      <w:r w:rsidRPr="00586786">
        <w:rPr>
          <w:rFonts w:ascii="Arial" w:hAnsi="Arial" w:cs="Arial"/>
          <w:color w:val="1F1F1F"/>
        </w:rPr>
        <w:t>Musculoskeletal Research Unit, Bristol Medical School, University of Bristol, Bristol, UK</w:t>
      </w:r>
    </w:p>
    <w:p w14:paraId="7149576C" w14:textId="77777777" w:rsidR="00D71DF0" w:rsidRPr="00586786" w:rsidRDefault="00D71DF0" w:rsidP="00586786">
      <w:pPr>
        <w:pStyle w:val="NormalWeb"/>
        <w:spacing w:line="360" w:lineRule="auto"/>
        <w:rPr>
          <w:rFonts w:ascii="Arial" w:hAnsi="Arial" w:cs="Arial"/>
          <w:color w:val="1F1F1F"/>
        </w:rPr>
      </w:pPr>
      <w:r w:rsidRPr="00586786">
        <w:rPr>
          <w:rFonts w:ascii="Arial" w:hAnsi="Arial" w:cs="Arial"/>
          <w:color w:val="1F1F1F"/>
          <w:vertAlign w:val="superscript"/>
        </w:rPr>
        <w:t xml:space="preserve">5 </w:t>
      </w:r>
      <w:r w:rsidRPr="00586786">
        <w:rPr>
          <w:rFonts w:ascii="Arial" w:hAnsi="Arial" w:cs="Arial"/>
          <w:color w:val="1F1F1F"/>
        </w:rPr>
        <w:t>Rheumatology Research, Centre for Health and Clinical Research, University of the West of England, Bristol, UK</w:t>
      </w:r>
    </w:p>
    <w:p w14:paraId="25ABC292" w14:textId="77777777" w:rsidR="00D71DF0" w:rsidRPr="00586786" w:rsidRDefault="00D71DF0" w:rsidP="00586786">
      <w:pPr>
        <w:pStyle w:val="NormalWeb"/>
        <w:spacing w:line="360" w:lineRule="auto"/>
        <w:rPr>
          <w:rFonts w:ascii="Arial" w:hAnsi="Arial" w:cs="Arial"/>
          <w:color w:val="1F1F1F"/>
        </w:rPr>
      </w:pPr>
      <w:r w:rsidRPr="00586786">
        <w:rPr>
          <w:rFonts w:ascii="Arial" w:hAnsi="Arial" w:cs="Arial"/>
          <w:color w:val="1F1F1F"/>
          <w:vertAlign w:val="superscript"/>
        </w:rPr>
        <w:t xml:space="preserve">6 </w:t>
      </w:r>
      <w:r w:rsidRPr="00586786">
        <w:rPr>
          <w:rFonts w:ascii="Arial" w:hAnsi="Arial" w:cs="Arial"/>
          <w:color w:val="1F1F1F"/>
        </w:rPr>
        <w:t xml:space="preserve">Department of Psychology, Royal Holloway, University of London, United Kingdom </w:t>
      </w:r>
    </w:p>
    <w:p w14:paraId="495429F0" w14:textId="77777777" w:rsidR="00D71DF0" w:rsidRPr="00586786" w:rsidRDefault="00D71DF0" w:rsidP="00586786">
      <w:pPr>
        <w:pStyle w:val="NormalWeb"/>
        <w:spacing w:line="360" w:lineRule="auto"/>
        <w:rPr>
          <w:rFonts w:ascii="Arial" w:hAnsi="Arial" w:cs="Arial"/>
          <w:color w:val="1F1F1F"/>
        </w:rPr>
      </w:pPr>
      <w:r w:rsidRPr="00586786">
        <w:rPr>
          <w:rFonts w:ascii="Arial" w:hAnsi="Arial" w:cs="Arial"/>
          <w:color w:val="1F1F1F"/>
          <w:vertAlign w:val="superscript"/>
        </w:rPr>
        <w:t xml:space="preserve">7 </w:t>
      </w:r>
      <w:r w:rsidRPr="00586786">
        <w:rPr>
          <w:rFonts w:ascii="Arial" w:hAnsi="Arial" w:cs="Arial"/>
          <w:color w:val="1F1F1F"/>
        </w:rPr>
        <w:t>Nuffield Department of Orthopaedics, Rheumatology and Musculoskeletal Sciences, University of Oxford</w:t>
      </w:r>
    </w:p>
    <w:p w14:paraId="1D1B2F58" w14:textId="1948538E" w:rsidR="000515D5" w:rsidRDefault="000515D5" w:rsidP="00586786">
      <w:pPr>
        <w:pStyle w:val="NormalWeb"/>
        <w:spacing w:line="360" w:lineRule="auto"/>
        <w:rPr>
          <w:rFonts w:ascii="Arial" w:hAnsi="Arial" w:cs="Arial"/>
          <w:color w:val="1F1F1F"/>
        </w:rPr>
      </w:pPr>
      <w:r w:rsidRPr="00586786">
        <w:rPr>
          <w:rFonts w:ascii="Arial" w:hAnsi="Arial" w:cs="Arial"/>
          <w:color w:val="1F1F1F"/>
          <w:vertAlign w:val="superscript"/>
        </w:rPr>
        <w:t xml:space="preserve">8 </w:t>
      </w:r>
      <w:r w:rsidRPr="00586786">
        <w:rPr>
          <w:rFonts w:ascii="Arial" w:hAnsi="Arial" w:cs="Arial"/>
          <w:color w:val="1F1F1F"/>
        </w:rPr>
        <w:t xml:space="preserve">Division of Rheumatology, Dept of Medicine, Wyckoff Heights Medical </w:t>
      </w:r>
      <w:proofErr w:type="spellStart"/>
      <w:r w:rsidRPr="00586786">
        <w:rPr>
          <w:rFonts w:ascii="Arial" w:hAnsi="Arial" w:cs="Arial"/>
          <w:color w:val="1F1F1F"/>
        </w:rPr>
        <w:t>Center</w:t>
      </w:r>
      <w:proofErr w:type="spellEnd"/>
      <w:r w:rsidRPr="00586786">
        <w:rPr>
          <w:rFonts w:ascii="Arial" w:hAnsi="Arial" w:cs="Arial"/>
          <w:color w:val="1F1F1F"/>
        </w:rPr>
        <w:t>, NY, USA</w:t>
      </w:r>
    </w:p>
    <w:p w14:paraId="26080F3C" w14:textId="72F70005" w:rsidR="0058382E" w:rsidRPr="0058382E" w:rsidRDefault="0058382E" w:rsidP="00586786">
      <w:pPr>
        <w:pStyle w:val="NormalWeb"/>
        <w:spacing w:line="360" w:lineRule="auto"/>
        <w:rPr>
          <w:rFonts w:ascii="Arial" w:hAnsi="Arial" w:cs="Arial"/>
          <w:color w:val="1F1F1F"/>
        </w:rPr>
      </w:pPr>
      <w:r>
        <w:rPr>
          <w:rFonts w:ascii="Arial" w:hAnsi="Arial" w:cs="Arial"/>
          <w:color w:val="1F1F1F"/>
          <w:vertAlign w:val="superscript"/>
        </w:rPr>
        <w:t>9</w:t>
      </w:r>
      <w:r>
        <w:rPr>
          <w:rFonts w:ascii="Arial" w:hAnsi="Arial" w:cs="Arial"/>
          <w:color w:val="1F1F1F"/>
        </w:rPr>
        <w:t xml:space="preserve"> Patient Research Partner, Bristol, UK</w:t>
      </w:r>
    </w:p>
    <w:p w14:paraId="303F4AE2" w14:textId="2A4586F3" w:rsidR="00E7166F" w:rsidRPr="00586786" w:rsidRDefault="0058382E" w:rsidP="00586786">
      <w:pPr>
        <w:pStyle w:val="NormalWeb"/>
        <w:spacing w:line="360" w:lineRule="auto"/>
        <w:rPr>
          <w:rFonts w:ascii="Arial" w:hAnsi="Arial" w:cs="Arial"/>
          <w:color w:val="1F1F1F"/>
        </w:rPr>
      </w:pPr>
      <w:r>
        <w:rPr>
          <w:rFonts w:ascii="Arial" w:hAnsi="Arial" w:cs="Arial"/>
          <w:color w:val="1F1F1F"/>
          <w:vertAlign w:val="superscript"/>
          <w:lang w:val="en-GB"/>
        </w:rPr>
        <w:t>10</w:t>
      </w:r>
      <w:r w:rsidR="00E7166F">
        <w:rPr>
          <w:rFonts w:ascii="Arial" w:hAnsi="Arial" w:cs="Arial"/>
          <w:color w:val="1F1F1F"/>
          <w:vertAlign w:val="superscript"/>
          <w:lang w:val="en-GB"/>
        </w:rPr>
        <w:t xml:space="preserve"> </w:t>
      </w:r>
      <w:r w:rsidR="00E7166F" w:rsidRPr="00E7166F">
        <w:rPr>
          <w:rFonts w:ascii="Arial" w:hAnsi="Arial" w:cs="Arial"/>
          <w:color w:val="1F1F1F"/>
          <w:lang w:val="en-GB"/>
        </w:rPr>
        <w:t>Hospital for Special Surgery, Weill Cornell Medicine, New York, New York</w:t>
      </w:r>
    </w:p>
    <w:p w14:paraId="3CD9C04B" w14:textId="28A49788" w:rsidR="00D71DF0" w:rsidRPr="00586786" w:rsidRDefault="00E7166F" w:rsidP="00586786">
      <w:pPr>
        <w:pStyle w:val="NormalWeb"/>
        <w:spacing w:line="360" w:lineRule="auto"/>
        <w:rPr>
          <w:rFonts w:ascii="Arial" w:hAnsi="Arial" w:cs="Arial"/>
          <w:color w:val="1F1F1F"/>
        </w:rPr>
      </w:pPr>
      <w:r>
        <w:rPr>
          <w:rFonts w:ascii="Arial" w:hAnsi="Arial" w:cs="Arial"/>
          <w:color w:val="1F1F1F"/>
          <w:vertAlign w:val="superscript"/>
        </w:rPr>
        <w:t>1</w:t>
      </w:r>
      <w:r w:rsidR="0058382E">
        <w:rPr>
          <w:rFonts w:ascii="Arial" w:hAnsi="Arial" w:cs="Arial"/>
          <w:color w:val="1F1F1F"/>
          <w:vertAlign w:val="superscript"/>
        </w:rPr>
        <w:t>1</w:t>
      </w:r>
      <w:r w:rsidR="00D71DF0" w:rsidRPr="00586786">
        <w:rPr>
          <w:rFonts w:ascii="Arial" w:hAnsi="Arial" w:cs="Arial"/>
          <w:color w:val="1F1F1F"/>
          <w:vertAlign w:val="superscript"/>
        </w:rPr>
        <w:t xml:space="preserve"> </w:t>
      </w:r>
      <w:r w:rsidR="00D71DF0" w:rsidRPr="00586786">
        <w:rPr>
          <w:rFonts w:ascii="Arial" w:hAnsi="Arial" w:cs="Arial"/>
          <w:color w:val="1F1F1F"/>
        </w:rPr>
        <w:t>Rheumatology Unit, Royal Adelaide Hospital, Adelaide, South Australia</w:t>
      </w:r>
    </w:p>
    <w:p w14:paraId="08B2CA80" w14:textId="7AA0408E" w:rsidR="00D71DF0" w:rsidRPr="00586786" w:rsidRDefault="000515D5" w:rsidP="00586786">
      <w:pPr>
        <w:pStyle w:val="NormalWeb"/>
        <w:spacing w:line="360" w:lineRule="auto"/>
        <w:rPr>
          <w:rFonts w:ascii="Arial" w:hAnsi="Arial" w:cs="Arial"/>
          <w:color w:val="1F1F1F"/>
        </w:rPr>
      </w:pPr>
      <w:r w:rsidRPr="00586786">
        <w:rPr>
          <w:rFonts w:ascii="Arial" w:hAnsi="Arial" w:cs="Arial"/>
          <w:color w:val="1F1F1F"/>
          <w:vertAlign w:val="superscript"/>
        </w:rPr>
        <w:t>1</w:t>
      </w:r>
      <w:r w:rsidR="0058382E">
        <w:rPr>
          <w:rFonts w:ascii="Arial" w:hAnsi="Arial" w:cs="Arial"/>
          <w:color w:val="1F1F1F"/>
          <w:vertAlign w:val="superscript"/>
        </w:rPr>
        <w:t>2</w:t>
      </w:r>
      <w:r w:rsidR="00D71DF0" w:rsidRPr="00586786">
        <w:rPr>
          <w:rFonts w:ascii="Arial" w:hAnsi="Arial" w:cs="Arial"/>
          <w:color w:val="1F1F1F"/>
        </w:rPr>
        <w:t xml:space="preserve"> Rheumatology Unit, The Queen Elizabeth Hospital, Adelaide, South Australia</w:t>
      </w:r>
    </w:p>
    <w:p w14:paraId="4E0F4E64" w14:textId="6429E2E7" w:rsidR="00D71DF0" w:rsidRPr="00586786" w:rsidRDefault="00D71DF0" w:rsidP="00586786">
      <w:pPr>
        <w:pStyle w:val="NormalWeb"/>
        <w:spacing w:line="360" w:lineRule="auto"/>
        <w:rPr>
          <w:rFonts w:ascii="Arial" w:hAnsi="Arial" w:cs="Arial"/>
          <w:color w:val="1F1F1F"/>
          <w:lang w:val="en-GB"/>
        </w:rPr>
      </w:pPr>
      <w:r w:rsidRPr="00586786">
        <w:rPr>
          <w:rFonts w:ascii="Arial" w:hAnsi="Arial" w:cs="Arial"/>
          <w:color w:val="1F1F1F"/>
          <w:vertAlign w:val="superscript"/>
          <w:lang w:val="en-GB"/>
        </w:rPr>
        <w:lastRenderedPageBreak/>
        <w:t>1</w:t>
      </w:r>
      <w:r w:rsidR="0058382E">
        <w:rPr>
          <w:rFonts w:ascii="Arial" w:hAnsi="Arial" w:cs="Arial"/>
          <w:color w:val="1F1F1F"/>
          <w:vertAlign w:val="superscript"/>
          <w:lang w:val="en-GB"/>
        </w:rPr>
        <w:t>3</w:t>
      </w:r>
      <w:r w:rsidRPr="00586786">
        <w:rPr>
          <w:rFonts w:ascii="Arial" w:hAnsi="Arial" w:cs="Arial"/>
          <w:color w:val="1F1F1F"/>
          <w:vertAlign w:val="superscript"/>
          <w:lang w:val="en-GB"/>
        </w:rPr>
        <w:t xml:space="preserve"> </w:t>
      </w:r>
      <w:r w:rsidRPr="00586786">
        <w:rPr>
          <w:rFonts w:ascii="Arial" w:hAnsi="Arial" w:cs="Arial"/>
          <w:color w:val="1F1F1F"/>
          <w:lang w:val="en-GB"/>
        </w:rPr>
        <w:t>Leeds Institute of Rheumatic and Musculoskeletal Medicine, University of Leeds, Leeds, UK</w:t>
      </w:r>
    </w:p>
    <w:p w14:paraId="3C3F2D84" w14:textId="3A801B17" w:rsidR="00D71DF0" w:rsidRPr="00586786" w:rsidRDefault="00D71DF0" w:rsidP="00586786">
      <w:pPr>
        <w:pStyle w:val="NormalWeb"/>
        <w:spacing w:line="360" w:lineRule="auto"/>
        <w:rPr>
          <w:rFonts w:ascii="Arial" w:hAnsi="Arial" w:cs="Arial"/>
          <w:color w:val="1F1F1F"/>
          <w:lang w:val="en-GB"/>
        </w:rPr>
      </w:pPr>
      <w:r w:rsidRPr="00586786">
        <w:rPr>
          <w:rFonts w:ascii="Arial" w:hAnsi="Arial" w:cs="Arial"/>
          <w:color w:val="1F1F1F"/>
          <w:vertAlign w:val="superscript"/>
          <w:lang w:val="en-GB"/>
        </w:rPr>
        <w:t>1</w:t>
      </w:r>
      <w:r w:rsidR="0058382E">
        <w:rPr>
          <w:rFonts w:ascii="Arial" w:hAnsi="Arial" w:cs="Arial"/>
          <w:color w:val="1F1F1F"/>
          <w:vertAlign w:val="superscript"/>
          <w:lang w:val="en-GB"/>
        </w:rPr>
        <w:t>4</w:t>
      </w:r>
      <w:r w:rsidRPr="00586786">
        <w:rPr>
          <w:rFonts w:ascii="Arial" w:hAnsi="Arial" w:cs="Arial"/>
          <w:color w:val="1F1F1F"/>
          <w:vertAlign w:val="superscript"/>
          <w:lang w:val="en-GB"/>
        </w:rPr>
        <w:t xml:space="preserve"> </w:t>
      </w:r>
      <w:r w:rsidRPr="00586786">
        <w:rPr>
          <w:rFonts w:ascii="Arial" w:hAnsi="Arial" w:cs="Arial"/>
          <w:color w:val="1F1F1F"/>
          <w:lang w:val="en-GB"/>
        </w:rPr>
        <w:t>NIHR Leeds Biomedical Research Centre, Leeds Teaching Hospitals NHS Trust, Leeds, UK</w:t>
      </w:r>
    </w:p>
    <w:p w14:paraId="16D6A7BA" w14:textId="77777777" w:rsidR="00DD53C1" w:rsidRPr="00586786" w:rsidRDefault="00032949" w:rsidP="00586786">
      <w:pPr>
        <w:pStyle w:val="NormalWeb"/>
        <w:spacing w:line="360" w:lineRule="auto"/>
        <w:rPr>
          <w:rFonts w:ascii="Arial" w:hAnsi="Arial" w:cs="Arial"/>
          <w:color w:val="1F1F1F"/>
        </w:rPr>
      </w:pPr>
      <w:r w:rsidRPr="00586786">
        <w:rPr>
          <w:rFonts w:ascii="Arial" w:hAnsi="Arial" w:cs="Arial"/>
          <w:color w:val="1F1F1F"/>
        </w:rPr>
        <w:t>Corresponding author:</w:t>
      </w:r>
    </w:p>
    <w:p w14:paraId="5CF1193D" w14:textId="27B0E41E" w:rsidR="00330887" w:rsidRPr="00586786" w:rsidRDefault="00E65EA0" w:rsidP="00586786">
      <w:pPr>
        <w:pStyle w:val="NormalWeb"/>
        <w:spacing w:line="360" w:lineRule="auto"/>
        <w:rPr>
          <w:rFonts w:ascii="Arial" w:hAnsi="Arial" w:cs="Arial"/>
          <w:color w:val="1F1F1F"/>
        </w:rPr>
      </w:pPr>
      <w:r w:rsidRPr="00586786">
        <w:rPr>
          <w:rFonts w:ascii="Arial" w:hAnsi="Arial" w:cs="Arial"/>
          <w:color w:val="1F1F1F"/>
        </w:rPr>
        <w:t xml:space="preserve">Dr Alice Terrett, Flinders Medical Centre, </w:t>
      </w:r>
      <w:hyperlink r:id="rId8" w:history="1">
        <w:r w:rsidRPr="00586786">
          <w:rPr>
            <w:rStyle w:val="Hyperlink"/>
            <w:rFonts w:ascii="Arial" w:hAnsi="Arial" w:cs="Arial"/>
          </w:rPr>
          <w:t>alice.terrett@sa.gov.au</w:t>
        </w:r>
      </w:hyperlink>
      <w:r w:rsidRPr="00586786">
        <w:rPr>
          <w:rFonts w:ascii="Arial" w:hAnsi="Arial" w:cs="Arial"/>
          <w:color w:val="1F1F1F"/>
        </w:rPr>
        <w:t xml:space="preserve"> </w:t>
      </w:r>
    </w:p>
    <w:p w14:paraId="60300341" w14:textId="15C5A9A3" w:rsidR="00AF41F7" w:rsidRPr="00586786" w:rsidRDefault="00AF41F7" w:rsidP="00586786">
      <w:pPr>
        <w:pStyle w:val="NormalWeb"/>
        <w:spacing w:line="360" w:lineRule="auto"/>
        <w:rPr>
          <w:rFonts w:ascii="Arial" w:hAnsi="Arial" w:cs="Arial"/>
          <w:b/>
          <w:bCs/>
          <w:color w:val="1F1F1F"/>
        </w:rPr>
      </w:pPr>
      <w:r w:rsidRPr="00586786">
        <w:rPr>
          <w:rFonts w:ascii="Arial" w:hAnsi="Arial" w:cs="Arial"/>
          <w:b/>
          <w:bCs/>
          <w:color w:val="1F1F1F"/>
        </w:rPr>
        <w:t>Keywords</w:t>
      </w:r>
    </w:p>
    <w:p w14:paraId="01E2669B" w14:textId="1FA9DCB5" w:rsidR="00AF41F7" w:rsidRPr="00586786" w:rsidRDefault="00330887" w:rsidP="00586786">
      <w:pPr>
        <w:pStyle w:val="NormalWeb"/>
        <w:spacing w:line="360" w:lineRule="auto"/>
        <w:rPr>
          <w:rFonts w:ascii="Arial" w:hAnsi="Arial" w:cs="Arial"/>
          <w:color w:val="1F1F1F"/>
        </w:rPr>
      </w:pPr>
      <w:r w:rsidRPr="00586786">
        <w:rPr>
          <w:rFonts w:ascii="Arial" w:hAnsi="Arial" w:cs="Arial"/>
          <w:color w:val="1F1F1F"/>
        </w:rPr>
        <w:t xml:space="preserve">OMERACT, Glucocorticoids, Measurement instruments, Clinician reported, </w:t>
      </w:r>
      <w:proofErr w:type="spellStart"/>
      <w:r w:rsidR="00CD0690" w:rsidRPr="00586786">
        <w:rPr>
          <w:rFonts w:ascii="Arial" w:hAnsi="Arial" w:cs="Arial"/>
          <w:color w:val="1F1F1F"/>
        </w:rPr>
        <w:t>ClinRO</w:t>
      </w:r>
      <w:proofErr w:type="spellEnd"/>
      <w:r w:rsidRPr="00586786">
        <w:rPr>
          <w:rFonts w:ascii="Arial" w:hAnsi="Arial" w:cs="Arial"/>
          <w:color w:val="1F1F1F"/>
        </w:rPr>
        <w:t>, Adverse effects</w:t>
      </w:r>
    </w:p>
    <w:p w14:paraId="44AF5279" w14:textId="77777777" w:rsidR="005244B6" w:rsidRPr="00586786" w:rsidRDefault="005244B6" w:rsidP="00586786">
      <w:pPr>
        <w:pStyle w:val="NormalWeb"/>
        <w:spacing w:line="360" w:lineRule="auto"/>
        <w:rPr>
          <w:rFonts w:ascii="Arial" w:hAnsi="Arial" w:cs="Arial"/>
          <w:color w:val="1F1F1F"/>
        </w:rPr>
      </w:pPr>
    </w:p>
    <w:p w14:paraId="17EBCB49" w14:textId="407B9663" w:rsidR="005244B6" w:rsidRPr="00586786" w:rsidRDefault="005244B6" w:rsidP="00586786">
      <w:pPr>
        <w:pStyle w:val="NormalWeb"/>
        <w:spacing w:line="360" w:lineRule="auto"/>
        <w:rPr>
          <w:rFonts w:ascii="Arial" w:hAnsi="Arial" w:cs="Arial"/>
          <w:color w:val="1F1F1F"/>
        </w:rPr>
      </w:pPr>
      <w:r w:rsidRPr="00586786">
        <w:rPr>
          <w:rFonts w:ascii="Arial" w:hAnsi="Arial" w:cs="Arial"/>
          <w:b/>
          <w:bCs/>
          <w:color w:val="1F1F1F"/>
        </w:rPr>
        <w:t>Word count:</w:t>
      </w:r>
      <w:r w:rsidRPr="00586786">
        <w:rPr>
          <w:rFonts w:ascii="Arial" w:hAnsi="Arial" w:cs="Arial"/>
          <w:color w:val="1F1F1F"/>
        </w:rPr>
        <w:t xml:space="preserve"> </w:t>
      </w:r>
      <w:r w:rsidR="002A0ABA" w:rsidRPr="00586786">
        <w:rPr>
          <w:rFonts w:ascii="Arial" w:hAnsi="Arial" w:cs="Arial"/>
          <w:color w:val="1F1F1F"/>
        </w:rPr>
        <w:t>4</w:t>
      </w:r>
      <w:r w:rsidR="00FC4A41" w:rsidRPr="00586786">
        <w:rPr>
          <w:rFonts w:ascii="Arial" w:hAnsi="Arial" w:cs="Arial"/>
          <w:color w:val="1F1F1F"/>
        </w:rPr>
        <w:t>11</w:t>
      </w:r>
      <w:r w:rsidR="004D2C10" w:rsidRPr="00586786">
        <w:rPr>
          <w:rFonts w:ascii="Arial" w:hAnsi="Arial" w:cs="Arial"/>
          <w:color w:val="1F1F1F"/>
        </w:rPr>
        <w:t>5</w:t>
      </w:r>
    </w:p>
    <w:p w14:paraId="132C2403" w14:textId="77777777" w:rsidR="00881A3D" w:rsidRPr="00586786" w:rsidRDefault="00881A3D" w:rsidP="00586786">
      <w:pPr>
        <w:pStyle w:val="NormalWeb"/>
        <w:spacing w:line="360" w:lineRule="auto"/>
        <w:rPr>
          <w:rFonts w:ascii="Arial" w:hAnsi="Arial" w:cs="Arial"/>
          <w:color w:val="1F1F1F"/>
        </w:rPr>
      </w:pPr>
    </w:p>
    <w:p w14:paraId="6A3400E1" w14:textId="77777777" w:rsidR="00CD0690" w:rsidRPr="00586786" w:rsidRDefault="00CD0690" w:rsidP="00586786">
      <w:pPr>
        <w:pStyle w:val="NormalWeb"/>
        <w:spacing w:line="360" w:lineRule="auto"/>
        <w:rPr>
          <w:rFonts w:ascii="Arial" w:hAnsi="Arial" w:cs="Arial"/>
          <w:bCs/>
          <w:color w:val="1F1F1F"/>
        </w:rPr>
      </w:pPr>
    </w:p>
    <w:p w14:paraId="165E5B54" w14:textId="77777777" w:rsidR="00CD0690" w:rsidRPr="00586786" w:rsidRDefault="00CD0690" w:rsidP="00586786">
      <w:pPr>
        <w:pStyle w:val="NormalWeb"/>
        <w:spacing w:line="360" w:lineRule="auto"/>
        <w:rPr>
          <w:rFonts w:ascii="Arial" w:hAnsi="Arial" w:cs="Arial"/>
          <w:color w:val="1F1F1F"/>
        </w:rPr>
      </w:pPr>
    </w:p>
    <w:p w14:paraId="4F571D22" w14:textId="77777777" w:rsidR="001C2C58" w:rsidRPr="00586786" w:rsidRDefault="001C2C58" w:rsidP="00586786">
      <w:pPr>
        <w:pStyle w:val="NormalWeb"/>
        <w:spacing w:line="360" w:lineRule="auto"/>
        <w:rPr>
          <w:rFonts w:ascii="Arial" w:hAnsi="Arial" w:cs="Arial"/>
          <w:color w:val="1F1F1F"/>
        </w:rPr>
      </w:pPr>
    </w:p>
    <w:p w14:paraId="5BD4DBA2" w14:textId="77777777" w:rsidR="001C2C58" w:rsidRPr="00586786" w:rsidRDefault="001C2C58" w:rsidP="00586786">
      <w:pPr>
        <w:pStyle w:val="NormalWeb"/>
        <w:spacing w:line="360" w:lineRule="auto"/>
        <w:rPr>
          <w:rFonts w:ascii="Arial" w:hAnsi="Arial" w:cs="Arial"/>
          <w:color w:val="1F1F1F"/>
        </w:rPr>
      </w:pPr>
    </w:p>
    <w:p w14:paraId="1F63C8C7" w14:textId="77777777" w:rsidR="001C2C58" w:rsidRPr="00586786" w:rsidRDefault="001C2C58" w:rsidP="00586786">
      <w:pPr>
        <w:pStyle w:val="NormalWeb"/>
        <w:spacing w:line="360" w:lineRule="auto"/>
        <w:rPr>
          <w:rFonts w:ascii="Arial" w:hAnsi="Arial" w:cs="Arial"/>
          <w:color w:val="1F1F1F"/>
        </w:rPr>
      </w:pPr>
    </w:p>
    <w:p w14:paraId="52494581" w14:textId="77777777" w:rsidR="001C2C58" w:rsidRPr="00586786" w:rsidRDefault="001C2C58" w:rsidP="00586786">
      <w:pPr>
        <w:pStyle w:val="NormalWeb"/>
        <w:spacing w:line="360" w:lineRule="auto"/>
        <w:rPr>
          <w:rFonts w:ascii="Arial" w:hAnsi="Arial" w:cs="Arial"/>
          <w:color w:val="1F1F1F"/>
        </w:rPr>
      </w:pPr>
    </w:p>
    <w:p w14:paraId="6B8F0946" w14:textId="77777777" w:rsidR="001C2C58" w:rsidRPr="00586786" w:rsidRDefault="001C2C58" w:rsidP="00586786">
      <w:pPr>
        <w:pStyle w:val="NormalWeb"/>
        <w:spacing w:line="360" w:lineRule="auto"/>
        <w:rPr>
          <w:rFonts w:ascii="Arial" w:hAnsi="Arial" w:cs="Arial"/>
          <w:color w:val="1F1F1F"/>
        </w:rPr>
      </w:pPr>
    </w:p>
    <w:p w14:paraId="3342B19F" w14:textId="77777777" w:rsidR="001C2C58" w:rsidRPr="00586786" w:rsidRDefault="001C2C58" w:rsidP="00586786">
      <w:pPr>
        <w:pStyle w:val="NormalWeb"/>
        <w:spacing w:line="360" w:lineRule="auto"/>
        <w:rPr>
          <w:rFonts w:ascii="Arial" w:hAnsi="Arial" w:cs="Arial"/>
          <w:color w:val="1F1F1F"/>
        </w:rPr>
      </w:pPr>
    </w:p>
    <w:p w14:paraId="01B995F4" w14:textId="77777777" w:rsidR="00CB40B4" w:rsidRPr="00586786" w:rsidRDefault="00CB40B4" w:rsidP="00586786">
      <w:pPr>
        <w:pStyle w:val="NormalWeb"/>
        <w:spacing w:line="360" w:lineRule="auto"/>
        <w:rPr>
          <w:rFonts w:ascii="Arial" w:hAnsi="Arial" w:cs="Arial"/>
          <w:color w:val="1F1F1F"/>
        </w:rPr>
      </w:pPr>
    </w:p>
    <w:p w14:paraId="06034F0E" w14:textId="10FA5D31" w:rsidR="00AF41F7" w:rsidRPr="00586786" w:rsidRDefault="00AF41F7" w:rsidP="00586786">
      <w:pPr>
        <w:pStyle w:val="NormalWeb"/>
        <w:spacing w:line="360" w:lineRule="auto"/>
        <w:rPr>
          <w:rFonts w:ascii="Arial" w:hAnsi="Arial" w:cs="Arial"/>
          <w:b/>
          <w:bCs/>
          <w:color w:val="1F1F1F"/>
        </w:rPr>
      </w:pPr>
      <w:r w:rsidRPr="00586786">
        <w:rPr>
          <w:rFonts w:ascii="Arial" w:hAnsi="Arial" w:cs="Arial"/>
          <w:b/>
          <w:bCs/>
          <w:color w:val="1F1F1F"/>
        </w:rPr>
        <w:lastRenderedPageBreak/>
        <w:t>ABSTRACT</w:t>
      </w:r>
      <w:r w:rsidR="005244B6" w:rsidRPr="00586786">
        <w:rPr>
          <w:rFonts w:ascii="Arial" w:hAnsi="Arial" w:cs="Arial"/>
          <w:b/>
          <w:bCs/>
          <w:color w:val="1F1F1F"/>
        </w:rPr>
        <w:t xml:space="preserve"> (word count: 2</w:t>
      </w:r>
      <w:r w:rsidR="00154D4D" w:rsidRPr="00586786">
        <w:rPr>
          <w:rFonts w:ascii="Arial" w:hAnsi="Arial" w:cs="Arial"/>
          <w:b/>
          <w:bCs/>
          <w:color w:val="1F1F1F"/>
        </w:rPr>
        <w:t>3</w:t>
      </w:r>
      <w:r w:rsidR="00FC4A41" w:rsidRPr="00586786">
        <w:rPr>
          <w:rFonts w:ascii="Arial" w:hAnsi="Arial" w:cs="Arial"/>
          <w:b/>
          <w:bCs/>
          <w:color w:val="1F1F1F"/>
        </w:rPr>
        <w:t>2</w:t>
      </w:r>
      <w:r w:rsidR="005244B6" w:rsidRPr="00586786">
        <w:rPr>
          <w:rFonts w:ascii="Arial" w:hAnsi="Arial" w:cs="Arial"/>
          <w:b/>
          <w:bCs/>
          <w:color w:val="1F1F1F"/>
        </w:rPr>
        <w:t>)</w:t>
      </w:r>
    </w:p>
    <w:p w14:paraId="4E09B165" w14:textId="77777777" w:rsidR="000C236C" w:rsidRPr="00586786" w:rsidRDefault="000C236C" w:rsidP="00586786">
      <w:pPr>
        <w:pStyle w:val="NormalWeb"/>
        <w:spacing w:line="360" w:lineRule="auto"/>
        <w:rPr>
          <w:rFonts w:ascii="Arial" w:hAnsi="Arial" w:cs="Arial"/>
          <w:b/>
          <w:bCs/>
          <w:color w:val="1F1F1F"/>
          <w:lang w:val="en-GB"/>
        </w:rPr>
      </w:pPr>
      <w:r w:rsidRPr="00586786">
        <w:rPr>
          <w:rFonts w:ascii="Arial" w:hAnsi="Arial" w:cs="Arial"/>
          <w:b/>
          <w:bCs/>
          <w:color w:val="1F1F1F"/>
          <w:lang w:val="en-GB"/>
        </w:rPr>
        <w:t>Background/aims</w:t>
      </w:r>
    </w:p>
    <w:p w14:paraId="17CEBA26" w14:textId="6477F7A9" w:rsidR="000C236C" w:rsidRPr="00586786" w:rsidRDefault="000C236C" w:rsidP="00586786">
      <w:pPr>
        <w:pStyle w:val="NormalWeb"/>
        <w:spacing w:line="360" w:lineRule="auto"/>
        <w:rPr>
          <w:rFonts w:ascii="Arial" w:hAnsi="Arial" w:cs="Arial"/>
          <w:color w:val="1F1F1F"/>
          <w:lang w:val="en-GB"/>
        </w:rPr>
      </w:pPr>
      <w:r w:rsidRPr="00586786">
        <w:rPr>
          <w:rFonts w:ascii="Arial" w:hAnsi="Arial" w:cs="Arial"/>
          <w:color w:val="1F1F1F"/>
          <w:lang w:val="en-GB"/>
        </w:rPr>
        <w:t xml:space="preserve">Glucocorticoids (GCs) are widely used </w:t>
      </w:r>
      <w:r w:rsidR="005E3C6F" w:rsidRPr="00586786">
        <w:rPr>
          <w:rFonts w:ascii="Arial" w:hAnsi="Arial" w:cs="Arial"/>
          <w:color w:val="1F1F1F"/>
          <w:lang w:val="en-GB"/>
        </w:rPr>
        <w:t>to treat</w:t>
      </w:r>
      <w:r w:rsidRPr="00586786">
        <w:rPr>
          <w:rFonts w:ascii="Arial" w:hAnsi="Arial" w:cs="Arial"/>
          <w:color w:val="1F1F1F"/>
          <w:lang w:val="en-GB"/>
        </w:rPr>
        <w:t xml:space="preserve"> autoimmune rheumatic diseases (AIRDs). Despite well-</w:t>
      </w:r>
      <w:r w:rsidR="005E3C6F" w:rsidRPr="00586786">
        <w:rPr>
          <w:rFonts w:ascii="Arial" w:hAnsi="Arial" w:cs="Arial"/>
          <w:color w:val="1F1F1F"/>
          <w:lang w:val="en-GB"/>
        </w:rPr>
        <w:t xml:space="preserve">recognised </w:t>
      </w:r>
      <w:r w:rsidRPr="00586786">
        <w:rPr>
          <w:rFonts w:ascii="Arial" w:hAnsi="Arial" w:cs="Arial"/>
          <w:color w:val="1F1F1F"/>
          <w:lang w:val="en-GB"/>
        </w:rPr>
        <w:t xml:space="preserve">adverse effects (AEs) including osteoporosis, diabetes, infection and psychiatric comorbidities, </w:t>
      </w:r>
      <w:r w:rsidR="005E3C6F" w:rsidRPr="00586786">
        <w:rPr>
          <w:rFonts w:ascii="Arial" w:hAnsi="Arial" w:cs="Arial"/>
          <w:color w:val="1F1F1F"/>
          <w:lang w:val="en-GB"/>
        </w:rPr>
        <w:t xml:space="preserve">GC impact </w:t>
      </w:r>
      <w:r w:rsidRPr="00586786">
        <w:rPr>
          <w:rFonts w:ascii="Arial" w:hAnsi="Arial" w:cs="Arial"/>
          <w:color w:val="1F1F1F"/>
          <w:lang w:val="en-GB"/>
        </w:rPr>
        <w:t xml:space="preserve">has not been well quantified in clinical trials nor standardised across indications for use. The OMERACT </w:t>
      </w:r>
      <w:r w:rsidR="004D2C10" w:rsidRPr="00586786">
        <w:rPr>
          <w:rFonts w:ascii="Arial" w:hAnsi="Arial" w:cs="Arial"/>
          <w:color w:val="1F1F1F"/>
          <w:lang w:val="en-GB"/>
        </w:rPr>
        <w:t xml:space="preserve">GC </w:t>
      </w:r>
      <w:r w:rsidR="005E3C6F" w:rsidRPr="00586786">
        <w:rPr>
          <w:rFonts w:ascii="Arial" w:hAnsi="Arial" w:cs="Arial"/>
          <w:color w:val="1F1F1F"/>
          <w:lang w:val="en-GB"/>
        </w:rPr>
        <w:t>Impact</w:t>
      </w:r>
      <w:r w:rsidRPr="00586786">
        <w:rPr>
          <w:rFonts w:ascii="Arial" w:hAnsi="Arial" w:cs="Arial"/>
          <w:color w:val="1F1F1F"/>
          <w:lang w:val="en-GB"/>
        </w:rPr>
        <w:t xml:space="preserve"> </w:t>
      </w:r>
      <w:r w:rsidR="00A43F35" w:rsidRPr="00586786">
        <w:rPr>
          <w:rFonts w:ascii="Arial" w:hAnsi="Arial" w:cs="Arial"/>
          <w:color w:val="1F1F1F"/>
          <w:lang w:val="en-GB"/>
        </w:rPr>
        <w:t>W</w:t>
      </w:r>
      <w:r w:rsidRPr="00586786">
        <w:rPr>
          <w:rFonts w:ascii="Arial" w:hAnsi="Arial" w:cs="Arial"/>
          <w:color w:val="1F1F1F"/>
          <w:lang w:val="en-GB"/>
        </w:rPr>
        <w:t xml:space="preserve">orking </w:t>
      </w:r>
      <w:r w:rsidR="00A43F35" w:rsidRPr="00586786">
        <w:rPr>
          <w:rFonts w:ascii="Arial" w:hAnsi="Arial" w:cs="Arial"/>
          <w:color w:val="1F1F1F"/>
          <w:lang w:val="en-GB"/>
        </w:rPr>
        <w:t>G</w:t>
      </w:r>
      <w:r w:rsidRPr="00586786">
        <w:rPr>
          <w:rFonts w:ascii="Arial" w:hAnsi="Arial" w:cs="Arial"/>
          <w:color w:val="1F1F1F"/>
          <w:lang w:val="en-GB"/>
        </w:rPr>
        <w:t xml:space="preserve">roup established a core domain outcome set in 2021. Further work </w:t>
      </w:r>
      <w:r w:rsidR="00A43F35" w:rsidRPr="00586786">
        <w:rPr>
          <w:rFonts w:ascii="Arial" w:hAnsi="Arial" w:cs="Arial"/>
          <w:color w:val="1F1F1F"/>
          <w:lang w:val="en-GB"/>
        </w:rPr>
        <w:t>wa</w:t>
      </w:r>
      <w:r w:rsidRPr="00586786">
        <w:rPr>
          <w:rFonts w:ascii="Arial" w:hAnsi="Arial" w:cs="Arial"/>
          <w:color w:val="1F1F1F"/>
          <w:lang w:val="en-GB"/>
        </w:rPr>
        <w:t xml:space="preserve">s required to establish appropriate measurement instruments for these core domains. This </w:t>
      </w:r>
      <w:r w:rsidR="00A9782F" w:rsidRPr="00586786">
        <w:rPr>
          <w:rFonts w:ascii="Arial" w:hAnsi="Arial" w:cs="Arial"/>
          <w:color w:val="1F1F1F"/>
          <w:lang w:val="en-GB"/>
        </w:rPr>
        <w:t>scoping review</w:t>
      </w:r>
      <w:r w:rsidRPr="00586786">
        <w:rPr>
          <w:rFonts w:ascii="Arial" w:hAnsi="Arial" w:cs="Arial"/>
          <w:color w:val="1F1F1F"/>
          <w:lang w:val="en-GB"/>
        </w:rPr>
        <w:t xml:space="preserve"> aims to identify</w:t>
      </w:r>
      <w:r w:rsidR="0093383A" w:rsidRPr="00586786">
        <w:rPr>
          <w:rFonts w:ascii="Arial" w:hAnsi="Arial" w:cs="Arial"/>
          <w:color w:val="1F1F1F"/>
          <w:lang w:val="en-GB"/>
        </w:rPr>
        <w:t xml:space="preserve"> clinician reported</w:t>
      </w:r>
      <w:r w:rsidRPr="00586786">
        <w:rPr>
          <w:rFonts w:ascii="Arial" w:hAnsi="Arial" w:cs="Arial"/>
          <w:color w:val="1F1F1F"/>
          <w:lang w:val="en-GB"/>
        </w:rPr>
        <w:t xml:space="preserve"> </w:t>
      </w:r>
      <w:r w:rsidR="0093383A" w:rsidRPr="00586786">
        <w:rPr>
          <w:rFonts w:ascii="Arial" w:hAnsi="Arial" w:cs="Arial"/>
          <w:color w:val="1F1F1F"/>
          <w:lang w:val="en-GB"/>
        </w:rPr>
        <w:t xml:space="preserve">outcome </w:t>
      </w:r>
      <w:r w:rsidRPr="00586786">
        <w:rPr>
          <w:rFonts w:ascii="Arial" w:hAnsi="Arial" w:cs="Arial"/>
          <w:color w:val="1F1F1F"/>
          <w:lang w:val="en-GB"/>
        </w:rPr>
        <w:t>measures</w:t>
      </w:r>
      <w:r w:rsidR="0093383A" w:rsidRPr="00586786">
        <w:rPr>
          <w:rFonts w:ascii="Arial" w:hAnsi="Arial" w:cs="Arial"/>
          <w:color w:val="1F1F1F"/>
          <w:lang w:val="en-GB"/>
        </w:rPr>
        <w:t xml:space="preserve"> (</w:t>
      </w:r>
      <w:proofErr w:type="spellStart"/>
      <w:r w:rsidR="0093383A" w:rsidRPr="00586786">
        <w:rPr>
          <w:rFonts w:ascii="Arial" w:hAnsi="Arial" w:cs="Arial"/>
          <w:color w:val="1F1F1F"/>
          <w:lang w:val="en-GB"/>
        </w:rPr>
        <w:t>ClinROs</w:t>
      </w:r>
      <w:proofErr w:type="spellEnd"/>
      <w:r w:rsidR="0093383A" w:rsidRPr="00586786">
        <w:rPr>
          <w:rFonts w:ascii="Arial" w:hAnsi="Arial" w:cs="Arial"/>
          <w:color w:val="1F1F1F"/>
          <w:lang w:val="en-GB"/>
        </w:rPr>
        <w:t>)</w:t>
      </w:r>
      <w:r w:rsidRPr="00586786">
        <w:rPr>
          <w:rFonts w:ascii="Arial" w:hAnsi="Arial" w:cs="Arial"/>
          <w:color w:val="1F1F1F"/>
          <w:lang w:val="en-GB"/>
        </w:rPr>
        <w:t xml:space="preserve"> of GC</w:t>
      </w:r>
      <w:r w:rsidR="00633EEC" w:rsidRPr="00586786">
        <w:rPr>
          <w:rFonts w:ascii="Arial" w:hAnsi="Arial" w:cs="Arial"/>
          <w:color w:val="1F1F1F"/>
          <w:lang w:val="en-GB"/>
        </w:rPr>
        <w:t>-related</w:t>
      </w:r>
      <w:r w:rsidRPr="00586786">
        <w:rPr>
          <w:rFonts w:ascii="Arial" w:hAnsi="Arial" w:cs="Arial"/>
          <w:color w:val="1F1F1F"/>
          <w:lang w:val="en-GB"/>
        </w:rPr>
        <w:t xml:space="preserve"> </w:t>
      </w:r>
      <w:r w:rsidR="005E3C6F" w:rsidRPr="00586786">
        <w:rPr>
          <w:rFonts w:ascii="Arial" w:hAnsi="Arial" w:cs="Arial"/>
          <w:color w:val="1F1F1F"/>
          <w:lang w:val="en-GB"/>
        </w:rPr>
        <w:t xml:space="preserve">AEs </w:t>
      </w:r>
      <w:r w:rsidR="00CB40B4" w:rsidRPr="00586786">
        <w:rPr>
          <w:rFonts w:ascii="Arial" w:hAnsi="Arial" w:cs="Arial"/>
          <w:color w:val="1F1F1F"/>
          <w:lang w:val="en-GB"/>
        </w:rPr>
        <w:t>in patients with inflammatory conditions treated with GCs</w:t>
      </w:r>
      <w:r w:rsidR="0093383A" w:rsidRPr="00586786">
        <w:rPr>
          <w:rFonts w:ascii="Arial" w:hAnsi="Arial" w:cs="Arial"/>
          <w:color w:val="1F1F1F"/>
          <w:lang w:val="en-GB"/>
        </w:rPr>
        <w:t>.</w:t>
      </w:r>
    </w:p>
    <w:p w14:paraId="70C81267" w14:textId="77777777" w:rsidR="000C236C" w:rsidRPr="00586786" w:rsidRDefault="000C236C" w:rsidP="00586786">
      <w:pPr>
        <w:pStyle w:val="NormalWeb"/>
        <w:spacing w:line="360" w:lineRule="auto"/>
        <w:rPr>
          <w:rFonts w:ascii="Arial" w:hAnsi="Arial" w:cs="Arial"/>
          <w:b/>
          <w:bCs/>
          <w:color w:val="1F1F1F"/>
          <w:lang w:val="en-GB"/>
        </w:rPr>
      </w:pPr>
      <w:r w:rsidRPr="00586786">
        <w:rPr>
          <w:rFonts w:ascii="Arial" w:hAnsi="Arial" w:cs="Arial"/>
          <w:b/>
          <w:bCs/>
          <w:color w:val="1F1F1F"/>
          <w:lang w:val="en-GB"/>
        </w:rPr>
        <w:t>Methods</w:t>
      </w:r>
    </w:p>
    <w:p w14:paraId="5AAF98D3" w14:textId="5B4DEC12" w:rsidR="000C236C" w:rsidRPr="00586786" w:rsidRDefault="00280A76" w:rsidP="00586786">
      <w:pPr>
        <w:pStyle w:val="NormalWeb"/>
        <w:spacing w:line="360" w:lineRule="auto"/>
        <w:rPr>
          <w:rFonts w:ascii="Arial" w:hAnsi="Arial" w:cs="Arial"/>
          <w:color w:val="1F1F1F"/>
          <w:lang w:val="en-GB"/>
        </w:rPr>
      </w:pPr>
      <w:r w:rsidRPr="00586786">
        <w:rPr>
          <w:rFonts w:ascii="Arial" w:hAnsi="Arial" w:cs="Arial"/>
        </w:rPr>
        <w:t>Medline, EMBASE, CINHAL and CENTRAL</w:t>
      </w:r>
      <w:r w:rsidR="00843A6F" w:rsidRPr="00586786">
        <w:rPr>
          <w:rFonts w:ascii="Arial" w:hAnsi="Arial" w:cs="Arial"/>
        </w:rPr>
        <w:t xml:space="preserve"> </w:t>
      </w:r>
      <w:r w:rsidR="000C236C" w:rsidRPr="00586786">
        <w:rPr>
          <w:rFonts w:ascii="Arial" w:hAnsi="Arial" w:cs="Arial"/>
          <w:color w:val="1F1F1F"/>
          <w:lang w:val="en-GB"/>
        </w:rPr>
        <w:t xml:space="preserve">were searched </w:t>
      </w:r>
      <w:r w:rsidR="00154D4D" w:rsidRPr="00586786">
        <w:rPr>
          <w:rFonts w:ascii="Arial" w:hAnsi="Arial" w:cs="Arial"/>
          <w:color w:val="1F1F1F"/>
          <w:lang w:val="en-GB"/>
        </w:rPr>
        <w:t>(</w:t>
      </w:r>
      <w:r w:rsidR="003F73B8" w:rsidRPr="00586786">
        <w:rPr>
          <w:rFonts w:ascii="Arial" w:hAnsi="Arial" w:cs="Arial"/>
          <w:color w:val="1F1F1F"/>
          <w:lang w:val="en-GB"/>
        </w:rPr>
        <w:t xml:space="preserve">from </w:t>
      </w:r>
      <w:r w:rsidR="00154D4D" w:rsidRPr="00586786">
        <w:rPr>
          <w:rFonts w:ascii="Arial" w:hAnsi="Arial" w:cs="Arial"/>
          <w:color w:val="1F1F1F"/>
          <w:lang w:val="en-GB"/>
        </w:rPr>
        <w:t xml:space="preserve">inception </w:t>
      </w:r>
      <w:r w:rsidR="003F73B8" w:rsidRPr="00586786">
        <w:rPr>
          <w:rFonts w:ascii="Arial" w:hAnsi="Arial" w:cs="Arial"/>
          <w:color w:val="1F1F1F"/>
          <w:lang w:val="en-GB"/>
        </w:rPr>
        <w:t>to</w:t>
      </w:r>
      <w:r w:rsidR="00154D4D" w:rsidRPr="00586786">
        <w:rPr>
          <w:rFonts w:ascii="Arial" w:hAnsi="Arial" w:cs="Arial"/>
          <w:color w:val="1F1F1F"/>
          <w:lang w:val="en-GB"/>
        </w:rPr>
        <w:t xml:space="preserve"> August 2024) </w:t>
      </w:r>
      <w:r w:rsidR="000C236C" w:rsidRPr="00586786">
        <w:rPr>
          <w:rFonts w:ascii="Arial" w:hAnsi="Arial" w:cs="Arial"/>
          <w:color w:val="1F1F1F"/>
          <w:lang w:val="en-GB"/>
        </w:rPr>
        <w:t xml:space="preserve">along with hand search of abstracts presented at major rheumatology meetings </w:t>
      </w:r>
      <w:r w:rsidR="003F73B8" w:rsidRPr="00586786">
        <w:rPr>
          <w:rFonts w:ascii="Arial" w:hAnsi="Arial" w:cs="Arial"/>
          <w:color w:val="1F1F1F"/>
          <w:lang w:val="en-GB"/>
        </w:rPr>
        <w:t xml:space="preserve">(between </w:t>
      </w:r>
      <w:r w:rsidR="00A9782F" w:rsidRPr="00586786">
        <w:rPr>
          <w:rFonts w:ascii="Arial" w:hAnsi="Arial" w:cs="Arial"/>
          <w:color w:val="1F1F1F"/>
          <w:lang w:val="en-GB"/>
        </w:rPr>
        <w:t xml:space="preserve">August </w:t>
      </w:r>
      <w:r w:rsidR="000C236C" w:rsidRPr="00586786">
        <w:rPr>
          <w:rFonts w:ascii="Arial" w:hAnsi="Arial" w:cs="Arial"/>
          <w:color w:val="1F1F1F"/>
          <w:lang w:val="en-GB"/>
        </w:rPr>
        <w:t xml:space="preserve">2019 </w:t>
      </w:r>
      <w:r w:rsidR="003F73B8" w:rsidRPr="00586786">
        <w:rPr>
          <w:rFonts w:ascii="Arial" w:hAnsi="Arial" w:cs="Arial"/>
          <w:color w:val="1F1F1F"/>
          <w:lang w:val="en-GB"/>
        </w:rPr>
        <w:t>and</w:t>
      </w:r>
      <w:r w:rsidR="000C236C" w:rsidRPr="00586786">
        <w:rPr>
          <w:rFonts w:ascii="Arial" w:hAnsi="Arial" w:cs="Arial"/>
          <w:color w:val="1F1F1F"/>
          <w:lang w:val="en-GB"/>
        </w:rPr>
        <w:t xml:space="preserve"> </w:t>
      </w:r>
      <w:r w:rsidR="00A9782F" w:rsidRPr="00586786">
        <w:rPr>
          <w:rFonts w:ascii="Arial" w:hAnsi="Arial" w:cs="Arial"/>
          <w:color w:val="1F1F1F"/>
          <w:lang w:val="en-GB"/>
        </w:rPr>
        <w:t>August</w:t>
      </w:r>
      <w:r w:rsidR="008B3623" w:rsidRPr="00586786">
        <w:rPr>
          <w:rFonts w:ascii="Arial" w:hAnsi="Arial" w:cs="Arial"/>
          <w:color w:val="1F1F1F"/>
          <w:lang w:val="en-GB"/>
        </w:rPr>
        <w:t xml:space="preserve"> </w:t>
      </w:r>
      <w:r w:rsidR="000C236C" w:rsidRPr="00586786">
        <w:rPr>
          <w:rFonts w:ascii="Arial" w:hAnsi="Arial" w:cs="Arial"/>
          <w:color w:val="1F1F1F"/>
          <w:lang w:val="en-GB"/>
        </w:rPr>
        <w:t>2024</w:t>
      </w:r>
      <w:r w:rsidR="003F73B8" w:rsidRPr="00586786">
        <w:rPr>
          <w:rFonts w:ascii="Arial" w:hAnsi="Arial" w:cs="Arial"/>
          <w:color w:val="1F1F1F"/>
          <w:lang w:val="en-GB"/>
        </w:rPr>
        <w:t>),</w:t>
      </w:r>
      <w:r w:rsidR="000C236C" w:rsidRPr="00586786">
        <w:rPr>
          <w:rFonts w:ascii="Arial" w:hAnsi="Arial" w:cs="Arial"/>
          <w:color w:val="1F1F1F"/>
          <w:lang w:val="en-GB"/>
        </w:rPr>
        <w:t xml:space="preserve"> for studies referring to the use of exogenous </w:t>
      </w:r>
      <w:r w:rsidR="00CB40B4" w:rsidRPr="00586786">
        <w:rPr>
          <w:rFonts w:ascii="Arial" w:hAnsi="Arial" w:cs="Arial"/>
          <w:color w:val="1F1F1F"/>
          <w:lang w:val="en-GB"/>
        </w:rPr>
        <w:t xml:space="preserve">GCs </w:t>
      </w:r>
      <w:r w:rsidR="000C236C" w:rsidRPr="00586786">
        <w:rPr>
          <w:rFonts w:ascii="Arial" w:hAnsi="Arial" w:cs="Arial"/>
          <w:color w:val="1F1F1F"/>
          <w:lang w:val="en-GB"/>
        </w:rPr>
        <w:t xml:space="preserve">and reporting a clinician or patient reported outcome measure (PRO). Data was extracted </w:t>
      </w:r>
      <w:r w:rsidR="00154D4D" w:rsidRPr="00586786">
        <w:rPr>
          <w:rFonts w:ascii="Arial" w:hAnsi="Arial" w:cs="Arial"/>
          <w:color w:val="1F1F1F"/>
          <w:lang w:val="en-GB"/>
        </w:rPr>
        <w:t xml:space="preserve">for each OMERACT GC domain. </w:t>
      </w:r>
    </w:p>
    <w:p w14:paraId="1D86B969" w14:textId="77777777" w:rsidR="000C236C" w:rsidRPr="00586786" w:rsidRDefault="000C236C" w:rsidP="00586786">
      <w:pPr>
        <w:pStyle w:val="NormalWeb"/>
        <w:spacing w:line="360" w:lineRule="auto"/>
        <w:rPr>
          <w:rFonts w:ascii="Arial" w:hAnsi="Arial" w:cs="Arial"/>
          <w:b/>
          <w:bCs/>
          <w:color w:val="1F1F1F"/>
          <w:lang w:val="en-GB"/>
        </w:rPr>
      </w:pPr>
      <w:r w:rsidRPr="00586786">
        <w:rPr>
          <w:rFonts w:ascii="Arial" w:hAnsi="Arial" w:cs="Arial"/>
          <w:b/>
          <w:bCs/>
          <w:color w:val="1F1F1F"/>
          <w:lang w:val="en-GB"/>
        </w:rPr>
        <w:t>Results</w:t>
      </w:r>
    </w:p>
    <w:p w14:paraId="5B9F5ECB" w14:textId="4B2D7D50" w:rsidR="000C236C" w:rsidRPr="00586786" w:rsidRDefault="00E5518A" w:rsidP="00586786">
      <w:pPr>
        <w:pStyle w:val="NormalWeb"/>
        <w:spacing w:line="360" w:lineRule="auto"/>
        <w:rPr>
          <w:rFonts w:ascii="Arial" w:hAnsi="Arial" w:cs="Arial"/>
          <w:color w:val="1F1F1F"/>
          <w:lang w:val="en-GB"/>
        </w:rPr>
      </w:pPr>
      <w:r w:rsidRPr="00586786">
        <w:rPr>
          <w:rFonts w:ascii="Arial" w:hAnsi="Arial" w:cs="Arial"/>
          <w:color w:val="1F1F1F"/>
          <w:lang w:val="en-GB"/>
        </w:rPr>
        <w:t xml:space="preserve">57 studies included </w:t>
      </w:r>
      <w:proofErr w:type="spellStart"/>
      <w:r w:rsidRPr="00586786">
        <w:rPr>
          <w:rFonts w:ascii="Arial" w:hAnsi="Arial" w:cs="Arial"/>
          <w:color w:val="1F1F1F"/>
          <w:lang w:val="en-GB"/>
        </w:rPr>
        <w:t>ClinRO</w:t>
      </w:r>
      <w:r w:rsidR="00540BF4" w:rsidRPr="00586786">
        <w:rPr>
          <w:rFonts w:ascii="Arial" w:hAnsi="Arial" w:cs="Arial"/>
          <w:color w:val="1F1F1F"/>
          <w:lang w:val="en-GB"/>
        </w:rPr>
        <w:t>s</w:t>
      </w:r>
      <w:proofErr w:type="spellEnd"/>
      <w:r w:rsidRPr="00586786">
        <w:rPr>
          <w:rFonts w:ascii="Arial" w:hAnsi="Arial" w:cs="Arial"/>
          <w:color w:val="1F1F1F"/>
          <w:lang w:val="en-GB"/>
        </w:rPr>
        <w:t>, 20 (35.1%</w:t>
      </w:r>
      <w:r w:rsidR="00280A76" w:rsidRPr="00586786">
        <w:rPr>
          <w:rFonts w:ascii="Arial" w:hAnsi="Arial" w:cs="Arial"/>
          <w:color w:val="1F1F1F"/>
          <w:lang w:val="en-GB"/>
        </w:rPr>
        <w:t>)</w:t>
      </w:r>
      <w:r w:rsidRPr="00586786">
        <w:rPr>
          <w:rFonts w:ascii="Arial" w:hAnsi="Arial" w:cs="Arial"/>
          <w:color w:val="1F1F1F"/>
          <w:lang w:val="en-GB"/>
        </w:rPr>
        <w:t xml:space="preserve"> in a</w:t>
      </w:r>
      <w:r w:rsidR="00280A76" w:rsidRPr="00586786">
        <w:rPr>
          <w:rFonts w:ascii="Arial" w:hAnsi="Arial" w:cs="Arial"/>
          <w:color w:val="1F1F1F"/>
          <w:lang w:val="en-GB"/>
        </w:rPr>
        <w:t>n</w:t>
      </w:r>
      <w:r w:rsidRPr="00586786">
        <w:rPr>
          <w:rFonts w:ascii="Arial" w:hAnsi="Arial" w:cs="Arial"/>
          <w:color w:val="1F1F1F"/>
          <w:lang w:val="en-GB"/>
        </w:rPr>
        <w:t xml:space="preserve"> </w:t>
      </w:r>
      <w:r w:rsidR="00280A76" w:rsidRPr="00586786">
        <w:rPr>
          <w:rFonts w:ascii="Arial" w:hAnsi="Arial" w:cs="Arial"/>
          <w:color w:val="1F1F1F"/>
          <w:lang w:val="en-GB"/>
        </w:rPr>
        <w:t xml:space="preserve">AIRD </w:t>
      </w:r>
      <w:r w:rsidRPr="00586786">
        <w:rPr>
          <w:rFonts w:ascii="Arial" w:hAnsi="Arial" w:cs="Arial"/>
          <w:color w:val="1F1F1F"/>
          <w:lang w:val="en-GB"/>
        </w:rPr>
        <w:t xml:space="preserve">population. </w:t>
      </w:r>
      <w:r w:rsidR="00A9782F" w:rsidRPr="00586786">
        <w:rPr>
          <w:rFonts w:ascii="Arial" w:hAnsi="Arial" w:cs="Arial"/>
          <w:color w:val="1F1F1F"/>
          <w:lang w:val="en-GB"/>
        </w:rPr>
        <w:t>In the majority (</w:t>
      </w:r>
      <w:r w:rsidRPr="00586786">
        <w:rPr>
          <w:rFonts w:ascii="Arial" w:hAnsi="Arial" w:cs="Arial"/>
          <w:color w:val="1F1F1F"/>
          <w:lang w:val="en-GB"/>
        </w:rPr>
        <w:t>48/57</w:t>
      </w:r>
      <w:r w:rsidR="00A9782F" w:rsidRPr="00586786">
        <w:rPr>
          <w:rFonts w:ascii="Arial" w:hAnsi="Arial" w:cs="Arial"/>
          <w:color w:val="1F1F1F"/>
          <w:lang w:val="en-GB"/>
        </w:rPr>
        <w:t xml:space="preserve">, </w:t>
      </w:r>
      <w:r w:rsidRPr="00586786">
        <w:rPr>
          <w:rFonts w:ascii="Arial" w:hAnsi="Arial" w:cs="Arial"/>
          <w:color w:val="1F1F1F"/>
          <w:lang w:val="en-GB"/>
        </w:rPr>
        <w:t>84.2</w:t>
      </w:r>
      <w:r w:rsidR="00A9782F" w:rsidRPr="00586786">
        <w:rPr>
          <w:rFonts w:ascii="Arial" w:hAnsi="Arial" w:cs="Arial"/>
          <w:color w:val="1F1F1F"/>
          <w:lang w:val="en-GB"/>
        </w:rPr>
        <w:t xml:space="preserve">%) </w:t>
      </w:r>
      <w:r w:rsidR="000C236C" w:rsidRPr="00586786">
        <w:rPr>
          <w:rFonts w:ascii="Arial" w:hAnsi="Arial" w:cs="Arial"/>
          <w:color w:val="1F1F1F"/>
          <w:lang w:val="en-GB"/>
        </w:rPr>
        <w:t xml:space="preserve">GCs were delivered systemically. </w:t>
      </w:r>
      <w:r w:rsidRPr="00586786">
        <w:rPr>
          <w:rFonts w:ascii="Arial" w:hAnsi="Arial" w:cs="Arial"/>
          <w:color w:val="1F1F1F"/>
          <w:lang w:val="en-GB"/>
        </w:rPr>
        <w:t>B</w:t>
      </w:r>
      <w:r w:rsidR="000C236C" w:rsidRPr="00586786">
        <w:rPr>
          <w:rFonts w:ascii="Arial" w:hAnsi="Arial" w:cs="Arial"/>
          <w:color w:val="1F1F1F"/>
          <w:lang w:val="en-GB"/>
        </w:rPr>
        <w:t>one fragility (n=</w:t>
      </w:r>
      <w:r w:rsidR="00DC46D3" w:rsidRPr="00586786">
        <w:rPr>
          <w:rFonts w:ascii="Arial" w:hAnsi="Arial" w:cs="Arial"/>
          <w:color w:val="1F1F1F"/>
          <w:lang w:val="en-GB"/>
        </w:rPr>
        <w:t>3</w:t>
      </w:r>
      <w:r w:rsidR="002F1508" w:rsidRPr="00586786">
        <w:rPr>
          <w:rFonts w:ascii="Arial" w:hAnsi="Arial" w:cs="Arial"/>
          <w:color w:val="1F1F1F"/>
          <w:lang w:val="en-GB"/>
        </w:rPr>
        <w:t>1</w:t>
      </w:r>
      <w:r w:rsidRPr="00586786">
        <w:rPr>
          <w:rFonts w:ascii="Arial" w:hAnsi="Arial" w:cs="Arial"/>
          <w:color w:val="1F1F1F"/>
          <w:lang w:val="en-GB"/>
        </w:rPr>
        <w:t xml:space="preserve"> studies</w:t>
      </w:r>
      <w:r w:rsidR="000C236C" w:rsidRPr="00586786">
        <w:rPr>
          <w:rFonts w:ascii="Arial" w:hAnsi="Arial" w:cs="Arial"/>
          <w:color w:val="1F1F1F"/>
          <w:lang w:val="en-GB"/>
        </w:rPr>
        <w:t xml:space="preserve">) and mood disturbance (n=20) were frequently assessed, while fatigue (n=0), sleep disturbance (n=2) and appearance (n=1) were infrequently assessed. </w:t>
      </w:r>
      <w:r w:rsidRPr="00586786">
        <w:rPr>
          <w:rFonts w:ascii="Arial" w:hAnsi="Arial" w:cs="Arial"/>
          <w:color w:val="1F1F1F"/>
          <w:lang w:val="en-GB"/>
        </w:rPr>
        <w:t xml:space="preserve">31 individual or grouped candidate </w:t>
      </w:r>
      <w:proofErr w:type="spellStart"/>
      <w:r w:rsidRPr="00586786">
        <w:rPr>
          <w:rFonts w:ascii="Arial" w:hAnsi="Arial" w:cs="Arial"/>
          <w:color w:val="1F1F1F"/>
          <w:lang w:val="en-GB"/>
        </w:rPr>
        <w:t>ClinROs</w:t>
      </w:r>
      <w:proofErr w:type="spellEnd"/>
      <w:r w:rsidRPr="00586786">
        <w:rPr>
          <w:rFonts w:ascii="Arial" w:hAnsi="Arial" w:cs="Arial"/>
          <w:color w:val="1F1F1F"/>
          <w:lang w:val="en-GB"/>
        </w:rPr>
        <w:t xml:space="preserve"> were identified. </w:t>
      </w:r>
    </w:p>
    <w:p w14:paraId="0C046632" w14:textId="77777777" w:rsidR="000C236C" w:rsidRPr="00586786" w:rsidRDefault="000C236C" w:rsidP="00586786">
      <w:pPr>
        <w:pStyle w:val="NormalWeb"/>
        <w:spacing w:line="360" w:lineRule="auto"/>
        <w:rPr>
          <w:rFonts w:ascii="Arial" w:hAnsi="Arial" w:cs="Arial"/>
          <w:color w:val="1F1F1F"/>
          <w:lang w:val="en-GB"/>
        </w:rPr>
      </w:pPr>
      <w:r w:rsidRPr="00586786">
        <w:rPr>
          <w:rFonts w:ascii="Arial" w:hAnsi="Arial" w:cs="Arial"/>
          <w:b/>
          <w:bCs/>
          <w:color w:val="1F1F1F"/>
          <w:lang w:val="en-GB"/>
        </w:rPr>
        <w:t>Conclusion</w:t>
      </w:r>
    </w:p>
    <w:p w14:paraId="75A30EA8" w14:textId="0A0E0B13" w:rsidR="00D4621D" w:rsidRPr="00586786" w:rsidRDefault="00E5518A" w:rsidP="00586786">
      <w:pPr>
        <w:pStyle w:val="NormalWeb"/>
        <w:spacing w:line="360" w:lineRule="auto"/>
        <w:rPr>
          <w:rFonts w:ascii="Arial" w:hAnsi="Arial" w:cs="Arial"/>
          <w:color w:val="1F1F1F"/>
          <w:lang w:val="en-GB"/>
        </w:rPr>
      </w:pPr>
      <w:r w:rsidRPr="00586786">
        <w:rPr>
          <w:rFonts w:ascii="Arial" w:hAnsi="Arial" w:cs="Arial"/>
          <w:color w:val="1F1F1F"/>
          <w:lang w:val="en-GB"/>
        </w:rPr>
        <w:t xml:space="preserve">31 </w:t>
      </w:r>
      <w:proofErr w:type="gramStart"/>
      <w:r w:rsidRPr="00586786">
        <w:rPr>
          <w:rFonts w:ascii="Arial" w:hAnsi="Arial" w:cs="Arial"/>
          <w:color w:val="1F1F1F"/>
          <w:lang w:val="en-GB"/>
        </w:rPr>
        <w:t>candidate</w:t>
      </w:r>
      <w:proofErr w:type="gramEnd"/>
      <w:r w:rsidRPr="00586786">
        <w:rPr>
          <w:rFonts w:ascii="Arial" w:hAnsi="Arial" w:cs="Arial"/>
          <w:color w:val="1F1F1F"/>
          <w:lang w:val="en-GB"/>
        </w:rPr>
        <w:t xml:space="preserve"> </w:t>
      </w:r>
      <w:proofErr w:type="spellStart"/>
      <w:r w:rsidR="00154D4D" w:rsidRPr="00586786">
        <w:rPr>
          <w:rFonts w:ascii="Arial" w:hAnsi="Arial" w:cs="Arial"/>
          <w:color w:val="1F1F1F"/>
          <w:lang w:val="en-GB"/>
        </w:rPr>
        <w:t>ClinROs</w:t>
      </w:r>
      <w:proofErr w:type="spellEnd"/>
      <w:r w:rsidRPr="00586786">
        <w:rPr>
          <w:rFonts w:ascii="Arial" w:hAnsi="Arial" w:cs="Arial"/>
          <w:color w:val="1F1F1F"/>
          <w:lang w:val="en-GB"/>
        </w:rPr>
        <w:t xml:space="preserve"> were identified </w:t>
      </w:r>
      <w:r w:rsidR="000C236C" w:rsidRPr="00586786">
        <w:rPr>
          <w:rFonts w:ascii="Arial" w:hAnsi="Arial" w:cs="Arial"/>
          <w:color w:val="1F1F1F"/>
          <w:lang w:val="en-GB"/>
        </w:rPr>
        <w:t xml:space="preserve">for measurement of </w:t>
      </w:r>
      <w:r w:rsidR="000C236C" w:rsidRPr="00586786">
        <w:rPr>
          <w:rFonts w:ascii="Arial" w:hAnsi="Arial" w:cs="Arial"/>
        </w:rPr>
        <w:t xml:space="preserve">physiological and psychosocial impact domains </w:t>
      </w:r>
      <w:r w:rsidR="008D2780" w:rsidRPr="00586786">
        <w:rPr>
          <w:rFonts w:ascii="Arial" w:hAnsi="Arial" w:cs="Arial"/>
        </w:rPr>
        <w:t>of</w:t>
      </w:r>
      <w:r w:rsidR="000C236C" w:rsidRPr="00586786">
        <w:rPr>
          <w:rFonts w:ascii="Arial" w:hAnsi="Arial" w:cs="Arial"/>
        </w:rPr>
        <w:t xml:space="preserve"> </w:t>
      </w:r>
      <w:r w:rsidR="00A72BBA" w:rsidRPr="00586786">
        <w:rPr>
          <w:rFonts w:ascii="Arial" w:hAnsi="Arial" w:cs="Arial"/>
        </w:rPr>
        <w:t>GC</w:t>
      </w:r>
      <w:r w:rsidR="000C236C" w:rsidRPr="00586786">
        <w:rPr>
          <w:rFonts w:ascii="Arial" w:hAnsi="Arial" w:cs="Arial"/>
        </w:rPr>
        <w:t xml:space="preserve"> impact</w:t>
      </w:r>
      <w:r w:rsidR="00CB3660" w:rsidRPr="00586786">
        <w:rPr>
          <w:rFonts w:ascii="Arial" w:hAnsi="Arial" w:cs="Arial"/>
          <w:color w:val="1F1F1F"/>
          <w:lang w:val="en-GB"/>
        </w:rPr>
        <w:t xml:space="preserve">. </w:t>
      </w:r>
      <w:r w:rsidR="001902A3" w:rsidRPr="00586786">
        <w:rPr>
          <w:rFonts w:ascii="Arial" w:hAnsi="Arial" w:cs="Arial"/>
          <w:color w:val="1F1F1F"/>
          <w:lang w:val="en-GB"/>
        </w:rPr>
        <w:t xml:space="preserve">These findings will inform selection of a core set of </w:t>
      </w:r>
      <w:r w:rsidR="008703F4" w:rsidRPr="00586786">
        <w:rPr>
          <w:rFonts w:ascii="Arial" w:hAnsi="Arial" w:cs="Arial"/>
          <w:color w:val="1F1F1F"/>
          <w:lang w:val="en-GB"/>
        </w:rPr>
        <w:t xml:space="preserve">measurement </w:t>
      </w:r>
      <w:r w:rsidR="001902A3" w:rsidRPr="00586786">
        <w:rPr>
          <w:rFonts w:ascii="Arial" w:hAnsi="Arial" w:cs="Arial"/>
          <w:color w:val="1F1F1F"/>
          <w:lang w:val="en-GB"/>
        </w:rPr>
        <w:t>instruments for future trials and clinical practice.</w:t>
      </w:r>
    </w:p>
    <w:p w14:paraId="13D61D62" w14:textId="20C1C8E7" w:rsidR="00AF41F7" w:rsidRPr="00586786" w:rsidRDefault="00E0194E" w:rsidP="00586786">
      <w:pPr>
        <w:pStyle w:val="NormalWeb"/>
        <w:spacing w:line="360" w:lineRule="auto"/>
        <w:rPr>
          <w:rFonts w:ascii="Arial" w:hAnsi="Arial" w:cs="Arial"/>
          <w:b/>
          <w:bCs/>
          <w:color w:val="1F1F1F"/>
        </w:rPr>
      </w:pPr>
      <w:r w:rsidRPr="00586786">
        <w:rPr>
          <w:rFonts w:ascii="Arial" w:hAnsi="Arial" w:cs="Arial"/>
          <w:b/>
          <w:bCs/>
          <w:color w:val="1F1F1F"/>
        </w:rPr>
        <w:lastRenderedPageBreak/>
        <w:t xml:space="preserve">1.0 </w:t>
      </w:r>
      <w:r w:rsidR="00AF41F7" w:rsidRPr="00586786">
        <w:rPr>
          <w:rFonts w:ascii="Arial" w:hAnsi="Arial" w:cs="Arial"/>
          <w:b/>
          <w:bCs/>
          <w:color w:val="1F1F1F"/>
        </w:rPr>
        <w:t>INTRODUCTION</w:t>
      </w:r>
    </w:p>
    <w:p w14:paraId="2F1D1B78" w14:textId="3FF9470A" w:rsidR="004F7811" w:rsidRPr="00586786" w:rsidRDefault="00AF41F7" w:rsidP="00586786">
      <w:pPr>
        <w:pStyle w:val="NormalWeb"/>
        <w:spacing w:line="360" w:lineRule="auto"/>
        <w:rPr>
          <w:rFonts w:ascii="Arial" w:hAnsi="Arial" w:cs="Arial"/>
          <w:color w:val="1F1F1F"/>
        </w:rPr>
      </w:pPr>
      <w:r w:rsidRPr="00586786">
        <w:rPr>
          <w:rFonts w:ascii="Arial" w:hAnsi="Arial" w:cs="Arial"/>
          <w:color w:val="1F1F1F"/>
        </w:rPr>
        <w:t>Glucocorticoids</w:t>
      </w:r>
      <w:r w:rsidR="00280A76" w:rsidRPr="00586786">
        <w:rPr>
          <w:rFonts w:ascii="Arial" w:hAnsi="Arial" w:cs="Arial"/>
          <w:color w:val="1F1F1F"/>
        </w:rPr>
        <w:t xml:space="preserve"> (GCs)</w:t>
      </w:r>
      <w:r w:rsidRPr="00586786">
        <w:rPr>
          <w:rFonts w:ascii="Arial" w:hAnsi="Arial" w:cs="Arial"/>
          <w:color w:val="1F1F1F"/>
        </w:rPr>
        <w:t xml:space="preserve"> are widely used in the management of autoimmune rheumatic diseases (AIRDs), with an estimated 1% of the general population using long term oral </w:t>
      </w:r>
      <w:r w:rsidR="004D2C10" w:rsidRPr="00586786">
        <w:rPr>
          <w:rFonts w:ascii="Arial" w:hAnsi="Arial" w:cs="Arial"/>
          <w:color w:val="1F1F1F"/>
        </w:rPr>
        <w:t>GCs</w:t>
      </w:r>
      <w:r w:rsidR="00386695" w:rsidRPr="00586786">
        <w:rPr>
          <w:rFonts w:ascii="Arial" w:hAnsi="Arial" w:cs="Arial"/>
          <w:color w:val="1F1F1F"/>
        </w:rPr>
        <w:fldChar w:fldCharType="begin"/>
      </w:r>
      <w:r w:rsidR="00386695" w:rsidRPr="00586786">
        <w:rPr>
          <w:rFonts w:ascii="Arial" w:hAnsi="Arial" w:cs="Arial"/>
          <w:color w:val="1F1F1F"/>
        </w:rPr>
        <w:instrText xml:space="preserve"> ADDIN ZOTERO_ITEM CSL_CITATION {"citationID":"b1ZIEqMV","properties":{"formattedCitation":"(1,2)","plainCitation":"(1,2)","noteIndex":0},"citationItems":[{"id":5259,"uris":["http://zotero.org/users/13605431/items/24S8T2UV"],"itemData":{"id":5259,"type":"article-journal","abstract":"Objective. To assess trends in long-term (i.e. 53 months) oral glucocorticoid (GC) prescriptions over the past 20 years.\nMethods. Data of UK adult patients registered between January 1989 and December 2008 with general practices contributing to The Health Improvement Network (THIN) database were obtained. The annual prevalence of long-term oral GC prescriptions was assessed in the whole population and specifically in people with RA, PMR/GCA, asthma, chronic obstructive pulmonary disease (COPD), Crohn’s disease and ulcerative colitis (UC). Trends over the 20-year period were estimated using sex- and age-adjusted Poisson regression models.\nResults. During the 26 035 154 person-years of follow-up, an average of 0.75% (95% CI 0.74, 0.75) of the study population was prescribed long-term oral GC therapy at any time point. This rose from 0.59% (0.52, 0.67) in 1989 to 0.79% (0.78, 0.80) in 2008. Long-term prescriptions significantly increased in patients with RA [from 10.3% (8.7, 11.9) to 13.6% (12.9, 14.2)] and PMR/GCA [from 57.6% (53.3, 62.0) to 66.5% (65.2, 67.7)], decreased in patients with asthma, COPD and Crohn’s disease and remained stable in patients with UC. However, when only incident cases were considered, we found a decreased use of GCs in patients with RA and UC [odds ratio 0.97 (95% CI 0.96, 0.97) and 0.94 (95% CI 0.93, 0.96) per increasing year, respectively].\nConclusion. Over the past 20 years, long-term oral GC prescriptions have increased by 34%. Patients newly diagnosed with RA, Crohn’s disease or UC are, however, less likely to receive long-term GC prescriptions than patients with a long past medical history of the disease, suggesting changes in physicians’ practice.","container-title":"Rheumatology","DOI":"10.1093/rheumatology/ker017","ISSN":"1462-0324, 1462-0332","issue":"11","journalAbbreviation":"Rheumatology","language":"en","page":"1982-1990","source":"DOI.org (Crossref)","title":"Prevalence of long-term oral glucocorticoid prescriptions in the UK over the past 20 years","volume":"50","author":[{"family":"Fardet","given":"L."},{"family":"Petersen","given":"I."},{"family":"Nazareth","given":"I."}],"issued":{"date-parts":[["2011",11,1]]}}},{"id":5261,"uris":["http://zotero.org/users/13605431/items/8SSUYRZU"],"itemData":{"id":5261,"type":"article-journal","abstract":"Objective: Glucocorticoid treatment of inflammatory disorders is associated with significant adverse effects related to glucocorticoid excess as well as adrenal insufficiency. This necessitates awareness of its use. We therefore investigated trends in systemic glucocorticoid use as well as morbidity and comedications among users. Design: Cross-sectional drug utilisation study.\nMethods: We conducted a population-based study of 926,314 users of systemic glucocorticoids (oral and injectable formulations) from 1999 to 2014 using Danish nationwide registries. We computed annual prevalence and incidence of systemic glucocorticoid use and prevalence of comedications and morbidity. Further, we assessed the annual amount of disease-modifying drug use.\nResults: Of the 926,314 users of systemic glucocorticoids, 54% were female and median age at first-time use was 55 years. The annual prevalence was ≈ 3%, while the incidence was ≈ 1.4/100 person years (p-y). Both figures remained constant from 1999 to 2014. In the elderly, the annual prevalence was 6.7–7.7% (60–79 years of age) and 9.7–11% (≥80 years of age). Incidence increased among persons aged ≥80 years from 3.0/100 p-y in 1999 to 3.6/100 p-y in 2014. Concomitantly, the annual amount of for example methotrexate, azathioprine and tumour necrosis factor (TNF)alpha agents increased and new biological agents emerged. The most frequent comedications were antibiotics (49%), cardiovascular drugs (38%) and NSAIDs (37%).\nConclusions: Our findings confirm a widespread use of systemic glucocorticoids, especially in the elderly, which prevails despite increased use of disease-modifying drugs. The continuously prevalent use of glucocorticoid use constitutes a challenge for the endocrine community.","container-title":"European Journal of Endocrinology","DOI":"10.1530/EJE-19-0305","ISSN":"0804-4643, 1479-683X","issue":"3","language":"en","page":"267-273","source":"DOI.org (Crossref)","title":"Fifteen-year nationwide trends in systemic glucocorticoid drug use in Denmark","volume":"181","author":[{"family":"Laugesen","given":"Kristina"},{"family":"Jørgensen","given":"Jens Otto Lunde"},{"family":"Petersen","given":"Irene"},{"family":"Sørensen","given":"Henrik Toft"}],"issued":{"date-parts":[["2019",9]]}}}],"schema":"https://github.com/citation-style-language/schema/raw/master/csl-citation.json"} </w:instrText>
      </w:r>
      <w:r w:rsidR="00386695" w:rsidRPr="00586786">
        <w:rPr>
          <w:rFonts w:ascii="Arial" w:hAnsi="Arial" w:cs="Arial"/>
          <w:color w:val="1F1F1F"/>
        </w:rPr>
        <w:fldChar w:fldCharType="separate"/>
      </w:r>
      <w:r w:rsidR="00386695" w:rsidRPr="00586786">
        <w:rPr>
          <w:rFonts w:ascii="Arial" w:hAnsi="Arial" w:cs="Arial"/>
          <w:noProof/>
          <w:color w:val="1F1F1F"/>
        </w:rPr>
        <w:t>(1,2)</w:t>
      </w:r>
      <w:r w:rsidR="00386695" w:rsidRPr="00586786">
        <w:rPr>
          <w:rFonts w:ascii="Arial" w:hAnsi="Arial" w:cs="Arial"/>
          <w:color w:val="1F1F1F"/>
        </w:rPr>
        <w:fldChar w:fldCharType="end"/>
      </w:r>
      <w:r w:rsidRPr="00586786">
        <w:rPr>
          <w:rFonts w:ascii="Arial" w:hAnsi="Arial" w:cs="Arial"/>
          <w:color w:val="1F1F1F"/>
        </w:rPr>
        <w:t xml:space="preserve">. The adverse effects (AE) of prolonged use of GCs are well </w:t>
      </w:r>
      <w:r w:rsidR="00280A76" w:rsidRPr="00586786">
        <w:rPr>
          <w:rFonts w:ascii="Arial" w:hAnsi="Arial" w:cs="Arial"/>
          <w:color w:val="1F1F1F"/>
        </w:rPr>
        <w:t>described</w:t>
      </w:r>
      <w:r w:rsidRPr="00586786">
        <w:rPr>
          <w:rFonts w:ascii="Arial" w:hAnsi="Arial" w:cs="Arial"/>
          <w:color w:val="1F1F1F"/>
        </w:rPr>
        <w:t xml:space="preserve">, </w:t>
      </w:r>
      <w:r w:rsidR="00E8247E" w:rsidRPr="00586786">
        <w:rPr>
          <w:rFonts w:ascii="Arial" w:hAnsi="Arial" w:cs="Arial"/>
          <w:color w:val="1F1F1F"/>
        </w:rPr>
        <w:t xml:space="preserve">including </w:t>
      </w:r>
      <w:r w:rsidRPr="00586786">
        <w:rPr>
          <w:rFonts w:ascii="Arial" w:hAnsi="Arial" w:cs="Arial"/>
          <w:color w:val="1F1F1F"/>
        </w:rPr>
        <w:t>osteoporosis and fracture, glucose intolerance and diabetes, central obesity, muscle wasting, increased risk of infection, depression and cataract</w:t>
      </w:r>
      <w:r w:rsidRPr="00586786">
        <w:rPr>
          <w:rFonts w:ascii="Arial" w:hAnsi="Arial" w:cs="Arial"/>
          <w:color w:val="1F1F1F"/>
        </w:rPr>
        <w:fldChar w:fldCharType="begin"/>
      </w:r>
      <w:r w:rsidR="00386695" w:rsidRPr="00586786">
        <w:rPr>
          <w:rFonts w:ascii="Arial" w:hAnsi="Arial" w:cs="Arial"/>
          <w:color w:val="1F1F1F"/>
        </w:rPr>
        <w:instrText xml:space="preserve"> ADDIN ZOTERO_ITEM CSL_CITATION {"citationID":"XdydlYdq","properties":{"formattedCitation":"(3)","plainCitation":"(3)","noteIndex":0},"citationItems":[{"id":3827,"uris":["http://zotero.org/users/13605431/items/IYPKDMY4"],"itemData":{"id":3827,"type":"article-journal","abstract":"Therapeutic glucocorticoids have been widely used in rheumatic diseases since they became available over 60 years ago. Despite the advent of more specific biologic therapies, a notable proportion of individuals with chronic rheumatic diseases continue to be treated with these drugs. Glucocorticoids are powerful, broad-s pectrum anti-inflammatory agents, but their use is complicated by an equally broad range of adverse effects. The specific cellular mechanisms by which glucocorticoids have their therapeutic action have been difficult to identify, and attempts to develop more selective drugs on the basis of the action of glucocorticoids have proven difficult. The actions of glucocorticoids seem to be highly cell-t ype and context dependent. Despite emerging data on the effect of tissue-s pecific manipulation of glucocorticoid receptors in mouse models of inflammation, the cell types and intracellular targets of glucocorticoids in rheumatic diseases have not been fully identified. Although showing some signs of decline, the use of systemic glucocorticoids in rheumatology is likely to continue to be widespread, and careful consideration is required by rheumatologists to balance the beneficial effects and deleterious effects of these agents.","container-title":"Nature Reviews Rheumatology","DOI":"10.1038/s41584-020-0371-y","ISSN":"1759-4790, 1759-4804","issue":"3","journalAbbreviation":"Nat Rev Rheumatol","language":"en","page":"133-144","source":"DOI.org (Crossref)","title":"Therapeutic glucocorticoids: mechanisms of actions in rheumatic diseases","title-short":"Therapeutic glucocorticoids","volume":"16","author":[{"family":"Hardy","given":"Rowan S."},{"family":"Raza","given":"Karim"},{"family":"Cooper","given":"Mark S."}],"issued":{"date-parts":[["2020",3]]}}}],"schema":"https://github.com/citation-style-language/schema/raw/master/csl-citation.json"} </w:instrText>
      </w:r>
      <w:r w:rsidRPr="00586786">
        <w:rPr>
          <w:rFonts w:ascii="Arial" w:hAnsi="Arial" w:cs="Arial"/>
          <w:color w:val="1F1F1F"/>
        </w:rPr>
        <w:fldChar w:fldCharType="separate"/>
      </w:r>
      <w:r w:rsidR="00386695" w:rsidRPr="00586786">
        <w:rPr>
          <w:rFonts w:ascii="Arial" w:hAnsi="Arial" w:cs="Arial"/>
          <w:color w:val="1F1F1F"/>
        </w:rPr>
        <w:t>(3)</w:t>
      </w:r>
      <w:r w:rsidRPr="00586786">
        <w:rPr>
          <w:rFonts w:ascii="Arial" w:hAnsi="Arial" w:cs="Arial"/>
          <w:color w:val="1F1F1F"/>
        </w:rPr>
        <w:fldChar w:fldCharType="end"/>
      </w:r>
      <w:r w:rsidRPr="00586786">
        <w:rPr>
          <w:rFonts w:ascii="Arial" w:hAnsi="Arial" w:cs="Arial"/>
          <w:color w:val="1F1F1F"/>
        </w:rPr>
        <w:t xml:space="preserve">. </w:t>
      </w:r>
      <w:r w:rsidR="004F7811" w:rsidRPr="00586786">
        <w:rPr>
          <w:rFonts w:ascii="Arial" w:hAnsi="Arial" w:cs="Arial"/>
        </w:rPr>
        <w:t xml:space="preserve">Although </w:t>
      </w:r>
      <w:r w:rsidR="00280A76" w:rsidRPr="00586786">
        <w:rPr>
          <w:rFonts w:ascii="Arial" w:hAnsi="Arial" w:cs="Arial"/>
        </w:rPr>
        <w:t>low-cost,</w:t>
      </w:r>
      <w:r w:rsidR="004F7811" w:rsidRPr="00586786">
        <w:rPr>
          <w:rFonts w:ascii="Arial" w:hAnsi="Arial" w:cs="Arial"/>
        </w:rPr>
        <w:t xml:space="preserve"> the long-term toxicity</w:t>
      </w:r>
      <w:r w:rsidR="00443594" w:rsidRPr="00586786">
        <w:rPr>
          <w:rFonts w:ascii="Arial" w:hAnsi="Arial" w:cs="Arial"/>
        </w:rPr>
        <w:t xml:space="preserve"> and </w:t>
      </w:r>
      <w:r w:rsidR="00D5095C" w:rsidRPr="00586786">
        <w:rPr>
          <w:rFonts w:ascii="Arial" w:hAnsi="Arial" w:cs="Arial"/>
        </w:rPr>
        <w:t xml:space="preserve">the </w:t>
      </w:r>
      <w:r w:rsidR="00443594" w:rsidRPr="00586786">
        <w:rPr>
          <w:rFonts w:ascii="Arial" w:hAnsi="Arial" w:cs="Arial"/>
        </w:rPr>
        <w:t xml:space="preserve">impact </w:t>
      </w:r>
      <w:r w:rsidR="00D5095C" w:rsidRPr="00586786">
        <w:rPr>
          <w:rFonts w:ascii="Arial" w:hAnsi="Arial" w:cs="Arial"/>
        </w:rPr>
        <w:t xml:space="preserve">on patients </w:t>
      </w:r>
      <w:r w:rsidR="00280A76" w:rsidRPr="00586786">
        <w:rPr>
          <w:rFonts w:ascii="Arial" w:hAnsi="Arial" w:cs="Arial"/>
        </w:rPr>
        <w:t>of</w:t>
      </w:r>
      <w:r w:rsidR="00443594" w:rsidRPr="00586786">
        <w:rPr>
          <w:rFonts w:ascii="Arial" w:hAnsi="Arial" w:cs="Arial"/>
        </w:rPr>
        <w:t xml:space="preserve"> </w:t>
      </w:r>
      <w:r w:rsidR="00280A76" w:rsidRPr="00586786">
        <w:rPr>
          <w:rFonts w:ascii="Arial" w:hAnsi="Arial" w:cs="Arial"/>
        </w:rPr>
        <w:t xml:space="preserve">GCs </w:t>
      </w:r>
      <w:r w:rsidR="004F7811" w:rsidRPr="00586786">
        <w:rPr>
          <w:rFonts w:ascii="Arial" w:hAnsi="Arial" w:cs="Arial"/>
        </w:rPr>
        <w:t>imposes substantial clinical and economic burdens</w:t>
      </w:r>
      <w:r w:rsidR="008B3623" w:rsidRPr="00586786">
        <w:rPr>
          <w:rFonts w:ascii="Arial" w:hAnsi="Arial" w:cs="Arial"/>
        </w:rPr>
        <w:fldChar w:fldCharType="begin"/>
      </w:r>
      <w:r w:rsidR="00386695" w:rsidRPr="00586786">
        <w:rPr>
          <w:rFonts w:ascii="Arial" w:hAnsi="Arial" w:cs="Arial"/>
        </w:rPr>
        <w:instrText xml:space="preserve"> ADDIN ZOTERO_ITEM CSL_CITATION {"citationID":"FXnp5HaN","properties":{"formattedCitation":"(4)","plainCitation":"(4)","noteIndex":0},"citationItems":[{"id":5134,"uris":["http://zotero.org/users/13605431/items/586987IQ"],"itemData":{"id":5134,"type":"article-journal","abstract":"Objective: To quantify the healthcare expenditures associated with potential oral glucocorticoid (OGC)-related adverse events (AEs) in patients with giant cell arteritis (GCA).\nMethods: Patients with GCA and ≥ 1 OGC prescription ﬁll between 2009 and 2014 were identiﬁed from the MarketScan Commercial and Medicare Supplemental claims databases. Patients were stratiﬁed into four groups based on cumulative OGC dose (&gt; 0 to ≤ 2607 mg, &gt; 2607 to ≤ 4800 mg, &gt; 4800 to ≤ 7200 mg, and &gt; 7200 mg) during the 1-year follow-up period; incidence of potential AEs and AE-related direct healthcare costs in USD were assessed. Association between the log of cumulative OGC dose and AE-related direct healthcare costs was evaluated, adjusting for baseline characteristics.\nResults: Of 1602 patients with GCA included, 69% were women; the mean age was 73 years. The mean cumulative OGC dose was 5806 mg during the 1-year follow-up; most exposure occurred in the ﬁrst 6 months. The proportion of patients with potential OGC-related AEs was 36.5% overall and increased as cumulative dose increased (30.7%–45.3% across dose groups). Unadjusted mean AE-related costs for patients with an AE was USD $12,818. In the multivariable model including all patients, increasing OGC dose was associated with increasing AE-related healthcare costs (cost ratio, 1.38 [95% CI, 1.16–1.64] per 1-unit increase in log of cumulative OGC dose [P &lt; 0.001]). Mean (median)-predicted AE costs for the dose groups were USD $4389 ($2749) for &gt; 0 to ≤ 2607 mg, USD $5176 ($3009) for &gt; 2607 to ≤ 4800 mg, USD $5576 ($3633) for &gt; 4800 to ≤ 7200 mg, and USD $6609 ($4447) for &gt; 7200 mg.\nConclusion: In patients with GCA, OGC-related AEs increased with increasing cumulative OGC dose, resulting in increased healthcare costs. These results highlight the need for efﬁcacious therapies that reduce the exposure to and potential risks associated with OGCs.","container-title":"ClinicoEconomics and Outcomes Research","DOI":"10.2147/CEOR.S228400","ISSN":"1178-6981","journalAbbreviation":"CEOR","language":"en","license":"http://creativecommons.org/licenses/by-nc/3.0/","page":"799-807","source":"DOI.org (Crossref)","title":"Healthcare Costs of Potential Glucocorticoid-Associated Adverse Events in Patients with Giant Cell Arteritis","volume":"Volume 11","author":[{"family":"Best","given":"Jennie H"},{"family":"Kong","given":"Amanda M"},{"family":"Smith","given":"David M"},{"family":"Abbass","given":"Ibrahim"},{"family":"Michalska","given":"Margaret"}],"issued":{"date-parts":[["2019",12]]}}}],"schema":"https://github.com/citation-style-language/schema/raw/master/csl-citation.json"} </w:instrText>
      </w:r>
      <w:r w:rsidR="008B3623" w:rsidRPr="00586786">
        <w:rPr>
          <w:rFonts w:ascii="Arial" w:hAnsi="Arial" w:cs="Arial"/>
        </w:rPr>
        <w:fldChar w:fldCharType="separate"/>
      </w:r>
      <w:r w:rsidR="00386695" w:rsidRPr="00586786">
        <w:rPr>
          <w:rFonts w:ascii="Arial" w:hAnsi="Arial" w:cs="Arial"/>
          <w:noProof/>
        </w:rPr>
        <w:t>(4)</w:t>
      </w:r>
      <w:r w:rsidR="008B3623" w:rsidRPr="00586786">
        <w:rPr>
          <w:rFonts w:ascii="Arial" w:hAnsi="Arial" w:cs="Arial"/>
        </w:rPr>
        <w:fldChar w:fldCharType="end"/>
      </w:r>
      <w:r w:rsidR="004D0765" w:rsidRPr="00586786">
        <w:rPr>
          <w:rFonts w:ascii="Arial" w:hAnsi="Arial" w:cs="Arial"/>
        </w:rPr>
        <w:t xml:space="preserve">; whereas many newer agents </w:t>
      </w:r>
      <w:r w:rsidR="003B563E" w:rsidRPr="00586786">
        <w:rPr>
          <w:rFonts w:ascii="Arial" w:hAnsi="Arial" w:cs="Arial"/>
        </w:rPr>
        <w:t>are GC-sparing (can reduce the amount of GC needed) but tend to be more costly</w:t>
      </w:r>
      <w:r w:rsidR="004F7811" w:rsidRPr="00586786">
        <w:rPr>
          <w:rFonts w:ascii="Arial" w:hAnsi="Arial" w:cs="Arial"/>
        </w:rPr>
        <w:t xml:space="preserve">. Accurate assessment of </w:t>
      </w:r>
      <w:r w:rsidR="004D2C10" w:rsidRPr="00586786">
        <w:rPr>
          <w:rFonts w:ascii="Arial" w:hAnsi="Arial" w:cs="Arial"/>
        </w:rPr>
        <w:t xml:space="preserve">GC </w:t>
      </w:r>
      <w:r w:rsidR="005E2CB3" w:rsidRPr="00586786">
        <w:rPr>
          <w:rFonts w:ascii="Arial" w:hAnsi="Arial" w:cs="Arial"/>
        </w:rPr>
        <w:t xml:space="preserve">impact </w:t>
      </w:r>
      <w:r w:rsidR="004F7811" w:rsidRPr="00586786">
        <w:rPr>
          <w:rFonts w:ascii="Arial" w:hAnsi="Arial" w:cs="Arial"/>
        </w:rPr>
        <w:t xml:space="preserve">will </w:t>
      </w:r>
      <w:r w:rsidR="004D0765" w:rsidRPr="00586786">
        <w:rPr>
          <w:rFonts w:ascii="Arial" w:hAnsi="Arial" w:cs="Arial"/>
        </w:rPr>
        <w:t>support</w:t>
      </w:r>
      <w:r w:rsidR="004F7811" w:rsidRPr="00586786">
        <w:rPr>
          <w:rFonts w:ascii="Arial" w:hAnsi="Arial" w:cs="Arial"/>
        </w:rPr>
        <w:t xml:space="preserve"> appraisal of whether </w:t>
      </w:r>
      <w:r w:rsidR="00054902" w:rsidRPr="00586786">
        <w:rPr>
          <w:rFonts w:ascii="Arial" w:hAnsi="Arial" w:cs="Arial"/>
        </w:rPr>
        <w:t xml:space="preserve">GC-sparing </w:t>
      </w:r>
      <w:r w:rsidR="004F7811" w:rsidRPr="00586786">
        <w:rPr>
          <w:rFonts w:ascii="Arial" w:hAnsi="Arial" w:cs="Arial"/>
        </w:rPr>
        <w:t xml:space="preserve">agents </w:t>
      </w:r>
      <w:r w:rsidR="00540D1B" w:rsidRPr="00586786">
        <w:rPr>
          <w:rFonts w:ascii="Arial" w:hAnsi="Arial" w:cs="Arial"/>
        </w:rPr>
        <w:t xml:space="preserve">for AIRDs </w:t>
      </w:r>
      <w:r w:rsidR="004F7811" w:rsidRPr="00586786">
        <w:rPr>
          <w:rFonts w:ascii="Arial" w:hAnsi="Arial" w:cs="Arial"/>
        </w:rPr>
        <w:t>provide net benefit to patients and healthcare systems.</w:t>
      </w:r>
    </w:p>
    <w:p w14:paraId="2C022D8C" w14:textId="5E77554C" w:rsidR="00280A76" w:rsidRPr="00586786" w:rsidRDefault="0059539E" w:rsidP="00586786">
      <w:pPr>
        <w:pStyle w:val="NormalWeb"/>
        <w:spacing w:line="360" w:lineRule="auto"/>
        <w:rPr>
          <w:rFonts w:ascii="Arial" w:hAnsi="Arial" w:cs="Arial"/>
        </w:rPr>
      </w:pPr>
      <w:r w:rsidRPr="00586786">
        <w:rPr>
          <w:rFonts w:ascii="Arial" w:hAnsi="Arial" w:cs="Arial"/>
          <w:color w:val="1F1F1F"/>
        </w:rPr>
        <w:t>The</w:t>
      </w:r>
      <w:r w:rsidR="00AF41F7" w:rsidRPr="00586786">
        <w:rPr>
          <w:rFonts w:ascii="Arial" w:hAnsi="Arial" w:cs="Arial"/>
          <w:color w:val="1F1F1F"/>
        </w:rPr>
        <w:t xml:space="preserve"> </w:t>
      </w:r>
      <w:r w:rsidR="0093383A" w:rsidRPr="00586786">
        <w:rPr>
          <w:rFonts w:ascii="Arial" w:hAnsi="Arial" w:cs="Arial"/>
          <w:color w:val="1F1F1F"/>
        </w:rPr>
        <w:t xml:space="preserve">Outcome </w:t>
      </w:r>
      <w:r w:rsidR="001902A3" w:rsidRPr="00586786">
        <w:rPr>
          <w:rFonts w:ascii="Arial" w:hAnsi="Arial" w:cs="Arial"/>
          <w:color w:val="1F1F1F"/>
        </w:rPr>
        <w:t>Measure</w:t>
      </w:r>
      <w:r w:rsidR="00C26822">
        <w:rPr>
          <w:rFonts w:ascii="Arial" w:hAnsi="Arial" w:cs="Arial"/>
          <w:color w:val="1F1F1F"/>
        </w:rPr>
        <w:t>s</w:t>
      </w:r>
      <w:r w:rsidR="0093383A" w:rsidRPr="00586786">
        <w:rPr>
          <w:rFonts w:ascii="Arial" w:hAnsi="Arial" w:cs="Arial"/>
          <w:color w:val="1F1F1F"/>
        </w:rPr>
        <w:t xml:space="preserve"> in Rheumatology (</w:t>
      </w:r>
      <w:r w:rsidR="00AF41F7" w:rsidRPr="00586786">
        <w:rPr>
          <w:rFonts w:ascii="Arial" w:hAnsi="Arial" w:cs="Arial"/>
          <w:color w:val="1F1F1F"/>
        </w:rPr>
        <w:t>OMERACT</w:t>
      </w:r>
      <w:r w:rsidR="0093383A" w:rsidRPr="00586786">
        <w:rPr>
          <w:rFonts w:ascii="Arial" w:hAnsi="Arial" w:cs="Arial"/>
          <w:color w:val="1F1F1F"/>
        </w:rPr>
        <w:t>)</w:t>
      </w:r>
      <w:r w:rsidR="00AF41F7" w:rsidRPr="00586786">
        <w:rPr>
          <w:rFonts w:ascii="Arial" w:hAnsi="Arial" w:cs="Arial"/>
          <w:color w:val="1F1F1F"/>
        </w:rPr>
        <w:t xml:space="preserve"> </w:t>
      </w:r>
      <w:r w:rsidR="004D2C10" w:rsidRPr="00586786">
        <w:rPr>
          <w:rFonts w:ascii="Arial" w:hAnsi="Arial" w:cs="Arial"/>
          <w:color w:val="1F1F1F"/>
        </w:rPr>
        <w:t xml:space="preserve">GC </w:t>
      </w:r>
      <w:r w:rsidR="0093383A" w:rsidRPr="00586786">
        <w:rPr>
          <w:rFonts w:ascii="Arial" w:hAnsi="Arial" w:cs="Arial"/>
          <w:color w:val="1F1F1F"/>
        </w:rPr>
        <w:t>Impact</w:t>
      </w:r>
      <w:r w:rsidR="00AF41F7" w:rsidRPr="00586786">
        <w:rPr>
          <w:rFonts w:ascii="Arial" w:hAnsi="Arial" w:cs="Arial"/>
          <w:color w:val="1F1F1F"/>
        </w:rPr>
        <w:t xml:space="preserve"> working group, </w:t>
      </w:r>
      <w:r w:rsidRPr="00586786">
        <w:rPr>
          <w:rFonts w:ascii="Arial" w:hAnsi="Arial" w:cs="Arial"/>
          <w:color w:val="1F1F1F"/>
        </w:rPr>
        <w:t xml:space="preserve">has previously developed a core domain set for measurement of </w:t>
      </w:r>
      <w:r w:rsidR="004D2C10" w:rsidRPr="00586786">
        <w:rPr>
          <w:rFonts w:ascii="Arial" w:hAnsi="Arial" w:cs="Arial"/>
          <w:color w:val="1F1F1F"/>
        </w:rPr>
        <w:t xml:space="preserve">GC </w:t>
      </w:r>
      <w:r w:rsidRPr="00586786">
        <w:rPr>
          <w:rFonts w:ascii="Arial" w:hAnsi="Arial" w:cs="Arial"/>
          <w:color w:val="1F1F1F"/>
        </w:rPr>
        <w:t>impact in clinical trials</w:t>
      </w:r>
      <w:r w:rsidR="00A052C1" w:rsidRPr="00586786">
        <w:rPr>
          <w:rFonts w:ascii="Arial" w:hAnsi="Arial" w:cs="Arial"/>
          <w:color w:val="1F1F1F"/>
        </w:rPr>
        <w:fldChar w:fldCharType="begin"/>
      </w:r>
      <w:r w:rsidR="00386695" w:rsidRPr="00586786">
        <w:rPr>
          <w:rFonts w:ascii="Arial" w:hAnsi="Arial" w:cs="Arial"/>
          <w:color w:val="1F1F1F"/>
        </w:rPr>
        <w:instrText xml:space="preserve"> ADDIN ZOTERO_ITEM CSL_CITATION {"citationID":"PcSbyc75","properties":{"formattedCitation":"(5)","plainCitation":"(5)","noteIndex":0},"citationItems":[{"id":3823,"uris":["http://zotero.org/users/13605431/items/N2EURPMJ"],"itemData":{"id":3823,"type":"article-journal","abstract":"Objective: Our primary objective was to develop an Outcome Measures in Rheumatology (OMERACT) core domain set to capture the impact of glucocorticoids (GC), both positive and negative, on patients with Rheumatic conditions.\nMethods: The OMERACT Filter 2.1 was used to guide core domain selection. Systematic literature reviews, qualitative studies and quantitative surveys were conducted by the OMERACT GC Impact working group to identify candidate domains for a core domain set. A summary of prior work and Delphi exercise were presented at the OMERACT 2020 virtual GC workshop. A proposed GC Impact core domain set derived from this work was presented for discussion in facilitated breakout groups. Participants voted on the proposed GC Impact core domain set.\nResults: 113 people, including 23 patient research partners, participated in two virtual workshops conducted at different times on the same day. The proposed mandatory domains to be evaluated in clinical trials involving GCs were: infection, bone fragility, hypertension, diabetes, weight, fatigue, mood disturbance and death. In addition, collection of disease speciﬁc outcomes was included in the core domain set as “mandatory in speciﬁc circumstances”. The proposed core domain set was endorsed by 100% (23/23) of the patient research partners and 92% (83/90) of the remaining participants, including clinicians, researchers and industry stakeholders.\nConclusion: A GC Impact core domain set was endorsed at the OMERACT 2020 virtual workshop. The OMERACT GC Impact working group will now progress to identify, develop and validate measurement tools to best address these domains in clinical trials.","container-title":"Seminars in Arthritis and Rheumatism","DOI":"10.1016/j.semarthrit.2021.06.010","ISSN":"00490172","issue":"5","journalAbbreviation":"Seminars in Arthritis and Rheumatism","language":"en","page":"1139-1145","source":"DOI.org (Crossref)","title":"Improving benefit-harm assessment of glucocorticoid therapy incorporating the patient perspective: The OMERACT glucocorticoid core domain set","title-short":"Improving benefit-harm assessment of glucocorticoid therapy incorporating the patient perspective","volume":"51","author":[{"family":"Tieu","given":"Joanna"},{"family":"Cheah","given":"Jonathan Tl"},{"family":"Black","given":"Rachel J"},{"family":"Christensen","given":"Robin"},{"family":"Ghosh","given":"Nilasha"},{"family":"Richards","given":"Pamela"},{"family":"Robson","given":"Joanna"},{"family":"Shea","given":"Beverley"},{"family":"Simon","given":"Lee S"},{"family":"Singhi","given":"Jasvinder A"},{"family":"Tugwell","given":"Peter"},{"family":"Boers","given":"Maarten"},{"family":"Garibay","given":"Marco A Alba"},{"family":"Campochiaro","given":"Corrado"},{"family":"Decary","given":"Simon"},{"family":"De Witt","given":"Maarten"},{"family":"Fernandez","given":"Anthony P"},{"family":"Keen","given":"Helen I"},{"family":"King","given":"Lauren"},{"family":"Hinojosa-Azaola","given":"Andrea"},{"family":"Hofstetter","given":"Cathie"},{"family":"Gaydukova","given":"Inna"},{"family":"George","given":"Michael D"},{"family":"Gupta","given":"Latika"},{"family":"Lyne","given":"Suellen"},{"family":"Makol","given":"Ashima"},{"family":"Mukhtyar","given":"Chetan"},{"family":"Oo","given":"Win Min"},{"family":"Petri","given":"Michelle"},{"family":"Pisaniello","given":"Huai Leng"},{"family":"Sattui","given":"Sebastian E"},{"family":"Russell","given":"Oscar"},{"family":"Teixeira","given":"Vitor"},{"family":"Toupin-April","given":"Karine"},{"family":"Uhunmwangho","given":"Courage"},{"family":"Whitstock","given":"Margaret"},{"family":"Yip","given":"Kevin"},{"family":"Mackie","given":"Sarah L"},{"family":"Goodman","given":"Susan M"},{"family":"Hill","given":"Catherine L"}],"issued":{"date-parts":[["2021",10]]}}}],"schema":"https://github.com/citation-style-language/schema/raw/master/csl-citation.json"} </w:instrText>
      </w:r>
      <w:r w:rsidR="00A052C1" w:rsidRPr="00586786">
        <w:rPr>
          <w:rFonts w:ascii="Arial" w:hAnsi="Arial" w:cs="Arial"/>
          <w:color w:val="1F1F1F"/>
        </w:rPr>
        <w:fldChar w:fldCharType="separate"/>
      </w:r>
      <w:r w:rsidR="00386695" w:rsidRPr="00586786">
        <w:rPr>
          <w:rFonts w:ascii="Arial" w:hAnsi="Arial" w:cs="Arial"/>
          <w:noProof/>
          <w:color w:val="1F1F1F"/>
        </w:rPr>
        <w:t>(5)</w:t>
      </w:r>
      <w:r w:rsidR="00A052C1" w:rsidRPr="00586786">
        <w:rPr>
          <w:rFonts w:ascii="Arial" w:hAnsi="Arial" w:cs="Arial"/>
          <w:color w:val="1F1F1F"/>
        </w:rPr>
        <w:fldChar w:fldCharType="end"/>
      </w:r>
      <w:r w:rsidR="00AF41F7" w:rsidRPr="00586786">
        <w:rPr>
          <w:rFonts w:ascii="Arial" w:hAnsi="Arial" w:cs="Arial"/>
          <w:color w:val="1F1F1F"/>
        </w:rPr>
        <w:t xml:space="preserve">. The proposed mandatory </w:t>
      </w:r>
      <w:r w:rsidR="00055ADF" w:rsidRPr="00586786">
        <w:rPr>
          <w:rFonts w:ascii="Arial" w:hAnsi="Arial" w:cs="Arial"/>
          <w:color w:val="1F1F1F"/>
        </w:rPr>
        <w:t xml:space="preserve">(core) </w:t>
      </w:r>
      <w:r w:rsidR="00AF41F7" w:rsidRPr="00586786">
        <w:rPr>
          <w:rFonts w:ascii="Arial" w:hAnsi="Arial" w:cs="Arial"/>
          <w:color w:val="1F1F1F"/>
        </w:rPr>
        <w:t>domains to be evaluated in clinical trials involving GCs include both physiological and psychosocial domains</w:t>
      </w:r>
      <w:r w:rsidR="00B048E8" w:rsidRPr="00586786">
        <w:rPr>
          <w:rFonts w:ascii="Arial" w:hAnsi="Arial" w:cs="Arial"/>
          <w:color w:val="1F1F1F"/>
        </w:rPr>
        <w:t>,</w:t>
      </w:r>
      <w:r w:rsidR="00AF41F7" w:rsidRPr="00586786">
        <w:rPr>
          <w:rFonts w:ascii="Arial" w:hAnsi="Arial" w:cs="Arial"/>
          <w:color w:val="1F1F1F"/>
        </w:rPr>
        <w:t xml:space="preserve"> encompassing infection, bone fragility, hypertension, diabetes, weight, fatigue, mood disturbance and death. Osteonecrosis, eye problems, appearance and sleep disturbance were proposed as optional </w:t>
      </w:r>
      <w:r w:rsidR="00055ADF" w:rsidRPr="00586786">
        <w:rPr>
          <w:rFonts w:ascii="Arial" w:hAnsi="Arial" w:cs="Arial"/>
          <w:color w:val="1F1F1F"/>
        </w:rPr>
        <w:t xml:space="preserve">(non-core) </w:t>
      </w:r>
      <w:r w:rsidR="00AF41F7" w:rsidRPr="00586786">
        <w:rPr>
          <w:rFonts w:ascii="Arial" w:hAnsi="Arial" w:cs="Arial"/>
          <w:color w:val="1F1F1F"/>
        </w:rPr>
        <w:t xml:space="preserve">domains </w:t>
      </w:r>
      <w:r w:rsidR="00AF41F7" w:rsidRPr="00586786">
        <w:rPr>
          <w:rFonts w:ascii="Arial" w:hAnsi="Arial" w:cs="Arial"/>
          <w:color w:val="1F1F1F"/>
        </w:rPr>
        <w:fldChar w:fldCharType="begin"/>
      </w:r>
      <w:r w:rsidR="00386695" w:rsidRPr="00586786">
        <w:rPr>
          <w:rFonts w:ascii="Arial" w:hAnsi="Arial" w:cs="Arial"/>
          <w:color w:val="1F1F1F"/>
        </w:rPr>
        <w:instrText xml:space="preserve"> ADDIN ZOTERO_ITEM CSL_CITATION {"citationID":"yx414kTQ","properties":{"formattedCitation":"(5)","plainCitation":"(5)","noteIndex":0},"citationItems":[{"id":3823,"uris":["http://zotero.org/users/13605431/items/N2EURPMJ"],"itemData":{"id":3823,"type":"article-journal","abstract":"Objective: Our primary objective was to develop an Outcome Measures in Rheumatology (OMERACT) core domain set to capture the impact of glucocorticoids (GC), both positive and negative, on patients with Rheumatic conditions.\nMethods: The OMERACT Filter 2.1 was used to guide core domain selection. Systematic literature reviews, qualitative studies and quantitative surveys were conducted by the OMERACT GC Impact working group to identify candidate domains for a core domain set. A summary of prior work and Delphi exercise were presented at the OMERACT 2020 virtual GC workshop. A proposed GC Impact core domain set derived from this work was presented for discussion in facilitated breakout groups. Participants voted on the proposed GC Impact core domain set.\nResults: 113 people, including 23 patient research partners, participated in two virtual workshops conducted at different times on the same day. The proposed mandatory domains to be evaluated in clinical trials involving GCs were: infection, bone fragility, hypertension, diabetes, weight, fatigue, mood disturbance and death. In addition, collection of disease speciﬁc outcomes was included in the core domain set as “mandatory in speciﬁc circumstances”. The proposed core domain set was endorsed by 100% (23/23) of the patient research partners and 92% (83/90) of the remaining participants, including clinicians, researchers and industry stakeholders.\nConclusion: A GC Impact core domain set was endorsed at the OMERACT 2020 virtual workshop. The OMERACT GC Impact working group will now progress to identify, develop and validate measurement tools to best address these domains in clinical trials.","container-title":"Seminars in Arthritis and Rheumatism","DOI":"10.1016/j.semarthrit.2021.06.010","ISSN":"00490172","issue":"5","journalAbbreviation":"Seminars in Arthritis and Rheumatism","language":"en","page":"1139-1145","source":"DOI.org (Crossref)","title":"Improving benefit-harm assessment of glucocorticoid therapy incorporating the patient perspective: The OMERACT glucocorticoid core domain set","title-short":"Improving benefit-harm assessment of glucocorticoid therapy incorporating the patient perspective","volume":"51","author":[{"family":"Tieu","given":"Joanna"},{"family":"Cheah","given":"Jonathan Tl"},{"family":"Black","given":"Rachel J"},{"family":"Christensen","given":"Robin"},{"family":"Ghosh","given":"Nilasha"},{"family":"Richards","given":"Pamela"},{"family":"Robson","given":"Joanna"},{"family":"Shea","given":"Beverley"},{"family":"Simon","given":"Lee S"},{"family":"Singhi","given":"Jasvinder A"},{"family":"Tugwell","given":"Peter"},{"family":"Boers","given":"Maarten"},{"family":"Garibay","given":"Marco A Alba"},{"family":"Campochiaro","given":"Corrado"},{"family":"Decary","given":"Simon"},{"family":"De Witt","given":"Maarten"},{"family":"Fernandez","given":"Anthony P"},{"family":"Keen","given":"Helen I"},{"family":"King","given":"Lauren"},{"family":"Hinojosa-Azaola","given":"Andrea"},{"family":"Hofstetter","given":"Cathie"},{"family":"Gaydukova","given":"Inna"},{"family":"George","given":"Michael D"},{"family":"Gupta","given":"Latika"},{"family":"Lyne","given":"Suellen"},{"family":"Makol","given":"Ashima"},{"family":"Mukhtyar","given":"Chetan"},{"family":"Oo","given":"Win Min"},{"family":"Petri","given":"Michelle"},{"family":"Pisaniello","given":"Huai Leng"},{"family":"Sattui","given":"Sebastian E"},{"family":"Russell","given":"Oscar"},{"family":"Teixeira","given":"Vitor"},{"family":"Toupin-April","given":"Karine"},{"family":"Uhunmwangho","given":"Courage"},{"family":"Whitstock","given":"Margaret"},{"family":"Yip","given":"Kevin"},{"family":"Mackie","given":"Sarah L"},{"family":"Goodman","given":"Susan M"},{"family":"Hill","given":"Catherine L"}],"issued":{"date-parts":[["2021",10]]}}}],"schema":"https://github.com/citation-style-language/schema/raw/master/csl-citation.json"} </w:instrText>
      </w:r>
      <w:r w:rsidR="00AF41F7" w:rsidRPr="00586786">
        <w:rPr>
          <w:rFonts w:ascii="Arial" w:hAnsi="Arial" w:cs="Arial"/>
          <w:color w:val="1F1F1F"/>
        </w:rPr>
        <w:fldChar w:fldCharType="separate"/>
      </w:r>
      <w:r w:rsidR="00386695" w:rsidRPr="00586786">
        <w:rPr>
          <w:rFonts w:ascii="Arial" w:hAnsi="Arial" w:cs="Arial"/>
          <w:color w:val="1F1F1F"/>
        </w:rPr>
        <w:t>(5)</w:t>
      </w:r>
      <w:r w:rsidR="00AF41F7" w:rsidRPr="00586786">
        <w:rPr>
          <w:rFonts w:ascii="Arial" w:hAnsi="Arial" w:cs="Arial"/>
          <w:color w:val="1F1F1F"/>
        </w:rPr>
        <w:fldChar w:fldCharType="end"/>
      </w:r>
      <w:r w:rsidR="00AF41F7" w:rsidRPr="00586786">
        <w:rPr>
          <w:rFonts w:ascii="Arial" w:hAnsi="Arial" w:cs="Arial"/>
          <w:color w:val="1F1F1F"/>
        </w:rPr>
        <w:t xml:space="preserve">. </w:t>
      </w:r>
      <w:r w:rsidRPr="00586786">
        <w:rPr>
          <w:rFonts w:ascii="Arial" w:hAnsi="Arial" w:cs="Arial"/>
          <w:color w:val="1F1F1F"/>
        </w:rPr>
        <w:t xml:space="preserve">In development of the core domain set, it was recognised that </w:t>
      </w:r>
      <w:r w:rsidR="00462876" w:rsidRPr="00586786">
        <w:rPr>
          <w:rFonts w:ascii="Arial" w:hAnsi="Arial" w:cs="Arial"/>
          <w:color w:val="1F1F1F"/>
        </w:rPr>
        <w:t xml:space="preserve">in a clinical trial setting, </w:t>
      </w:r>
      <w:r w:rsidRPr="00586786">
        <w:rPr>
          <w:rFonts w:ascii="Arial" w:hAnsi="Arial" w:cs="Arial"/>
          <w:color w:val="1F1F1F"/>
        </w:rPr>
        <w:t xml:space="preserve">the effects of GCs on disease would already be </w:t>
      </w:r>
      <w:r w:rsidR="00462876" w:rsidRPr="00586786">
        <w:rPr>
          <w:rFonts w:ascii="Arial" w:hAnsi="Arial" w:cs="Arial"/>
          <w:color w:val="1F1F1F"/>
        </w:rPr>
        <w:t xml:space="preserve">measured </w:t>
      </w:r>
      <w:r w:rsidRPr="00586786">
        <w:rPr>
          <w:rFonts w:ascii="Arial" w:hAnsi="Arial" w:cs="Arial"/>
          <w:color w:val="1F1F1F"/>
        </w:rPr>
        <w:t>by disease</w:t>
      </w:r>
      <w:r w:rsidR="00462876" w:rsidRPr="00586786">
        <w:rPr>
          <w:rFonts w:ascii="Arial" w:hAnsi="Arial" w:cs="Arial"/>
          <w:color w:val="1F1F1F"/>
        </w:rPr>
        <w:t>-</w:t>
      </w:r>
      <w:r w:rsidRPr="00586786">
        <w:rPr>
          <w:rFonts w:ascii="Arial" w:hAnsi="Arial" w:cs="Arial"/>
          <w:color w:val="1F1F1F"/>
        </w:rPr>
        <w:t xml:space="preserve">specific outcome measures. </w:t>
      </w:r>
      <w:r w:rsidR="00B00A48" w:rsidRPr="00586786">
        <w:rPr>
          <w:rFonts w:ascii="Arial" w:hAnsi="Arial" w:cs="Arial"/>
          <w:color w:val="1F1F1F"/>
        </w:rPr>
        <w:t xml:space="preserve">The next </w:t>
      </w:r>
      <w:r w:rsidR="00280A76" w:rsidRPr="00586786">
        <w:rPr>
          <w:rFonts w:ascii="Arial" w:hAnsi="Arial" w:cs="Arial"/>
          <w:color w:val="1F1F1F"/>
        </w:rPr>
        <w:t xml:space="preserve">formal </w:t>
      </w:r>
      <w:r w:rsidR="00B00A48" w:rsidRPr="00586786">
        <w:rPr>
          <w:rFonts w:ascii="Arial" w:hAnsi="Arial" w:cs="Arial"/>
          <w:color w:val="1F1F1F"/>
        </w:rPr>
        <w:t>step for the OMERACT GC Impact Group</w:t>
      </w:r>
      <w:r w:rsidR="00280A76" w:rsidRPr="00586786">
        <w:rPr>
          <w:rFonts w:ascii="Arial" w:hAnsi="Arial" w:cs="Arial"/>
          <w:color w:val="1F1F1F"/>
        </w:rPr>
        <w:t xml:space="preserve"> is to identify</w:t>
      </w:r>
      <w:r w:rsidR="00B00A48" w:rsidRPr="00586786">
        <w:rPr>
          <w:rFonts w:ascii="Arial" w:hAnsi="Arial" w:cs="Arial"/>
          <w:color w:val="1F1F1F"/>
        </w:rPr>
        <w:t xml:space="preserve"> </w:t>
      </w:r>
      <w:r w:rsidRPr="00586786">
        <w:rPr>
          <w:rFonts w:ascii="Arial" w:hAnsi="Arial" w:cs="Arial"/>
          <w:color w:val="1F1F1F"/>
        </w:rPr>
        <w:t>instruments to measure</w:t>
      </w:r>
      <w:r w:rsidR="00B00A48" w:rsidRPr="00586786">
        <w:rPr>
          <w:rFonts w:ascii="Arial" w:hAnsi="Arial" w:cs="Arial"/>
          <w:color w:val="1F1F1F"/>
        </w:rPr>
        <w:t xml:space="preserve"> </w:t>
      </w:r>
      <w:r w:rsidR="001337B0" w:rsidRPr="00586786">
        <w:rPr>
          <w:rFonts w:ascii="Arial" w:hAnsi="Arial" w:cs="Arial"/>
          <w:color w:val="1F1F1F"/>
        </w:rPr>
        <w:t xml:space="preserve">each domain within </w:t>
      </w:r>
      <w:r w:rsidR="00B00A48" w:rsidRPr="00586786">
        <w:rPr>
          <w:rFonts w:ascii="Arial" w:hAnsi="Arial" w:cs="Arial"/>
          <w:color w:val="1F1F1F"/>
        </w:rPr>
        <w:t xml:space="preserve">the </w:t>
      </w:r>
      <w:r w:rsidRPr="00586786">
        <w:rPr>
          <w:rFonts w:ascii="Arial" w:hAnsi="Arial" w:cs="Arial"/>
          <w:color w:val="1F1F1F"/>
        </w:rPr>
        <w:t>core</w:t>
      </w:r>
      <w:r w:rsidR="00B00A48" w:rsidRPr="00586786">
        <w:rPr>
          <w:rFonts w:ascii="Arial" w:hAnsi="Arial" w:cs="Arial"/>
          <w:color w:val="1F1F1F"/>
        </w:rPr>
        <w:t xml:space="preserve"> domain</w:t>
      </w:r>
      <w:r w:rsidRPr="00586786">
        <w:rPr>
          <w:rFonts w:ascii="Arial" w:hAnsi="Arial" w:cs="Arial"/>
          <w:color w:val="1F1F1F"/>
        </w:rPr>
        <w:t xml:space="preserve"> set</w:t>
      </w:r>
      <w:r w:rsidR="00B00A48" w:rsidRPr="00586786">
        <w:rPr>
          <w:rFonts w:ascii="Arial" w:hAnsi="Arial" w:cs="Arial"/>
          <w:color w:val="1F1F1F"/>
        </w:rPr>
        <w:fldChar w:fldCharType="begin"/>
      </w:r>
      <w:r w:rsidR="00386695" w:rsidRPr="00586786">
        <w:rPr>
          <w:rFonts w:ascii="Arial" w:hAnsi="Arial" w:cs="Arial"/>
          <w:color w:val="1F1F1F"/>
        </w:rPr>
        <w:instrText xml:space="preserve"> ADDIN ZOTERO_ITEM CSL_CITATION {"citationID":"3qmqqxlY","properties":{"formattedCitation":"(6)","plainCitation":"(6)","noteIndex":0},"citationItems":[{"id":5153,"uris":["http://zotero.org/users/13605431/items/5C4F99VR"],"itemData":{"id":5153,"type":"book","publisher":"OMERACT","publisher-place":"Ontario, Canada","title":"The OMERACT Handbook: Chapter 5: Instrument Selection for Core Outcome Measurement Sets","author":[{"family":"Beaton","given":"Dorcas"},{"family":"Maxwell","given":"Lara"},{"family":"Grosskleg","given":"Shawna"},{"family":"Shea","given":"Beverley"},{"family":"Tugwell","given":"Peter"},{"family":"Bingham","given":"Clifton O."},{"family":"Conaghan","given":"Philip G"},{"family":"D'Agostino","given":"Maria-Antonietta"},{"family":"Hofstetter","given":"Catherine"},{"family":"March","given":"Lyn"},{"family":"Simon","given":"Lee"},{"family":"Singh","given":"Jasvinder A"},{"family":"Strand","given":"Vibeke"},{"family":"Wells","given":"George"}],"issued":{"date-parts":[["2021",6]]}},"locator":"5"}],"schema":"https://github.com/citation-style-language/schema/raw/master/csl-citation.json"} </w:instrText>
      </w:r>
      <w:r w:rsidR="00B00A48" w:rsidRPr="00586786">
        <w:rPr>
          <w:rFonts w:ascii="Arial" w:hAnsi="Arial" w:cs="Arial"/>
          <w:color w:val="1F1F1F"/>
        </w:rPr>
        <w:fldChar w:fldCharType="separate"/>
      </w:r>
      <w:r w:rsidR="00386695" w:rsidRPr="00586786">
        <w:rPr>
          <w:rFonts w:ascii="Arial" w:hAnsi="Arial" w:cs="Arial"/>
          <w:noProof/>
          <w:color w:val="1F1F1F"/>
        </w:rPr>
        <w:t>(6)</w:t>
      </w:r>
      <w:r w:rsidR="00B00A48" w:rsidRPr="00586786">
        <w:rPr>
          <w:rFonts w:ascii="Arial" w:hAnsi="Arial" w:cs="Arial"/>
          <w:color w:val="1F1F1F"/>
        </w:rPr>
        <w:fldChar w:fldCharType="end"/>
      </w:r>
      <w:r w:rsidR="00B00A48" w:rsidRPr="00586786">
        <w:rPr>
          <w:rFonts w:ascii="Arial" w:hAnsi="Arial" w:cs="Arial"/>
          <w:color w:val="1F1F1F"/>
        </w:rPr>
        <w:t xml:space="preserve">. </w:t>
      </w:r>
      <w:r w:rsidR="00280A76" w:rsidRPr="00586786">
        <w:rPr>
          <w:rFonts w:ascii="Arial" w:hAnsi="Arial" w:cs="Arial"/>
          <w:color w:val="1F1F1F"/>
        </w:rPr>
        <w:t>Given the broad array of indications for GC use and different modes of administration (oral, intravenous inhaled topical), the GC impact group opted to first perform</w:t>
      </w:r>
      <w:r w:rsidR="00280A76" w:rsidRPr="00586786">
        <w:rPr>
          <w:rFonts w:ascii="Arial" w:hAnsi="Arial" w:cs="Arial"/>
        </w:rPr>
        <w:t xml:space="preserve"> </w:t>
      </w:r>
      <w:r w:rsidR="0093383A" w:rsidRPr="00586786">
        <w:rPr>
          <w:rFonts w:ascii="Arial" w:hAnsi="Arial" w:cs="Arial"/>
        </w:rPr>
        <w:t xml:space="preserve">underpinning work to </w:t>
      </w:r>
      <w:r w:rsidR="00280A76" w:rsidRPr="00586786">
        <w:rPr>
          <w:rFonts w:ascii="Arial" w:hAnsi="Arial" w:cs="Arial"/>
        </w:rPr>
        <w:t>identify</w:t>
      </w:r>
      <w:r w:rsidR="0093383A" w:rsidRPr="00586786">
        <w:rPr>
          <w:rFonts w:ascii="Arial" w:hAnsi="Arial" w:cs="Arial"/>
        </w:rPr>
        <w:t xml:space="preserve"> all potential </w:t>
      </w:r>
      <w:r w:rsidR="00280A76" w:rsidRPr="00586786">
        <w:rPr>
          <w:rFonts w:ascii="Arial" w:hAnsi="Arial" w:cs="Arial"/>
        </w:rPr>
        <w:t xml:space="preserve">measurement </w:t>
      </w:r>
      <w:r w:rsidR="0093383A" w:rsidRPr="00586786">
        <w:rPr>
          <w:rFonts w:ascii="Arial" w:hAnsi="Arial" w:cs="Arial"/>
        </w:rPr>
        <w:t xml:space="preserve">instruments that could be used to measure the domains within the GC core </w:t>
      </w:r>
      <w:r w:rsidR="00797E0C" w:rsidRPr="00586786">
        <w:rPr>
          <w:rFonts w:ascii="Arial" w:hAnsi="Arial" w:cs="Arial"/>
        </w:rPr>
        <w:t xml:space="preserve">outcome </w:t>
      </w:r>
      <w:r w:rsidR="0093383A" w:rsidRPr="00586786">
        <w:rPr>
          <w:rFonts w:ascii="Arial" w:hAnsi="Arial" w:cs="Arial"/>
        </w:rPr>
        <w:t>set.</w:t>
      </w:r>
      <w:r w:rsidR="00797E0C" w:rsidRPr="00586786">
        <w:rPr>
          <w:rFonts w:ascii="Arial" w:hAnsi="Arial" w:cs="Arial"/>
        </w:rPr>
        <w:t xml:space="preserve"> </w:t>
      </w:r>
    </w:p>
    <w:p w14:paraId="4446E2C3" w14:textId="3DFD1117" w:rsidR="0003019E" w:rsidRPr="00586786" w:rsidRDefault="00280A76" w:rsidP="00586786">
      <w:pPr>
        <w:pStyle w:val="NormalWeb"/>
        <w:spacing w:line="360" w:lineRule="auto"/>
        <w:rPr>
          <w:rFonts w:ascii="Arial" w:hAnsi="Arial" w:cs="Arial"/>
        </w:rPr>
      </w:pPr>
      <w:r w:rsidRPr="00586786">
        <w:rPr>
          <w:rFonts w:ascii="Arial" w:hAnsi="Arial" w:cs="Arial"/>
        </w:rPr>
        <w:t>A</w:t>
      </w:r>
      <w:r w:rsidR="00797E0C" w:rsidRPr="00586786">
        <w:rPr>
          <w:rFonts w:ascii="Arial" w:hAnsi="Arial" w:cs="Arial"/>
        </w:rPr>
        <w:t xml:space="preserve"> ‘measurement instrument’ is defined </w:t>
      </w:r>
      <w:r w:rsidRPr="00586786">
        <w:rPr>
          <w:rFonts w:ascii="Arial" w:hAnsi="Arial" w:cs="Arial"/>
        </w:rPr>
        <w:t xml:space="preserve">by OMERACT </w:t>
      </w:r>
      <w:r w:rsidR="00797E0C" w:rsidRPr="00586786">
        <w:rPr>
          <w:rFonts w:ascii="Arial" w:hAnsi="Arial" w:cs="Arial"/>
        </w:rPr>
        <w:t>as a tool to measure a quality or quantity of a variable (domain)</w:t>
      </w:r>
      <w:r w:rsidR="00797E0C" w:rsidRPr="00586786">
        <w:rPr>
          <w:rFonts w:ascii="Arial" w:hAnsi="Arial" w:cs="Arial"/>
        </w:rPr>
        <w:fldChar w:fldCharType="begin"/>
      </w:r>
      <w:r w:rsidR="00386695" w:rsidRPr="00586786">
        <w:rPr>
          <w:rFonts w:ascii="Arial" w:hAnsi="Arial" w:cs="Arial"/>
        </w:rPr>
        <w:instrText xml:space="preserve"> ADDIN ZOTERO_ITEM CSL_CITATION {"citationID":"Uhs1Wu9H","properties":{"formattedCitation":"(6)","plainCitation":"(6)","noteIndex":0},"citationItems":[{"id":5153,"uris":["http://zotero.org/users/13605431/items/5C4F99VR"],"itemData":{"id":5153,"type":"book","publisher":"OMERACT","publisher-place":"Ontario, Canada","title":"The OMERACT Handbook: Chapter 5: Instrument Selection for Core Outcome Measurement Sets","author":[{"family":"Beaton","given":"Dorcas"},{"family":"Maxwell","given":"Lara"},{"family":"Grosskleg","given":"Shawna"},{"family":"Shea","given":"Beverley"},{"family":"Tugwell","given":"Peter"},{"family":"Bingham","given":"Clifton O."},{"family":"Conaghan","given":"Philip G"},{"family":"D'Agostino","given":"Maria-Antonietta"},{"family":"Hofstetter","given":"Catherine"},{"family":"March","given":"Lyn"},{"family":"Simon","given":"Lee"},{"family":"Singh","given":"Jasvinder A"},{"family":"Strand","given":"Vibeke"},{"family":"Wells","given":"George"}],"issued":{"date-parts":[["2021",6]]}},"locator":"5"}],"schema":"https://github.com/citation-style-language/schema/raw/master/csl-citation.json"} </w:instrText>
      </w:r>
      <w:r w:rsidR="00797E0C" w:rsidRPr="00586786">
        <w:rPr>
          <w:rFonts w:ascii="Arial" w:hAnsi="Arial" w:cs="Arial"/>
        </w:rPr>
        <w:fldChar w:fldCharType="separate"/>
      </w:r>
      <w:r w:rsidR="00386695" w:rsidRPr="00586786">
        <w:rPr>
          <w:rFonts w:ascii="Arial" w:hAnsi="Arial" w:cs="Arial"/>
          <w:noProof/>
        </w:rPr>
        <w:t>(6)</w:t>
      </w:r>
      <w:r w:rsidR="00797E0C" w:rsidRPr="00586786">
        <w:rPr>
          <w:rFonts w:ascii="Arial" w:hAnsi="Arial" w:cs="Arial"/>
        </w:rPr>
        <w:fldChar w:fldCharType="end"/>
      </w:r>
      <w:r w:rsidR="00797E0C" w:rsidRPr="00586786">
        <w:rPr>
          <w:rFonts w:ascii="Arial" w:hAnsi="Arial" w:cs="Arial"/>
        </w:rPr>
        <w:t xml:space="preserve">. </w:t>
      </w:r>
      <w:r w:rsidR="0003019E" w:rsidRPr="00586786">
        <w:rPr>
          <w:rFonts w:ascii="Arial" w:hAnsi="Arial" w:cs="Arial"/>
        </w:rPr>
        <w:t>Tools may include</w:t>
      </w:r>
      <w:r w:rsidRPr="00586786">
        <w:rPr>
          <w:rFonts w:ascii="Arial" w:hAnsi="Arial" w:cs="Arial"/>
        </w:rPr>
        <w:t xml:space="preserve"> a</w:t>
      </w:r>
      <w:r w:rsidR="0003019E" w:rsidRPr="00586786">
        <w:rPr>
          <w:rFonts w:ascii="Arial" w:hAnsi="Arial" w:cs="Arial"/>
        </w:rPr>
        <w:t xml:space="preserve"> single question, a questionnaire, a score obtained through clinical assessment, or composite measures</w:t>
      </w:r>
      <w:r w:rsidR="004C2AA9" w:rsidRPr="00586786">
        <w:rPr>
          <w:rFonts w:ascii="Arial" w:hAnsi="Arial" w:cs="Arial"/>
        </w:rPr>
        <w:fldChar w:fldCharType="begin"/>
      </w:r>
      <w:r w:rsidR="00386695" w:rsidRPr="00586786">
        <w:rPr>
          <w:rFonts w:ascii="Arial" w:hAnsi="Arial" w:cs="Arial"/>
        </w:rPr>
        <w:instrText xml:space="preserve"> ADDIN ZOTERO_ITEM CSL_CITATION {"citationID":"3swPomfN","properties":{"formattedCitation":"(7)","plainCitation":"(7)","noteIndex":0},"citationItems":[{"id":5155,"uris":["http://zotero.org/users/13605431/items/TI5VQ7DF"],"itemData":{"id":5155,"type":"article-journal","abstract":"Background: Lack of standardization of outcome measures limits the usefulness of clinical trial evidence to inform health care decisions. This can be addressed by agreeing on a minimum core set of outcome measures per health condition, containing measures relevant to patients and decision makers. Since 1992, the Outcome Measures in Rheumatology (OMERACT) consensus initiative has successfully developed core sets for many rheumatologic conditions, actively involving patients since 2002. Its expanding scope required an explicit formulation of its underlying conceptual framework and process.","container-title":"Journal of Clinical Epidemiology","DOI":"10.1016/j.jclinepi.2013.11.013","ISSN":"08954356","issue":"7","journalAbbreviation":"Journal of Clinical Epidemiology","language":"en","page":"745-753","source":"DOI.org (Crossref)","title":"Developing Core Outcome Measurement Sets for Clinical Trials: OMERACT Filter 2.0","title-short":"Developing Core Outcome Measurement Sets for Clinical Trials","volume":"67","author":[{"family":"Boers","given":"Maarten"},{"family":"Kirwan","given":"John R."},{"family":"Wells","given":"George"},{"family":"Beaton","given":"Dorcas"},{"family":"Gossec","given":"Laure"},{"family":"Agostino","given":"Maria-Antonietta","non-dropping-particle":"d'"},{"family":"Conaghan","given":"Philip G."},{"family":"Bingham","given":"Clifton O."},{"family":"Brooks","given":"Peter"},{"family":"Landewé","given":"Robert"},{"family":"March","given":"Lyn"},{"family":"Simon","given":"Lee S."},{"family":"Singh","given":"Jasvinder A."},{"family":"Strand","given":"Vibeke"},{"family":"Tugwell","given":"Peter"}],"issued":{"date-parts":[["2014",7]]}}}],"schema":"https://github.com/citation-style-language/schema/raw/master/csl-citation.json"} </w:instrText>
      </w:r>
      <w:r w:rsidR="004C2AA9" w:rsidRPr="00586786">
        <w:rPr>
          <w:rFonts w:ascii="Arial" w:hAnsi="Arial" w:cs="Arial"/>
        </w:rPr>
        <w:fldChar w:fldCharType="separate"/>
      </w:r>
      <w:r w:rsidR="00386695" w:rsidRPr="00586786">
        <w:rPr>
          <w:rFonts w:ascii="Arial" w:hAnsi="Arial" w:cs="Arial"/>
          <w:noProof/>
        </w:rPr>
        <w:t>(7)</w:t>
      </w:r>
      <w:r w:rsidR="004C2AA9" w:rsidRPr="00586786">
        <w:rPr>
          <w:rFonts w:ascii="Arial" w:hAnsi="Arial" w:cs="Arial"/>
        </w:rPr>
        <w:fldChar w:fldCharType="end"/>
      </w:r>
      <w:r w:rsidR="0003019E" w:rsidRPr="00586786">
        <w:rPr>
          <w:rFonts w:ascii="Arial" w:hAnsi="Arial" w:cs="Arial"/>
        </w:rPr>
        <w:t>. O</w:t>
      </w:r>
      <w:r w:rsidR="00797E0C" w:rsidRPr="00586786">
        <w:rPr>
          <w:rFonts w:ascii="Arial" w:hAnsi="Arial" w:cs="Arial"/>
        </w:rPr>
        <w:t xml:space="preserve">utcome </w:t>
      </w:r>
      <w:r w:rsidR="0003019E" w:rsidRPr="00586786">
        <w:rPr>
          <w:rFonts w:ascii="Arial" w:hAnsi="Arial" w:cs="Arial"/>
        </w:rPr>
        <w:t>measures</w:t>
      </w:r>
      <w:r w:rsidR="00797E0C" w:rsidRPr="00586786">
        <w:rPr>
          <w:rFonts w:ascii="Arial" w:hAnsi="Arial" w:cs="Arial"/>
        </w:rPr>
        <w:t xml:space="preserve"> can be </w:t>
      </w:r>
      <w:r w:rsidR="0003019E" w:rsidRPr="00586786">
        <w:rPr>
          <w:rFonts w:ascii="Arial" w:hAnsi="Arial" w:cs="Arial"/>
        </w:rPr>
        <w:t>reported</w:t>
      </w:r>
      <w:r w:rsidR="00797E0C" w:rsidRPr="00586786">
        <w:rPr>
          <w:rFonts w:ascii="Arial" w:hAnsi="Arial" w:cs="Arial"/>
        </w:rPr>
        <w:t xml:space="preserve"> via multiple methodologies, including patient reported outcome measures (PROs), where the impact of a treatment of condition is directly measured from the patient’s experience without </w:t>
      </w:r>
      <w:r w:rsidR="00797E0C" w:rsidRPr="00586786">
        <w:rPr>
          <w:rFonts w:ascii="Arial" w:hAnsi="Arial" w:cs="Arial"/>
        </w:rPr>
        <w:lastRenderedPageBreak/>
        <w:t xml:space="preserve">interpretation of the response by </w:t>
      </w:r>
      <w:r w:rsidR="0003019E" w:rsidRPr="00586786">
        <w:rPr>
          <w:rFonts w:ascii="Arial" w:hAnsi="Arial" w:cs="Arial"/>
        </w:rPr>
        <w:t>another individual</w:t>
      </w:r>
      <w:r w:rsidR="00797E0C" w:rsidRPr="00586786">
        <w:rPr>
          <w:rFonts w:ascii="Arial" w:hAnsi="Arial" w:cs="Arial"/>
        </w:rPr>
        <w:t>. Clinician reported outcomes (</w:t>
      </w:r>
      <w:proofErr w:type="spellStart"/>
      <w:r w:rsidR="00797E0C" w:rsidRPr="00586786">
        <w:rPr>
          <w:rFonts w:ascii="Arial" w:hAnsi="Arial" w:cs="Arial"/>
        </w:rPr>
        <w:t>ClinROs</w:t>
      </w:r>
      <w:proofErr w:type="spellEnd"/>
      <w:r w:rsidR="00797E0C" w:rsidRPr="00586786">
        <w:rPr>
          <w:rFonts w:ascii="Arial" w:hAnsi="Arial" w:cs="Arial"/>
        </w:rPr>
        <w:t xml:space="preserve">) </w:t>
      </w:r>
      <w:r w:rsidR="0003019E" w:rsidRPr="00586786">
        <w:rPr>
          <w:rFonts w:ascii="Arial" w:hAnsi="Arial" w:cs="Arial"/>
        </w:rPr>
        <w:t xml:space="preserve">are not formally defined, but </w:t>
      </w:r>
      <w:r w:rsidR="00797E0C" w:rsidRPr="00586786">
        <w:rPr>
          <w:rFonts w:ascii="Arial" w:hAnsi="Arial" w:cs="Arial"/>
        </w:rPr>
        <w:t xml:space="preserve">utilise assessments derived from </w:t>
      </w:r>
      <w:r w:rsidR="0003019E" w:rsidRPr="00586786">
        <w:rPr>
          <w:rFonts w:ascii="Arial" w:hAnsi="Arial" w:cs="Arial"/>
        </w:rPr>
        <w:t>observers with profession</w:t>
      </w:r>
      <w:r w:rsidR="00D0030C" w:rsidRPr="00586786">
        <w:rPr>
          <w:rFonts w:ascii="Arial" w:hAnsi="Arial" w:cs="Arial"/>
        </w:rPr>
        <w:t>al</w:t>
      </w:r>
      <w:r w:rsidR="0003019E" w:rsidRPr="00586786">
        <w:rPr>
          <w:rFonts w:ascii="Arial" w:hAnsi="Arial" w:cs="Arial"/>
        </w:rPr>
        <w:t xml:space="preserve"> training related to the measurement</w:t>
      </w:r>
      <w:r w:rsidR="0003019E" w:rsidRPr="00586786">
        <w:rPr>
          <w:rFonts w:ascii="Arial" w:hAnsi="Arial" w:cs="Arial"/>
        </w:rPr>
        <w:fldChar w:fldCharType="begin"/>
      </w:r>
      <w:r w:rsidR="00386695" w:rsidRPr="00586786">
        <w:rPr>
          <w:rFonts w:ascii="Arial" w:hAnsi="Arial" w:cs="Arial"/>
        </w:rPr>
        <w:instrText xml:space="preserve"> ADDIN ZOTERO_ITEM CSL_CITATION {"citationID":"6g8olBX6","properties":{"formattedCitation":"(8)","plainCitation":"(8)","noteIndex":0},"citationItems":[{"id":5151,"uris":["http://zotero.org/users/13605431/items/3Z2FN4UY"],"itemData":{"id":5151,"type":"webpage","abstract":"Assessing treatment benefit from an outcomes perspective is growing in attention and use, and clinicians are an important resource when the patient cannot accurately report on their own experiences. While there is clear guidance on PRO development, the regulatory guidance has not been clearly defined for ClinROs to date.","language":"en","title":"Clinician-reported Outcomes (ClinROs), Concepts and Development","URL":"https://www.evidera.com/wp-content/uploads/2015/04/Clinician-Reported-Outcomes-ClinROs-Concepts-and-Development.pdf","author":[{"family":"Lenderking","given":"William"},{"family":"Revicki","given":"Dennis"}],"accessed":{"date-parts":[["2025",10,12]]}}}],"schema":"https://github.com/citation-style-language/schema/raw/master/csl-citation.json"} </w:instrText>
      </w:r>
      <w:r w:rsidR="0003019E" w:rsidRPr="00586786">
        <w:rPr>
          <w:rFonts w:ascii="Arial" w:hAnsi="Arial" w:cs="Arial"/>
        </w:rPr>
        <w:fldChar w:fldCharType="separate"/>
      </w:r>
      <w:r w:rsidR="00386695" w:rsidRPr="00586786">
        <w:rPr>
          <w:rFonts w:ascii="Arial" w:hAnsi="Arial" w:cs="Arial"/>
          <w:noProof/>
        </w:rPr>
        <w:t>(8)</w:t>
      </w:r>
      <w:r w:rsidR="0003019E" w:rsidRPr="00586786">
        <w:rPr>
          <w:rFonts w:ascii="Arial" w:hAnsi="Arial" w:cs="Arial"/>
        </w:rPr>
        <w:fldChar w:fldCharType="end"/>
      </w:r>
      <w:r w:rsidR="0003019E" w:rsidRPr="00586786">
        <w:rPr>
          <w:rFonts w:ascii="Arial" w:hAnsi="Arial" w:cs="Arial"/>
        </w:rPr>
        <w:t xml:space="preserve">. </w:t>
      </w:r>
    </w:p>
    <w:p w14:paraId="054182CA" w14:textId="21EF26F8" w:rsidR="00FF51F5" w:rsidRPr="00586786" w:rsidRDefault="0003019E" w:rsidP="00586786">
      <w:pPr>
        <w:pStyle w:val="NormalWeb"/>
        <w:spacing w:line="360" w:lineRule="auto"/>
        <w:rPr>
          <w:rFonts w:ascii="Arial" w:hAnsi="Arial" w:cs="Arial"/>
          <w:color w:val="1F1F1F"/>
        </w:rPr>
      </w:pPr>
      <w:r w:rsidRPr="00586786">
        <w:rPr>
          <w:rFonts w:ascii="Arial" w:hAnsi="Arial" w:cs="Arial"/>
        </w:rPr>
        <w:t>This scoping review aims to iden</w:t>
      </w:r>
      <w:r w:rsidR="004C2AA9" w:rsidRPr="00586786">
        <w:rPr>
          <w:rFonts w:ascii="Arial" w:hAnsi="Arial" w:cs="Arial"/>
        </w:rPr>
        <w:t>t</w:t>
      </w:r>
      <w:r w:rsidRPr="00586786">
        <w:rPr>
          <w:rFonts w:ascii="Arial" w:hAnsi="Arial" w:cs="Arial"/>
        </w:rPr>
        <w:t>ify</w:t>
      </w:r>
      <w:r w:rsidR="00DA34E8" w:rsidRPr="00586786">
        <w:rPr>
          <w:rFonts w:ascii="Arial" w:hAnsi="Arial" w:cs="Arial"/>
        </w:rPr>
        <w:t xml:space="preserve"> and characterise</w:t>
      </w:r>
      <w:r w:rsidRPr="00586786">
        <w:rPr>
          <w:rFonts w:ascii="Arial" w:hAnsi="Arial" w:cs="Arial"/>
        </w:rPr>
        <w:t xml:space="preserve"> the range of instruments available to measure the core outcomes defined by the OMERACT GC Impact Group. This paper reports the characteristics of the identified </w:t>
      </w:r>
      <w:proofErr w:type="spellStart"/>
      <w:r w:rsidRPr="00586786">
        <w:rPr>
          <w:rFonts w:ascii="Arial" w:hAnsi="Arial" w:cs="Arial"/>
        </w:rPr>
        <w:t>ClinROs</w:t>
      </w:r>
      <w:proofErr w:type="spellEnd"/>
      <w:r w:rsidRPr="00586786">
        <w:rPr>
          <w:rFonts w:ascii="Arial" w:hAnsi="Arial" w:cs="Arial"/>
        </w:rPr>
        <w:t xml:space="preserve">, PROs will be reported in a separate paper. </w:t>
      </w:r>
    </w:p>
    <w:p w14:paraId="577C7EDC" w14:textId="6E565271" w:rsidR="00AF41F7" w:rsidRPr="00586786" w:rsidRDefault="00E0194E" w:rsidP="00586786">
      <w:pPr>
        <w:pStyle w:val="NormalWeb"/>
        <w:spacing w:line="360" w:lineRule="auto"/>
        <w:rPr>
          <w:rFonts w:ascii="Arial" w:hAnsi="Arial" w:cs="Arial"/>
          <w:b/>
          <w:bCs/>
          <w:color w:val="1F1F1F"/>
        </w:rPr>
      </w:pPr>
      <w:r w:rsidRPr="00586786">
        <w:rPr>
          <w:rFonts w:ascii="Arial" w:hAnsi="Arial" w:cs="Arial"/>
          <w:b/>
          <w:bCs/>
          <w:color w:val="1F1F1F"/>
        </w:rPr>
        <w:t xml:space="preserve">2.0 </w:t>
      </w:r>
      <w:r w:rsidR="00AF41F7" w:rsidRPr="00586786">
        <w:rPr>
          <w:rFonts w:ascii="Arial" w:hAnsi="Arial" w:cs="Arial"/>
          <w:b/>
          <w:bCs/>
          <w:color w:val="1F1F1F"/>
        </w:rPr>
        <w:t>METHODS</w:t>
      </w:r>
    </w:p>
    <w:p w14:paraId="4CFCEAA9" w14:textId="770922FE" w:rsidR="00280A76" w:rsidRPr="00586786" w:rsidRDefault="00280A76" w:rsidP="00586786">
      <w:pPr>
        <w:pStyle w:val="NormalWeb"/>
        <w:spacing w:line="360" w:lineRule="auto"/>
        <w:rPr>
          <w:rFonts w:ascii="Arial" w:hAnsi="Arial" w:cs="Arial"/>
        </w:rPr>
      </w:pPr>
      <w:r w:rsidRPr="00586786">
        <w:rPr>
          <w:rFonts w:ascii="Arial" w:hAnsi="Arial" w:cs="Arial"/>
          <w:color w:val="1F1F1F"/>
        </w:rPr>
        <w:t xml:space="preserve">A preliminary search of MEDLINE, the Cochrane Database of Systematic Reviews and </w:t>
      </w:r>
      <w:r w:rsidRPr="00586786">
        <w:rPr>
          <w:rFonts w:ascii="Arial" w:hAnsi="Arial" w:cs="Arial"/>
          <w:i/>
          <w:color w:val="1F1F1F"/>
        </w:rPr>
        <w:t xml:space="preserve">JBI Evidence Synthesis </w:t>
      </w:r>
      <w:r w:rsidRPr="00586786">
        <w:rPr>
          <w:rFonts w:ascii="Arial" w:hAnsi="Arial" w:cs="Arial"/>
          <w:color w:val="1F1F1F"/>
        </w:rPr>
        <w:t>was conducted and no current or underway systematic reviews or scoping reviews on the topic were identified. </w:t>
      </w:r>
      <w:r w:rsidR="00FE641D">
        <w:rPr>
          <w:rFonts w:ascii="Arial" w:hAnsi="Arial" w:cs="Arial"/>
          <w:color w:val="1F1F1F"/>
        </w:rPr>
        <w:t>The review was conducted in accordance with PRISMA-</w:t>
      </w:r>
      <w:proofErr w:type="spellStart"/>
      <w:r w:rsidR="00FE641D">
        <w:rPr>
          <w:rFonts w:ascii="Arial" w:hAnsi="Arial" w:cs="Arial"/>
          <w:color w:val="1F1F1F"/>
        </w:rPr>
        <w:t>ScR</w:t>
      </w:r>
      <w:proofErr w:type="spellEnd"/>
      <w:r w:rsidR="00FE641D">
        <w:rPr>
          <w:rFonts w:ascii="Arial" w:hAnsi="Arial" w:cs="Arial"/>
          <w:color w:val="1F1F1F"/>
        </w:rPr>
        <w:t xml:space="preserve"> methodology (supplementary file 1).</w:t>
      </w:r>
    </w:p>
    <w:p w14:paraId="19E7CB4C" w14:textId="638052FF" w:rsidR="009623AE" w:rsidRPr="00586786" w:rsidRDefault="00E0194E" w:rsidP="00586786">
      <w:pPr>
        <w:spacing w:line="360" w:lineRule="auto"/>
        <w:rPr>
          <w:rFonts w:ascii="Arial" w:hAnsi="Arial" w:cs="Arial"/>
          <w:i/>
          <w:iCs/>
        </w:rPr>
      </w:pPr>
      <w:r w:rsidRPr="00586786">
        <w:rPr>
          <w:rFonts w:ascii="Arial" w:hAnsi="Arial" w:cs="Arial"/>
          <w:i/>
          <w:iCs/>
        </w:rPr>
        <w:t xml:space="preserve">2.1 </w:t>
      </w:r>
      <w:r w:rsidR="00AF41F7" w:rsidRPr="00586786">
        <w:rPr>
          <w:rFonts w:ascii="Arial" w:hAnsi="Arial" w:cs="Arial"/>
          <w:i/>
          <w:iCs/>
        </w:rPr>
        <w:t>Search strategy</w:t>
      </w:r>
    </w:p>
    <w:p w14:paraId="41FC3176" w14:textId="20915BAE" w:rsidR="00AF41F7" w:rsidRPr="00586786" w:rsidRDefault="00AF41F7" w:rsidP="00586786">
      <w:pPr>
        <w:spacing w:line="360" w:lineRule="auto"/>
        <w:rPr>
          <w:rFonts w:ascii="Arial" w:hAnsi="Arial" w:cs="Arial"/>
        </w:rPr>
      </w:pPr>
      <w:r w:rsidRPr="00586786">
        <w:rPr>
          <w:rFonts w:ascii="Arial" w:hAnsi="Arial" w:cs="Arial"/>
        </w:rPr>
        <w:t>A search strategy was developed in consultation with a research librarian</w:t>
      </w:r>
      <w:r w:rsidR="00006AD2" w:rsidRPr="00586786">
        <w:rPr>
          <w:rFonts w:ascii="Arial" w:hAnsi="Arial" w:cs="Arial"/>
        </w:rPr>
        <w:t xml:space="preserve"> (supplementary file </w:t>
      </w:r>
      <w:r w:rsidR="00FE641D">
        <w:rPr>
          <w:rFonts w:ascii="Arial" w:hAnsi="Arial" w:cs="Arial"/>
        </w:rPr>
        <w:t>2</w:t>
      </w:r>
      <w:r w:rsidR="00006AD2" w:rsidRPr="00586786">
        <w:rPr>
          <w:rFonts w:ascii="Arial" w:hAnsi="Arial" w:cs="Arial"/>
        </w:rPr>
        <w:t>)</w:t>
      </w:r>
      <w:r w:rsidRPr="00586786">
        <w:rPr>
          <w:rFonts w:ascii="Arial" w:hAnsi="Arial" w:cs="Arial"/>
        </w:rPr>
        <w:t xml:space="preserve">. </w:t>
      </w:r>
      <w:r w:rsidR="00A13D54" w:rsidRPr="00586786">
        <w:rPr>
          <w:rFonts w:ascii="Arial" w:hAnsi="Arial" w:cs="Arial"/>
        </w:rPr>
        <w:t>Four</w:t>
      </w:r>
      <w:r w:rsidRPr="00586786">
        <w:rPr>
          <w:rFonts w:ascii="Arial" w:hAnsi="Arial" w:cs="Arial"/>
        </w:rPr>
        <w:t xml:space="preserve"> databases were searched: Medline, EMBASE</w:t>
      </w:r>
      <w:r w:rsidR="00A13D54" w:rsidRPr="00586786">
        <w:rPr>
          <w:rFonts w:ascii="Arial" w:hAnsi="Arial" w:cs="Arial"/>
        </w:rPr>
        <w:t xml:space="preserve">, CINHAL and </w:t>
      </w:r>
      <w:r w:rsidR="005347A1" w:rsidRPr="00586786">
        <w:rPr>
          <w:rFonts w:ascii="Arial" w:hAnsi="Arial" w:cs="Arial"/>
        </w:rPr>
        <w:t>CENTRAL</w:t>
      </w:r>
      <w:r w:rsidR="00154D4D" w:rsidRPr="00586786">
        <w:rPr>
          <w:rFonts w:ascii="Arial" w:hAnsi="Arial" w:cs="Arial"/>
        </w:rPr>
        <w:t xml:space="preserve"> (inception </w:t>
      </w:r>
      <w:r w:rsidR="00202366" w:rsidRPr="00586786">
        <w:rPr>
          <w:rFonts w:ascii="Arial" w:hAnsi="Arial" w:cs="Arial"/>
        </w:rPr>
        <w:t xml:space="preserve">to </w:t>
      </w:r>
      <w:r w:rsidR="00154D4D" w:rsidRPr="00586786">
        <w:rPr>
          <w:rFonts w:ascii="Arial" w:hAnsi="Arial" w:cs="Arial"/>
        </w:rPr>
        <w:t>August 2024)</w:t>
      </w:r>
      <w:r w:rsidRPr="00586786">
        <w:rPr>
          <w:rFonts w:ascii="Arial" w:hAnsi="Arial" w:cs="Arial"/>
        </w:rPr>
        <w:t xml:space="preserve">. </w:t>
      </w:r>
      <w:r w:rsidR="00443594" w:rsidRPr="00586786">
        <w:rPr>
          <w:rFonts w:ascii="Arial" w:hAnsi="Arial" w:cs="Arial"/>
        </w:rPr>
        <w:t>A</w:t>
      </w:r>
      <w:r w:rsidRPr="00586786">
        <w:rPr>
          <w:rFonts w:ascii="Arial" w:hAnsi="Arial" w:cs="Arial"/>
        </w:rPr>
        <w:t>bstracts presented at relevant major rheumatology meetings (American College of Rheumatology (ACR) Convergence, European Alliance of Associations for Rheumatology (EULAR)</w:t>
      </w:r>
      <w:r w:rsidR="00E61608" w:rsidRPr="00586786">
        <w:rPr>
          <w:rFonts w:ascii="Arial" w:hAnsi="Arial" w:cs="Arial"/>
        </w:rPr>
        <w:t xml:space="preserve"> Congress</w:t>
      </w:r>
      <w:r w:rsidRPr="00586786">
        <w:rPr>
          <w:rFonts w:ascii="Arial" w:hAnsi="Arial" w:cs="Arial"/>
        </w:rPr>
        <w:t xml:space="preserve">) </w:t>
      </w:r>
      <w:r w:rsidR="005347A1" w:rsidRPr="00586786">
        <w:rPr>
          <w:rFonts w:ascii="Arial" w:hAnsi="Arial" w:cs="Arial"/>
        </w:rPr>
        <w:t>were</w:t>
      </w:r>
      <w:r w:rsidRPr="00586786">
        <w:rPr>
          <w:rFonts w:ascii="Arial" w:hAnsi="Arial" w:cs="Arial"/>
        </w:rPr>
        <w:t xml:space="preserve"> hand searched for relevant publications in the past 5 years (August 2019 </w:t>
      </w:r>
      <w:r w:rsidR="00202366" w:rsidRPr="00586786">
        <w:rPr>
          <w:rFonts w:ascii="Arial" w:hAnsi="Arial" w:cs="Arial"/>
        </w:rPr>
        <w:t xml:space="preserve">to </w:t>
      </w:r>
      <w:r w:rsidRPr="00586786">
        <w:rPr>
          <w:rFonts w:ascii="Arial" w:hAnsi="Arial" w:cs="Arial"/>
        </w:rPr>
        <w:t xml:space="preserve">August 2024). The relevant full text article of an identified abstract </w:t>
      </w:r>
      <w:r w:rsidR="00FF50CE" w:rsidRPr="00586786">
        <w:rPr>
          <w:rFonts w:ascii="Arial" w:hAnsi="Arial" w:cs="Arial"/>
        </w:rPr>
        <w:t>was</w:t>
      </w:r>
      <w:r w:rsidRPr="00586786">
        <w:rPr>
          <w:rFonts w:ascii="Arial" w:hAnsi="Arial" w:cs="Arial"/>
        </w:rPr>
        <w:t xml:space="preserve"> included for extraction, if published within the timeframe of this scoping review. </w:t>
      </w:r>
    </w:p>
    <w:p w14:paraId="51E6BC14" w14:textId="77777777" w:rsidR="00AF41F7" w:rsidRPr="00586786" w:rsidRDefault="00AF41F7" w:rsidP="00586786">
      <w:pPr>
        <w:spacing w:line="360" w:lineRule="auto"/>
        <w:rPr>
          <w:rFonts w:ascii="Arial" w:hAnsi="Arial" w:cs="Arial"/>
        </w:rPr>
      </w:pPr>
    </w:p>
    <w:p w14:paraId="0AD2BB9D" w14:textId="401452B5" w:rsidR="00AF41F7" w:rsidRPr="00586786" w:rsidRDefault="00E0194E" w:rsidP="00586786">
      <w:pPr>
        <w:spacing w:line="360" w:lineRule="auto"/>
        <w:rPr>
          <w:rFonts w:ascii="Arial" w:hAnsi="Arial" w:cs="Arial"/>
        </w:rPr>
      </w:pPr>
      <w:r w:rsidRPr="00586786">
        <w:rPr>
          <w:rFonts w:ascii="Arial" w:hAnsi="Arial" w:cs="Arial"/>
          <w:i/>
          <w:iCs/>
        </w:rPr>
        <w:t xml:space="preserve">2.2 </w:t>
      </w:r>
      <w:r w:rsidR="00AF41F7" w:rsidRPr="00586786">
        <w:rPr>
          <w:rFonts w:ascii="Arial" w:hAnsi="Arial" w:cs="Arial"/>
          <w:i/>
          <w:iCs/>
        </w:rPr>
        <w:t>Inclusion criteria</w:t>
      </w:r>
    </w:p>
    <w:p w14:paraId="3150D9B8" w14:textId="12BDF695" w:rsidR="00A13D54" w:rsidRPr="00586786" w:rsidRDefault="00A13D54" w:rsidP="00586786">
      <w:pPr>
        <w:spacing w:line="360" w:lineRule="auto"/>
        <w:rPr>
          <w:rFonts w:ascii="Arial" w:hAnsi="Arial" w:cs="Arial"/>
        </w:rPr>
      </w:pPr>
      <w:r w:rsidRPr="00586786">
        <w:rPr>
          <w:rFonts w:ascii="Arial" w:hAnsi="Arial" w:cs="Arial"/>
        </w:rPr>
        <w:t>Studies involving an adult population (&gt;18</w:t>
      </w:r>
      <w:r w:rsidR="00443594" w:rsidRPr="00586786">
        <w:rPr>
          <w:rFonts w:ascii="Arial" w:hAnsi="Arial" w:cs="Arial"/>
        </w:rPr>
        <w:t xml:space="preserve"> years</w:t>
      </w:r>
      <w:r w:rsidRPr="00586786">
        <w:rPr>
          <w:rFonts w:ascii="Arial" w:hAnsi="Arial" w:cs="Arial"/>
        </w:rPr>
        <w:t xml:space="preserve">), referring to the use of exogenous </w:t>
      </w:r>
      <w:r w:rsidR="004D2C10" w:rsidRPr="00586786">
        <w:rPr>
          <w:rFonts w:ascii="Arial" w:hAnsi="Arial" w:cs="Arial"/>
        </w:rPr>
        <w:t xml:space="preserve">GCs </w:t>
      </w:r>
      <w:r w:rsidRPr="00586786">
        <w:rPr>
          <w:rFonts w:ascii="Arial" w:hAnsi="Arial" w:cs="Arial"/>
        </w:rPr>
        <w:t xml:space="preserve">with reporting of a </w:t>
      </w:r>
      <w:proofErr w:type="spellStart"/>
      <w:r w:rsidR="004D2C10" w:rsidRPr="00586786">
        <w:rPr>
          <w:rFonts w:ascii="Arial" w:hAnsi="Arial" w:cs="Arial"/>
        </w:rPr>
        <w:t>ClinRO</w:t>
      </w:r>
      <w:proofErr w:type="spellEnd"/>
      <w:r w:rsidR="004D2C10" w:rsidRPr="00586786">
        <w:rPr>
          <w:rFonts w:ascii="Arial" w:hAnsi="Arial" w:cs="Arial"/>
        </w:rPr>
        <w:t xml:space="preserve"> </w:t>
      </w:r>
      <w:r w:rsidRPr="00586786">
        <w:rPr>
          <w:rFonts w:ascii="Arial" w:hAnsi="Arial" w:cs="Arial"/>
        </w:rPr>
        <w:t xml:space="preserve">or </w:t>
      </w:r>
      <w:r w:rsidR="004D2C10" w:rsidRPr="00586786">
        <w:rPr>
          <w:rFonts w:ascii="Arial" w:hAnsi="Arial" w:cs="Arial"/>
        </w:rPr>
        <w:t>PRO</w:t>
      </w:r>
      <w:r w:rsidRPr="00586786">
        <w:rPr>
          <w:rFonts w:ascii="Arial" w:hAnsi="Arial" w:cs="Arial"/>
        </w:rPr>
        <w:t xml:space="preserve"> instrument were included.</w:t>
      </w:r>
      <w:r w:rsidR="004C2AA9" w:rsidRPr="00586786">
        <w:rPr>
          <w:rFonts w:ascii="Arial" w:hAnsi="Arial" w:cs="Arial"/>
        </w:rPr>
        <w:t xml:space="preserve"> All inflammatory</w:t>
      </w:r>
      <w:r w:rsidR="00C26822">
        <w:rPr>
          <w:rFonts w:ascii="Arial" w:hAnsi="Arial" w:cs="Arial"/>
        </w:rPr>
        <w:t xml:space="preserve"> and non-inflammatory</w:t>
      </w:r>
      <w:r w:rsidR="004C2AA9" w:rsidRPr="00586786">
        <w:rPr>
          <w:rFonts w:ascii="Arial" w:hAnsi="Arial" w:cs="Arial"/>
        </w:rPr>
        <w:t xml:space="preserve"> conditions treated with GCs were included (eg: inflammatory lung disease, skin disease, rheumatic diseases). All modes of GC delivery were included (e.g.: oral, in</w:t>
      </w:r>
      <w:r w:rsidR="00DA34E8" w:rsidRPr="00586786">
        <w:rPr>
          <w:rFonts w:ascii="Arial" w:hAnsi="Arial" w:cs="Arial"/>
        </w:rPr>
        <w:t>tra</w:t>
      </w:r>
      <w:r w:rsidR="004C2AA9" w:rsidRPr="00586786">
        <w:rPr>
          <w:rFonts w:ascii="Arial" w:hAnsi="Arial" w:cs="Arial"/>
        </w:rPr>
        <w:t>ven</w:t>
      </w:r>
      <w:r w:rsidR="00DA34E8" w:rsidRPr="00586786">
        <w:rPr>
          <w:rFonts w:ascii="Arial" w:hAnsi="Arial" w:cs="Arial"/>
        </w:rPr>
        <w:t>o</w:t>
      </w:r>
      <w:r w:rsidR="004C2AA9" w:rsidRPr="00586786">
        <w:rPr>
          <w:rFonts w:ascii="Arial" w:hAnsi="Arial" w:cs="Arial"/>
        </w:rPr>
        <w:t xml:space="preserve">us, topical, inhaled). </w:t>
      </w:r>
    </w:p>
    <w:p w14:paraId="6F35B3FD" w14:textId="77777777" w:rsidR="00F96C11" w:rsidRPr="00586786" w:rsidRDefault="00F96C11" w:rsidP="00586786">
      <w:pPr>
        <w:spacing w:line="360" w:lineRule="auto"/>
        <w:rPr>
          <w:rFonts w:ascii="Arial" w:hAnsi="Arial" w:cs="Arial"/>
        </w:rPr>
      </w:pPr>
    </w:p>
    <w:p w14:paraId="4440B9C7" w14:textId="0E55128D" w:rsidR="00A13D54" w:rsidRPr="00586786" w:rsidRDefault="00E0194E" w:rsidP="00586786">
      <w:pPr>
        <w:spacing w:line="360" w:lineRule="auto"/>
        <w:rPr>
          <w:rFonts w:ascii="Arial" w:hAnsi="Arial" w:cs="Arial"/>
        </w:rPr>
      </w:pPr>
      <w:r w:rsidRPr="00586786">
        <w:rPr>
          <w:rFonts w:ascii="Arial" w:hAnsi="Arial" w:cs="Arial"/>
          <w:i/>
          <w:iCs/>
        </w:rPr>
        <w:t xml:space="preserve">2.3 </w:t>
      </w:r>
      <w:r w:rsidR="00A13D54" w:rsidRPr="00586786">
        <w:rPr>
          <w:rFonts w:ascii="Arial" w:hAnsi="Arial" w:cs="Arial"/>
          <w:i/>
          <w:iCs/>
        </w:rPr>
        <w:t>Screening</w:t>
      </w:r>
    </w:p>
    <w:p w14:paraId="6501C3A5" w14:textId="72754881" w:rsidR="00A13D54" w:rsidRPr="00586786" w:rsidRDefault="00A13D54" w:rsidP="00586786">
      <w:pPr>
        <w:spacing w:line="360" w:lineRule="auto"/>
        <w:rPr>
          <w:rFonts w:ascii="Arial" w:hAnsi="Arial" w:cs="Arial"/>
        </w:rPr>
      </w:pPr>
      <w:r w:rsidRPr="00586786">
        <w:rPr>
          <w:rFonts w:ascii="Arial" w:hAnsi="Arial" w:cs="Arial"/>
        </w:rPr>
        <w:lastRenderedPageBreak/>
        <w:t>Included studies were imported into Covidence</w:t>
      </w:r>
      <w:r w:rsidR="009D5652" w:rsidRPr="00586786">
        <w:rPr>
          <w:rFonts w:ascii="Arial" w:hAnsi="Arial" w:cs="Arial"/>
        </w:rPr>
        <w:fldChar w:fldCharType="begin"/>
      </w:r>
      <w:r w:rsidR="00386695" w:rsidRPr="00586786">
        <w:rPr>
          <w:rFonts w:ascii="Arial" w:hAnsi="Arial" w:cs="Arial"/>
        </w:rPr>
        <w:instrText xml:space="preserve"> ADDIN ZOTERO_ITEM CSL_CITATION {"citationID":"SDlxzVcZ","properties":{"formattedCitation":"(9)","plainCitation":"(9)","noteIndex":0},"citationItems":[{"id":4876,"uris":["http://zotero.org/users/13605431/items/J3YAPE6M"],"itemData":{"id":4876,"type":"webpage","note":"Melbourne, Australia","title":"Covidence systematic review software","URL":"www.covidence.org","author":[{"family":"Veritas Health Innovation","given":""}]}}],"schema":"https://github.com/citation-style-language/schema/raw/master/csl-citation.json"} </w:instrText>
      </w:r>
      <w:r w:rsidR="009D5652" w:rsidRPr="00586786">
        <w:rPr>
          <w:rFonts w:ascii="Arial" w:hAnsi="Arial" w:cs="Arial"/>
        </w:rPr>
        <w:fldChar w:fldCharType="separate"/>
      </w:r>
      <w:r w:rsidR="00386695" w:rsidRPr="00586786">
        <w:rPr>
          <w:rFonts w:ascii="Arial" w:hAnsi="Arial" w:cs="Arial"/>
          <w:noProof/>
        </w:rPr>
        <w:t>(9)</w:t>
      </w:r>
      <w:r w:rsidR="009D5652" w:rsidRPr="00586786">
        <w:rPr>
          <w:rFonts w:ascii="Arial" w:hAnsi="Arial" w:cs="Arial"/>
        </w:rPr>
        <w:fldChar w:fldCharType="end"/>
      </w:r>
      <w:r w:rsidRPr="00586786">
        <w:rPr>
          <w:rFonts w:ascii="Arial" w:hAnsi="Arial" w:cs="Arial"/>
        </w:rPr>
        <w:t xml:space="preserve">. </w:t>
      </w:r>
      <w:r w:rsidR="00EA707C" w:rsidRPr="00586786">
        <w:rPr>
          <w:rFonts w:ascii="Arial" w:hAnsi="Arial" w:cs="Arial"/>
        </w:rPr>
        <w:t>D</w:t>
      </w:r>
      <w:r w:rsidRPr="00586786">
        <w:rPr>
          <w:rFonts w:ascii="Arial" w:hAnsi="Arial" w:cs="Arial"/>
        </w:rPr>
        <w:t>uplicate papers</w:t>
      </w:r>
      <w:r w:rsidR="00EA707C" w:rsidRPr="00586786">
        <w:rPr>
          <w:rFonts w:ascii="Arial" w:hAnsi="Arial" w:cs="Arial"/>
        </w:rPr>
        <w:t xml:space="preserve"> were excluded</w:t>
      </w:r>
      <w:r w:rsidRPr="00586786">
        <w:rPr>
          <w:rFonts w:ascii="Arial" w:hAnsi="Arial" w:cs="Arial"/>
        </w:rPr>
        <w:t xml:space="preserve">, </w:t>
      </w:r>
      <w:r w:rsidR="00EA707C" w:rsidRPr="00586786">
        <w:rPr>
          <w:rFonts w:ascii="Arial" w:hAnsi="Arial" w:cs="Arial"/>
        </w:rPr>
        <w:t xml:space="preserve">then </w:t>
      </w:r>
      <w:r w:rsidRPr="00586786">
        <w:rPr>
          <w:rFonts w:ascii="Arial" w:hAnsi="Arial" w:cs="Arial"/>
        </w:rPr>
        <w:t xml:space="preserve">titles were screened </w:t>
      </w:r>
      <w:r w:rsidR="00443594" w:rsidRPr="00586786">
        <w:rPr>
          <w:rFonts w:ascii="Arial" w:hAnsi="Arial" w:cs="Arial"/>
        </w:rPr>
        <w:t xml:space="preserve">for inclusion </w:t>
      </w:r>
      <w:r w:rsidRPr="00586786">
        <w:rPr>
          <w:rFonts w:ascii="Arial" w:hAnsi="Arial" w:cs="Arial"/>
        </w:rPr>
        <w:t xml:space="preserve">between </w:t>
      </w:r>
      <w:r w:rsidR="00A72BBA" w:rsidRPr="00586786">
        <w:rPr>
          <w:rFonts w:ascii="Arial" w:hAnsi="Arial" w:cs="Arial"/>
        </w:rPr>
        <w:t>five</w:t>
      </w:r>
      <w:r w:rsidRPr="00586786">
        <w:rPr>
          <w:rFonts w:ascii="Arial" w:hAnsi="Arial" w:cs="Arial"/>
        </w:rPr>
        <w:t xml:space="preserve"> authors (AT, CS, JT, RB, CH) followed by abstract screening and full text review. </w:t>
      </w:r>
      <w:r w:rsidR="00667CE0" w:rsidRPr="00586786">
        <w:rPr>
          <w:rFonts w:ascii="Arial" w:hAnsi="Arial" w:cs="Arial"/>
        </w:rPr>
        <w:t xml:space="preserve">At each stage, studies required the consensus of </w:t>
      </w:r>
      <w:r w:rsidR="00A72BBA" w:rsidRPr="00586786">
        <w:rPr>
          <w:rFonts w:ascii="Arial" w:hAnsi="Arial" w:cs="Arial"/>
        </w:rPr>
        <w:t>two</w:t>
      </w:r>
      <w:r w:rsidR="00667CE0" w:rsidRPr="00586786">
        <w:rPr>
          <w:rFonts w:ascii="Arial" w:hAnsi="Arial" w:cs="Arial"/>
        </w:rPr>
        <w:t xml:space="preserve"> authors for inclusion or exclusion. </w:t>
      </w:r>
      <w:r w:rsidR="00443594" w:rsidRPr="00586786">
        <w:rPr>
          <w:rFonts w:ascii="Arial" w:hAnsi="Arial" w:cs="Arial"/>
        </w:rPr>
        <w:t xml:space="preserve">Disagreements regarding eligibility were resolved by </w:t>
      </w:r>
      <w:r w:rsidR="00154D4D" w:rsidRPr="00586786">
        <w:rPr>
          <w:rFonts w:ascii="Arial" w:hAnsi="Arial" w:cs="Arial"/>
        </w:rPr>
        <w:t>consensus</w:t>
      </w:r>
      <w:r w:rsidR="00280A76" w:rsidRPr="00586786">
        <w:rPr>
          <w:rFonts w:ascii="Arial" w:hAnsi="Arial" w:cs="Arial"/>
        </w:rPr>
        <w:t xml:space="preserve"> </w:t>
      </w:r>
      <w:r w:rsidR="00443594" w:rsidRPr="00586786">
        <w:rPr>
          <w:rFonts w:ascii="Arial" w:hAnsi="Arial" w:cs="Arial"/>
        </w:rPr>
        <w:t xml:space="preserve">between all </w:t>
      </w:r>
      <w:r w:rsidR="00280A76" w:rsidRPr="00586786">
        <w:rPr>
          <w:rFonts w:ascii="Arial" w:hAnsi="Arial" w:cs="Arial"/>
        </w:rPr>
        <w:t xml:space="preserve">five reviewing </w:t>
      </w:r>
      <w:r w:rsidR="00443594" w:rsidRPr="00586786">
        <w:rPr>
          <w:rFonts w:ascii="Arial" w:hAnsi="Arial" w:cs="Arial"/>
        </w:rPr>
        <w:t>authors. At abstract screening</w:t>
      </w:r>
      <w:r w:rsidR="00831721" w:rsidRPr="00586786">
        <w:rPr>
          <w:rFonts w:ascii="Arial" w:hAnsi="Arial" w:cs="Arial"/>
        </w:rPr>
        <w:t xml:space="preserve">, papers </w:t>
      </w:r>
      <w:r w:rsidR="00A9782F" w:rsidRPr="00586786">
        <w:rPr>
          <w:rFonts w:ascii="Arial" w:hAnsi="Arial" w:cs="Arial"/>
        </w:rPr>
        <w:t xml:space="preserve">in which results were confined to </w:t>
      </w:r>
      <w:r w:rsidR="00831721" w:rsidRPr="00586786">
        <w:rPr>
          <w:rFonts w:ascii="Arial" w:hAnsi="Arial" w:cs="Arial"/>
        </w:rPr>
        <w:t>assess</w:t>
      </w:r>
      <w:r w:rsidR="00A9782F" w:rsidRPr="00586786">
        <w:rPr>
          <w:rFonts w:ascii="Arial" w:hAnsi="Arial" w:cs="Arial"/>
        </w:rPr>
        <w:t>ment of</w:t>
      </w:r>
      <w:r w:rsidR="00831721" w:rsidRPr="00586786">
        <w:rPr>
          <w:rFonts w:ascii="Arial" w:hAnsi="Arial" w:cs="Arial"/>
        </w:rPr>
        <w:t xml:space="preserve"> the local </w:t>
      </w:r>
      <w:r w:rsidR="00144A4B" w:rsidRPr="00586786">
        <w:rPr>
          <w:rFonts w:ascii="Arial" w:hAnsi="Arial" w:cs="Arial"/>
        </w:rPr>
        <w:t xml:space="preserve">cutaneous </w:t>
      </w:r>
      <w:r w:rsidR="00831721" w:rsidRPr="00586786">
        <w:rPr>
          <w:rFonts w:ascii="Arial" w:hAnsi="Arial" w:cs="Arial"/>
        </w:rPr>
        <w:t xml:space="preserve">toxicity of topical corticosteroids were </w:t>
      </w:r>
      <w:r w:rsidR="00296AFA" w:rsidRPr="00586786">
        <w:rPr>
          <w:rFonts w:ascii="Arial" w:hAnsi="Arial" w:cs="Arial"/>
        </w:rPr>
        <w:t>excluded</w:t>
      </w:r>
      <w:r w:rsidR="00831721" w:rsidRPr="00586786">
        <w:rPr>
          <w:rFonts w:ascii="Arial" w:hAnsi="Arial" w:cs="Arial"/>
        </w:rPr>
        <w:t xml:space="preserve"> due to lack of relevance to the core domain set. </w:t>
      </w:r>
    </w:p>
    <w:p w14:paraId="07E53E23" w14:textId="77777777" w:rsidR="00D57022" w:rsidRPr="00586786" w:rsidRDefault="00D57022" w:rsidP="00586786">
      <w:pPr>
        <w:spacing w:line="360" w:lineRule="auto"/>
        <w:rPr>
          <w:rFonts w:ascii="Arial" w:hAnsi="Arial" w:cs="Arial"/>
        </w:rPr>
      </w:pPr>
    </w:p>
    <w:p w14:paraId="50510A10" w14:textId="68855F73" w:rsidR="00D57022" w:rsidRPr="00586786" w:rsidRDefault="00E0194E" w:rsidP="00586786">
      <w:pPr>
        <w:spacing w:line="360" w:lineRule="auto"/>
        <w:rPr>
          <w:rFonts w:ascii="Arial" w:hAnsi="Arial" w:cs="Arial"/>
        </w:rPr>
      </w:pPr>
      <w:r w:rsidRPr="00586786">
        <w:rPr>
          <w:rFonts w:ascii="Arial" w:hAnsi="Arial" w:cs="Arial"/>
          <w:i/>
          <w:iCs/>
        </w:rPr>
        <w:t xml:space="preserve">2.4 </w:t>
      </w:r>
      <w:r w:rsidR="00D57022" w:rsidRPr="00586786">
        <w:rPr>
          <w:rFonts w:ascii="Arial" w:hAnsi="Arial" w:cs="Arial"/>
          <w:i/>
          <w:iCs/>
        </w:rPr>
        <w:t>Data extraction</w:t>
      </w:r>
    </w:p>
    <w:p w14:paraId="3CC164B6" w14:textId="2F8DB01A" w:rsidR="00246CA8" w:rsidRPr="00586786" w:rsidRDefault="00D57022" w:rsidP="00586786">
      <w:pPr>
        <w:spacing w:line="360" w:lineRule="auto"/>
        <w:rPr>
          <w:rFonts w:ascii="Arial" w:hAnsi="Arial" w:cs="Arial"/>
        </w:rPr>
      </w:pPr>
      <w:r w:rsidRPr="00586786">
        <w:rPr>
          <w:rFonts w:ascii="Arial" w:hAnsi="Arial" w:cs="Arial"/>
        </w:rPr>
        <w:t xml:space="preserve">Data extraction was performed in duplicate by </w:t>
      </w:r>
      <w:r w:rsidR="001C2C58" w:rsidRPr="00586786">
        <w:rPr>
          <w:rFonts w:ascii="Arial" w:hAnsi="Arial" w:cs="Arial"/>
        </w:rPr>
        <w:t>three</w:t>
      </w:r>
      <w:r w:rsidRPr="00586786">
        <w:rPr>
          <w:rFonts w:ascii="Arial" w:hAnsi="Arial" w:cs="Arial"/>
        </w:rPr>
        <w:t xml:space="preserve"> authors (AT, CS</w:t>
      </w:r>
      <w:r w:rsidR="001C2C58" w:rsidRPr="00586786">
        <w:rPr>
          <w:rFonts w:ascii="Arial" w:hAnsi="Arial" w:cs="Arial"/>
        </w:rPr>
        <w:t>, GV</w:t>
      </w:r>
      <w:r w:rsidRPr="00586786">
        <w:rPr>
          <w:rFonts w:ascii="Arial" w:hAnsi="Arial" w:cs="Arial"/>
        </w:rPr>
        <w:t>) using a predefined spreadsheet</w:t>
      </w:r>
      <w:r w:rsidR="00A9782F" w:rsidRPr="00586786">
        <w:rPr>
          <w:rFonts w:ascii="Arial" w:hAnsi="Arial" w:cs="Arial"/>
        </w:rPr>
        <w:t xml:space="preserve"> agreed to by all authors</w:t>
      </w:r>
      <w:r w:rsidR="00487D7E" w:rsidRPr="00586786">
        <w:rPr>
          <w:rFonts w:ascii="Arial" w:hAnsi="Arial" w:cs="Arial"/>
        </w:rPr>
        <w:t xml:space="preserve">. </w:t>
      </w:r>
      <w:r w:rsidRPr="00586786">
        <w:rPr>
          <w:rFonts w:ascii="Arial" w:hAnsi="Arial" w:cs="Arial"/>
        </w:rPr>
        <w:t>Data extracted included:</w:t>
      </w:r>
      <w:r w:rsidR="00154D4D" w:rsidRPr="00586786">
        <w:rPr>
          <w:rFonts w:ascii="Arial" w:hAnsi="Arial" w:cs="Arial"/>
        </w:rPr>
        <w:t xml:space="preserve"> </w:t>
      </w:r>
      <w:r w:rsidRPr="00586786">
        <w:rPr>
          <w:rFonts w:ascii="Arial" w:hAnsi="Arial" w:cs="Arial"/>
        </w:rPr>
        <w:t>region</w:t>
      </w:r>
      <w:r w:rsidR="00FE1083" w:rsidRPr="00586786">
        <w:rPr>
          <w:rFonts w:ascii="Arial" w:hAnsi="Arial" w:cs="Arial"/>
        </w:rPr>
        <w:t xml:space="preserve"> (of </w:t>
      </w:r>
      <w:r w:rsidR="0029623C" w:rsidRPr="00586786">
        <w:rPr>
          <w:rFonts w:ascii="Arial" w:hAnsi="Arial" w:cs="Arial"/>
        </w:rPr>
        <w:t>patient population</w:t>
      </w:r>
      <w:r w:rsidRPr="00586786">
        <w:rPr>
          <w:rFonts w:ascii="Arial" w:hAnsi="Arial" w:cs="Arial"/>
        </w:rPr>
        <w:t xml:space="preserve">, patient population, mode of </w:t>
      </w:r>
      <w:r w:rsidR="004D2C10" w:rsidRPr="00586786">
        <w:rPr>
          <w:rFonts w:ascii="Arial" w:hAnsi="Arial" w:cs="Arial"/>
        </w:rPr>
        <w:t xml:space="preserve">GC </w:t>
      </w:r>
      <w:r w:rsidRPr="00586786">
        <w:rPr>
          <w:rFonts w:ascii="Arial" w:hAnsi="Arial" w:cs="Arial"/>
        </w:rPr>
        <w:t>delivery, type of study</w:t>
      </w:r>
      <w:r w:rsidR="00A72BBA" w:rsidRPr="00586786">
        <w:rPr>
          <w:rFonts w:ascii="Arial" w:hAnsi="Arial" w:cs="Arial"/>
        </w:rPr>
        <w:t xml:space="preserve"> (development or validation paper)</w:t>
      </w:r>
      <w:r w:rsidRPr="00586786">
        <w:rPr>
          <w:rFonts w:ascii="Arial" w:hAnsi="Arial" w:cs="Arial"/>
        </w:rPr>
        <w:t>, name of measurement instrument, type of instrument (</w:t>
      </w:r>
      <w:r w:rsidR="004D2C10" w:rsidRPr="00586786">
        <w:rPr>
          <w:rFonts w:ascii="Arial" w:hAnsi="Arial" w:cs="Arial"/>
        </w:rPr>
        <w:t xml:space="preserve">PRO </w:t>
      </w:r>
      <w:r w:rsidR="00E05505" w:rsidRPr="00586786">
        <w:rPr>
          <w:rFonts w:ascii="Arial" w:hAnsi="Arial" w:cs="Arial"/>
        </w:rPr>
        <w:t xml:space="preserve">or </w:t>
      </w:r>
      <w:proofErr w:type="spellStart"/>
      <w:r w:rsidR="004D2C10" w:rsidRPr="00586786">
        <w:rPr>
          <w:rFonts w:ascii="Arial" w:hAnsi="Arial" w:cs="Arial"/>
        </w:rPr>
        <w:t>ClinRO</w:t>
      </w:r>
      <w:proofErr w:type="spellEnd"/>
      <w:r w:rsidRPr="00586786">
        <w:rPr>
          <w:rFonts w:ascii="Arial" w:hAnsi="Arial" w:cs="Arial"/>
        </w:rPr>
        <w:t>), core domains assessed by the instrument</w:t>
      </w:r>
      <w:r w:rsidR="00D40B03" w:rsidRPr="00586786">
        <w:rPr>
          <w:rFonts w:ascii="Arial" w:hAnsi="Arial" w:cs="Arial"/>
        </w:rPr>
        <w:t>, method of assessing domain</w:t>
      </w:r>
      <w:r w:rsidR="001A1E6B" w:rsidRPr="00586786">
        <w:rPr>
          <w:rFonts w:ascii="Arial" w:hAnsi="Arial" w:cs="Arial"/>
        </w:rPr>
        <w:t xml:space="preserve"> (use of the instrument over time (</w:t>
      </w:r>
      <w:proofErr w:type="spellStart"/>
      <w:r w:rsidR="001A1E6B" w:rsidRPr="00586786">
        <w:rPr>
          <w:rFonts w:ascii="Arial" w:hAnsi="Arial" w:cs="Arial"/>
        </w:rPr>
        <w:t>ie</w:t>
      </w:r>
      <w:proofErr w:type="spellEnd"/>
      <w:r w:rsidR="001A1E6B" w:rsidRPr="00586786">
        <w:rPr>
          <w:rFonts w:ascii="Arial" w:hAnsi="Arial" w:cs="Arial"/>
        </w:rPr>
        <w:t>: a measure of change) or as a cross-sectional measure),</w:t>
      </w:r>
      <w:r w:rsidRPr="00586786">
        <w:rPr>
          <w:rFonts w:ascii="Arial" w:hAnsi="Arial" w:cs="Arial"/>
        </w:rPr>
        <w:t xml:space="preserve"> and additional non-core domains assessed by</w:t>
      </w:r>
      <w:r w:rsidR="001A1E6B" w:rsidRPr="00586786">
        <w:rPr>
          <w:rFonts w:ascii="Arial" w:hAnsi="Arial" w:cs="Arial"/>
        </w:rPr>
        <w:t xml:space="preserve"> the</w:t>
      </w:r>
      <w:r w:rsidRPr="00586786">
        <w:rPr>
          <w:rFonts w:ascii="Arial" w:hAnsi="Arial" w:cs="Arial"/>
        </w:rPr>
        <w:t xml:space="preserve"> instrument</w:t>
      </w:r>
      <w:r w:rsidR="00280A76" w:rsidRPr="00586786">
        <w:rPr>
          <w:rFonts w:ascii="Arial" w:hAnsi="Arial" w:cs="Arial"/>
        </w:rPr>
        <w:t>.</w:t>
      </w:r>
      <w:r w:rsidR="009462B0" w:rsidRPr="00586786">
        <w:rPr>
          <w:rFonts w:ascii="Arial" w:hAnsi="Arial" w:cs="Arial"/>
        </w:rPr>
        <w:t xml:space="preserve"> </w:t>
      </w:r>
    </w:p>
    <w:p w14:paraId="688E77F3" w14:textId="77777777" w:rsidR="00A13D54" w:rsidRPr="00586786" w:rsidRDefault="00A13D54" w:rsidP="00586786">
      <w:pPr>
        <w:spacing w:line="360" w:lineRule="auto"/>
        <w:rPr>
          <w:rFonts w:ascii="Arial" w:hAnsi="Arial" w:cs="Arial"/>
        </w:rPr>
      </w:pPr>
    </w:p>
    <w:p w14:paraId="5EBC25EB" w14:textId="70320324" w:rsidR="00A13D54" w:rsidRPr="00586786" w:rsidRDefault="00E0194E" w:rsidP="00586786">
      <w:pPr>
        <w:spacing w:line="360" w:lineRule="auto"/>
        <w:rPr>
          <w:rFonts w:ascii="Arial" w:hAnsi="Arial" w:cs="Arial"/>
        </w:rPr>
      </w:pPr>
      <w:r w:rsidRPr="00586786">
        <w:rPr>
          <w:rFonts w:ascii="Arial" w:hAnsi="Arial" w:cs="Arial"/>
          <w:b/>
          <w:bCs/>
        </w:rPr>
        <w:t xml:space="preserve">3.0 </w:t>
      </w:r>
      <w:r w:rsidR="00A13D54" w:rsidRPr="00586786">
        <w:rPr>
          <w:rFonts w:ascii="Arial" w:hAnsi="Arial" w:cs="Arial"/>
          <w:b/>
          <w:bCs/>
        </w:rPr>
        <w:t>RESULTS</w:t>
      </w:r>
    </w:p>
    <w:p w14:paraId="46420402" w14:textId="52165624" w:rsidR="00A13D54" w:rsidRPr="00586786" w:rsidRDefault="00E0194E" w:rsidP="00586786">
      <w:pPr>
        <w:spacing w:line="360" w:lineRule="auto"/>
        <w:rPr>
          <w:rFonts w:ascii="Arial" w:hAnsi="Arial" w:cs="Arial"/>
        </w:rPr>
      </w:pPr>
      <w:r w:rsidRPr="00586786">
        <w:rPr>
          <w:rFonts w:ascii="Arial" w:hAnsi="Arial" w:cs="Arial"/>
          <w:i/>
          <w:iCs/>
        </w:rPr>
        <w:t xml:space="preserve">3.1 </w:t>
      </w:r>
      <w:r w:rsidR="00A13D54" w:rsidRPr="00586786">
        <w:rPr>
          <w:rFonts w:ascii="Arial" w:hAnsi="Arial" w:cs="Arial"/>
          <w:i/>
          <w:iCs/>
        </w:rPr>
        <w:t>Study selection</w:t>
      </w:r>
    </w:p>
    <w:p w14:paraId="412C1868" w14:textId="7B4AA3CD" w:rsidR="00A13D54" w:rsidRPr="00586786" w:rsidRDefault="00D57022" w:rsidP="00586786">
      <w:pPr>
        <w:spacing w:line="360" w:lineRule="auto"/>
        <w:rPr>
          <w:rFonts w:ascii="Arial" w:hAnsi="Arial" w:cs="Arial"/>
        </w:rPr>
      </w:pPr>
      <w:r w:rsidRPr="00586786">
        <w:rPr>
          <w:rFonts w:ascii="Arial" w:hAnsi="Arial" w:cs="Arial"/>
        </w:rPr>
        <w:t>The searches yielded 4462 results, of which</w:t>
      </w:r>
      <w:r w:rsidR="001A1E6B" w:rsidRPr="00586786">
        <w:rPr>
          <w:rFonts w:ascii="Arial" w:hAnsi="Arial" w:cs="Arial"/>
        </w:rPr>
        <w:t xml:space="preserve"> </w:t>
      </w:r>
      <w:r w:rsidR="00246CA8" w:rsidRPr="00586786">
        <w:rPr>
          <w:rFonts w:ascii="Arial" w:hAnsi="Arial" w:cs="Arial"/>
        </w:rPr>
        <w:t>178 ab</w:t>
      </w:r>
      <w:r w:rsidR="001A1E6B" w:rsidRPr="00586786">
        <w:rPr>
          <w:rFonts w:ascii="Arial" w:hAnsi="Arial" w:cs="Arial"/>
        </w:rPr>
        <w:t>stracts were reviewed, and</w:t>
      </w:r>
      <w:r w:rsidRPr="00586786">
        <w:rPr>
          <w:rFonts w:ascii="Arial" w:hAnsi="Arial" w:cs="Arial"/>
        </w:rPr>
        <w:t xml:space="preserve"> 115 were retrieved for full text review. Of these, 7</w:t>
      </w:r>
      <w:r w:rsidR="007105F8" w:rsidRPr="00586786">
        <w:rPr>
          <w:rFonts w:ascii="Arial" w:hAnsi="Arial" w:cs="Arial"/>
        </w:rPr>
        <w:t>6</w:t>
      </w:r>
      <w:r w:rsidRPr="00586786">
        <w:rPr>
          <w:rFonts w:ascii="Arial" w:hAnsi="Arial" w:cs="Arial"/>
        </w:rPr>
        <w:t xml:space="preserve"> studies were eligible and included</w:t>
      </w:r>
      <w:r w:rsidR="00223502" w:rsidRPr="00586786">
        <w:rPr>
          <w:rFonts w:ascii="Arial" w:hAnsi="Arial" w:cs="Arial"/>
        </w:rPr>
        <w:t xml:space="preserve"> (</w:t>
      </w:r>
      <w:r w:rsidR="0019171F" w:rsidRPr="00586786">
        <w:rPr>
          <w:rFonts w:ascii="Arial" w:hAnsi="Arial" w:cs="Arial"/>
        </w:rPr>
        <w:t xml:space="preserve">supplementary table </w:t>
      </w:r>
      <w:r w:rsidR="002E4711">
        <w:rPr>
          <w:rFonts w:ascii="Arial" w:hAnsi="Arial" w:cs="Arial"/>
        </w:rPr>
        <w:t>1</w:t>
      </w:r>
      <w:r w:rsidR="0019171F" w:rsidRPr="00586786">
        <w:rPr>
          <w:rFonts w:ascii="Arial" w:hAnsi="Arial" w:cs="Arial"/>
        </w:rPr>
        <w:t>)</w:t>
      </w:r>
      <w:r w:rsidR="001A1E6B" w:rsidRPr="00586786">
        <w:rPr>
          <w:rFonts w:ascii="Arial" w:hAnsi="Arial" w:cs="Arial"/>
        </w:rPr>
        <w:t xml:space="preserve"> </w:t>
      </w:r>
      <w:r w:rsidR="004340C5" w:rsidRPr="00586786">
        <w:rPr>
          <w:rFonts w:ascii="Arial" w:hAnsi="Arial" w:cs="Arial"/>
        </w:rPr>
        <w:fldChar w:fldCharType="begin"/>
      </w:r>
      <w:r w:rsidR="00386695" w:rsidRPr="00586786">
        <w:rPr>
          <w:rFonts w:ascii="Arial" w:hAnsi="Arial" w:cs="Arial"/>
        </w:rPr>
        <w:instrText xml:space="preserve"> ADDIN ZOTERO_ITEM CSL_CITATION {"citationID":"LeQ423Ys","properties":{"formattedCitation":"(10\\uc0\\u8211{}85)","plainCitation":"(10–85)","noteIndex":0},"citationItems":[{"id":3829,"uris":["http://zotero.org/users/13605431/items/MXWPBSJM"],"itemData":{"id":3829,"type":"article-journal","abstract":"Objectives To develop a Glucocorticoid Toxicity Index (GTI) to assess glucocorticoid (GC)-related morbidity and GC-sparing ability of other therapies.\nMethods Nineteen experts on GC use and outcome measures from 11 subspecialties participated. Ten experts were from the USA; nine from Canada, Europe or Australia. Group consensus methods and multicriteria decision analysis (MCDA) were used. A Composite GTI and Speciﬁc List comprise the overall GTI. The Composite GTI reﬂects toxicity likely to change during a clinical trial. The Composite GTI toxicities occur commonly, vary with GC exposure, and are weighted and scored. Relative weights for items in the Composite GTI were derived by group consensus and MCDA. The Speciﬁc List is designed to capture GC toxicity not included in the Composite GTI. The Composite GTI was evaluated by application to paper cases by the investigators and an external group of 17 subspecialists.\nResults Thirty-one toxicity items were included in the Composite GTI and 23 in the Speciﬁc List. Composite GTI evaluation showed high inter-rater agreement (investigators κ 0.88, external raters κ 0.90). To assess the degree to which the Composite GTI corresponds to expert clinical judgement, participants ranked 15 cases by clinical judgement in order of highest to lowest GC toxicity. Expert rankings were then compared with case ranking by the Composite GTI, yielding excellent agreement (investigators weighted κ 0.87, external raters weighted κ 0.77).\nConclusions We describe the development and initial evaluation of a comprehensive instrument for the assessment of GC toxicity.","container-title":"Annals of the Rheumatic Diseases","DOI":"10.1136/annrheumdis-2016-210002","ISSN":"0003-4967, 1468-2060","issue":"3","journalAbbreviation":"Ann Rheum Dis","language":"en","page":"543-546","source":"DOI.org (Crossref)","title":"Development of a Glucocorticoid Toxicity Index (GTI) using multicriteria decision analysis","volume":"76","author":[{"family":"Miloslavsky","given":"Eli M"},{"family":"Naden","given":"Ray P"},{"family":"Bijlsma","given":"Johannes W J"},{"family":"Brogan","given":"Paul A"},{"family":"Brown","given":"E Sherwood"},{"family":"Brunetta","given":"Paul"},{"family":"Buttgereit","given":"Frank"},{"family":"Choi","given":"Hyon K"},{"family":"DiCaire","given":"Jean-Francois"},{"family":"Gelfand","given":"Jeffrey M"},{"family":"Heaney","given":"Liam G"},{"family":"Lightstone","given":"Liz"},{"family":"Lu","given":"Na"},{"family":"Murrell","given":"Dedee F"},{"family":"Petri","given":"Michelle"},{"family":"Rosenbaum","given":"James T"},{"family":"Saag","given":"Kenneth S"},{"family":"Urowitz","given":"Murray B"},{"family":"Winthrop","given":"Kevin L"},{"family":"Stone","given":"John H"}],"issued":{"date-parts":[["2017",3]]}}},{"id":3825,"uris":["http://zotero.org/users/13605431/items/SAPFC858"],"itemData":{"id":3825,"type":"article-journal","abstract":"Methods. The results of a background literature search and the preliminary results of a pilot survey and 2 qualitative studies were presented to facilitate the development of a research agenda.\nResults. It was agreed that there was a need for a data-driven PROM that identified both positive and negative effects of GC therapy to be used across all inflammatory indications for systemic GC use in adults. A research agenda was developed, consisting of further qualitative work to assess the effect of GC across different groups including various indications for GC use, different age groups, different dosages, and duration of treatment.\nConclusion. There was agreement on the need for a PROM in this area and a research agenda was set. (First Release April 1 2017; J Rheumatol 2017;44:1754–8; doi:10.3899/jrheum.161083)","container-title":"The Journal of Rheumatology","DOI":"10.3899/jrheum.161083","ISSN":"0315-162X, 1499-2752","issue":"11","journalAbbreviation":"J Rheumatol","language":"en","page":"1754-1758","source":"DOI.org (Crossref)","title":"A Patient-reported Outcome Measure for Effect of Glucocorticoid Therapy in Adults with Inflammatory Diseases Is Needed: Report from the OMERACT 2016 Special Interest Group","title-short":"A Patient-reported Outcome Measure for Effect of Glucocorticoid Therapy in Adults with Inflammatory Diseases Is Needed","volume":"44","author":[{"family":"Black","given":"Rachel J."},{"family":"Robson","given":"Joanna C."},{"family":"Goodman","given":"Susan M."},{"family":"Hoon","given":"Elizabeth"},{"family":"Lai","given":"Lana Y.H."},{"family":"Simon","given":"Lee S."},{"family":"Harrison","given":"Eileen"},{"family":"Neill","given":"Lorna"},{"family":"Richards","given":"Pam"},{"family":"Nelsen","given":"Linda M."},{"family":"Nebesky","given":"J. Michael"},{"family":"Mackie","given":"Sarah L."},{"family":"Hill","given":"Catherine L."}],"issued":{"date-parts":[["2017",11]]}}},{"id":3831,"uris":["http://zotero.org/users/13605431/items/ZSFPEHE5"],"itemData":{"id":3831,"type":"article-journal","abstract":"Objectives  Glucocorticoids used in the treatment of inflammatory rheumatic conditions can impact on health-­ related quality of life. An underpinning qualitative study developed a long-l­ist of candidate items for a treatment-­ specific patient-­reported outcome (PRO) measure. The objective of this paper is to determine scale structure and psychometric properties of the Steroid PRO.\nMethods  A cross-­sectional survey of adults from the UK, USA, Australia and New Zealand, taking glucocorticoids for a rheumatic disease. Initial survey collected demographics, clinical information, 40 Steroid PRO candidate items and EuroQol-­5 Dimensions- 5 levels (EQ-­5D-­5L). Follow-­up, 3–5 days later, collected Steroid PRO candidate items and a condition-­change (’transition’) question. Analysis included Rasch measurement model, exploratory factor analysis (EFA), and hypothesis testing for discriminative validity, convergence validity and test–retest reliability.\nResults  Total responses 946: UK n=743 (79%); USA n=139 (15%); Australia/New Zealand n=64 (7%); mean age 57.6 (SD=13.6); 833 (88%) women. Participants with inflammatory arthritis n=197 (21%), connective tissue disease and/or vasculitis n=402 (42%), giant cell arteritis and/or polymyalgia rheumatica n=347 (37%). Twenty-f­ive items were removed due to lack of fit to Rasch model. Of the remaining items, EFA suggested four subscales: Social impact (4 items); Impact on appearance (3 items); Psychological impact (5 items); Treatment concerns (3 items). Rasch modelling supported a four-­subscale structure and total score, confirming construct validity and reliability. Hypothesis testing confirmed discriminant and convergence validity. Intraclass correlation coefficient (total score) was 0.809 demonstrating excellent (test–retest) reliability.\nConclusions  The Steroid PRO is a 15-­item, valid and reliable scale for measuring the impact of glucocorticoid therapy in people with rheumatic diseases.","container-title":"Annals of the Rheumatic Diseases","DOI":"10.1136/ard-2023-224946","ISSN":"0003-4967, 1468-2060","issue":"3","journalAbbreviation":"Ann Rheum Dis","language":"en","page":"394-400","source":"DOI.org (Crossref)","title":"Validation of a new glucocorticoid-specific Patient-Reported Outcome Questionnaire (the Steroid PRO)","volume":"83","author":[{"family":"Bridgewater","given":"Susan"},{"family":"Ndosi","given":"Mwidimi"},{"family":"Dawson","given":"Jill"},{"family":"Richards","given":"Pamela"},{"family":"Silverthorne","given":"Christine"},{"family":"Dures","given":"Emma"},{"family":"Goodman","given":"Susan M."},{"family":"Hill","given":"Catherine"},{"family":"Mackie","given":"Sarah L."},{"family":"Robson","given":"Joanna C."}],"issued":{"date-parts":[["2024",3]]}}},{"id":4257,"uris":["http://zotero.org/users/13605431/items/SR7VEIQB"],"itemData":{"id":4257,"type":"article-journal","abstract":"Purpose  We aimed to assess adrenal function following treatment of moderate-to-severe and active Graves’ orbitopathy (GO) with intravenous methylprednisolone (IVMP) in weekly pulses in a cumulative dose of 4.5 or 7.5 g. We evaluated the impact of IVMP pulses on adrenal reserve using a low-dose (1 μg) ACTH stimulation test (LDT) for the first time.\nMethods  In this prospective study we evaluated adrenal function in 21 patients with moderate-to-severe and active GO treated with 12 weekly IVMP pulses according to the European Group on Graves’ Orbitopathy (EUGOGO) recommendations. We assessed serum cortisol, plasma adrenocorticotropic hormone (ACTH), and dehydroepiandrosterone sulfate (DHEA-S) levels before the 1st and 12th IVMP pulse. We performed dynamic testing using LDT before the 12th IVMP pulse in all patients. In those who failed LDT, adrenal function was reassessed with LDT and the overnight metyrapone test after 4–7 weeks.\nResults  Two patients failed to achieve serum cortisol levels ≥ 18.1 μg/dL at 30 and 60 min in LDT and were diagnosed with glucocorticoid-induced adrenal insufficiency (GC-induced AI). They were recommended to take hydrocortisone in situations of acute stress. Both patients were reassessed within 4–7 weeks after treatment cessation and showed an adequate response in LDT and overnight metyrapone test. We observed a statistically significant decrease in DHEA-S levels (p = 0.004) before the 12th IVMP pulse compared to baseline in all patients.\nConclusion  For the first time, our research shows that administering IVMP in 12 weekly pulses can result in GC-induced AI. We suggest that patients should undergo careful evaluation for GC-induced AI, including LDT, after therapy with IVMP according to EUGOGO guidelines. Screening for altered adrenal reserve could prevent life-threatening complications, particularly during acute stress situations.","container-title":"Journal of Endocrinological Investigation","DOI":"10.1007/s40618-024-02304-7","ISSN":"1720-8386","issue":"8","journalAbbreviation":"J Endocrinol Invest","language":"en","page":"1987-1994","source":"DOI.org (Crossref)","title":"Glucocorticoid-induced adrenal insufficiency after therapy with intravenous methylprednisolone in patients with moderate-to-severe and active Graves’ orbitopathy: assessment with a low-dose corticotropin test","title-short":"Glucocorticoid-induced adrenal insufficiency after therapy with intravenous methylprednisolone in patients with moderate-to-severe and active Graves’ orbitopathy","volume":"47","author":[{"family":"Pelewicz","given":"K."},{"family":"Miśkiewicz","given":"P."}],"issued":{"date-parts":[["2024",2,4]]}}},{"id":4278,"uris":["http://zotero.org/users/13605431/items/6IN5QNZX"],"itemData":{"id":4278,"type":"article-journal","abstract":"Objective: The glucocorticoid toxicity index (GTI) is developed to measure glucocorticoid (GC)-related morbidity over time. This study aimed to assess GC-toxicity in patients at a rheumatology outpatient clinic by using the GTI and to identify the factors that interfere with the GTI.\nMethods: This prospective study included patients with inflammatory arthritis (IA), connective tissue disease and vasculitis who were newly pre­ scribed GC-treatment (GC-naive) or have been still on GC-treatment for ≤2 years (GC-experienced). Patient demographics and disease characteristics, aggregate improvement score (GTI-AIS), cumulative worsening score (GTI-CWS) and cumulative GC-doses were recorded at baseline, 3rd month and 6th month. Generalized estimating equations (GEE) were used to evaluate the GTI scores and associated factors including cumulative GC-doses.\nResults: The study included 156 (48.7% GC-naive) patients with a mean age of 49.1 ± 17.1 years. More than half of the patients in both groups had a diagnosis of vasculitis. A higher cumulative GC-dose was found to be associated with higher GTI-scores in both groups (P &lt; 0.001). In the GC-naive group, patients with vasculitis showed higher GTI-scores than IA patients (P &lt; 0.001); there was also a significant increase in the GTICWS at the 6th month compared with the 3rd month. In the GC-experienced group, GTI-AIS and GTI-CWS were significantly different at 3rd and 6th month (P &lt; 0.05).\nConclusion: It was shown that GTI scores were associated with cumulative GC-doses and vasculitis patients in the GC-naive patients had higher GTI scores than inflammatory arthritis. The GTI allows individualized assessment and management of adverse effects experienced by patients as a result of GC treatment.","container-title":"Rheumatology","DOI":"10.1093/rheumatology/keae288","ISSN":"1462-0324, 1462-0332","language":"en","license":"https://creativecommons.org/licenses/by-nc/4.0/","page":"1-9","source":"DOI.org (Crossref)","title":"Prospective assessment of glucocorticoid toxicity in rheumatology practice: a focus on the glucocorticoid toxicity index","title-short":"Prospective assessment of glucocorticoid toxicity in rheumatology practice","volume":"00","author":[{"family":"Bahap-Kara","given":"Melda"},{"family":"Sariyildiz","given":"Emine"},{"family":"Zengin","given":"Hatice Yagmur"},{"family":"Karadag","given":"Omer"},{"family":"Bayraktar-Ekincioglu","given":"Aygin"}],"issued":{"date-parts":[["2024",5,23]]}}},{"id":4299,"uris":["http://zotero.org/users/13605431/items/NAGSQI2Q"],"itemData":{"id":4299,"type":"article-journal","abstract":"Objective: Overnight metyrapone test (OMT) is a dynamic test used to diagnose secondary adrenal insufficiency (SAI). Data on OMT use and its safety are scarce. We aimed to describe the indications and safety of outpatient OMT and compare OMT to the cosyntropin stimulation test (CST). Design: Single</w:instrText>
      </w:r>
      <w:r w:rsidR="00386695" w:rsidRPr="00586786">
        <w:rPr>
          <w:rFonts w:ascii="Cambria Math" w:hAnsi="Cambria Math" w:cs="Cambria Math"/>
        </w:rPr>
        <w:instrText>‐</w:instrText>
      </w:r>
      <w:r w:rsidR="00386695" w:rsidRPr="00586786">
        <w:rPr>
          <w:rFonts w:ascii="Arial" w:hAnsi="Arial" w:cs="Arial"/>
        </w:rPr>
        <w:instrText>centre retrospective study of adult patients undergoing OMT between 1 April 2018 and 27 January 2023.\nMeasurements: OMT</w:instrText>
      </w:r>
      <w:r w:rsidR="00386695" w:rsidRPr="00586786">
        <w:rPr>
          <w:rFonts w:ascii="Cambria Math" w:hAnsi="Cambria Math" w:cs="Cambria Math"/>
        </w:rPr>
        <w:instrText>‐</w:instrText>
      </w:r>
      <w:r w:rsidR="00386695" w:rsidRPr="00586786">
        <w:rPr>
          <w:rFonts w:ascii="Arial" w:hAnsi="Arial" w:cs="Arial"/>
        </w:rPr>
        <w:instrText>related adverse events, post</w:instrText>
      </w:r>
      <w:r w:rsidR="00386695" w:rsidRPr="00586786">
        <w:rPr>
          <w:rFonts w:ascii="Cambria Math" w:hAnsi="Cambria Math" w:cs="Cambria Math"/>
        </w:rPr>
        <w:instrText>‐</w:instrText>
      </w:r>
      <w:r w:rsidR="00386695" w:rsidRPr="00586786">
        <w:rPr>
          <w:rFonts w:ascii="Arial" w:hAnsi="Arial" w:cs="Arial"/>
        </w:rPr>
        <w:instrText>OMT diagnosis of SAI, and OMT comparison to CST.\nResults: OMT was performed in 114 patients (81, 71% women) at a median age of 48 (interquartile range 37–58). The pretest probability for SAI was low in 52 (46%) patients, moderate in 48 (42%) patients and high in 14 (12%) patients. Adverse events were reported in 7 (6.1%) patients and were mild except for one hospitalization. No baseline or OMT</w:instrText>
      </w:r>
      <w:r w:rsidR="00386695" w:rsidRPr="00586786">
        <w:rPr>
          <w:rFonts w:ascii="Cambria Math" w:hAnsi="Cambria Math" w:cs="Cambria Math"/>
        </w:rPr>
        <w:instrText>‐</w:instrText>
      </w:r>
      <w:r w:rsidR="00386695" w:rsidRPr="00586786">
        <w:rPr>
          <w:rFonts w:ascii="Arial" w:hAnsi="Arial" w:cs="Arial"/>
        </w:rPr>
        <w:instrText>related factors were associated with the development of adverse events. Prevalence of the OMT</w:instrText>
      </w:r>
      <w:r w:rsidR="00386695" w:rsidRPr="00586786">
        <w:rPr>
          <w:rFonts w:ascii="Cambria Math" w:hAnsi="Cambria Math" w:cs="Cambria Math"/>
        </w:rPr>
        <w:instrText>‐</w:instrText>
      </w:r>
      <w:r w:rsidR="00386695" w:rsidRPr="00586786">
        <w:rPr>
          <w:rFonts w:ascii="Arial" w:hAnsi="Arial" w:cs="Arial"/>
        </w:rPr>
        <w:instrText>based SAI diagnosis was 26 (23%) and 47 (46%) using 11</w:instrText>
      </w:r>
      <w:r w:rsidR="00386695" w:rsidRPr="00586786">
        <w:rPr>
          <w:rFonts w:ascii="Cambria Math" w:hAnsi="Cambria Math" w:cs="Cambria Math"/>
        </w:rPr>
        <w:instrText>‐</w:instrText>
      </w:r>
      <w:r w:rsidR="00386695" w:rsidRPr="00586786">
        <w:rPr>
          <w:rFonts w:ascii="Arial" w:hAnsi="Arial" w:cs="Arial"/>
        </w:rPr>
        <w:instrText>deoxycortisol cutoff &lt;7 and &lt;10 mcg/dL, respectively. Higher pretest probability was associated with the OMT</w:instrText>
      </w:r>
      <w:r w:rsidR="00386695" w:rsidRPr="00586786">
        <w:rPr>
          <w:rFonts w:ascii="Cambria Math" w:hAnsi="Cambria Math" w:cs="Cambria Math"/>
        </w:rPr>
        <w:instrText>‐</w:instrText>
      </w:r>
      <w:r w:rsidR="00386695" w:rsidRPr="00586786">
        <w:rPr>
          <w:rFonts w:ascii="Arial" w:hAnsi="Arial" w:cs="Arial"/>
        </w:rPr>
        <w:instrText>based diagnosis of SAI. Post</w:instrText>
      </w:r>
      <w:r w:rsidR="00386695" w:rsidRPr="00586786">
        <w:rPr>
          <w:rFonts w:ascii="Cambria Math" w:hAnsi="Cambria Math" w:cs="Cambria Math"/>
        </w:rPr>
        <w:instrText>‐</w:instrText>
      </w:r>
      <w:r w:rsidR="00386695" w:rsidRPr="00586786">
        <w:rPr>
          <w:rFonts w:ascii="Arial" w:hAnsi="Arial" w:cs="Arial"/>
        </w:rPr>
        <w:instrText>OMT 11</w:instrText>
      </w:r>
      <w:r w:rsidR="00386695" w:rsidRPr="00586786">
        <w:rPr>
          <w:rFonts w:ascii="Cambria Math" w:hAnsi="Cambria Math" w:cs="Cambria Math"/>
        </w:rPr>
        <w:instrText>‐</w:instrText>
      </w:r>
      <w:r w:rsidR="00386695" w:rsidRPr="00586786">
        <w:rPr>
          <w:rFonts w:ascii="Arial" w:hAnsi="Arial" w:cs="Arial"/>
        </w:rPr>
        <w:instrText>deoxycortisol cutoff of 10 mcg/dL was used most to diagnose SAI. Compared to the OMT</w:instrText>
      </w:r>
      <w:r w:rsidR="00386695" w:rsidRPr="00586786">
        <w:rPr>
          <w:rFonts w:ascii="Cambria Math" w:hAnsi="Cambria Math" w:cs="Cambria Math"/>
        </w:rPr>
        <w:instrText>‐</w:instrText>
      </w:r>
      <w:r w:rsidR="00386695" w:rsidRPr="00586786">
        <w:rPr>
          <w:rFonts w:ascii="Arial" w:hAnsi="Arial" w:cs="Arial"/>
        </w:rPr>
        <w:instrText>based diagnosis of SAI (11</w:instrText>
      </w:r>
      <w:r w:rsidR="00386695" w:rsidRPr="00586786">
        <w:rPr>
          <w:rFonts w:ascii="Cambria Math" w:hAnsi="Cambria Math" w:cs="Cambria Math"/>
        </w:rPr>
        <w:instrText>‐</w:instrText>
      </w:r>
      <w:r w:rsidR="00386695" w:rsidRPr="00586786">
        <w:rPr>
          <w:rFonts w:ascii="Arial" w:hAnsi="Arial" w:cs="Arial"/>
        </w:rPr>
        <w:instrText>deoxycortisol cutoff of 10 mcg/dL), the specificity of CST was 100%, but the sensitivity was only 52%.\nConclusions: OMT was well tolerated and used in patients with low and moderate pretest probability for SAI. CST can erroneously exclude patients with SAI. Thus, OMT should be considered in selected patients with normal CST.","container-title":"Clinical Endocrinology","DOI":"10.1111/cen.14989","ISSN":"0300-0664, 1365-2265","issue":"3","journalAbbreviation":"Clinical Endocrinology","language":"en","page":"203-211","source":"DOI.org (Crossref)","title":"Use of overnight metyrapone test in suspected secondary adrenal insufficiency: A retrospective single centre</w:instrText>
      </w:r>
      <w:r w:rsidR="00386695" w:rsidRPr="00586786">
        <w:rPr>
          <w:rFonts w:ascii="Cambria Math" w:hAnsi="Cambria Math" w:cs="Cambria Math"/>
        </w:rPr>
        <w:instrText>‐</w:instrText>
      </w:r>
      <w:r w:rsidR="00386695" w:rsidRPr="00586786">
        <w:rPr>
          <w:rFonts w:ascii="Arial" w:hAnsi="Arial" w:cs="Arial"/>
        </w:rPr>
        <w:instrText>study","title-short":"Use of overnight metyrapone test in suspected secondary adrenal insufficiency","volume":"100","author":[{"family":"Saini","given":"Jasmine"},{"family":"Garcia","given":"Raul Gregg"},{"family":"Herndon","given":"Justine"},{"family":"Erickson","given":"Dana"},{"family":"Gruber","given":"Lucinda"},{"family":"Bancos","given":"Irina"}],"issued":{"date-parts":[["2024",3]]}}},{"id":4881,"uris":["http://zotero.org/users/13605431/items/N8BLBZQW"],"itemData":{"id":4881,"type":"article-journal","abstract":"Objectives: To compare the prevalence of anxiety and depression in patients with GCA with that in the general population, using the Hospital Anxiety and Depression Scale (HADS), and to identify independent predictors of these psychiatric manifestations in patients with GCA.\nMethods: We conducted a cross-sectional study including all patients diagnosed with GCA followed during 1 year in a vasculitis outpatient clinic. The HADS and 36-item Short Form (SF-36) questionnaires were prospectively collected. Patients’ HADS results were compared with an age- and gender-matched control group. HADS anxiety (HADS-A) and HADS depression (HADS-D) scores between 8 and 10 deﬁned possible anxiety and depression and !11 deﬁned probable anxiety and depression, respectively.\nResults: We included 72 patients and 288 controls. Compared with controls, patients with GCA had a statistically signiﬁcant higher prevalence of HADS-A !8 (48.6% vs 26.4%), HADS-A !11 (30.6% vs 12.2%) and HADS-D !11 (33.3% vs 18.1%). GCA was an independent predictor of HADS-A !8 [odds ratio (OR) 3.3 (95% CI 1.9, 5.9)], HADS-A !11 [OR 3.8 (95% CI 2.0, 7.4)] and HADS-D !11 [OR 2.6 (95% CI 1.4, 4.7)]. Among patients with GCA, a negative correlation was observed between HADS-A/D and SF-36 mental health scores (r ¼ −0.780 and r ¼ −0.742, respectively). Glucocorticoid therapy was a predictor of HADS-A !8 [OR 10.4 (95% CI 1.2, 94.2)] and older age of HADS-D !8 [OR 1.2 (95% CI 1.1, 1.3)] and HADS-D !11 [OR 1.1 (95% CI 1.0, 1.2)].\nConclusions: Compared with the general population, patients with GCA have a higher prevalence of anxiety and depression and GCA is an independent predictor of these symptoms. Glucocorticoid treatment and older age are predictors of anxiety and depression, respectively, in patients with GCA.","container-title":"Rheumatology Advances in Practice","DOI":"10.1093/rap/rkae013","ISSN":"2514-1775","issue":"1","language":"en","license":"https://creativecommons.org/licenses/by-nc/4.0/","source":"DOI.org (Crossref)","title":"Anxiety and depression in patients with giant cell arteritis","volume":"8","author":[{"family":"Martins-Martinho","given":"Joana"},{"family":"Ponte","given":"André"},{"family":"Dourado","given":"Eduardo"},{"family":"Khmelinskii","given":"Nikita"},{"family":"Barreira","given":"Sofia C"},{"family":"Cruz-Machado","given":"Ana R"},{"family":"Macieira","given":"Carla"},{"family":"Teixeira","given":"Vítor"},{"family":"Rodrigues","given":"Ana M"},{"family":"Telles-Correia","given":"Diogo"},{"family":"Fonseca","given":"João E"},{"family":"Ponte","given":"Cristina"}],"issued":{"date-parts":[["2023",12,9]]}}},{"id":4255,"uris":["http://zotero.org/users/13605431/items/HCYTL9WH"],"itemData":{"id":4255,"type":"article-journal","abstract":"Background The ADVOCATE trial, in which the complement C5a receptor inhibitor avacopan was compared with a standard prednisone taper in patients with antineutrophil cytoplasmic antibody (ANCA)-associated vasculitis, used the Glucocorticoid Toxicity Index (GTI) to measure glucocorticoid toxicity change. We set out to do a post-hoc analysis of the ADVOCATE data to evaluate changes in individual GTI domains and their ability to differentiate treatment groups.","container-title":"The Lancet Rheumatology","DOI":"10.1016/S2665-9913(23)00030-9","ISSN":"26659913","issue":"3","journalAbbreviation":"The Lancet Rheumatology","language":"en","page":"e130-e138","source":"DOI.org (Crossref)","title":"Glucocorticoid Toxicity Index scores by domain in patients with antineutrophil cytoplasmic antibody-associated vasculitis treated with avacopan versus standard prednisone taper: post-hoc analysis of data from the ADVOCATE trial","title-short":"Glucocorticoid Toxicity Index scores by domain in patients with antineutrophil cytoplasmic antibody-associated vasculitis treated with avacopan versus standard prednisone taper","volume":"5","author":[{"family":"Patel","given":"Naomi J"},{"family":"Jayne","given":"David R W"},{"family":"Merkel","given":"Peter A"},{"family":"Bekker","given":"Pirow"},{"family":"Zhang","given":"Yuqing"},{"family":"Yue","given":"Huibin"},{"family":"Stone","given":"John H"}],"issued":{"date-parts":[["2023",3]]}}},{"id":4296,"uris":["http://zotero.org/users/13605431/items/WQ8LNXEF"],"itemData":{"id":4296,"type":"article-journal","abstract":"Objective  The randomised placebo-­controlled GLORIA (Glucocorticoid LOw-­dose in RheumatoId Arthritis) trial evaluated the benefits and harms of prednisolone 5 mg/day added to standard care for 2 years in patients aged 65+ years with rheumatoid arthritis (RA). Here, we studied disease activity, flares and possible adrenal insufficiency after blinded withdrawal of study medication.\nMethods  Per protocol, patients successfully completing the 2-­year trial period linearly tapered and stopped blinded study medication in 3 months. We compared changes in disease activity after taper between treatment groups (one-­sided testing). Secondary outcomes (two-­sided tests) comprised disease flares (DAS28 (Disease Activity Score 28 joints) increase &gt;0.6, open-­label glucocorticoids or disease-­modifying antirheumatic drug (DMARD) increase/switch after week 4 of tapering) and symptoms/signs of adrenal insufficiency. In a subset of patients from 3 Dutch centres, cortisol and ACTH were measured in spot serum samples after tapering.\nResults  191 patients were eligible; 36 met treatment-­related flare criteria and were only included in the flare analysis. Mean (SD) DAS28 change at follow-­up: 0.2 (1.0) in the prednisolone group (n=76) vs 0.0 (1.2) in placebo (n=79). Adjusted for baseline, the between-­group difference in DAS28 increase was 0.16 (95% confidence limit –0.06, p=0.12). Flares occurred in 45% of prednisolone patients compared with 33% in placebo, relative risk (RR) 1.37 (95% CI 0.95 to 1.98; p=0.12). We found no evidence for adrenal insufficiency.\nConclusions  Tapering prednisolone moderately increases disease activity to the levels of the placebo group (mean still at low disease activity levels) and numerically increases the risk of flare without evidence for adrenal insufficiency. This suggests that withdrawal of low-­dose prednisolone is feasible and safe after 2 years of administration.","container-title":"Annals of the Rheumatic Diseases","DOI":"10.1136/ard-2023-223977","ISSN":"0003-4967, 1468-2060","issue":"10","journalAbbreviation":"Ann Rheum Dis","language":"en","page":"1307-1314","source":"DOI.org (Crossref)","title":"Three-month tapering and discontinuation of long- term, low-dose glucocorticoids in senior patients with rheumatoid arthritis is feasible and safe: placebo-controlled double blind tapering after the GLORIA trial","title-short":"Three-month tapering and discontinuation of long- term, low-dose glucocorticoids in senior patients with rheumatoid arthritis is feasible and safe","volume":"82","author":[{"family":"Almayali","given":"Abdullah Ali Hadi"},{"family":"Boers","given":"Maarten"},{"family":"Hartman","given":"Linda"},{"family":"Opris","given":"Daniela"},{"family":"Bos","given":"Reinhard"},{"family":"Kok","given":"Marc R"},{"family":"Da Silva","given":"Jose Ap"},{"family":"Griep","given":"Ed"},{"family":"Klaasen","given":"Ruth"},{"family":"Allaart","given":"Cornelia F"},{"family":"Baudoin","given":"Paul"},{"family":"Raterman","given":"Hennie G"},{"family":"Szekanecz","given":"Zoltan"},{"family":"Buttgereit","given":"Frank"},{"family":"Masaryk","given":"Pavol"},{"family":"Lems","given":"Willem"},{"family":"Smulders","given":"Yvo"},{"family":"Cutolo","given":"Maurizio"},{"family":"Ter Wee","given":"Marieke M"}],"issued":{"date-parts":[["2023",10]]}}},{"id":4073,"uris":["http://zotero.org/users/13605431/items/KMWDM7L9"],"itemData":{"id":4073,"type":"article-journal","abstract":"Objective Although management of vasculitis has evolved over the last decades, glucocorticoids (GC) have remained the cornerstone of treatment. The side effects (SE) of GC are well known by the clinicians; their importance for patients with vasculitis has not been investigated as extensively as in other rheumatological conditions.","container-title":"Clinical and Experimental Rheumatology","DOI":"10.55563/clinexprheumatol/ef9nda","ISSN":"1593-098X","language":"en","page":"943-947","source":"DOI.org (Crossref)","title":"A Canadian vasculitis patient-driven survey to highlight which prednisone-related side effects matter the most","volume":"41","author":[{"family":"Yardimci","given":"Gozde Kubra"},{"family":"Pagnoux","given":"Christian"},{"family":"Stewart","given":"Jon"}],"issued":{"date-parts":[["2023",2,15]]}}},{"id":4106,"uris":["http://zotero.org/users/13605431/items/87WCLVU9"],"itemData":{"id":4106,"type":"article-journal","abstract":"Objectives: Although the painful and disabling features of early diffuse cutaneous SSc (dcSSc) have an inﬂammatory basis and could respond to corticosteroids, corticosteroids are a risk factor for scleroderma renal crisis. Whether or not they should be prescribed is therefore highly contentious. Our aim was to examine safety and efﬁcacy of moderate-dose prednisolone in early dcSSc.\nMethods: PRedSS set out as a Phase II, multicentre, double-blind randomized controlled trial, converted to open-label during the Covid-19 pandemic. Patients were randomized to receive either prednisolone ($0.3 mg/kg) or matching placebo (or no treatment during open-label) for 6 months. Co-primary endpoints were the HAQ Disability Index (HAQ-DI) and modiﬁed Rodnan skin score (mRSS) at 3 months. Over 20 secondary endpoints included patient reported outcome measures reﬂecting pain, itch, fatigue, anxiety and depression, and helplessness. Target recruitment was 72 patients.\nResults: Thirty-ﬁve patients were randomized (17 prednisolone, 18 placebo/control). The adjusted mean difference between treatment groups at 3 months in HAQ-DI score was À0.10 (97.5% CI: À0.29, 0.10), P ¼ 0.254, and in mRSS À3.90 (97.5% CI: À8.83, 1.03), P ¼ 0.070, both favouring prednisolone but not signiﬁcantly. Patients in the prednisolone group experienced signiﬁcantly less pain (P ¼ 0.027), anxiety (P ¼ 0.018) and helplessness (P ¼ 0.040) than control patients at 3 months. There were no renal crises, but sample size was small.\nConclusion: PRedSS was terminated early primarily due to the Covid-19 pandemic, and so was underpowered. Therefore, interpretation must be cautious and results considered inconclusive, indicating the need for a further randomized trial. Trial registration: ClinicalTrials.gov, https://clinicaltrials.gov, NCT03708718.","container-title":"Rheumatology","DOI":"10.1093/rheumatology/kead012","ISSN":"1462-0324, 1462-0332","issue":"9","language":"en","license":"https://creativecommons.org/licenses/by-nc/4.0/","page":"3133-3138","source":"DOI.org (Crossref)","title":"A Phase II randomized controlled trial of oral prednisolone in early diffuse cutaneous systemic sclerosis (PRedSS)","volume":"62","author":[{"family":"Griffiths-Jones","given":"Deborah J"},{"family":"Garcia","given":"Yvonne Sylvestre"},{"family":"Ryder","given":"W David"},{"family":"Pauling","given":"John D"},{"family":"Hall","given":"Frances"},{"family":"Lanyon","given":"Peter"},{"family":"Bhat","given":"Smita"},{"family":"Douglas","given":"Karen"},{"family":"Gunawardena","given":"Harsha"},{"family":"Akil","given":"Mohammed"},{"family":"Anderson","given":"Marina"},{"family":"Griffiths","given":"Bridget"},{"family":"Del Galdo","given":"Francesco"},{"family":"Youssef","given":"Hazem"},{"family":"Madhok","given":"Rajan"},{"family":"Arthurs","given":"Barbara"},{"family":"Buch","given":"Maya"},{"family":"Fligelstone","given":"Kim"},{"family":"Zubair","given":"Mohammed"},{"family":"Mason","given":"Justin C"},{"family":"Denton","given":"Christopher P"},{"family":"Herrick","given":"Ariane L"}],"issued":{"date-parts":[["2023",9,1]]}}},{"id":4248,"uris":["http://zotero.org/users/13605431/items/D7I46I5P"],"itemData":{"id":4248,"type":"article-journal","abstract":"Objective: Lupus nephritis (LN) is often treated with high doses of glucocorticoids (GCs). The glucocorticoid toxicity index (GTI) was developed by expert consensus to quantify GC toxicity. To date, the GTI has not been shown to correlate with GC exposure in patients with LN.\nMethods: We performed a retrospective cohort study of patients with biopsy-conﬁrmed LN between 2006 and 2016. Cumulative GC exposure and GTI scores were determined via medical record review. Both the aggregate improvement score (GTI-AIS) and the cumulative worsening score (GTI-CWS) were calculated. We performed linear regression to determine the association between GC exposure and GTI scores at 1 year and 5 years following kidney biopsy.\nResults: This study included 49 patients with a mean age of 33.3 (SD 9.5) years. Mean GC exposure was 23.0 mg prednisone-equivalents per day through year 1 and 9.9 mg prednisone-equivalents per day through year 5. At 5 years, higher GC exposure was associated with higher GTI-AIS (p &lt; 0.001) and GTI-CWS (p = 0.002), and this association persisted in multivariate analysis adjusting for age, sex, race, induction medication, and nephritis class (p = 0.026 for AIS, p = 0.012 for CWS). At 1 year, GC exposure was not associated with GTI scores (p = 0.70 for AIS; p = 0.58 for CWS).\nConclusion: In this cohort study, the GTI was associated with cumulative steroid exposure at 5 years after diagnosis. In patients with LN, the GTI may serve as a useful outcome measure in future LN trials evaluating the steroid sparing effect of novel therapies.","container-title":"Lupus","DOI":"10.1177/09612033231160969","ISSN":"0961-2033, 1477-0962","issue":"4","journalAbbreviation":"Lupus","language":"en","page":"565-570","source":"DOI.org (Crossref)","title":"Estimating glucocorticoid-related morbidity in lupus nephritis using the glucocorticoid toxicity index","volume":"32","author":[{"family":"Usiskin","given":"Ilana M"},{"family":"Kyttaris","given":"Vasileios C"}],"issued":{"date-parts":[["2023",4]]}}},{"id":4887,"uris":["http://zotero.org/users/13605431/items/KWEHY2LC"],"itemData":{"id":4887,"type":"article-journal","abstract":"Objectives: Glucocorticoids (GCs) (‘steroids’) are used to treat rheumatic diseases but adverse effects are common. We aimed to explore the impact of GC therapy on health-related quality of life (HRQoL), to inform the development of a treatment-speciﬁc patient-reported outcome measure (PROM) for use in clinical trials and practice.\nMethods: Semi-structured qualitative interviews were conducted with patients from the UK, USA and Australia, treated for a rheumatic condition with GCs in the last 2 years. Purposive sampling was used to select participants with a range of demographic and disease features. An initial conceptual framework informed interview prompts and cues. Interviews elicited GC-related physical and psychological symptoms and salient aspects of HRQoL in relation to GC therapy. Interview data were analysed inductively to develop initial individual themes and domains. Candidate questionnaire items were developed and reﬁned.\nResults: Sixty semi-structured qualitative interviews were conducted (UK n ¼ 34, USA n ¼ 10, Australia n ¼ 16). The mean age was 58 years; 39/60 were female; and 18 rheumatic diseases were represented. Some 126 individual themes were identiﬁed and organized into six domains: physical symptoms; psychological symptoms; psychological impact of steroids; impact of steroids on participation; impact of steroids on relationships; and beneﬁts of steroids. Candidate questionnaire items were tested and reﬁned by piloting with patient research partners, iterative rounds of cognitive interviews and linguistic translatability assessment, informing a draft questionnaire.\nConclusion: We describe an international qualitative study to develop candidate items for a treatment-speciﬁc PROM for patients with rheumatic diseases. A future survey will enable the validation of a ﬁnal version of the PROM.","container-title":"Rheumatology","DOI":"10.1093/rheumatology/kead081","ISSN":"1462-0324, 1462-0332","issue":"11","language":"en","license":"https://creativecommons.org/licenses/by-nc/4.0/","page":"3565-3575","source":"DOI.org (Crossref)","title":"Measuring the impact of steroid therapy on health-related quality of life in patients with rheumatic diseases: international development of a glucocorticoid treatment–specific patient-reported outcome measure","title-short":"Measuring the impact of steroid therapy on health-related quality of life in patients with rheumatic diseases","volume":"62","author":[{"family":"Bridgewater","given":"Susan"},{"family":"Shepherd","given":"Michael A"},{"family":"Dawson","given":"Jill"},{"family":"Richards","given":"Pamela"},{"family":"Silverthorne","given":"Christine"},{"family":"Ndosi","given":"Mwidimi"},{"family":"Almeida","given":"Celia"},{"family":"Black","given":"Rachel J"},{"family":"Cheah","given":"Jonathan T L"},{"family":"Dures","given":"Emma"},{"family":"Ghosh","given":"Nilasha"},{"family":"Hoon","given":"Elizabeth A"},{"family":"Lyne","given":"Suellen"},{"family":"Navarro-Millan","given":"Iris"},{"family":"Pearce-Fisher","given":"Diyu"},{"family":"Ruediger","given":"Carlee"},{"family":"Tieu","given":"Joanna"},{"family":"Yip","given":"Kevin"},{"family":"Mackie","given":"Sarah L"},{"family":"Goodman","given":"Susan"},{"family":"Hill","given":"Catherine"},{"family":"Robson","given":"Joanna C"}],"issued":{"date-parts":[["2023",11,2]]}}},{"id":4268,"uris":["http://zotero.org/users/13605431/items/BY5KSIH2"],"itemData":{"id":4268,"type":"article-journal","abstract":"Objective. The existing guidelines for lupus nephritis (LN) recommend initial prednisone doses of 0.3–1.0 mg/kg/ day. However, recent studies reported noninferior outcomes with lower doses. The aim of this study was to compare the complete renal response rates in LN patients treated with prednisone ≤30 mg/day or ≥40 mg/day.\nMethods. Patients with new-onset LN and standard immunosuppressive treatment were followed for at least 12 months, divided into medium (≤30 mg/day) and high prednisone groups (≥40 mg/day) and matched (propensity score) based on the baseline differences. Complete renal response was deﬁned as proteinuria &lt;0.5 gm/day and no worsening in renal function. Glucocorticoid-related damage was also assessed.\nResults. High-dose prednisone patients (n = 103; mean ± SD dose 48.6 ± 12.3 mg/day) achieved better rates of complete response compared to the medium group (n = 103; mean ± SD dose 24.2 ± 4.6 mg/day) (61.8% versus 38.2%; P = 0.024) at 12 months. The difference in response rates was reproduced for several subgroups (concomitant immunosuppressive treatment, proliferative/nonproliferative LN). Complete remission rates were higher at 2 years (67.8% versus 39%; P = 0.002) and 3 years (64.9% versus 49.1%; P = 0.025) after LN diagnosis. Cumulative glucocorticoid dose was comparable at 2 and 3 years. Glucocorticoid-related damage was accelerated in both groups for the same period.\nConclusion. Higher initial prednisone doses (median 45 mg/day) achieved signiﬁcantly better rates of complete renal response at 12 months in new-onset LN. Cumulative glucocorticoid dose and damage accrual were not different at 2 and 3 years after LN. Damage was more prominent in the late phases of LN in both groups, underlining the importance of rapid tapering and the need to implement alternative strategies.","container-title":"Arthritis Care &amp; Research","DOI":"10.1002/acr.24592","ISSN":"2151-464X, 2151-4658","issue":"9","journalAbbreviation":"Arthritis Care &amp; Research","language":"en","page":"1451-1458","source":"DOI.org (Crossref)","title":"Medium Versus High Initial Prednisone Dose for Remission Induction in Lupus Nephritis: A Propensity Score–Matched Analysis","title-short":"Medium Versus High Initial Prednisone Dose for Remission Induction in Lupus Nephritis","volume":"74","author":[{"family":"Tselios","given":"Konstantinos"},{"family":"Gladman","given":"Dafna D."},{"family":"Al</w:instrText>
      </w:r>
      <w:r w:rsidR="00386695" w:rsidRPr="00586786">
        <w:rPr>
          <w:rFonts w:ascii="Cambria Math" w:hAnsi="Cambria Math" w:cs="Cambria Math"/>
        </w:rPr>
        <w:instrText>‐</w:instrText>
      </w:r>
      <w:r w:rsidR="00386695" w:rsidRPr="00586786">
        <w:rPr>
          <w:rFonts w:ascii="Arial" w:hAnsi="Arial" w:cs="Arial"/>
        </w:rPr>
        <w:instrText xml:space="preserve">Sheikh","given":"Haifa"},{"family":"Su","given":"Jiandong"},{"family":"Urowitz","given":"Murray B."}],"issued":{"date-parts":[["2022",9]]}}},{"id":4288,"uris":["http://zotero.org/users/13605431/items/ZD43GZVK"],"itemData":{"id":4288,"type":"article-journal","abstract":"Glucocorticoids (GCs) have been the cornerstone of treating dozens of inﬂammatory conditions for more than seven decades. GC toxicity is ubiquitous in both clinical trials and clinical practice, and toxicities associated with GC use are central to the experience of most patients being treated for immune-mediated conditions. These conditions span the full range of medical specialties, including rheumatology, nephrology, gastroenterology, neurology, pulmonology, ophthalmology, and others. One of the goals of novel therapies for inﬂammatory disease must be to diminish the effects of GC toxicity in clinically important ways, thereby differentiating these new treatments from existing approaches. Despite the importance of glucocorticoids in the treatment of inﬂammatory disease for more than 70 years, no reliable means of calculating the degree to which GC toxicity has worsened or improved over the course of treatment has been available. The Glucocorticoid Toxicity Index (GTI), developed by an international group of subspecialty physician experts as a clinician-facing clinical trials outcome measure, is a standardized, validated measure of the phenomenon known as GC toxicity. The purpose of the instrument is to measure change in GC toxicity between two points in time: for example, between the baseline visit and the time of the primary efﬁcacy outcome assessment. The instrument is designed to quantify both worsening and improvement in GC toxicity. The GTI has been validated in both real-world experiences and clinical trials, including a phase 3, label-enabling trial in ANCA associated vasculitis. This article reviews the history and rationale for the development of the GTI, describes key data from validation studies, considers the minimum clinically important difference, and provides instructions for use of the instrument.","container-title":"Seminars in Arthritis and Rheumatism","DOI":"10.1016/j.semarthrit.2022.152010","ISSN":"00490172","journalAbbreviation":"Seminars in Arthritis and Rheumatism","language":"en","page":"152010","source":"DOI.org (Crossref)","title":"The glucocorticoid toxicity index: Measuring change in glucocorticoid toxicity over time","title-short":"The glucocorticoid toxicity index","volume":"55","author":[{"family":"Stone","given":"John H."},{"family":"McDowell","given":"P. Jane"},{"family":"Jayne","given":"David R.W."},{"family":"Merkel","given":"Peter A."},{"family":"Robson","given":"Joanna"},{"family":"Patel","given":"Naomi J."},{"family":"Zhang","given":"Yuqing"},{"family":"Yue","given":"Huibin"},{"family":"Bekker","given":"Pirow"},{"family":"Heaney","given":"Liam G."}],"issued":{"date-parts":[["2022",8]]}}},{"id":4256,"uris":["http://zotero.org/users/13605431/items/76LWVHJK"],"itemData":{"id":4256,"type":"article-journal","abstract":"Background Reduction in glucocorticoid exposure is the primary benefit of new biologic treatments in severe asthma, but there is currently no evidence that reduction in glucocorticoid exposure corresponds to a proportionate reduction in associated toxicity.\nObjectives To use the validated Glucocorticoid Toxicity Index (GTI) to assess change in glucocorticoid toxicity after 12 months treatment with mepolizumab, and compare toxicity change to glucocorticoid reduction and change in patient-reported outcome measures (PROMs).\nMethods A longitudinal, real-world prospective cohort of 101 consecutive patients with severe asthma commenced on mepolizumab in a specialist UK regional severe asthma clinic. GTI toxicity assessment, cumulative glucocorticoid exposure and PROMs were recorded on commencing mepolizumab (V1), and after 12 months treatment (V2).\nResults There was significant reduction in oral glucocorticoid exposure (V1 median 4280 mg prednisolone per year (interquartile range 3083–5475 mg) versus V2 2450 mg prednisolone per year (1243–3360 mg), p&lt;0.001). Substantial improvements in individual toxicities were observed, but did not correlate with oral glucocorticoid reduction. Mean±SD GTI aggregate improvement score (AIS) was −35.7±57.8 with a wide range in toxicity change at individual patient level (AIS range −165 to +130); 70% (71 out of 101) had a reduction in toxicity (AIS &lt;0); 3% (three out of 101) had no change (AIS=0); and 27% (27 out of 101) an increase in overall toxicity. 62% (62 out of 101) of patients met the AIS minimally clinically important difference of </w:instrText>
      </w:r>
      <w:r w:rsidR="00386695" w:rsidRPr="00586786">
        <w:rPr>
          <w:rFonts w:ascii="Cambria Math" w:hAnsi="Cambria Math" w:cs="Cambria Math"/>
        </w:rPr>
        <w:instrText>⩽</w:instrText>
      </w:r>
      <w:r w:rsidR="00386695" w:rsidRPr="00586786">
        <w:rPr>
          <w:rFonts w:ascii="Arial" w:hAnsi="Arial" w:cs="Arial"/>
        </w:rPr>
        <w:instrText>−10, but AIS did not correlate with glucocorticoid reduction or change in PROMs.\nConclusion Mepolizumab resulted in substantial oral glucocorticoid reduction, but this did not correlate with reduction in oral glucocorticoid toxicity, which varies widely at the individual patient level. Oral glucocorticoid reduction is not a comprehensive measure of response to mepolizumab.","container-title":"European Respiratory Journal","DOI":"10.1183/13993003.00160-2021","ISSN":"0903-1936, 1399-3003","issue":"1","journalAbbreviation":"Eur Respir J","language":"en","page":"2100160","source":"DOI.org (Crossref)","title":"Glucocorticoid toxicity reduction with mepolizumab using the Glucocorticoid Toxicity Index","volume":"59","author":[{"family":"McDowell","given":"P. Jane"},{"family":"Stone","given":"John H."},{"family":"Zhang","given":"Yuqing"},{"family":"Honeyford","given":"Kirsty"},{"family":"Dunn","given":"Louise"},{"family":"Logan","given":"R. Jayne"},{"family":"McGarvey","given":"Lorcan P.A."},{"family":"Butler","given":"Claire A."},{"family":"Heaney","given":"Liam G."}],"issued":{"date-parts":[["2022",1]]}}},{"id":4297,"uris":["http://zotero.org/users/13605431/items/98MMLW7J"],"itemData":{"id":4297,"type":"article-journal","abstract":"Objective. To assess patients’ self-reported glucocorticoid (GC)-related adverse events (AEs) in a GCA population.\nMethods. A questionnaire was sent to the 100 patients most recently diagnosed with GCA in a tertiary centre. This questionnaire included open- and close-ended questions on the disease and GC effects. Eight primary AE areas were analysed: cardiovascular, metabolic, muscle, cognitive and psychologic, bone, cutaneous and hairiness, infective and visual complications. Including derivative subitems from preceding areas, a total of 18 GC-related AEs were analysed separately and according to GC duration.\nResults. Ninety patients were analysed and 89 (99%) reported at least one GC-related AE [median 6 (range 1–11)]. Cognitive and psychological changes, primarily insomnia (72%), affected 90% of patients. Cutaneous changes and muscle loss affected 70% of patients, with frequent impairment of physical autonomy (P ¼ 0.007) associated with this event. Metabolic issues, especially weight gain (40%) and diabetes mellitus (20%), affected 49% of patients. Conversely, vision troubles and bone fractures were mentioned by 42% and 9% of patients, respectively, and more frequently in patients who received GCs for &gt;18 months (P ¼ 0.01 and P ¼ 0.007, respectively). Cardiovascular changes and infections affected 30% and 26% of patients, respectively.\nConclusion. This real-life study of GC tolerance assessed using a self-evaluation provides pragmatic and updated data reminding us that GC tolerance remains more noteworthy than ever. This study suggests carefully monitoring GC-related AEs during follow-up and encourages GC-sparing strategies in some patients.","container-title":"Rheumatology","DOI":"10.1093/rheumatology/keab921","ISSN":"1462-0324, 1462-0332","issue":"9","language":"en","license":"https://academic.oup.com/journals/pages/open_access/funder_policies/chorus/standard_publication_model","page":"3567-3575","source":"DOI.org (Crossref)","title":"Tolerance of glucocorticoids in giant cell arteritis: a study of patient-reported adverse events","title-short":"Tolerance of glucocorticoids in giant cell arteritis","volume":"61","author":[{"family":"De Boysson","given":"Hubert"},{"family":"Barakat","given":"Clivia"},{"family":"Dumont","given":"Anael"},{"family":"Boutemy","given":"Jonathan"},{"family":"Martin Silva","given":"Nicolas"},{"family":"Maigné","given":"Gwénola"},{"family":"Nguyen","given":"Alexandre"},{"family":"Lavergne","given":"Amandine"},{"family":"Castan","given":"Paul"},{"family":"Gallou","given":"Sophie"},{"family":"Sultan","given":"Audrey"},{"family":"Deshayes","given":"Samuel"},{"family":"Aouba","given":"Achille"}],"issued":{"date-parts":[["2022",8,30]]}}},{"id":4295,"uris":["http://zotero.org/users/13605431/items/ACBTW9GA"],"itemData":{"id":4295,"type":"article-journal","abstract":"Background: Therapy with intravenous glucocorticoids (GCs) is associated with various side effects, however, the impact on bone remains elusive. Trabecular bone score (TBS) is a diagnostic tool providing information on bone microarchitecture based on images obtained from dual-energy X-ray absorptiometry. We investigated the inﬂuence of the intravenous methylprednisolone (IVMP) pulse administration on TBS in patients with moderate-to-severe Graves’ orbitopathy (GO).\nMethods: Fifteen patients with GO were treated with 12 IVMP pulses (6x0.5g, 6x0.25 g on a weekly schedule). They received supplementation with 2000 IU of vitamin D and 1.0 g of calcium throughout the study period. TBS was assessed at baseline and after last IVMP pulse. To determine the difference between values at baseline and after treatment the least signiﬁcant change (LSC) methodology was used. We compared pre- and posttreatment mean TBS values.\nResults: We found a signiﬁcant decrease of TBS in 5 out of 15 (33%) patients. Mean TBS value decreased becoming 2.4% lower than at baseline (p&lt;0.05).\nConclusions: IVMP pulse therapy exerts negative effect on bone microarchitecture in TBS assessment. The analysis of the clinical risk factors for osteoporosis and the evaluation of bone mineral density and TBS should be considered before initiating IVMP therapy.","container-title":"Frontiers in Endocrinology","DOI":"10.3389/fendo.2022.893600","ISSN":"1664-2392","journalAbbreviation":"Front. Endocrinol.","language":"en","page":"893600","source":"DOI.org (Crossref)","title":"Therapy With Intravenous Methylprednisolone Pulses Is Associated With Loss of Bone Microarchitecture in Trabecular Bone Score -Assessment Among Patients With Moderate-to-Severe Graves’ Orbitopathy: A Pilot Study","title-short":"Therapy With Intravenous Methylprednisolone Pulses Is Associated With Loss of Bone Microarchitecture in Trabecular Bone Score -Assessment Among Patients With Moderate-to-Severe Graves’ Orbitopathy","volume":"13","author":[{"family":"Rymuza","given":"Joanna"},{"family":"Pelewicz","given":"Katarzyna"},{"family":"Przedlacki","given":"Jerzy"},{"family":"Miśkiewicz","given":"Piotr"}],"issued":{"date-parts":[["2022",7,14]]}}},{"id":4197,"uris":["http://zotero.org/users/13605431/items/7SSBXYTK"],"itemData":{"id":4197,"type":"article-journal","abstract":"Rituximab (RTX) combined with short-term glucocorticoids (GC) is an effective therapeutic option for pemphigus. The newly developed Glucocorticoid Toxicity Index (GTI) tool provides the possibility to measure GC toxicities over time. To compare 1-year GTI between two groups of RTX-treated and RTX-naïve patients with pemphigus. The responsiveness of the GTI was also investigated. A prospective cohort of 129 adults with newly diagnosed pemphigus was conducted. GC-related toxicities were assessed at 3-month intervals according to Composite and Specific lists of the GTI. Of the patients, 76.7% (n = 99) received RTX. Throughout the time intervals, RTX-treated patients had lower GTI compared to RTX-naïve ones (p = 0.036). The mean GTI at 1-year was 34.3 in the RTX-treated group and 50.8 in the RTX-naïve group (p = 0.04). The most commonly observed GC-related toxicity was neuropsychiatric manifestations for 34% (224 events). The relapse rate of RTX-treated patients (1%) was significantly lower than RTX-naïve patients (10%) (p = 0.037). The GTI showed no correlation with cumulative GC consumption in both groups (p &gt; 0.05, both). Patients treated with GC alone had remarkably higher GTI than patients treated with GC plus RTX. The GTI is an applicable tool to quantitatively capture GC toxicities at the patient level in pemphigus.","container-title":"Dermatologic Therapy","DOI":"10.1111/dth.15902","ISSN":"1396-0296, 1529-8019","issue":"12","journalAbbreviation":"Dermatologic Therapy","language":"en","source":"DOI.org (Crossref)","title":"Applicability of glucocorticoid toxicity index in pemphigus: Comparison between two groups of rituximab</w:instrText>
      </w:r>
      <w:r w:rsidR="00386695" w:rsidRPr="00586786">
        <w:rPr>
          <w:rFonts w:ascii="Cambria Math" w:hAnsi="Cambria Math" w:cs="Cambria Math"/>
        </w:rPr>
        <w:instrText>‐</w:instrText>
      </w:r>
      <w:r w:rsidR="00386695" w:rsidRPr="00586786">
        <w:rPr>
          <w:rFonts w:ascii="Arial" w:hAnsi="Arial" w:cs="Arial"/>
        </w:rPr>
        <w:instrText>treated and rituximab</w:instrText>
      </w:r>
      <w:r w:rsidR="00386695" w:rsidRPr="00586786">
        <w:rPr>
          <w:rFonts w:ascii="Cambria Math" w:hAnsi="Cambria Math" w:cs="Cambria Math"/>
        </w:rPr>
        <w:instrText>‐</w:instrText>
      </w:r>
      <w:r w:rsidR="00386695" w:rsidRPr="00586786">
        <w:rPr>
          <w:rFonts w:ascii="Arial" w:hAnsi="Arial" w:cs="Arial"/>
        </w:rPr>
        <w:instrText>naïve patients","title-short":"Applicability of glucocorticoid toxicity index in pemphigus","volume":"35","author":[{"family":"Mazaherpour","given":"Elham"},{"family":"Kianfar","given":"Nika"},{"family":"Dasdar","given":"Shayan"},{"family":"Sedaghat","given":"Mojtaba"},{"family":"Seyrafi","given":"Hassan"},{"family":"Balighi","given":"Kamran"},{"family":"Saberi","given":"Fatemeh"},{"family":"Nili","given":"Ali"},{"family":"Farimani","given":"Zeinab"},{"family":"Azar","given":"Pedram Molhem"},{"family":"Mahmoodi","given":"Hamidreza"},{"family":"Murrell","given":"Dedee F."},{"family":"Daneshpazhooh","given":"Maryam"}],"issued":{"date-parts":[["2022",12]]}}},{"id":4215,"uris":["http://zotero.org/users/13605431/items/T4B7FI82"],"itemData":{"id":4215,"type":"article-journal","abstract":"Objective: To determine if the use of inhaled corticosteroid (ICS) therapy affects glycemic control in patients with chronic obstructive pulmonary disease (COPD) and type 2 diabetes mellitus (T2DM). Background: Studies have shown mixed evidence on the association between ICS use and worsening glycemic control in patients with preexisting diabetes. Methods: Data were recorded from electronic medical records of veteran patients aged 18 to 80 with COPD and T2DM on at least 2 oral antiglycemic medications from January 1, 2000, to December 31, 2017, at the Veterans Affairs (VA) North Texas Health Care System (VANTHCS). The primary outcome was the rate of A1c progression &gt;10% at 12 months and 5 years. Results: This study included 127 (64 in the ICS group and 63 in the non-ICS group) patients; baseline characteristics between groups were similar with the exception of age and tobacco use. No statistically significant difference was found between groups with regard to the primary outcome. More patients in the non-ICS group had antiglycemic medications initiated at 12 months (P ¼ .009) and 5 years (P ¼ .003) compared to the ICS group. Conclusion: Inhaled corticosteroids did not negatively impact glycemic control among veterans with comorbid COPD and T2DM.","container-title":"Journal of Pharmacy Practice","DOI":"10.1177/0897190020936870","ISSN":"0897-1900, 1531-1937","issue":"1","journalAbbreviation":"Journal of Pharmacy Practice","language":"en","page":"7-12","source":"DOI.org (Crossref)","title":"Assessment of Glycemic Control in Veterans With Chronic Obstructive Pulmonary Disease and Type 2 Diabetes Mellitus on Inhaled Corticosteroid Therapy","volume":"35","author":[{"family":"Lempp","given":"Madison P."},{"family":"Sigler","given":"Meredith A."},{"family":"Adesoye","given":"Adebola A."},{"family":"Ponnuru","given":"Anusha"},{"family":"Duval","given":"Courtney E."}],"issued":{"date-parts":[["2022",2]]}}},{"id":4250,"uris":["http://zotero.org/users/13605431/items/8TE8S274"],"itemData":{"id":4250,"type":"article-journal","abstract":"Background: Glucocorticoids are the mainstay of treatment for autoimmune blistering diseases (AIBDs). The Glucocorticoid Toxicity Index (GTI) is a novel, outcome-based glucocorticoid-induced adverse effects monitoring instrument.\nObjective: To investigate whether the GTI score was able to accurately quantify the glucocorticoid-induced toxicity in patients with AIBDs.\nMethods: The prospective cohort study included patients with conﬁrmed diagnoses of AIBDs (group1, currently receiving glucocorticoids; and group 2, had glucocorticoids ceased earlier). Data were collected minimally at baseline (V1) and 3 months (V2). Further data from patients who were able to complete the follow-up visits at 6 months (V3) and 12 months (V4) amid the COVID-19 pandemic were also included. GTI scores were calculated after data collection.\nResults: Analysis of data from V1 and V2 found a linear correlation between GTI score and prednisone doses (P \\.05) and a significant difference in GTI scores between group1 and group 2 (P \\.05). Data from V3 and V4 suggested that GTI scores continued to rise progressively alongside increasing cumulative prednisone dose. Limitations: Small sample size, further exacerbated by the COVID-19 pandemic. Single-center study.\nConclusion: The GTI sensitively and speciﬁcally captured the changes in glucocorticoids toxicity over time among patients with AIBDs. The GTI could be a feasible tool that can be used in future clinical trials as a glucocorticoid-induced toxicity outcome measure. ( JAAD Int 2022;6:68-76.)","container-title":"JAAD International","DOI":"10.1016/j.jdin.2021.09.003","ISSN":"26663287","journalAbbreviation":"JAAD International","language":"en","page":"68-76","source":"DOI.org (Crossref)","title":"Evaluation of the toxicity of glucocorticoids in patients with autoimmune blistering disease using the Glucocorticoid Toxicity Index: A cohort study","title-short":"Evaluation of the toxicity of glucocorticoids in patients with autoimmune blistering disease using the Glucocorticoid Toxicity Index","volume":"6","author":[{"family":"Liang","given":"Yicong"},{"family":"Zeng","given":"Faith A.P."},{"family":"Sheriff","given":"Tabrez"},{"family":"Wilson","given":"Anna"},{"family":"Bilgic","given":"Asli"},{"family":"Feng","given":"Grant"},{"family":"Stone","given":"John H."},{"family":"Murrell","given":"Dedee F."}],"issued":{"date-parts":[["2022",3]]}}},{"id":4252,"uris":["http://zotero.org/users/13605431/items/6LZNSWUK"],"itemData":{"id":4252,"type":"article-journal","abstract":"Methods. We conducted an exploratory online survey asking patients with RA to indicate whether they currently or had ever experienced the 80 different symptomatic AEs included in the Patient-Reported Outcomes of the Common Terminology Criteria for Adverse Events (PRO-CTCAE). Results were summarized to report their frequency, and regression models were used to estimate their associations with RA medication use and overall bother.\nResults. The 560 patients who completed the sur vey and reported taking ≥ 1 RA medication (disease-modif ying antirheumatic drugs [DMARDs], steroids, nonsteroidal antiinflammatory drugs [NSAIDs]), had a mean disease duration of 8 years, and were on a wide range of DMARDs. The number of symptomatic AEs experienced in the past 7 days was none (6%), 1–10 (28%), 11–20 (28%), and &gt; 20 (38%). Overall, most participants reported that side effects bothered them somewhat (28%), quite a bit (24%), or very much (15%). In multivariable regression analyses, current prednisone and NSAID use were associated with the greatest number of current side effects (26 and 22, respectively). Many of the strongest associations between current symptomatic AEs and medication use aligned with known side effect profiles.\nConclusion. In this exploratory online survey, patients with RA reported frequent symptomatic AEs with their medications that are bothersome. Further work is needed to develop and validate a measure for use in patients with rheumatic disease.","container-title":"The Journal of Rheumatology","DOI":"10.3899/jrheum.210688","ISSN":"0315-162X, 1499-2752","issue":"9","journalAbbreviation":"J Rheumatol","language":"en","page":"998-1005","source":"DOI.org (Crossref)","title":"Frequency of Symptomatic Adverse Events in Rheumatoid Arthritis: An Exploratory Online Survey","title-short":"Frequency of Symptomatic Adverse Events in Rheumatoid Arthritis","volume":"49","author":[{"family":"Hazlewood","given":"Glen S."},{"family":"Schieir","given":"Orit"},{"family":"Bykerk","given":"Vivian"},{"family":"Mujaab","given":"Kamso"},{"family":"Tugwell","given":"Peter"},{"family":"Wells","given":"George"},{"family":"Richards","given":"Dawn"},{"family":"Proulx","given":"Laurie"},{"family":"Hull","given":"Pauline M."},{"family":"Bartlett","given":"Susan J."}],"issued":{"date-parts":[["2022",9]]}}},{"id":4254,"uris":["http://zotero.org/users/13605431/items/NVRDHTQW"],"itemData":{"id":4254,"type":"article-journal","abstract":"Background ANCA-associated vasculitis (AAV) is an autoimmune disease. Induction remission and maintenance treatment typically includes high-dose, tapering glucocorticoids (GC), in addition to other immunosuppressive medication. The use of theGlucocorticoid Toxicity Index (GTI) provides a global, quantiﬁable assessment tool in which clinicians can assess GC-associated morbidity. Recent trials in AAV have exposed the need for systemic assessment of GC burden. In this small cohort study, we look to address these issues and the justiﬁcation of newer GC sparing agents, such as C5a inhibitors.\nMethods A retrospective cohort study of 43 patients with biopsy AAV was constructed from a single center between 2012–2016, and followed up for 48 months. The GTI table made up of adverse features was used to quantify patients’ GC toxicity. Electronic patient records were reviewed and scores calculated according to published methods. GTI scores were compared with cumulative steroid doses at separate intervals and incidences of adverse features in relation to the treatment timeline.\nResults The mean age was 65.9 (611.06) years and treatment regimens consisted of glucocorticoids alongside cyclophosphamide or rituximab. Our results showed statistical signiﬁcance in the association of cumulative GC doses and GTI scores (P50.008; 95% CI, 1.31 to 8.05). Adverse features relating to mood disturbance and GC-induced psychosis occurred early, in contrast to adrenal insufﬁciency, which typically presented later in the follow-up. Infection-related adverse events were consistent throughout.\nConclusions We demonstrated that higher cumulative doses of steroids in AAV lead to worse glucocorticoidrelated toxicity. Using the GTI creates the potential to individualize and quantify the adverse effects patients experience as a result of GC treatment and permits more patient-centered management. Although glucocorticoids remain the main adjunctive immunosuppression of AAV treatment, the narrow therapeutic window supports the need for GC-sparing treatments. KIDNEY360 2: 1002–1010, 2021. doi: https://doi.org/10.34067/KID.0000502021","container-title":"Kidney360","DOI":"10.34067/KID.0000502021","ISSN":"2641-7650","issue":"6","journalAbbreviation":"Kidney360","language":"en","page":"1002-1010","source":"DOI.org (Crossref)","title":"Glucocorticoid Therapy in ANCA Vasculitis: Using the Glucocorticoid Toxicity Index as an Outcome Measure","title-short":"Glucocorticoid Therapy in ANCA Vasculitis","volume":"2","author":[{"family":"Floyd","given":"Lauren"},{"family":"Morris","given":"Adam"},{"family":"Joshi","given":"Miland"},{"family":"Dhaygude","given":"Ajay"}],"issued":{"date-parts":[["2021",6]]}}},{"id":4279,"uris":["http://zotero.org/users/13605431/items/WI98FPDS"],"itemData":{"id":4279,"type":"article-journal","container-title":"The Journal of Allergy and Clinical Immunology: In Practice","DOI":"10.1016/j.jaip.2020.08.032","ISSN":"22132198","issue":"1","journalAbbreviation":"The Journal of Allergy and Clinical Immunology: In Practice","language":"en","page":"365-372.e5","source":"DOI.org (Crossref)","title":"Quantification of Glucocorticoid-Associated Morbidity in Severe Asthma Using the Glucocorticoid Toxicity Index","volume":"9","author":[{"family":"McDowell","given":"P. Jane"},{"family":"Stone","given":"John H."},{"family":"Zhang","given":"Yuqing"},{"family":"Honeyford","given":"Kirsty"},{"family":"Dunn","given":"Louise"},{"family":"Logan","given":"R. Jayne"},{"family":"Butler","given":"Claire A."},{"family":"McGarvey","given":"Lorcan P.A."},{"family":"Heaney","given":"Liam G."}],"issued":{"date-parts":[["2021",1]]}}},{"id":4273,"uris":["http://zotero.org/users/13605431/items/VQRPRTU9"],"itemData":{"id":4273,"type":"article-journal","container-title":"Clinical Rheumatology","DOI":"10.1007/s10067-021-05767-8","ISSN":"0770-3198, 1434-9949","issue":"12","journalAbbreviation":"Clin Rheumatol","language":"en","page":"4977-4982","source":"DOI.org (Crossref)","title":"Perspectives on glucocorticoid usage in patients with adult inflammatory myopathy","volume":"40","author":[{"family":"Loarce-Martos","given":"Jesús"},{"family":"Lilleker","given":"James B."},{"family":"Alder","given":"Eve"},{"family":"Goode","given":"Jo"},{"family":"Chinoy","given":"Hector"}],"issued":{"date-parts":[["2021",12]]}}},{"id":4258,"uris":["http://zotero.org/users/13605431/items/XYYAUV82"],"itemData":{"id":4258,"type":"article-journal","abstract":"Glucocorticoids are used in therapy empirically, but undesirable effects occur with large doses or prolonged administration. The aim of the study is to assess the pattern of adverse drug reactions of glucocorticoids in a tertiary care hospital. A retrospective analysis of adverse drug reactions (ADRs) following administration of glucocorticoids was conducted in the ADR monitoring center, Department of Pharmacology, Kasturba Medical College, Manipal. Clinical and treatment data were collected from the patient case records in the suspected adverse drug reaction reporting form as per the World Health Organization guidelines.  ADRs were assessed for Causality, Preventability and Severity using WHO causality assessment scale, Modified Schumock and Thornton’s scale and Hartwig’s severity scale, respectively. 100 ADRs were observed in 85 patients, with 51% males and 49% females. Prednisolone (53%) was the most common drug responsible for ADRs, followed by betamethasone (9%) and dexamethasone (8%). Hyperglycemia (34%) was the most common ADR, followed by cutaneous adverse reactions (32%). Acne (20%) was common among them. Over 86% reactions were categorized \"possible\". Among ADRs (91%) treated, only 16 % recovered. About 39% of cases were \"probably preventable\". The majority of ADRs (72%) were moderate in “severity”. Given the number and severity of side effects, the institution of glucocorticoids requires careful consideration of the relative risks and benefits in each patient.","container-title":"International Journal of Research in Pharmaceutical Sciences","DOI":"10.26452/ijrps.v12i2.4748","ISSN":"0975-7538","issue":"2","journalAbbreviation":"ijrps","language":"en","license":"https://creativecommons.org/licenses/by-nc-nd/4.0","page":"1611-1619","source":"DOI.org (Crossref)","title":"Glucocorticoids: Boon or Bane-An assessment of safety profiling of steroids in a tertiary care hospital","title-short":"Glucocorticoids","volume":"12","author":[{"family":"Holla","given":"Sadhana"}],"issued":{"date-parts":[["2021",6,12]]}}},{"id":4218,"uris":["http://zotero.org/users/13605431/items/4E2G99J4"],"itemData":{"id":4218,"type":"article-journal","abstract":"Purpose  To assess the incidence and severity of 12 systemic side effects of serial intralesional steroid injections (SILSI) in patients with idiopathic subglottic stenosis (iSGS).\nMethods  This retrospective study included patients with iSGS who underwent SILSI with Triamcinolone 40 mg/dL. After SILSI, the patients were asked to answer 12 questions regarding frequently encountered systemic side effects of steroids. Each answer was rated as mild, moderate, or severe. Descriptive statistics were used to analyze and present the findings.\nResults  The study included 49 patients (42 female and 7 male) with a mean age of 59.1 years (range 21–83 years). Post-SILSI treatment, 27 (55%) reported experiencing side effects while 22 (45%) patients reported no side effects. The most frequent side effect reported in women of reproductive age (n: 8) was menstrual irregularities (3/8, 37%). Other frequently reported side effects were feeling joyful and sleeping difficulties, each reported by 30% of the patients. All side effects resolved after the completion of SILSI.\nConclusions  SILSI can be administered with minimal tolerable side effects. Clinicians should make their patients aware of the most frequent side effects. Special attention should be given to women of reproductive age to inform them of the possibility of menstrual irregularities during SILSI.","container-title":"European Archives of Oto-Rhino-Laryngology","DOI":"10.1007/s00405-020-06371-3","ISSN":"0937-4477, 1434-4726","issue":"2","journalAbbreviation":"Eur Arch Otorhinolaryngol","language":"en","page":"445-450","source":"DOI.org (Crossref)","title":"Assessment of side effects after serial intralesional steroid injections for idiopathic subglottic stenosis","volume":"278","author":[{"family":"Celebi","given":"Ozlem Onerci"},{"family":"Song","given":"Sungjin A."},{"family":"Santeerapharp","given":"Alena"},{"family":"Choksawad","given":"Kanittha"},{"family":"Franco","given":"Ramon A."}],"issued":{"date-parts":[["2021",2]]}}},{"id":4223,"uris":["http://zotero.org/users/13605431/items/S69F3V8C"],"itemData":{"id":4223,"type":"article-journal","abstract":"Results: Of 192 patients enrolled, 175 were included in the analysis. Their characteristics were as follows: female, 89.7%; median age, 47 years (interquartile range (IQR): 37.0, 61.0). Median glucocorticoid dose was 4.0 mg (IQR 2.0, 5.0), and median emotional health score 79.2 (IQR 58.3, 91.7). Multiple linear regression analysis showed daily glucocorticoid doses to be associated with worse emotional health (β coefficient = − 2.54 [95% confidence interval − 4.48 to − 0.60], P = 0.01). Conclusions: Daily glucocorticoid doses were inversely associated with emotional health among SLE patients in LLDAS. Further studies are needed to determine whether glucocorticoid tapering leads to clinically significant improvements in emotional health.","container-title":"Arthritis Research &amp; Therapy","DOI":"10.1186/s13075-021-02466-2","ISSN":"1478-6362","issue":"1","journalAbbreviation":"Arthritis Res Ther","language":"en","page":"79","source":"DOI.org (Crossref)","title":"Association of glucocorticoid doses and emotional health in lupus low disease activity state (LLDAS): a cross-sectional study","title-short":"Association of glucocorticoid doses and emotional health in lupus low disease activity state (LLDAS)","volume":"23","author":[{"family":"Miyawaki","given":"Yoshia"},{"family":"Shimizu","given":"Sayaka"},{"family":"Ogawa","given":"Yusuke"},{"family":"Sada","given":"Ken-ei"},{"family":"Katayama","given":"Yu"},{"family":"Asano","given":"Yosuke"},{"family":"Hayashi","given":"Keigo"},{"family":"Yamamura","given":"Yuriko"},{"family":"Hiramatsu-Asano","given":"Sumie"},{"family":"Ohashi","given":"Keiji"},{"family":"Morishita","given":"Michiko"},{"family":"Watanabe","given":"Haruki"},{"family":"Takano-Narazaki","given":"Mariko"},{"family":"Matsumoto","given":"Yoshinori"},{"family":"Yajima","given":"Nobuyuki"},{"family":"Yoshimi","given":"Ryusuke"},{"family":"Shimojima","given":"Yasuhiro"},{"family":"Ohno","given":"Shigeru"},{"family":"Kajiyama","given":"Hiroshi"},{"family":"Ichinose","given":"Kunihiro"},{"family":"Sato","given":"Shuzo"},{"family":"Fujiwara","given":"Michio"},{"family":"Yamazaki","given":"Hajime"},{"family":"Yamamoto","given":"Yosuke"},{"family":"Wada","given":"Jun"},{"family":"Fukuhara","given":"Shunichi"}],"issued":{"date-parts":[["2021",12]]}}},{"id":4228,"uris":["http://zotero.org/users/13605431/items/DZFXC9GH"],"itemData":{"id":4228,"type":"article-journal","abstract":"Objective: Patients with 21-­hydroxylase deficiency (21-­OHD) are at risk of reduced bone mineral density (BMD) and fracture due to long-­term glucocorticoid treatment. Trabecular bone score (TBS) is complementary to conventional BMD as a marker for bone quality in patients with glucocorticoid-­induced osteoporosis. The purpose of this study is to evaluate the BMD and TBS in a cohort of patients with 21-­OHD and analyse factors related to TBS. Design: An observational study. Patients: A total of 46 21-­OHD adult patients treated with glucocorticoid for over 10 years who visited Peking Union Medical College Hospital between 2015 and 2019 were recruited. Eight male patients included in this study were all under 50 years old, and 38 female patients were all premenopausal.\nMeasurements: Diagnosis was confirmed by multiplex ligation-­dependent probe amplification combined with sequencing. Data were collected on physical characteristics, serum hormones and glucocorticoid treatment. Skeletal quality was evaluated by BMD and TBS, and factors related to TBS were analysed.\nResults: Among the 46 patients, 2 (4.3%) had low BMD (Z-­score ≤ −2), while 11 (23.9%) patients had low TBS (degraded or partially degraded microarchitecture). The proportion of bone abnormality evaluated by TBS was higher than that by BMD (p &lt; .001). Patients with lower TBS had significantly higher daily hydrocortisone dosage (p = .009 for males; p = .019 for females). TBS value was negatively correlated with daily hydrocortisone dosage (r = −.317, p = .026), and positively correlated with BMI in female patients (r = .345, p = .034). And there was a negative correlation between TBS value and the current age in male patients (r = −.741, p = .036). The distribution of genotypes (p = 1.000 for male; p = .567 for female) or phenotypes (p = .486 for male; p = .075 for female) had no statistical difference in patients with normal or abnormal TBS.\nConclusions: Approximately 24% of patients with 21-­OHD had abnormal microarchitecture of their bone in our study, and TBS score was negatively correlated with daily glucocorticoid dosage in patients. TBS may be used alongside conventional BMD as a complementary marker for bone evaluation in 21-­OHD patients.","container-title":"Clinical Endocrinology","DOI":"10.1111/cen.14391","ISSN":"0300-0664, 1365-2265","issue":"5","journalAbbreviation":"Clinical Endocrinology","language":"en","page":"765-773","source":"DOI.org (Crossref)","title":"Bone mineral density and trabecular bone score in patients with 21</w:instrText>
      </w:r>
      <w:r w:rsidR="00386695" w:rsidRPr="00586786">
        <w:rPr>
          <w:rFonts w:ascii="Cambria Math" w:hAnsi="Cambria Math" w:cs="Cambria Math"/>
        </w:rPr>
        <w:instrText>‐</w:instrText>
      </w:r>
      <w:r w:rsidR="00386695" w:rsidRPr="00586786">
        <w:rPr>
          <w:rFonts w:ascii="Arial" w:hAnsi="Arial" w:cs="Arial"/>
        </w:rPr>
        <w:instrText xml:space="preserve">hydroxylase deficiency after glucocorticoid treatment","volume":"94","author":[{"family":"Gao","given":"Yinjie"},{"family":"Wang","given":"Ou"},{"family":"Guan","given":"Wenmin"},{"family":"Wu","given":"Xueyan"},{"family":"Mao","given":"Jiangfeng"},{"family":"Wang","given":"Xi"},{"family":"Yu","given":"Wei"},{"family":"Nie","given":"Min"}],"issued":{"date-parts":[["2021",5]]}}},{"id":4231,"uris":["http://zotero.org/users/13605431/items/K5GQSYSZ"],"itemData":{"id":4231,"type":"article-journal","abstract":"Chronic glucocorticoid therapy is associated with osteoporosis and can cause fractures in up to 50 % of patients. Increased risk of fractures in patients with glucocorticoid-induced osteoporosis does not result only from the decreased bone mineral density (BMD) but also bone microarchitecture deterioration. Trabecular bone score (TBS) is a method complementary to DXA, providing additional information about trabecular bone structure. The aim of this study was to assess the clinical utility of TBS in fracture risk assessment of patients treated with glucocorticoids. Patients with rheumatic diseases treated with glucocorticoids for at least 3 months were enrolled. All recruited patients underwent DXA with additional TBS assessment. We analyzed the frequency of osteoporosis and osteoporotic fractures and assessed factors that might be associated with the risk of osteoporotic fractures. A total of 64 patients were enrolled. TBS and TBS T-score values were significantly lower in patients with osteoporosis compared to patients without osteoporosis. Low energy fractures occurred in 19 patients. The disturbed bone microarchitecture was found in 30 % of patients with fractures without osteoporosis diagnosis based on BMD. In the multivariate analysis, only TBS and age were significantly associated with the occurrence of osteoporotic fractures. TBS reflects the influence of glucocorticoid therapy on bone quality better than DXA measured BMD and provides an added value to DXA in identifying the group of patients particularly prone to fractures.","container-title":"Hormone and Metabolic Research","DOI":"10.1055/a-1528-7261","ISSN":"0018-5043, 1439-4286","issue":"08","journalAbbreviation":"Horm Metab Res","language":"en","page":"499-503","source":"DOI.org (Crossref)","title":"Clinical Utility of Trabecular Bone Score (TBS) in Fracture Risk Assessment of Patients with Rheumatic Diseases Treated with Glucocorticoids","volume":"53","author":[{"family":"Nowakowska-Płaza","given":"Anna"},{"family":"Wroński","given":"Jakub"},{"family":"Sudoł-Szopińska","given":"Iwona"},{"family":"Głuszko","given":"Piotr"}],"issued":{"date-parts":[["2021",8]]}}},{"id":4885,"uris":["http://zotero.org/users/13605431/items/HLJY7QU4"],"itemData":{"id":4885,"type":"article-journal","abstract":"Objectives. Patients with RA are frequently treated with glucocorticoids (GCs), but evidence is conﬂicting about whether GCs are associated with hypertension. The aim of this study was to determine whether GCs are associated with incident hypertension in patients with RA.\nMethods. A retrospective cohort of patients with incident RA and without hypertension was identiﬁed from UK primary care electronic medical records (Clinical Practice Research Datalink). GC prescriptions were used to determine time-varying GC use, dose and cumulative dose, with a 3 month attribution window. Hypertension was identiﬁed through either: blood pressure measurements &gt;140/90 mmHg, or antihypertensive prescriptions and a Read code for hypertension. Unadjusted and adjusted Cox proportional hazards regression models were ﬁtted to determine whether there was an association between GC use and incident hypertension.\nResults. There were 17 760 patients in the cohort. A total of 7421 (42%) were prescribed GCs during follow-up. The incident rate of hypertension was 64.1 per 1000 person years (95% CI: 62.5, 65.7). The Cox proportional hazards model indicated that recent GC use was associated with a 17% increased hazard of hypertension (hazard ratio 1.17; 95% CI: 1.10, 1.24). When categorized by dose, only doses above 7.5 mg were signiﬁcantly associated with hypertension. Cumulative dose did not indicate a clear pattern.\nConclusion. Recent GC use was associated with incident hypertension in patients with RA, in particular doses  7.5 mg were associated with hypertension. Clinicians need to consider cardiovascular risk when prescribing GCs, and ensure blood pressure is regularly monitored and treated where necessary.","container-title":"Rheumatology","DOI":"10.1093/rheumatology/keaa209","ISSN":"1462-0324, 1462-0332","issue":"1","language":"en","license":"http://creativecommons.org/licenses/by/4.0/","page":"132-139","source":"DOI.org (Crossref)","title":"Glucocorticoid use is associated with an increased risk of hypertension","volume":"60","author":[{"family":"Costello","given":"Ruth E"},{"family":"Yimer","given":"Belay B"},{"family":"Roads","given":"Polly"},{"family":"Jani","given":"Meghna"},{"family":"Dixon","given":"William G"}],"issued":{"date-parts":[["2021",1,5]]}}},{"id":4883,"uris":["http://zotero.org/users/13605431/items/2CRPRSRI"],"itemData":{"id":4883,"type":"article-journal","abstract":"Introduction: Giant cell arteritis (GCA) requires treatment with high-dose, long-term glucocorticoids (GCs), and tocilizumab is often used early in the treatment paradigm. Weight gain, which is associated with morbidity and mortality, is a major concern for patients, though the factors that contribute to changes in body mass index (BMI) throughout the treatment of GCA are poorly understood.","container-title":"Rheumatology and Therapy","DOI":"10.1007/s40744-021-00411-y","ISSN":"2198-6576, 2198-6584","issue":"2","journalAbbreviation":"Rheumatol Ther","language":"en","page":"497-508","source":"DOI.org (Crossref)","title":"The Effects of Treatment on Body Mass Index in Giant Cell Arteritis: A Post Hoc Analysis of the GiACTA Trial","title-short":"The Effects of Treatment on Body Mass Index in Giant Cell Arteritis","volume":"9","author":[{"family":"Patel","given":"Naomi J."},{"family":"Fu","given":"Xiaoqing"},{"family":"Zhang","given":"Yuqing"},{"family":"Unizony","given":"Sebastian H."},{"family":"Wallace","given":"Zachary S."},{"family":"Choi","given":"Hyon K."},{"family":"Stone","given":"John H."}],"issued":{"date-parts":[["2022",4]]}}},{"id":4222,"uris":["http://zotero.org/users/13605431/items/UZEYIUGK"],"itemData":{"id":4222,"type":"article-journal","abstract":"OBJECTIVE To evaluate the safety of abiraterone acetate with 4 glucocorticoid regimens. DESIGN, SETTING, AND PARTICIPANTS Open-label, randomized clinical trial (1:1:1:1) of 164 men with mCRPC from 22 hospitals in 5 countries who were randomly assigned to 1 of 4 intervention groups between June 2013 and October 2014. Analyses were conducted from August 2017 to June 2018. INTERVENTIONS Abiraterone acetate, 1000 mg, once daily with prednisone, 5 mg, twice daily (n = 41), 5 mg once daily (n = 41), 2.5 mg twice daily (n = 40), or dexamethasone, 0.5 mg, once daily (n = 42). MAIN OUTCOMES AND MEASURES Primary end point was no mineralocorticoid excess (grade </w:instrText>
      </w:r>
      <w:r w:rsidR="00386695" w:rsidRPr="00586786">
        <w:rPr>
          <w:rFonts w:ascii="Tahoma" w:hAnsi="Tahoma" w:cs="Tahoma"/>
        </w:rPr>
        <w:instrText>Ն</w:instrText>
      </w:r>
      <w:r w:rsidR="00386695" w:rsidRPr="00586786">
        <w:rPr>
          <w:rFonts w:ascii="Arial" w:hAnsi="Arial" w:cs="Arial"/>
        </w:rPr>
        <w:instrText xml:space="preserve">1 hypokalemia or grade </w:instrText>
      </w:r>
      <w:r w:rsidR="00386695" w:rsidRPr="00586786">
        <w:rPr>
          <w:rFonts w:ascii="Tahoma" w:hAnsi="Tahoma" w:cs="Tahoma"/>
        </w:rPr>
        <w:instrText>Ն</w:instrText>
      </w:r>
      <w:r w:rsidR="00386695" w:rsidRPr="00586786">
        <w:rPr>
          <w:rFonts w:ascii="Arial" w:hAnsi="Arial" w:cs="Arial"/>
        </w:rPr>
        <w:instrText>2 hypertension) through 24 weeks (6 cycles) from treatment.\nRESULTS Of 164 men (median [range] age, 70 [50-90] years) randomized to receive abiraterone acetate, 1000 mg, daily with prednisone, 5 mg, twice daily, once daily, or 2.5 mg twice daily, or dexamethasone, 0.5 mg, once daily, 24 (70.6%) of 34 patients (95% CI, 53.8%-83.2%), 14 (36.8%) of 38 patients (95% CI, 23.4%-52.7%), 21 (60.0%) of 35 patients (95% CI, 43.6%-74.4%), and 26 (70.3%) of 37 patients (95% CI, 54.2%-82.5%), respectively, had no mineralocorticoid excess. Plasma adrenocorticotrophic hormone and urinary mineralocorticoid metabolites after 8 weeks were higher with prednisone, 2.5 mg, twice daily and 5 mg once daily than with 5 mg twice daily or dexamethasone, 0.5 mg, once daily. The level of urinary glucocorticoid metabolites appeared higher in patients who did not meet the primary end point, regardless of glucocorticoid regimen. Total lean body mass decreased in the prednisone groups and total body fat increased in the prednisone, 5 mg, twice daily and dexamethasone groups. In the dexamethasone group, there was an increase in serum insulin and homeostatic model assessment of insulin resistance, while total bone mineral density decreased. In the prednisone, 5 mg, twice daily, 5 mg once daily, 2.5 mg twice daily, and dexamethasone groups, median radiographic progression-free survival was 18.5, 15.3, 12.8, and 26.6 months, respectively.\nCONCLUSIONS AND RELEVANCE Abiraterone acetate with prednisone, 5 mg, twice daily or dexamethasone, 0.5 mg, once daily met the prespecified threshold for the primary end point (95% CI excluded 50% mineralocorticoid excess); abiraterone acetate with prednisone, 5 mg, once daily or 2.5 mg twice daily did not meet the threshold. Abiraterone acetate in combination with dexamethasone appeared to be particularly active but may be associated with adverse metabolic consequences.","container-title":"JAMA Oncology","DOI":"10.1001/jamaoncol.2019.1011","ISSN":"2374-2437","issue":"8","journalAbbreviation":"JAMA Oncol","language":"en","page":"1159","source":"DOI.org (Crossref)","title":"Assessment of the Safety of Glucocorticoid Regimens in Combination With Abiraterone Acetate for Metastatic Castration-Resistant Prostate Cancer: A Randomized, Open-label Phase 2 Study","title-short":"Assessment of the Safety of Glucocorticoid Regimens in Combination With Abiraterone Acetate for Metastatic Castration-Resistant Prostate Cancer","volume":"5","author":[{"family":"Attard","given":"Gerhardt"},{"family":"Merseburger","given":"Axel S"},{"family":"Arlt","given":"Wiebke"},{"family":"Sternberg","given":"Cora N"},{"family":"Feyerabend","given":"Susan"},{"family":"Berruti","given":"Alfredo"},{"family":"Joniau","given":"Steven"},{"family":"Géczi","given":"Lajos"},{"family":"Lefresne","given":"Florence"},{"family":"Lahaye","given":"Marjolein"},{"family":"Shelby","given":"Florence Nave"},{"family":"Pissart","given":"Geneviève"},{"family":"Chua","given":"Sue"},{"family":"Jones","given":"Robert J"},{"family":"Tombal","given":"Bertrand"}],"issued":{"date-parts":[["2019",8,1]]}}},{"id":4232,"uris":["http://zotero.org/users/13605431/items/9L9ITGKS"],"itemData":{"id":4232,"type":"article-journal","abstract":"Background  Hypothalamic-pituitary-adrenal axis (HPAA) suppression is the most common and dangerous, although often unrecognized and untreated, side effect of glucocorticoid administration. The risk and duration depend both on patient and treatment characteristics. High-performance liquid chromatography-tandem mass spectrometry (HPLC–MS/MS) currently represents the gold standard method to evaluate the metabolism of endogenous and exogenous steroids.\nObjective  To assess prevalence, severity, and duration of HPAA suppression subsequent to the injection of two steroids with equivalent potency but different pharmacokinetics. Subjects and methods  Single-blind randomized case–control pilot study. Forty patients (22 F; age 48.7 ± 7.2 years) with shoulder calcific tendinopathy received an intrabursal injection of 40 mg of 6α-methylprednisolone acetate (MA) or triamcinolone acetonide (TA). Just before (T0) and after 1 (T1), 7 (T2), 15 (T3), 30 (T4) and 45 (T5) days, we assessed morning blood cortisol and ACTH by RIA, and 24-h urinary levels of MA, TA and free cortisol by HPLC–MS/MS.\nResults  HPAA function was normal at baseline. At T1, all patients presented HPAA suppression reaching the lowest cortisol, ACTH and UFC levels, that were similar between groups. At T2, mean cortisol remained lower than at baseline (p &lt; 0.0001) in the TA group. In both groups, mean cortisol and ACTH levels progressively normalized, suggesting HPA recovery, except for three patients in the MA and two in the TA group. UFC levels remained lower than normal (p &lt; 0.0001) up to T5, despite the disappearance of exogenous GCs. No patient developed manifestations of hypocortisolism.\nConclusions  A single 40-mg intrabursal injection of MA or TA is sufficient to suppresses HPAA up to 45 days. Although typically asymptomatic, patients should be instructed to recognize and report symptoms suggestive for hypocortisolism, to provide prompt diagnosis, and eventually, treatment, thus avoiding severe complications.","container-title":"Journal of Endocrinological Investigation","DOI":"10.1007/s40618-019-01033-6","ISSN":"1720-8386","issue":"9","journalAbbreviation":"J Endocrinol Invest","language":"en","page":"1117-1124","source":"DOI.org (Crossref)","title":"Comparative assessment of hypothalamic-pituitary-adrenal axis suppression secondary to intrabursal injection of different glucocorticoids: a pilot study","title-short":"Comparative assessment of hypothalamic-pituitary-adrenal axis suppression secondary to intrabursal injection of different glucocorticoids","volume":"42","author":[{"family":"Guaraldi","given":"F."},{"family":"Gori","given":"D."},{"family":"Calderoni","given":"P."},{"family":"Castiello","given":"E."},{"family":"Pratelli","given":"L."},{"family":"Leporati","given":"M."},{"family":"Arvat","given":"E."},{"family":"Battaglia","given":"M."}],"issued":{"date-parts":[["2019",9]]}}},{"id":4265,"uris":["http://zotero.org/users/13605431/items/IUZ9Z7LG"],"itemData":{"id":4265,"type":"article-journal","abstract":"Trabecular bone score (TBS) is a texture parameter that measures the grayscale variation within dualenergy X-ray absorptiometry (DXA) images, and has been shown to signiﬁcantly correlate with the 3-dimensional bone microarchitecture. The objective of this study was to determine whether TBS is a better clinical tool than traditionally used bone mineral density (BMD) to detect the skeletal deterioration seen in patients with diabetes (DM), patients undergoing oral glucocorticoid (GC) therapy, and patients who are both diabetic and taking steroids (GC + DM). We performed retrospective, cross-sectional study using DXA images of patients who visited UTHealth Department of Internal Medicine DXA clinic in Houston, TX, from May 30, 2014 to May 30, 2016. A total of 477 men and women, who were 55 years or older, were included in the study. Lumbar spine (LS) BMD and TBS were collected. Electronic medical records were reviewed to collect clinical information for each patient. When both men and women were analyzed as a single group, LS-BMD was signiﬁcantly higher in the diabetic group than in the control group (1.14 vs 1.10, p = 0.038), whereas mean TBS of L1–L4 was signiﬁcantly lower in the diabetic group (1.21 vs 1.26, p = 0.004). LS-TBS was also signiﬁcantly lower in diabetic women than in nondiabetic women (1.20 vs 1.26, p = 0.002). Receiver operating characteristic curves and areas under the curve indicated that LS-TBS provided better ability than LS-BMD to discriminate between control subjects and those in the DM, GC, or GC + DM groups (areas under the curve between 0.645 and 0.697, p &lt; 0.010 for all). LS-TBS is a BMD-independent parameter that is capable of capturing a larger portion of bone quality deterioration undetected by BMD alone in patients with DM and undergoing oral GC therapy.","container-title":"Journal of Clinical Densitometry","DOI":"10.1016/j.jocd.2017.09.003","ISSN":"10946950","issue":"2","journalAbbreviation":"Journal of Clinical Densitometry","language":"en","page":"185-192","source":"DOI.org (Crossref)","title":"Lumbar Spine Trabecular Bone Score (TBS) Reflects Diminished Bone Quality in Patients With Diabetes Mellitus and Oral Glucocorticoid Therapy","volume":"21","author":[{"family":"Xue","given":"Yunfeng"},{"family":"Baker","given":"Andrea L."},{"family":"Nader","given":"Shahla"},{"family":"Orlander","given":"Philip"},{"family":"Sanchez","given":"Anthony J."},{"family":"Kellam","given":"James"},{"family":"Rianon","given":"Nahid J."},{"family":"Ambrose","given":"Catherine G."}],"issued":{"date-parts":[["2018",4]]}}},{"id":4287,"uris":["http://zotero.org/users/13605431/items/LE75X9LY"],"itemData":{"id":4287,"type":"article-journal","abstract":"Introduction: Prolonged use of systemic corticosteroids leads to reduced bone mineral density and osteoporosis, in turn increasing the risk of minimal trauma fractures with their associated morbidity and mortality in elderly populations. However, the e</w:instrText>
      </w:r>
      <w:r w:rsidR="00386695" w:rsidRPr="00586786">
        <w:rPr>
          <w:rFonts w:ascii="Cambria Math" w:hAnsi="Cambria Math" w:cs="Cambria Math"/>
        </w:rPr>
        <w:instrText>ﬀ</w:instrText>
      </w:r>
      <w:r w:rsidR="00386695" w:rsidRPr="00586786">
        <w:rPr>
          <w:rFonts w:ascii="Arial" w:hAnsi="Arial" w:cs="Arial"/>
        </w:rPr>
        <w:instrText>ect of inhaled corticosteroids on bone mineral density has been debated in the medical literature.\nObjectives: We aimed to determine the e</w:instrText>
      </w:r>
      <w:r w:rsidR="00386695" w:rsidRPr="00586786">
        <w:rPr>
          <w:rFonts w:ascii="Cambria Math" w:hAnsi="Cambria Math" w:cs="Cambria Math"/>
        </w:rPr>
        <w:instrText>ﬀ</w:instrText>
      </w:r>
      <w:r w:rsidR="00386695" w:rsidRPr="00586786">
        <w:rPr>
          <w:rFonts w:ascii="Arial" w:hAnsi="Arial" w:cs="Arial"/>
        </w:rPr>
        <w:instrText>ect of inhaled corticosteroids on bone mineral density measured using calcaneal quantitative ultrasonography in a cohort of older Australians.\nMethods: Data was collected from the Hunter Community Study, a longitudinal cohort of Australians aged 55-85. Simple and multiple linear regression methods were used to test the cross-sectional association between inhaled corticosteroids and calcaneal bone mineral density measured with quantitative ultrasound at baseline. A causal diagram was used to determine the minimally su</w:instrText>
      </w:r>
      <w:r w:rsidR="00386695" w:rsidRPr="00586786">
        <w:rPr>
          <w:rFonts w:ascii="Cambria Math" w:hAnsi="Cambria Math" w:cs="Cambria Math"/>
        </w:rPr>
        <w:instrText>ﬃ</w:instrText>
      </w:r>
      <w:r w:rsidR="00386695" w:rsidRPr="00586786">
        <w:rPr>
          <w:rFonts w:ascii="Arial" w:hAnsi="Arial" w:cs="Arial"/>
        </w:rPr>
        <w:instrText>cient number of co-variates necessary to determine the unconfounded e</w:instrText>
      </w:r>
      <w:r w:rsidR="00386695" w:rsidRPr="00586786">
        <w:rPr>
          <w:rFonts w:ascii="Cambria Math" w:hAnsi="Cambria Math" w:cs="Cambria Math"/>
        </w:rPr>
        <w:instrText>ﬀ</w:instrText>
      </w:r>
      <w:r w:rsidR="00386695" w:rsidRPr="00586786">
        <w:rPr>
          <w:rFonts w:ascii="Arial" w:hAnsi="Arial" w:cs="Arial"/>
        </w:rPr>
        <w:instrText>ect of inhaled corticosteroids on bone mineral density; these included gender, body mass index, smoking, asthma, alcohol use, age, physical activity, and diet.\nResults: There were 152 (6.8%) patients on inhaled corticosteroids and 2098 (93%) controls. Simple and multiple linear regression methods showed a non-signiﬁcant e</w:instrText>
      </w:r>
      <w:r w:rsidR="00386695" w:rsidRPr="00586786">
        <w:rPr>
          <w:rFonts w:ascii="Cambria Math" w:hAnsi="Cambria Math" w:cs="Cambria Math"/>
        </w:rPr>
        <w:instrText>ﬀ</w:instrText>
      </w:r>
      <w:r w:rsidR="00386695" w:rsidRPr="00586786">
        <w:rPr>
          <w:rFonts w:ascii="Arial" w:hAnsi="Arial" w:cs="Arial"/>
        </w:rPr>
        <w:instrText>ect of inhaled steroids on BMD with slight decrease of BMD 20.010 g/cm2 (95% CI 20.042 to 0.022, P 5 .55) and 20.013 g/cm2 (95% CI 20.062 to 0.036, P 5 .61) respectively. Age, gender, body mass index, and smoking were stronger predictors of BMD.\nConclusions: No statistically signiﬁcant relationship was detected between the use of inhaled corticosteroids and reduced bone mineral density in this observational study of a cohort of older Australians.","container-title":"The Clinical Respiratory Journal","DOI":"10.1111/crj.12576","ISSN":"1752-6981, 1752-699X","issue":"2","journalAbbreviation":"Clinical Respiratory J","language":"en","license":"http://onlinelibrary.wiley.com/termsAndConditions#vor","page":"659-665","source":"DOI.org (Crossref)","title":"The effect of inhaled corticosteroids on bone mineral density measured by quantitative ultrasonography in an older population","volume":"12","author":[{"family":"Sarwar","given":"Ghulam"},{"family":"Bisquera","given":"Alessandra"},{"family":"Peel","given":"Roseanne"},{"family":"Hancock","given":"Stephen"},{"family":"Grainge","given":"Christopher"},{"family":"Attia","given":"John"}],"issued":{"date-parts":[["2018",2]]}}},{"id":4253,"uris":["http://zotero.org/users/13605431/items/ZJMLGYSM"],"itemData":{"id":4253,"type":"article-journal","abstract":"Objective Prednisone is a ﬁrst-line immunosuppressive treatment for myasthenia gravis (MG), whereas short-term and long-term adverse e</w:instrText>
      </w:r>
      <w:r w:rsidR="00386695" w:rsidRPr="00586786">
        <w:rPr>
          <w:rFonts w:ascii="Cambria Math" w:hAnsi="Cambria Math" w:cs="Cambria Math"/>
        </w:rPr>
        <w:instrText>ﬀ</w:instrText>
      </w:r>
      <w:r w:rsidR="00386695" w:rsidRPr="00586786">
        <w:rPr>
          <w:rFonts w:ascii="Arial" w:hAnsi="Arial" w:cs="Arial"/>
        </w:rPr>
        <w:instrText>ects (AEs) are a limiting factor in its usage.\nMethod The MG patient registry is a patient-driven, nation-wide database with patients of age ≥18 years, who were diagnosed with MG and live in the United States. Custom-designed “prednisonesteroid use and MG” survey was sent out to MG registry participants as part of semi-annual follow-up. Data were collected and analyzed for frequency.\nResults A total of 398 MG participants (21% response rate) completed the survey, including 173 men and 225 women. Among them, 298 reported current (174) or past (288) prednisone intake. Current prednisone dosage varied from 0.5 to 75 mg (median 10 mg, IQR 7–20), dosing frequency was daily in 132 (76%) and every other day in 31 (18%). Peak prednisone dose was commonly between 25 mg and 60 mg (Median 50 mg, IQR 25–60); however, doses more than 60 mg daily were reported in 59 (20%). Prednisone AEs were reported more commonly in women (95% vs 81%, p &lt; 0.0001). Women reported more intolerable AEs (77% vs 50%, p &lt; 0.00001) and less willingness to accept a dose increase (26% vs 44%, p = 0.03) compared with men.\nConclusions Prednisone is commonly used in the treatment of MG, with highly variable dosages and dosing frequencies reﬂecting the absence of a standard guideline. Intolerable AEs were more commonly reported among women and was associated with unwillingness to accept a dose increase. Consensus guidelines and their validation are required to guide prednisone treatment for MG.","container-title":"Neurology Neuroimmunology &amp; Neuroinflammation","DOI":"10.1212/NXI.0000000000000507","ISSN":"2332-7812","issue":"6","journalAbbreviation":"Neurol Neuroimmunol Neuroinflamm","language":"en","page":"e507","source":"DOI.org (Crossref)","title":"Gender differences in prednisone adverse effects: Survey result from the MG registry","title-short":"Gender differences in prednisone adverse effects","volume":"5","author":[{"family":"Lee","given":"Ikjae"},{"family":"Kaminski","given":"Henry J."},{"family":"McPherson","given":"Tarrant"},{"family":"Feese","given":"Michelle"},{"family":"Cutter","given":"Gary"}],"issued":{"date-parts":[["2018",11]]}}},{"id":4298,"uris":["http://zotero.org/users/13605431/items/GKBABEET"],"itemData":{"id":4298,"type":"article-journal","abstract":"A recently developed diagnostic tool, trabecular bone score (TBS), can provide quality of trabecular microarchitecture based on images obtained from dual-energy X-ray absorptiometry (DXA). Since patients receiving glucocorticoid are at a higher risk of developing secondary osteoporosis, assessment of bone microarchitecture may be used to evaluate risk of fragility fractures of osteoporosis. In this pre-post study of female patients, TBS and fracture risk assessment tool (FRAX) adjusted with TBS (T-FRAX) were evaluated along with bone mineral density (BMD) and FRAX. Medical records of patients with (\n              \n                n\n                =\n                30\n              \n              ) and without (\n              \n                n\n                =\n                16\n              \n              ) glucocorticoid treatment were retrospectively reviewed. All patients had undergone DXA twice within a 12- to 24-month interval. Analysis of covariance was conducted to compare the outcomes between the two groups of patients, adjusting for age and baseline values. Results showed that a significant lower adjusted mean of TBS (\n              \n                p\n                =\n                0.035\n              \n              ) and a significant higher adjusted mean of T-FRAX for major osteoporotic fracture (\n              \n                p\n                =\n                0.006\n              \n              ) were observed in the glucocorticoid group. Conversely, no significant differences were observed in the adjusted means for BMD and FRAX. These findings suggested that TBS and T-FRAX could be used as an adjunct in the evaluation of risk of fragility fractures in patients receiving glucocorticoid therapy.","container-title":"BioMed Research International","DOI":"10.1155/2017/4210217","ISSN":"2314-6133, 2314-6141","journalAbbreviation":"BioMed Research International","language":"en","license":"http://creativecommons.org/licenses/by/4.0/","page":"1-7","source":"DOI.org (Crossref)","title":"Trabecular Bone Score Reflects Trabecular Microarchitecture Deterioration and Fragility Fracture in Female Adult Patients Receiving Glucocorticoid Therapy: A Pre-Post Controlled Study","title-short":"Trabecular Bone Score Reflects Trabecular Microarchitecture Deterioration and Fragility Fracture in Female Adult Patients Receiving Glucocorticoid Therapy","volume":"2017","author":[{"family":"Chuang","given":"Mei-Hua"},{"family":"Chuang","given":"Tzyy-Ling"},{"family":"Koo","given":"Malcolm"},{"family":"Wang","given":"Yuh-Feng"}],"issued":{"date-parts":[["2017"]]}}},{"id":4221,"uris":["http://zotero.org/users/13605431/items/8I7IJ35H"],"itemData":{"id":4221,"type":"article-journal","abstract":"Pemphigus vulgaris is a chronic autoimmune disease and glucocorticoids are one of the main treatments. Our study investigates the prevalence and associated factors of glucocorticoid-induced diabetes mellitus in these patients under different glucocorticoid regimens. 36 patients with first diagnosed Pemphigus vulgaris based on pathological and direct immunofluorescence findings who had received different glucocorticoid regimens (1-2 mg/kg oral or 1-2 mg/kg oral with 1g methylprednisolone pulse daily for 3 consecutive days with or without azathioprine) were evaluated during 2014-2016. Our study found that 22.2% of patients had impaired fasting glucose and incidence of corticosteroid-induced diabetes mellitus was 22.2% with no difference between oral and pulse therapy of corticosteroid. The first day after pulse therapy 19 patients of 21 had post bolus hyperglycemia that 36% of them became diabetic after 8 weeks. None of the variables, including age, BMI, HbA1c, LDL, HDL, TG, cholesterol, family history and blood pressure were associated with diabetes. Pretreatment FBS was the factor that would increase the likelihood of glucocorticoid-induced diabetes mellitus, 42.2% of patients with pretreatment FBS 100-126 developed diabetes in comparison with 17.2% in normal pretreatment FBS. Although the group who received azathioprine was associated with increased incidence of diabetes, the overall corticosteroid dose in this group was significantly higher than the other group (P=0.012), and controversy with other studies could be because of difference in corticosteroid dosage and small number of patients. The incidence of diabetes was not different between the group with glucocorticoid pulses and oral prednisolone without pulse therapy. Higher pretreatment FBS can be related to increased incidence of diabetes, but results from this study due to small number of patients are preliminary and multicenter studies are needed.","container-title":"Acta Medica Iranica","issue":"6","language":"en","page":"375-380","source":"Zotero","title":"Assessment of the Prevalence and Risk Factors Associated With Glucocorticoid- Induced Diabetes Mellitus in Pemphigus Vulgaris Patients","volume":"55","author":[{"family":"Darjani","given":"Abbas"},{"family":"Nickhah","given":"Nahid"},{"family":"Emami","given":"Mohammad Hassan Hedayati"},{"family":"Alizadeh","given":"Narges"},{"family":"Rafiei","given":"Rana"},{"family":"Eftekhari","given":"Hojat"},{"family":"Nejad","given":"Kaveh Gharaei"}],"issued":{"date-parts":[["2017"]]}}},{"id":4224,"uris":["http://zotero.org/users/13605431/items/J8DPGBM3"],"itemData":{"id":4224,"type":"article-journal","abstract":"Objective: To investigate the association between overall CS use and specific CS types with MetS, body mass index (BMI), and other cardiometabolic traits. Design: Cross-sectional cohort study. Setting: General population from the northern Netherlands. Participants: A total of 140,879 adult participants in the population-based Lifelines Cohort Study. Main Outcome Measures: BMI, waist circumference, systolic and diastolic blood pressure, fasting metabolic serum parameters, and a comprehensive set of potential confounding factors.\nResults: In women, overall, systemic, and local CS use was associated with higher odds of having MetS. Among local female users, only nasal (odds ratio [OR], 1.20 [95% confidence interval (CI), 1.06 to 1.36]) and inhaled CSs [OR, 1.35 (95% CI, 1.24 to 1.49)] users were more likely to have MetS. In men, no association was found between overall and specific CS use and presence of MetS. Use of local-only CSs in women, specifically inhaled CSs in both sexes, was associated with higher BMI.\nConclusions: Use of local CSs, particularly inhaled types, as well as systemic CSs, was associated with higher likelihood of having MetS, higher BMI, and other adverse cardiometabolic traits, especially among women. Because the inhaled agents are the main group of prescribed CSs, this might be a substantial risk to public health in case of a yet-to-be-proven causal relationship. (J Clin Endocrinol Metab 102: 3765–3774, 2017)","container-title":"The Journal of Clinical Endocrinology &amp; Metabolism","DOI":"10.1210/jc.2017-01133","ISSN":"0021-972X, 1945-7197","issue":"10","language":"en","page":"3765-3774","source":"DOI.org (Crossref)","title":"Associations Between Systemic and Local Corticosteroid Use With Metabolic Syndrome and Body Mass Index","volume":"102","author":[{"family":"Savas","given":"Mesut"},{"family":"Muka","given":"Taulant"},{"family":"Wester","given":"Vincent L"},{"family":"Van Den Akker","given":"Erica L T"},{"family":"Visser","given":"Jenny A"},{"family":"Braunstahl","given":"Gert-Jan"},{"family":"Slagter","given":"Sandra N"},{"family":"Wolffenbuttel","given":"Bruce H R"},{"family":"Franco","given":"Oscar H"},{"family":"Van Rossum","given":"Elisabeth F C"}],"issued":{"date-parts":[["2017",10,1]]}}},{"id":4242,"uris":["http://zotero.org/users/13605431/items/42ND8GAG"],"itemData":{"id":4242,"type":"article-journal","abstract":"Background: There is no cure for Duchenne Muscular Dystrophy (DMD); treatment is symptomatic and corticosteroids slow the progression. Side effects of corticosteroids – especially the physical effects – have been described, however patients’ and caregivers perception on chronic corticosteroid treatment and their side effects is less well known, in particular with regards to cognition, behaviour, and emotional functioning.\nObjective: The primary aim of this pilot study was to (i) construct a self-report questionnaire to assess the perceived beneﬁts and side effects of corticosteroids for patients with DMD and their parents. Furthermore we aimed to (ii) investigate the psychometric qualities of this questionnaire, (iii) whether there was a difference between parents’ and patient’s perceptions, and ﬁnally (iv) to what extent reported side effects may alter over time.\nMethods: A 23-item questionnaire (SIDECORT: side effect of corticosteroids) was constructed to assess the perception of these beneﬁts and side effects in a systematic manner.\nResults: In total, 86 patients (aged 5 – 28 years) and 125 of their parents completed the questionnaire. Internal consistency was good. Using factor analyses on the side effect items as reported by parents, two underlying factors were found, with the ﬁrst factor describing cognitive, behavioural and emotional functioning, and the second factor describing physical functioning. The potential beneﬁts of corticosteroids were highly rated among both parents and patients, although parents rated the importance of the beneﬁts higher than their sons (p = 0.002). Similarly, parents rated the severity of the side effects generally higher than their sons (p = 0.011), especially with regards to the physical side effects (p = 0.014). Based on the parent’s perception, the neurodevelopmental side effects generally appeared to decline the longer corticosteroids were used.\nConclusions: To our knowledge, this is the ﬁrst explicit study on perceived cognitive-, behavioural-, and emotional side effects and the allocation of beneﬁts to corticosteroids in DMD. On the basis of our research we suggest a short form questionnaire, which proves to be reliable and valid for research- and clinical practice. This questionnaire could provide useful insights for the care of boys and men with DMD.","container-title":"Journal of Neuromuscular Diseases","DOI":"10.3233/JND-170223","ISSN":"22143599, 22143602","issue":"3","journalAbbreviation":"JND","language":"en","page":"217-236","source":"DOI.org (Crossref)","title":"Development of a New Self-Reporting Instrument Measuring Benefits and Side Effects of Corticosteroids in Duchenne Muscular Dystrophy: Report from a Pilot Study","title-short":"Development of a New Self-Reporting Instrument Measuring Benefits and Side Effects of Corticosteroids in Duchenne Muscular Dystrophy","volume":"4","author":[{"family":"Hendriksen","given":"Ruben G.F."},{"family":"Lionarons","given":"Judith M."},{"family":"Hendriksen","given":"Jos G.M."},{"family":"Vles","given":"Johan S.H."},{"family":"McAdam","given":"Laura C."},{"family":"Biggar","given":"W. Douglas"}],"issued":{"date-parts":[["2017",8,29]]}}},{"id":4300,"uris":["http://zotero.org/users/13605431/items/LT4WC3V8"],"itemData":{"id":4300,"type":"article-journal","abstract":"Purpose In brain tumours, brain metastases or advanced cancer; treatment with corticosteroids, side effects can add to symptoms. These are best assessed by patients, complementing clinical assessment. We assessed the feasibility and validity of the Dexamethasone Symptom Questionnaire–Chronic (DSQChronic), patient and caregiver versions.","container-title":"Supportive Care in Cancer","DOI":"10.1007/s00520-015-2897-0","ISSN":"0941-4355, 1433-7339","issue":"3","journalAbbreviation":"Support Care Cancer","language":"en","page":"1209-1218","source":"DOI.org (Crossref)","title":"Validating self-report and proxy reports of the Dexamethasone Symptom Questionnaire -Chronic for the evaluation of longer-term corticosteroid toxicity","volume":"24","author":[{"literal":"On behalf of the Cooperative Trials Group for Neuro-Oncology (COGNO)"},{"family":"Agar","given":"Meera"},{"family":"Koh","given":"Eng-Siew"},{"family":"Gibbs","given":"Emma"},{"family":"Barnes","given":"Elizabeth H."},{"family":"Hovey","given":"Elizabeth"},{"family":"Livingstone","given":"Ann"},{"family":"Sawkins","given":"Kate"},{"family":"Chye","given":"Richard"},{"family":"Lovell","given":"Melanie R."},{"family":"Clark","given":"Katherine"},{"family":"Vardy","given":"Janette"},{"family":"King","given":"Madeleine"}],"issued":{"date-parts":[["2016",3]]}}},{"id":4267,"uris":["http://zotero.org/users/13605431/items/4KUJTUXB"],"itemData":{"id":4267,"type":"article-journal","abstract":"Background: Older individuals with inﬂammatory bowel disease (IBD) require ongoing medications. We aimed to describe (1) medication use in older and younger IBD patients and (2) medication associations with patient reported outcomes (PROs) in older patients.\nMethods: We conducted cross-sectional and longitudinal analyses within CCFA Partners internet-based cohort of patients with self-reported IBD. We assessed medication use by disease sub-type and age. We used bivariate analyses to (1) compare medication use in older and younger patients and (2) determine associations between continued steroid use and patient reported outcomes in older patients.\nResults: We included 5382 participants with IBD; 1004 were older ($age 60). Older patients with Crohn’s disease (CD) had lower antitumor necrosis factor alpha (anti-TNF) use at baseline (29.1% versus 44.3%, P , 0.001), comparable steroid use (16.0% versus 16.5%, P ¼ 0.77), and higher aminosalicylate use (40.3% versus 33.9%, P ¼ 0.003) versus younger patients. Older ulcerative colitis (UC) patients had similar anti-TNF use (16.0% versus 19.2%, P ¼ 0.16), lower steroid use (9.6% versus 15.4%, P ¼ 0.004), and higher aminosalicylate use (73.8% versus 68.2%, P ¼ 0.04) at baseline. In longitudinal analyses, older CD patients had higher continued steroid use (11.6% versus 7.8%, P ¼ 0.002); which was associated with worsened anxiety (P ¼ 0.02), sleep (P ¼ 0.01), and fatigue (P ¼ 0.001) versus nonuse. Older CD patients on steroids, versus anti-TNF or immunomodulators, had increased depression (P ¼ 0.04) and anxiety (P ¼ 0.03).\nConclusions: Medication utilization differs in older patients with IBD. Older CD patients have higher continued steroid use associated with worsened patient reported outcomes. As in younger IBD populations, continued steroid use should be limited in older patients. (Inﬂamm Bowel Dis 2016;22:1435–1441)","container-title":"Inflammatory Bowel Diseases","DOI":"10.1097/MIB.0000000000000747","ISSN":"1078-0998","issue":"6","journalAbbreviation":"Inflammatory Bowel Diseases","language":"en","page":"1435-1441","source":"DOI.org (Crossref)","title":"Medication Utilization and the Impact of Continued Corticosteroid Use on Patient-reported Outcomes in Older Patients with Inflammatory Bowel Disease:","title-short":"Medication Utilization and the Impact of Continued Corticosteroid Use on Patient-reported Outcomes in Older Patients with Inflammatory Bowel Disease","volume":"22","author":[{"family":"Geisz","given":"Matthew"},{"family":"Ha","given":"Christina"},{"family":"Kappelman","given":"Michael D."},{"family":"Martin","given":"Christopher F."},{"family":"Chen","given":"Wenli"},{"family":"Anton","given":"Kristen"},{"family":"Sandler","given":"Robert S."},{"family":"Long","given":"Millie D."}],"issued":{"date-parts":[["2016",6]]}}},{"id":4292,"uris":["http://zotero.org/users/13605431/items/AUGPV9ET"],"itemData":{"id":4292,"type":"article-journal","abstract":"Background. Corticosteroids can have many side effects that impact the patient’s quality of life and functional status. The Dexamethasone Symptom Questionnaire–Chronic (DSQ-C) was developed to report corticosteroid side effects. This study’s objective was to evaluate the utility of the DSQ-C and report associated signs and symptoms in brain tumor patients.\nMethods. Data collection included demographic and disease characteristics and the DSQ-C. Descriptive statistics were used to report associations among variables. Linear regression models were applied to assess the effects of the cumulative daily dose (mg/d ×total d) on DSQ-C scores. Psychometrics included factor analysis to assess construct validity and Cronbach’s alpha for internal consistency.\nResults. Ninety-six adult patients with primary (77%) or metastatic (23%) brain tumors participated, with 74% on corticosteroids. Participants were primarily white (83%) males (65%) between 20 and 75 years of age (median, 53). Median corticosteroid dose duration was 4 mg/day for 1 month (range, 0 –26 mo). The DSQ-C scores ranged from 17 to 54 (mean of 27), with 35% reporting increased appetite and trouble sleeping. Factor analysis indicated 6 underlying constructs explaining 53% of variance. DSQ-C internal consistency (reliability) was 0.77. The DSQ-C discriminated between patients who were on steroids and those who were not (P , .01), and cumulative dose predicted DSQ-C scores (P , .001).\nConclusions. This study demonstrated the potential use of the DSQ-C as a screening tool for side effects associated with corticosteroid use in brain tumor patients. Future analyses should include longitudinal evaluation of severity and biologic underpinnings of variability of timing and severity of symptoms.","container-title":"Neuro-Oncology","DOI":"10.1093/neuonc/nov054","ISSN":"1522-8517, 1523-5866","issue":"8","journalAbbreviation":"Neuro Oncol","language":"en","page":"1114-1120","source":"DOI.org (Crossref)","title":"The relationship between corticosteroids and symptoms in patients with primary brain tumors: utility of the Dexamethasone Symptom Questionnaire–Chronic","title-short":"The relationship between corticosteroids and symptoms in patients with primary brain tumors","volume":"17","author":[{"family":"Armstrong","given":"Terri S."},{"family":"Ying","given":"Yuan"},{"family":"Wu","given":"Jimin"},{"family":"Acquaye","given":"Alvina A."},{"family":"Vera-Bolanos","given":"Elizabeth"},{"family":"Gilbert","given":"Mark R."},{"family":"Brown","given":"Paul D."},{"family":"Vardy","given":"Janette"},{"family":"Chung","given":"Caroline"}],"issued":{"date-parts":[["2015",8]]}}},{"id":4290,"uris":["http://zotero.org/users/13605431/items/ZDNIVMVG"],"itemData":{"id":4290,"type":"article-journal","abstract":"Summary We propose that trabecular bone score could be a useful tool for the study of glucocorticoid-associated bone effects. Trabecular bone score alone and lumbar spine bone mineral density (BMD) used in combination with trabecular bone score, but not lumbar spine BMD alone was able to discriminate between glucocorticoid-treated and glucocorticoid-naïve women.","container-title":"Osteoporosis International","DOI":"10.1007/s00198-015-3078-1","ISSN":"0937-941X, 1433-2965","issue":"6","journalAbbreviation":"Osteoporos Int","language":"en","page":"1773-1780","source":"DOI.org (Crossref)","title":"The impact of glucocorticoid therapy on trabecular bone score in older women","volume":"26","author":[{"family":"Paggiosi","given":"M. A."},{"family":"Peel","given":"N. F. A."},{"family":"Eastell","given":"R."}],"issued":{"date-parts":[["2015",6]]}}},{"id":4229,"uris":["http://zotero.org/users/13605431/items/DP8D2AE2"],"itemData":{"id":4229,"type":"article-journal","abstract":"Glucocorticoids, widely used in inﬂammatory disorders, rapidly increase bone fragility and, therefore, fracture risk. However, common bone densitometry measurements are not sensitive enough to detect these changes. Moreover, densitometry only partially recognizes treatment-induced fracture reductions in osteoporosis. Here, we tested whether the reference point indentation technique could detect bone tissue property changes early after glucocorticoid treatment initiation. After initial laboratory and bone density measurements, patients were allocated into groups receiving calcium þ vitamin D (CaþD) supplements or antiosteoporotic drugs (risedronate, denosumab, teriparatide). Reference point indentation was performed on the cortical bone layer of the tibia by a handheld device measuring bone material strength index (BMSi). Bone mineral density was measured by dualenergy X-ray absorptiometry (DXA). Although CaþD-treated patients exhibited substantial and signiﬁcant deterioration, risedronate-treated patients exhibited no signiﬁcant change, and both denosumab- and teriparatide-treated participants exhibited signiﬁcantly improved BMSi 7 weeks after initial treatment compared with baseline; these trends remained stable for 20 weeks. In contrast, no densitometry changes were observed during this study period. In conclusion, our study is the ﬁrst to our knowledge to demonstrate that reference point indentation is sensitive enough to reﬂect changes in cortical bone indentation after treatment with osteoporosis therapies in patients newly exposed to glucocorticoids. © 2015 American Society for Bone and Mineral Research.","container-title":"Journal of Bone and Mineral Research","DOI":"10.1002/jbmr.2497","ISSN":"0884-0431, 1523-4681","issue":"9","language":"en","license":"https://academic.oup.com/journals/pages/open_access/funder_policies/chorus/standard_publication_model","page":"1651-1656","source":"DOI.org (Crossref)","title":"Bone Tissue Properties Measurement by Reference Point Indentation in Glucocorticoid-Induced Osteoporosis","volume":"30","author":[{"family":"Mellibovsky","given":"Leonardo"},{"family":"Prieto-Alhambra","given":"Daniel"},{"family":"Mellibovsky","given":"Fernando"},{"family":"Güerri-Fernández","given":"Roberto"},{"family":"Nogués","given":"Xavier"},{"family":"Randall","given":"Connor"},{"family":"Hansma","given":"Paul K"},{"family":"Díez-Perez","given":"Adolfo"}],"issued":{"date-parts":[["2015",9,1]]}}},{"id":4262,"uris":["http://zotero.org/users/13605431/items/U6MZBG2H"],"itemData":{"id":4262,"type":"article-journal","abstract":"Objective. To clarify whether increase of body weight in patients with early rheumatoid arthritis (RA) upon administration of prednisone is a side effect of prednisone or a result of better control of disease activity, we examined the association of prednisone and disease activity with a subsequent change in body mass index (BMI).\nMethods. In the Computer Assisted Management in Early Rheumatoid Arthritis Trial-II, patients ages &gt;18 years with early RA (disease duration &lt;1 year and no prior use of disease-modifying antirheumatic drugs) had been randomized to a methotrexate (MTX)– based tight control strategy with either 10 mg of prednisone (MTX ؉ prednisone) or placebo (MTX ؉ placebo). The MTX ؉ prednisone group had lower disease activity, but gained more weight than the MTX ؉ placebo group (mean ؎ SD 2.9 ؎ 4.2 kg versus 1.3 ؎ 5.3 kg; P ؍ 0.03). Data from patients with monthly measurements of disease activity (Disease Activity Score in 28 joints [DAS28]) and BMI were analyzed with a longitudinal regression (mixed model) analysis with BMI as the dependent variable and treatment strategy and DAS28 as the independent variables, correcting for baseline BMI and possible confounders (sex, age, and rheumatoid factor status).\nResults. There was no independent association of glucocorticoid therapy with a change in BMI, but a lower DAS28 was associated with an increased BMI 6 months later. The association of the DAS28 with BMI was most strongly present in postmenopausal women. Clinical cutoff points showed a clear association between DAS28 level and the change in BMI 6 months later.\nConclusion. Weight gain during treatment with prednisone seems attributable to a reduction of disease activity and is probably, at least partly, regained weight.","container-title":"Arthritis Care &amp; Research","DOI":"10.1002/acr.21797","ISSN":"2151-464X, 2151-4658","issue":"1","journalAbbreviation":"Arthritis Care &amp; Research","language":"en","license":"http://onlinelibrary.wiley.com/termsAndConditions#vor","page":"88-93","source":"DOI.org (Crossref)","title":"Increase of body mass index in a tight controlled methotrexate</w:instrText>
      </w:r>
      <w:r w:rsidR="00386695" w:rsidRPr="00586786">
        <w:rPr>
          <w:rFonts w:ascii="Cambria Math" w:hAnsi="Cambria Math" w:cs="Cambria Math"/>
        </w:rPr>
        <w:instrText>‐</w:instrText>
      </w:r>
      <w:r w:rsidR="00386695" w:rsidRPr="00586786">
        <w:rPr>
          <w:rFonts w:ascii="Arial" w:hAnsi="Arial" w:cs="Arial"/>
        </w:rPr>
        <w:instrText>based strategy with prednisone in early rheumatoid arthritis: Side effect of the prednisone or better control of disease activity?","title-short":"Increase of body mass index in a tight controlled methotrexate</w:instrText>
      </w:r>
      <w:r w:rsidR="00386695" w:rsidRPr="00586786">
        <w:rPr>
          <w:rFonts w:ascii="Cambria Math" w:hAnsi="Cambria Math" w:cs="Cambria Math"/>
        </w:rPr>
        <w:instrText>‐</w:instrText>
      </w:r>
      <w:r w:rsidR="00386695" w:rsidRPr="00586786">
        <w:rPr>
          <w:rFonts w:ascii="Arial" w:hAnsi="Arial" w:cs="Arial"/>
        </w:rPr>
        <w:instrText>based strategy with prednisone in early rheumatoid arthritis","volume":"65","author":[{"family":"Jurgens","given":"Maud S."},{"family":"Jacobs","given":"Johannes W. G."},{"family":"Geenen","given":"Rinie"},{"family":"Bossema","given":"Ercolie R."},{"family":"Bakker","given":"Marije F."},{"family":"Bijlsma","given":"Johannes W. J."},{"family":"Van Albada</w:instrText>
      </w:r>
      <w:r w:rsidR="00386695" w:rsidRPr="00586786">
        <w:rPr>
          <w:rFonts w:ascii="Cambria Math" w:hAnsi="Cambria Math" w:cs="Cambria Math"/>
        </w:rPr>
        <w:instrText>‐</w:instrText>
      </w:r>
      <w:r w:rsidR="00386695" w:rsidRPr="00586786">
        <w:rPr>
          <w:rFonts w:ascii="Arial" w:hAnsi="Arial" w:cs="Arial"/>
        </w:rPr>
        <w:instrText>Kuipers","given":"Iet A."},{"family":"Ehrlich","given":"Johan C."},{"family":"Lafeber","given":"Floris P. J. G."},{"family":"Welsing","given":"Paco M. J."},{"literal":"on behalf of The Utrecht Arthritis Cohort Study Group"}],"issued":{"date-parts":[["2013",1]]}}},{"id":4260,"uris":["http://zotero.org/users/13605431/items/YWD7JQW2"],"itemData":{"id":4260,"type":"article-journal","abstract":"High-resolution quantitative computed tomography (HRQCT)-based analysis of spinal bone density and microstructure, ﬁnite element analysis (FEA), and DXA were used to investigate the vertebral bone status of men with glucocorticoid-induced osteoporosis (GIO). DXA of L1–L3 and total hip, QCT of L1–L3, and HRQCT of T12 were available for 73 men (54.6 ± 14.0 years) with GIO. Prevalent vertebral fracture status was evaluated on radiographs using a semi-quantitative (SQ) score (normal = 0 to severe fracture = 3), and the spinal deformity index (SDI) score (sum of SQ scores of T4 to L4 vertebrae). Thirty-one (42.4%) subjects had prevalent vertebral fractures. Cortical BMD (Ct.BMD) and thickness (Ct.Th), trabecular BMD (Tb.BMD), apparent trabecular bone volume fraction (app.BV/TV), and apparent trabecular separation (app.Tb.Sp) were analyzed by HRQCT. Stiffness and strength of T12 were computed by HRQCT-based nonlinear FEA for axial compression, anterior bending and axial torsion. In logistic regressions adjusted for age, glucocorticoid dose and osteoporosis treatment, Tb.BMD was most closely associated with vertebral fracture status (standardized odds ratio [sOR]: Tb.BMD T12: 4.05 [95% CI: 1.8–9.0], Tb.BMD L1–L3: 3.95 [1.8–8.9]). Strength divided by cross-sectional area for axial compression showed the most signiﬁcant association with spine fracture status among FEA variables (2.56 [1.29–5.07]). SDI was best predicted by a microstructural model using Ct.Th and app.Tb.Sp (r2 = 0.57, p b 0.001). Spinal or hip DXA measurements did not show signiﬁcant associations with fracture status or severity.","container-title":"Bone","DOI":"10.1016/j.bone.2012.10.036","ISSN":"87563282","issue":"2","journalAbbreviation":"Bone","language":"en","page":"568-577","source":"DOI.org (Crossref)","title":"High resolution quantitative computed tomography-based assessment of trabecular microstructure and strength estimates by finite-element analysis of the spine, but not DXA, reflects vertebral fracture status in men with glucocorticoid-induced osteoporosis","volume":"52","author":[{"family":"Graeff","given":"Christian"},{"family":"Marin","given":"Fernando"},{"family":"Petto","given":"Helmut"},{"family":"Kayser","given":"Ole"},{"family":"Reisinger","given":"Andreas"},{"family":"Peña","given":"Jaime"},{"family":"Zysset","given":"Philippe"},{"family":"Glüer","given":"Claus-Christian"}],"issued":{"date-parts":[["2013",2]]}}},{"id":4274,"uris":["http://zotero.org/users/13605431/items/LH38ULSI"],"itemData":{"id":4274,"type":"article-journal","abstract":"Background Excess endogenous steroids are a risk factor for obstructive sleep apnea (OSA). The role of exogenous steroids in this setup is not known. In this study, we prospectively looked at the consequences of a 3-month steroid treatment on the objective measures of sleepdisordered breathing.\nMethods Patients scheduled for long-term steroids treatment underwent two sleep studies, the first before initiation and the second after 3 months of steroid therapy. Their weight and neck girth were measured. Correlations between the changes in the body weight, neck girth, and cumulative steroids dose to apnea/hypopnea index (AHI) change were examined. A group of untreated mild OSA patients (n=23) served as control.\nResults Seventeen patients, five males and 12 females, mean age 52.4±12.6 years, were studied. Fifteen patients increased their mean AHI by 56% from 9.8±11.8 to 15.4±15.8, p= 0.004. This increment was significantly higher when compared to the control group. Body weight and neck girth changes and cumulative steroid dose were not correlated to the AHI increment (Spearman's correlation coefficient r= 0.18 and p=0.49, r=−0.23 and p=0.37, r=−0.17 and p= 0.51, respectively).\nConclusions We found that the objective measures of sleepdisordered breathing worsened after the 3-month steroid","container-title":"Sleep and Breathing","DOI":"10.1007/s11325-011-0541-x","ISSN":"1520-9512, 1522-1709","issue":"2","journalAbbreviation":"Sleep Breath","language":"en","license":"http://www.springer.com/tdm","page":"549-553","source":"DOI.org (Crossref)","title":"Preliminary prospective explanatory observation on the impact of 3-month steroid therapy on the objective measures of sleep-disordered breathing","volume":"16","author":[{"family":"Berger","given":"Gidon"},{"family":"Hardak","given":"Emilia"},{"family":"Shaham","given":"Beatrice"},{"family":"Avitan","given":"Emili"},{"family":"Yigla","given":"Mordechai"}],"issued":{"date-parts":[["2012",6]]}}},{"id":4246,"uris":["http://zotero.org/users/13605431/items/HU4RBCIP"],"itemData":{"id":4246,"type":"article-journal","abstract":"The efficacy of initial and long-term prednisone &lt; 5 mg/ day in treatment of rheumatoid arthritis (RA) by one academic rheumatologist over 25 years from 1980 to 2004 is summarized. Patient responses were assessed using a multidimensional health assessment questionnaire (MDHAQ), completed by all patients at all visits in the infrastructure of care. A database was maintained of all visits, which included medications and scores for physical function, pain, patient global estimate of status, and routine assessment of patient index data (RAPID3), an index of these 3 measures. Prednisone doses were higher in patients with more severe MDHAQ/RAPID3 scores, as expected, although formal criteria were not used to determine the initial dose. Similar improvements were seen in clinical status over 12 months in patients treated with &lt; 5 vs ≥ 5 mg/day prednisone and maintained for &gt; 8 years. Adverse effects were primarily bruising and skin-thinning; levels of hypertension, diabetes, and cataracts were not higher than expected, including in 148 patients monitored over &gt; 4 years, 75 over &gt; 8 years. Prednisone at initial and long-term doses of &lt; 5 mg/day appears acceptable and effective for many patients with RA at this time, although further clinical trials and long-term observational studies are needed to optimize treatment of patients with RA with low-dose prednisone. The data also illustrate that MDHAQ scores in usual clinical care can be used to document results of therapy over long periods with no extra work for the physician.","container-title":"Bulletin of the NYU Hospital for Joint Diseases","issue":"Suppl1","language":"en","page":"S14-S20","source":"Zotero","title":"Effective Initial and Long-Term Prednisone in Doses of Less Than 5 Mg/Day to Treat Rheumatoid Arthritis","volume":"70","author":[{"family":"Pincus","given":"Theodore"},{"family":"Castrejón","given":"Isobel"}],"issued":{"date-parts":[["2012"]]}}},{"id":4227,"uris":["http://zotero.org/users/13605431/items/KDMSRZ3R"],"itemData":{"id":4227,"type":"article-journal","abstract":"Methods. Fifty-nine Chinese women with SLE taking corticosteroid were selected to participate in a cross-sectional study. Vertebral fracture was confirmed semiquantitatively by lateral radiographs of the thoracic and lumbar spine. Density and microarchitecture at the distal radius were measured with HR-pQCT. Areal bone mineral density (aBMD) at hip and lumbar spine was measured by dualenergy x-ray absorptiometry (DEXA).\nResults. Twelve patients had vertebral fractures. The aBMD of spine or hip did not differ between those with and without vertebral fractures. Measures by HR-pQCT revealed that patients with vertebral fractures had significantly lower level of average bone density (p = 0.007), cortical bone density (p = 0.029), trabecular bone density (p = 0.024), trabecular bone volume to tissue volume (p = 0.023), and trabecular thickness (p = 0.011) than those without vertebral fractures. Independent explanatory variables associated with higher risk of vertebral fractures were older age (p = 0.013) and lower average cortical bone density (p = 0.029).\nConclusion. Vertebral fracture in patients with SLE on chronic corticosteroid treatment was associated with alterations of bone density and microarchitectures measured by HR-pQCT and DEXA. However, alterations were more pronounced in measurements by HR-pQCT. Low cortical bone density and old age were significant predictors of vertebral fracture risk. (First Release May 15 2010; J Rheumatol 2010;37:1473–9; doi:10.3899/jrheum.091231)","container-title":"The Journal of Rheumatology","DOI":"10.3899/jrheum.091231","ISSN":"0315-162X, 1499-2752","issue":"7","journalAbbreviation":"J Rheumatol","language":"en","page":"1473-1479","source":"DOI.org (Crossref)","title":"Bone Microarchitecture Assessment by High-Resolution Peripheral Quantitative Computed Tomography in Patients with Systemic Lupus Erythematosus Taking Corticosteroids","volume":"37","author":[{"family":"Li","given":"Edmund K."},{"family":"Zhu","given":"Tracy Y."},{"family":"Tam","given":"Lai-Shan"},{"family":"Hung","given":"Vivian W."},{"family":"Griffith","given":"James F."},{"family":"Li","given":"Tena K."},{"family":"Li","given":"Martin"},{"family":"Wong","given":"Kong Chiu"},{"family":"Leung","given":"Ping Chung"},{"family":"Kwok","given":"Anthony W."},{"family":"Qin","given":"Ling"}],"issued":{"date-parts":[["2010",7]]}}},{"id":4236,"uris":["http://zotero.org/users/13605431/items/JF2V7XFY"],"itemData":{"id":4236,"type":"article-journal","abstract":"Increased risk of osteoporosis, fractures, and avascular necrosis (AVN) has been suggested in multiple sclerosis (MS). Patients with MS are often exposed to corticosteroid treatment (CST) during the disease course and conflicting reports exist regarding complications of CST. Our study aims to investigate the association between cumulative doses of CST and radiographic evaluation of AVN of the femoral head in MS. Twenty-six MS patients (mean age, 38.4±10 yr) were enrolled and prospectively evaluated for AVN by magnetic resonance imaging (MRI). The mean disease duration was 11.5±8.5 years and mean expanded disability status scale (EDSS) score was 3±2. The cumulative dosage of CST varied between 20 g and 60 g; patients were grouped into two categories: 1) CST between 20-40 g, 17 (65%) patients; 2) CST ≥40 g; 9 (35%) patients. The relationship between cumulative CST dosage and MRI diagnosis of AVN was statistically insignificant (P&gt;0.9). Clarification of the cumulative effect of CST in the development of AVN is of great importance for future long-term steroid treatment strategies.","container-title":"Neurology International","DOI":"10.4081/ni.2010.e17","ISSN":"2035-8377, 2035-8385","issue":"2","journalAbbreviation":"Neurol Int","language":"en","page":"17","source":"DOI.org (Crossref)","title":"Correlation of cumulative corticosteroid treatment with magnetic resonance imaging assessment of avascular femoral head necrosis in patients with multiple sclerosis","volume":"2","author":[{"family":"Kale","given":"Nilufer"},{"family":"Agaoglu","given":"Jale"},{"family":"Tanik","given":"Osman"}],"issued":{"date-parts":[["2010",10,18]]}}},{"id":4243,"uris":["http://zotero.org/users/13605431/items/AXJ3GZC7"],"itemData":{"id":4243,"type":"article-journal","abstract":"Rationale: Patient-reported outcomes provide new insights into the dynamics of asthma management. Further to asthma control and quality of life, self-reported side effects of treatment can be assessed with the validated Inhaled Corticosteroid Questionnaire (ICQ).","container-title":"Respiratory Medicine","DOI":"10.1016/j.rmed.2010.05.021","ISSN":"09546111","issue":"12","journalAbbreviation":"Respiratory Medicine","language":"en","page":"1825-1833","source":"DOI.org (Crossref)","title":"Difference between patient-reported side effects of ciclesonide versus fluticasone propionate","volume":"104","author":[{"family":"Molen","given":"Thys Van Der"},{"family":"Foster","given":"Juliet M."},{"family":"Caeser","given":"Manfred"},{"family":"Müller","given":"Thomas"},{"family":"Postma","given":"Dirkje S."}],"issued":{"date-parts":[["2010",12]]}}},{"id":4251,"uris":["http://zotero.org/users/13605431/items/MB9BGK9K"],"itemData":{"id":4251,"type":"article-journal","abstract":"Purpose. – The frequency of adrenal insufﬁciency after a prolonged, continuous course of oral highdose corticosteroids is poorly documented. We evaluated it retrospectively in our internal medicine department.","container-title":"La Revue de médecine interne","language":"fr","page":"332–336","source":"Zotero","title":"Fréquence et déterminants de l’insufﬁsance surrénalienne biologique dépistée par le test au Synacthène® à 250 ␮g lors du sevrage d’une corticothérapie prolongée. Étude chez 100 patients","volume":"31","author":[{"family":"Pugnet","given":"G"},{"family":"Sailler","given":"L"},{"family":"Astudillo","given":"L"},{"family":"Vernet","given":"J"},{"family":"Bennet","given":"A"},{"family":"Arlet","given":"P"}],"issued":{"date-parts":[["2010"]]}}},{"id":4160,"uris":["http://zotero.org/users/13605431/items/DCSNQGVQ"],"itemData":{"id":4160,"type":"article-journal","abstract":"Objective: To define the effective time frame of adequate serum cortisol response to the short standard 250-µg adrenocorticotropic hormone stimulation test (ACTH-ST) after initiation of high-dose glucocorticoid therapy in order to assist in the diagnosis of adrenal insufficiency.\nMethods: We performed an ACTH-ST at 4 different times in hospitalized patients, who had a documented intact hypothalamic-pituitary-adrenal axis and were receiving high-dose dexamethasone therapy for nonendocrine diseases, to determine the time until the serum cortisol response is compromised. The ACTH-ST was performed at the following time intervals after initiation of dexamethasone therapy—24, 48, 72, and 96 hours. The outcome measures were cortisol levels measured at 0, 30, and 60 minutes after administration of 250 µg of cosyntropin.\nResults: Of the overall group of 11 study patients, all those (n = 8) tested within the first 72 hours after initiation of dexamethasone therapy had an adequate response (serum cortisol level at 60 minutes, ≥18 µg/dL). Two of the 3 patients tested at 96 hours after initiation of dexamethasone therapy had a suppressed cortisol response at 60 minutes. At 30 minutes, all cortisol levels except 1 were inadequate (&lt;18 µg/dL).\nConclusion: This study suggests indirectly that the ACTH-ST may be used for the diagnosis of suspected adrenal insufficiency within the first 3 days after initiation of empiric glucocorticoid therapy. An inadequate response of serum cortisol at 60 minutes to the ACTH-ST may be indicative of adrenal insufficiency in this setting.","container-title":"Endocrine Practice","DOI":"10.4158/EP.15.2.122","ISSN":"1530891X","issue":"2","journalAbbreviation":"Endocrine Practice","language":"en","license":"https://www.elsevier.com/tdm/userlicense/1.0/","page":"122-127","source":"DOI.org (Crossref)","title":"Adrenocorticotropic Hormone Stimulation Test During High-Dose Glucocorticoid Therapy","volume":"15","author":[{"family":"Villabona","given":"Carmen V."},{"family":"Koh","given":"Chung"},{"family":"Panergo","given":"Jessel"},{"family":"Reddy","given":"Arati"},{"family":"Fogelfeld","given":"Leon"}],"issued":{"date-parts":[["2009",3]]}}},{"id":4271,"uris":["http://zotero.org/users/13605431/items/FEQ22YTS"],"itemData":{"id":4271,"type":"article-journal","abstract":"Background and Goals: Side e</w:instrText>
      </w:r>
      <w:r w:rsidR="00386695" w:rsidRPr="00586786">
        <w:rPr>
          <w:rFonts w:ascii="Cambria Math" w:hAnsi="Cambria Math" w:cs="Cambria Math"/>
        </w:rPr>
        <w:instrText>ﬀ</w:instrText>
      </w:r>
      <w:r w:rsidR="00386695" w:rsidRPr="00586786">
        <w:rPr>
          <w:rFonts w:ascii="Arial" w:hAnsi="Arial" w:cs="Arial"/>
        </w:rPr>
        <w:instrText>ects occur with every class of inﬂammatory bowel disease (IBD) medication. Our goal was to assess IBD patients’ subjective assessment of drug side e</w:instrText>
      </w:r>
      <w:r w:rsidR="00386695" w:rsidRPr="00586786">
        <w:rPr>
          <w:rFonts w:ascii="Cambria Math" w:hAnsi="Cambria Math" w:cs="Cambria Math"/>
        </w:rPr>
        <w:instrText>ﬀ</w:instrText>
      </w:r>
      <w:r w:rsidR="00386695" w:rsidRPr="00586786">
        <w:rPr>
          <w:rFonts w:ascii="Arial" w:hAnsi="Arial" w:cs="Arial"/>
        </w:rPr>
        <w:instrText>ects using the [Sid]e [e]</w:instrText>
      </w:r>
      <w:r w:rsidR="00386695" w:rsidRPr="00586786">
        <w:rPr>
          <w:rFonts w:ascii="Cambria Math" w:hAnsi="Cambria Math" w:cs="Cambria Math"/>
        </w:rPr>
        <w:instrText>ﬀ</w:instrText>
      </w:r>
      <w:r w:rsidR="00386695" w:rsidRPr="00586786">
        <w:rPr>
          <w:rFonts w:ascii="Arial" w:hAnsi="Arial" w:cs="Arial"/>
        </w:rPr>
        <w:instrText>ects [s]urvey (SidES), a survey instrument that we previously developed and tested in patients with asthma and psychiatric disorders. Study: Disease activity, quality of life, and adherence was assessed in adult outpatients with IBD. SidES assesses the number, severity, and duration of side e</w:instrText>
      </w:r>
      <w:r w:rsidR="00386695" w:rsidRPr="00586786">
        <w:rPr>
          <w:rFonts w:ascii="Cambria Math" w:hAnsi="Cambria Math" w:cs="Cambria Math"/>
        </w:rPr>
        <w:instrText>ﬀ</w:instrText>
      </w:r>
      <w:r w:rsidR="00386695" w:rsidRPr="00586786">
        <w:rPr>
          <w:rFonts w:ascii="Arial" w:hAnsi="Arial" w:cs="Arial"/>
        </w:rPr>
        <w:instrText>ects. Prescription and over the counter medications were evaluated.\nResults: Thirty-nine patients from the University of Maryland IBD program participated. Twenty-two patients with Crohn’s disease, 12 with ulcerative colitis, and 7 with indeterminate colitis were evaluated. Twenty-seven patients reported drug side e</w:instrText>
      </w:r>
      <w:r w:rsidR="00386695" w:rsidRPr="00586786">
        <w:rPr>
          <w:rFonts w:ascii="Cambria Math" w:hAnsi="Cambria Math" w:cs="Cambria Math"/>
        </w:rPr>
        <w:instrText>ﬀ</w:instrText>
      </w:r>
      <w:r w:rsidR="00386695" w:rsidRPr="00586786">
        <w:rPr>
          <w:rFonts w:ascii="Arial" w:hAnsi="Arial" w:cs="Arial"/>
        </w:rPr>
        <w:instrText>ects, of which 56% reported changes in medical management. Disease activity increased, medication number increased, and quality of life decreased with increasing side e</w:instrText>
      </w:r>
      <w:r w:rsidR="00386695" w:rsidRPr="00586786">
        <w:rPr>
          <w:rFonts w:ascii="Cambria Math" w:hAnsi="Cambria Math" w:cs="Cambria Math"/>
        </w:rPr>
        <w:instrText>ﬀ</w:instrText>
      </w:r>
      <w:r w:rsidR="00386695" w:rsidRPr="00586786">
        <w:rPr>
          <w:rFonts w:ascii="Arial" w:hAnsi="Arial" w:cs="Arial"/>
        </w:rPr>
        <w:instrText>ects scores. The number of medications and IBD drugs, use of steroids, and use of neuropsychiatrics correlated with side e</w:instrText>
      </w:r>
      <w:r w:rsidR="00386695" w:rsidRPr="00586786">
        <w:rPr>
          <w:rFonts w:ascii="Cambria Math" w:hAnsi="Cambria Math" w:cs="Cambria Math"/>
        </w:rPr>
        <w:instrText>ﬀ</w:instrText>
      </w:r>
      <w:r w:rsidR="00386695" w:rsidRPr="00586786">
        <w:rPr>
          <w:rFonts w:ascii="Arial" w:hAnsi="Arial" w:cs="Arial"/>
        </w:rPr>
        <w:instrText>ects scores. Side e</w:instrText>
      </w:r>
      <w:r w:rsidR="00386695" w:rsidRPr="00586786">
        <w:rPr>
          <w:rFonts w:ascii="Cambria Math" w:hAnsi="Cambria Math" w:cs="Cambria Math"/>
        </w:rPr>
        <w:instrText>ﬀ</w:instrText>
      </w:r>
      <w:r w:rsidR="00386695" w:rsidRPr="00586786">
        <w:rPr>
          <w:rFonts w:ascii="Arial" w:hAnsi="Arial" w:cs="Arial"/>
        </w:rPr>
        <w:instrText>ects scores negatively correlated with the quality of life.\nConclusions: Side e</w:instrText>
      </w:r>
      <w:r w:rsidR="00386695" w:rsidRPr="00586786">
        <w:rPr>
          <w:rFonts w:ascii="Cambria Math" w:hAnsi="Cambria Math" w:cs="Cambria Math"/>
        </w:rPr>
        <w:instrText>ﬀ</w:instrText>
      </w:r>
      <w:r w:rsidR="00386695" w:rsidRPr="00586786">
        <w:rPr>
          <w:rFonts w:ascii="Arial" w:hAnsi="Arial" w:cs="Arial"/>
        </w:rPr>
        <w:instrText>ects were common in patients with IBD from a tertiary referral center. Side e</w:instrText>
      </w:r>
      <w:r w:rsidR="00386695" w:rsidRPr="00586786">
        <w:rPr>
          <w:rFonts w:ascii="Cambria Math" w:hAnsi="Cambria Math" w:cs="Cambria Math"/>
        </w:rPr>
        <w:instrText>ﬀ</w:instrText>
      </w:r>
      <w:r w:rsidR="00386695" w:rsidRPr="00586786">
        <w:rPr>
          <w:rFonts w:ascii="Arial" w:hAnsi="Arial" w:cs="Arial"/>
        </w:rPr>
        <w:instrText>ects are not trivial for they can result in alterations in the medical regimen and are associated with increased disease activity and decreased quality of life scores. The total number of medications and use of neuropsychiatric drugs and steroids are correlated with side e</w:instrText>
      </w:r>
      <w:r w:rsidR="00386695" w:rsidRPr="00586786">
        <w:rPr>
          <w:rFonts w:ascii="Cambria Math" w:hAnsi="Cambria Math" w:cs="Cambria Math"/>
        </w:rPr>
        <w:instrText>ﬀ</w:instrText>
      </w:r>
      <w:r w:rsidR="00386695" w:rsidRPr="00586786">
        <w:rPr>
          <w:rFonts w:ascii="Arial" w:hAnsi="Arial" w:cs="Arial"/>
        </w:rPr>
        <w:instrText>ects scores. Given the di</w:instrText>
      </w:r>
      <w:r w:rsidR="00386695" w:rsidRPr="00586786">
        <w:rPr>
          <w:rFonts w:ascii="Cambria Math" w:hAnsi="Cambria Math" w:cs="Cambria Math"/>
        </w:rPr>
        <w:instrText>ﬃ</w:instrText>
      </w:r>
      <w:r w:rsidR="00386695" w:rsidRPr="00586786">
        <w:rPr>
          <w:rFonts w:ascii="Arial" w:hAnsi="Arial" w:cs="Arial"/>
        </w:rPr>
        <w:instrText>culty that patients have in determining whether a symptom is related to a particular drug or from a medical condition, further prospective studies are needed to evaluate the impact of patient assessment of side e</w:instrText>
      </w:r>
      <w:r w:rsidR="00386695" w:rsidRPr="00586786">
        <w:rPr>
          <w:rFonts w:ascii="Cambria Math" w:hAnsi="Cambria Math" w:cs="Cambria Math"/>
        </w:rPr>
        <w:instrText>ﬀ</w:instrText>
      </w:r>
      <w:r w:rsidR="00386695" w:rsidRPr="00586786">
        <w:rPr>
          <w:rFonts w:ascii="Arial" w:hAnsi="Arial" w:cs="Arial"/>
        </w:rPr>
        <w:instrText>ects on clinical outcomes in IBD.","container-title":"Journal of Clinical Gastroenterology","DOI":"10.1097/MCG.0b013e31802f19af","ISSN":"0192-0790","issue":"3","language":"en","page":"244-251","source":"DOI.org (Crossref)","title":"Patient Subjective Assessment of Drug Side Effects in Inflammatory Bowel Disease","volume":"42","author":[{"family":"Cross","given":"Raymond K."},{"family":"Lapshin","given":"Oleg"},{"family":"Finkelstein","given":"Joseph"}],"issued":{"date-parts":[["2008",3]]}}},{"id":4528,"uris":["http://zotero.org/users/13605431/items/DEZWRTSP"],"itemData":{"id":4528,"type":"article-journal","container-title":"Journal of Drugs in Dermatology","issue":"4","page":"328-332","title":"Short-term safety assessment of clobetasol propionate 0.05% shampoo hypothalamic-pituitary-adrenal axis suppression, atrophogenicity, and ocular safety in subjects with scalp psoriasis","volume":"5","author":[{"family":"Andres","given":"Phillipe"},{"family":"Poncet","given":"Michel"},{"family":"Sidou","given":"Farzaneh"},{"family":"Soto","given":"Pascale"}],"issued":{"date-parts":[["2006"]]}}},{"id":4119,"uris":["http://zotero.org/users/13605431/items/LMC9K5BY"],"itemData":{"id":4119,"type":"article-journal","abstract":"Background: Patient-reported side effect questionnaires offer a simple method for the systematic measurement of drug-related side effects. In order to measure patients' inhaled corticosteroids (ICS) related side effect perceptions the 14-day retrospective Inhaled Corticosteroid Questionnaire (ICQ) was developed. In this research we aim to assess the construct validity and reliability of the ICQ and test its responsiveness to dose changes in adult asthma patients.\nMethods: In a cross-sectional study, current inhaler users with asthma completed the ICQ (27 with non ICS inhaler; 61 BDP equivalent daily ICS low dose ≤400 µg; 62 mid dose 401–800 µg; and 105 with high dose &gt;800 µg). We generated 3 construct validity hypotheses: 1) a hierarchical dose-response pattern for scoring of the individual items on the ICQ, and statistically significant differences in the scores of each of the 15 ICQ domains by ICS dose group 2) an association between ICS dose and ICQ scoring after adjusting for appropriate confounders in multiple regression; 3) greater convergence between local side effect domains than between systemic and local domains of the scale. Test-retest reliability was assessed on a randomly selected subgroup of patients (n = 73) who also completed the ICQ a second time after 7 days. In a separate longitudinal study, 61 patients with asthma completed the ICQ at baseline and after changing their daily ICS dose, at 2- and 6- months, in order to test the ICQ's responsiveness.\nResults: All three construct validity hypotheses were well supported: 1) a statistically significant difference existed in scores for 14 domains, the high ICS dose group scoring highest; 2) ICS dose independently predicted ICQ scoring after adjusting for confounders; 3) greater convergence existed between local ICQ domains than between local and systemic domains. The ICQ had good reproducibility: test-retest intraclass correlation coefficients were ≥0.69 for all but the 'Facial Oedema' domain. In the longitudinal study, ICQ scores for 'Voice Problems' changed significantly at 2- and 6-months from baseline and other ICQ domains displayed trends in scoring change accordant with dose modulation at 6-months.\nConclusion: The ICQ has good dose-related discriminative properties, is valid, reliable, and shows potential responsiveness to ICS dose change.","container-title":"Respiratory Research","DOI":"10.1186/1465-9921-7-131","ISSN":"1465-993X","issue":"1","journalAbbreviation":"Respir Res","language":"en","license":"http://www.springer.com/tdm","page":"131","source":"DOI.org (Crossref)","title":"A self-rating scale for patient-perceived side effects of inhaled corticosteroids","volume":"7","author":[{"family":"Foster","given":"Juliet M"},{"family":"Van Sonderen","given":"Eric"},{"family":"Lee","given":"Amanda J"},{"family":"Sanderman","given":"Robbert"},{"family":"Dijkstra","given":"Antoon"},{"family":"Postma","given":"Dirkje S"},{"family":"Van Der Molen","given":"Thys"}],"issued":{"date-parts":[["2006",12]]}}},{"id":4244,"uris":["http://zotero.org/users/13605431/items/9CUYML55"],"itemData":{"id":4244,"type":"article-journal","container-title":"Osteoporosis International","DOI":"10.1007/s00198-004-1736-9","ISSN":"0937-941X, 1433-2965","issue":"6","journalAbbreviation":"Osteoporos Int","language":"en","license":"http://www.springer.com/tdm","page":"642-650","source":"DOI.org (Crossref)","title":"Differences in hip quantitative computed tomography (QCT) measurements of bone mineral density and bone strength between glucocorticoid-treated and glucocorticoid-naïve postmenopausal women","volume":"16","author":[{"family":"Lian","given":"Kuo-Chiang"},{"family":"Lang","given":"Thomas F."},{"family":"Keyak","given":"Joyce H."},{"family":"Modin","given":"Gunnard W."},{"family":"Rehman","given":"Qaisar"},{"family":"Do","given":"Loi"},{"family":"Lane","given":"Nancy E."}],"issued":{"date-parts":[["2005",6]]}}},{"id":4217,"uris":["http://zotero.org/users/13605431/items/UTXNNGTJ"],"itemData":{"id":4217,"type":"article-journal","abstract":"Background: Corticosteroids have been used for many years for inflammatory diseases. Mood changes are common during short-term, high-dose, corticosteroid therapy. Virtually no data are available on the mood effects of long-term corticosteroid therapy.\nObjective: To evaluate mood during corticosteroid therapy using standard clinician-rated and patient-rated measures.\nMethods: Outpatients receiving prednisone therapy (7.5 mg/d for 6 months) and similar controls were enrolled. Current mood was evaluated using the Hamilton Rating Scale for Depression (HRSD), Young Mania Rating Scale (YMRS), Brief Psychiatric Rating Scale (BPRS), Internal State Scale (ISS), and a diagnostic interview.\nResults: Twenty patients and 14 controls were enrolled in the study. Depressive symptom severity as evaluated by the HRSD and ISS depression and well-being subscales and global psychiatric symptom severity as evaluated by the BPRS and ISS perceived conflict subscale were greater in patients receiving prednisone than controls. Manic symptom severity as evaluated by the ISS activation subscale but not the YMRS was higher in patients receiving prednisone. Twelve (60%) of 20 corticosteroidtreated patients met diagnostic criteria for a lifetime prednisone-induced mood disorder. Activation subscale scores did not correlate with YMRS scores. Other ISS subscales showed expected correlations with clinician-rated assessments.\nConclusions: Mood symptoms and disorders are common in corticosteroid-dependent patients. Unlike short-term prednisone therapy, long-term therapy may be more associated with depressive than manic symptoms based on the clinician-rated assessments. The ISS may be more sensitive to mood symptoms with prednisone than clinician-rated scales.","container-title":"Annals of Allergy, Asthma &amp; Immunology","DOI":"10.1016/S1081-1206(10)61756-5","ISSN":"10811206","issue":"5","journalAbbreviation":"Annals of Allergy, Asthma &amp; Immunology","language":"en","license":"https://www.elsevier.com/tdm/userlicense/1.0/","page":"500-505","source":"DOI.org (Crossref)","title":"Assessment of mood states in patients receiving long-term corticosteroid therapy and in controls with patient-rated and clinician-rated scales","volume":"92","author":[{"family":"Bolanos","given":"Sandra H."},{"family":"Khan","given":"David A."},{"family":"Hanczyc","given":"Margaret"},{"family":"Bauer","given":"Mark S."},{"family":"Dhanani","given":"Nafisa"},{"family":"Brown","given":"E.S."}],"issued":{"date-parts":[["2004",5]]}}},{"id":4245,"uris":["http://zotero.org/users/13605431/items/ZIMD4AAI"],"itemData":{"id":4245,"type":"article-journal","abstract":"Background Most published studies show that intranasal corticosteroids have no effect on the hypothalamic–pituitary–adrenal (HPA) axis, but there have been isolated reports to the contrary, contradicting accumulated knowledge on pharmacokinetics.\nObjective To re-evaluate the effect of ﬂuticasone propionate aqueous nasal spray (FPANS) and triamcinolone acetonide (TAA) aqueous nasal spray on the HPA axis using an improved study design.\nMethods Twenty-three healthy volunteers were randomized in a double-blind, three-way crossover study. The study comprised a 4-day placebo run-in phase followed by three 4-day treatment periods (placebo, FPANS (200 mg once daily) or TAA aqueous nasal spray (220 mg once daily)), separated by 7–14 days washout intervals. Before the ﬁrst, and on the last day of each treatment period, 12-h overnight urine was collected to assess cortisol excretion and cortisol creatinine ratio. Approximately 26 h after the last administration of study medication, volunteers underwent stimulation with 0.5 mg adrenocorticotropic hormone (ACTH). Serum cortisol concentrations were measured before and 20 and 30 min after injection. Blood and urine samples were analysed for cortisol by liquid chromatography tandem mass spectrometry.\nResults Compared with placebo, EP or TAA had no signiﬁcant effect on mean overnight (12 h) urinary cortisol excretion, and did not signiﬁcantly suppress the overnight geometric mean urinary cortisol/creatinine excretion ratio. Values for serum cortisol before and after ACTH simulation showed no signiﬁcant suppression, although there was a slight blunting of the HPA-axis response following TAA treatment.\nConclusion This study conﬁrms that there are no detectable effects on the HPA axis following short-term intranasal FP or TAA at their recommended dosages.","container-title":"Clinical &amp; Experimental Allergy","DOI":"10.1111/j.1365-2222.2004.01843.x","ISSN":"0954-7894, 1365-2222","issue":"1","journalAbbreviation":"Clin Experimental Allergy","language":"en","license":"http://onlinelibrary.wiley.com/termsAndConditions#vor","page":"85-90","source":"DOI.org (Crossref)","title":"Effect of intranasal fluticasone propionate and triamcinolone acetonide on basal and dynamic measures of hypothalamic–pituitary–adrenal</w:instrText>
      </w:r>
      <w:r w:rsidR="00386695" w:rsidRPr="00586786">
        <w:rPr>
          <w:rFonts w:ascii="Cambria Math" w:hAnsi="Cambria Math" w:cs="Cambria Math"/>
        </w:rPr>
        <w:instrText>‐</w:instrText>
      </w:r>
      <w:r w:rsidR="00386695" w:rsidRPr="00586786">
        <w:rPr>
          <w:rFonts w:ascii="Arial" w:hAnsi="Arial" w:cs="Arial"/>
        </w:rPr>
        <w:instrText>axis activity in healthy volunteers","volume":"34","author":[{"family":"Bachert","given":"C."},{"family":"Lukat","given":"K.</w:instrText>
      </w:r>
      <w:r w:rsidR="00386695" w:rsidRPr="00586786">
        <w:rPr>
          <w:rFonts w:ascii="Cambria Math" w:hAnsi="Cambria Math" w:cs="Cambria Math"/>
        </w:rPr>
        <w:instrText>‐</w:instrText>
      </w:r>
      <w:r w:rsidR="00386695" w:rsidRPr="00586786">
        <w:rPr>
          <w:rFonts w:ascii="Arial" w:hAnsi="Arial" w:cs="Arial"/>
        </w:rPr>
        <w:instrText xml:space="preserve">F."},{"family":"Lange","given":"B."}],"issued":{"date-parts":[["2004",1]]}}},{"id":4263,"uris":["http://zotero.org/users/13605431/items/I4M4AFYR"],"itemData":{"id":4263,"type":"article-journal","abstract":"Corticosteroid treatment diminishes bone mass and alters bone quality. Objective: to evaluate bone in corticosteroid-treated patients and controls and in fractured and non-fractured patients treated with corticosteroids using both X-ray densitometry (DEXA) and ultrasound. We evaluated 34 women aged 58 ± 14 years (X ± SD), who had been on long-term low dose prednisone therapy for at least 6 months, and who had never received speciﬁc treatment for osteoporosis. Bone mineral density of total skeleton (TS), lumbar spine (LS), femoral neck (FN), and vertebral morphometry (MXA) were measured by DEXA. Speed of sound (SOS), broadband ultrasound attenuation (BUA) and Stiffness were measured using an Achilles Plus system. Forty-two healthy women served as controls. Both densitometric and ultrasound parameters in the patients were signiﬁcantly diminished compared with controls: TS: P &lt; 0.002, LS: P &lt; 0.025, FS: P &lt; 0.005, Stiffness: P &lt; 0.001, BUA: P &lt; 0.002 and SOS: P &lt; 0.002. The percentage of patients with a Z score below –2 was higher in Stiffness and BUA: 38% and 47%, respectively, compared with a range of 16–24% in the other parameters (P &lt; 0.05 BUA vs. DEXA measurements). Eleven patients with previous bone fracture had values lower than the non-fractured patients, both according to DEXA and ultrasound measurements, but the difference was only signiﬁcant for BUA (P &lt; 0.02). BUA of the calcaneus was more effective in detecting the speciﬁc skeletal alterations and fracture risk of the group of patients receiving chronic corticosteroid treatment.","container-title":"Joint Bone Spine","DOI":"10.1016/S1297-319X(02)00010-6","ISSN":"1297319X","issue":"1","journalAbbreviation":"Joint Bone Spine","language":"en","license":"https://www.elsevier.com/tdm/userlicense/1.0/","page":"46-51","source":"DOI.org (Crossref)","title":"Is ultrasound of bone relevant for corticosteroid-treated patients? A comparative study with bone densitometry measured by DEXA","title-short":"Is ultrasound of bone relevant for corticosteroid-treated patients?","volume":"70","author":[{"family":"Oliveri","given":"Beatriz"},{"family":"Di Gregorio","given":"Silvana"},{"family":"Parisi","given":"Muriel Solange"},{"family":"Solís","given":"Fabiana"},{"family":"Mautalen","given":"Carlos"}],"issued":{"date-parts":[["2003",2]]}}},{"id":4216,"uris":["http://zotero.org/users/13605431/items/A9G8G2XD"],"itemData":{"id":4216,"type":"article-journal","abstract":"OBJECTIVES: In patients with inﬂammatory bowel disease (IBD), little is known about the effect of long term corticosteroid therapy (CT) on the hypothalamic-pituitary-adrenal (HPA) axis function. Our aim was to assess HPA axis function in IBD, before the end of CT, during the tapering phase.\nMETHODS: HPA axis function was assessed with cortisol (ng/ml) measurement before (T0) (normal Ͼ 100) and 60 min (normal Ͼ 210) after 0.25 mg tetracosactide (Synacthen imme´diat) injection (T60) in 55 consecutive cases of IBD attacks. Abnormal response was deﬁned as a T60 Ͻ210. The attacks were separated into two groups according to the result of the Synacthen test (ST).\nRESULTS: In all, 36 of 55 ST were abnormal. The time for recovery normal HPA axis function was 7.2 Ϯ 1.3 months. Duration of disease since onset, past history of surgical or immunosuppressive treatment, severity and extension of the attack, need for surgical or immunosuppressive treatment, total cumulative and mean daily corticosteroid dose, total duration of CT, and steroid dose at the time of ST were not signiﬁcantly different in the two groups. In multivariate analysis a past history of CT was predictive of abnormal ST (OR ϭ 8.4, 95% CI ϭ 2.2–31.5, p ϭ 0.0009). Among patients with a past history of CT, the time (months) elapsed between the last course of CT was signiﬁcantly longer in those with normal ST than in those with abnormal ST (45.5 Ϯ 13.5 vs 15.4 Ϯ 6.0; p ϭ 0.02), and in multivariate analysis a duration free of CT Ͻ15 months was predictive of abnormal ST (OR ϭ 15.00, CI ϭ 1.23–183.00, p ϭ 0.03).\nCONCLUSIONS: In all, 65% of the ST were abnormal. These results suggest that ST should be performed before corticosteroid withdrawal, especially in patients with recent past history of CT. (Am J Gastroenterol 2002;97:1785–1791. © 2002 by Am. Coll. of Gastroenterology)","container-title":"The American Journal of Gastroenterology","issue":"7","language":"en","page":"1785-1791","source":"Zotero","title":"Assessment of Hypothalamic-Pituitary-Adrenal Axis Function After Corticosteroid Therapy in Inﬂammatory Bowel Disease","volume":"97","author":[{"family":"Desrame","given":"J"},{"family":"Sabate","given":"JM"},{"family":"Agher","given":"R"},{"family":"Bremont","given":"C"},{"family":"Gaudric","given":"M"},{"family":"Couturier","given":"D"},{"family":"Chaussade","given":"S"}],"issued":{"date-parts":[["2002"]]}}},{"id":4275,"uris":["http://zotero.org/users/13605431/items/HH69XMZ6"],"itemData":{"id":4275,"type":"article-journal","container-title":"Clinical Otolaryngology and Allied Sciences","DOI":"10.1046/j.0307-7772.2001.00462.x","ISSN":"0307-7772, 1365-2273","issue":"3","journalAbbreviation":"Clin Otolaryngol","language":"en","license":"http://doi.wiley.com/10.1002/tdm_license_1.1","page":"231-234","source":"DOI.org (Crossref)","title":"Preliminary results of a pilot study investigating the potential of salivary cortisol measurements to detect occult adrenal suppression secondary to steroid nose drops","volume":"26","author":[{"family":"Patel","given":"R.S."},{"family":"Wallace","given":"A.M."},{"family":"Hinnie","given":"J."},{"family":"McGarry","given":"G.W."}],"issued":{"date-parts":[["2001",6]]}}},{"id":4233,"uris":["http://zotero.org/users/13605431/items/E5HFXVCS"],"itemData":{"id":4233,"type":"article-journal","abstract":"Mood symptoms are reported frequently in asthma patients, particularly during corticosteroid therapy. This investigation compared the Internal State Scale (ISS), a selfreport measure of symptoms of mania and depression, to the Hamilton Rating Scale for Depression (HRSD), Young Mania Rating Scale (YMRS), and Brief Psychiatric Rating Scale (BPRS) in a group of asthma patients (nϭ60 at baseline) before, during, and after a 1–2 week burst of prednisone. The depression and well being subscales of the ISS correlated well with HDRS scores. The perceived conflict subscale correlated with the BPRS scores. However, none of the ISS subscales correlated consistently and specifically with the YMRS in this population. Possible explanations for differences observed in bipolar versus asthma patients given the ISS are discussed. These data suggest the ISS may be a useful tool for depression symptoms and overall psychopathology in asthma patients and in patients receiving corticosteroid therapy. However, its ability may be attenuated outside of the population for which it was designed. © 2000 Elsevier Science Inc.","container-title":"General Hospital Psychiatry","DOI":"10.1016/S0163-8343(00)00075-X","ISSN":"01638343","issue":"3","journalAbbreviation":"General Hospital Psychiatry","language":"en","license":"https://www.elsevier.com/tdm/userlicense/1.0/","page":"180-183","source":"DOI.org (Crossref)","title":"Comparison of the internal state scale to clinician-administered scales in asthma patients receiving corticosteroid therapy","volume":"22","author":[{"family":"Brown","given":"E.Sherwood"},{"family":"Bauer","given":"Mark S"},{"family":"Suppes","given":"Trisha"},{"family":"Khan","given":"David A"},{"family":"Carmody","given":"Thomas"}],"issued":{"date-parts":[["2000",5]]}}},{"id":4525,"uris":["http://zotero.org/users/13605431/items/4X6CG2DX"],"itemData":{"id":4525,"type":"article-journal","container-title":"Endocrinology &amp; Diabetes","page":"561-567","title":"CRH test prior to discontinuation of long-term low-dose glucocorticoid therapy.pdf","volume":"107","author":[{"family":"Gellner","given":"R"},{"family":"Stange","given":"M"},{"family":"Schiemann","given":"U"},{"family":"Domschke","given":"W"},{"family":"Hengst","given":"K"}],"issued":{"date-parts":[["1999"]]}}},{"id":4247,"uris":["http://zotero.org/users/13605431/items/LB5UC5PM"],"itemData":{"id":4247,"type":"article-journal","container-title":"Osteoporosis International","DOI":"10.1007/s001980050227","ISSN":"0937-941X, 1433-2965","issue":"4","journalAbbreviation":"Osteoporosis International","language":"en","license":"http://www.springer.com/tdm","page":"278-283","source":"DOI.org (Crossref)","title":"Efficiency of Quantitative Ultrasound Measurements as Compared with Dual-Energy X-ray Absorptiometry in the Assessment of Corticosteroid-Induced Bone Impairment","volume":"10","author":[{"family":"Daens","given":"S."},{"family":"Peretz","given":"A."},{"family":"De Maertelaer","given":"V."},{"family":"Moris","given":"M."},{"family":"Bergmann","given":"P."}],"issued":{"date-parts":[["1999",9,1]]}}},{"id":4280,"uris":["http://zotero.org/users/13605431/items/CQ8XWCWC"],"itemData":{"id":4280,"type":"article-journal","container-title":"Transplantation Proceedings","DOI":"10.1016/S0041-1345(98)00920-8","ISSN":"00411345","issue":"7","journalAbbreviation":"Transplantation Proceedings","language":"en","license":"https://www.elsevier.com/tdm/userlicense/1.0/","page":"3039-3040","source":"DOI.org (Crossref)","title":"Relationship between steroid dosage and osteonecrosis of the femoral head after renal transplantation as measured by magnetic resonance imaging","volume":"30","author":[{"family":"Kubo","given":"T"},{"family":"Fujioka","given":"M"},{"family":"Yamazoe","given":"S"},{"family":"Yoshimura","given":"N"},{"family":"Oka","given":"T"},{"family":"Ushijima","given":"Y"},{"family":"Hasegawa","given":"Y"},{"family":"Hirasawa","given":"Y"}],"issued":{"date-parts":[["1998",11]]}}},{"id":4235,"uris":["http://zotero.org/users/13605431/items/5ADR2CS2"],"itemData":{"id":4235,"type":"article-journal","container-title":"Rev. Rhum","issue":"5","language":"en","page":"305-313","source":"Zotero","title":"Contribution of calcaneal ultrasonic assessment to the evaluation of postmenopausal and glucocorticoid-induced osteoporosis","volume":"64","author":[{"family":"Blanckaert","given":"Franck"},{"family":"Cortet","given":"B"},{"family":"Coquerelle","given":"P"},{"family":"Flipo","given":"RM"},{"family":"Duquesnoy","given":"B"},{"family":"Marchandise","given":"X"},{"family":"Delcambre","given":"B"}],"issued":{"date-parts":[["1997"]]}}},{"id":4226,"uris":["http://zotero.org/users/13605431/items/4SS2LJD4"],"itemData":{"id":4226,"type":"article-journal","abstract":"For 2 years bone density changes in patients with rheumatoid arthritis were monitored to determine the effect of low dose corticosteroid treatment. Sixteen perimenopausal females were studied. Of these nine were treated with 5 to 20 mg prednisone per day and seven had no steroids. The differential effects on trabecular bone density and on cortical bone in the radius and the tibia were examined with high precision peripheral quantitative computed tomography (QCT). Steroid therapy did not influence cortical bone loss and had only a minor influence on trabecular bone density. Of greater importance was the influence of estrogen depletion. Corticosteroids and estrogen depletion, however, cannot explain fully the yearly loss of 5.7% in the trabecular and 4% in the cortical bone of the radius.","container-title":"Rheumatology International","DOI":"10.1007/BF00290250","ISSN":"0172-8172, 1437-160X","issue":"1","journalAbbreviation":"Rheumatol Int","language":"en","license":"http://www.springer.com/tdm","page":"41-44","source":"DOI.org (Crossref)","title":"Bone loss in patients with rheumatoid arthritis ? effect of steroids measured by low dose quantitative computed tomography","title-short":"Bone loss in patients with rheumatoid arthritis ?","volume":"11","author":[{"family":"Felder","given":"M."},{"family":"Ruegsegger","given":"P."}],"issued":{"date-parts":[["1991",5]]}}},{"id":4220,"uris":["http://zotero.org/users/13605431/items/Y692PT62"],"itemData":{"id":4220,"type":"article-journal","abstract":"Dual energy x ray absorptiometry and a wide range of blood and urine tests were used to assess the propensity ofpatients with systemic lupus erythematosus to develop an impairment of bone mineral density. Surprisingly, in this preliminary study no significant differences in bone mineral density were found when patients taking 10 mg or more of prednisolone for six months or longer were compared with those who had never taken prednisolone.","container-title":"Annals of the Rheumatic Diseases","DOI":"10.1136/ard.49.8.624","ISSN":"0003-4967","issue":"8","journalAbbreviation":"Annals of the Rheumatic Diseases","language":"en","page":"624-626","source":"DOI.org (Crossref)","title":"Assessment of the effect of oral corticosteroids on bone mineral density in systemic lupus erythematosus: a preliminary study with dual energy x ray absorptiometry.","title-short":"Assessment of the effect of oral corticosteroids on bone mineral density in systemic lupus erythematosus","volume":"49","author":[{"family":"Dhillon","given":"V B"},{"family":"Davies","given":"M C"},{"family":"Hall","given":"M L"},{"family":"Round","given":"J M"},{"family":"Ell","given":"P J"},{"family":"Jacobs","given":"H S"},{"family":"Snaith","given":"M L"},{"family":"Isenberg","given":"D A"}],"issued":{"date-parts":[["1990",8,1]]}}},{"id":4527,"uris":["http://zotero.org/users/13605431/items/Q8HL5AQS"],"itemData":{"id":4527,"type":"article-journal","container-title":"The Journal of Rheumatology","page":"363-367","title":"Serum osteocalcin in the assessment of corticosteroid induced osteoporosis. Effect of long and short term corticosteroid treatment.pdf","volume":"16","author":[{"family":"Peretz","given":"A"},{"family":"Praet","given":"JP"},{"family":"Bosson","given":"D"},{"family":"Rozenberg","given":"S"},{"family":"Bourdoux","given":"P"}],"issued":{"date-parts":[["1989"]]}}},{"id":4530,"uris":["http://zotero.org/users/13605431/items/SCPAM65G"],"itemData":{"id":4530,"type":"article-journal","container-title":"Transplantation","issue":"2","page":"143-146","title":"The use of a cosyntropin stimulation test to predict adrenal suppression in renal transplant patients being withdrawn from prednisone","volume":"36","author":[{"family":"Canafax","given":"Daniel M"},{"family":"Mann","given":"Henry"},{"family":"Sutherland","given":"David"},{"family":"Simmons","given":"Richard"},{"family":"Najarian","given":"John"}],"issued":{"date-parts":[["1983"]]}}},{"id":4524,"uris":["http://zotero.org/users/13605431/items/R4XY5SNK"],"itemData":{"id":4524,"type":"article-journal","container-title":"Annals of Allergy","page":"41-43","title":"Assessment of adrenocortical function in asthmatic patients on long-term triamcinolone acetonide treatment","volume":"42","author":[{"family":"Droszcz","given":"Waclaw"},{"family":"Malunowicz","given":"Ewa"},{"family":"Lech","given":"Beata"},{"family":"Krawczynska","given":"Helena"},{"family":"Madalinska","given":"Monika"}],"issued":{"date-parts":[["1979",1]]}}},{"id":4282,"uris":["http://zotero.org/users/13605431/items/P8HX4ZHC"],"itemData":{"id":4282,"type":"article-journal","abstract":"Betamethasone valerate aerosol is a new compound for the treatment of asthma. Its clinical effectiveness was established in a double-blind cross-over trial in nonsteroid-dependent asthmatic patients. At a dosage of 400 to 800 tsg/day for three months there was no evidence of suppression of hypothalamic-pituitary-adrenal function, as assessed by tetracosactrin and insulin stress tests. A 12-month follow-up study of 120 patients using steroid aerosols (betamethasone valerate or beclomethasone dipropionate) indicated that tolerance does not develop and that a daily maintenance dose of 200 tsg/day was adequate in most patients. Temporary lack of response was observed during episodes of sputum production or of heavy exposure to antigen. There were no observed side effects other than fungal infections of the respiratory tract. However, the incidence of candidiasis ofthe pharynx (13%) and particularly of the larynx (5%) in apparently immunologically normal patients was disturbing. These infections were not seen in pauents taking 200 ,ug/day. Though there is yet no eviaence that fungal infections associated with steroid aerosols may penetrate the trachea and bronchi the possibility of this indicates that caution should be exercised in their use, particularly in long-term high dosage.","container-title":"BMJ","DOI":"10.1136/bmj.1.5900.171","ISSN":"0959-8138, 1468-5833","issue":"5900","journalAbbreviation":"BMJ","language":"en","page":"171-175","source":"DOI.org (Crossref)","title":"Steroid Aerosols in Asthma: An Assessment of Betamethasone Valerate and a 12-month Study of Patients on Maintenance Treatment","title-short":"Steroid Aerosols in Asthma","volume":"1","author":[{"family":"McAllen","given":"M. K."},{"family":"Kochanowski","given":"S. J."},{"family":"Shaw","given":"K. M."}],"issued":{"date-parts":[["1974",2,2]]}}},{"id":4261,"uris":["http://zotero.org/users/13605431/items/WCP22P8Q"],"itemData":{"id":4261,"type":"article-journal","container-title":"Thorax","DOI":"10.1136/thx.23.6.571","ISSN":"0040-6376","issue":"6","journalAbbreviation":"Thorax","language":"en","page":"571-581","source":"DOI.org (Crossref)","title":"Incidence of serious complications of corticosteroid therapy in respiratory disease: A retrospective survey of patients in the Brompton Hospital","title-short":"Incidence of serious complications of corticosteroid therapy in respiratory disease","volume":"23","author":[{"family":"Smyllie","given":"H. C."},{"family":"Connolly","given":"C. K."}],"issued":{"date-parts":[["1968",11,1]]}}}],"schema":"https://github.com/citation-style-language/schema/raw/master/csl-citation.json"} </w:instrText>
      </w:r>
      <w:r w:rsidR="004340C5" w:rsidRPr="00586786">
        <w:rPr>
          <w:rFonts w:ascii="Arial" w:hAnsi="Arial" w:cs="Arial"/>
        </w:rPr>
        <w:fldChar w:fldCharType="separate"/>
      </w:r>
      <w:r w:rsidR="00386695" w:rsidRPr="00586786">
        <w:rPr>
          <w:rFonts w:ascii="Arial" w:hAnsi="Arial" w:cs="Arial"/>
          <w:kern w:val="0"/>
        </w:rPr>
        <w:t>(10–85)</w:t>
      </w:r>
      <w:r w:rsidR="004340C5" w:rsidRPr="00586786">
        <w:rPr>
          <w:rFonts w:ascii="Arial" w:hAnsi="Arial" w:cs="Arial"/>
        </w:rPr>
        <w:fldChar w:fldCharType="end"/>
      </w:r>
      <w:r w:rsidR="0019171F" w:rsidRPr="00586786">
        <w:rPr>
          <w:rFonts w:ascii="Arial" w:hAnsi="Arial" w:cs="Arial"/>
        </w:rPr>
        <w:t>.</w:t>
      </w:r>
      <w:r w:rsidRPr="00586786">
        <w:rPr>
          <w:rFonts w:ascii="Arial" w:hAnsi="Arial" w:cs="Arial"/>
        </w:rPr>
        <w:t xml:space="preserve"> Figure 1 presents the PRISMA flowchart. </w:t>
      </w:r>
    </w:p>
    <w:p w14:paraId="263EA95A" w14:textId="77777777" w:rsidR="00D57022" w:rsidRPr="00586786" w:rsidRDefault="00D57022" w:rsidP="00586786">
      <w:pPr>
        <w:spacing w:line="360" w:lineRule="auto"/>
        <w:rPr>
          <w:rFonts w:ascii="Arial" w:hAnsi="Arial" w:cs="Arial"/>
        </w:rPr>
      </w:pPr>
    </w:p>
    <w:p w14:paraId="3A94294A" w14:textId="64BF263C" w:rsidR="00D57022" w:rsidRPr="00586786" w:rsidRDefault="00E0194E" w:rsidP="00586786">
      <w:pPr>
        <w:spacing w:line="360" w:lineRule="auto"/>
        <w:rPr>
          <w:rFonts w:ascii="Arial" w:hAnsi="Arial" w:cs="Arial"/>
        </w:rPr>
      </w:pPr>
      <w:r w:rsidRPr="00586786">
        <w:rPr>
          <w:rFonts w:ascii="Arial" w:hAnsi="Arial" w:cs="Arial"/>
          <w:i/>
          <w:iCs/>
        </w:rPr>
        <w:t xml:space="preserve">3.2 </w:t>
      </w:r>
      <w:r w:rsidR="00D57022" w:rsidRPr="00586786">
        <w:rPr>
          <w:rFonts w:ascii="Arial" w:hAnsi="Arial" w:cs="Arial"/>
          <w:i/>
          <w:iCs/>
        </w:rPr>
        <w:t>Characteristics of included studies</w:t>
      </w:r>
    </w:p>
    <w:p w14:paraId="19BE9B38" w14:textId="2310250B" w:rsidR="00DE26AB" w:rsidRPr="00586786" w:rsidRDefault="00A8259B" w:rsidP="00586786">
      <w:pPr>
        <w:spacing w:line="360" w:lineRule="auto"/>
        <w:rPr>
          <w:rFonts w:ascii="Arial" w:hAnsi="Arial" w:cs="Arial"/>
        </w:rPr>
      </w:pPr>
      <w:r w:rsidRPr="00586786">
        <w:rPr>
          <w:rFonts w:ascii="Arial" w:hAnsi="Arial" w:cs="Arial"/>
        </w:rPr>
        <w:t>The included studies were published between 1968 and 2024.</w:t>
      </w:r>
      <w:r w:rsidR="00DE26AB" w:rsidRPr="00586786">
        <w:rPr>
          <w:rFonts w:ascii="Arial" w:hAnsi="Arial" w:cs="Arial"/>
        </w:rPr>
        <w:t xml:space="preserve"> </w:t>
      </w:r>
      <w:r w:rsidR="001A1E6B" w:rsidRPr="00586786">
        <w:rPr>
          <w:rFonts w:ascii="Arial" w:hAnsi="Arial" w:cs="Arial"/>
        </w:rPr>
        <w:t xml:space="preserve">Of the 76 papers, </w:t>
      </w:r>
      <w:r w:rsidR="00F072DF" w:rsidRPr="00586786">
        <w:rPr>
          <w:rFonts w:ascii="Arial" w:hAnsi="Arial" w:cs="Arial"/>
        </w:rPr>
        <w:t>57</w:t>
      </w:r>
      <w:r w:rsidR="00DE26AB" w:rsidRPr="00586786">
        <w:rPr>
          <w:rFonts w:ascii="Arial" w:hAnsi="Arial" w:cs="Arial"/>
        </w:rPr>
        <w:t xml:space="preserve"> assessed </w:t>
      </w:r>
      <w:proofErr w:type="spellStart"/>
      <w:r w:rsidR="001A5AF7" w:rsidRPr="00586786">
        <w:rPr>
          <w:rFonts w:ascii="Arial" w:hAnsi="Arial" w:cs="Arial"/>
        </w:rPr>
        <w:t>ClinROs</w:t>
      </w:r>
      <w:proofErr w:type="spellEnd"/>
      <w:r w:rsidR="00DE26AB" w:rsidRPr="00586786">
        <w:rPr>
          <w:rFonts w:ascii="Arial" w:hAnsi="Arial" w:cs="Arial"/>
        </w:rPr>
        <w:t xml:space="preserve">, 24 assessed </w:t>
      </w:r>
      <w:r w:rsidR="004D2C10" w:rsidRPr="00586786">
        <w:rPr>
          <w:rFonts w:ascii="Arial" w:hAnsi="Arial" w:cs="Arial"/>
        </w:rPr>
        <w:t>PROs</w:t>
      </w:r>
      <w:r w:rsidR="00DE26AB" w:rsidRPr="00586786">
        <w:rPr>
          <w:rFonts w:ascii="Arial" w:hAnsi="Arial" w:cs="Arial"/>
        </w:rPr>
        <w:t xml:space="preserve"> and 1 paper assessed a caregiver reported measure. </w:t>
      </w:r>
      <w:r w:rsidR="009E41BC">
        <w:rPr>
          <w:rFonts w:ascii="Arial" w:hAnsi="Arial" w:cs="Arial"/>
        </w:rPr>
        <w:t>A small number of</w:t>
      </w:r>
      <w:r w:rsidR="009E41BC" w:rsidRPr="00586786">
        <w:rPr>
          <w:rFonts w:ascii="Arial" w:hAnsi="Arial" w:cs="Arial"/>
        </w:rPr>
        <w:t xml:space="preserve"> </w:t>
      </w:r>
      <w:r w:rsidR="00DE26AB" w:rsidRPr="00586786">
        <w:rPr>
          <w:rFonts w:ascii="Arial" w:hAnsi="Arial" w:cs="Arial"/>
        </w:rPr>
        <w:t xml:space="preserve">studies </w:t>
      </w:r>
      <w:r w:rsidR="00A12909">
        <w:rPr>
          <w:rFonts w:ascii="Arial" w:hAnsi="Arial" w:cs="Arial"/>
        </w:rPr>
        <w:t>(n=</w:t>
      </w:r>
      <w:r w:rsidR="009E41BC">
        <w:rPr>
          <w:rFonts w:ascii="Arial" w:hAnsi="Arial" w:cs="Arial"/>
        </w:rPr>
        <w:t>4</w:t>
      </w:r>
      <w:r w:rsidR="00A12909">
        <w:rPr>
          <w:rFonts w:ascii="Arial" w:hAnsi="Arial" w:cs="Arial"/>
        </w:rPr>
        <w:t xml:space="preserve">) </w:t>
      </w:r>
      <w:r w:rsidR="00DE26AB" w:rsidRPr="00586786">
        <w:rPr>
          <w:rFonts w:ascii="Arial" w:hAnsi="Arial" w:cs="Arial"/>
        </w:rPr>
        <w:t xml:space="preserve">assessed both </w:t>
      </w:r>
      <w:proofErr w:type="spellStart"/>
      <w:r w:rsidR="001A5AF7" w:rsidRPr="00586786">
        <w:rPr>
          <w:rFonts w:ascii="Arial" w:hAnsi="Arial" w:cs="Arial"/>
        </w:rPr>
        <w:t>ClinROs</w:t>
      </w:r>
      <w:proofErr w:type="spellEnd"/>
      <w:r w:rsidR="00DE26AB" w:rsidRPr="00586786">
        <w:rPr>
          <w:rFonts w:ascii="Arial" w:hAnsi="Arial" w:cs="Arial"/>
        </w:rPr>
        <w:t xml:space="preserve"> and PRO</w:t>
      </w:r>
      <w:r w:rsidR="0019171F" w:rsidRPr="00586786">
        <w:rPr>
          <w:rFonts w:ascii="Arial" w:hAnsi="Arial" w:cs="Arial"/>
        </w:rPr>
        <w:t>s (supplementary table 1).</w:t>
      </w:r>
      <w:r w:rsidR="00DE26AB" w:rsidRPr="00586786">
        <w:rPr>
          <w:rFonts w:ascii="Arial" w:hAnsi="Arial" w:cs="Arial"/>
        </w:rPr>
        <w:t xml:space="preserve"> </w:t>
      </w:r>
      <w:r w:rsidR="00EB1E16" w:rsidRPr="00586786">
        <w:rPr>
          <w:rFonts w:ascii="Arial" w:hAnsi="Arial" w:cs="Arial"/>
        </w:rPr>
        <w:t xml:space="preserve">This manuscript will </w:t>
      </w:r>
      <w:r w:rsidR="004C2AA9" w:rsidRPr="00586786">
        <w:rPr>
          <w:rFonts w:ascii="Arial" w:hAnsi="Arial" w:cs="Arial"/>
        </w:rPr>
        <w:t>f</w:t>
      </w:r>
      <w:r w:rsidR="00EB1E16" w:rsidRPr="00586786">
        <w:rPr>
          <w:rFonts w:ascii="Arial" w:hAnsi="Arial" w:cs="Arial"/>
        </w:rPr>
        <w:t xml:space="preserve">ocus on </w:t>
      </w:r>
      <w:proofErr w:type="spellStart"/>
      <w:r w:rsidR="004D2C10" w:rsidRPr="00586786">
        <w:rPr>
          <w:rFonts w:ascii="Arial" w:hAnsi="Arial" w:cs="Arial"/>
        </w:rPr>
        <w:t>ClinROs</w:t>
      </w:r>
      <w:proofErr w:type="spellEnd"/>
      <w:r w:rsidR="004D2C10" w:rsidRPr="00586786">
        <w:rPr>
          <w:rFonts w:ascii="Arial" w:hAnsi="Arial" w:cs="Arial"/>
        </w:rPr>
        <w:t xml:space="preserve">, </w:t>
      </w:r>
      <w:r w:rsidR="00EB1E16" w:rsidRPr="00586786">
        <w:rPr>
          <w:rFonts w:ascii="Arial" w:hAnsi="Arial" w:cs="Arial"/>
        </w:rPr>
        <w:t>PROs are described in a separate manuscript.</w:t>
      </w:r>
    </w:p>
    <w:p w14:paraId="347D2018" w14:textId="77777777" w:rsidR="00D57022" w:rsidRPr="00586786" w:rsidRDefault="00D57022" w:rsidP="00586786">
      <w:pPr>
        <w:spacing w:line="360" w:lineRule="auto"/>
        <w:rPr>
          <w:rFonts w:ascii="Arial" w:hAnsi="Arial" w:cs="Arial"/>
        </w:rPr>
      </w:pPr>
    </w:p>
    <w:p w14:paraId="5481B0AD" w14:textId="6CF367DC" w:rsidR="00D57022" w:rsidRPr="00586786" w:rsidRDefault="00E0194E" w:rsidP="00586786">
      <w:pPr>
        <w:spacing w:line="360" w:lineRule="auto"/>
        <w:rPr>
          <w:rFonts w:ascii="Arial" w:hAnsi="Arial" w:cs="Arial"/>
          <w:i/>
          <w:iCs/>
        </w:rPr>
      </w:pPr>
      <w:r w:rsidRPr="00586786">
        <w:rPr>
          <w:rFonts w:ascii="Arial" w:hAnsi="Arial" w:cs="Arial"/>
          <w:i/>
          <w:iCs/>
        </w:rPr>
        <w:t>3.</w:t>
      </w:r>
      <w:r w:rsidR="00115F76" w:rsidRPr="00586786">
        <w:rPr>
          <w:rFonts w:ascii="Arial" w:hAnsi="Arial" w:cs="Arial"/>
          <w:i/>
          <w:iCs/>
        </w:rPr>
        <w:t>3</w:t>
      </w:r>
      <w:r w:rsidRPr="00586786">
        <w:rPr>
          <w:rFonts w:ascii="Arial" w:hAnsi="Arial" w:cs="Arial"/>
          <w:i/>
          <w:iCs/>
        </w:rPr>
        <w:t xml:space="preserve"> </w:t>
      </w:r>
      <w:r w:rsidR="00115F76" w:rsidRPr="00586786">
        <w:rPr>
          <w:rFonts w:ascii="Arial" w:hAnsi="Arial" w:cs="Arial"/>
          <w:i/>
          <w:iCs/>
        </w:rPr>
        <w:t>Region</w:t>
      </w:r>
      <w:r w:rsidR="00202EAD" w:rsidRPr="00586786">
        <w:rPr>
          <w:rFonts w:ascii="Arial" w:hAnsi="Arial" w:cs="Arial"/>
          <w:i/>
          <w:iCs/>
        </w:rPr>
        <w:t>s</w:t>
      </w:r>
      <w:r w:rsidR="00115F76" w:rsidRPr="00586786">
        <w:rPr>
          <w:rFonts w:ascii="Arial" w:hAnsi="Arial" w:cs="Arial"/>
          <w:i/>
          <w:iCs/>
        </w:rPr>
        <w:t xml:space="preserve"> of included studies</w:t>
      </w:r>
      <w:r w:rsidRPr="00586786">
        <w:rPr>
          <w:rFonts w:ascii="Arial" w:hAnsi="Arial" w:cs="Arial"/>
          <w:i/>
          <w:iCs/>
        </w:rPr>
        <w:t xml:space="preserve"> </w:t>
      </w:r>
    </w:p>
    <w:p w14:paraId="6035FF1B" w14:textId="524CCE37" w:rsidR="00115F76" w:rsidRPr="00586786" w:rsidRDefault="00DA34E8" w:rsidP="00586786">
      <w:pPr>
        <w:spacing w:line="360" w:lineRule="auto"/>
        <w:rPr>
          <w:rFonts w:ascii="Arial" w:hAnsi="Arial" w:cs="Arial"/>
        </w:rPr>
      </w:pPr>
      <w:proofErr w:type="gramStart"/>
      <w:r w:rsidRPr="00586786">
        <w:rPr>
          <w:rFonts w:ascii="Arial" w:hAnsi="Arial" w:cs="Arial"/>
        </w:rPr>
        <w:lastRenderedPageBreak/>
        <w:t>The majority of</w:t>
      </w:r>
      <w:proofErr w:type="gramEnd"/>
      <w:r w:rsidRPr="00586786">
        <w:rPr>
          <w:rFonts w:ascii="Arial" w:hAnsi="Arial" w:cs="Arial"/>
        </w:rPr>
        <w:t xml:space="preserve"> studies were from Europe (n=30, 52.3%), followed by North America (n=13, 22.8%). Eight studies (14.0%) were from the Asia-Pacific, with one study (1.8%) from South America. The primary region of study location was not specified in the one study (1.8%). </w:t>
      </w:r>
    </w:p>
    <w:p w14:paraId="4A78E40B" w14:textId="77777777" w:rsidR="00115F76" w:rsidRPr="00586786" w:rsidRDefault="00115F76" w:rsidP="00586786">
      <w:pPr>
        <w:spacing w:line="360" w:lineRule="auto"/>
        <w:rPr>
          <w:rFonts w:ascii="Arial" w:hAnsi="Arial" w:cs="Arial"/>
        </w:rPr>
      </w:pPr>
    </w:p>
    <w:p w14:paraId="3E98185B" w14:textId="77777777" w:rsidR="00115F76" w:rsidRPr="00586786" w:rsidRDefault="00115F76" w:rsidP="00586786">
      <w:pPr>
        <w:spacing w:line="360" w:lineRule="auto"/>
        <w:rPr>
          <w:rFonts w:ascii="Arial" w:hAnsi="Arial" w:cs="Arial"/>
          <w:i/>
          <w:iCs/>
        </w:rPr>
      </w:pPr>
      <w:r w:rsidRPr="00586786">
        <w:rPr>
          <w:rFonts w:ascii="Arial" w:hAnsi="Arial" w:cs="Arial"/>
          <w:i/>
          <w:iCs/>
        </w:rPr>
        <w:t xml:space="preserve">3.4 Characteristics of participants </w:t>
      </w:r>
    </w:p>
    <w:p w14:paraId="17A124CB" w14:textId="70518ED9" w:rsidR="002D15BC" w:rsidRPr="00586786" w:rsidRDefault="007E3149" w:rsidP="00586786">
      <w:pPr>
        <w:spacing w:line="360" w:lineRule="auto"/>
        <w:rPr>
          <w:rFonts w:ascii="Arial" w:hAnsi="Arial" w:cs="Arial"/>
        </w:rPr>
      </w:pPr>
      <w:r w:rsidRPr="00586786">
        <w:rPr>
          <w:rFonts w:ascii="Arial" w:hAnsi="Arial" w:cs="Arial"/>
        </w:rPr>
        <w:t xml:space="preserve">Of the included studies, </w:t>
      </w:r>
      <w:r w:rsidR="00874779" w:rsidRPr="00586786">
        <w:rPr>
          <w:rFonts w:ascii="Arial" w:hAnsi="Arial" w:cs="Arial"/>
        </w:rPr>
        <w:t>2</w:t>
      </w:r>
      <w:r w:rsidR="003F0DA5" w:rsidRPr="00586786">
        <w:rPr>
          <w:rFonts w:ascii="Arial" w:hAnsi="Arial" w:cs="Arial"/>
        </w:rPr>
        <w:t>0</w:t>
      </w:r>
      <w:r w:rsidR="00A72BBA" w:rsidRPr="00586786">
        <w:rPr>
          <w:rFonts w:ascii="Arial" w:hAnsi="Arial" w:cs="Arial"/>
        </w:rPr>
        <w:t xml:space="preserve"> (3</w:t>
      </w:r>
      <w:r w:rsidR="003F0DA5" w:rsidRPr="00586786">
        <w:rPr>
          <w:rFonts w:ascii="Arial" w:hAnsi="Arial" w:cs="Arial"/>
        </w:rPr>
        <w:t>5.1</w:t>
      </w:r>
      <w:r w:rsidR="00A72BBA" w:rsidRPr="00586786">
        <w:rPr>
          <w:rFonts w:ascii="Arial" w:hAnsi="Arial" w:cs="Arial"/>
        </w:rPr>
        <w:t>%)</w:t>
      </w:r>
      <w:r w:rsidRPr="00586786">
        <w:rPr>
          <w:rFonts w:ascii="Arial" w:hAnsi="Arial" w:cs="Arial"/>
        </w:rPr>
        <w:t xml:space="preserve"> included a patient population with </w:t>
      </w:r>
      <w:r w:rsidR="00A72BBA" w:rsidRPr="00586786">
        <w:rPr>
          <w:rFonts w:ascii="Arial" w:hAnsi="Arial" w:cs="Arial"/>
        </w:rPr>
        <w:t>AIRDs</w:t>
      </w:r>
      <w:r w:rsidRPr="00586786">
        <w:rPr>
          <w:rFonts w:ascii="Arial" w:hAnsi="Arial" w:cs="Arial"/>
        </w:rPr>
        <w:t xml:space="preserve">, </w:t>
      </w:r>
      <w:r w:rsidR="003F0DA5" w:rsidRPr="00586786">
        <w:rPr>
          <w:rFonts w:ascii="Arial" w:hAnsi="Arial" w:cs="Arial"/>
        </w:rPr>
        <w:t>2</w:t>
      </w:r>
      <w:r w:rsidR="00DA34E8" w:rsidRPr="00586786">
        <w:rPr>
          <w:rFonts w:ascii="Arial" w:hAnsi="Arial" w:cs="Arial"/>
        </w:rPr>
        <w:t>1</w:t>
      </w:r>
      <w:r w:rsidR="003F0DA5" w:rsidRPr="00586786">
        <w:rPr>
          <w:rFonts w:ascii="Arial" w:hAnsi="Arial" w:cs="Arial"/>
        </w:rPr>
        <w:t xml:space="preserve"> (3</w:t>
      </w:r>
      <w:r w:rsidR="00DA34E8" w:rsidRPr="00586786">
        <w:rPr>
          <w:rFonts w:ascii="Arial" w:hAnsi="Arial" w:cs="Arial"/>
        </w:rPr>
        <w:t>6.8</w:t>
      </w:r>
      <w:r w:rsidR="003F0DA5" w:rsidRPr="00586786">
        <w:rPr>
          <w:rFonts w:ascii="Arial" w:hAnsi="Arial" w:cs="Arial"/>
        </w:rPr>
        <w:t>%) included non-AIRD populations. One study (1.7%) included healthy volunteers</w:t>
      </w:r>
      <w:r w:rsidR="008D2471" w:rsidRPr="00586786">
        <w:rPr>
          <w:rFonts w:ascii="Arial" w:hAnsi="Arial" w:cs="Arial"/>
        </w:rPr>
        <w:t xml:space="preserve">, one (1.7%) included </w:t>
      </w:r>
      <w:r w:rsidR="001A1E6B" w:rsidRPr="00586786">
        <w:rPr>
          <w:rFonts w:ascii="Arial" w:hAnsi="Arial" w:cs="Arial"/>
        </w:rPr>
        <w:t>post-menopausal</w:t>
      </w:r>
      <w:r w:rsidR="008D2471" w:rsidRPr="00586786">
        <w:rPr>
          <w:rFonts w:ascii="Arial" w:hAnsi="Arial" w:cs="Arial"/>
        </w:rPr>
        <w:t xml:space="preserve"> women and in 14 studies (24.6%) the patient population was not restricted to a specific disease or cohort</w:t>
      </w:r>
      <w:r w:rsidR="001A1E6B" w:rsidRPr="00586786">
        <w:rPr>
          <w:rFonts w:ascii="Arial" w:hAnsi="Arial" w:cs="Arial"/>
        </w:rPr>
        <w:t xml:space="preserve"> (Table 1)</w:t>
      </w:r>
      <w:r w:rsidR="008D2471" w:rsidRPr="00586786">
        <w:rPr>
          <w:rFonts w:ascii="Arial" w:hAnsi="Arial" w:cs="Arial"/>
        </w:rPr>
        <w:t xml:space="preserve">. </w:t>
      </w:r>
      <w:r w:rsidRPr="00586786">
        <w:rPr>
          <w:rFonts w:ascii="Arial" w:hAnsi="Arial" w:cs="Arial"/>
        </w:rPr>
        <w:t xml:space="preserve">Of the </w:t>
      </w:r>
      <w:r w:rsidR="00874779" w:rsidRPr="00586786">
        <w:rPr>
          <w:rFonts w:ascii="Arial" w:hAnsi="Arial" w:cs="Arial"/>
        </w:rPr>
        <w:t>2</w:t>
      </w:r>
      <w:r w:rsidR="00DA34E8" w:rsidRPr="00586786">
        <w:rPr>
          <w:rFonts w:ascii="Arial" w:hAnsi="Arial" w:cs="Arial"/>
        </w:rPr>
        <w:t>0</w:t>
      </w:r>
      <w:r w:rsidRPr="00586786">
        <w:rPr>
          <w:rFonts w:ascii="Arial" w:hAnsi="Arial" w:cs="Arial"/>
        </w:rPr>
        <w:t xml:space="preserve"> </w:t>
      </w:r>
      <w:r w:rsidR="00DA34E8" w:rsidRPr="00586786">
        <w:rPr>
          <w:rFonts w:ascii="Arial" w:hAnsi="Arial" w:cs="Arial"/>
        </w:rPr>
        <w:t xml:space="preserve">studies </w:t>
      </w:r>
      <w:r w:rsidRPr="00586786">
        <w:rPr>
          <w:rFonts w:ascii="Arial" w:hAnsi="Arial" w:cs="Arial"/>
        </w:rPr>
        <w:t xml:space="preserve">that included </w:t>
      </w:r>
      <w:r w:rsidR="001A1E6B" w:rsidRPr="00586786">
        <w:rPr>
          <w:rFonts w:ascii="Arial" w:hAnsi="Arial" w:cs="Arial"/>
        </w:rPr>
        <w:t>patients</w:t>
      </w:r>
      <w:r w:rsidRPr="00586786">
        <w:rPr>
          <w:rFonts w:ascii="Arial" w:hAnsi="Arial" w:cs="Arial"/>
        </w:rPr>
        <w:t xml:space="preserve"> with </w:t>
      </w:r>
      <w:r w:rsidR="00A72BBA" w:rsidRPr="00586786">
        <w:rPr>
          <w:rFonts w:ascii="Arial" w:hAnsi="Arial" w:cs="Arial"/>
        </w:rPr>
        <w:t>AIRDs</w:t>
      </w:r>
      <w:r w:rsidRPr="00586786">
        <w:rPr>
          <w:rFonts w:ascii="Arial" w:hAnsi="Arial" w:cs="Arial"/>
        </w:rPr>
        <w:t xml:space="preserve">, </w:t>
      </w:r>
      <w:r w:rsidR="008D2471" w:rsidRPr="00586786">
        <w:rPr>
          <w:rFonts w:ascii="Arial" w:hAnsi="Arial" w:cs="Arial"/>
        </w:rPr>
        <w:t xml:space="preserve">three </w:t>
      </w:r>
      <w:r w:rsidRPr="00586786">
        <w:rPr>
          <w:rFonts w:ascii="Arial" w:hAnsi="Arial" w:cs="Arial"/>
        </w:rPr>
        <w:t xml:space="preserve">assessed vasculitis (including </w:t>
      </w:r>
      <w:r w:rsidR="003B6F94" w:rsidRPr="00586786">
        <w:rPr>
          <w:rFonts w:ascii="Arial" w:hAnsi="Arial" w:cs="Arial"/>
        </w:rPr>
        <w:t>ANCA-associated vasculitis</w:t>
      </w:r>
      <w:r w:rsidR="009F5A4A" w:rsidRPr="00586786">
        <w:rPr>
          <w:rFonts w:ascii="Arial" w:hAnsi="Arial" w:cs="Arial"/>
        </w:rPr>
        <w:t xml:space="preserve"> (AAV)</w:t>
      </w:r>
      <w:r w:rsidR="00280A76" w:rsidRPr="00586786">
        <w:rPr>
          <w:rFonts w:ascii="Arial" w:hAnsi="Arial" w:cs="Arial"/>
        </w:rPr>
        <w:t xml:space="preserve"> and</w:t>
      </w:r>
      <w:r w:rsidRPr="00586786">
        <w:rPr>
          <w:rFonts w:ascii="Arial" w:hAnsi="Arial" w:cs="Arial"/>
        </w:rPr>
        <w:t xml:space="preserve"> </w:t>
      </w:r>
      <w:r w:rsidR="003B6F94" w:rsidRPr="00586786">
        <w:rPr>
          <w:rFonts w:ascii="Arial" w:hAnsi="Arial" w:cs="Arial"/>
        </w:rPr>
        <w:t>giant cell arteritis</w:t>
      </w:r>
      <w:r w:rsidRPr="00586786">
        <w:rPr>
          <w:rFonts w:ascii="Arial" w:hAnsi="Arial" w:cs="Arial"/>
        </w:rPr>
        <w:t xml:space="preserve">), </w:t>
      </w:r>
      <w:r w:rsidR="008D2471" w:rsidRPr="00586786">
        <w:rPr>
          <w:rFonts w:ascii="Arial" w:hAnsi="Arial" w:cs="Arial"/>
        </w:rPr>
        <w:t xml:space="preserve">five </w:t>
      </w:r>
      <w:r w:rsidRPr="00586786">
        <w:rPr>
          <w:rFonts w:ascii="Arial" w:hAnsi="Arial" w:cs="Arial"/>
        </w:rPr>
        <w:t xml:space="preserve">included inflammatory arthritis, </w:t>
      </w:r>
      <w:r w:rsidR="008B5DD2" w:rsidRPr="00586786">
        <w:rPr>
          <w:rFonts w:ascii="Arial" w:hAnsi="Arial" w:cs="Arial"/>
        </w:rPr>
        <w:t xml:space="preserve">and </w:t>
      </w:r>
      <w:r w:rsidR="008D2471" w:rsidRPr="00586786">
        <w:rPr>
          <w:rFonts w:ascii="Arial" w:hAnsi="Arial" w:cs="Arial"/>
        </w:rPr>
        <w:t xml:space="preserve">four </w:t>
      </w:r>
      <w:r w:rsidRPr="00586786">
        <w:rPr>
          <w:rFonts w:ascii="Arial" w:hAnsi="Arial" w:cs="Arial"/>
        </w:rPr>
        <w:t>included connective tissue diseases (systemic lupus erythematosus</w:t>
      </w:r>
      <w:r w:rsidR="009F5A4A" w:rsidRPr="00586786">
        <w:rPr>
          <w:rFonts w:ascii="Arial" w:hAnsi="Arial" w:cs="Arial"/>
        </w:rPr>
        <w:t xml:space="preserve"> (SLE)</w:t>
      </w:r>
      <w:r w:rsidRPr="00586786">
        <w:rPr>
          <w:rFonts w:ascii="Arial" w:hAnsi="Arial" w:cs="Arial"/>
        </w:rPr>
        <w:t>).</w:t>
      </w:r>
      <w:r w:rsidR="00DA34E8" w:rsidRPr="00586786">
        <w:rPr>
          <w:rFonts w:ascii="Arial" w:hAnsi="Arial" w:cs="Arial"/>
        </w:rPr>
        <w:t xml:space="preserve"> </w:t>
      </w:r>
      <w:r w:rsidRPr="00586786">
        <w:rPr>
          <w:rFonts w:ascii="Arial" w:hAnsi="Arial" w:cs="Arial"/>
        </w:rPr>
        <w:t xml:space="preserve">The rheumatic condition was not specified in </w:t>
      </w:r>
      <w:r w:rsidR="008D2471" w:rsidRPr="00586786">
        <w:rPr>
          <w:rFonts w:ascii="Arial" w:hAnsi="Arial" w:cs="Arial"/>
        </w:rPr>
        <w:t xml:space="preserve">five </w:t>
      </w:r>
      <w:r w:rsidRPr="00586786">
        <w:rPr>
          <w:rFonts w:ascii="Arial" w:hAnsi="Arial" w:cs="Arial"/>
        </w:rPr>
        <w:t>studies</w:t>
      </w:r>
      <w:r w:rsidR="00874779" w:rsidRPr="00586786">
        <w:rPr>
          <w:rFonts w:ascii="Arial" w:hAnsi="Arial" w:cs="Arial"/>
        </w:rPr>
        <w:t>.</w:t>
      </w:r>
      <w:r w:rsidR="00AC710A" w:rsidRPr="00586786">
        <w:rPr>
          <w:rFonts w:ascii="Arial" w:hAnsi="Arial" w:cs="Arial"/>
        </w:rPr>
        <w:t xml:space="preserve"> </w:t>
      </w:r>
      <w:r w:rsidR="00DA34E8" w:rsidRPr="00586786">
        <w:rPr>
          <w:rFonts w:ascii="Arial" w:hAnsi="Arial" w:cs="Arial"/>
        </w:rPr>
        <w:t>Of the 21 studies that included a non-AIRD population, five assessed asthma, three assess</w:t>
      </w:r>
      <w:r w:rsidR="001A1E6B" w:rsidRPr="00586786">
        <w:rPr>
          <w:rFonts w:ascii="Arial" w:hAnsi="Arial" w:cs="Arial"/>
        </w:rPr>
        <w:t>ed</w:t>
      </w:r>
      <w:r w:rsidR="00DA34E8" w:rsidRPr="00586786">
        <w:rPr>
          <w:rFonts w:ascii="Arial" w:hAnsi="Arial" w:cs="Arial"/>
        </w:rPr>
        <w:t xml:space="preserve"> primary brain tumours, three assessed renal transplant patients, two assessed Grave’s orbitopathy, two assessed diabetes mellitus, and the remaining studies included other populations (</w:t>
      </w:r>
      <w:r w:rsidR="00DA34E8" w:rsidRPr="00586786">
        <w:rPr>
          <w:rFonts w:ascii="Arial" w:hAnsi="Arial" w:cs="Arial"/>
          <w:lang w:val="en-AU"/>
        </w:rPr>
        <w:t xml:space="preserve">chronic obstructive pulmonary disease, calcific tendinopathy, suspected secondary adrenal insufficiency, </w:t>
      </w:r>
      <w:r w:rsidR="004D2C10" w:rsidRPr="00586786">
        <w:rPr>
          <w:rFonts w:ascii="Arial" w:hAnsi="Arial" w:cs="Arial"/>
          <w:lang w:val="en-AU"/>
        </w:rPr>
        <w:t xml:space="preserve">GC </w:t>
      </w:r>
      <w:r w:rsidR="00DA34E8" w:rsidRPr="00586786">
        <w:rPr>
          <w:rFonts w:ascii="Arial" w:hAnsi="Arial" w:cs="Arial"/>
          <w:lang w:val="en-AU"/>
        </w:rPr>
        <w:t>induced osteoporosis, 21-hydroxalase deficiency, inflammatory bowel disease, metastatic prostate carcinoma, multiple sclerosis, scalp psoriasis).</w:t>
      </w:r>
      <w:r w:rsidR="00246CA8" w:rsidRPr="00586786">
        <w:rPr>
          <w:rFonts w:ascii="Arial" w:hAnsi="Arial" w:cs="Arial"/>
          <w:lang w:val="en-AU"/>
        </w:rPr>
        <w:t xml:space="preserve"> Mode of delivery of </w:t>
      </w:r>
      <w:r w:rsidR="004D2C10" w:rsidRPr="00586786">
        <w:rPr>
          <w:rFonts w:ascii="Arial" w:hAnsi="Arial" w:cs="Arial"/>
          <w:lang w:val="en-AU"/>
        </w:rPr>
        <w:t xml:space="preserve">GCs </w:t>
      </w:r>
      <w:r w:rsidR="00246CA8" w:rsidRPr="00586786">
        <w:rPr>
          <w:rFonts w:ascii="Arial" w:hAnsi="Arial" w:cs="Arial"/>
          <w:lang w:val="en-AU"/>
        </w:rPr>
        <w:t xml:space="preserve">included systemic administration (n=48), inhaled </w:t>
      </w:r>
      <w:r w:rsidR="004D2C10" w:rsidRPr="00586786">
        <w:rPr>
          <w:rFonts w:ascii="Arial" w:hAnsi="Arial" w:cs="Arial"/>
          <w:lang w:val="en-AU"/>
        </w:rPr>
        <w:t xml:space="preserve">GCs </w:t>
      </w:r>
      <w:r w:rsidR="00246CA8" w:rsidRPr="00586786">
        <w:rPr>
          <w:rFonts w:ascii="Arial" w:hAnsi="Arial" w:cs="Arial"/>
          <w:lang w:val="en-AU"/>
        </w:rPr>
        <w:t>(n=6) and intranasal (n=2).</w:t>
      </w:r>
      <w:r w:rsidR="00DA34E8" w:rsidRPr="00586786">
        <w:rPr>
          <w:rFonts w:ascii="Arial" w:hAnsi="Arial" w:cs="Arial"/>
          <w:lang w:val="en-AU"/>
        </w:rPr>
        <w:t xml:space="preserve"> </w:t>
      </w:r>
      <w:r w:rsidR="00874779" w:rsidRPr="00586786">
        <w:rPr>
          <w:rFonts w:ascii="Arial" w:hAnsi="Arial" w:cs="Arial"/>
        </w:rPr>
        <w:t xml:space="preserve">The mode of delivery was not restricted in </w:t>
      </w:r>
      <w:r w:rsidR="008D2471" w:rsidRPr="00586786">
        <w:rPr>
          <w:rFonts w:ascii="Arial" w:hAnsi="Arial" w:cs="Arial"/>
        </w:rPr>
        <w:t xml:space="preserve">five </w:t>
      </w:r>
      <w:r w:rsidR="00874779" w:rsidRPr="00586786">
        <w:rPr>
          <w:rFonts w:ascii="Arial" w:hAnsi="Arial" w:cs="Arial"/>
        </w:rPr>
        <w:t xml:space="preserve">studies, and </w:t>
      </w:r>
      <w:r w:rsidR="008D2471" w:rsidRPr="00586786">
        <w:rPr>
          <w:rFonts w:ascii="Arial" w:hAnsi="Arial" w:cs="Arial"/>
        </w:rPr>
        <w:t xml:space="preserve">10 </w:t>
      </w:r>
      <w:r w:rsidR="00874779" w:rsidRPr="00586786">
        <w:rPr>
          <w:rFonts w:ascii="Arial" w:hAnsi="Arial" w:cs="Arial"/>
        </w:rPr>
        <w:t>studies included other delivery routes (intra</w:t>
      </w:r>
      <w:r w:rsidR="00AA03AF" w:rsidRPr="00586786">
        <w:rPr>
          <w:rFonts w:ascii="Arial" w:hAnsi="Arial" w:cs="Arial"/>
        </w:rPr>
        <w:t>-</w:t>
      </w:r>
      <w:r w:rsidR="00874779" w:rsidRPr="00586786">
        <w:rPr>
          <w:rFonts w:ascii="Arial" w:hAnsi="Arial" w:cs="Arial"/>
        </w:rPr>
        <w:t>bursal, intralesional, topical</w:t>
      </w:r>
      <w:r w:rsidR="008D2471" w:rsidRPr="00586786">
        <w:rPr>
          <w:rFonts w:ascii="Arial" w:hAnsi="Arial" w:cs="Arial"/>
        </w:rPr>
        <w:t xml:space="preserve">, ocular, </w:t>
      </w:r>
      <w:proofErr w:type="spellStart"/>
      <w:r w:rsidR="008D2471" w:rsidRPr="00586786">
        <w:rPr>
          <w:rFonts w:ascii="Arial" w:hAnsi="Arial" w:cs="Arial"/>
        </w:rPr>
        <w:t>otological</w:t>
      </w:r>
      <w:proofErr w:type="spellEnd"/>
      <w:r w:rsidR="008D2471" w:rsidRPr="00586786">
        <w:rPr>
          <w:rFonts w:ascii="Arial" w:hAnsi="Arial" w:cs="Arial"/>
        </w:rPr>
        <w:t>, intestinal, haemorrhoidal, local oral route and gynaecological</w:t>
      </w:r>
      <w:r w:rsidR="00963E71" w:rsidRPr="00586786">
        <w:rPr>
          <w:rFonts w:ascii="Arial" w:hAnsi="Arial" w:cs="Arial"/>
        </w:rPr>
        <w:t xml:space="preserve">). </w:t>
      </w:r>
      <w:r w:rsidR="008D2471" w:rsidRPr="00586786">
        <w:rPr>
          <w:rFonts w:ascii="Arial" w:hAnsi="Arial" w:cs="Arial"/>
        </w:rPr>
        <w:t xml:space="preserve">Six </w:t>
      </w:r>
      <w:r w:rsidR="00963E71" w:rsidRPr="00586786">
        <w:rPr>
          <w:rFonts w:ascii="Arial" w:hAnsi="Arial" w:cs="Arial"/>
        </w:rPr>
        <w:t xml:space="preserve">of the included studies assessed multiple modes of delivery. </w:t>
      </w:r>
    </w:p>
    <w:p w14:paraId="396C6170" w14:textId="77777777" w:rsidR="001B2800" w:rsidRPr="00586786" w:rsidRDefault="001B2800" w:rsidP="00586786">
      <w:pPr>
        <w:spacing w:line="360" w:lineRule="auto"/>
        <w:rPr>
          <w:rFonts w:ascii="Arial" w:hAnsi="Arial" w:cs="Arial"/>
        </w:rPr>
      </w:pPr>
    </w:p>
    <w:p w14:paraId="2E00FB39" w14:textId="068CD916" w:rsidR="00D57022" w:rsidRPr="00586786" w:rsidRDefault="00E0194E" w:rsidP="00586786">
      <w:pPr>
        <w:spacing w:line="360" w:lineRule="auto"/>
        <w:rPr>
          <w:rFonts w:ascii="Arial" w:hAnsi="Arial" w:cs="Arial"/>
          <w:i/>
          <w:iCs/>
        </w:rPr>
      </w:pPr>
      <w:r w:rsidRPr="00586786">
        <w:rPr>
          <w:rFonts w:ascii="Arial" w:hAnsi="Arial" w:cs="Arial"/>
          <w:i/>
          <w:iCs/>
        </w:rPr>
        <w:t xml:space="preserve">3.5 </w:t>
      </w:r>
      <w:r w:rsidR="00D57022" w:rsidRPr="00586786">
        <w:rPr>
          <w:rFonts w:ascii="Arial" w:hAnsi="Arial" w:cs="Arial"/>
          <w:i/>
          <w:iCs/>
        </w:rPr>
        <w:t xml:space="preserve">OMERACT </w:t>
      </w:r>
      <w:r w:rsidR="004D2C10" w:rsidRPr="00586786">
        <w:rPr>
          <w:rFonts w:ascii="Arial" w:hAnsi="Arial" w:cs="Arial"/>
          <w:i/>
          <w:iCs/>
        </w:rPr>
        <w:t xml:space="preserve">GC </w:t>
      </w:r>
      <w:r w:rsidR="00456EDA" w:rsidRPr="00586786">
        <w:rPr>
          <w:rFonts w:ascii="Arial" w:hAnsi="Arial" w:cs="Arial"/>
          <w:i/>
          <w:iCs/>
        </w:rPr>
        <w:t xml:space="preserve">impact </w:t>
      </w:r>
      <w:r w:rsidR="00D57022" w:rsidRPr="00586786">
        <w:rPr>
          <w:rFonts w:ascii="Arial" w:hAnsi="Arial" w:cs="Arial"/>
          <w:i/>
          <w:iCs/>
        </w:rPr>
        <w:t>domains assessed by stud</w:t>
      </w:r>
      <w:r w:rsidR="00456EDA" w:rsidRPr="00586786">
        <w:rPr>
          <w:rFonts w:ascii="Arial" w:hAnsi="Arial" w:cs="Arial"/>
          <w:i/>
          <w:iCs/>
        </w:rPr>
        <w:t>ies</w:t>
      </w:r>
    </w:p>
    <w:p w14:paraId="4F1DA3E2" w14:textId="65CEACE6" w:rsidR="00831721" w:rsidRPr="00586786" w:rsidRDefault="00D0030C" w:rsidP="00586786">
      <w:pPr>
        <w:spacing w:line="360" w:lineRule="auto"/>
        <w:rPr>
          <w:rFonts w:ascii="Arial" w:hAnsi="Arial" w:cs="Arial"/>
        </w:rPr>
      </w:pPr>
      <w:proofErr w:type="spellStart"/>
      <w:r w:rsidRPr="00586786">
        <w:rPr>
          <w:rFonts w:ascii="Arial" w:hAnsi="Arial" w:cs="Arial"/>
        </w:rPr>
        <w:t>ClinROs</w:t>
      </w:r>
      <w:proofErr w:type="spellEnd"/>
      <w:r w:rsidRPr="00586786">
        <w:rPr>
          <w:rFonts w:ascii="Arial" w:hAnsi="Arial" w:cs="Arial"/>
        </w:rPr>
        <w:t xml:space="preserve"> </w:t>
      </w:r>
      <w:r w:rsidR="0059539E" w:rsidRPr="00586786">
        <w:rPr>
          <w:rFonts w:ascii="Arial" w:hAnsi="Arial" w:cs="Arial"/>
        </w:rPr>
        <w:t xml:space="preserve">reported by the included studies relevant to the core and non-core domain set are </w:t>
      </w:r>
      <w:r w:rsidR="00A20A28" w:rsidRPr="00586786">
        <w:rPr>
          <w:rFonts w:ascii="Arial" w:hAnsi="Arial" w:cs="Arial"/>
        </w:rPr>
        <w:t>detailed</w:t>
      </w:r>
      <w:r w:rsidR="0059539E" w:rsidRPr="00586786">
        <w:rPr>
          <w:rFonts w:ascii="Arial" w:hAnsi="Arial" w:cs="Arial"/>
        </w:rPr>
        <w:t xml:space="preserve"> in Table 2 </w:t>
      </w:r>
      <w:r w:rsidRPr="00586786">
        <w:rPr>
          <w:rFonts w:ascii="Arial" w:hAnsi="Arial" w:cs="Arial"/>
        </w:rPr>
        <w:t>(infection n=10, bone fragility n=31, hypertension n=17, hyperglycaemia n=18, weight n=17, fatigue n=0, mood disturbance n=14, death n=1, osteonecrosis n=10, eye problems n=10, sleep disturbance n=2, appearance n=1). Supplementary table 1 details the domains assessed by each study in further detail.</w:t>
      </w:r>
      <w:r w:rsidR="00246CA8" w:rsidRPr="00586786">
        <w:rPr>
          <w:rFonts w:ascii="Arial" w:hAnsi="Arial" w:cs="Arial"/>
        </w:rPr>
        <w:t xml:space="preserve">  </w:t>
      </w:r>
      <w:r w:rsidR="00831721" w:rsidRPr="00586786">
        <w:rPr>
          <w:rFonts w:ascii="Arial" w:hAnsi="Arial" w:cs="Arial"/>
        </w:rPr>
        <w:lastRenderedPageBreak/>
        <w:t xml:space="preserve">From the </w:t>
      </w:r>
      <w:r w:rsidR="00DA34E8" w:rsidRPr="00586786">
        <w:rPr>
          <w:rFonts w:ascii="Arial" w:hAnsi="Arial" w:cs="Arial"/>
        </w:rPr>
        <w:t>57</w:t>
      </w:r>
      <w:r w:rsidR="001D5A43" w:rsidRPr="00586786">
        <w:rPr>
          <w:rFonts w:ascii="Arial" w:hAnsi="Arial" w:cs="Arial"/>
        </w:rPr>
        <w:t xml:space="preserve"> studies including </w:t>
      </w:r>
      <w:proofErr w:type="spellStart"/>
      <w:r w:rsidR="001D5A43" w:rsidRPr="00586786">
        <w:rPr>
          <w:rFonts w:ascii="Arial" w:hAnsi="Arial" w:cs="Arial"/>
        </w:rPr>
        <w:t>ClinROs</w:t>
      </w:r>
      <w:proofErr w:type="spellEnd"/>
      <w:r w:rsidR="001D5A43" w:rsidRPr="00586786">
        <w:rPr>
          <w:rFonts w:ascii="Arial" w:hAnsi="Arial" w:cs="Arial"/>
        </w:rPr>
        <w:t xml:space="preserve">, </w:t>
      </w:r>
      <w:r w:rsidR="0077015F" w:rsidRPr="00586786">
        <w:rPr>
          <w:rFonts w:ascii="Arial" w:hAnsi="Arial" w:cs="Arial"/>
        </w:rPr>
        <w:t>31</w:t>
      </w:r>
      <w:r w:rsidR="001D5A43" w:rsidRPr="00586786">
        <w:rPr>
          <w:rFonts w:ascii="Arial" w:hAnsi="Arial" w:cs="Arial"/>
        </w:rPr>
        <w:t xml:space="preserve"> measurement tools were identified</w:t>
      </w:r>
      <w:r w:rsidR="00E5518A" w:rsidRPr="00586786">
        <w:rPr>
          <w:rFonts w:ascii="Arial" w:hAnsi="Arial" w:cs="Arial"/>
        </w:rPr>
        <w:t xml:space="preserve"> (individual and grouped tools)</w:t>
      </w:r>
      <w:r w:rsidR="001D5A43" w:rsidRPr="00586786">
        <w:rPr>
          <w:rFonts w:ascii="Arial" w:hAnsi="Arial" w:cs="Arial"/>
        </w:rPr>
        <w:t xml:space="preserve">. </w:t>
      </w:r>
    </w:p>
    <w:p w14:paraId="2129990D" w14:textId="77777777" w:rsidR="00827E45" w:rsidRPr="00586786" w:rsidRDefault="00827E45" w:rsidP="00586786">
      <w:pPr>
        <w:spacing w:line="360" w:lineRule="auto"/>
        <w:rPr>
          <w:rFonts w:ascii="Arial" w:hAnsi="Arial" w:cs="Arial"/>
          <w:b/>
          <w:bCs/>
        </w:rPr>
      </w:pPr>
    </w:p>
    <w:p w14:paraId="3EC63726" w14:textId="32F022CA" w:rsidR="00D57022" w:rsidRPr="00586786" w:rsidRDefault="00E0194E" w:rsidP="00586786">
      <w:pPr>
        <w:spacing w:line="360" w:lineRule="auto"/>
        <w:rPr>
          <w:rFonts w:ascii="Arial" w:hAnsi="Arial" w:cs="Arial"/>
        </w:rPr>
      </w:pPr>
      <w:r w:rsidRPr="00586786">
        <w:rPr>
          <w:rFonts w:ascii="Arial" w:hAnsi="Arial" w:cs="Arial"/>
          <w:i/>
          <w:iCs/>
        </w:rPr>
        <w:t>3.</w:t>
      </w:r>
      <w:r w:rsidR="00246CA8" w:rsidRPr="00586786">
        <w:rPr>
          <w:rFonts w:ascii="Arial" w:hAnsi="Arial" w:cs="Arial"/>
          <w:i/>
          <w:iCs/>
        </w:rPr>
        <w:t>6</w:t>
      </w:r>
      <w:r w:rsidRPr="00586786">
        <w:rPr>
          <w:rFonts w:ascii="Arial" w:hAnsi="Arial" w:cs="Arial"/>
          <w:i/>
          <w:iCs/>
        </w:rPr>
        <w:t xml:space="preserve"> </w:t>
      </w:r>
      <w:r w:rsidR="005D39C8" w:rsidRPr="00586786">
        <w:rPr>
          <w:rFonts w:ascii="Arial" w:hAnsi="Arial" w:cs="Arial"/>
          <w:i/>
          <w:iCs/>
        </w:rPr>
        <w:t xml:space="preserve">Clinician reported </w:t>
      </w:r>
      <w:r w:rsidR="00252F38" w:rsidRPr="00586786">
        <w:rPr>
          <w:rFonts w:ascii="Arial" w:hAnsi="Arial" w:cs="Arial"/>
          <w:i/>
          <w:iCs/>
        </w:rPr>
        <w:t>candidate instruments</w:t>
      </w:r>
      <w:r w:rsidR="00D57022" w:rsidRPr="00586786">
        <w:rPr>
          <w:rFonts w:ascii="Arial" w:hAnsi="Arial" w:cs="Arial"/>
          <w:i/>
          <w:iCs/>
        </w:rPr>
        <w:t xml:space="preserve"> by </w:t>
      </w:r>
      <w:r w:rsidR="00AD4562" w:rsidRPr="00586786">
        <w:rPr>
          <w:rFonts w:ascii="Arial" w:hAnsi="Arial" w:cs="Arial"/>
          <w:i/>
          <w:iCs/>
        </w:rPr>
        <w:t xml:space="preserve">core </w:t>
      </w:r>
      <w:r w:rsidR="00D57022" w:rsidRPr="00586786">
        <w:rPr>
          <w:rFonts w:ascii="Arial" w:hAnsi="Arial" w:cs="Arial"/>
          <w:i/>
          <w:iCs/>
        </w:rPr>
        <w:t>domain</w:t>
      </w:r>
    </w:p>
    <w:p w14:paraId="1E913A4F" w14:textId="41738031" w:rsidR="00AD4562" w:rsidRPr="00586786" w:rsidRDefault="00E0194E" w:rsidP="00586786">
      <w:pPr>
        <w:spacing w:line="360" w:lineRule="auto"/>
        <w:rPr>
          <w:rFonts w:ascii="Arial" w:hAnsi="Arial" w:cs="Arial"/>
        </w:rPr>
      </w:pPr>
      <w:r w:rsidRPr="00586786">
        <w:rPr>
          <w:rFonts w:ascii="Arial" w:hAnsi="Arial" w:cs="Arial"/>
          <w:i/>
          <w:iCs/>
        </w:rPr>
        <w:t>3.</w:t>
      </w:r>
      <w:r w:rsidR="00246CA8" w:rsidRPr="00586786">
        <w:rPr>
          <w:rFonts w:ascii="Arial" w:hAnsi="Arial" w:cs="Arial"/>
          <w:i/>
          <w:iCs/>
        </w:rPr>
        <w:t>6</w:t>
      </w:r>
      <w:r w:rsidRPr="00586786">
        <w:rPr>
          <w:rFonts w:ascii="Arial" w:hAnsi="Arial" w:cs="Arial"/>
          <w:i/>
          <w:iCs/>
        </w:rPr>
        <w:t xml:space="preserve">.1 </w:t>
      </w:r>
      <w:r w:rsidR="00AD4562" w:rsidRPr="00586786">
        <w:rPr>
          <w:rFonts w:ascii="Arial" w:hAnsi="Arial" w:cs="Arial"/>
          <w:i/>
          <w:iCs/>
        </w:rPr>
        <w:t>Infection</w:t>
      </w:r>
    </w:p>
    <w:p w14:paraId="3F7B14FE" w14:textId="12F6D71D" w:rsidR="00AD4562" w:rsidRPr="00586786" w:rsidRDefault="00A20A28" w:rsidP="00586786">
      <w:pPr>
        <w:spacing w:line="360" w:lineRule="auto"/>
        <w:rPr>
          <w:rFonts w:ascii="Arial" w:hAnsi="Arial" w:cs="Arial"/>
        </w:rPr>
      </w:pPr>
      <w:r w:rsidRPr="00586786">
        <w:rPr>
          <w:rFonts w:ascii="Arial" w:hAnsi="Arial" w:cs="Arial"/>
        </w:rPr>
        <w:t>From 10 studies, t</w:t>
      </w:r>
      <w:r w:rsidR="00880B83" w:rsidRPr="00586786">
        <w:rPr>
          <w:rFonts w:ascii="Arial" w:hAnsi="Arial" w:cs="Arial"/>
        </w:rPr>
        <w:t>wo candidate instruments</w:t>
      </w:r>
      <w:r w:rsidRPr="00586786">
        <w:rPr>
          <w:rFonts w:ascii="Arial" w:hAnsi="Arial" w:cs="Arial"/>
        </w:rPr>
        <w:t xml:space="preserve"> (Glucocorticoid Toxicity Index (GTI) and Common Terminology Criteria for Adverse Events (CTCAE)) </w:t>
      </w:r>
      <w:r w:rsidR="00880B83" w:rsidRPr="00586786">
        <w:rPr>
          <w:rFonts w:ascii="Arial" w:hAnsi="Arial" w:cs="Arial"/>
        </w:rPr>
        <w:t>were identified to assess the domain of infection</w:t>
      </w:r>
      <w:r w:rsidRPr="00586786">
        <w:rPr>
          <w:rFonts w:ascii="Arial" w:hAnsi="Arial" w:cs="Arial"/>
        </w:rPr>
        <w:t xml:space="preserve"> (</w:t>
      </w:r>
      <w:r w:rsidR="00A72BBA" w:rsidRPr="00586786">
        <w:rPr>
          <w:rFonts w:ascii="Arial" w:hAnsi="Arial" w:cs="Arial"/>
        </w:rPr>
        <w:t>T</w:t>
      </w:r>
      <w:r w:rsidR="00880B83" w:rsidRPr="00586786">
        <w:rPr>
          <w:rFonts w:ascii="Arial" w:hAnsi="Arial" w:cs="Arial"/>
        </w:rPr>
        <w:t>able 3</w:t>
      </w:r>
      <w:r w:rsidRPr="00586786">
        <w:rPr>
          <w:rFonts w:ascii="Arial" w:hAnsi="Arial" w:cs="Arial"/>
        </w:rPr>
        <w:t>)</w:t>
      </w:r>
      <w:r w:rsidR="00880B83" w:rsidRPr="00586786">
        <w:rPr>
          <w:rFonts w:ascii="Arial" w:hAnsi="Arial" w:cs="Arial"/>
        </w:rPr>
        <w:t xml:space="preserve">. The GTI was included in </w:t>
      </w:r>
      <w:r w:rsidR="00A72BBA" w:rsidRPr="00586786">
        <w:rPr>
          <w:rFonts w:ascii="Arial" w:hAnsi="Arial" w:cs="Arial"/>
        </w:rPr>
        <w:t>nine</w:t>
      </w:r>
      <w:r w:rsidR="00880B83" w:rsidRPr="00586786">
        <w:rPr>
          <w:rFonts w:ascii="Arial" w:hAnsi="Arial" w:cs="Arial"/>
        </w:rPr>
        <w:t xml:space="preserve"> papers with infection </w:t>
      </w:r>
      <w:r w:rsidR="00910CEF" w:rsidRPr="00586786">
        <w:rPr>
          <w:rFonts w:ascii="Arial" w:hAnsi="Arial" w:cs="Arial"/>
        </w:rPr>
        <w:t>graded based on severity and treatment</w:t>
      </w:r>
      <w:r w:rsidR="00DF4501" w:rsidRPr="00586786">
        <w:rPr>
          <w:rFonts w:ascii="Arial" w:hAnsi="Arial" w:cs="Arial"/>
        </w:rPr>
        <w:t>(s)</w:t>
      </w:r>
      <w:r w:rsidR="00910CEF" w:rsidRPr="00586786">
        <w:rPr>
          <w:rFonts w:ascii="Arial" w:hAnsi="Arial" w:cs="Arial"/>
        </w:rPr>
        <w:t xml:space="preserve"> required </w:t>
      </w:r>
      <w:r w:rsidR="00880B83" w:rsidRPr="00586786">
        <w:rPr>
          <w:rFonts w:ascii="Arial" w:hAnsi="Arial" w:cs="Arial"/>
        </w:rPr>
        <w:fldChar w:fldCharType="begin"/>
      </w:r>
      <w:r w:rsidR="00386695" w:rsidRPr="00586786">
        <w:rPr>
          <w:rFonts w:ascii="Arial" w:hAnsi="Arial" w:cs="Arial"/>
        </w:rPr>
        <w:instrText xml:space="preserve"> ADDIN ZOTERO_ITEM CSL_CITATION {"citationID":"pxfAC62x","properties":{"formattedCitation":"(10,14,21,24,25,28,30,32,33)","plainCitation":"(10,14,21,24,25,28,30,32,33)","noteIndex":0},"citationItems":[{"id":3829,"uris":["http://zotero.org/users/13605431/items/MXWPBSJM"],"itemData":{"id":3829,"type":"article-journal","abstract":"Objectives To develop a Glucocorticoid Toxicity Index (GTI) to assess glucocorticoid (GC)-related morbidity and GC-sparing ability of other therapies.\nMethods Nineteen experts on GC use and outcome measures from 11 subspecialties participated. Ten experts were from the USA; nine from Canada, Europe or Australia. Group consensus methods and multicriteria decision analysis (MCDA) were used. A Composite GTI and Speciﬁc List comprise the overall GTI. The Composite GTI reﬂects toxicity likely to change during a clinical trial. The Composite GTI toxicities occur commonly, vary with GC exposure, and are weighted and scored. Relative weights for items in the Composite GTI were derived by group consensus and MCDA. The Speciﬁc List is designed to capture GC toxicity not included in the Composite GTI. The Composite GTI was evaluated by application to paper cases by the investigators and an external group of 17 subspecialists.\nResults Thirty-one toxicity items were included in the Composite GTI and 23 in the Speciﬁc List. Composite GTI evaluation showed high inter-rater agreement (investigators κ 0.88, external raters κ 0.90). To assess the degree to which the Composite GTI corresponds to expert clinical judgement, participants ranked 15 cases by clinical judgement in order of highest to lowest GC toxicity. Expert rankings were then compared with case ranking by the Composite GTI, yielding excellent agreement (investigators weighted κ 0.87, external raters weighted κ 0.77).\nConclusions We describe the development and initial evaluation of a comprehensive instrument for the assessment of GC toxicity.","container-title":"Annals of the Rheumatic Diseases","DOI":"10.1136/annrheumdis-2016-210002","ISSN":"0003-4967, 1468-2060","issue":"3","journalAbbreviation":"Ann Rheum Dis","language":"en","page":"543-546","source":"DOI.org (Crossref)","title":"Development of a Glucocorticoid Toxicity Index (GTI) using multicriteria decision analysis","volume":"76","author":[{"family":"Miloslavsky","given":"Eli M"},{"family":"Naden","given":"Ray P"},{"family":"Bijlsma","given":"Johannes W J"},{"family":"Brogan","given":"Paul A"},{"family":"Brown","given":"E Sherwood"},{"family":"Brunetta","given":"Paul"},{"family":"Buttgereit","given":"Frank"},{"family":"Choi","given":"Hyon K"},{"family":"DiCaire","given":"Jean-Francois"},{"family":"Gelfand","given":"Jeffrey M"},{"family":"Heaney","given":"Liam G"},{"family":"Lightstone","given":"Liz"},{"family":"Lu","given":"Na"},{"family":"Murrell","given":"Dedee F"},{"family":"Petri","given":"Michelle"},{"family":"Rosenbaum","given":"James T"},{"family":"Saag","given":"Kenneth S"},{"family":"Urowitz","given":"Murray B"},{"family":"Winthrop","given":"Kevin L"},{"family":"Stone","given":"John H"}],"issued":{"date-parts":[["2017",3]]}}},{"id":4278,"uris":["http://zotero.org/users/13605431/items/6IN5QNZX"],"itemData":{"id":4278,"type":"article-journal","abstract":"Objective: The glucocorticoid toxicity index (GTI) is developed to measure glucocorticoid (GC)-related morbidity over time. This study aimed to assess GC-toxicity in patients at a rheumatology outpatient clinic by using the GTI and to identify the factors that interfere with the GTI.\nMethods: This prospective study included patients with inflammatory arthritis (IA), connective tissue disease and vasculitis who were newly pre­ scribed GC-treatment (GC-naive) or have been still on GC-treatment for ≤2 years (GC-experienced). Patient demographics and disease characteristics, aggregate improvement score (GTI-AIS), cumulative worsening score (GTI-CWS) and cumulative GC-doses were recorded at baseline, 3rd month and 6th month. Generalized estimating equations (GEE) were used to evaluate the GTI scores and associated factors including cumulative GC-doses.\nResults: The study included 156 (48.7% GC-naive) patients with a mean age of 49.1 ± 17.1 years. More than half of the patients in both groups had a diagnosis of vasculitis. A higher cumulative GC-dose was found to be associated with higher GTI-scores in both groups (P &lt; 0.001). In the GC-naive group, patients with vasculitis showed higher GTI-scores than IA patients (P &lt; 0.001); there was also a significant increase in the GTICWS at the 6th month compared with the 3rd month. In the GC-experienced group, GTI-AIS and GTI-CWS were significantly different at 3rd and 6th month (P &lt; 0.05).\nConclusion: It was shown that GTI scores were associated with cumulative GC-doses and vasculitis patients in the GC-naive patients had higher GTI scores than inflammatory arthritis. The GTI allows individualized assessment and management of adverse effects experienced by patients as a result of GC treatment.","container-title":"Rheumatology","DOI":"10.1093/rheumatology/keae288","ISSN":"1462-0324, 1462-0332","language":"en","license":"https://creativecommons.org/licenses/by-nc/4.0/","page":"1-9","source":"DOI.org (Crossref)","title":"Prospective assessment of glucocorticoid toxicity in rheumatology practice: a focus on the glucocorticoid toxicity index","title-short":"Prospective assessment of glucocorticoid toxicity in rheumatology practice","volume":"00","author":[{"family":"Bahap-Kara","given":"Melda"},{"family":"Sariyildiz","given":"Emine"},{"family":"Zengin","given":"Hatice Yagmur"},{"family":"Karadag","given":"Omer"},{"family":"Bayraktar-Ekincioglu","given":"Aygin"}],"issued":{"date-parts":[["2024",5,23]]}}},{"id":4248,"uris":["http://zotero.org/users/13605431/items/D7I46I5P"],"itemData":{"id":4248,"type":"article-journal","abstract":"Objective: Lupus nephritis (LN) is often treated with high doses of glucocorticoids (GCs). The glucocorticoid toxicity index (GTI) was developed by expert consensus to quantify GC toxicity. To date, the GTI has not been shown to correlate with GC exposure in patients with LN.\nMethods: We performed a retrospective cohort study of patients with biopsy-conﬁrmed LN between 2006 and 2016. Cumulative GC exposure and GTI scores were determined via medical record review. Both the aggregate improvement score (GTI-AIS) and the cumulative worsening score (GTI-CWS) were calculated. We performed linear regression to determine the association between GC exposure and GTI scores at 1 year and 5 years following kidney biopsy.\nResults: This study included 49 patients with a mean age of 33.3 (SD 9.5) years. Mean GC exposure was 23.0 mg prednisone-equivalents per day through year 1 and 9.9 mg prednisone-equivalents per day through year 5. At 5 years, higher GC exposure was associated with higher GTI-AIS (p &lt; 0.001) and GTI-CWS (p = 0.002), and this association persisted in multivariate analysis adjusting for age, sex, race, induction medication, and nephritis class (p = 0.026 for AIS, p = 0.012 for CWS). At 1 year, GC exposure was not associated with GTI scores (p = 0.70 for AIS; p = 0.58 for CWS).\nConclusion: In this cohort study, the GTI was associated with cumulative steroid exposure at 5 years after diagnosis. In patients with LN, the GTI may serve as a useful outcome measure in future LN trials evaluating the steroid sparing effect of novel therapies.","container-title":"Lupus","DOI":"10.1177/09612033231160969","ISSN":"0961-2033, 1477-0962","issue":"4","journalAbbreviation":"Lupus","language":"en","page":"565-570","source":"DOI.org (Crossref)","title":"Estimating glucocorticoid-related morbidity in lupus nephritis using the glucocorticoid toxicity index","volume":"32","author":[{"family":"Usiskin","given":"Ilana M"},{"family":"Kyttaris","given":"Vasileios C"}],"issued":{"date-parts":[["2023",4]]}}},{"id":4288,"uris":["http://zotero.org/users/13605431/items/ZD43GZVK"],"itemData":{"id":4288,"type":"article-journal","abstract":"Glucocorticoids (GCs) have been the cornerstone of treating dozens of inﬂammatory conditions for more than seven decades. GC toxicity is ubiquitous in both clinical trials and clinical practice, and toxicities associated with GC use are central to the experience of most patients being treated for immune-mediated conditions. These conditions span the full range of medical specialties, including rheumatology, nephrology, gastroenterology, neurology, pulmonology, ophthalmology, and others. One of the goals of novel therapies for inﬂammatory disease must be to diminish the effects of GC toxicity in clinically important ways, thereby differentiating these new treatments from existing approaches. Despite the importance of glucocorticoids in the treatment of inﬂammatory disease for more than 70 years, no reliable means of calculating the degree to which GC toxicity has worsened or improved over the course of treatment has been available. The Glucocorticoid Toxicity Index (GTI), developed by an international group of subspecialty physician experts as a clinician-facing clinical trials outcome measure, is a standardized, validated measure of the phenomenon known as GC toxicity. The purpose of the instrument is to measure change in GC toxicity between two points in time: for example, between the baseline visit and the time of the primary efﬁcacy outcome assessment. The instrument is designed to quantify both worsening and improvement in GC toxicity. The GTI has been validated in both real-world experiences and clinical trials, including a phase 3, label-enabling trial in ANCA associated vasculitis. This article reviews the history and rationale for the development of the GTI, describes key data from validation studies, considers the minimum clinically important difference, and provides instructions for use of the instrument.","container-title":"Seminars in Arthritis and Rheumatism","DOI":"10.1016/j.semarthrit.2022.152010","ISSN":"00490172","journalAbbreviation":"Seminars in Arthritis and Rheumatism","language":"en","page":"152010","source":"DOI.org (Crossref)","title":"The glucocorticoid toxicity index: Measuring change in glucocorticoid toxicity over time","title-short":"The glucocorticoid toxicity index","volume":"55","author":[{"family":"Stone","given":"John H."},{"family":"McDowell","given":"P. Jane"},{"family":"Jayne","given":"David R.W."},{"family":"Merkel","given":"Peter A."},{"family":"Robson","given":"Joanna"},{"family":"Patel","given":"Naomi J."},{"family":"Zhang","given":"Yuqing"},{"family":"Yue","given":"Huibin"},{"family":"Bekker","given":"Pirow"},{"family":"Heaney","given":"Liam G."}],"issued":{"date-parts":[["2022",8]]}}},{"id":4256,"uris":["http://zotero.org/users/13605431/items/76LWVHJK"],"itemData":{"id":4256,"type":"article-journal","abstract":"Background Reduction in glucocorticoid exposure is the primary benefit of new biologic treatments in severe asthma, but there is currently no evidence that reduction in glucocorticoid exposure corresponds to a proportionate reduction in associated toxicity.\nObjectives To use the validated Glucocorticoid Toxicity Index (GTI) to assess change in glucocorticoid toxicity after 12 months treatment with mepolizumab, and compare toxicity change to glucocorticoid reduction and change in patient-reported outcome measures (PROMs).\nMethods A longitudinal, real-world prospective cohort of 101 consecutive patients with severe asthma commenced on mepolizumab in a specialist UK regional severe asthma clinic. GTI toxicity assessment, cumulative glucocorticoid exposure and PROMs were recorded on commencing mepolizumab (V1), and after 12 months treatment (V2).\nResults There was significant reduction in oral glucocorticoid exposure (V1 median 4280 mg prednisolone per year (interquartile range 3083–5475 mg) versus V2 2450 mg prednisolone per year (1243–3360 mg), p&lt;0.001). Substantial improvements in individual toxicities were observed, but did not correlate with oral glucocorticoid reduction. Mean±SD GTI aggregate improvement score (AIS) was −35.7±57.8 with a wide range in toxicity change at individual patient level (AIS range −165 to +130); 70% (71 out of 101) had a reduction in toxicity (AIS &lt;0); 3% (three out of 101) had no change (AIS=0); and 27% (27 out of 101) an increase in overall toxicity. 62% (62 out of 101) of patients met the AIS minimally clinically important difference of </w:instrText>
      </w:r>
      <w:r w:rsidR="00386695" w:rsidRPr="00586786">
        <w:rPr>
          <w:rFonts w:ascii="Cambria Math" w:hAnsi="Cambria Math" w:cs="Cambria Math"/>
        </w:rPr>
        <w:instrText>⩽</w:instrText>
      </w:r>
      <w:r w:rsidR="00386695" w:rsidRPr="00586786">
        <w:rPr>
          <w:rFonts w:ascii="Arial" w:hAnsi="Arial" w:cs="Arial"/>
        </w:rPr>
        <w:instrText>−10, but AIS did not correlate with glucocorticoid reduction or change in PROMs.\nConclusion Mepolizumab resulted in substantial oral glucocorticoid reduction, but this did not correlate with reduction in oral glucocorticoid toxicity, which varies widely at the individual patient level. Oral glucocorticoid reduction is not a comprehensive measure of response to mepolizumab.","container-title":"European Respiratory Journal","DOI":"10.1183/13993003.00160-2021","ISSN":"0903-1936, 1399-3003","issue":"1","journalAbbreviation":"Eur Respir J","language":"en","page":"2100160","source":"DOI.org (Crossref)","title":"Glucocorticoid toxicity reduction with mepolizumab using the Glucocorticoid Toxicity Index","volume":"59","author":[{"family":"McDowell","given":"P. Jane"},{"family":"Stone","given":"John H."},{"family":"Zhang","given":"Yuqing"},{"family":"Honeyford","given":"Kirsty"},{"family":"Dunn","given":"Louise"},{"family":"Logan","given":"R. Jayne"},{"family":"McGarvey","given":"Lorcan P.A."},{"family":"Butler","given":"Claire A."},{"family":"Heaney","given":"Liam G."}],"issued":{"date-parts":[["2022",1]]}}},{"id":4197,"uris":["http://zotero.org/users/13605431/items/7SSBXYTK"],"itemData":{"id":4197,"type":"article-journal","abstract":"Rituximab (RTX) combined with short-term glucocorticoids (GC) is an effective therapeutic option for pemphigus. The newly developed Glucocorticoid Toxicity Index (GTI) tool provides the possibility to measure GC toxicities over time. To compare 1-year GTI between two groups of RTX-treated and RTX-naïve patients with pemphigus. The responsiveness of the GTI was also investigated. A prospective cohort of 129 adults with newly diagnosed pemphigus was conducted. GC-related toxicities were assessed at 3-month intervals according to Composite and Specific lists of the GTI. Of the patients, 76.7% (n = 99) received RTX. Throughout the time intervals, RTX-treated patients had lower GTI compared to RTX-naïve ones (p = 0.036). The mean GTI at 1-year was 34.3 in the RTX-treated group and 50.8 in the RTX-naïve group (p = 0.04). The most commonly observed GC-related toxicity was neuropsychiatric manifestations for 34% (224 events). The relapse rate of RTX-treated patients (1%) was significantly lower than RTX-naïve patients (10%) (p = 0.037). The GTI showed no correlation with cumulative GC consumption in both groups (p &gt; 0.05, both). Patients treated with GC alone had remarkably higher GTI than patients treated with GC plus RTX. The GTI is an applicable tool to quantitatively capture GC toxicities at the patient level in pemphigus.","container-title":"Dermatologic Therapy","DOI":"10.1111/dth.15902","ISSN":"1396-0296, 1529-8019","issue":"12","journalAbbreviation":"Dermatologic Therapy","language":"en","source":"DOI.org (Crossref)","title":"Applicability of glucocorticoid toxicity index in pemphigus: Comparison between two groups of rituximab</w:instrText>
      </w:r>
      <w:r w:rsidR="00386695" w:rsidRPr="00586786">
        <w:rPr>
          <w:rFonts w:ascii="Cambria Math" w:hAnsi="Cambria Math" w:cs="Cambria Math"/>
        </w:rPr>
        <w:instrText>‐</w:instrText>
      </w:r>
      <w:r w:rsidR="00386695" w:rsidRPr="00586786">
        <w:rPr>
          <w:rFonts w:ascii="Arial" w:hAnsi="Arial" w:cs="Arial"/>
        </w:rPr>
        <w:instrText>treated and rituximab</w:instrText>
      </w:r>
      <w:r w:rsidR="00386695" w:rsidRPr="00586786">
        <w:rPr>
          <w:rFonts w:ascii="Cambria Math" w:hAnsi="Cambria Math" w:cs="Cambria Math"/>
        </w:rPr>
        <w:instrText>‐</w:instrText>
      </w:r>
      <w:r w:rsidR="00386695" w:rsidRPr="00586786">
        <w:rPr>
          <w:rFonts w:ascii="Arial" w:hAnsi="Arial" w:cs="Arial"/>
        </w:rPr>
        <w:instrText xml:space="preserve">naïve patients","title-short":"Applicability of glucocorticoid toxicity index in pemphigus","volume":"35","author":[{"family":"Mazaherpour","given":"Elham"},{"family":"Kianfar","given":"Nika"},{"family":"Dasdar","given":"Shayan"},{"family":"Sedaghat","given":"Mojtaba"},{"family":"Seyrafi","given":"Hassan"},{"family":"Balighi","given":"Kamran"},{"family":"Saberi","given":"Fatemeh"},{"family":"Nili","given":"Ali"},{"family":"Farimani","given":"Zeinab"},{"family":"Azar","given":"Pedram Molhem"},{"family":"Mahmoodi","given":"Hamidreza"},{"family":"Murrell","given":"Dedee F."},{"family":"Daneshpazhooh","given":"Maryam"}],"issued":{"date-parts":[["2022",12]]}}},{"id":4250,"uris":["http://zotero.org/users/13605431/items/8TE8S274"],"itemData":{"id":4250,"type":"article-journal","abstract":"Background: Glucocorticoids are the mainstay of treatment for autoimmune blistering diseases (AIBDs). The Glucocorticoid Toxicity Index (GTI) is a novel, outcome-based glucocorticoid-induced adverse effects monitoring instrument.\nObjective: To investigate whether the GTI score was able to accurately quantify the glucocorticoid-induced toxicity in patients with AIBDs.\nMethods: The prospective cohort study included patients with conﬁrmed diagnoses of AIBDs (group1, currently receiving glucocorticoids; and group 2, had glucocorticoids ceased earlier). Data were collected minimally at baseline (V1) and 3 months (V2). Further data from patients who were able to complete the follow-up visits at 6 months (V3) and 12 months (V4) amid the COVID-19 pandemic were also included. GTI scores were calculated after data collection.\nResults: Analysis of data from V1 and V2 found a linear correlation between GTI score and prednisone doses (P \\.05) and a significant difference in GTI scores between group1 and group 2 (P \\.05). Data from V3 and V4 suggested that GTI scores continued to rise progressively alongside increasing cumulative prednisone dose. Limitations: Small sample size, further exacerbated by the COVID-19 pandemic. Single-center study.\nConclusion: The GTI sensitively and speciﬁcally captured the changes in glucocorticoids toxicity over time among patients with AIBDs. The GTI could be a feasible tool that can be used in future clinical trials as a glucocorticoid-induced toxicity outcome measure. ( JAAD Int 2022;6:68-76.)","container-title":"JAAD International","DOI":"10.1016/j.jdin.2021.09.003","ISSN":"26663287","journalAbbreviation":"JAAD International","language":"en","page":"68-76","source":"DOI.org (Crossref)","title":"Evaluation of the toxicity of glucocorticoids in patients with autoimmune blistering disease using the Glucocorticoid Toxicity Index: A cohort study","title-short":"Evaluation of the toxicity of glucocorticoids in patients with autoimmune blistering disease using the Glucocorticoid Toxicity Index","volume":"6","author":[{"family":"Liang","given":"Yicong"},{"family":"Zeng","given":"Faith A.P."},{"family":"Sheriff","given":"Tabrez"},{"family":"Wilson","given":"Anna"},{"family":"Bilgic","given":"Asli"},{"family":"Feng","given":"Grant"},{"family":"Stone","given":"John H."},{"family":"Murrell","given":"Dedee F."}],"issued":{"date-parts":[["2022",3]]}}},{"id":4254,"uris":["http://zotero.org/users/13605431/items/NVRDHTQW"],"itemData":{"id":4254,"type":"article-journal","abstract":"Background ANCA-associated vasculitis (AAV) is an autoimmune disease. Induction remission and maintenance treatment typically includes high-dose, tapering glucocorticoids (GC), in addition to other immunosuppressive medication. The use of theGlucocorticoid Toxicity Index (GTI) provides a global, quantiﬁable assessment tool in which clinicians can assess GC-associated morbidity. Recent trials in AAV have exposed the need for systemic assessment of GC burden. In this small cohort study, we look to address these issues and the justiﬁcation of newer GC sparing agents, such as C5a inhibitors.\nMethods A retrospective cohort study of 43 patients with biopsy AAV was constructed from a single center between 2012–2016, and followed up for 48 months. The GTI table made up of adverse features was used to quantify patients’ GC toxicity. Electronic patient records were reviewed and scores calculated according to published methods. GTI scores were compared with cumulative steroid doses at separate intervals and incidences of adverse features in relation to the treatment timeline.\nResults The mean age was 65.9 (611.06) years and treatment regimens consisted of glucocorticoids alongside cyclophosphamide or rituximab. Our results showed statistical signiﬁcance in the association of cumulative GC doses and GTI scores (P50.008; 95% CI, 1.31 to 8.05). Adverse features relating to mood disturbance and GC-induced psychosis occurred early, in contrast to adrenal insufﬁciency, which typically presented later in the follow-up. Infection-related adverse events were consistent throughout.\nConclusions We demonstrated that higher cumulative doses of steroids in AAV lead to worse glucocorticoidrelated toxicity. Using the GTI creates the potential to individualize and quantify the adverse effects patients experience as a result of GC treatment and permits more patient-centered management. Although glucocorticoids remain the main adjunctive immunosuppression of AAV treatment, the narrow therapeutic window supports the need for GC-sparing treatments. KIDNEY360 2: 1002–1010, 2021. doi: https://doi.org/10.34067/KID.0000502021","container-title":"Kidney360","DOI":"10.34067/KID.0000502021","ISSN":"2641-7650","issue":"6","journalAbbreviation":"Kidney360","language":"en","page":"1002-1010","source":"DOI.org (Crossref)","title":"Glucocorticoid Therapy in ANCA Vasculitis: Using the Glucocorticoid Toxicity Index as an Outcome Measure","title-short":"Glucocorticoid Therapy in ANCA Vasculitis","volume":"2","author":[{"family":"Floyd","given":"Lauren"},{"family":"Morris","given":"Adam"},{"family":"Joshi","given":"Miland"},{"family":"Dhaygude","given":"Ajay"}],"issued":{"date-parts":[["2021",6]]}}},{"id":4279,"uris":["http://zotero.org/users/13605431/items/WI98FPDS"],"itemData":{"id":4279,"type":"article-journal","container-title":"The Journal of Allergy and Clinical Immunology: In Practice","DOI":"10.1016/j.jaip.2020.08.032","ISSN":"22132198","issue":"1","journalAbbreviation":"The Journal of Allergy and Clinical Immunology: In Practice","language":"en","page":"365-372.e5","source":"DOI.org (Crossref)","title":"Quantification of Glucocorticoid-Associated Morbidity in Severe Asthma Using the Glucocorticoid Toxicity Index","volume":"9","author":[{"family":"McDowell","given":"P. Jane"},{"family":"Stone","given":"John H."},{"family":"Zhang","given":"Yuqing"},{"family":"Honeyford","given":"Kirsty"},{"family":"Dunn","given":"Louise"},{"family":"Logan","given":"R. Jayne"},{"family":"Butler","given":"Claire A."},{"family":"McGarvey","given":"Lorcan P.A."},{"family":"Heaney","given":"Liam G."}],"issued":{"date-parts":[["2021",1]]}}}],"schema":"https://github.com/citation-style-language/schema/raw/master/csl-citation.json"} </w:instrText>
      </w:r>
      <w:r w:rsidR="00880B83" w:rsidRPr="00586786">
        <w:rPr>
          <w:rFonts w:ascii="Arial" w:hAnsi="Arial" w:cs="Arial"/>
        </w:rPr>
        <w:fldChar w:fldCharType="separate"/>
      </w:r>
      <w:r w:rsidR="00386695" w:rsidRPr="00586786">
        <w:rPr>
          <w:rFonts w:ascii="Arial" w:hAnsi="Arial" w:cs="Arial"/>
          <w:noProof/>
        </w:rPr>
        <w:t>(10,14,21,24,25,28,30,32,33)</w:t>
      </w:r>
      <w:r w:rsidR="00880B83" w:rsidRPr="00586786">
        <w:rPr>
          <w:rFonts w:ascii="Arial" w:hAnsi="Arial" w:cs="Arial"/>
        </w:rPr>
        <w:fldChar w:fldCharType="end"/>
      </w:r>
      <w:r w:rsidR="00880B83" w:rsidRPr="00586786">
        <w:rPr>
          <w:rFonts w:ascii="Arial" w:hAnsi="Arial" w:cs="Arial"/>
        </w:rPr>
        <w:t xml:space="preserve">. In the </w:t>
      </w:r>
      <w:r w:rsidR="008E32D2" w:rsidRPr="00586786">
        <w:rPr>
          <w:rFonts w:ascii="Arial" w:hAnsi="Arial" w:cs="Arial"/>
        </w:rPr>
        <w:t xml:space="preserve">tenth </w:t>
      </w:r>
      <w:r w:rsidR="00880B83" w:rsidRPr="00586786">
        <w:rPr>
          <w:rFonts w:ascii="Arial" w:hAnsi="Arial" w:cs="Arial"/>
        </w:rPr>
        <w:t>paper, the CTCAE</w:t>
      </w:r>
      <w:r w:rsidR="00910CEF" w:rsidRPr="00586786">
        <w:rPr>
          <w:rFonts w:ascii="Arial" w:hAnsi="Arial" w:cs="Arial"/>
        </w:rPr>
        <w:t xml:space="preserve"> (</w:t>
      </w:r>
      <w:r w:rsidR="00880B83" w:rsidRPr="00586786">
        <w:rPr>
          <w:rFonts w:ascii="Arial" w:hAnsi="Arial" w:cs="Arial"/>
        </w:rPr>
        <w:t xml:space="preserve">version </w:t>
      </w:r>
      <w:r w:rsidR="00910CEF" w:rsidRPr="00586786">
        <w:rPr>
          <w:rFonts w:ascii="Arial" w:hAnsi="Arial" w:cs="Arial"/>
        </w:rPr>
        <w:t>4)</w:t>
      </w:r>
      <w:r w:rsidR="00880B83" w:rsidRPr="00586786">
        <w:rPr>
          <w:rFonts w:ascii="Arial" w:hAnsi="Arial" w:cs="Arial"/>
        </w:rPr>
        <w:t xml:space="preserve"> was used to assign a clinician reported variable to an </w:t>
      </w:r>
      <w:r w:rsidR="00A72BBA" w:rsidRPr="00586786">
        <w:rPr>
          <w:rFonts w:ascii="Arial" w:hAnsi="Arial" w:cs="Arial"/>
        </w:rPr>
        <w:t>adverse effect</w:t>
      </w:r>
      <w:r w:rsidR="00880B83" w:rsidRPr="00586786">
        <w:rPr>
          <w:rFonts w:ascii="Arial" w:hAnsi="Arial" w:cs="Arial"/>
        </w:rPr>
        <w:t xml:space="preserve"> document in the patient reported questionnaire administered in the study</w:t>
      </w:r>
      <w:r w:rsidR="00910CEF" w:rsidRPr="00586786">
        <w:rPr>
          <w:rFonts w:ascii="Arial" w:hAnsi="Arial" w:cs="Arial"/>
        </w:rPr>
        <w:t>. The CTCAE similarly grades infection based on severity and treatment(s) required</w:t>
      </w:r>
      <w:r w:rsidR="00880B83" w:rsidRPr="00586786">
        <w:rPr>
          <w:rFonts w:ascii="Arial" w:hAnsi="Arial" w:cs="Arial"/>
        </w:rPr>
        <w:fldChar w:fldCharType="begin"/>
      </w:r>
      <w:r w:rsidR="00386695" w:rsidRPr="00586786">
        <w:rPr>
          <w:rFonts w:ascii="Arial" w:hAnsi="Arial" w:cs="Arial"/>
        </w:rPr>
        <w:instrText xml:space="preserve"> ADDIN ZOTERO_ITEM CSL_CITATION {"citationID":"ROyx5EAY","properties":{"formattedCitation":"(51)","plainCitation":"(51)","noteIndex":0},"citationItems":[{"id":4300,"uris":["http://zotero.org/users/13605431/items/LT4WC3V8"],"itemData":{"id":4300,"type":"article-journal","abstract":"Purpose In brain tumours, brain metastases or advanced cancer; treatment with corticosteroids, side effects can add to symptoms. These are best assessed by patients, complementing clinical assessment. We assessed the feasibility and validity of the Dexamethasone Symptom Questionnaire–Chronic (DSQChronic), patient and caregiver versions.","container-title":"Supportive Care in Cancer","DOI":"10.1007/s00520-015-2897-0","ISSN":"0941-4355, 1433-7339","issue":"3","journalAbbreviation":"Support Care Cancer","language":"en","page":"1209-1218","source":"DOI.org (Crossref)","title":"Validating self-report and proxy reports of the Dexamethasone Symptom Questionnaire -Chronic for the evaluation of longer-term corticosteroid toxicity","volume":"24","author":[{"literal":"On behalf of the Cooperative Trials Group for Neuro-Oncology (COGNO)"},{"family":"Agar","given":"Meera"},{"family":"Koh","given":"Eng-Siew"},{"family":"Gibbs","given":"Emma"},{"family":"Barnes","given":"Elizabeth H."},{"family":"Hovey","given":"Elizabeth"},{"family":"Livingstone","given":"Ann"},{"family":"Sawkins","given":"Kate"},{"family":"Chye","given":"Richard"},{"family":"Lovell","given":"Melanie R."},{"family":"Clark","given":"Katherine"},{"family":"Vardy","given":"Janette"},{"family":"King","given":"Madeleine"}],"issued":{"date-parts":[["2016",3]]}}}],"schema":"https://github.com/citation-style-language/schema/raw/master/csl-citation.json"} </w:instrText>
      </w:r>
      <w:r w:rsidR="00880B83" w:rsidRPr="00586786">
        <w:rPr>
          <w:rFonts w:ascii="Arial" w:hAnsi="Arial" w:cs="Arial"/>
        </w:rPr>
        <w:fldChar w:fldCharType="separate"/>
      </w:r>
      <w:r w:rsidR="00386695" w:rsidRPr="00586786">
        <w:rPr>
          <w:rFonts w:ascii="Arial" w:hAnsi="Arial" w:cs="Arial"/>
          <w:noProof/>
        </w:rPr>
        <w:t>(51)</w:t>
      </w:r>
      <w:r w:rsidR="00880B83" w:rsidRPr="00586786">
        <w:rPr>
          <w:rFonts w:ascii="Arial" w:hAnsi="Arial" w:cs="Arial"/>
        </w:rPr>
        <w:fldChar w:fldCharType="end"/>
      </w:r>
      <w:r w:rsidR="00880B83" w:rsidRPr="00586786">
        <w:rPr>
          <w:rFonts w:ascii="Arial" w:hAnsi="Arial" w:cs="Arial"/>
        </w:rPr>
        <w:t xml:space="preserve">. </w:t>
      </w:r>
      <w:r w:rsidR="00910CEF" w:rsidRPr="00586786">
        <w:rPr>
          <w:rFonts w:ascii="Arial" w:hAnsi="Arial" w:cs="Arial"/>
        </w:rPr>
        <w:t>Four studies included AIRD patient populations</w:t>
      </w:r>
      <w:r w:rsidR="00AD34C3" w:rsidRPr="00586786">
        <w:rPr>
          <w:rFonts w:ascii="Arial" w:hAnsi="Arial" w:cs="Arial"/>
        </w:rPr>
        <w:t>;</w:t>
      </w:r>
      <w:r w:rsidR="00910CEF" w:rsidRPr="00586786">
        <w:rPr>
          <w:rFonts w:ascii="Arial" w:hAnsi="Arial" w:cs="Arial"/>
        </w:rPr>
        <w:t xml:space="preserve"> five included non-AIRD or </w:t>
      </w:r>
      <w:r w:rsidR="00DF4501" w:rsidRPr="00586786">
        <w:rPr>
          <w:rFonts w:ascii="Arial" w:hAnsi="Arial" w:cs="Arial"/>
        </w:rPr>
        <w:t>non-restricted</w:t>
      </w:r>
      <w:r w:rsidR="00910CEF" w:rsidRPr="00586786">
        <w:rPr>
          <w:rFonts w:ascii="Arial" w:hAnsi="Arial" w:cs="Arial"/>
        </w:rPr>
        <w:t xml:space="preserve"> populations</w:t>
      </w:r>
      <w:r w:rsidR="00AD34C3" w:rsidRPr="00586786">
        <w:rPr>
          <w:rFonts w:ascii="Arial" w:hAnsi="Arial" w:cs="Arial"/>
        </w:rPr>
        <w:t>,</w:t>
      </w:r>
      <w:r w:rsidR="00910CEF" w:rsidRPr="00586786">
        <w:rPr>
          <w:rFonts w:ascii="Arial" w:hAnsi="Arial" w:cs="Arial"/>
        </w:rPr>
        <w:t xml:space="preserve"> and the patient population was not defined in one study. </w:t>
      </w:r>
      <w:r w:rsidR="00880B83" w:rsidRPr="00586786">
        <w:rPr>
          <w:rFonts w:ascii="Arial" w:hAnsi="Arial" w:cs="Arial"/>
        </w:rPr>
        <w:t>G</w:t>
      </w:r>
      <w:r w:rsidR="00280A76" w:rsidRPr="00586786">
        <w:rPr>
          <w:rFonts w:ascii="Arial" w:hAnsi="Arial" w:cs="Arial"/>
        </w:rPr>
        <w:t>Cs</w:t>
      </w:r>
      <w:r w:rsidR="00880B83" w:rsidRPr="00586786">
        <w:rPr>
          <w:rFonts w:ascii="Arial" w:hAnsi="Arial" w:cs="Arial"/>
        </w:rPr>
        <w:t xml:space="preserve"> were delivered systemically in </w:t>
      </w:r>
      <w:r w:rsidR="00A72BBA" w:rsidRPr="00586786">
        <w:rPr>
          <w:rFonts w:ascii="Arial" w:hAnsi="Arial" w:cs="Arial"/>
        </w:rPr>
        <w:t>nine</w:t>
      </w:r>
      <w:r w:rsidR="00880B83" w:rsidRPr="00586786">
        <w:rPr>
          <w:rFonts w:ascii="Arial" w:hAnsi="Arial" w:cs="Arial"/>
        </w:rPr>
        <w:t xml:space="preserve"> studies, inhaled in </w:t>
      </w:r>
      <w:r w:rsidR="00A72BBA" w:rsidRPr="00586786">
        <w:rPr>
          <w:rFonts w:ascii="Arial" w:hAnsi="Arial" w:cs="Arial"/>
        </w:rPr>
        <w:t>two</w:t>
      </w:r>
      <w:r w:rsidR="00880B83" w:rsidRPr="00586786">
        <w:rPr>
          <w:rFonts w:ascii="Arial" w:hAnsi="Arial" w:cs="Arial"/>
        </w:rPr>
        <w:t xml:space="preserve"> studies</w:t>
      </w:r>
      <w:r w:rsidR="00AD34C3" w:rsidRPr="00586786">
        <w:rPr>
          <w:rFonts w:ascii="Arial" w:hAnsi="Arial" w:cs="Arial"/>
        </w:rPr>
        <w:t>,</w:t>
      </w:r>
      <w:r w:rsidR="00880B83" w:rsidRPr="00586786">
        <w:rPr>
          <w:rFonts w:ascii="Arial" w:hAnsi="Arial" w:cs="Arial"/>
        </w:rPr>
        <w:t xml:space="preserve"> and not specified in the remaining study. One study was the development paper for the instrument included (GTI). </w:t>
      </w:r>
      <w:r w:rsidR="00D72B82" w:rsidRPr="00586786">
        <w:rPr>
          <w:rFonts w:ascii="Arial" w:hAnsi="Arial" w:cs="Arial"/>
        </w:rPr>
        <w:t xml:space="preserve">All studies measured change over time with the included instrument. </w:t>
      </w:r>
    </w:p>
    <w:p w14:paraId="7D982DF1" w14:textId="77777777" w:rsidR="00880B83" w:rsidRPr="00586786" w:rsidRDefault="00880B83" w:rsidP="00586786">
      <w:pPr>
        <w:spacing w:line="360" w:lineRule="auto"/>
        <w:rPr>
          <w:rFonts w:ascii="Arial" w:hAnsi="Arial" w:cs="Arial"/>
        </w:rPr>
      </w:pPr>
    </w:p>
    <w:p w14:paraId="7061EA1A" w14:textId="5D48DDFE" w:rsidR="0082697A" w:rsidRPr="00586786" w:rsidRDefault="00E0194E" w:rsidP="00586786">
      <w:pPr>
        <w:spacing w:line="360" w:lineRule="auto"/>
        <w:rPr>
          <w:rFonts w:ascii="Arial" w:hAnsi="Arial" w:cs="Arial"/>
        </w:rPr>
      </w:pPr>
      <w:r w:rsidRPr="00586786">
        <w:rPr>
          <w:rFonts w:ascii="Arial" w:hAnsi="Arial" w:cs="Arial"/>
          <w:i/>
          <w:iCs/>
        </w:rPr>
        <w:t>3.</w:t>
      </w:r>
      <w:r w:rsidR="00246CA8" w:rsidRPr="00586786">
        <w:rPr>
          <w:rFonts w:ascii="Arial" w:hAnsi="Arial" w:cs="Arial"/>
          <w:i/>
          <w:iCs/>
        </w:rPr>
        <w:t>6</w:t>
      </w:r>
      <w:r w:rsidRPr="00586786">
        <w:rPr>
          <w:rFonts w:ascii="Arial" w:hAnsi="Arial" w:cs="Arial"/>
          <w:i/>
          <w:iCs/>
        </w:rPr>
        <w:t xml:space="preserve">.2 </w:t>
      </w:r>
      <w:r w:rsidR="00AD4562" w:rsidRPr="00586786">
        <w:rPr>
          <w:rFonts w:ascii="Arial" w:hAnsi="Arial" w:cs="Arial"/>
          <w:i/>
          <w:iCs/>
        </w:rPr>
        <w:t xml:space="preserve">Bone </w:t>
      </w:r>
      <w:r w:rsidR="0024365F" w:rsidRPr="00586786">
        <w:rPr>
          <w:rFonts w:ascii="Arial" w:hAnsi="Arial" w:cs="Arial"/>
          <w:i/>
          <w:iCs/>
        </w:rPr>
        <w:t>fragility</w:t>
      </w:r>
    </w:p>
    <w:p w14:paraId="7CB5B593" w14:textId="6349440C" w:rsidR="00AD4562" w:rsidRPr="00586786" w:rsidRDefault="00A72BBA" w:rsidP="00586786">
      <w:pPr>
        <w:spacing w:line="360" w:lineRule="auto"/>
        <w:rPr>
          <w:rFonts w:ascii="Arial" w:hAnsi="Arial" w:cs="Arial"/>
        </w:rPr>
      </w:pPr>
      <w:r w:rsidRPr="00586786">
        <w:rPr>
          <w:rFonts w:ascii="Arial" w:hAnsi="Arial" w:cs="Arial"/>
        </w:rPr>
        <w:t xml:space="preserve">From 31 studies, </w:t>
      </w:r>
      <w:r w:rsidR="00AD4562" w:rsidRPr="00586786">
        <w:rPr>
          <w:rFonts w:ascii="Arial" w:hAnsi="Arial" w:cs="Arial"/>
        </w:rPr>
        <w:t>1</w:t>
      </w:r>
      <w:r w:rsidR="002F1508" w:rsidRPr="00586786">
        <w:rPr>
          <w:rFonts w:ascii="Arial" w:hAnsi="Arial" w:cs="Arial"/>
        </w:rPr>
        <w:t>4</w:t>
      </w:r>
      <w:r w:rsidR="00AD4562" w:rsidRPr="00586786">
        <w:rPr>
          <w:rFonts w:ascii="Arial" w:hAnsi="Arial" w:cs="Arial"/>
        </w:rPr>
        <w:t xml:space="preserve"> candidate instruments</w:t>
      </w:r>
      <w:r w:rsidR="00A33D95" w:rsidRPr="00586786">
        <w:rPr>
          <w:rFonts w:ascii="Arial" w:hAnsi="Arial" w:cs="Arial"/>
        </w:rPr>
        <w:t xml:space="preserve"> and </w:t>
      </w:r>
      <w:r w:rsidRPr="00586786">
        <w:rPr>
          <w:rFonts w:ascii="Arial" w:hAnsi="Arial" w:cs="Arial"/>
        </w:rPr>
        <w:t>one</w:t>
      </w:r>
      <w:r w:rsidR="00A33D95" w:rsidRPr="00586786">
        <w:rPr>
          <w:rFonts w:ascii="Arial" w:hAnsi="Arial" w:cs="Arial"/>
        </w:rPr>
        <w:t xml:space="preserve"> group of candidate instruments</w:t>
      </w:r>
      <w:r w:rsidR="00AD4562" w:rsidRPr="00586786">
        <w:rPr>
          <w:rFonts w:ascii="Arial" w:hAnsi="Arial" w:cs="Arial"/>
        </w:rPr>
        <w:t xml:space="preserve"> for assessment of bone </w:t>
      </w:r>
      <w:r w:rsidR="0024365F" w:rsidRPr="00586786">
        <w:rPr>
          <w:rFonts w:ascii="Arial" w:hAnsi="Arial" w:cs="Arial"/>
        </w:rPr>
        <w:t>fragility</w:t>
      </w:r>
      <w:r w:rsidR="00AD4562" w:rsidRPr="00586786">
        <w:rPr>
          <w:rFonts w:ascii="Arial" w:hAnsi="Arial" w:cs="Arial"/>
        </w:rPr>
        <w:t xml:space="preserve"> were identified</w:t>
      </w:r>
      <w:r w:rsidR="00D224F5" w:rsidRPr="00586786">
        <w:rPr>
          <w:rFonts w:ascii="Arial" w:hAnsi="Arial" w:cs="Arial"/>
        </w:rPr>
        <w:t xml:space="preserve"> (</w:t>
      </w:r>
      <w:r w:rsidRPr="00586786">
        <w:rPr>
          <w:rFonts w:ascii="Arial" w:hAnsi="Arial" w:cs="Arial"/>
        </w:rPr>
        <w:t>T</w:t>
      </w:r>
      <w:r w:rsidR="00AD4562" w:rsidRPr="00586786">
        <w:rPr>
          <w:rFonts w:ascii="Arial" w:hAnsi="Arial" w:cs="Arial"/>
        </w:rPr>
        <w:t xml:space="preserve">able </w:t>
      </w:r>
      <w:r w:rsidR="00B84A5D" w:rsidRPr="00586786">
        <w:rPr>
          <w:rFonts w:ascii="Arial" w:hAnsi="Arial" w:cs="Arial"/>
        </w:rPr>
        <w:t>4</w:t>
      </w:r>
      <w:r w:rsidR="00D224F5" w:rsidRPr="00586786">
        <w:rPr>
          <w:rFonts w:ascii="Arial" w:hAnsi="Arial" w:cs="Arial"/>
        </w:rPr>
        <w:t>)</w:t>
      </w:r>
      <w:r w:rsidR="00AD4562" w:rsidRPr="00586786">
        <w:rPr>
          <w:rFonts w:ascii="Arial" w:hAnsi="Arial" w:cs="Arial"/>
        </w:rPr>
        <w:t xml:space="preserve">. The most frequently assessed instruments were the </w:t>
      </w:r>
      <w:r w:rsidRPr="00586786">
        <w:rPr>
          <w:rFonts w:ascii="Arial" w:hAnsi="Arial" w:cs="Arial"/>
        </w:rPr>
        <w:t>GTI</w:t>
      </w:r>
      <w:r w:rsidR="00DF4501" w:rsidRPr="00586786">
        <w:rPr>
          <w:rFonts w:ascii="Arial" w:hAnsi="Arial" w:cs="Arial"/>
        </w:rPr>
        <w:t>, which uses change in BMD over time or the presence of insufficiency fracture to define bone fragility</w:t>
      </w:r>
      <w:r w:rsidR="009D59C2" w:rsidRPr="00586786">
        <w:rPr>
          <w:rFonts w:ascii="Arial" w:hAnsi="Arial" w:cs="Arial"/>
        </w:rPr>
        <w:t xml:space="preserve"> </w:t>
      </w:r>
      <w:r w:rsidR="00AD4562" w:rsidRPr="00586786">
        <w:rPr>
          <w:rFonts w:ascii="Arial" w:hAnsi="Arial" w:cs="Arial"/>
        </w:rPr>
        <w:t>(n=</w:t>
      </w:r>
      <w:r w:rsidR="00821E9A" w:rsidRPr="00586786">
        <w:rPr>
          <w:rFonts w:ascii="Arial" w:hAnsi="Arial" w:cs="Arial"/>
        </w:rPr>
        <w:t>9</w:t>
      </w:r>
      <w:r w:rsidR="00AD4562" w:rsidRPr="00586786">
        <w:rPr>
          <w:rFonts w:ascii="Arial" w:hAnsi="Arial" w:cs="Arial"/>
        </w:rPr>
        <w:t xml:space="preserve"> studies)</w:t>
      </w:r>
      <w:r w:rsidR="00477BF1" w:rsidRPr="00586786">
        <w:rPr>
          <w:rFonts w:ascii="Arial" w:hAnsi="Arial" w:cs="Arial"/>
        </w:rPr>
        <w:fldChar w:fldCharType="begin"/>
      </w:r>
      <w:r w:rsidR="00386695" w:rsidRPr="00586786">
        <w:rPr>
          <w:rFonts w:ascii="Arial" w:hAnsi="Arial" w:cs="Arial"/>
        </w:rPr>
        <w:instrText xml:space="preserve"> ADDIN ZOTERO_ITEM CSL_CITATION {"citationID":"rVeOxVsM","properties":{"formattedCitation":"(10,14,21,24,25,28,30,32,33)","plainCitation":"(10,14,21,24,25,28,30,32,33)","noteIndex":0},"citationItems":[{"id":3829,"uris":["http://zotero.org/users/13605431/items/MXWPBSJM"],"itemData":{"id":3829,"type":"article-journal","abstract":"Objectives To develop a Glucocorticoid Toxicity Index (GTI) to assess glucocorticoid (GC)-related morbidity and GC-sparing ability of other therapies.\nMethods Nineteen experts on GC use and outcome measures from 11 subspecialties participated. Ten experts were from the USA; nine from Canada, Europe or Australia. Group consensus methods and multicriteria decision analysis (MCDA) were used. A Composite GTI and Speciﬁc List comprise the overall GTI. The Composite GTI reﬂects toxicity likely to change during a clinical trial. The Composite GTI toxicities occur commonly, vary with GC exposure, and are weighted and scored. Relative weights for items in the Composite GTI were derived by group consensus and MCDA. The Speciﬁc List is designed to capture GC toxicity not included in the Composite GTI. The Composite GTI was evaluated by application to paper cases by the investigators and an external group of 17 subspecialists.\nResults Thirty-one toxicity items were included in the Composite GTI and 23 in the Speciﬁc List. Composite GTI evaluation showed high inter-rater agreement (investigators κ 0.88, external raters κ 0.90). To assess the degree to which the Composite GTI corresponds to expert clinical judgement, participants ranked 15 cases by clinical judgement in order of highest to lowest GC toxicity. Expert rankings were then compared with case ranking by the Composite GTI, yielding excellent agreement (investigators weighted κ 0.87, external raters weighted κ 0.77).\nConclusions We describe the development and initial evaluation of a comprehensive instrument for the assessment of GC toxicity.","container-title":"Annals of the Rheumatic Diseases","DOI":"10.1136/annrheumdis-2016-210002","ISSN":"0003-4967, 1468-2060","issue":"3","journalAbbreviation":"Ann Rheum Dis","language":"en","page":"543-546","source":"DOI.org (Crossref)","title":"Development of a Glucocorticoid Toxicity Index (GTI) using multicriteria decision analysis","volume":"76","author":[{"family":"Miloslavsky","given":"Eli M"},{"family":"Naden","given":"Ray P"},{"family":"Bijlsma","given":"Johannes W J"},{"family":"Brogan","given":"Paul A"},{"family":"Brown","given":"E Sherwood"},{"family":"Brunetta","given":"Paul"},{"family":"Buttgereit","given":"Frank"},{"family":"Choi","given":"Hyon K"},{"family":"DiCaire","given":"Jean-Francois"},{"family":"Gelfand","given":"Jeffrey M"},{"family":"Heaney","given":"Liam G"},{"family":"Lightstone","given":"Liz"},{"family":"Lu","given":"Na"},{"family":"Murrell","given":"Dedee F"},{"family":"Petri","given":"Michelle"},{"family":"Rosenbaum","given":"James T"},{"family":"Saag","given":"Kenneth S"},{"family":"Urowitz","given":"Murray B"},{"family":"Winthrop","given":"Kevin L"},{"family":"Stone","given":"John H"}],"issued":{"date-parts":[["2017",3]]}}},{"id":4254,"uris":["http://zotero.org/users/13605431/items/NVRDHTQW"],"itemData":{"id":4254,"type":"article-journal","abstract":"Background ANCA-associated vasculitis (AAV) is an autoimmune disease. Induction remission and maintenance treatment typically includes high-dose, tapering glucocorticoids (GC), in addition to other immunosuppressive medication. The use of theGlucocorticoid Toxicity Index (GTI) provides a global, quantiﬁable assessment tool in which clinicians can assess GC-associated morbidity. Recent trials in AAV have exposed the need for systemic assessment of GC burden. In this small cohort study, we look to address these issues and the justiﬁcation of newer GC sparing agents, such as C5a inhibitors.\nMethods A retrospective cohort study of 43 patients with biopsy AAV was constructed from a single center between 2012–2016, and followed up for 48 months. The GTI table made up of adverse features was used to quantify patients’ GC toxicity. Electronic patient records were reviewed and scores calculated according to published methods. GTI scores were compared with cumulative steroid doses at separate intervals and incidences of adverse features in relation to the treatment timeline.\nResults The mean age was 65.9 (611.06) years and treatment regimens consisted of glucocorticoids alongside cyclophosphamide or rituximab. Our results showed statistical signiﬁcance in the association of cumulative GC doses and GTI scores (P50.008; 95% CI, 1.31 to 8.05). Adverse features relating to mood disturbance and GC-induced psychosis occurred early, in contrast to adrenal insufﬁciency, which typically presented later in the follow-up. Infection-related adverse events were consistent throughout.\nConclusions We demonstrated that higher cumulative doses of steroids in AAV lead to worse glucocorticoidrelated toxicity. Using the GTI creates the potential to individualize and quantify the adverse effects patients experience as a result of GC treatment and permits more patient-centered management. Although glucocorticoids remain the main adjunctive immunosuppression of AAV treatment, the narrow therapeutic window supports the need for GC-sparing treatments. KIDNEY360 2: 1002–1010, 2021. doi: https://doi.org/10.34067/KID.0000502021","container-title":"Kidney360","DOI":"10.34067/KID.0000502021","ISSN":"2641-7650","issue":"6","journalAbbreviation":"Kidney360","language":"en","page":"1002-1010","source":"DOI.org (Crossref)","title":"Glucocorticoid Therapy in ANCA Vasculitis: Using the Glucocorticoid Toxicity Index as an Outcome Measure","title-short":"Glucocorticoid Therapy in ANCA Vasculitis","volume":"2","author":[{"family":"Floyd","given":"Lauren"},{"family":"Morris","given":"Adam"},{"family":"Joshi","given":"Miland"},{"family":"Dhaygude","given":"Ajay"}],"issued":{"date-parts":[["2021",6]]}}},{"id":4288,"uris":["http://zotero.org/users/13605431/items/ZD43GZVK"],"itemData":{"id":4288,"type":"article-journal","abstract":"Glucocorticoids (GCs) have been the cornerstone of treating dozens of inﬂammatory conditions for more than seven decades. GC toxicity is ubiquitous in both clinical trials and clinical practice, and toxicities associated with GC use are central to the experience of most patients being treated for immune-mediated conditions. These conditions span the full range of medical specialties, including rheumatology, nephrology, gastroenterology, neurology, pulmonology, ophthalmology, and others. One of the goals of novel therapies for inﬂammatory disease must be to diminish the effects of GC toxicity in clinically important ways, thereby differentiating these new treatments from existing approaches. Despite the importance of glucocorticoids in the treatment of inﬂammatory disease for more than 70 years, no reliable means of calculating the degree to which GC toxicity has worsened or improved over the course of treatment has been available. The Glucocorticoid Toxicity Index (GTI), developed by an international group of subspecialty physician experts as a clinician-facing clinical trials outcome measure, is a standardized, validated measure of the phenomenon known as GC toxicity. The purpose of the instrument is to measure change in GC toxicity between two points in time: for example, between the baseline visit and the time of the primary efﬁcacy outcome assessment. The instrument is designed to quantify both worsening and improvement in GC toxicity. The GTI has been validated in both real-world experiences and clinical trials, including a phase 3, label-enabling trial in ANCA associated vasculitis. This article reviews the history and rationale for the development of the GTI, describes key data from validation studies, considers the minimum clinically important difference, and provides instructions for use of the instrument.","container-title":"Seminars in Arthritis and Rheumatism","DOI":"10.1016/j.semarthrit.2022.152010","ISSN":"00490172","journalAbbreviation":"Seminars in Arthritis and Rheumatism","language":"en","page":"152010","source":"DOI.org (Crossref)","title":"The glucocorticoid toxicity index: Measuring change in glucocorticoid toxicity over time","title-short":"The glucocorticoid toxicity index","volume":"55","author":[{"family":"Stone","given":"John H."},{"family":"McDowell","given":"P. Jane"},{"family":"Jayne","given":"David R.W."},{"family":"Merkel","given":"Peter A."},{"family":"Robson","given":"Joanna"},{"family":"Patel","given":"Naomi J."},{"family":"Zhang","given":"Yuqing"},{"family":"Yue","given":"Huibin"},{"family":"Bekker","given":"Pirow"},{"family":"Heaney","given":"Liam G."}],"issued":{"date-parts":[["2022",8]]}}},{"id":4279,"uris":["http://zotero.org/users/13605431/items/WI98FPDS"],"itemData":{"id":4279,"type":"article-journal","container-title":"The Journal of Allergy and Clinical Immunology: In Practice","DOI":"10.1016/j.jaip.2020.08.032","ISSN":"22132198","issue":"1","journalAbbreviation":"The Journal of Allergy and Clinical Immunology: In Practice","language":"en","page":"365-372.e5","source":"DOI.org (Crossref)","title":"Quantification of Glucocorticoid-Associated Morbidity in Severe Asthma Using the Glucocorticoid Toxicity Index","volume":"9","author":[{"family":"McDowell","given":"P. Jane"},{"family":"Stone","given":"John H."},{"family":"Zhang","given":"Yuqing"},{"family":"Honeyford","given":"Kirsty"},{"family":"Dunn","given":"Louise"},{"family":"Logan","given":"R. Jayne"},{"family":"Butler","given":"Claire A."},{"family":"McGarvey","given":"Lorcan P.A."},{"family":"Heaney","given":"Liam G."}],"issued":{"date-parts":[["2021",1]]}}},{"id":4197,"uris":["http://zotero.org/users/13605431/items/7SSBXYTK"],"itemData":{"id":4197,"type":"article-journal","abstract":"Rituximab (RTX) combined with short-term glucocorticoids (GC) is an effective therapeutic option for pemphigus. The newly developed Glucocorticoid Toxicity Index (GTI) tool provides the possibility to measure GC toxicities over time. To compare 1-year GTI between two groups of RTX-treated and RTX-naïve patients with pemphigus. The responsiveness of the GTI was also investigated. A prospective cohort of 129 adults with newly diagnosed pemphigus was conducted. GC-related toxicities were assessed at 3-month intervals according to Composite and Specific lists of the GTI. Of the patients, 76.7% (n = 99) received RTX. Throughout the time intervals, RTX-treated patients had lower GTI compared to RTX-naïve ones (p = 0.036). The mean GTI at 1-year was 34.3 in the RTX-treated group and 50.8 in the RTX-naïve group (p = 0.04). The most commonly observed GC-related toxicity was neuropsychiatric manifestations for 34% (224 events). The relapse rate of RTX-treated patients (1%) was significantly lower than RTX-naïve patients (10%) (p = 0.037). The GTI showed no correlation with cumulative GC consumption in both groups (p &gt; 0.05, both). Patients treated with GC alone had remarkably higher GTI than patients treated with GC plus RTX. The GTI is an applicable tool to quantitatively capture GC toxicities at the patient level in pemphigus.","container-title":"Dermatologic Therapy","DOI":"10.1111/dth.15902","ISSN":"1396-0296, 1529-8019","issue":"12","journalAbbreviation":"Dermatologic Therapy","language":"en","source":"DOI.org (Crossref)","title":"Applicability of glucocorticoid toxicity index in pemphigus: Comparison between two groups of rituximab</w:instrText>
      </w:r>
      <w:r w:rsidR="00386695" w:rsidRPr="00586786">
        <w:rPr>
          <w:rFonts w:ascii="Cambria Math" w:hAnsi="Cambria Math" w:cs="Cambria Math"/>
        </w:rPr>
        <w:instrText>‐</w:instrText>
      </w:r>
      <w:r w:rsidR="00386695" w:rsidRPr="00586786">
        <w:rPr>
          <w:rFonts w:ascii="Arial" w:hAnsi="Arial" w:cs="Arial"/>
        </w:rPr>
        <w:instrText>treated and rituximab</w:instrText>
      </w:r>
      <w:r w:rsidR="00386695" w:rsidRPr="00586786">
        <w:rPr>
          <w:rFonts w:ascii="Cambria Math" w:hAnsi="Cambria Math" w:cs="Cambria Math"/>
        </w:rPr>
        <w:instrText>‐</w:instrText>
      </w:r>
      <w:r w:rsidR="00386695" w:rsidRPr="00586786">
        <w:rPr>
          <w:rFonts w:ascii="Arial" w:hAnsi="Arial" w:cs="Arial"/>
        </w:rPr>
        <w:instrText xml:space="preserve">naïve patients","title-short":"Applicability of glucocorticoid toxicity index in pemphigus","volume":"35","author":[{"family":"Mazaherpour","given":"Elham"},{"family":"Kianfar","given":"Nika"},{"family":"Dasdar","given":"Shayan"},{"family":"Sedaghat","given":"Mojtaba"},{"family":"Seyrafi","given":"Hassan"},{"family":"Balighi","given":"Kamran"},{"family":"Saberi","given":"Fatemeh"},{"family":"Nili","given":"Ali"},{"family":"Farimani","given":"Zeinab"},{"family":"Azar","given":"Pedram Molhem"},{"family":"Mahmoodi","given":"Hamidreza"},{"family":"Murrell","given":"Dedee F."},{"family":"Daneshpazhooh","given":"Maryam"}],"issued":{"date-parts":[["2022",12]]}}},{"id":4248,"uris":["http://zotero.org/users/13605431/items/D7I46I5P"],"itemData":{"id":4248,"type":"article-journal","abstract":"Objective: Lupus nephritis (LN) is often treated with high doses of glucocorticoids (GCs). The glucocorticoid toxicity index (GTI) was developed by expert consensus to quantify GC toxicity. To date, the GTI has not been shown to correlate with GC exposure in patients with LN.\nMethods: We performed a retrospective cohort study of patients with biopsy-conﬁrmed LN between 2006 and 2016. Cumulative GC exposure and GTI scores were determined via medical record review. Both the aggregate improvement score (GTI-AIS) and the cumulative worsening score (GTI-CWS) were calculated. We performed linear regression to determine the association between GC exposure and GTI scores at 1 year and 5 years following kidney biopsy.\nResults: This study included 49 patients with a mean age of 33.3 (SD 9.5) years. Mean GC exposure was 23.0 mg prednisone-equivalents per day through year 1 and 9.9 mg prednisone-equivalents per day through year 5. At 5 years, higher GC exposure was associated with higher GTI-AIS (p &lt; 0.001) and GTI-CWS (p = 0.002), and this association persisted in multivariate analysis adjusting for age, sex, race, induction medication, and nephritis class (p = 0.026 for AIS, p = 0.012 for CWS). At 1 year, GC exposure was not associated with GTI scores (p = 0.70 for AIS; p = 0.58 for CWS).\nConclusion: In this cohort study, the GTI was associated with cumulative steroid exposure at 5 years after diagnosis. In patients with LN, the GTI may serve as a useful outcome measure in future LN trials evaluating the steroid sparing effect of novel therapies.","container-title":"Lupus","DOI":"10.1177/09612033231160969","ISSN":"0961-2033, 1477-0962","issue":"4","journalAbbreviation":"Lupus","language":"en","page":"565-570","source":"DOI.org (Crossref)","title":"Estimating glucocorticoid-related morbidity in lupus nephritis using the glucocorticoid toxicity index","volume":"32","author":[{"family":"Usiskin","given":"Ilana M"},{"family":"Kyttaris","given":"Vasileios C"}],"issued":{"date-parts":[["2023",4]]}}},{"id":4250,"uris":["http://zotero.org/users/13605431/items/8TE8S274"],"itemData":{"id":4250,"type":"article-journal","abstract":"Background: Glucocorticoids are the mainstay of treatment for autoimmune blistering diseases (AIBDs). The Glucocorticoid Toxicity Index (GTI) is a novel, outcome-based glucocorticoid-induced adverse effects monitoring instrument.\nObjective: To investigate whether the GTI score was able to accurately quantify the glucocorticoid-induced toxicity in patients with AIBDs.\nMethods: The prospective cohort study included patients with conﬁrmed diagnoses of AIBDs (group1, currently receiving glucocorticoids; and group 2, had glucocorticoids ceased earlier). Data were collected minimally at baseline (V1) and 3 months (V2). Further data from patients who were able to complete the follow-up visits at 6 months (V3) and 12 months (V4) amid the COVID-19 pandemic were also included. GTI scores were calculated after data collection.\nResults: Analysis of data from V1 and V2 found a linear correlation between GTI score and prednisone doses (P \\.05) and a significant difference in GTI scores between group1 and group 2 (P \\.05). Data from V3 and V4 suggested that GTI scores continued to rise progressively alongside increasing cumulative prednisone dose. Limitations: Small sample size, further exacerbated by the COVID-19 pandemic. Single-center study.\nConclusion: The GTI sensitively and speciﬁcally captured the changes in glucocorticoids toxicity over time among patients with AIBDs. The GTI could be a feasible tool that can be used in future clinical trials as a glucocorticoid-induced toxicity outcome measure. ( JAAD Int 2022;6:68-76.)","container-title":"JAAD International","DOI":"10.1016/j.jdin.2021.09.003","ISSN":"26663287","journalAbbreviation":"JAAD International","language":"en","page":"68-76","source":"DOI.org (Crossref)","title":"Evaluation of the toxicity of glucocorticoids in patients with autoimmune blistering disease using the Glucocorticoid Toxicity Index: A cohort study","title-short":"Evaluation of the toxicity of glucocorticoids in patients with autoimmune blistering disease using the Glucocorticoid Toxicity Index","volume":"6","author":[{"family":"Liang","given":"Yicong"},{"family":"Zeng","given":"Faith A.P."},{"family":"Sheriff","given":"Tabrez"},{"family":"Wilson","given":"Anna"},{"family":"Bilgic","given":"Asli"},{"family":"Feng","given":"Grant"},{"family":"Stone","given":"John H."},{"family":"Murrell","given":"Dedee F."}],"issued":{"date-parts":[["2022",3]]}}},{"id":4278,"uris":["http://zotero.org/users/13605431/items/6IN5QNZX"],"itemData":{"id":4278,"type":"article-journal","abstract":"Objective: The glucocorticoid toxicity index (GTI) is developed to measure glucocorticoid (GC)-related morbidity over time. This study aimed to assess GC-toxicity in patients at a rheumatology outpatient clinic by using the GTI and to identify the factors that interfere with the GTI.\nMethods: This prospective study included patients with inflammatory arthritis (IA), connective tissue disease and vasculitis who were newly pre­ scribed GC-treatment (GC-naive) or have been still on GC-treatment for ≤2 years (GC-experienced). Patient demographics and disease characteristics, aggregate improvement score (GTI-AIS), cumulative worsening score (GTI-CWS) and cumulative GC-doses were recorded at baseline, 3rd month and 6th month. Generalized estimating equations (GEE) were used to evaluate the GTI scores and associated factors including cumulative GC-doses.\nResults: The study included 156 (48.7% GC-naive) patients with a mean age of 49.1 ± 17.1 years. More than half of the patients in both groups had a diagnosis of vasculitis. A higher cumulative GC-dose was found to be associated with higher GTI-scores in both groups (P &lt; 0.001). In the GC-naive group, patients with vasculitis showed higher GTI-scores than IA patients (P &lt; 0.001); there was also a significant increase in the GTICWS at the 6th month compared with the 3rd month. In the GC-experienced group, GTI-AIS and GTI-CWS were significantly different at 3rd and 6th month (P &lt; 0.05).\nConclusion: It was shown that GTI scores were associated with cumulative GC-doses and vasculitis patients in the GC-naive patients had higher GTI scores than inflammatory arthritis. The GTI allows individualized assessment and management of adverse effects experienced by patients as a result of GC treatment.","container-title":"Rheumatology","DOI":"10.1093/rheumatology/keae288","ISSN":"1462-0324, 1462-0332","language":"en","license":"https://creativecommons.org/licenses/by-nc/4.0/","page":"1-9","source":"DOI.org (Crossref)","title":"Prospective assessment of glucocorticoid toxicity in rheumatology practice: a focus on the glucocorticoid toxicity index","title-short":"Prospective assessment of glucocorticoid toxicity in rheumatology practice","volume":"00","author":[{"family":"Bahap-Kara","given":"Melda"},{"family":"Sariyildiz","given":"Emine"},{"family":"Zengin","given":"Hatice Yagmur"},{"family":"Karadag","given":"Omer"},{"family":"Bayraktar-Ekincioglu","given":"Aygin"}],"issued":{"date-parts":[["2024",5,23]]}}},{"id":4256,"uris":["http://zotero.org/users/13605431/items/76LWVHJK"],"itemData":{"id":4256,"type":"article-journal","abstract":"Background Reduction in glucocorticoid exposure is the primary benefit of new biologic treatments in severe asthma, but there is currently no evidence that reduction in glucocorticoid exposure corresponds to a proportionate reduction in associated toxicity.\nObjectives To use the validated Glucocorticoid Toxicity Index (GTI) to assess change in glucocorticoid toxicity after 12 months treatment with mepolizumab, and compare toxicity change to glucocorticoid reduction and change in patient-reported outcome measures (PROMs).\nMethods A longitudinal, real-world prospective cohort of 101 consecutive patients with severe asthma commenced on mepolizumab in a specialist UK regional severe asthma clinic. GTI toxicity assessment, cumulative glucocorticoid exposure and PROMs were recorded on commencing mepolizumab (V1), and after 12 months treatment (V2).\nResults There was significant reduction in oral glucocorticoid exposure (V1 median 4280 mg prednisolone per year (interquartile range 3083–5475 mg) versus V2 2450 mg prednisolone per year (1243–3360 mg), p&lt;0.001). Substantial improvements in individual toxicities were observed, but did not correlate with oral glucocorticoid reduction. Mean±SD GTI aggregate improvement score (AIS) was −35.7±57.8 with a wide range in toxicity change at individual patient level (AIS range −165 to +130); 70% (71 out of 101) had a reduction in toxicity (AIS &lt;0); 3% (three out of 101) had no change (AIS=0); and 27% (27 out of 101) an increase in overall toxicity. 62% (62 out of 101) of patients met the AIS minimally clinically important difference of </w:instrText>
      </w:r>
      <w:r w:rsidR="00386695" w:rsidRPr="00586786">
        <w:rPr>
          <w:rFonts w:ascii="Cambria Math" w:hAnsi="Cambria Math" w:cs="Cambria Math"/>
        </w:rPr>
        <w:instrText>⩽</w:instrText>
      </w:r>
      <w:r w:rsidR="00386695" w:rsidRPr="00586786">
        <w:rPr>
          <w:rFonts w:ascii="Arial" w:hAnsi="Arial" w:cs="Arial"/>
        </w:rPr>
        <w:instrText xml:space="preserve">−10, but AIS did not correlate with glucocorticoid reduction or change in PROMs.\nConclusion Mepolizumab resulted in substantial oral glucocorticoid reduction, but this did not correlate with reduction in oral glucocorticoid toxicity, which varies widely at the individual patient level. Oral glucocorticoid reduction is not a comprehensive measure of response to mepolizumab.","container-title":"European Respiratory Journal","DOI":"10.1183/13993003.00160-2021","ISSN":"0903-1936, 1399-3003","issue":"1","journalAbbreviation":"Eur Respir J","language":"en","page":"2100160","source":"DOI.org (Crossref)","title":"Glucocorticoid toxicity reduction with mepolizumab using the Glucocorticoid Toxicity Index","volume":"59","author":[{"family":"McDowell","given":"P. Jane"},{"family":"Stone","given":"John H."},{"family":"Zhang","given":"Yuqing"},{"family":"Honeyford","given":"Kirsty"},{"family":"Dunn","given":"Louise"},{"family":"Logan","given":"R. Jayne"},{"family":"McGarvey","given":"Lorcan P.A."},{"family":"Butler","given":"Claire A."},{"family":"Heaney","given":"Liam G."}],"issued":{"date-parts":[["2022",1]]}}}],"schema":"https://github.com/citation-style-language/schema/raw/master/csl-citation.json"} </w:instrText>
      </w:r>
      <w:r w:rsidR="00477BF1" w:rsidRPr="00586786">
        <w:rPr>
          <w:rFonts w:ascii="Arial" w:hAnsi="Arial" w:cs="Arial"/>
        </w:rPr>
        <w:fldChar w:fldCharType="separate"/>
      </w:r>
      <w:r w:rsidR="00386695" w:rsidRPr="00586786">
        <w:rPr>
          <w:rFonts w:ascii="Arial" w:hAnsi="Arial" w:cs="Arial"/>
          <w:kern w:val="0"/>
        </w:rPr>
        <w:t>(10,14,21,24,25,28,30,32,33)</w:t>
      </w:r>
      <w:r w:rsidR="00477BF1" w:rsidRPr="00586786">
        <w:rPr>
          <w:rFonts w:ascii="Arial" w:hAnsi="Arial" w:cs="Arial"/>
        </w:rPr>
        <w:fldChar w:fldCharType="end"/>
      </w:r>
      <w:r w:rsidR="00AD4562" w:rsidRPr="00586786">
        <w:rPr>
          <w:rFonts w:ascii="Arial" w:hAnsi="Arial" w:cs="Arial"/>
        </w:rPr>
        <w:t>, dual-energy X-ray absorptiometry (DEXA) (n=</w:t>
      </w:r>
      <w:r w:rsidRPr="00586786">
        <w:rPr>
          <w:rFonts w:ascii="Arial" w:hAnsi="Arial" w:cs="Arial"/>
        </w:rPr>
        <w:t>10</w:t>
      </w:r>
      <w:r w:rsidR="00AD4562" w:rsidRPr="00586786">
        <w:rPr>
          <w:rFonts w:ascii="Arial" w:hAnsi="Arial" w:cs="Arial"/>
        </w:rPr>
        <w:t xml:space="preserve"> studies)</w:t>
      </w:r>
      <w:r w:rsidR="00477BF1" w:rsidRPr="00586786">
        <w:rPr>
          <w:rFonts w:ascii="Arial" w:hAnsi="Arial" w:cs="Arial"/>
        </w:rPr>
        <w:fldChar w:fldCharType="begin"/>
      </w:r>
      <w:r w:rsidR="00386695" w:rsidRPr="00586786">
        <w:rPr>
          <w:rFonts w:ascii="Arial" w:hAnsi="Arial" w:cs="Arial"/>
        </w:rPr>
        <w:instrText xml:space="preserve"> ADDIN ZOTERO_ITEM CSL_CITATION {"citationID":"q29uA9aH","properties":{"formattedCitation":"(39,42,55,57,60,68,71,76,78,80)","plainCitation":"(39,42,55,57,60,68,71,76,78,80)","noteIndex":0},"citationItems":[{"id":4235,"uris":["http://zotero.org/users/13605431/items/5ADR2CS2"],"itemData":{"id":4235,"type":"article-journal","container-title":"Rev. Rhum","issue":"5","language":"en","page":"305-313","source":"Zotero","title":"Contribution of calcaneal ultrasonic assessment to the evaluation of postmenopausal and glucocorticoid-induced osteoporosis","volume":"64","author":[{"family":"Blanckaert","given":"Franck"},{"family":"Cortet","given":"B"},{"family":"Coquerelle","given":"P"},{"family":"Flipo","given":"RM"},{"family":"Duquesnoy","given":"B"},{"family":"Marchandise","given":"X"},{"family":"Delcambre","given":"B"}],"issued":{"date-parts":[["1997"]]}}},{"id":4220,"uris":["http://zotero.org/users/13605431/items/Y692PT62"],"itemData":{"id":4220,"type":"article-journal","abstract":"Dual energy x ray absorptiometry and a wide range of blood and urine tests were used to assess the propensity ofpatients with systemic lupus erythematosus to develop an impairment of bone mineral density. Surprisingly, in this preliminary study no significant differences in bone mineral density were found when patients taking 10 mg or more of prednisolone for six months or longer were compared with those who had never taken prednisolone.","container-title":"Annals of the Rheumatic Diseases","DOI":"10.1136/ard.49.8.624","ISSN":"0003-4967","issue":"8","journalAbbreviation":"Annals of the Rheumatic Diseases","language":"en","page":"624-626","source":"DOI.org (Crossref)","title":"Assessment of the effect of oral corticosteroids on bone mineral density in systemic lupus erythematosus: a preliminary study with dual energy x ray absorptiometry.","title-short":"Assessment of the effect of oral corticosteroids on bone mineral density in systemic lupus erythematosus","volume":"49","author":[{"family":"Dhillon","given":"V B"},{"family":"Davies","given":"M C"},{"family":"Hall","given":"M L"},{"family":"Round","given":"J M"},{"family":"Ell","given":"P J"},{"family":"Jacobs","given":"H S"},{"family":"Snaith","given":"M L"},{"family":"Isenberg","given":"D A"}],"issued":{"date-parts":[["1990",8,1]]}}},{"id":4222,"uris":["http://zotero.org/users/13605431/items/UZEYIUGK"],"itemData":{"id":4222,"type":"article-journal","abstract":"OBJECTIVE To evaluate the safety of abiraterone acetate with 4 glucocorticoid regimens. DESIGN, SETTING, AND PARTICIPANTS Open-label, randomized clinical trial (1:1:1:1) of 164 men with mCRPC from 22 hospitals in 5 countries who were randomly assigned to 1 of 4 intervention groups between June 2013 and October 2014. Analyses were conducted from August 2017 to June 2018. INTERVENTIONS Abiraterone acetate, 1000 mg, once daily with prednisone, 5 mg, twice daily (n = 41), 5 mg once daily (n = 41), 2.5 mg twice daily (n = 40), or dexamethasone, 0.5 mg, once daily (n = 42). MAIN OUTCOMES AND MEASURES Primary end point was no mineralocorticoid excess (grade </w:instrText>
      </w:r>
      <w:r w:rsidR="00386695" w:rsidRPr="00586786">
        <w:rPr>
          <w:rFonts w:ascii="Tahoma" w:hAnsi="Tahoma" w:cs="Tahoma"/>
        </w:rPr>
        <w:instrText>Ն</w:instrText>
      </w:r>
      <w:r w:rsidR="00386695" w:rsidRPr="00586786">
        <w:rPr>
          <w:rFonts w:ascii="Arial" w:hAnsi="Arial" w:cs="Arial"/>
        </w:rPr>
        <w:instrText xml:space="preserve">1 hypokalemia or grade </w:instrText>
      </w:r>
      <w:r w:rsidR="00386695" w:rsidRPr="00586786">
        <w:rPr>
          <w:rFonts w:ascii="Tahoma" w:hAnsi="Tahoma" w:cs="Tahoma"/>
        </w:rPr>
        <w:instrText>Ն</w:instrText>
      </w:r>
      <w:r w:rsidR="00386695" w:rsidRPr="00586786">
        <w:rPr>
          <w:rFonts w:ascii="Arial" w:hAnsi="Arial" w:cs="Arial"/>
        </w:rPr>
        <w:instrText xml:space="preserve">2 hypertension) through 24 weeks (6 cycles) from treatment.\nRESULTS Of 164 men (median [range] age, 70 [50-90] years) randomized to receive abiraterone acetate, 1000 mg, daily with prednisone, 5 mg, twice daily, once daily, or 2.5 mg twice daily, or dexamethasone, 0.5 mg, once daily, 24 (70.6%) of 34 patients (95% CI, 53.8%-83.2%), 14 (36.8%) of 38 patients (95% CI, 23.4%-52.7%), 21 (60.0%) of 35 patients (95% CI, 43.6%-74.4%), and 26 (70.3%) of 37 patients (95% CI, 54.2%-82.5%), respectively, had no mineralocorticoid excess. Plasma adrenocorticotrophic hormone and urinary mineralocorticoid metabolites after 8 weeks were higher with prednisone, 2.5 mg, twice daily and 5 mg once daily than with 5 mg twice daily or dexamethasone, 0.5 mg, once daily. The level of urinary glucocorticoid metabolites appeared higher in patients who did not meet the primary end point, regardless of glucocorticoid regimen. Total lean body mass decreased in the prednisone groups and total body fat increased in the prednisone, 5 mg, twice daily and dexamethasone groups. In the dexamethasone group, there was an increase in serum insulin and homeostatic model assessment of insulin resistance, while total bone mineral density decreased. In the prednisone, 5 mg, twice daily, 5 mg once daily, 2.5 mg twice daily, and dexamethasone groups, median radiographic progression-free survival was 18.5, 15.3, 12.8, and 26.6 months, respectively.\nCONCLUSIONS AND RELEVANCE Abiraterone acetate with prednisone, 5 mg, twice daily or dexamethasone, 0.5 mg, once daily met the prespecified threshold for the primary end point (95% CI excluded 50% mineralocorticoid excess); abiraterone acetate with prednisone, 5 mg, once daily or 2.5 mg twice daily did not meet the threshold. Abiraterone acetate in combination with dexamethasone appeared to be particularly active but may be associated with adverse metabolic consequences.","container-title":"JAMA Oncology","DOI":"10.1001/jamaoncol.2019.1011","ISSN":"2374-2437","issue":"8","journalAbbreviation":"JAMA Oncol","language":"en","page":"1159","source":"DOI.org (Crossref)","title":"Assessment of the Safety of Glucocorticoid Regimens in Combination With Abiraterone Acetate for Metastatic Castration-Resistant Prostate Cancer: A Randomized, Open-label Phase 2 Study","title-short":"Assessment of the Safety of Glucocorticoid Regimens in Combination With Abiraterone Acetate for Metastatic Castration-Resistant Prostate Cancer","volume":"5","author":[{"family":"Attard","given":"Gerhardt"},{"family":"Merseburger","given":"Axel S"},{"family":"Arlt","given":"Wiebke"},{"family":"Sternberg","given":"Cora N"},{"family":"Feyerabend","given":"Susan"},{"family":"Berruti","given":"Alfredo"},{"family":"Joniau","given":"Steven"},{"family":"Géczi","given":"Lajos"},{"family":"Lefresne","given":"Florence"},{"family":"Lahaye","given":"Marjolein"},{"family":"Shelby","given":"Florence Nave"},{"family":"Pissart","given":"Geneviève"},{"family":"Chua","given":"Sue"},{"family":"Jones","given":"Robert J"},{"family":"Tombal","given":"Bertrand"}],"issued":{"date-parts":[["2019",8,1]]}}},{"id":4260,"uris":["http://zotero.org/users/13605431/items/YWD7JQW2"],"itemData":{"id":4260,"type":"article-journal","abstract":"High-resolution quantitative computed tomography (HRQCT)-based analysis of spinal bone density and microstructure, ﬁnite element analysis (FEA), and DXA were used to investigate the vertebral bone status of men with glucocorticoid-induced osteoporosis (GIO). DXA of L1–L3 and total hip, QCT of L1–L3, and HRQCT of T12 were available for 73 men (54.6 ± 14.0 years) with GIO. Prevalent vertebral fracture status was evaluated on radiographs using a semi-quantitative (SQ) score (normal = 0 to severe fracture = 3), and the spinal deformity index (SDI) score (sum of SQ scores of T4 to L4 vertebrae). Thirty-one (42.4%) subjects had prevalent vertebral fractures. Cortical BMD (Ct.BMD) and thickness (Ct.Th), trabecular BMD (Tb.BMD), apparent trabecular bone volume fraction (app.BV/TV), and apparent trabecular separation (app.Tb.Sp) were analyzed by HRQCT. Stiffness and strength of T12 were computed by HRQCT-based nonlinear FEA for axial compression, anterior bending and axial torsion. In logistic regressions adjusted for age, glucocorticoid dose and osteoporosis treatment, Tb.BMD was most closely associated with vertebral fracture status (standardized odds ratio [sOR]: Tb.BMD T12: 4.05 [95% CI: 1.8–9.0], Tb.BMD L1–L3: 3.95 [1.8–8.9]). Strength divided by cross-sectional area for axial compression showed the most signiﬁcant association with spine fracture status among FEA variables (2.56 [1.29–5.07]). SDI was best predicted by a microstructural model using Ct.Th and app.Tb.Sp (r2 = 0.57, p b 0.001). Spinal or hip DXA measurements did not show signiﬁcant associations with fracture status or severity.","container-title":"Bone","DOI":"10.1016/j.bone.2012.10.036","ISSN":"87563282","issue":"2","journalAbbreviation":"Bone","language":"en","page":"568-577","source":"DOI.org (Crossref)","title":"High resolution quantitative computed tomography-based assessment of trabecular microstructure and strength estimates by finite-element analysis of the spine, but not DXA, reflects vertebral fracture status in men with glucocorticoid-induced osteoporosis","volume":"52","author":[{"family":"Graeff","given":"Christian"},{"family":"Marin","given":"Fernando"},{"family":"Petto","given":"Helmut"},{"family":"Kayser","given":"Ole"},{"family":"Reisinger","given":"Andreas"},{"family":"Peña","given":"Jaime"},{"family":"Zysset","given":"Philippe"},{"family":"Glüer","given":"Claus-Christian"}],"issued":{"date-parts":[["2013",2]]}}},{"id":4227,"uris":["http://zotero.org/users/13605431/items/KDMSRZ3R"],"itemData":{"id":4227,"type":"article-journal","abstract":"Methods. Fifty-nine Chinese women with SLE taking corticosteroid were selected to participate in a cross-sectional study. Vertebral fracture was confirmed semiquantitatively by lateral radiographs of the thoracic and lumbar spine. Density and microarchitecture at the distal radius were measured with HR-pQCT. Areal bone mineral density (aBMD) at hip and lumbar spine was measured by dualenergy x-ray absorptiometry (DEXA).\nResults. Twelve patients had vertebral fractures. The aBMD of spine or hip did not differ between those with and without vertebral fractures. Measures by HR-pQCT revealed that patients with vertebral fractures had significantly lower level of average bone density (p = 0.007), cortical bone density (p = 0.029), trabecular bone density (p = 0.024), trabecular bone volume to tissue volume (p = 0.023), and trabecular thickness (p = 0.011) than those without vertebral fractures. Independent explanatory variables associated with higher risk of vertebral fractures were older age (p = 0.013) and lower average cortical bone density (p = 0.029).\nConclusion. Vertebral fracture in patients with SLE on chronic corticosteroid treatment was associated with alterations of bone density and microarchitectures measured by HR-pQCT and DEXA. However, alterations were more pronounced in measurements by HR-pQCT. Low cortical bone density and old age were significant predictors of vertebral fracture risk. (First Release May 15 2010; J Rheumatol 2010;37:1473–9; doi:10.3899/jrheum.091231)","container-title":"The Journal of Rheumatology","DOI":"10.3899/jrheum.091231","ISSN":"0315-162X, 1499-2752","issue":"7","journalAbbreviation":"J Rheumatol","language":"en","page":"1473-1479","source":"DOI.org (Crossref)","title":"Bone Microarchitecture Assessment by High-Resolution Peripheral Quantitative Computed Tomography in Patients with Systemic Lupus Erythematosus Taking Corticosteroids","volume":"37","author":[{"family":"Li","given":"Edmund K."},{"family":"Zhu","given":"Tracy Y."},{"family":"Tam","given":"Lai-Shan"},{"family":"Hung","given":"Vivian W."},{"family":"Griffith","given":"James F."},{"family":"Li","given":"Tena K."},{"family":"Li","given":"Martin"},{"family":"Wong","given":"Kong Chiu"},{"family":"Leung","given":"Ping Chung"},{"family":"Kwok","given":"Anthony W."},{"family":"Qin","given":"Ling"}],"issued":{"date-parts":[["2010",7]]}}},{"id":4263,"uris":["http://zotero.org/users/13605431/items/I4M4AFYR"],"itemData":{"id":4263,"type":"article-journal","abstract":"Corticosteroid treatment diminishes bone mass and alters bone quality. Objective: to evaluate bone in corticosteroid-treated patients and controls and in fractured and non-fractured patients treated with corticosteroids using both X-ray densitometry (DEXA) and ultrasound. We evaluated 34 women aged 58 ± 14 years (X ± SD), who had been on long-term low dose prednisone therapy for at least 6 months, and who had never received speciﬁc treatment for osteoporosis. Bone mineral density of total skeleton (TS), lumbar spine (LS), femoral neck (FN), and vertebral morphometry (MXA) were measured by DEXA. Speed of sound (SOS), broadband ultrasound attenuation (BUA) and Stiffness were measured using an Achilles Plus system. Forty-two healthy women served as controls. Both densitometric and ultrasound parameters in the patients were signiﬁcantly diminished compared with controls: TS: P &lt; 0.002, LS: P &lt; 0.025, FS: P &lt; 0.005, Stiffness: P &lt; 0.001, BUA: P &lt; 0.002 and SOS: P &lt; 0.002. The percentage of patients with a Z score below –2 was higher in Stiffness and BUA: 38% and 47%, respectively, compared with a range of 16–24% in the other parameters (P &lt; 0.05 BUA vs. DEXA measurements). Eleven patients with previous bone fracture had values lower than the non-fractured patients, both according to DEXA and ultrasound measurements, but the difference was only signiﬁcant for BUA (P &lt; 0.02). BUA of the calcaneus was more effective in detecting the speciﬁc skeletal alterations and fracture risk of the group of patients receiving chronic corticosteroid treatment.","container-title":"Joint Bone Spine","DOI":"10.1016/S1297-319X(02)00010-6","ISSN":"1297319X","issue":"1","journalAbbreviation":"Joint Bone Spine","language":"en","license":"https://www.elsevier.com/tdm/userlicense/1.0/","page":"46-51","source":"DOI.org (Crossref)","title":"Is ultrasound of bone relevant for corticosteroid-treated patients? A comparative study with bone densitometry measured by DEXA","title-short":"Is ultrasound of bone relevant for corticosteroid-treated patients?","volume":"70","author":[{"family":"Oliveri","given":"Beatriz"},{"family":"Di Gregorio","given":"Silvana"},{"family":"Parisi","given":"Muriel Solange"},{"family":"Solís","given":"Fabiana"},{"family":"Mautalen","given":"Carlos"}],"issued":{"date-parts":[["2003",2]]}}},{"id":4229,"uris":["http://zotero.org/users/13605431/items/DP8D2AE2"],"itemData":{"id":4229,"type":"article-journal","abstract":"Glucocorticoids, widely used in inﬂammatory disorders, rapidly increase bone fragility and, therefore, fracture risk. However, common bone densitometry measurements are not sensitive enough to detect these changes. Moreover, densitometry only partially recognizes treatment-induced fracture reductions in osteoporosis. Here, we tested whether the reference point indentation technique could detect bone tissue property changes early after glucocorticoid treatment initiation. After initial laboratory and bone density measurements, patients were allocated into groups receiving calcium þ vitamin D (CaþD) supplements or antiosteoporotic drugs (risedronate, denosumab, teriparatide). Reference point indentation was performed on the cortical bone layer of the tibia by a handheld device measuring bone material strength index (BMSi). Bone mineral density was measured by dualenergy X-ray absorptiometry (DXA). Although CaþD-treated patients exhibited substantial and signiﬁcant deterioration, risedronate-treated patients exhibited no signiﬁcant change, and both denosumab- and teriparatide-treated participants exhibited signiﬁcantly improved BMSi 7 weeks after initial treatment compared with baseline; these trends remained stable for 20 weeks. In contrast, no densitometry changes were observed during this study period. In conclusion, our study is the ﬁrst to our knowledge to demonstrate that reference point indentation is sensitive enough to reﬂect changes in cortical bone indentation after treatment with osteoporosis therapies in patients newly exposed to glucocorticoids. © 2015 American Society for Bone and Mineral Research.","container-title":"Journal of Bone and Mineral Research","DOI":"10.1002/jbmr.2497","ISSN":"0884-0431, 1523-4681","issue":"9","language":"en","license":"https://academic.oup.com/journals/pages/open_access/funder_policies/chorus/standard_publication_model","page":"1651-1656","source":"DOI.org (Crossref)","title":"Bone Tissue Properties Measurement by Reference Point Indentation in Glucocorticoid-Induced Osteoporosis","volume":"30","author":[{"family":"Mellibovsky","given":"Leonardo"},{"family":"Prieto-Alhambra","given":"Daniel"},{"family":"Mellibovsky","given":"Fernando"},{"family":"Güerri-Fernández","given":"Roberto"},{"family":"Nogués","given":"Xavier"},{"family":"Randall","given":"Connor"},{"family":"Hansma","given":"Paul K"},{"family":"Díez-Perez","given":"Adolfo"}],"issued":{"date-parts":[["2015",9,1]]}}},{"id":4231,"uris":["http://zotero.org/users/13605431/items/K5GQSYSZ"],"itemData":{"id":4231,"type":"article-journal","abstract":"Chronic glucocorticoid therapy is associated with osteoporosis and can cause fractures in up to 50 % of patients. Increased risk of fractures in patients with glucocorticoid-induced osteoporosis does not result only from the decreased bone mineral density (BMD) but also bone microarchitecture deterioration. Trabecular bone score (TBS) is a method complementary to DXA, providing additional information about trabecular bone structure. The aim of this study was to assess the clinical utility of TBS in fracture risk assessment of patients treated with glucocorticoids. Patients with rheumatic diseases treated with glucocorticoids for at least 3 months were enrolled. All recruited patients underwent DXA with additional TBS assessment. We analyzed the frequency of osteoporosis and osteoporotic fractures and assessed factors that might be associated with the risk of osteoporotic fractures. A total of 64 patients were enrolled. TBS and TBS T-score values were significantly lower in patients with osteoporosis compared to patients without osteoporosis. Low energy fractures occurred in 19 patients. The disturbed bone microarchitecture was found in 30 % of patients with fractures without osteoporosis diagnosis based on BMD. In the multivariate analysis, only TBS and age were significantly associated with the occurrence of osteoporotic fractures. TBS reflects the influence of glucocorticoid therapy on bone quality better than DXA measured BMD and provides an added value to DXA in identifying the group of patients particularly prone to fractures.","container-title":"Hormone and Metabolic Research","DOI":"10.1055/a-1528-7261","ISSN":"0018-5043, 1439-4286","issue":"08","journalAbbreviation":"Horm Metab Res","language":"en","page":"499-503","source":"DOI.org (Crossref)","title":"Clinical Utility of Trabecular Bone Score (TBS) in Fracture Risk Assessment of Patients with Rheumatic Diseases Treated with Glucocorticoids","volume":"53","author":[{"family":"Nowakowska-Płaza","given":"Anna"},{"family":"Wroński","given":"Jakub"},{"family":"Sudoł-Szopińska","given":"Iwona"},{"family":"Głuszko","given":"Piotr"}],"issued":{"date-parts":[["2021",8]]}}},{"id":4244,"uris":["http://zotero.org/users/13605431/items/9CUYML55"],"itemData":{"id":4244,"type":"article-journal","container-title":"Osteoporosis International","DOI":"10.1007/s00198-004-1736-9","ISSN":"0937-941X, 1433-2965","issue":"6","journalAbbreviation":"Osteoporos Int","language":"en","license":"http://www.springer.com/tdm","page":"642-650","source":"DOI.org (Crossref)","title":"Differences in hip quantitative computed tomography (QCT) measurements of bone mineral density and bone strength between glucocorticoid-treated and glucocorticoid-naïve postmenopausal women","volume":"16","author":[{"family":"Lian","given":"Kuo-Chiang"},{"family":"Lang","given":"Thomas F."},{"family":"Keyak","given":"Joyce H."},{"family":"Modin","given":"Gunnard W."},{"family":"Rehman","given":"Qaisar"},{"family":"Do","given":"Loi"},{"family":"Lane","given":"Nancy E."}],"issued":{"date-parts":[["2005",6]]}}},{"id":4247,"uris":["http://zotero.org/users/13605431/items/LB5UC5PM"],"itemData":{"id":4247,"type":"article-journal","container-title":"Osteoporosis International","DOI":"10.1007/s001980050227","ISSN":"0937-941X, 1433-2965","issue":"4","journalAbbreviation":"Osteoporosis International","language":"en","license":"http://www.springer.com/tdm","page":"278-283","source":"DOI.org (Crossref)","title":"Efficiency of Quantitative Ultrasound Measurements as Compared with Dual-Energy X-ray Absorptiometry in the Assessment of Corticosteroid-Induced Bone Impairment","volume":"10","author":[{"family":"Daens","given":"S."},{"family":"Peretz","given":"A."},{"family":"De Maertelaer","given":"V."},{"family":"Moris","given":"M."},{"family":"Bergmann","given":"P."}],"issued":{"date-parts":[["1999",9,1]]}}}],"schema":"https://github.com/citation-style-language/schema/raw/master/csl-citation.json"} </w:instrText>
      </w:r>
      <w:r w:rsidR="00477BF1" w:rsidRPr="00586786">
        <w:rPr>
          <w:rFonts w:ascii="Arial" w:hAnsi="Arial" w:cs="Arial"/>
        </w:rPr>
        <w:fldChar w:fldCharType="separate"/>
      </w:r>
      <w:r w:rsidR="00386695" w:rsidRPr="00586786">
        <w:rPr>
          <w:rFonts w:ascii="Arial" w:hAnsi="Arial" w:cs="Arial"/>
          <w:kern w:val="0"/>
        </w:rPr>
        <w:t>(39,42,55,57,60,68,71,76,78,80)</w:t>
      </w:r>
      <w:r w:rsidR="00477BF1" w:rsidRPr="00586786">
        <w:rPr>
          <w:rFonts w:ascii="Arial" w:hAnsi="Arial" w:cs="Arial"/>
        </w:rPr>
        <w:fldChar w:fldCharType="end"/>
      </w:r>
      <w:r w:rsidR="00AD4562" w:rsidRPr="00586786">
        <w:rPr>
          <w:rFonts w:ascii="Arial" w:hAnsi="Arial" w:cs="Arial"/>
        </w:rPr>
        <w:t xml:space="preserve"> and trabecular bone score (TBS) (n=</w:t>
      </w:r>
      <w:r w:rsidR="00DD4FCA" w:rsidRPr="00586786">
        <w:rPr>
          <w:rFonts w:ascii="Arial" w:hAnsi="Arial" w:cs="Arial"/>
        </w:rPr>
        <w:t>7</w:t>
      </w:r>
      <w:r w:rsidR="00AD4562" w:rsidRPr="00586786">
        <w:rPr>
          <w:rFonts w:ascii="Arial" w:hAnsi="Arial" w:cs="Arial"/>
        </w:rPr>
        <w:t xml:space="preserve"> studies)</w:t>
      </w:r>
      <w:r w:rsidR="00477BF1" w:rsidRPr="00586786">
        <w:rPr>
          <w:rFonts w:ascii="Arial" w:hAnsi="Arial" w:cs="Arial"/>
        </w:rPr>
        <w:fldChar w:fldCharType="begin"/>
      </w:r>
      <w:r w:rsidR="00386695" w:rsidRPr="00586786">
        <w:rPr>
          <w:rFonts w:ascii="Arial" w:hAnsi="Arial" w:cs="Arial"/>
        </w:rPr>
        <w:instrText xml:space="preserve"> ADDIN ZOTERO_ITEM CSL_CITATION {"citationID":"VpfmV8Iu","properties":{"formattedCitation":"(27,38,39,44,47,54,79)","plainCitation":"(27,38,39,44,47,54,79)","noteIndex":0},"citationItems":[{"id":4231,"uris":["http://zotero.org/users/13605431/items/K5GQSYSZ"],"itemData":{"id":4231,"type":"article-journal","abstract":"Chronic glucocorticoid therapy is associated with osteoporosis and can cause fractures in up to 50 % of patients. Increased risk of fractures in patients with glucocorticoid-induced osteoporosis does not result only from the decreased bone mineral density (BMD) but also bone microarchitecture deterioration. Trabecular bone score (TBS) is a method complementary to DXA, providing additional information about trabecular bone structure. The aim of this study was to assess the clinical utility of TBS in fracture risk assessment of patients treated with glucocorticoids. Patients with rheumatic diseases treated with glucocorticoids for at least 3 months were enrolled. All recruited patients underwent DXA with additional TBS assessment. We analyzed the frequency of osteoporosis and osteoporotic fractures and assessed factors that might be associated with the risk of osteoporotic fractures. A total of 64 patients were enrolled. TBS and TBS T-score values were significantly lower in patients with osteoporosis compared to patients without osteoporosis. Low energy fractures occurred in 19 patients. The disturbed bone microarchitecture was found in 30 % of patients with fractures without osteoporosis diagnosis based on BMD. In the multivariate analysis, only TBS and age were significantly associated with the occurrence of osteoporotic fractures. TBS reflects the influence of glucocorticoid therapy on bone quality better than DXA measured BMD and provides an added value to DXA in identifying the group of patients particularly prone to fractures.","container-title":"Hormone and Metabolic Research","DOI":"10.1055/a-1528-7261","ISSN":"0018-5043, 1439-4286","issue":"08","journalAbbreviation":"Horm Metab Res","language":"en","page":"499-503","source":"DOI.org (Crossref)","title":"Clinical Utility of Trabecular Bone Score (TBS) in Fracture Risk Assessment of Patients with Rheumatic Diseases Treated with Glucocorticoids","volume":"53","author":[{"family":"Nowakowska-Płaza","given":"Anna"},{"family":"Wroński","given":"Jakub"},{"family":"Sudoł-Szopińska","given":"Iwona"},{"family":"Głuszko","given":"Piotr"}],"issued":{"date-parts":[["2021",8]]}}},{"id":4298,"uris":["http://zotero.org/users/13605431/items/GKBABEET"],"itemData":{"id":4298,"type":"article-journal","abstract":"A recently developed diagnostic tool, trabecular bone score (TBS), can provide quality of trabecular microarchitecture based on images obtained from dual-energy X-ray absorptiometry (DXA). Since patients receiving glucocorticoid are at a higher risk of developing secondary osteoporosis, assessment of bone microarchitecture may be used to evaluate risk of fragility fractures of osteoporosis. In this pre-post study of female patients, TBS and fracture risk assessment tool (FRAX) adjusted with TBS (T-FRAX) were evaluated along with bone mineral density (BMD) and FRAX. Medical records of patients with (\n              \n                n\n                =\n                30\n              \n              ) and without (\n              \n                n\n                =\n                16\n              \n              ) glucocorticoid treatment were retrospectively reviewed. All patients had undergone DXA twice within a 12- to 24-month interval. Analysis of covariance was conducted to compare the outcomes between the two groups of patients, adjusting for age and baseline values. Results showed that a significant lower adjusted mean of TBS (\n              \n                p\n                =\n                0.035\n              \n              ) and a significant higher adjusted mean of T-FRAX for major osteoporotic fracture (\n              \n                p\n                =\n                0.006\n              \n              ) were observed in the glucocorticoid group. Conversely, no significant differences were observed in the adjusted means for BMD and FRAX. These findings suggested that TBS and T-FRAX could be used as an adjunct in the evaluation of risk of fragility fractures in patients receiving glucocorticoid therapy.","container-title":"BioMed Research International","DOI":"10.1155/2017/4210217","ISSN":"2314-6133, 2314-6141","journalAbbreviation":"BioMed Research International","language":"en","license":"http://creativecommons.org/licenses/by/4.0/","page":"1-7","source":"DOI.org (Crossref)","title":"Trabecular Bone Score Reflects Trabecular Microarchitecture Deterioration and Fragility Fracture in Female Adult Patients Receiving Glucocorticoid Therapy: A Pre-Post Controlled Study","title-short":"Trabecular Bone Score Reflects Trabecular Microarchitecture Deterioration and Fragility Fracture in Female Adult Patients Receiving Glucocorticoid Therapy","volume":"2017","author":[{"family":"Chuang","given":"Mei-Hua"},{"family":"Chuang","given":"Tzyy-Ling"},{"family":"Koo","given":"Malcolm"},{"family":"Wang","given":"Yuh-Feng"}],"issued":{"date-parts":[["2017"]]}}},{"id":4265,"uris":["http://zotero.org/users/13605431/items/IUZ9Z7LG"],"itemData":{"id":4265,"type":"article-journal","abstract":"Trabecular bone score (TBS) is a texture parameter that measures the grayscale variation within dualenergy X-ray absorptiometry (DXA) images, and has been shown to signiﬁcantly correlate with the 3-dimensional bone microarchitecture. The objective of this study was to determine whether TBS is a better clinical tool than traditionally used bone mineral density (BMD) to detect the skeletal deterioration seen in patients with diabetes (DM), patients undergoing oral glucocorticoid (GC) therapy, and patients who are both diabetic and taking steroids (GC + DM). We performed retrospective, cross-sectional study using DXA images of patients who visited UTHealth Department of Internal Medicine DXA clinic in Houston, TX, from May 30, 2014 to May 30, 2016. A total of 477 men and women, who were 55 years or older, were included in the study. Lumbar spine (LS) BMD and TBS were collected. Electronic medical records were reviewed to collect clinical information for each patient. When both men and women were analyzed as a single group, LS-BMD was signiﬁcantly higher in the diabetic group than in the control group (1.14 vs 1.10, p = 0.038), whereas mean TBS of L1–L4 was signiﬁcantly lower in the diabetic group (1.21 vs 1.26, p = 0.004). LS-TBS was also signiﬁcantly lower in diabetic women than in nondiabetic women (1.20 vs 1.26, p = 0.002). Receiver operating characteristic curves and areas under the curve indicated that LS-TBS provided better ability than LS-BMD to discriminate between control subjects and those in the DM, GC, or GC + DM groups (areas under the curve between 0.645 and 0.697, p &lt; 0.010 for all). LS-TBS is a BMD-independent parameter that is capable of capturing a larger portion of bone quality deterioration undetected by BMD alone in patients with DM and undergoing oral GC therapy.","container-title":"Journal of Clinical Densitometry","DOI":"10.1016/j.jocd.2017.09.003","ISSN":"10946950","issue":"2","journalAbbreviation":"Journal of Clinical Densitometry","language":"en","page":"185-192","source":"DOI.org (Crossref)","title":"Lumbar Spine Trabecular Bone Score (TBS) Reflects Diminished Bone Quality in Patients With Diabetes Mellitus and Oral Glucocorticoid Therapy","volume":"21","author":[{"family":"Xue","given":"Yunfeng"},{"family":"Baker","given":"Andrea L."},{"family":"Nader","given":"Shahla"},{"family":"Orlander","given":"Philip"},{"family":"Sanchez","given":"Anthony J."},{"family":"Kellam","given":"James"},{"family":"Rianon","given":"Nahid J."},{"family":"Ambrose","given":"Catherine G."}],"issued":{"date-parts":[["2018",4]]}}},{"id":4290,"uris":["http://zotero.org/users/13605431/items/ZDNIVMVG"],"itemData":{"id":4290,"type":"article-journal","abstract":"Summary We propose that trabecular bone score could be a useful tool for the study of glucocorticoid-associated bone effects. Trabecular bone score alone and lumbar spine bone mineral density (BMD) used in combination with trabecular bone score, but not lumbar spine BMD alone was able to discriminate between glucocorticoid-treated and glucocorticoid-naïve women.","container-title":"Osteoporosis International","DOI":"10.1007/s00198-015-3078-1","ISSN":"0937-941X, 1433-2965","issue":"6","journalAbbreviation":"Osteoporos Int","language":"en","page":"1773-1780","source":"DOI.org (Crossref)","title":"The impact of glucocorticoid therapy on trabecular bone score in older women","volume":"26","author":[{"family":"Paggiosi","given":"M. A."},{"family":"Peel","given":"N. F. A."},{"family":"Eastell","given":"R."}],"issued":{"date-parts":[["2015",6]]}}},{"id":4295,"uris":["http://zotero.org/users/13605431/items/ACBTW9GA"],"itemData":{"id":4295,"type":"article-journal","abstract":"Background: Therapy with intravenous glucocorticoids (GCs) is associated with various side effects, however, the impact on bone remains elusive. Trabecular bone score (TBS) is a diagnostic tool providing information on bone microarchitecture based on images obtained from dual-energy X-ray absorptiometry. We investigated the inﬂuence of the intravenous methylprednisolone (IVMP) pulse administration on TBS in patients with moderate-to-severe Graves’ orbitopathy (GO).\nMethods: Fifteen patients with GO were treated with 12 IVMP pulses (6x0.5g, 6x0.25 g on a weekly schedule). They received supplementation with 2000 IU of vitamin D and 1.0 g of calcium throughout the study period. TBS was assessed at baseline and after last IVMP pulse. To determine the difference between values at baseline and after treatment the least signiﬁcant change (LSC) methodology was used. We compared pre- and posttreatment mean TBS values.\nResults: We found a signiﬁcant decrease of TBS in 5 out of 15 (33%) patients. Mean TBS value decreased becoming 2.4% lower than at baseline (p&lt;0.05).\nConclusions: IVMP pulse therapy exerts negative effect on bone microarchitecture in TBS assessment. The analysis of the clinical risk factors for osteoporosis and the evaluation of bone mineral density and TBS should be considered before initiating IVMP therapy.","container-title":"Frontiers in Endocrinology","DOI":"10.3389/fendo.2022.893600","ISSN":"1664-2392","journalAbbreviation":"Front. Endocrinol.","language":"en","page":"893600","source":"DOI.org (Crossref)","title":"Therapy With Intravenous Methylprednisolone Pulses Is Associated With Loss of Bone Microarchitecture in Trabecular Bone Score -Assessment Among Patients With Moderate-to-Severe Graves’ Orbitopathy: A Pilot Study","title-short":"Therapy With Intravenous Methylprednisolone Pulses Is Associated With Loss of Bone Microarchitecture in Trabecular Bone Score -Assessment Among Patients With Moderate-to-Severe Graves’ Orbitopathy","volume":"13","author":[{"family":"Rymuza","given":"Joanna"},{"family":"Pelewicz","given":"Katarzyna"},{"family":"Przedlacki","given":"Jerzy"},{"family":"Miśkiewicz","given":"Piotr"}],"issued":{"date-parts":[["2022",7,14]]}}},{"id":4226,"uris":["http://zotero.org/users/13605431/items/4SS2LJD4"],"itemData":{"id":4226,"type":"article-journal","abstract":"For 2 years bone density changes in patients with rheumatoid arthritis were monitored to determine the effect of low dose corticosteroid treatment. Sixteen perimenopausal females were studied. Of these nine were treated with 5 to 20 mg prednisone per day and seven had no steroids. The differential effects on trabecular bone density and on cortical bone in the radius and the tibia were examined with high precision peripheral quantitative computed tomography (QCT). Steroid therapy did not influence cortical bone loss and had only a minor influence on trabecular bone density. Of greater importance was the influence of estrogen depletion. Corticosteroids and estrogen depletion, however, cannot explain fully the yearly loss of 5.7% in the trabecular and 4% in the cortical bone of the radius.","container-title":"Rheumatology International","DOI":"10.1007/BF00290250","ISSN":"0172-8172, 1437-160X","issue":"1","journalAbbreviation":"Rheumatol Int","language":"en","license":"http://www.springer.com/tdm","page":"41-44","source":"DOI.org (Crossref)","title":"Bone loss in patients with rheumatoid arthritis ? effect of steroids measured by low dose quantitative computed tomography","title-short":"Bone loss in patients with rheumatoid arthritis ?","volume":"11","author":[{"family":"Felder","given":"M."},{"family":"Ruegsegger","given":"P."}],"issued":{"date-parts":[["1991",5]]}}},{"id":4228,"uris":["http://zotero.org/users/13605431/items/DZFXC9GH"],"itemData":{"id":4228,"type":"article-journal","abstract":"Objective: Patients with 21-­hydroxylase deficiency (21-­OHD) are at risk of reduced bone mineral density (BMD) and fracture due to long-­term glucocorticoid treatment. Trabecular bone score (TBS) is complementary to conventional BMD as a marker for bone quality in patients with glucocorticoid-­induced osteoporosis. The purpose of this study is to evaluate the BMD and TBS in a cohort of patients with 21-­OHD and analyse factors related to TBS. Design: An observational study. Patients: A total of 46 21-­OHD adult patients treated with glucocorticoid for over 10 years who visited Peking Union Medical College Hospital between 2015 and 2019 were recruited. Eight male patients included in this study were all under 50 years old, and 38 female patients were all premenopausal.\nMeasurements: Diagnosis was confirmed by multiplex ligation-­dependent probe amplification combined with sequencing. Data were collected on physical characteristics, serum hormones and glucocorticoid treatment. Skeletal quality was evaluated by BMD and TBS, and factors related to TBS were analysed.\nResults: Among the 46 patients, 2 (4.3%) had low BMD (Z-­score ≤ −2), while 11 (23.9%) patients had low TBS (degraded or partially degraded microarchitecture). The proportion of bone abnormality evaluated by TBS was higher than that by BMD (p &lt; .001). Patients with lower TBS had significantly higher daily hydrocortisone dosage (p = .009 for males; p = .019 for females). TBS value was negatively correlated with daily hydrocortisone dosage (r = −.317, p = .026), and positively correlated with BMI in female patients (r = .345, p = .034). And there was a negative correlation between TBS value and the current age in male patients (r = −.741, p = .036). The distribution of genotypes (p = 1.000 for male; p = .567 for female) or phenotypes (p = .486 for male; p = .075 for female) had no statistical difference in patients with normal or abnormal TBS.\nConclusions: Approximately 24% of patients with 21-­OHD had abnormal microarchitecture of their bone in our study, and TBS score was negatively correlated with daily glucocorticoid dosage in patients. TBS may be used alongside conventional BMD as a complementary marker for bone evaluation in 21-­OHD patients.","container-title":"Clinical Endocrinology","DOI":"10.1111/cen.14391","ISSN":"0300-0664, 1365-2265","issue":"5","journalAbbreviation":"Clinical Endocrinology","language":"en","page":"765-773","source":"DOI.org (Crossref)","title":"Bone mineral density and trabecular bone score in patients with 21</w:instrText>
      </w:r>
      <w:r w:rsidR="00386695" w:rsidRPr="00586786">
        <w:rPr>
          <w:rFonts w:ascii="Cambria Math" w:hAnsi="Cambria Math" w:cs="Cambria Math"/>
        </w:rPr>
        <w:instrText>‐</w:instrText>
      </w:r>
      <w:r w:rsidR="00386695" w:rsidRPr="00586786">
        <w:rPr>
          <w:rFonts w:ascii="Arial" w:hAnsi="Arial" w:cs="Arial"/>
        </w:rPr>
        <w:instrText xml:space="preserve">hydroxylase deficiency after glucocorticoid treatment","volume":"94","author":[{"family":"Gao","given":"Yinjie"},{"family":"Wang","given":"Ou"},{"family":"Guan","given":"Wenmin"},{"family":"Wu","given":"Xueyan"},{"family":"Mao","given":"Jiangfeng"},{"family":"Wang","given":"Xi"},{"family":"Yu","given":"Wei"},{"family":"Nie","given":"Min"}],"issued":{"date-parts":[["2021",5]]}}}],"schema":"https://github.com/citation-style-language/schema/raw/master/csl-citation.json"} </w:instrText>
      </w:r>
      <w:r w:rsidR="00477BF1" w:rsidRPr="00586786">
        <w:rPr>
          <w:rFonts w:ascii="Arial" w:hAnsi="Arial" w:cs="Arial"/>
        </w:rPr>
        <w:fldChar w:fldCharType="separate"/>
      </w:r>
      <w:r w:rsidR="00386695" w:rsidRPr="00586786">
        <w:rPr>
          <w:rFonts w:ascii="Arial" w:hAnsi="Arial" w:cs="Arial"/>
          <w:kern w:val="0"/>
        </w:rPr>
        <w:t>(27,38,39,44,47,54,79)</w:t>
      </w:r>
      <w:r w:rsidR="00477BF1" w:rsidRPr="00586786">
        <w:rPr>
          <w:rFonts w:ascii="Arial" w:hAnsi="Arial" w:cs="Arial"/>
        </w:rPr>
        <w:fldChar w:fldCharType="end"/>
      </w:r>
      <w:r w:rsidR="00AD4562" w:rsidRPr="00586786">
        <w:rPr>
          <w:rFonts w:ascii="Arial" w:hAnsi="Arial" w:cs="Arial"/>
        </w:rPr>
        <w:t xml:space="preserve">. </w:t>
      </w:r>
      <w:r w:rsidR="009A44C2" w:rsidRPr="00586786">
        <w:rPr>
          <w:rFonts w:ascii="Arial" w:hAnsi="Arial" w:cs="Arial"/>
        </w:rPr>
        <w:t xml:space="preserve">Additional candidate instruments included the </w:t>
      </w:r>
      <w:r w:rsidR="009F5A4A" w:rsidRPr="00586786">
        <w:rPr>
          <w:rFonts w:ascii="Arial" w:hAnsi="Arial" w:cs="Arial"/>
        </w:rPr>
        <w:t>SLE</w:t>
      </w:r>
      <w:r w:rsidR="009A44C2" w:rsidRPr="00586786">
        <w:rPr>
          <w:rFonts w:ascii="Arial" w:hAnsi="Arial" w:cs="Arial"/>
        </w:rPr>
        <w:t xml:space="preserve"> damage index (n=1)</w:t>
      </w:r>
      <w:r w:rsidR="004B3490" w:rsidRPr="00586786">
        <w:rPr>
          <w:rFonts w:ascii="Arial" w:hAnsi="Arial" w:cs="Arial"/>
        </w:rPr>
        <w:fldChar w:fldCharType="begin"/>
      </w:r>
      <w:r w:rsidR="00386695" w:rsidRPr="00586786">
        <w:rPr>
          <w:rFonts w:ascii="Arial" w:hAnsi="Arial" w:cs="Arial"/>
        </w:rPr>
        <w:instrText xml:space="preserve"> ADDIN ZOTERO_ITEM CSL_CITATION {"citationID":"8BDTNmuR","properties":{"formattedCitation":"(23)","plainCitation":"(23)","noteIndex":0},"citationItems":[{"id":4268,"uris":["http://zotero.org/users/13605431/items/BY5KSIH2"],"itemData":{"id":4268,"type":"article-journal","abstract":"Objective. The existing guidelines for lupus nephritis (LN) recommend initial prednisone doses of 0.3–1.0 mg/kg/ day. However, recent studies reported noninferior outcomes with lower doses. The aim of this study was to compare the complete renal response rates in LN patients treated with prednisone ≤30 mg/day or ≥40 mg/day.\nMethods. Patients with new-onset LN and standard immunosuppressive treatment were followed for at least 12 months, divided into medium (≤30 mg/day) and high prednisone groups (≥40 mg/day) and matched (propensity score) based on the baseline differences. Complete renal response was deﬁned as proteinuria &lt;0.5 gm/day and no worsening in renal function. Glucocorticoid-related damage was also assessed.\nResults. High-dose prednisone patients (n = 103; mean ± SD dose 48.6 ± 12.3 mg/day) achieved better rates of complete response compared to the medium group (n = 103; mean ± SD dose 24.2 ± 4.6 mg/day) (61.8% versus 38.2%; P = 0.024) at 12 months. The difference in response rates was reproduced for several subgroups (concomitant immunosuppressive treatment, proliferative/nonproliferative LN). Complete remission rates were higher at 2 years (67.8% versus 39%; P = 0.002) and 3 years (64.9% versus 49.1%; P = 0.025) after LN diagnosis. Cumulative glucocorticoid dose was comparable at 2 and 3 years. Glucocorticoid-related damage was accelerated in both groups for the same period.\nConclusion. Higher initial prednisone doses (median 45 mg/day) achieved signiﬁcantly better rates of complete renal response at 12 months in new-onset LN. Cumulative glucocorticoid dose and damage accrual were not different at 2 and 3 years after LN. Damage was more prominent in the late phases of LN in both groups, underlining the importance of rapid tapering and the need to implement alternative strategies.","container-title":"Arthritis Care &amp; Research","DOI":"10.1002/acr.24592","ISSN":"2151-464X, 2151-4658","issue":"9","journalAbbreviation":"Arthritis Care &amp; Research","language":"en","page":"1451-1458","source":"DOI.org (Crossref)","title":"Medium Versus High Initial Prednisone Dose for Remission Induction in Lupus Nephritis: A Propensity Score–Matched Analysis","title-short":"Medium Versus High Initial Prednisone Dose for Remission Induction in Lupus Nephritis","volume":"74","author":[{"family":"Tselios","given":"Konstantinos"},{"family":"Gladman","given":"Dafna D."},{"family":"Al</w:instrText>
      </w:r>
      <w:r w:rsidR="00386695" w:rsidRPr="00586786">
        <w:rPr>
          <w:rFonts w:ascii="Cambria Math" w:hAnsi="Cambria Math" w:cs="Cambria Math"/>
        </w:rPr>
        <w:instrText>‐</w:instrText>
      </w:r>
      <w:r w:rsidR="00386695" w:rsidRPr="00586786">
        <w:rPr>
          <w:rFonts w:ascii="Arial" w:hAnsi="Arial" w:cs="Arial"/>
        </w:rPr>
        <w:instrText xml:space="preserve">Sheikh","given":"Haifa"},{"family":"Su","given":"Jiandong"},{"family":"Urowitz","given":"Murray B."}],"issued":{"date-parts":[["2022",9]]}}}],"schema":"https://github.com/citation-style-language/schema/raw/master/csl-citation.json"} </w:instrText>
      </w:r>
      <w:r w:rsidR="004B3490" w:rsidRPr="00586786">
        <w:rPr>
          <w:rFonts w:ascii="Arial" w:hAnsi="Arial" w:cs="Arial"/>
        </w:rPr>
        <w:fldChar w:fldCharType="separate"/>
      </w:r>
      <w:r w:rsidR="00386695" w:rsidRPr="00586786">
        <w:rPr>
          <w:rFonts w:ascii="Arial" w:hAnsi="Arial" w:cs="Arial"/>
          <w:noProof/>
        </w:rPr>
        <w:t>(23)</w:t>
      </w:r>
      <w:r w:rsidR="004B3490" w:rsidRPr="00586786">
        <w:rPr>
          <w:rFonts w:ascii="Arial" w:hAnsi="Arial" w:cs="Arial"/>
        </w:rPr>
        <w:fldChar w:fldCharType="end"/>
      </w:r>
      <w:r w:rsidR="009A44C2" w:rsidRPr="00586786">
        <w:rPr>
          <w:rFonts w:ascii="Arial" w:hAnsi="Arial" w:cs="Arial"/>
        </w:rPr>
        <w:t>, calcaneal ultrasound (n=</w:t>
      </w:r>
      <w:r w:rsidR="005D3971" w:rsidRPr="00586786">
        <w:rPr>
          <w:rFonts w:ascii="Arial" w:hAnsi="Arial" w:cs="Arial"/>
        </w:rPr>
        <w:t>4</w:t>
      </w:r>
      <w:r w:rsidR="009A44C2" w:rsidRPr="00586786">
        <w:rPr>
          <w:rFonts w:ascii="Arial" w:hAnsi="Arial" w:cs="Arial"/>
        </w:rPr>
        <w:t>)</w:t>
      </w:r>
      <w:r w:rsidR="004B3490" w:rsidRPr="00586786">
        <w:rPr>
          <w:rFonts w:ascii="Arial" w:hAnsi="Arial" w:cs="Arial"/>
        </w:rPr>
        <w:fldChar w:fldCharType="begin"/>
      </w:r>
      <w:r w:rsidR="00386695" w:rsidRPr="00586786">
        <w:rPr>
          <w:rFonts w:ascii="Arial" w:hAnsi="Arial" w:cs="Arial"/>
        </w:rPr>
        <w:instrText xml:space="preserve"> ADDIN ZOTERO_ITEM CSL_CITATION {"citationID":"iR5SWI3s","properties":{"formattedCitation":"(45,71,76,78)","plainCitation":"(45,71,76,78)","noteIndex":0},"citationItems":[{"id":4235,"uris":["http://zotero.org/users/13605431/items/5ADR2CS2"],"itemData":{"id":4235,"type":"article-journal","container-title":"Rev. Rhum","issue":"5","language":"en","page":"305-313","source":"Zotero","title":"Contribution of calcaneal ultrasonic assessment to the evaluation of postmenopausal and glucocorticoid-induced osteoporosis","volume":"64","author":[{"family":"Blanckaert","given":"Franck"},{"family":"Cortet","given":"B"},{"family":"Coquerelle","given":"P"},{"family":"Flipo","given":"RM"},{"family":"Duquesnoy","given":"B"},{"family":"Marchandise","given":"X"},{"family":"Delcambre","given":"B"}],"issued":{"date-parts":[["1997"]]}}},{"id":4263,"uris":["http://zotero.org/users/13605431/items/I4M4AFYR"],"itemData":{"id":4263,"type":"article-journal","abstract":"Corticosteroid treatment diminishes bone mass and alters bone quality. Objective: to evaluate bone in corticosteroid-treated patients and controls and in fractured and non-fractured patients treated with corticosteroids using both X-ray densitometry (DEXA) and ultrasound. We evaluated 34 women aged 58 ± 14 years (X ± SD), who had been on long-term low dose prednisone therapy for at least 6 months, and who had never received speciﬁc treatment for osteoporosis. Bone mineral density of total skeleton (TS), lumbar spine (LS), femoral neck (FN), and vertebral morphometry (MXA) were measured by DEXA. Speed of sound (SOS), broadband ultrasound attenuation (BUA) and Stiffness were measured using an Achilles Plus system. Forty-two healthy women served as controls. Both densitometric and ultrasound parameters in the patients were signiﬁcantly diminished compared with controls: TS: P &lt; 0.002, LS: P &lt; 0.025, FS: P &lt; 0.005, Stiffness: P &lt; 0.001, BUA: P &lt; 0.002 and SOS: P &lt; 0.002. The percentage of patients with a Z score below –2 was higher in Stiffness and BUA: 38% and 47%, respectively, compared with a range of 16–24% in the other parameters (P &lt; 0.05 BUA vs. DEXA measurements). Eleven patients with previous bone fracture had values lower than the non-fractured patients, both according to DEXA and ultrasound measurements, but the difference was only signiﬁcant for BUA (P &lt; 0.02). BUA of the calcaneus was more effective in detecting the speciﬁc skeletal alterations and fracture risk of the group of patients receiving chronic corticosteroid treatment.","container-title":"Joint Bone Spine","DOI":"10.1016/S1297-319X(02)00010-6","ISSN":"1297319X","issue":"1","journalAbbreviation":"Joint Bone Spine","language":"en","license":"https://www.elsevier.com/tdm/userlicense/1.0/","page":"46-51","source":"DOI.org (Crossref)","title":"Is ultrasound of bone relevant for corticosteroid-treated patients? A comparative study with bone densitometry measured by DEXA","title-short":"Is ultrasound of bone relevant for corticosteroid-treated patients?","volume":"70","author":[{"family":"Oliveri","given":"Beatriz"},{"family":"Di Gregorio","given":"Silvana"},{"family":"Parisi","given":"Muriel Solange"},{"family":"Solís","given":"Fabiana"},{"family":"Mautalen","given":"Carlos"}],"issued":{"date-parts":[["2003",2]]}}},{"id":4247,"uris":["http://zotero.org/users/13605431/items/LB5UC5PM"],"itemData":{"id":4247,"type":"article-journal","container-title":"Osteoporosis International","DOI":"10.1007/s001980050227","ISSN":"0937-941X, 1433-2965","issue":"4","journalAbbreviation":"Osteoporosis International","language":"en","license":"http://www.springer.com/tdm","page":"278-283","source":"DOI.org (Crossref)","title":"Efficiency of Quantitative Ultrasound Measurements as Compared with Dual-Energy X-ray Absorptiometry in the Assessment of Corticosteroid-Induced Bone Impairment","volume":"10","author":[{"family":"Daens","given":"S."},{"family":"Peretz","given":"A."},{"family":"De Maertelaer","given":"V."},{"family":"Moris","given":"M."},{"family":"Bergmann","given":"P."}],"issued":{"date-parts":[["1999",9,1]]}}},{"id":4287,"uris":["http://zotero.org/users/13605431/items/LE75X9LY"],"itemData":{"id":4287,"type":"article-journal","abstract":"Introduction: Prolonged use of systemic corticosteroids leads to reduced bone mineral density and osteoporosis, in turn increasing the risk of minimal trauma fractures with their associated morbidity and mortality in elderly populations. However, the e</w:instrText>
      </w:r>
      <w:r w:rsidR="00386695" w:rsidRPr="00586786">
        <w:rPr>
          <w:rFonts w:ascii="Cambria Math" w:hAnsi="Cambria Math" w:cs="Cambria Math"/>
        </w:rPr>
        <w:instrText>ﬀ</w:instrText>
      </w:r>
      <w:r w:rsidR="00386695" w:rsidRPr="00586786">
        <w:rPr>
          <w:rFonts w:ascii="Arial" w:hAnsi="Arial" w:cs="Arial"/>
        </w:rPr>
        <w:instrText>ect of inhaled corticosteroids on bone mineral density has been debated in the medical literature.\nObjectives: We aimed to determine the e</w:instrText>
      </w:r>
      <w:r w:rsidR="00386695" w:rsidRPr="00586786">
        <w:rPr>
          <w:rFonts w:ascii="Cambria Math" w:hAnsi="Cambria Math" w:cs="Cambria Math"/>
        </w:rPr>
        <w:instrText>ﬀ</w:instrText>
      </w:r>
      <w:r w:rsidR="00386695" w:rsidRPr="00586786">
        <w:rPr>
          <w:rFonts w:ascii="Arial" w:hAnsi="Arial" w:cs="Arial"/>
        </w:rPr>
        <w:instrText>ect of inhaled corticosteroids on bone mineral density measured using calcaneal quantitative ultrasonography in a cohort of older Australians.\nMethods: Data was collected from the Hunter Community Study, a longitudinal cohort of Australians aged 55-85. Simple and multiple linear regression methods were used to test the cross-sectional association between inhaled corticosteroids and calcaneal bone mineral density measured with quantitative ultrasound at baseline. A causal diagram was used to determine the minimally su</w:instrText>
      </w:r>
      <w:r w:rsidR="00386695" w:rsidRPr="00586786">
        <w:rPr>
          <w:rFonts w:ascii="Cambria Math" w:hAnsi="Cambria Math" w:cs="Cambria Math"/>
        </w:rPr>
        <w:instrText>ﬃ</w:instrText>
      </w:r>
      <w:r w:rsidR="00386695" w:rsidRPr="00586786">
        <w:rPr>
          <w:rFonts w:ascii="Arial" w:hAnsi="Arial" w:cs="Arial"/>
        </w:rPr>
        <w:instrText>cient number of co-variates necessary to determine the unconfounded e</w:instrText>
      </w:r>
      <w:r w:rsidR="00386695" w:rsidRPr="00586786">
        <w:rPr>
          <w:rFonts w:ascii="Cambria Math" w:hAnsi="Cambria Math" w:cs="Cambria Math"/>
        </w:rPr>
        <w:instrText>ﬀ</w:instrText>
      </w:r>
      <w:r w:rsidR="00386695" w:rsidRPr="00586786">
        <w:rPr>
          <w:rFonts w:ascii="Arial" w:hAnsi="Arial" w:cs="Arial"/>
        </w:rPr>
        <w:instrText>ect of inhaled corticosteroids on bone mineral density; these included gender, body mass index, smoking, asthma, alcohol use, age, physical activity, and diet.\nResults: There were 152 (6.8%) patients on inhaled corticosteroids and 2098 (93%) controls. Simple and multiple linear regression methods showed a non-signiﬁcant e</w:instrText>
      </w:r>
      <w:r w:rsidR="00386695" w:rsidRPr="00586786">
        <w:rPr>
          <w:rFonts w:ascii="Cambria Math" w:hAnsi="Cambria Math" w:cs="Cambria Math"/>
        </w:rPr>
        <w:instrText>ﬀ</w:instrText>
      </w:r>
      <w:r w:rsidR="00386695" w:rsidRPr="00586786">
        <w:rPr>
          <w:rFonts w:ascii="Arial" w:hAnsi="Arial" w:cs="Arial"/>
        </w:rPr>
        <w:instrText xml:space="preserve">ect of inhaled steroids on BMD with slight decrease of BMD 20.010 g/cm2 (95% CI 20.042 to 0.022, P 5 .55) and 20.013 g/cm2 (95% CI 20.062 to 0.036, P 5 .61) respectively. Age, gender, body mass index, and smoking were stronger predictors of BMD.\nConclusions: No statistically signiﬁcant relationship was detected between the use of inhaled corticosteroids and reduced bone mineral density in this observational study of a cohort of older Australians.","container-title":"The Clinical Respiratory Journal","DOI":"10.1111/crj.12576","ISSN":"1752-6981, 1752-699X","issue":"2","journalAbbreviation":"Clinical Respiratory J","language":"en","license":"http://onlinelibrary.wiley.com/termsAndConditions#vor","page":"659-665","source":"DOI.org (Crossref)","title":"The effect of inhaled corticosteroids on bone mineral density measured by quantitative ultrasonography in an older population","volume":"12","author":[{"family":"Sarwar","given":"Ghulam"},{"family":"Bisquera","given":"Alessandra"},{"family":"Peel","given":"Roseanne"},{"family":"Hancock","given":"Stephen"},{"family":"Grainge","given":"Christopher"},{"family":"Attia","given":"John"}],"issued":{"date-parts":[["2018",2]]}}}],"schema":"https://github.com/citation-style-language/schema/raw/master/csl-citation.json"} </w:instrText>
      </w:r>
      <w:r w:rsidR="004B3490" w:rsidRPr="00586786">
        <w:rPr>
          <w:rFonts w:ascii="Arial" w:hAnsi="Arial" w:cs="Arial"/>
        </w:rPr>
        <w:fldChar w:fldCharType="separate"/>
      </w:r>
      <w:r w:rsidR="00386695" w:rsidRPr="00586786">
        <w:rPr>
          <w:rFonts w:ascii="Arial" w:hAnsi="Arial" w:cs="Arial"/>
          <w:noProof/>
        </w:rPr>
        <w:t>(45,71,76,78)</w:t>
      </w:r>
      <w:r w:rsidR="004B3490" w:rsidRPr="00586786">
        <w:rPr>
          <w:rFonts w:ascii="Arial" w:hAnsi="Arial" w:cs="Arial"/>
        </w:rPr>
        <w:fldChar w:fldCharType="end"/>
      </w:r>
      <w:r w:rsidR="009A44C2" w:rsidRPr="00586786">
        <w:rPr>
          <w:rFonts w:ascii="Arial" w:hAnsi="Arial" w:cs="Arial"/>
        </w:rPr>
        <w:t>, bone indentation (n=1)</w:t>
      </w:r>
      <w:r w:rsidR="004B3490" w:rsidRPr="00586786">
        <w:rPr>
          <w:rFonts w:ascii="Arial" w:hAnsi="Arial" w:cs="Arial"/>
        </w:rPr>
        <w:fldChar w:fldCharType="begin"/>
      </w:r>
      <w:r w:rsidR="00386695" w:rsidRPr="00586786">
        <w:rPr>
          <w:rFonts w:ascii="Arial" w:hAnsi="Arial" w:cs="Arial"/>
        </w:rPr>
        <w:instrText xml:space="preserve"> ADDIN ZOTERO_ITEM CSL_CITATION {"citationID":"hu7xYny9","properties":{"formattedCitation":"(55)","plainCitation":"(55)","noteIndex":0},"citationItems":[{"id":4229,"uris":["http://zotero.org/users/13605431/items/DP8D2AE2"],"itemData":{"id":4229,"type":"article-journal","abstract":"Glucocorticoids, widely used in inﬂammatory disorders, rapidly increase bone fragility and, therefore, fracture risk. However, common bone densitometry measurements are not sensitive enough to detect these changes. Moreover, densitometry only partially recognizes treatment-induced fracture reductions in osteoporosis. Here, we tested whether the reference point indentation technique could detect bone tissue property changes early after glucocorticoid treatment initiation. After initial laboratory and bone density measurements, patients were allocated into groups receiving calcium þ vitamin D (CaþD) supplements or antiosteoporotic drugs (risedronate, denosumab, teriparatide). Reference point indentation was performed on the cortical bone layer of the tibia by a handheld device measuring bone material strength index (BMSi). Bone mineral density was measured by dualenergy X-ray absorptiometry (DXA). Although CaþD-treated patients exhibited substantial and signiﬁcant deterioration, risedronate-treated patients exhibited no signiﬁcant change, and both denosumab- and teriparatide-treated participants exhibited signiﬁcantly improved BMSi 7 weeks after initial treatment compared with baseline; these trends remained stable for 20 weeks. In contrast, no densitometry changes were observed during this study period. In conclusion, our study is the ﬁrst to our knowledge to demonstrate that reference point indentation is sensitive enough to reﬂect changes in cortical bone indentation after treatment with osteoporosis therapies in patients newly exposed to glucocorticoids. © 2015 American Society for Bone and Mineral Research.","container-title":"Journal of Bone and Mineral Research","DOI":"10.1002/jbmr.2497","ISSN":"0884-0431, 1523-4681","issue":"9","language":"en","license":"https://academic.oup.com/journals/pages/open_access/funder_policies/chorus/standard_publication_model","page":"1651-1656","source":"DOI.org (Crossref)","title":"Bone Tissue Properties Measurement by Reference Point Indentation in Glucocorticoid-Induced Osteoporosis","volume":"30","author":[{"family":"Mellibovsky","given":"Leonardo"},{"family":"Prieto-Alhambra","given":"Daniel"},{"family":"Mellibovsky","given":"Fernando"},{"family":"Güerri-Fernández","given":"Roberto"},{"family":"Nogués","given":"Xavier"},{"family":"Randall","given":"Connor"},{"family":"Hansma","given":"Paul K"},{"family":"Díez-Perez","given":"Adolfo"}],"issued":{"date-parts":[["2015",9,1]]}}}],"schema":"https://github.com/citation-style-language/schema/raw/master/csl-citation.json"} </w:instrText>
      </w:r>
      <w:r w:rsidR="004B3490" w:rsidRPr="00586786">
        <w:rPr>
          <w:rFonts w:ascii="Arial" w:hAnsi="Arial" w:cs="Arial"/>
        </w:rPr>
        <w:fldChar w:fldCharType="separate"/>
      </w:r>
      <w:r w:rsidR="00386695" w:rsidRPr="00586786">
        <w:rPr>
          <w:rFonts w:ascii="Arial" w:hAnsi="Arial" w:cs="Arial"/>
          <w:noProof/>
        </w:rPr>
        <w:t>(55)</w:t>
      </w:r>
      <w:r w:rsidR="004B3490" w:rsidRPr="00586786">
        <w:rPr>
          <w:rFonts w:ascii="Arial" w:hAnsi="Arial" w:cs="Arial"/>
        </w:rPr>
        <w:fldChar w:fldCharType="end"/>
      </w:r>
      <w:r w:rsidR="009A44C2" w:rsidRPr="00586786">
        <w:rPr>
          <w:rFonts w:ascii="Arial" w:hAnsi="Arial" w:cs="Arial"/>
        </w:rPr>
        <w:t>, vertebral x-ray/fracture (n=2)</w:t>
      </w:r>
      <w:r w:rsidR="004B3490" w:rsidRPr="00586786">
        <w:rPr>
          <w:rFonts w:ascii="Arial" w:hAnsi="Arial" w:cs="Arial"/>
        </w:rPr>
        <w:fldChar w:fldCharType="begin"/>
      </w:r>
      <w:r w:rsidR="00386695" w:rsidRPr="00586786">
        <w:rPr>
          <w:rFonts w:ascii="Arial" w:hAnsi="Arial" w:cs="Arial"/>
        </w:rPr>
        <w:instrText xml:space="preserve"> ADDIN ZOTERO_ITEM CSL_CITATION {"citationID":"VdWVyMIz","properties":{"formattedCitation":"(57,60)","plainCitation":"(57,60)","noteIndex":0},"citationItems":[{"id":4260,"uris":["http://zotero.org/users/13605431/items/YWD7JQW2"],"itemData":{"id":4260,"type":"article-journal","abstract":"High-resolution quantitative computed tomography (HRQCT)-based analysis of spinal bone density and microstructure, ﬁnite element analysis (FEA), and DXA were used to investigate the vertebral bone status of men with glucocorticoid-induced osteoporosis (GIO). DXA of L1–L3 and total hip, QCT of L1–L3, and HRQCT of T12 were available for 73 men (54.6 ± 14.0 years) with GIO. Prevalent vertebral fracture status was evaluated on radiographs using a semi-quantitative (SQ) score (normal = 0 to severe fracture = 3), and the spinal deformity index (SDI) score (sum of SQ scores of T4 to L4 vertebrae). Thirty-one (42.4%) subjects had prevalent vertebral fractures. Cortical BMD (Ct.BMD) and thickness (Ct.Th), trabecular BMD (Tb.BMD), apparent trabecular bone volume fraction (app.BV/TV), and apparent trabecular separation (app.Tb.Sp) were analyzed by HRQCT. Stiffness and strength of T12 were computed by HRQCT-based nonlinear FEA for axial compression, anterior bending and axial torsion. In logistic regressions adjusted for age, glucocorticoid dose and osteoporosis treatment, Tb.BMD was most closely associated with vertebral fracture status (standardized odds ratio [sOR]: Tb.BMD T12: 4.05 [95% CI: 1.8–9.0], Tb.BMD L1–L3: 3.95 [1.8–8.9]). Strength divided by cross-sectional area for axial compression showed the most signiﬁcant association with spine fracture status among FEA variables (2.56 [1.29–5.07]). SDI was best predicted by a microstructural model using Ct.Th and app.Tb.Sp (r2 = 0.57, p b 0.001). Spinal or hip DXA measurements did not show signiﬁcant associations with fracture status or severity.","container-title":"Bone","DOI":"10.1016/j.bone.2012.10.036","ISSN":"87563282","issue":"2","journalAbbreviation":"Bone","language":"en","page":"568-577","source":"DOI.org (Crossref)","title":"High resolution quantitative computed tomography-based assessment of trabecular microstructure and strength estimates by finite-element analysis of the spine, but not DXA, reflects vertebral fracture status in men with glucocorticoid-induced osteoporosis","volume":"52","author":[{"family":"Graeff","given":"Christian"},{"family":"Marin","given":"Fernando"},{"family":"Petto","given":"Helmut"},{"family":"Kayser","given":"Ole"},{"family":"Reisinger","given":"Andreas"},{"family":"Peña","given":"Jaime"},{"family":"Zysset","given":"Philippe"},{"family":"Glüer","given":"Claus-Christian"}],"issued":{"date-parts":[["2013",2]]}}},{"id":4227,"uris":["http://zotero.org/users/13605431/items/KDMSRZ3R"],"itemData":{"id":4227,"type":"article-journal","abstract":"Methods. Fifty-nine Chinese women with SLE taking corticosteroid were selected to participate in a cross-sectional study. Vertebral fracture was confirmed semiquantitatively by lateral radiographs of the thoracic and lumbar spine. Density and microarchitecture at the distal radius were measured with HR-pQCT. Areal bone mineral density (aBMD) at hip and lumbar spine was measured by dualenergy x-ray absorptiometry (DEXA).\nResults. Twelve patients had vertebral fractures. The aBMD of spine or hip did not differ between those with and without vertebral fractures. Measures by HR-pQCT revealed that patients with vertebral fractures had significantly lower level of average bone density (p = 0.007), cortical bone density (p = 0.029), trabecular bone density (p = 0.024), trabecular bone volume to tissue volume (p = 0.023), and trabecular thickness (p = 0.011) than those without vertebral fractures. Independent explanatory variables associated with higher risk of vertebral fractures were older age (p = 0.013) and lower average cortical bone density (p = 0.029).\nConclusion. Vertebral fracture in patients with SLE on chronic corticosteroid treatment was associated with alterations of bone density and microarchitectures measured by HR-pQCT and DEXA. However, alterations were more pronounced in measurements by HR-pQCT. Low cortical bone density and old age were significant predictors of vertebral fracture risk. (First Release May 15 2010; J Rheumatol 2010;37:1473–9; doi:10.3899/jrheum.091231)","container-title":"The Journal of Rheumatology","DOI":"10.3899/jrheum.091231","ISSN":"0315-162X, 1499-2752","issue":"7","journalAbbreviation":"J Rheumatol","language":"en","page":"1473-1479","source":"DOI.org (Crossref)","title":"Bone Microarchitecture Assessment by High-Resolution Peripheral Quantitative Computed Tomography in Patients with Systemic Lupus Erythematosus Taking Corticosteroids","volume":"37","author":[{"family":"Li","given":"Edmund K."},{"family":"Zhu","given":"Tracy Y."},{"family":"Tam","given":"Lai-Shan"},{"family":"Hung","given":"Vivian W."},{"family":"Griffith","given":"James F."},{"family":"Li","given":"Tena K."},{"family":"Li","given":"Martin"},{"family":"Wong","given":"Kong Chiu"},{"family":"Leung","given":"Ping Chung"},{"family":"Kwok","given":"Anthony W."},{"family":"Qin","given":"Ling"}],"issued":{"date-parts":[["2010",7]]}}}],"schema":"https://github.com/citation-style-language/schema/raw/master/csl-citation.json"} </w:instrText>
      </w:r>
      <w:r w:rsidR="004B3490" w:rsidRPr="00586786">
        <w:rPr>
          <w:rFonts w:ascii="Arial" w:hAnsi="Arial" w:cs="Arial"/>
        </w:rPr>
        <w:fldChar w:fldCharType="separate"/>
      </w:r>
      <w:r w:rsidR="00386695" w:rsidRPr="00586786">
        <w:rPr>
          <w:rFonts w:ascii="Arial" w:hAnsi="Arial" w:cs="Arial"/>
          <w:noProof/>
        </w:rPr>
        <w:t>(57,60)</w:t>
      </w:r>
      <w:r w:rsidR="004B3490" w:rsidRPr="00586786">
        <w:rPr>
          <w:rFonts w:ascii="Arial" w:hAnsi="Arial" w:cs="Arial"/>
        </w:rPr>
        <w:fldChar w:fldCharType="end"/>
      </w:r>
      <w:r w:rsidR="00D54686" w:rsidRPr="00586786">
        <w:rPr>
          <w:rFonts w:ascii="Arial" w:hAnsi="Arial" w:cs="Arial"/>
        </w:rPr>
        <w:t xml:space="preserve">, </w:t>
      </w:r>
      <w:r w:rsidR="009A44C2" w:rsidRPr="00586786">
        <w:rPr>
          <w:rFonts w:ascii="Arial" w:hAnsi="Arial" w:cs="Arial"/>
        </w:rPr>
        <w:t>high-resolution quantitative computed tomography (n=</w:t>
      </w:r>
      <w:r w:rsidRPr="00586786">
        <w:rPr>
          <w:rFonts w:ascii="Arial" w:hAnsi="Arial" w:cs="Arial"/>
        </w:rPr>
        <w:t>3</w:t>
      </w:r>
      <w:r w:rsidR="009A44C2" w:rsidRPr="00586786">
        <w:rPr>
          <w:rFonts w:ascii="Arial" w:hAnsi="Arial" w:cs="Arial"/>
        </w:rPr>
        <w:t>)</w:t>
      </w:r>
      <w:r w:rsidR="004B3490" w:rsidRPr="00586786">
        <w:rPr>
          <w:rFonts w:ascii="Arial" w:hAnsi="Arial" w:cs="Arial"/>
        </w:rPr>
        <w:fldChar w:fldCharType="begin"/>
      </w:r>
      <w:r w:rsidR="00386695" w:rsidRPr="00586786">
        <w:rPr>
          <w:rFonts w:ascii="Arial" w:hAnsi="Arial" w:cs="Arial"/>
        </w:rPr>
        <w:instrText xml:space="preserve"> ADDIN ZOTERO_ITEM CSL_CITATION {"citationID":"ghks0HUX","properties":{"formattedCitation":"(57,60,68)","plainCitation":"(57,60,68)","noteIndex":0},"citationItems":[{"id":4260,"uris":["http://zotero.org/users/13605431/items/YWD7JQW2"],"itemData":{"id":4260,"type":"article-journal","abstract":"High-resolution quantitative computed tomography (HRQCT)-based analysis of spinal bone density and microstructure, ﬁnite element analysis (FEA), and DXA were used to investigate the vertebral bone status of men with glucocorticoid-induced osteoporosis (GIO). DXA of L1–L3 and total hip, QCT of L1–L3, and HRQCT of T12 were available for 73 men (54.6 ± 14.0 years) with GIO. Prevalent vertebral fracture status was evaluated on radiographs using a semi-quantitative (SQ) score (normal = 0 to severe fracture = 3), and the spinal deformity index (SDI) score (sum of SQ scores of T4 to L4 vertebrae). Thirty-one (42.4%) subjects had prevalent vertebral fractures. Cortical BMD (Ct.BMD) and thickness (Ct.Th), trabecular BMD (Tb.BMD), apparent trabecular bone volume fraction (app.BV/TV), and apparent trabecular separation (app.Tb.Sp) were analyzed by HRQCT. Stiffness and strength of T12 were computed by HRQCT-based nonlinear FEA for axial compression, anterior bending and axial torsion. In logistic regressions adjusted for age, glucocorticoid dose and osteoporosis treatment, Tb.BMD was most closely associated with vertebral fracture status (standardized odds ratio [sOR]: Tb.BMD T12: 4.05 [95% CI: 1.8–9.0], Tb.BMD L1–L3: 3.95 [1.8–8.9]). Strength divided by cross-sectional area for axial compression showed the most signiﬁcant association with spine fracture status among FEA variables (2.56 [1.29–5.07]). SDI was best predicted by a microstructural model using Ct.Th and app.Tb.Sp (r2 = 0.57, p b 0.001). Spinal or hip DXA measurements did not show signiﬁcant associations with fracture status or severity.","container-title":"Bone","DOI":"10.1016/j.bone.2012.10.036","ISSN":"87563282","issue":"2","journalAbbreviation":"Bone","language":"en","page":"568-577","source":"DOI.org (Crossref)","title":"High resolution quantitative computed tomography-based assessment of trabecular microstructure and strength estimates by finite-element analysis of the spine, but not DXA, reflects vertebral fracture status in men with glucocorticoid-induced osteoporosis","volume":"52","author":[{"family":"Graeff","given":"Christian"},{"family":"Marin","given":"Fernando"},{"family":"Petto","given":"Helmut"},{"family":"Kayser","given":"Ole"},{"family":"Reisinger","given":"Andreas"},{"family":"Peña","given":"Jaime"},{"family":"Zysset","given":"Philippe"},{"family":"Glüer","given":"Claus-Christian"}],"issued":{"date-parts":[["2013",2]]}}},{"id":4227,"uris":["http://zotero.org/users/13605431/items/KDMSRZ3R"],"itemData":{"id":4227,"type":"article-journal","abstract":"Methods. Fifty-nine Chinese women with SLE taking corticosteroid were selected to participate in a cross-sectional study. Vertebral fracture was confirmed semiquantitatively by lateral radiographs of the thoracic and lumbar spine. Density and microarchitecture at the distal radius were measured with HR-pQCT. Areal bone mineral density (aBMD) at hip and lumbar spine was measured by dualenergy x-ray absorptiometry (DEXA).\nResults. Twelve patients had vertebral fractures. The aBMD of spine or hip did not differ between those with and without vertebral fractures. Measures by HR-pQCT revealed that patients with vertebral fractures had significantly lower level of average bone density (p = 0.007), cortical bone density (p = 0.029), trabecular bone density (p = 0.024), trabecular bone volume to tissue volume (p = 0.023), and trabecular thickness (p = 0.011) than those without vertebral fractures. Independent explanatory variables associated with higher risk of vertebral fractures were older age (p = 0.013) and lower average cortical bone density (p = 0.029).\nConclusion. Vertebral fracture in patients with SLE on chronic corticosteroid treatment was associated with alterations of bone density and microarchitectures measured by HR-pQCT and DEXA. However, alterations were more pronounced in measurements by HR-pQCT. Low cortical bone density and old age were significant predictors of vertebral fracture risk. (First Release May 15 2010; J Rheumatol 2010;37:1473–9; doi:10.3899/jrheum.091231)","container-title":"The Journal of Rheumatology","DOI":"10.3899/jrheum.091231","ISSN":"0315-162X, 1499-2752","issue":"7","journalAbbreviation":"J Rheumatol","language":"en","page":"1473-1479","source":"DOI.org (Crossref)","title":"Bone Microarchitecture Assessment by High-Resolution Peripheral Quantitative Computed Tomography in Patients with Systemic Lupus Erythematosus Taking Corticosteroids","volume":"37","author":[{"family":"Li","given":"Edmund K."},{"family":"Zhu","given":"Tracy Y."},{"family":"Tam","given":"Lai-Shan"},{"family":"Hung","given":"Vivian W."},{"family":"Griffith","given":"James F."},{"family":"Li","given":"Tena K."},{"family":"Li","given":"Martin"},{"family":"Wong","given":"Kong Chiu"},{"family":"Leung","given":"Ping Chung"},{"family":"Kwok","given":"Anthony W."},{"family":"Qin","given":"Ling"}],"issued":{"date-parts":[["2010",7]]}}},{"id":4244,"uris":["http://zotero.org/users/13605431/items/9CUYML55"],"itemData":{"id":4244,"type":"article-journal","container-title":"Osteoporosis International","DOI":"10.1007/s00198-004-1736-9","ISSN":"0937-941X, 1433-2965","issue":"6","journalAbbreviation":"Osteoporos Int","language":"en","license":"http://www.springer.com/tdm","page":"642-650","source":"DOI.org (Crossref)","title":"Differences in hip quantitative computed tomography (QCT) measurements of bone mineral density and bone strength between glucocorticoid-treated and glucocorticoid-naïve postmenopausal women","volume":"16","author":[{"family":"Lian","given":"Kuo-Chiang"},{"family":"Lang","given":"Thomas F."},{"family":"Keyak","given":"Joyce H."},{"family":"Modin","given":"Gunnard W."},{"family":"Rehman","given":"Qaisar"},{"family":"Do","given":"Loi"},{"family":"Lane","given":"Nancy E."}],"issued":{"date-parts":[["2005",6]]}}}],"schema":"https://github.com/citation-style-language/schema/raw/master/csl-citation.json"} </w:instrText>
      </w:r>
      <w:r w:rsidR="004B3490" w:rsidRPr="00586786">
        <w:rPr>
          <w:rFonts w:ascii="Arial" w:hAnsi="Arial" w:cs="Arial"/>
        </w:rPr>
        <w:fldChar w:fldCharType="separate"/>
      </w:r>
      <w:r w:rsidR="00386695" w:rsidRPr="00586786">
        <w:rPr>
          <w:rFonts w:ascii="Arial" w:hAnsi="Arial" w:cs="Arial"/>
          <w:noProof/>
        </w:rPr>
        <w:t>(57,60,68)</w:t>
      </w:r>
      <w:r w:rsidR="004B3490" w:rsidRPr="00586786">
        <w:rPr>
          <w:rFonts w:ascii="Arial" w:hAnsi="Arial" w:cs="Arial"/>
        </w:rPr>
        <w:fldChar w:fldCharType="end"/>
      </w:r>
      <w:r w:rsidR="00D54686" w:rsidRPr="00586786">
        <w:rPr>
          <w:rFonts w:ascii="Arial" w:hAnsi="Arial" w:cs="Arial"/>
        </w:rPr>
        <w:t>,</w:t>
      </w:r>
      <w:r w:rsidR="00DC36B6" w:rsidRPr="00586786">
        <w:rPr>
          <w:rFonts w:ascii="Arial" w:hAnsi="Arial" w:cs="Arial"/>
        </w:rPr>
        <w:t xml:space="preserve"> finite element modelling (n=1)</w:t>
      </w:r>
      <w:r w:rsidR="00DC36B6" w:rsidRPr="00586786">
        <w:rPr>
          <w:rFonts w:ascii="Arial" w:hAnsi="Arial" w:cs="Arial"/>
        </w:rPr>
        <w:fldChar w:fldCharType="begin"/>
      </w:r>
      <w:r w:rsidR="00386695" w:rsidRPr="00586786">
        <w:rPr>
          <w:rFonts w:ascii="Arial" w:hAnsi="Arial" w:cs="Arial"/>
        </w:rPr>
        <w:instrText xml:space="preserve"> ADDIN ZOTERO_ITEM CSL_CITATION {"citationID":"JbRdAt1Z","properties":{"formattedCitation":"(68)","plainCitation":"(68)","noteIndex":0},"citationItems":[{"id":4244,"uris":["http://zotero.org/users/13605431/items/9CUYML55"],"itemData":{"id":4244,"type":"article-journal","container-title":"Osteoporosis International","DOI":"10.1007/s00198-004-1736-9","ISSN":"0937-941X, 1433-2965","issue":"6","journalAbbreviation":"Osteoporos Int","language":"en","license":"http://www.springer.com/tdm","page":"642-650","source":"DOI.org (Crossref)","title":"Differences in hip quantitative computed tomography (QCT) measurements of bone mineral density and bone strength between glucocorticoid-treated and glucocorticoid-naïve postmenopausal women","volume":"16","author":[{"family":"Lian","given":"Kuo-Chiang"},{"family":"Lang","given":"Thomas F."},{"family":"Keyak","given":"Joyce H."},{"family":"Modin","given":"Gunnard W."},{"family":"Rehman","given":"Qaisar"},{"family":"Do","given":"Loi"},{"family":"Lane","given":"Nancy E."}],"issued":{"date-parts":[["2005",6]]}}}],"schema":"https://github.com/citation-style-language/schema/raw/master/csl-citation.json"} </w:instrText>
      </w:r>
      <w:r w:rsidR="00DC36B6" w:rsidRPr="00586786">
        <w:rPr>
          <w:rFonts w:ascii="Arial" w:hAnsi="Arial" w:cs="Arial"/>
        </w:rPr>
        <w:fldChar w:fldCharType="separate"/>
      </w:r>
      <w:r w:rsidR="00386695" w:rsidRPr="00586786">
        <w:rPr>
          <w:rFonts w:ascii="Arial" w:hAnsi="Arial" w:cs="Arial"/>
          <w:noProof/>
        </w:rPr>
        <w:t>(68)</w:t>
      </w:r>
      <w:r w:rsidR="00DC36B6" w:rsidRPr="00586786">
        <w:rPr>
          <w:rFonts w:ascii="Arial" w:hAnsi="Arial" w:cs="Arial"/>
        </w:rPr>
        <w:fldChar w:fldCharType="end"/>
      </w:r>
      <w:r w:rsidR="00DC36B6" w:rsidRPr="00586786">
        <w:rPr>
          <w:rFonts w:ascii="Arial" w:hAnsi="Arial" w:cs="Arial"/>
        </w:rPr>
        <w:t>,</w:t>
      </w:r>
      <w:r w:rsidR="002F1508" w:rsidRPr="00586786">
        <w:rPr>
          <w:rFonts w:ascii="Arial" w:hAnsi="Arial" w:cs="Arial"/>
        </w:rPr>
        <w:t xml:space="preserve"> fragility fracture (n=1)</w:t>
      </w:r>
      <w:r w:rsidR="002F1508" w:rsidRPr="00586786">
        <w:rPr>
          <w:rFonts w:ascii="Arial" w:hAnsi="Arial" w:cs="Arial"/>
        </w:rPr>
        <w:fldChar w:fldCharType="begin"/>
      </w:r>
      <w:r w:rsidR="00386695" w:rsidRPr="00586786">
        <w:rPr>
          <w:rFonts w:ascii="Arial" w:hAnsi="Arial" w:cs="Arial"/>
        </w:rPr>
        <w:instrText xml:space="preserve"> ADDIN ZOTERO_ITEM CSL_CITATION {"citationID":"BURDn8jl","properties":{"formattedCitation":"(76)","plainCitation":"(76)","noteIndex":0},"citationItems":[{"id":4247,"uris":["http://zotero.org/users/13605431/items/LB5UC5PM"],"itemData":{"id":4247,"type":"article-journal","container-title":"Osteoporosis International","DOI":"10.1007/s001980050227","ISSN":"0937-941X, 1433-2965","issue":"4","journalAbbreviation":"Osteoporosis International","language":"en","license":"http://www.springer.com/tdm","page":"278-283","source":"DOI.org (Crossref)","title":"Efficiency of Quantitative Ultrasound Measurements as Compared with Dual-Energy X-ray Absorptiometry in the Assessment of Corticosteroid-Induced Bone Impairment","volume":"10","author":[{"family":"Daens","given":"S."},{"family":"Peretz","given":"A."},{"family":"De Maertelaer","given":"V."},{"family":"Moris","given":"M."},{"family":"Bergmann","given":"P."}],"issued":{"date-parts":[["1999",9,1]]}}}],"schema":"https://github.com/citation-style-language/schema/raw/master/csl-citation.json"} </w:instrText>
      </w:r>
      <w:r w:rsidR="002F1508" w:rsidRPr="00586786">
        <w:rPr>
          <w:rFonts w:ascii="Arial" w:hAnsi="Arial" w:cs="Arial"/>
        </w:rPr>
        <w:fldChar w:fldCharType="separate"/>
      </w:r>
      <w:r w:rsidR="00386695" w:rsidRPr="00586786">
        <w:rPr>
          <w:rFonts w:ascii="Arial" w:hAnsi="Arial" w:cs="Arial"/>
          <w:noProof/>
        </w:rPr>
        <w:t>(76)</w:t>
      </w:r>
      <w:r w:rsidR="002F1508" w:rsidRPr="00586786">
        <w:rPr>
          <w:rFonts w:ascii="Arial" w:hAnsi="Arial" w:cs="Arial"/>
        </w:rPr>
        <w:fldChar w:fldCharType="end"/>
      </w:r>
      <w:r w:rsidR="002F1508" w:rsidRPr="00586786">
        <w:rPr>
          <w:rFonts w:ascii="Arial" w:hAnsi="Arial" w:cs="Arial"/>
        </w:rPr>
        <w:t xml:space="preserve">, </w:t>
      </w:r>
      <w:r w:rsidR="00D54686" w:rsidRPr="00586786">
        <w:rPr>
          <w:rFonts w:ascii="Arial" w:hAnsi="Arial" w:cs="Arial"/>
        </w:rPr>
        <w:t>retrospective case note review (n=1)</w:t>
      </w:r>
      <w:r w:rsidR="004B3490" w:rsidRPr="00586786">
        <w:rPr>
          <w:rFonts w:ascii="Arial" w:hAnsi="Arial" w:cs="Arial"/>
        </w:rPr>
        <w:fldChar w:fldCharType="begin"/>
      </w:r>
      <w:r w:rsidR="00386695" w:rsidRPr="00586786">
        <w:rPr>
          <w:rFonts w:ascii="Arial" w:hAnsi="Arial" w:cs="Arial"/>
        </w:rPr>
        <w:instrText xml:space="preserve"> ADDIN ZOTERO_ITEM CSL_CITATION {"citationID":"gF8PkjvB","properties":{"formattedCitation":"(85)","plainCitation":"(85)","noteIndex":0},"citationItems":[{"id":4261,"uris":["http://zotero.org/users/13605431/items/WCP22P8Q"],"itemData":{"id":4261,"type":"article-journal","container-title":"Thorax","DOI":"10.1136/thx.23.6.571","ISSN":"0040-6376","issue":"6","journalAbbreviation":"Thorax","language":"en","page":"571-581","source":"DOI.org (Crossref)","title":"Incidence of serious complications of corticosteroid therapy in respiratory disease: A retrospective survey of patients in the Brompton Hospital","title-short":"Incidence of serious complications of corticosteroid therapy in respiratory disease","volume":"23","author":[{"family":"Smyllie","given":"H. C."},{"family":"Connolly","given":"C. K."}],"issued":{"date-parts":[["1968",11,1]]}}}],"schema":"https://github.com/citation-style-language/schema/raw/master/csl-citation.json"} </w:instrText>
      </w:r>
      <w:r w:rsidR="004B3490" w:rsidRPr="00586786">
        <w:rPr>
          <w:rFonts w:ascii="Arial" w:hAnsi="Arial" w:cs="Arial"/>
        </w:rPr>
        <w:fldChar w:fldCharType="separate"/>
      </w:r>
      <w:r w:rsidR="00386695" w:rsidRPr="00586786">
        <w:rPr>
          <w:rFonts w:ascii="Arial" w:hAnsi="Arial" w:cs="Arial"/>
          <w:noProof/>
        </w:rPr>
        <w:t>(85)</w:t>
      </w:r>
      <w:r w:rsidR="004B3490" w:rsidRPr="00586786">
        <w:rPr>
          <w:rFonts w:ascii="Arial" w:hAnsi="Arial" w:cs="Arial"/>
        </w:rPr>
        <w:fldChar w:fldCharType="end"/>
      </w:r>
      <w:r w:rsidR="00D54686" w:rsidRPr="00586786">
        <w:rPr>
          <w:rFonts w:ascii="Arial" w:hAnsi="Arial" w:cs="Arial"/>
        </w:rPr>
        <w:t xml:space="preserve">, World Health Organisation-Uppsala Monitoring Centre (WHO-UMC) </w:t>
      </w:r>
      <w:r w:rsidRPr="00586786">
        <w:rPr>
          <w:rFonts w:ascii="Arial" w:hAnsi="Arial" w:cs="Arial"/>
        </w:rPr>
        <w:t>assessment scale</w:t>
      </w:r>
      <w:r w:rsidR="00D54686" w:rsidRPr="00586786">
        <w:rPr>
          <w:rFonts w:ascii="Arial" w:hAnsi="Arial" w:cs="Arial"/>
        </w:rPr>
        <w:t xml:space="preserve"> (n=1)</w:t>
      </w:r>
      <w:r w:rsidR="004B3490" w:rsidRPr="00586786">
        <w:rPr>
          <w:rFonts w:ascii="Arial" w:hAnsi="Arial" w:cs="Arial"/>
        </w:rPr>
        <w:fldChar w:fldCharType="begin"/>
      </w:r>
      <w:r w:rsidR="00386695" w:rsidRPr="00586786">
        <w:rPr>
          <w:rFonts w:ascii="Arial" w:hAnsi="Arial" w:cs="Arial"/>
        </w:rPr>
        <w:instrText xml:space="preserve"> ADDIN ZOTERO_ITEM CSL_CITATION {"citationID":"UCjXJ8tz","properties":{"formattedCitation":"(35)","plainCitation":"(35)","noteIndex":0},"citationItems":[{"id":4258,"uris":["http://zotero.org/users/13605431/items/XYYAUV82"],"itemData":{"id":4258,"type":"article-journal","abstract":"Glucocorticoids are used in therapy empirically, but undesirable effects occur with large doses or prolonged administration. The aim of the study is to assess the pattern of adverse drug reactions of glucocorticoids in a tertiary care hospital. A retrospective analysis of adverse drug reactions (ADRs) following administration of glucocorticoids was conducted in the ADR monitoring center, Department of Pharmacology, Kasturba Medical College, Manipal. Clinical and treatment data were collected from the patient case records in the suspected adverse drug reaction reporting form as per the World Health Organization guidelines.  ADRs were assessed for Causality, Preventability and Severity using WHO causality assessment scale, Modified Schumock and Thornton’s scale and Hartwig’s severity scale, respectively. 100 ADRs were observed in 85 patients, with 51% males and 49% females. Prednisolone (53%) was the most common drug responsible for ADRs, followed by betamethasone (9%) and dexamethasone (8%). Hyperglycemia (34%) was the most common ADR, followed by cutaneous adverse reactions (32%). Acne (20%) was common among them. Over 86% reactions were categorized \"possible\". Among ADRs (91%) treated, only 16 % recovered. About 39% of cases were \"probably preventable\". The majority of ADRs (72%) were moderate in “severity”. Given the number and severity of side effects, the institution of glucocorticoids requires careful consideration of the relative risks and benefits in each patient.","container-title":"International Journal of Research in Pharmaceutical Sciences","DOI":"10.26452/ijrps.v12i2.4748","ISSN":"0975-7538","issue":"2","journalAbbreviation":"ijrps","language":"en","license":"https://creativecommons.org/licenses/by-nc-nd/4.0","page":"1611-1619","source":"DOI.org (Crossref)","title":"Glucocorticoids: Boon or Bane-An assessment of safety profiling of steroids in a tertiary care hospital","title-short":"Glucocorticoids","volume":"12","author":[{"family":"Holla","given":"Sadhana"}],"issued":{"date-parts":[["2021",6,12]]}}}],"schema":"https://github.com/citation-style-language/schema/raw/master/csl-citation.json"} </w:instrText>
      </w:r>
      <w:r w:rsidR="004B3490" w:rsidRPr="00586786">
        <w:rPr>
          <w:rFonts w:ascii="Arial" w:hAnsi="Arial" w:cs="Arial"/>
        </w:rPr>
        <w:fldChar w:fldCharType="separate"/>
      </w:r>
      <w:r w:rsidR="00386695" w:rsidRPr="00586786">
        <w:rPr>
          <w:rFonts w:ascii="Arial" w:hAnsi="Arial" w:cs="Arial"/>
          <w:noProof/>
        </w:rPr>
        <w:t>(35)</w:t>
      </w:r>
      <w:r w:rsidR="004B3490" w:rsidRPr="00586786">
        <w:rPr>
          <w:rFonts w:ascii="Arial" w:hAnsi="Arial" w:cs="Arial"/>
        </w:rPr>
        <w:fldChar w:fldCharType="end"/>
      </w:r>
      <w:r w:rsidR="00D54686" w:rsidRPr="00586786">
        <w:rPr>
          <w:rFonts w:ascii="Arial" w:hAnsi="Arial" w:cs="Arial"/>
        </w:rPr>
        <w:t>, modified Hartwig and Seigel scale (n=1)</w:t>
      </w:r>
      <w:r w:rsidR="004B3490" w:rsidRPr="00586786">
        <w:rPr>
          <w:rFonts w:ascii="Arial" w:hAnsi="Arial" w:cs="Arial"/>
        </w:rPr>
        <w:fldChar w:fldCharType="begin"/>
      </w:r>
      <w:r w:rsidR="00386695" w:rsidRPr="00586786">
        <w:rPr>
          <w:rFonts w:ascii="Arial" w:hAnsi="Arial" w:cs="Arial"/>
        </w:rPr>
        <w:instrText xml:space="preserve"> ADDIN ZOTERO_ITEM CSL_CITATION {"citationID":"E983x03J","properties":{"formattedCitation":"(35)","plainCitation":"(35)","noteIndex":0},"citationItems":[{"id":4258,"uris":["http://zotero.org/users/13605431/items/XYYAUV82"],"itemData":{"id":4258,"type":"article-journal","abstract":"Glucocorticoids are used in therapy empirically, but undesirable effects occur with large doses or prolonged administration. The aim of the study is to assess the pattern of adverse drug reactions of glucocorticoids in a tertiary care hospital. A retrospective analysis of adverse drug reactions (ADRs) following administration of glucocorticoids was conducted in the ADR monitoring center, Department of Pharmacology, Kasturba Medical College, Manipal. Clinical and treatment data were collected from the patient case records in the suspected adverse drug reaction reporting form as per the World Health Organization guidelines.  ADRs were assessed for Causality, Preventability and Severity using WHO causality assessment scale, Modified Schumock and Thornton’s scale and Hartwig’s severity scale, respectively. 100 ADRs were observed in 85 patients, with 51% males and 49% females. Prednisolone (53%) was the most common drug responsible for ADRs, followed by betamethasone (9%) and dexamethasone (8%). Hyperglycemia (34%) was the most common ADR, followed by cutaneous adverse reactions (32%). Acne (20%) was common among them. Over 86% reactions were categorized \"possible\". Among ADRs (91%) treated, only 16 % recovered. About 39% of cases were \"probably preventable\". The majority of ADRs (72%) were moderate in “severity”. Given the number and severity of side effects, the institution of glucocorticoids requires careful consideration of the relative risks and benefits in each patient.","container-title":"International Journal of Research in Pharmaceutical Sciences","DOI":"10.26452/ijrps.v12i2.4748","ISSN":"0975-7538","issue":"2","journalAbbreviation":"ijrps","language":"en","license":"https://creativecommons.org/licenses/by-nc-nd/4.0","page":"1611-1619","source":"DOI.org (Crossref)","title":"Glucocorticoids: Boon or Bane-An assessment of safety profiling of steroids in a tertiary care hospital","title-short":"Glucocorticoids","volume":"12","author":[{"family":"Holla","given":"Sadhana"}],"issued":{"date-parts":[["2021",6,12]]}}}],"schema":"https://github.com/citation-style-language/schema/raw/master/csl-citation.json"} </w:instrText>
      </w:r>
      <w:r w:rsidR="004B3490" w:rsidRPr="00586786">
        <w:rPr>
          <w:rFonts w:ascii="Arial" w:hAnsi="Arial" w:cs="Arial"/>
        </w:rPr>
        <w:fldChar w:fldCharType="separate"/>
      </w:r>
      <w:r w:rsidR="00386695" w:rsidRPr="00586786">
        <w:rPr>
          <w:rFonts w:ascii="Arial" w:hAnsi="Arial" w:cs="Arial"/>
          <w:noProof/>
        </w:rPr>
        <w:t>(35)</w:t>
      </w:r>
      <w:r w:rsidR="004B3490" w:rsidRPr="00586786">
        <w:rPr>
          <w:rFonts w:ascii="Arial" w:hAnsi="Arial" w:cs="Arial"/>
        </w:rPr>
        <w:fldChar w:fldCharType="end"/>
      </w:r>
      <w:r w:rsidR="00D54686" w:rsidRPr="00586786">
        <w:rPr>
          <w:rFonts w:ascii="Arial" w:hAnsi="Arial" w:cs="Arial"/>
        </w:rPr>
        <w:t>, dual photon absorptiometry (DPA) (n=1)</w:t>
      </w:r>
      <w:r w:rsidR="004B3490" w:rsidRPr="00586786">
        <w:rPr>
          <w:rFonts w:ascii="Arial" w:hAnsi="Arial" w:cs="Arial"/>
        </w:rPr>
        <w:fldChar w:fldCharType="begin"/>
      </w:r>
      <w:r w:rsidR="00386695" w:rsidRPr="00586786">
        <w:rPr>
          <w:rFonts w:ascii="Arial" w:hAnsi="Arial" w:cs="Arial"/>
        </w:rPr>
        <w:instrText xml:space="preserve"> ADDIN ZOTERO_ITEM CSL_CITATION {"citationID":"xLV1SixZ","properties":{"formattedCitation":"(81)","plainCitation":"(81)","noteIndex":0},"citationItems":[{"id":4527,"uris":["http://zotero.org/users/13605431/items/Q8HL5AQS"],"itemData":{"id":4527,"type":"article-journal","container-title":"The Journal of Rheumatology","page":"363-367","title":"Serum osteocalcin in the assessment of corticosteroid induced osteoporosis. Effect of long and short term corticosteroid treatment.pdf","volume":"16","author":[{"family":"Peretz","given":"A"},{"family":"Praet","given":"JP"},{"family":"Bosson","given":"D"},{"family":"Rozenberg","given":"S"},{"family":"Bourdoux","given":"P"}],"issued":{"date-parts":[["1989"]]}}}],"schema":"https://github.com/citation-style-language/schema/raw/master/csl-citation.json"} </w:instrText>
      </w:r>
      <w:r w:rsidR="004B3490" w:rsidRPr="00586786">
        <w:rPr>
          <w:rFonts w:ascii="Arial" w:hAnsi="Arial" w:cs="Arial"/>
        </w:rPr>
        <w:fldChar w:fldCharType="separate"/>
      </w:r>
      <w:r w:rsidR="00386695" w:rsidRPr="00586786">
        <w:rPr>
          <w:rFonts w:ascii="Arial" w:hAnsi="Arial" w:cs="Arial"/>
          <w:noProof/>
        </w:rPr>
        <w:t>(81)</w:t>
      </w:r>
      <w:r w:rsidR="004B3490" w:rsidRPr="00586786">
        <w:rPr>
          <w:rFonts w:ascii="Arial" w:hAnsi="Arial" w:cs="Arial"/>
        </w:rPr>
        <w:fldChar w:fldCharType="end"/>
      </w:r>
      <w:r w:rsidR="00D54686" w:rsidRPr="00586786">
        <w:rPr>
          <w:rFonts w:ascii="Arial" w:hAnsi="Arial" w:cs="Arial"/>
        </w:rPr>
        <w:t xml:space="preserve"> and </w:t>
      </w:r>
      <w:r w:rsidR="00A33D95" w:rsidRPr="00586786">
        <w:rPr>
          <w:rFonts w:ascii="Arial" w:hAnsi="Arial" w:cs="Arial"/>
        </w:rPr>
        <w:t xml:space="preserve">a group of instruments </w:t>
      </w:r>
      <w:r w:rsidR="00B20E94" w:rsidRPr="00586786">
        <w:rPr>
          <w:rFonts w:ascii="Arial" w:hAnsi="Arial" w:cs="Arial"/>
        </w:rPr>
        <w:t>of</w:t>
      </w:r>
      <w:r w:rsidR="00A33D95" w:rsidRPr="00586786">
        <w:rPr>
          <w:rFonts w:ascii="Arial" w:hAnsi="Arial" w:cs="Arial"/>
        </w:rPr>
        <w:t xml:space="preserve"> </w:t>
      </w:r>
      <w:r w:rsidR="00D54686" w:rsidRPr="00586786">
        <w:rPr>
          <w:rFonts w:ascii="Arial" w:hAnsi="Arial" w:cs="Arial"/>
        </w:rPr>
        <w:t xml:space="preserve">laboratory markers of bone health </w:t>
      </w:r>
      <w:r w:rsidR="00D54686" w:rsidRPr="00586786">
        <w:rPr>
          <w:rFonts w:ascii="Arial" w:hAnsi="Arial" w:cs="Arial"/>
        </w:rPr>
        <w:lastRenderedPageBreak/>
        <w:t>(</w:t>
      </w:r>
      <w:r w:rsidR="00A33D95" w:rsidRPr="00586786">
        <w:rPr>
          <w:rFonts w:ascii="Arial" w:hAnsi="Arial" w:cs="Arial"/>
        </w:rPr>
        <w:t xml:space="preserve">including individual measures of </w:t>
      </w:r>
      <w:r w:rsidR="00D54686" w:rsidRPr="00586786">
        <w:rPr>
          <w:rFonts w:ascii="Arial" w:hAnsi="Arial" w:cs="Arial"/>
        </w:rPr>
        <w:t xml:space="preserve">osteocalcin, parathyroid hormone, alkaline phosphatase, </w:t>
      </w:r>
      <w:r w:rsidR="009D59C2" w:rsidRPr="00586786">
        <w:rPr>
          <w:rFonts w:ascii="Arial" w:hAnsi="Arial" w:cs="Arial"/>
        </w:rPr>
        <w:t xml:space="preserve">and </w:t>
      </w:r>
      <w:r w:rsidR="00D54686" w:rsidRPr="00586786">
        <w:rPr>
          <w:rFonts w:ascii="Arial" w:hAnsi="Arial" w:cs="Arial"/>
        </w:rPr>
        <w:t>urine calcium) (n=1)</w:t>
      </w:r>
      <w:r w:rsidR="004B3490" w:rsidRPr="00586786">
        <w:rPr>
          <w:rFonts w:ascii="Arial" w:hAnsi="Arial" w:cs="Arial"/>
        </w:rPr>
        <w:fldChar w:fldCharType="begin"/>
      </w:r>
      <w:r w:rsidR="00386695" w:rsidRPr="00586786">
        <w:rPr>
          <w:rFonts w:ascii="Arial" w:hAnsi="Arial" w:cs="Arial"/>
        </w:rPr>
        <w:instrText xml:space="preserve"> ADDIN ZOTERO_ITEM CSL_CITATION {"citationID":"SFDUXnrh","properties":{"formattedCitation":"(81)","plainCitation":"(81)","noteIndex":0},"citationItems":[{"id":4527,"uris":["http://zotero.org/users/13605431/items/Q8HL5AQS"],"itemData":{"id":4527,"type":"article-journal","container-title":"The Journal of Rheumatology","page":"363-367","title":"Serum osteocalcin in the assessment of corticosteroid induced osteoporosis. Effect of long and short term corticosteroid treatment.pdf","volume":"16","author":[{"family":"Peretz","given":"A"},{"family":"Praet","given":"JP"},{"family":"Bosson","given":"D"},{"family":"Rozenberg","given":"S"},{"family":"Bourdoux","given":"P"}],"issued":{"date-parts":[["1989"]]}}}],"schema":"https://github.com/citation-style-language/schema/raw/master/csl-citation.json"} </w:instrText>
      </w:r>
      <w:r w:rsidR="004B3490" w:rsidRPr="00586786">
        <w:rPr>
          <w:rFonts w:ascii="Arial" w:hAnsi="Arial" w:cs="Arial"/>
        </w:rPr>
        <w:fldChar w:fldCharType="separate"/>
      </w:r>
      <w:r w:rsidR="00386695" w:rsidRPr="00586786">
        <w:rPr>
          <w:rFonts w:ascii="Arial" w:hAnsi="Arial" w:cs="Arial"/>
          <w:noProof/>
        </w:rPr>
        <w:t>(81)</w:t>
      </w:r>
      <w:r w:rsidR="004B3490" w:rsidRPr="00586786">
        <w:rPr>
          <w:rFonts w:ascii="Arial" w:hAnsi="Arial" w:cs="Arial"/>
        </w:rPr>
        <w:fldChar w:fldCharType="end"/>
      </w:r>
      <w:r w:rsidR="00D54686" w:rsidRPr="00586786">
        <w:rPr>
          <w:rFonts w:ascii="Arial" w:hAnsi="Arial" w:cs="Arial"/>
        </w:rPr>
        <w:t>.</w:t>
      </w:r>
      <w:r w:rsidR="00DF4501" w:rsidRPr="00586786">
        <w:rPr>
          <w:rFonts w:ascii="Arial" w:hAnsi="Arial" w:cs="Arial"/>
        </w:rPr>
        <w:t xml:space="preserve"> </w:t>
      </w:r>
      <w:r w:rsidR="00274241" w:rsidRPr="00586786">
        <w:rPr>
          <w:rFonts w:ascii="Arial" w:hAnsi="Arial" w:cs="Arial"/>
        </w:rPr>
        <w:t>Eleven</w:t>
      </w:r>
      <w:r w:rsidR="00DF4501" w:rsidRPr="00586786">
        <w:rPr>
          <w:rFonts w:ascii="Arial" w:hAnsi="Arial" w:cs="Arial"/>
        </w:rPr>
        <w:t xml:space="preserve"> studies included AIRD patient populations, 10 included non-AIRD populations</w:t>
      </w:r>
      <w:r w:rsidR="004A5C73" w:rsidRPr="00586786">
        <w:rPr>
          <w:rFonts w:ascii="Arial" w:hAnsi="Arial" w:cs="Arial"/>
        </w:rPr>
        <w:t xml:space="preserve">, </w:t>
      </w:r>
      <w:r w:rsidR="00DF4501" w:rsidRPr="00586786">
        <w:rPr>
          <w:rFonts w:ascii="Arial" w:hAnsi="Arial" w:cs="Arial"/>
        </w:rPr>
        <w:t>the patient population was unrestricted in 9 studies</w:t>
      </w:r>
      <w:r w:rsidR="009D59C2" w:rsidRPr="00586786">
        <w:rPr>
          <w:rFonts w:ascii="Arial" w:hAnsi="Arial" w:cs="Arial"/>
        </w:rPr>
        <w:t>,</w:t>
      </w:r>
      <w:r w:rsidR="004A5C73" w:rsidRPr="00586786">
        <w:rPr>
          <w:rFonts w:ascii="Arial" w:hAnsi="Arial" w:cs="Arial"/>
        </w:rPr>
        <w:t xml:space="preserve"> and not defined in one study</w:t>
      </w:r>
      <w:r w:rsidR="00DF4501" w:rsidRPr="00586786">
        <w:rPr>
          <w:rFonts w:ascii="Arial" w:hAnsi="Arial" w:cs="Arial"/>
        </w:rPr>
        <w:t xml:space="preserve">. </w:t>
      </w:r>
      <w:r w:rsidRPr="00586786">
        <w:rPr>
          <w:rFonts w:ascii="Arial" w:hAnsi="Arial" w:cs="Arial"/>
        </w:rPr>
        <w:t>GCs</w:t>
      </w:r>
      <w:r w:rsidR="00747818" w:rsidRPr="00586786">
        <w:rPr>
          <w:rFonts w:ascii="Arial" w:hAnsi="Arial" w:cs="Arial"/>
        </w:rPr>
        <w:t xml:space="preserve"> were delivered systemically in </w:t>
      </w:r>
      <w:r w:rsidR="008C76B1" w:rsidRPr="00586786">
        <w:rPr>
          <w:rFonts w:ascii="Arial" w:hAnsi="Arial" w:cs="Arial"/>
        </w:rPr>
        <w:t>2</w:t>
      </w:r>
      <w:r w:rsidR="002F1508" w:rsidRPr="00586786">
        <w:rPr>
          <w:rFonts w:ascii="Arial" w:hAnsi="Arial" w:cs="Arial"/>
        </w:rPr>
        <w:t>6</w:t>
      </w:r>
      <w:r w:rsidR="008C76B1" w:rsidRPr="00586786">
        <w:rPr>
          <w:rFonts w:ascii="Arial" w:hAnsi="Arial" w:cs="Arial"/>
        </w:rPr>
        <w:t xml:space="preserve"> included studies, inhaled in </w:t>
      </w:r>
      <w:r w:rsidRPr="00586786">
        <w:rPr>
          <w:rFonts w:ascii="Arial" w:hAnsi="Arial" w:cs="Arial"/>
        </w:rPr>
        <w:t>two</w:t>
      </w:r>
      <w:r w:rsidR="008C76B1" w:rsidRPr="00586786">
        <w:rPr>
          <w:rFonts w:ascii="Arial" w:hAnsi="Arial" w:cs="Arial"/>
        </w:rPr>
        <w:t xml:space="preserve"> studies, topical in </w:t>
      </w:r>
      <w:r w:rsidRPr="00586786">
        <w:rPr>
          <w:rFonts w:ascii="Arial" w:hAnsi="Arial" w:cs="Arial"/>
        </w:rPr>
        <w:t>one</w:t>
      </w:r>
      <w:r w:rsidR="008C76B1" w:rsidRPr="00586786">
        <w:rPr>
          <w:rFonts w:ascii="Arial" w:hAnsi="Arial" w:cs="Arial"/>
        </w:rPr>
        <w:t xml:space="preserve"> study and not restricted or not specified in </w:t>
      </w:r>
      <w:r w:rsidRPr="00586786">
        <w:rPr>
          <w:rFonts w:ascii="Arial" w:hAnsi="Arial" w:cs="Arial"/>
        </w:rPr>
        <w:t>three</w:t>
      </w:r>
      <w:r w:rsidR="008C76B1" w:rsidRPr="00586786">
        <w:rPr>
          <w:rFonts w:ascii="Arial" w:hAnsi="Arial" w:cs="Arial"/>
        </w:rPr>
        <w:t xml:space="preserve"> studies. </w:t>
      </w:r>
      <w:r w:rsidR="00561655" w:rsidRPr="00586786">
        <w:rPr>
          <w:rFonts w:ascii="Arial" w:hAnsi="Arial" w:cs="Arial"/>
        </w:rPr>
        <w:t xml:space="preserve">Five studies were development papers for the instrument(s) included. </w:t>
      </w:r>
      <w:r w:rsidR="00D72B82" w:rsidRPr="00586786">
        <w:rPr>
          <w:rFonts w:ascii="Arial" w:hAnsi="Arial" w:cs="Arial"/>
        </w:rPr>
        <w:t>Ten studies measured change over time with the included instrument</w:t>
      </w:r>
      <w:r w:rsidR="00D224F5" w:rsidRPr="00586786">
        <w:rPr>
          <w:rFonts w:ascii="Arial" w:hAnsi="Arial" w:cs="Arial"/>
        </w:rPr>
        <w:t>;</w:t>
      </w:r>
      <w:r w:rsidR="00D72B82" w:rsidRPr="00586786">
        <w:rPr>
          <w:rFonts w:ascii="Arial" w:hAnsi="Arial" w:cs="Arial"/>
        </w:rPr>
        <w:t xml:space="preserve"> the remaining 21 measured </w:t>
      </w:r>
      <w:r w:rsidR="001D7065" w:rsidRPr="00586786">
        <w:rPr>
          <w:rFonts w:ascii="Arial" w:hAnsi="Arial" w:cs="Arial"/>
        </w:rPr>
        <w:t>value at a single time point</w:t>
      </w:r>
      <w:r w:rsidR="00D72B82" w:rsidRPr="00586786">
        <w:rPr>
          <w:rFonts w:ascii="Arial" w:hAnsi="Arial" w:cs="Arial"/>
        </w:rPr>
        <w:t xml:space="preserve">. </w:t>
      </w:r>
    </w:p>
    <w:p w14:paraId="0B45FD02" w14:textId="77777777" w:rsidR="00AD4562" w:rsidRPr="00586786" w:rsidRDefault="00AD4562" w:rsidP="00586786">
      <w:pPr>
        <w:spacing w:line="360" w:lineRule="auto"/>
        <w:rPr>
          <w:rFonts w:ascii="Arial" w:hAnsi="Arial" w:cs="Arial"/>
        </w:rPr>
      </w:pPr>
    </w:p>
    <w:p w14:paraId="29FE61A6" w14:textId="711DECA9" w:rsidR="00C74AE4" w:rsidRPr="00586786" w:rsidRDefault="00E0194E" w:rsidP="00586786">
      <w:pPr>
        <w:spacing w:line="360" w:lineRule="auto"/>
        <w:rPr>
          <w:rFonts w:ascii="Arial" w:hAnsi="Arial" w:cs="Arial"/>
          <w:i/>
          <w:iCs/>
        </w:rPr>
      </w:pPr>
      <w:r w:rsidRPr="00586786">
        <w:rPr>
          <w:rFonts w:ascii="Arial" w:hAnsi="Arial" w:cs="Arial"/>
          <w:i/>
          <w:iCs/>
        </w:rPr>
        <w:t>3.</w:t>
      </w:r>
      <w:r w:rsidR="00246CA8" w:rsidRPr="00586786">
        <w:rPr>
          <w:rFonts w:ascii="Arial" w:hAnsi="Arial" w:cs="Arial"/>
          <w:i/>
          <w:iCs/>
        </w:rPr>
        <w:t>6</w:t>
      </w:r>
      <w:r w:rsidRPr="00586786">
        <w:rPr>
          <w:rFonts w:ascii="Arial" w:hAnsi="Arial" w:cs="Arial"/>
          <w:i/>
          <w:iCs/>
        </w:rPr>
        <w:t xml:space="preserve">.3 </w:t>
      </w:r>
      <w:r w:rsidR="00C74AE4" w:rsidRPr="00586786">
        <w:rPr>
          <w:rFonts w:ascii="Arial" w:hAnsi="Arial" w:cs="Arial"/>
          <w:i/>
          <w:iCs/>
        </w:rPr>
        <w:t>Hypertension</w:t>
      </w:r>
    </w:p>
    <w:p w14:paraId="55AF18B4" w14:textId="656BDA7B" w:rsidR="00C74AE4" w:rsidRPr="00586786" w:rsidRDefault="008E16DE" w:rsidP="00586786">
      <w:pPr>
        <w:spacing w:line="360" w:lineRule="auto"/>
        <w:rPr>
          <w:rFonts w:ascii="Arial" w:hAnsi="Arial" w:cs="Arial"/>
        </w:rPr>
      </w:pPr>
      <w:r w:rsidRPr="00586786">
        <w:rPr>
          <w:rFonts w:ascii="Arial" w:hAnsi="Arial" w:cs="Arial"/>
        </w:rPr>
        <w:t xml:space="preserve">Seven individual measurement tools were identified from 17 studies to assess hypertension as an adverse outcome of </w:t>
      </w:r>
      <w:r w:rsidR="00A72BBA" w:rsidRPr="00586786">
        <w:rPr>
          <w:rFonts w:ascii="Arial" w:hAnsi="Arial" w:cs="Arial"/>
        </w:rPr>
        <w:t>GC</w:t>
      </w:r>
      <w:r w:rsidRPr="00586786">
        <w:rPr>
          <w:rFonts w:ascii="Arial" w:hAnsi="Arial" w:cs="Arial"/>
        </w:rPr>
        <w:t xml:space="preserve"> therapy</w:t>
      </w:r>
      <w:r w:rsidR="00A72BBA" w:rsidRPr="00586786">
        <w:rPr>
          <w:rFonts w:ascii="Arial" w:hAnsi="Arial" w:cs="Arial"/>
        </w:rPr>
        <w:t xml:space="preserve"> (T</w:t>
      </w:r>
      <w:r w:rsidRPr="00586786">
        <w:rPr>
          <w:rFonts w:ascii="Arial" w:hAnsi="Arial" w:cs="Arial"/>
        </w:rPr>
        <w:t>able 5</w:t>
      </w:r>
      <w:r w:rsidR="00A72BBA" w:rsidRPr="00586786">
        <w:rPr>
          <w:rFonts w:ascii="Arial" w:hAnsi="Arial" w:cs="Arial"/>
        </w:rPr>
        <w:t>)</w:t>
      </w:r>
      <w:r w:rsidRPr="00586786">
        <w:rPr>
          <w:rFonts w:ascii="Arial" w:hAnsi="Arial" w:cs="Arial"/>
        </w:rPr>
        <w:t>. The GTI was most frequently used (n=</w:t>
      </w:r>
      <w:r w:rsidR="00AE2021">
        <w:rPr>
          <w:rFonts w:ascii="Arial" w:hAnsi="Arial" w:cs="Arial"/>
        </w:rPr>
        <w:t>10</w:t>
      </w:r>
      <w:r w:rsidRPr="00586786">
        <w:rPr>
          <w:rFonts w:ascii="Arial" w:hAnsi="Arial" w:cs="Arial"/>
        </w:rPr>
        <w:t>)</w:t>
      </w:r>
      <w:r w:rsidR="004A5C73" w:rsidRPr="00586786">
        <w:rPr>
          <w:rFonts w:ascii="Arial" w:hAnsi="Arial" w:cs="Arial"/>
        </w:rPr>
        <w:t xml:space="preserve"> and measured change in blood pressure (BP) from baseline with or without change in antihypertensive medication(s) </w:t>
      </w:r>
      <w:r w:rsidRPr="00586786">
        <w:rPr>
          <w:rFonts w:ascii="Arial" w:hAnsi="Arial" w:cs="Arial"/>
        </w:rPr>
        <w:fldChar w:fldCharType="begin"/>
      </w:r>
      <w:r w:rsidR="00386695" w:rsidRPr="00586786">
        <w:rPr>
          <w:rFonts w:ascii="Arial" w:hAnsi="Arial" w:cs="Arial"/>
        </w:rPr>
        <w:instrText xml:space="preserve"> ADDIN ZOTERO_ITEM CSL_CITATION {"citationID":"XXp4Mg85","properties":{"formattedCitation":"(10,14,17,21,24,25,28,30,32,33)","plainCitation":"(10,14,17,21,24,25,28,30,32,33)","noteIndex":0},"citationItems":[{"id":3829,"uris":["http://zotero.org/users/13605431/items/MXWPBSJM"],"itemData":{"id":3829,"type":"article-journal","abstract":"Objectives To develop a Glucocorticoid Toxicity Index (GTI) to assess glucocorticoid (GC)-related morbidity and GC-sparing ability of other therapies.\nMethods Nineteen experts on GC use and outcome measures from 11 subspecialties participated. Ten experts were from the USA; nine from Canada, Europe or Australia. Group consensus methods and multicriteria decision analysis (MCDA) were used. A Composite GTI and Speciﬁc List comprise the overall GTI. The Composite GTI reﬂects toxicity likely to change during a clinical trial. The Composite GTI toxicities occur commonly, vary with GC exposure, and are weighted and scored. Relative weights for items in the Composite GTI were derived by group consensus and MCDA. The Speciﬁc List is designed to capture GC toxicity not included in the Composite GTI. The Composite GTI was evaluated by application to paper cases by the investigators and an external group of 17 subspecialists.\nResults Thirty-one toxicity items were included in the Composite GTI and 23 in the Speciﬁc List. Composite GTI evaluation showed high inter-rater agreement (investigators κ 0.88, external raters κ 0.90). To assess the degree to which the Composite GTI corresponds to expert clinical judgement, participants ranked 15 cases by clinical judgement in order of highest to lowest GC toxicity. Expert rankings were then compared with case ranking by the Composite GTI, yielding excellent agreement (investigators weighted κ 0.87, external raters weighted κ 0.77).\nConclusions We describe the development and initial evaluation of a comprehensive instrument for the assessment of GC toxicity.","container-title":"Annals of the Rheumatic Diseases","DOI":"10.1136/annrheumdis-2016-210002","ISSN":"0003-4967, 1468-2060","issue":"3","journalAbbreviation":"Ann Rheum Dis","language":"en","page":"543-546","source":"DOI.org (Crossref)","title":"Development of a Glucocorticoid Toxicity Index (GTI) using multicriteria decision analysis","volume":"76","author":[{"family":"Miloslavsky","given":"Eli M"},{"family":"Naden","given":"Ray P"},{"family":"Bijlsma","given":"Johannes W J"},{"family":"Brogan","given":"Paul A"},{"family":"Brown","given":"E Sherwood"},{"family":"Brunetta","given":"Paul"},{"family":"Buttgereit","given":"Frank"},{"family":"Choi","given":"Hyon K"},{"family":"DiCaire","given":"Jean-Francois"},{"family":"Gelfand","given":"Jeffrey M"},{"family":"Heaney","given":"Liam G"},{"family":"Lightstone","given":"Liz"},{"family":"Lu","given":"Na"},{"family":"Murrell","given":"Dedee F"},{"family":"Petri","given":"Michelle"},{"family":"Rosenbaum","given":"James T"},{"family":"Saag","given":"Kenneth S"},{"family":"Urowitz","given":"Murray B"},{"family":"Winthrop","given":"Kevin L"},{"family":"Stone","given":"John H"}],"issued":{"date-parts":[["2017",3]]}}},{"id":4254,"uris":["http://zotero.org/users/13605431/items/NVRDHTQW"],"itemData":{"id":4254,"type":"article-journal","abstract":"Background ANCA-associated vasculitis (AAV) is an autoimmune disease. Induction remission and maintenance treatment typically includes high-dose, tapering glucocorticoids (GC), in addition to other immunosuppressive medication. The use of theGlucocorticoid Toxicity Index (GTI) provides a global, quantiﬁable assessment tool in which clinicians can assess GC-associated morbidity. Recent trials in AAV have exposed the need for systemic assessment of GC burden. In this small cohort study, we look to address these issues and the justiﬁcation of newer GC sparing agents, such as C5a inhibitors.\nMethods A retrospective cohort study of 43 patients with biopsy AAV was constructed from a single center between 2012–2016, and followed up for 48 months. The GTI table made up of adverse features was used to quantify patients’ GC toxicity. Electronic patient records were reviewed and scores calculated according to published methods. GTI scores were compared with cumulative steroid doses at separate intervals and incidences of adverse features in relation to the treatment timeline.\nResults The mean age was 65.9 (611.06) years and treatment regimens consisted of glucocorticoids alongside cyclophosphamide or rituximab. Our results showed statistical signiﬁcance in the association of cumulative GC doses and GTI scores (P50.008; 95% CI, 1.31 to 8.05). Adverse features relating to mood disturbance and GC-induced psychosis occurred early, in contrast to adrenal insufﬁciency, which typically presented later in the follow-up. Infection-related adverse events were consistent throughout.\nConclusions We demonstrated that higher cumulative doses of steroids in AAV lead to worse glucocorticoidrelated toxicity. Using the GTI creates the potential to individualize and quantify the adverse effects patients experience as a result of GC treatment and permits more patient-centered management. Although glucocorticoids remain the main adjunctive immunosuppression of AAV treatment, the narrow therapeutic window supports the need for GC-sparing treatments. KIDNEY360 2: 1002–1010, 2021. doi: https://doi.org/10.34067/KID.0000502021","container-title":"Kidney360","DOI":"10.34067/KID.0000502021","ISSN":"2641-7650","issue":"6","journalAbbreviation":"Kidney360","language":"en","page":"1002-1010","source":"DOI.org (Crossref)","title":"Glucocorticoid Therapy in ANCA Vasculitis: Using the Glucocorticoid Toxicity Index as an Outcome Measure","title-short":"Glucocorticoid Therapy in ANCA Vasculitis","volume":"2","author":[{"family":"Floyd","given":"Lauren"},{"family":"Morris","given":"Adam"},{"family":"Joshi","given":"Miland"},{"family":"Dhaygude","given":"Ajay"}],"issued":{"date-parts":[["2021",6]]}}},{"id":4288,"uris":["http://zotero.org/users/13605431/items/ZD43GZVK"],"itemData":{"id":4288,"type":"article-journal","abstract":"Glucocorticoids (GCs) have been the cornerstone of treating dozens of inﬂammatory conditions for more than seven decades. GC toxicity is ubiquitous in both clinical trials and clinical practice, and toxicities associated with GC use are central to the experience of most patients being treated for immune-mediated conditions. These conditions span the full range of medical specialties, including rheumatology, nephrology, gastroenterology, neurology, pulmonology, ophthalmology, and others. One of the goals of novel therapies for inﬂammatory disease must be to diminish the effects of GC toxicity in clinically important ways, thereby differentiating these new treatments from existing approaches. Despite the importance of glucocorticoids in the treatment of inﬂammatory disease for more than 70 years, no reliable means of calculating the degree to which GC toxicity has worsened or improved over the course of treatment has been available. The Glucocorticoid Toxicity Index (GTI), developed by an international group of subspecialty physician experts as a clinician-facing clinical trials outcome measure, is a standardized, validated measure of the phenomenon known as GC toxicity. The purpose of the instrument is to measure change in GC toxicity between two points in time: for example, between the baseline visit and the time of the primary efﬁcacy outcome assessment. The instrument is designed to quantify both worsening and improvement in GC toxicity. The GTI has been validated in both real-world experiences and clinical trials, including a phase 3, label-enabling trial in ANCA associated vasculitis. This article reviews the history and rationale for the development of the GTI, describes key data from validation studies, considers the minimum clinically important difference, and provides instructions for use of the instrument.","container-title":"Seminars in Arthritis and Rheumatism","DOI":"10.1016/j.semarthrit.2022.152010","ISSN":"00490172","journalAbbreviation":"Seminars in Arthritis and Rheumatism","language":"en","page":"152010","source":"DOI.org (Crossref)","title":"The glucocorticoid toxicity index: Measuring change in glucocorticoid toxicity over time","title-short":"The glucocorticoid toxicity index","volume":"55","author":[{"family":"Stone","given":"John H."},{"family":"McDowell","given":"P. Jane"},{"family":"Jayne","given":"David R.W."},{"family":"Merkel","given":"Peter A."},{"family":"Robson","given":"Joanna"},{"family":"Patel","given":"Naomi J."},{"family":"Zhang","given":"Yuqing"},{"family":"Yue","given":"Huibin"},{"family":"Bekker","given":"Pirow"},{"family":"Heaney","given":"Liam G."}],"issued":{"date-parts":[["2022",8]]}}},{"id":4279,"uris":["http://zotero.org/users/13605431/items/WI98FPDS"],"itemData":{"id":4279,"type":"article-journal","container-title":"The Journal of Allergy and Clinical Immunology: In Practice","DOI":"10.1016/j.jaip.2020.08.032","ISSN":"22132198","issue":"1","journalAbbreviation":"The Journal of Allergy and Clinical Immunology: In Practice","language":"en","page":"365-372.e5","source":"DOI.org (Crossref)","title":"Quantification of Glucocorticoid-Associated Morbidity in Severe Asthma Using the Glucocorticoid Toxicity Index","volume":"9","author":[{"family":"McDowell","given":"P. Jane"},{"family":"Stone","given":"John H."},{"family":"Zhang","given":"Yuqing"},{"family":"Honeyford","given":"Kirsty"},{"family":"Dunn","given":"Louise"},{"family":"Logan","given":"R. Jayne"},{"family":"Butler","given":"Claire A."},{"family":"McGarvey","given":"Lorcan P.A."},{"family":"Heaney","given":"Liam G."}],"issued":{"date-parts":[["2021",1]]}}},{"id":4197,"uris":["http://zotero.org/users/13605431/items/7SSBXYTK"],"itemData":{"id":4197,"type":"article-journal","abstract":"Rituximab (RTX) combined with short-term glucocorticoids (GC) is an effective therapeutic option for pemphigus. The newly developed Glucocorticoid Toxicity Index (GTI) tool provides the possibility to measure GC toxicities over time. To compare 1-year GTI between two groups of RTX-treated and RTX-naïve patients with pemphigus. The responsiveness of the GTI was also investigated. A prospective cohort of 129 adults with newly diagnosed pemphigus was conducted. GC-related toxicities were assessed at 3-month intervals according to Composite and Specific lists of the GTI. Of the patients, 76.7% (n = 99) received RTX. Throughout the time intervals, RTX-treated patients had lower GTI compared to RTX-naïve ones (p = 0.036). The mean GTI at 1-year was 34.3 in the RTX-treated group and 50.8 in the RTX-naïve group (p = 0.04). The most commonly observed GC-related toxicity was neuropsychiatric manifestations for 34% (224 events). The relapse rate of RTX-treated patients (1%) was significantly lower than RTX-naïve patients (10%) (p = 0.037). The GTI showed no correlation with cumulative GC consumption in both groups (p &gt; 0.05, both). Patients treated with GC alone had remarkably higher GTI than patients treated with GC plus RTX. The GTI is an applicable tool to quantitatively capture GC toxicities at the patient level in pemphigus.","container-title":"Dermatologic Therapy","DOI":"10.1111/dth.15902","ISSN":"1396-0296, 1529-8019","issue":"12","journalAbbreviation":"Dermatologic Therapy","language":"en","source":"DOI.org (Crossref)","title":"Applicability of glucocorticoid toxicity index in pemphigus: Comparison between two groups of rituximab</w:instrText>
      </w:r>
      <w:r w:rsidR="00386695" w:rsidRPr="00586786">
        <w:rPr>
          <w:rFonts w:ascii="Cambria Math" w:hAnsi="Cambria Math" w:cs="Cambria Math"/>
        </w:rPr>
        <w:instrText>‐</w:instrText>
      </w:r>
      <w:r w:rsidR="00386695" w:rsidRPr="00586786">
        <w:rPr>
          <w:rFonts w:ascii="Arial" w:hAnsi="Arial" w:cs="Arial"/>
        </w:rPr>
        <w:instrText>treated and rituximab</w:instrText>
      </w:r>
      <w:r w:rsidR="00386695" w:rsidRPr="00586786">
        <w:rPr>
          <w:rFonts w:ascii="Cambria Math" w:hAnsi="Cambria Math" w:cs="Cambria Math"/>
        </w:rPr>
        <w:instrText>‐</w:instrText>
      </w:r>
      <w:r w:rsidR="00386695" w:rsidRPr="00586786">
        <w:rPr>
          <w:rFonts w:ascii="Arial" w:hAnsi="Arial" w:cs="Arial"/>
        </w:rPr>
        <w:instrText xml:space="preserve">naïve patients","title-short":"Applicability of glucocorticoid toxicity index in pemphigus","volume":"35","author":[{"family":"Mazaherpour","given":"Elham"},{"family":"Kianfar","given":"Nika"},{"family":"Dasdar","given":"Shayan"},{"family":"Sedaghat","given":"Mojtaba"},{"family":"Seyrafi","given":"Hassan"},{"family":"Balighi","given":"Kamran"},{"family":"Saberi","given":"Fatemeh"},{"family":"Nili","given":"Ali"},{"family":"Farimani","given":"Zeinab"},{"family":"Azar","given":"Pedram Molhem"},{"family":"Mahmoodi","given":"Hamidreza"},{"family":"Murrell","given":"Dedee F."},{"family":"Daneshpazhooh","given":"Maryam"}],"issued":{"date-parts":[["2022",12]]}}},{"id":4248,"uris":["http://zotero.org/users/13605431/items/D7I46I5P"],"itemData":{"id":4248,"type":"article-journal","abstract":"Objective: Lupus nephritis (LN) is often treated with high doses of glucocorticoids (GCs). The glucocorticoid toxicity index (GTI) was developed by expert consensus to quantify GC toxicity. To date, the GTI has not been shown to correlate with GC exposure in patients with LN.\nMethods: We performed a retrospective cohort study of patients with biopsy-conﬁrmed LN between 2006 and 2016. Cumulative GC exposure and GTI scores were determined via medical record review. Both the aggregate improvement score (GTI-AIS) and the cumulative worsening score (GTI-CWS) were calculated. We performed linear regression to determine the association between GC exposure and GTI scores at 1 year and 5 years following kidney biopsy.\nResults: This study included 49 patients with a mean age of 33.3 (SD 9.5) years. Mean GC exposure was 23.0 mg prednisone-equivalents per day through year 1 and 9.9 mg prednisone-equivalents per day through year 5. At 5 years, higher GC exposure was associated with higher GTI-AIS (p &lt; 0.001) and GTI-CWS (p = 0.002), and this association persisted in multivariate analysis adjusting for age, sex, race, induction medication, and nephritis class (p = 0.026 for AIS, p = 0.012 for CWS). At 1 year, GC exposure was not associated with GTI scores (p = 0.70 for AIS; p = 0.58 for CWS).\nConclusion: In this cohort study, the GTI was associated with cumulative steroid exposure at 5 years after diagnosis. In patients with LN, the GTI may serve as a useful outcome measure in future LN trials evaluating the steroid sparing effect of novel therapies.","container-title":"Lupus","DOI":"10.1177/09612033231160969","ISSN":"0961-2033, 1477-0962","issue":"4","journalAbbreviation":"Lupus","language":"en","page":"565-570","source":"DOI.org (Crossref)","title":"Estimating glucocorticoid-related morbidity in lupus nephritis using the glucocorticoid toxicity index","volume":"32","author":[{"family":"Usiskin","given":"Ilana M"},{"family":"Kyttaris","given":"Vasileios C"}],"issued":{"date-parts":[["2023",4]]}}},{"id":4250,"uris":["http://zotero.org/users/13605431/items/8TE8S274"],"itemData":{"id":4250,"type":"article-journal","abstract":"Background: Glucocorticoids are the mainstay of treatment for autoimmune blistering diseases (AIBDs). The Glucocorticoid Toxicity Index (GTI) is a novel, outcome-based glucocorticoid-induced adverse effects monitoring instrument.\nObjective: To investigate whether the GTI score was able to accurately quantify the glucocorticoid-induced toxicity in patients with AIBDs.\nMethods: The prospective cohort study included patients with conﬁrmed diagnoses of AIBDs (group1, currently receiving glucocorticoids; and group 2, had glucocorticoids ceased earlier). Data were collected minimally at baseline (V1) and 3 months (V2). Further data from patients who were able to complete the follow-up visits at 6 months (V3) and 12 months (V4) amid the COVID-19 pandemic were also included. GTI scores were calculated after data collection.\nResults: Analysis of data from V1 and V2 found a linear correlation between GTI score and prednisone doses (P \\.05) and a significant difference in GTI scores between group1 and group 2 (P \\.05). Data from V3 and V4 suggested that GTI scores continued to rise progressively alongside increasing cumulative prednisone dose. Limitations: Small sample size, further exacerbated by the COVID-19 pandemic. Single-center study.\nConclusion: The GTI sensitively and speciﬁcally captured the changes in glucocorticoids toxicity over time among patients with AIBDs. The GTI could be a feasible tool that can be used in future clinical trials as a glucocorticoid-induced toxicity outcome measure. ( JAAD Int 2022;6:68-76.)","container-title":"JAAD International","DOI":"10.1016/j.jdin.2021.09.003","ISSN":"26663287","journalAbbreviation":"JAAD International","language":"en","page":"68-76","source":"DOI.org (Crossref)","title":"Evaluation of the toxicity of glucocorticoids in patients with autoimmune blistering disease using the Glucocorticoid Toxicity Index: A cohort study","title-short":"Evaluation of the toxicity of glucocorticoids in patients with autoimmune blistering disease using the Glucocorticoid Toxicity Index","volume":"6","author":[{"family":"Liang","given":"Yicong"},{"family":"Zeng","given":"Faith A.P."},{"family":"Sheriff","given":"Tabrez"},{"family":"Wilson","given":"Anna"},{"family":"Bilgic","given":"Asli"},{"family":"Feng","given":"Grant"},{"family":"Stone","given":"John H."},{"family":"Murrell","given":"Dedee F."}],"issued":{"date-parts":[["2022",3]]}}},{"id":4256,"uris":["http://zotero.org/users/13605431/items/76LWVHJK"],"itemData":{"id":4256,"type":"article-journal","abstract":"Background Reduction in glucocorticoid exposure is the primary benefit of new biologic treatments in severe asthma, but there is currently no evidence that reduction in glucocorticoid exposure corresponds to a proportionate reduction in associated toxicity.\nObjectives To use the validated Glucocorticoid Toxicity Index (GTI) to assess change in glucocorticoid toxicity after 12 months treatment with mepolizumab, and compare toxicity change to glucocorticoid reduction and change in patient-reported outcome measures (PROMs).\nMethods A longitudinal, real-world prospective cohort of 101 consecutive patients with severe asthma commenced on mepolizumab in a specialist UK regional severe asthma clinic. GTI toxicity assessment, cumulative glucocorticoid exposure and PROMs were recorded on commencing mepolizumab (V1), and after 12 months treatment (V2).\nResults There was significant reduction in oral glucocorticoid exposure (V1 median 4280 mg prednisolone per year (interquartile range 3083–5475 mg) versus V2 2450 mg prednisolone per year (1243–3360 mg), p&lt;0.001). Substantial improvements in individual toxicities were observed, but did not correlate with oral glucocorticoid reduction. Mean±SD GTI aggregate improvement score (AIS) was −35.7±57.8 with a wide range in toxicity change at individual patient level (AIS range −165 to +130); 70% (71 out of 101) had a reduction in toxicity (AIS &lt;0); 3% (three out of 101) had no change (AIS=0); and 27% (27 out of 101) an increase in overall toxicity. 62% (62 out of 101) of patients met the AIS minimally clinically important difference of </w:instrText>
      </w:r>
      <w:r w:rsidR="00386695" w:rsidRPr="00586786">
        <w:rPr>
          <w:rFonts w:ascii="Cambria Math" w:hAnsi="Cambria Math" w:cs="Cambria Math"/>
        </w:rPr>
        <w:instrText>⩽</w:instrText>
      </w:r>
      <w:r w:rsidR="00386695" w:rsidRPr="00586786">
        <w:rPr>
          <w:rFonts w:ascii="Arial" w:hAnsi="Arial" w:cs="Arial"/>
        </w:rPr>
        <w:instrText xml:space="preserve">−10, but AIS did not correlate with glucocorticoid reduction or change in PROMs.\nConclusion Mepolizumab resulted in substantial oral glucocorticoid reduction, but this did not correlate with reduction in oral glucocorticoid toxicity, which varies widely at the individual patient level. Oral glucocorticoid reduction is not a comprehensive measure of response to mepolizumab.","container-title":"European Respiratory Journal","DOI":"10.1183/13993003.00160-2021","ISSN":"0903-1936, 1399-3003","issue":"1","journalAbbreviation":"Eur Respir J","language":"en","page":"2100160","source":"DOI.org (Crossref)","title":"Glucocorticoid toxicity reduction with mepolizumab using the Glucocorticoid Toxicity Index","volume":"59","author":[{"family":"McDowell","given":"P. Jane"},{"family":"Stone","given":"John H."},{"family":"Zhang","given":"Yuqing"},{"family":"Honeyford","given":"Kirsty"},{"family":"Dunn","given":"Louise"},{"family":"Logan","given":"R. Jayne"},{"family":"McGarvey","given":"Lorcan P.A."},{"family":"Butler","given":"Claire A."},{"family":"Heaney","given":"Liam G."}],"issued":{"date-parts":[["2022",1]]}}},{"id":4278,"uris":["http://zotero.org/users/13605431/items/6IN5QNZX"],"itemData":{"id":4278,"type":"article-journal","abstract":"Objective: The glucocorticoid toxicity index (GTI) is developed to measure glucocorticoid (GC)-related morbidity over time. This study aimed to assess GC-toxicity in patients at a rheumatology outpatient clinic by using the GTI and to identify the factors that interfere with the GTI.\nMethods: This prospective study included patients with inflammatory arthritis (IA), connective tissue disease and vasculitis who were newly pre­ scribed GC-treatment (GC-naive) or have been still on GC-treatment for ≤2 years (GC-experienced). Patient demographics and disease characteristics, aggregate improvement score (GTI-AIS), cumulative worsening score (GTI-CWS) and cumulative GC-doses were recorded at baseline, 3rd month and 6th month. Generalized estimating equations (GEE) were used to evaluate the GTI scores and associated factors including cumulative GC-doses.\nResults: The study included 156 (48.7% GC-naive) patients with a mean age of 49.1 ± 17.1 years. More than half of the patients in both groups had a diagnosis of vasculitis. A higher cumulative GC-dose was found to be associated with higher GTI-scores in both groups (P &lt; 0.001). In the GC-naive group, patients with vasculitis showed higher GTI-scores than IA patients (P &lt; 0.001); there was also a significant increase in the GTICWS at the 6th month compared with the 3rd month. In the GC-experienced group, GTI-AIS and GTI-CWS were significantly different at 3rd and 6th month (P &lt; 0.05).\nConclusion: It was shown that GTI scores were associated with cumulative GC-doses and vasculitis patients in the GC-naive patients had higher GTI scores than inflammatory arthritis. The GTI allows individualized assessment and management of adverse effects experienced by patients as a result of GC treatment.","container-title":"Rheumatology","DOI":"10.1093/rheumatology/keae288","ISSN":"1462-0324, 1462-0332","language":"en","license":"https://creativecommons.org/licenses/by-nc/4.0/","page":"1-9","source":"DOI.org (Crossref)","title":"Prospective assessment of glucocorticoid toxicity in rheumatology practice: a focus on the glucocorticoid toxicity index","title-short":"Prospective assessment of glucocorticoid toxicity in rheumatology practice","volume":"00","author":[{"family":"Bahap-Kara","given":"Melda"},{"family":"Sariyildiz","given":"Emine"},{"family":"Zengin","given":"Hatice Yagmur"},{"family":"Karadag","given":"Omer"},{"family":"Bayraktar-Ekincioglu","given":"Aygin"}],"issued":{"date-parts":[["2024",5,23]]}}},{"id":4255,"uris":["http://zotero.org/users/13605431/items/HCYTL9WH"],"itemData":{"id":4255,"type":"article-journal","abstract":"Background The ADVOCATE trial, in which the complement C5a receptor inhibitor avacopan was compared with a standard prednisone taper in patients with antineutrophil cytoplasmic antibody (ANCA)-associated vasculitis, used the Glucocorticoid Toxicity Index (GTI) to measure glucocorticoid toxicity change. We set out to do a post-hoc analysis of the ADVOCATE data to evaluate changes in individual GTI domains and their ability to differentiate treatment groups.","container-title":"The Lancet Rheumatology","DOI":"10.1016/S2665-9913(23)00030-9","ISSN":"26659913","issue":"3","journalAbbreviation":"The Lancet Rheumatology","language":"en","page":"e130-e138","source":"DOI.org (Crossref)","title":"Glucocorticoid Toxicity Index scores by domain in patients with antineutrophil cytoplasmic antibody-associated vasculitis treated with avacopan versus standard prednisone taper: post-hoc analysis of data from the ADVOCATE trial","title-short":"Glucocorticoid Toxicity Index scores by domain in patients with antineutrophil cytoplasmic antibody-associated vasculitis treated with avacopan versus standard prednisone taper","volume":"5","author":[{"family":"Patel","given":"Naomi J"},{"family":"Jayne","given":"David R W"},{"family":"Merkel","given":"Peter A"},{"family":"Bekker","given":"Pirow"},{"family":"Zhang","given":"Yuqing"},{"family":"Yue","given":"Huibin"},{"family":"Stone","given":"John H"}],"issued":{"date-parts":[["2023",3]]}}}],"schema":"https://github.com/citation-style-language/schema/raw/master/csl-citation.json"} </w:instrText>
      </w:r>
      <w:r w:rsidRPr="00586786">
        <w:rPr>
          <w:rFonts w:ascii="Arial" w:hAnsi="Arial" w:cs="Arial"/>
        </w:rPr>
        <w:fldChar w:fldCharType="separate"/>
      </w:r>
      <w:r w:rsidR="00386695" w:rsidRPr="00586786">
        <w:rPr>
          <w:rFonts w:ascii="Arial" w:hAnsi="Arial" w:cs="Arial"/>
          <w:kern w:val="0"/>
        </w:rPr>
        <w:t>(10,14,17,21,24,25,28,30,32,33)</w:t>
      </w:r>
      <w:r w:rsidRPr="00586786">
        <w:rPr>
          <w:rFonts w:ascii="Arial" w:hAnsi="Arial" w:cs="Arial"/>
        </w:rPr>
        <w:fldChar w:fldCharType="end"/>
      </w:r>
      <w:r w:rsidRPr="00586786">
        <w:rPr>
          <w:rFonts w:ascii="Arial" w:hAnsi="Arial" w:cs="Arial"/>
        </w:rPr>
        <w:t xml:space="preserve">. </w:t>
      </w:r>
      <w:r w:rsidR="004A5C73" w:rsidRPr="00586786">
        <w:rPr>
          <w:rFonts w:ascii="Arial" w:hAnsi="Arial" w:cs="Arial"/>
        </w:rPr>
        <w:t>BP</w:t>
      </w:r>
      <w:r w:rsidRPr="00586786">
        <w:rPr>
          <w:rFonts w:ascii="Arial" w:hAnsi="Arial" w:cs="Arial"/>
        </w:rPr>
        <w:t xml:space="preserve"> measurement was used in an additional four studies, with varying definition of hypertension and measurement methods</w:t>
      </w:r>
      <w:r w:rsidR="0024419F" w:rsidRPr="00586786">
        <w:rPr>
          <w:rFonts w:ascii="Arial" w:hAnsi="Arial" w:cs="Arial"/>
        </w:rPr>
        <w:fldChar w:fldCharType="begin"/>
      </w:r>
      <w:r w:rsidR="00386695" w:rsidRPr="00586786">
        <w:rPr>
          <w:rFonts w:ascii="Arial" w:hAnsi="Arial" w:cs="Arial"/>
        </w:rPr>
        <w:instrText xml:space="preserve"> ADDIN ZOTERO_ITEM CSL_CITATION {"citationID":"0KBEjGy3","properties":{"formattedCitation":"(40,42,48,49)","plainCitation":"(40,42,48,49)","noteIndex":0},"citationItems":[{"id":4885,"uris":["http://zotero.org/users/13605431/items/HLJY7QU4"],"itemData":{"id":4885,"type":"article-journal","abstract":"Objectives. Patients with RA are frequently treated with glucocorticoids (GCs), but evidence is conﬂicting about whether GCs are associated with hypertension. The aim of this study was to determine whether GCs are associated with incident hypertension in patients with RA.\nMethods. A retrospective cohort of patients with incident RA and without hypertension was identiﬁed from UK primary care electronic medical records (Clinical Practice Research Datalink). GC prescriptions were used to determine time-varying GC use, dose and cumulative dose, with a 3 month attribution window. Hypertension was identiﬁed through either: blood pressure measurements &gt;140/90 mmHg, or antihypertensive prescriptions and a Read code for hypertension. Unadjusted and adjusted Cox proportional hazards regression models were ﬁtted to determine whether there was an association between GC use and incident hypertension.\nResults. There were 17 760 patients in the cohort. A total of 7421 (42%) were prescribed GCs during follow-up. The incident rate of hypertension was 64.1 per 1000 person years (95% CI: 62.5, 65.7). The Cox proportional hazards model indicated that recent GC use was associated with a 17% increased hazard of hypertension (hazard ratio 1.17; 95% CI: 1.10, 1.24). When categorized by dose, only doses above 7.5 mg were signiﬁcantly associated with hypertension. Cumulative dose did not indicate a clear pattern.\nConclusion. Recent GC use was associated with incident hypertension in patients with RA, in particular doses  7.5 mg were associated with hypertension. Clinicians need to consider cardiovascular risk when prescribing GCs, and ensure blood pressure is regularly monitored and treated where necessary.","container-title":"Rheumatology","DOI":"10.1093/rheumatology/keaa209","ISSN":"1462-0324, 1462-0332","issue":"1","language":"en","license":"http://creativecommons.org/licenses/by/4.0/","page":"132-139","source":"DOI.org (Crossref)","title":"Glucocorticoid use is associated with an increased risk of hypertension","volume":"60","author":[{"family":"Costello","given":"Ruth E"},{"family":"Yimer","given":"Belay B"},{"family":"Roads","given":"Polly"},{"family":"Jani","given":"Meghna"},{"family":"Dixon","given":"William G"}],"issued":{"date-parts":[["2021",1,5]]}}},{"id":4222,"uris":["http://zotero.org/users/13605431/items/UZEYIUGK"],"itemData":{"id":4222,"type":"article-journal","abstract":"OBJECTIVE To evaluate the safety of abiraterone acetate with 4 glucocorticoid regimens. DESIGN, SETTING, AND PARTICIPANTS Open-label, randomized clinical trial (1:1:1:1) of 164 men with mCRPC from 22 hospitals in 5 countries who were randomly assigned to 1 of 4 intervention groups between June 2013 and October 2014. Analyses were conducted from August 2017 to June 2018. INTERVENTIONS Abiraterone acetate, 1000 mg, once daily with prednisone, 5 mg, twice daily (n = 41), 5 mg once daily (n = 41), 2.5 mg twice daily (n = 40), or dexamethasone, 0.5 mg, once daily (n = 42). MAIN OUTCOMES AND MEASURES Primary end point was no mineralocorticoid excess (grade </w:instrText>
      </w:r>
      <w:r w:rsidR="00386695" w:rsidRPr="00586786">
        <w:rPr>
          <w:rFonts w:ascii="Tahoma" w:hAnsi="Tahoma" w:cs="Tahoma"/>
        </w:rPr>
        <w:instrText>Ն</w:instrText>
      </w:r>
      <w:r w:rsidR="00386695" w:rsidRPr="00586786">
        <w:rPr>
          <w:rFonts w:ascii="Arial" w:hAnsi="Arial" w:cs="Arial"/>
        </w:rPr>
        <w:instrText xml:space="preserve">1 hypokalemia or grade </w:instrText>
      </w:r>
      <w:r w:rsidR="00386695" w:rsidRPr="00586786">
        <w:rPr>
          <w:rFonts w:ascii="Tahoma" w:hAnsi="Tahoma" w:cs="Tahoma"/>
        </w:rPr>
        <w:instrText>Ն</w:instrText>
      </w:r>
      <w:r w:rsidR="00386695" w:rsidRPr="00586786">
        <w:rPr>
          <w:rFonts w:ascii="Arial" w:hAnsi="Arial" w:cs="Arial"/>
        </w:rPr>
        <w:instrText xml:space="preserve">2 hypertension) through 24 weeks (6 cycles) from treatment.\nRESULTS Of 164 men (median [range] age, 70 [50-90] years) randomized to receive abiraterone acetate, 1000 mg, daily with prednisone, 5 mg, twice daily, once daily, or 2.5 mg twice daily, or dexamethasone, 0.5 mg, once daily, 24 (70.6%) of 34 patients (95% CI, 53.8%-83.2%), 14 (36.8%) of 38 patients (95% CI, 23.4%-52.7%), 21 (60.0%) of 35 patients (95% CI, 43.6%-74.4%), and 26 (70.3%) of 37 patients (95% CI, 54.2%-82.5%), respectively, had no mineralocorticoid excess. Plasma adrenocorticotrophic hormone and urinary mineralocorticoid metabolites after 8 weeks were higher with prednisone, 2.5 mg, twice daily and 5 mg once daily than with 5 mg twice daily or dexamethasone, 0.5 mg, once daily. The level of urinary glucocorticoid metabolites appeared higher in patients who did not meet the primary end point, regardless of glucocorticoid regimen. Total lean body mass decreased in the prednisone groups and total body fat increased in the prednisone, 5 mg, twice daily and dexamethasone groups. In the dexamethasone group, there was an increase in serum insulin and homeostatic model assessment of insulin resistance, while total bone mineral density decreased. In the prednisone, 5 mg, twice daily, 5 mg once daily, 2.5 mg twice daily, and dexamethasone groups, median radiographic progression-free survival was 18.5, 15.3, 12.8, and 26.6 months, respectively.\nCONCLUSIONS AND RELEVANCE Abiraterone acetate with prednisone, 5 mg, twice daily or dexamethasone, 0.5 mg, once daily met the prespecified threshold for the primary end point (95% CI excluded 50% mineralocorticoid excess); abiraterone acetate with prednisone, 5 mg, once daily or 2.5 mg twice daily did not meet the threshold. Abiraterone acetate in combination with dexamethasone appeared to be particularly active but may be associated with adverse metabolic consequences.","container-title":"JAMA Oncology","DOI":"10.1001/jamaoncol.2019.1011","ISSN":"2374-2437","issue":"8","journalAbbreviation":"JAMA Oncol","language":"en","page":"1159","source":"DOI.org (Crossref)","title":"Assessment of the Safety of Glucocorticoid Regimens in Combination With Abiraterone Acetate for Metastatic Castration-Resistant Prostate Cancer: A Randomized, Open-label Phase 2 Study","title-short":"Assessment of the Safety of Glucocorticoid Regimens in Combination With Abiraterone Acetate for Metastatic Castration-Resistant Prostate Cancer","volume":"5","author":[{"family":"Attard","given":"Gerhardt"},{"family":"Merseburger","given":"Axel S"},{"family":"Arlt","given":"Wiebke"},{"family":"Sternberg","given":"Cora N"},{"family":"Feyerabend","given":"Susan"},{"family":"Berruti","given":"Alfredo"},{"family":"Joniau","given":"Steven"},{"family":"Géczi","given":"Lajos"},{"family":"Lefresne","given":"Florence"},{"family":"Lahaye","given":"Marjolein"},{"family":"Shelby","given":"Florence Nave"},{"family":"Pissart","given":"Geneviève"},{"family":"Chua","given":"Sue"},{"family":"Jones","given":"Robert J"},{"family":"Tombal","given":"Bertrand"}],"issued":{"date-parts":[["2019",8,1]]}}},{"id":4221,"uris":["http://zotero.org/users/13605431/items/8I7IJ35H"],"itemData":{"id":4221,"type":"article-journal","abstract":"Pemphigus vulgaris is a chronic autoimmune disease and glucocorticoids are one of the main treatments. Our study investigates the prevalence and associated factors of glucocorticoid-induced diabetes mellitus in these patients under different glucocorticoid regimens. 36 patients with first diagnosed Pemphigus vulgaris based on pathological and direct immunofluorescence findings who had received different glucocorticoid regimens (1-2 mg/kg oral or 1-2 mg/kg oral with 1g methylprednisolone pulse daily for 3 consecutive days with or without azathioprine) were evaluated during 2014-2016. Our study found that 22.2% of patients had impaired fasting glucose and incidence of corticosteroid-induced diabetes mellitus was 22.2% with no difference between oral and pulse therapy of corticosteroid. The first day after pulse therapy 19 patients of 21 had post bolus hyperglycemia that 36% of them became diabetic after 8 weeks. None of the variables, including age, BMI, HbA1c, LDL, HDL, TG, cholesterol, family history and blood pressure were associated with diabetes. Pretreatment FBS was the factor that would increase the likelihood of glucocorticoid-induced diabetes mellitus, 42.2% of patients with pretreatment FBS 100-126 developed diabetes in comparison with 17.2% in normal pretreatment FBS. Although the group who received azathioprine was associated with increased incidence of diabetes, the overall corticosteroid dose in this group was significantly higher than the other group (P=0.012), and controversy with other studies could be because of difference in corticosteroid dosage and small number of patients. The incidence of diabetes was not different between the group with glucocorticoid pulses and oral prednisolone without pulse therapy. Higher pretreatment FBS can be related to increased incidence of diabetes, but results from this study due to small number of patients are preliminary and multicenter studies are needed.","container-title":"Acta Medica Iranica","issue":"6","language":"en","page":"375-380","source":"Zotero","title":"Assessment of the Prevalence and Risk Factors Associated With Glucocorticoid- Induced Diabetes Mellitus in Pemphigus Vulgaris Patients","volume":"55","author":[{"family":"Darjani","given":"Abbas"},{"family":"Nickhah","given":"Nahid"},{"family":"Emami","given":"Mohammad Hassan Hedayati"},{"family":"Alizadeh","given":"Narges"},{"family":"Rafiei","given":"Rana"},{"family":"Eftekhari","given":"Hojat"},{"family":"Nejad","given":"Kaveh Gharaei"}],"issued":{"date-parts":[["2017"]]}}},{"id":4224,"uris":["http://zotero.org/users/13605431/items/J8DPGBM3"],"itemData":{"id":4224,"type":"article-journal","abstract":"Objective: To investigate the association between overall CS use and specific CS types with MetS, body mass index (BMI), and other cardiometabolic traits. Design: Cross-sectional cohort study. Setting: General population from the northern Netherlands. Participants: A total of 140,879 adult participants in the population-based Lifelines Cohort Study. Main Outcome Measures: BMI, waist circumference, systolic and diastolic blood pressure, fasting metabolic serum parameters, and a comprehensive set of potential confounding factors.\nResults: In women, overall, systemic, and local CS use was associated with higher odds of having MetS. Among local female users, only nasal (odds ratio [OR], 1.20 [95% confidence interval (CI), 1.06 to 1.36]) and inhaled CSs [OR, 1.35 (95% CI, 1.24 to 1.49)] users were more likely to have MetS. In men, no association was found between overall and specific CS use and presence of MetS. Use of local-only CSs in women, specifically inhaled CSs in both sexes, was associated with higher BMI.\nConclusions: Use of local CSs, particularly inhaled types, as well as systemic CSs, was associated with higher likelihood of having MetS, higher BMI, and other adverse cardiometabolic traits, especially among women. Because the inhaled agents are the main group of prescribed CSs, this might be a substantial risk to public health in case of a yet-to-be-proven causal relationship. (J Clin Endocrinol Metab 102: 3765–3774, 2017)","container-title":"The Journal of Clinical Endocrinology &amp; Metabolism","DOI":"10.1210/jc.2017-01133","ISSN":"0021-972X, 1945-7197","issue":"10","language":"en","page":"3765-3774","source":"DOI.org (Crossref)","title":"Associations Between Systemic and Local Corticosteroid Use With Metabolic Syndrome and Body Mass Index","volume":"102","author":[{"family":"Savas","given":"Mesut"},{"family":"Muka","given":"Taulant"},{"family":"Wester","given":"Vincent L"},{"family":"Van Den Akker","given":"Erica L T"},{"family":"Visser","given":"Jenny A"},{"family":"Braunstahl","given":"Gert-Jan"},{"family":"Slagter","given":"Sandra N"},{"family":"Wolffenbuttel","given":"Bruce H R"},{"family":"Franco","given":"Oscar H"},{"family":"Van Rossum","given":"Elisabeth F C"}],"issued":{"date-parts":[["2017",10,1]]}}}],"schema":"https://github.com/citation-style-language/schema/raw/master/csl-citation.json"} </w:instrText>
      </w:r>
      <w:r w:rsidR="0024419F" w:rsidRPr="00586786">
        <w:rPr>
          <w:rFonts w:ascii="Arial" w:hAnsi="Arial" w:cs="Arial"/>
        </w:rPr>
        <w:fldChar w:fldCharType="separate"/>
      </w:r>
      <w:r w:rsidR="00386695" w:rsidRPr="00586786">
        <w:rPr>
          <w:rFonts w:ascii="Arial" w:hAnsi="Arial" w:cs="Arial"/>
          <w:noProof/>
        </w:rPr>
        <w:t>(40,42,48,49)</w:t>
      </w:r>
      <w:r w:rsidR="0024419F" w:rsidRPr="00586786">
        <w:rPr>
          <w:rFonts w:ascii="Arial" w:hAnsi="Arial" w:cs="Arial"/>
        </w:rPr>
        <w:fldChar w:fldCharType="end"/>
      </w:r>
      <w:r w:rsidRPr="00586786">
        <w:rPr>
          <w:rFonts w:ascii="Arial" w:hAnsi="Arial" w:cs="Arial"/>
        </w:rPr>
        <w:t>.</w:t>
      </w:r>
      <w:r w:rsidR="0024419F" w:rsidRPr="00586786">
        <w:rPr>
          <w:rFonts w:ascii="Arial" w:hAnsi="Arial" w:cs="Arial"/>
        </w:rPr>
        <w:t xml:space="preserve"> The CTCAE was used in a single study</w:t>
      </w:r>
      <w:r w:rsidR="004A5C73" w:rsidRPr="00586786">
        <w:rPr>
          <w:rFonts w:ascii="Arial" w:hAnsi="Arial" w:cs="Arial"/>
        </w:rPr>
        <w:t xml:space="preserve"> and graded hypertension based on BP measurements and use of antihypertensive therapies</w:t>
      </w:r>
      <w:r w:rsidR="0024419F" w:rsidRPr="00586786">
        <w:rPr>
          <w:rFonts w:ascii="Arial" w:hAnsi="Arial" w:cs="Arial"/>
        </w:rPr>
        <w:fldChar w:fldCharType="begin"/>
      </w:r>
      <w:r w:rsidR="00386695" w:rsidRPr="00586786">
        <w:rPr>
          <w:rFonts w:ascii="Arial" w:hAnsi="Arial" w:cs="Arial"/>
        </w:rPr>
        <w:instrText xml:space="preserve"> ADDIN ZOTERO_ITEM CSL_CITATION {"citationID":"fJzTbNNF","properties":{"formattedCitation":"(42)","plainCitation":"(42)","noteIndex":0},"citationItems":[{"id":4222,"uris":["http://zotero.org/users/13605431/items/UZEYIUGK"],"itemData":{"id":4222,"type":"article-journal","abstract":"OBJECTIVE To evaluate the safety of abiraterone acetate with 4 glucocorticoid regimens. DESIGN, SETTING, AND PARTICIPANTS Open-label, randomized clinical trial (1:1:1:1) of 164 men with mCRPC from 22 hospitals in 5 countries who were randomly assigned to 1 of 4 intervention groups between June 2013 and October 2014. Analyses were conducted from August 2017 to June 2018. INTERVENTIONS Abiraterone acetate, 1000 mg, once daily with prednisone, 5 mg, twice daily (n = 41), 5 mg once daily (n = 41), 2.5 mg twice daily (n = 40), or dexamethasone, 0.5 mg, once daily (n = 42). MAIN OUTCOMES AND MEASURES Primary end point was no mineralocorticoid excess (grade </w:instrText>
      </w:r>
      <w:r w:rsidR="00386695" w:rsidRPr="00586786">
        <w:rPr>
          <w:rFonts w:ascii="Tahoma" w:hAnsi="Tahoma" w:cs="Tahoma"/>
        </w:rPr>
        <w:instrText>Ն</w:instrText>
      </w:r>
      <w:r w:rsidR="00386695" w:rsidRPr="00586786">
        <w:rPr>
          <w:rFonts w:ascii="Arial" w:hAnsi="Arial" w:cs="Arial"/>
        </w:rPr>
        <w:instrText xml:space="preserve">1 hypokalemia or grade </w:instrText>
      </w:r>
      <w:r w:rsidR="00386695" w:rsidRPr="00586786">
        <w:rPr>
          <w:rFonts w:ascii="Tahoma" w:hAnsi="Tahoma" w:cs="Tahoma"/>
        </w:rPr>
        <w:instrText>Ն</w:instrText>
      </w:r>
      <w:r w:rsidR="00386695" w:rsidRPr="00586786">
        <w:rPr>
          <w:rFonts w:ascii="Arial" w:hAnsi="Arial" w:cs="Arial"/>
        </w:rPr>
        <w:instrText xml:space="preserve">2 hypertension) through 24 weeks (6 cycles) from treatment.\nRESULTS Of 164 men (median [range] age, 70 [50-90] years) randomized to receive abiraterone acetate, 1000 mg, daily with prednisone, 5 mg, twice daily, once daily, or 2.5 mg twice daily, or dexamethasone, 0.5 mg, once daily, 24 (70.6%) of 34 patients (95% CI, 53.8%-83.2%), 14 (36.8%) of 38 patients (95% CI, 23.4%-52.7%), 21 (60.0%) of 35 patients (95% CI, 43.6%-74.4%), and 26 (70.3%) of 37 patients (95% CI, 54.2%-82.5%), respectively, had no mineralocorticoid excess. Plasma adrenocorticotrophic hormone and urinary mineralocorticoid metabolites after 8 weeks were higher with prednisone, 2.5 mg, twice daily and 5 mg once daily than with 5 mg twice daily or dexamethasone, 0.5 mg, once daily. The level of urinary glucocorticoid metabolites appeared higher in patients who did not meet the primary end point, regardless of glucocorticoid regimen. Total lean body mass decreased in the prednisone groups and total body fat increased in the prednisone, 5 mg, twice daily and dexamethasone groups. In the dexamethasone group, there was an increase in serum insulin and homeostatic model assessment of insulin resistance, while total bone mineral density decreased. In the prednisone, 5 mg, twice daily, 5 mg once daily, 2.5 mg twice daily, and dexamethasone groups, median radiographic progression-free survival was 18.5, 15.3, 12.8, and 26.6 months, respectively.\nCONCLUSIONS AND RELEVANCE Abiraterone acetate with prednisone, 5 mg, twice daily or dexamethasone, 0.5 mg, once daily met the prespecified threshold for the primary end point (95% CI excluded 50% mineralocorticoid excess); abiraterone acetate with prednisone, 5 mg, once daily or 2.5 mg twice daily did not meet the threshold. Abiraterone acetate in combination with dexamethasone appeared to be particularly active but may be associated with adverse metabolic consequences.","container-title":"JAMA Oncology","DOI":"10.1001/jamaoncol.2019.1011","ISSN":"2374-2437","issue":"8","journalAbbreviation":"JAMA Oncol","language":"en","page":"1159","source":"DOI.org (Crossref)","title":"Assessment of the Safety of Glucocorticoid Regimens in Combination With Abiraterone Acetate for Metastatic Castration-Resistant Prostate Cancer: A Randomized, Open-label Phase 2 Study","title-short":"Assessment of the Safety of Glucocorticoid Regimens in Combination With Abiraterone Acetate for Metastatic Castration-Resistant Prostate Cancer","volume":"5","author":[{"family":"Attard","given":"Gerhardt"},{"family":"Merseburger","given":"Axel S"},{"family":"Arlt","given":"Wiebke"},{"family":"Sternberg","given":"Cora N"},{"family":"Feyerabend","given":"Susan"},{"family":"Berruti","given":"Alfredo"},{"family":"Joniau","given":"Steven"},{"family":"Géczi","given":"Lajos"},{"family":"Lefresne","given":"Florence"},{"family":"Lahaye","given":"Marjolein"},{"family":"Shelby","given":"Florence Nave"},{"family":"Pissart","given":"Geneviève"},{"family":"Chua","given":"Sue"},{"family":"Jones","given":"Robert J"},{"family":"Tombal","given":"Bertrand"}],"issued":{"date-parts":[["2019",8,1]]}}}],"schema":"https://github.com/citation-style-language/schema/raw/master/csl-citation.json"} </w:instrText>
      </w:r>
      <w:r w:rsidR="0024419F" w:rsidRPr="00586786">
        <w:rPr>
          <w:rFonts w:ascii="Arial" w:hAnsi="Arial" w:cs="Arial"/>
        </w:rPr>
        <w:fldChar w:fldCharType="separate"/>
      </w:r>
      <w:r w:rsidR="00386695" w:rsidRPr="00586786">
        <w:rPr>
          <w:rFonts w:ascii="Arial" w:hAnsi="Arial" w:cs="Arial"/>
          <w:noProof/>
        </w:rPr>
        <w:t>(42)</w:t>
      </w:r>
      <w:r w:rsidR="0024419F" w:rsidRPr="00586786">
        <w:rPr>
          <w:rFonts w:ascii="Arial" w:hAnsi="Arial" w:cs="Arial"/>
        </w:rPr>
        <w:fldChar w:fldCharType="end"/>
      </w:r>
      <w:r w:rsidR="0024419F" w:rsidRPr="00586786">
        <w:rPr>
          <w:rFonts w:ascii="Arial" w:hAnsi="Arial" w:cs="Arial"/>
        </w:rPr>
        <w:t>. In two studies</w:t>
      </w:r>
      <w:r w:rsidR="0024419F" w:rsidRPr="00586786">
        <w:rPr>
          <w:rFonts w:ascii="Arial" w:hAnsi="Arial" w:cs="Arial"/>
        </w:rPr>
        <w:fldChar w:fldCharType="begin"/>
      </w:r>
      <w:r w:rsidR="00386695" w:rsidRPr="00586786">
        <w:rPr>
          <w:rFonts w:ascii="Arial" w:hAnsi="Arial" w:cs="Arial"/>
        </w:rPr>
        <w:instrText xml:space="preserve"> ADDIN ZOTERO_ITEM CSL_CITATION {"citationID":"O8KjhL8M","properties":{"formattedCitation":"(40,49)","plainCitation":"(40,49)","noteIndex":0},"citationItems":[{"id":4885,"uris":["http://zotero.org/users/13605431/items/HLJY7QU4"],"itemData":{"id":4885,"type":"article-journal","abstract":"Objectives. Patients with RA are frequently treated with glucocorticoids (GCs), but evidence is conﬂicting about whether GCs are associated with hypertension. The aim of this study was to determine whether GCs are associated with incident hypertension in patients with RA.\nMethods. A retrospective cohort of patients with incident RA and without hypertension was identiﬁed from UK primary care electronic medical records (Clinical Practice Research Datalink). GC prescriptions were used to determine time-varying GC use, dose and cumulative dose, with a 3 month attribution window. Hypertension was identiﬁed through either: blood pressure measurements &gt;140/90 mmHg, or antihypertensive prescriptions and a Read code for hypertension. Unadjusted and adjusted Cox proportional hazards regression models were ﬁtted to determine whether there was an association between GC use and incident hypertension.\nResults. There were 17 760 patients in the cohort. A total of 7421 (42%) were prescribed GCs during follow-up. The incident rate of hypertension was 64.1 per 1000 person years (95% CI: 62.5, 65.7). The Cox proportional hazards model indicated that recent GC use was associated with a 17% increased hazard of hypertension (hazard ratio 1.17; 95% CI: 1.10, 1.24). When categorized by dose, only doses above 7.5 mg were signiﬁcantly associated with hypertension. Cumulative dose did not indicate a clear pattern.\nConclusion. Recent GC use was associated with incident hypertension in patients with RA, in particular doses  7.5 mg were associated with hypertension. Clinicians need to consider cardiovascular risk when prescribing GCs, and ensure blood pressure is regularly monitored and treated where necessary.","container-title":"Rheumatology","DOI":"10.1093/rheumatology/keaa209","ISSN":"1462-0324, 1462-0332","issue":"1","language":"en","license":"http://creativecommons.org/licenses/by/4.0/","page":"132-139","source":"DOI.org (Crossref)","title":"Glucocorticoid use is associated with an increased risk of hypertension","volume":"60","author":[{"family":"Costello","given":"Ruth E"},{"family":"Yimer","given":"Belay B"},{"family":"Roads","given":"Polly"},{"family":"Jani","given":"Meghna"},{"family":"Dixon","given":"William G"}],"issued":{"date-parts":[["2021",1,5]]}}},{"id":4224,"uris":["http://zotero.org/users/13605431/items/J8DPGBM3"],"itemData":{"id":4224,"type":"article-journal","abstract":"Objective: To investigate the association between overall CS use and specific CS types with MetS, body mass index (BMI), and other cardiometabolic traits. Design: Cross-sectional cohort study. Setting: General population from the northern Netherlands. Participants: A total of 140,879 adult participants in the population-based Lifelines Cohort Study. Main Outcome Measures: BMI, waist circumference, systolic and diastolic blood pressure, fasting metabolic serum parameters, and a comprehensive set of potential confounding factors.\nResults: In women, overall, systemic, and local CS use was associated with higher odds of having MetS. Among local female users, only nasal (odds ratio [OR], 1.20 [95% confidence interval (CI), 1.06 to 1.36]) and inhaled CSs [OR, 1.35 (95% CI, 1.24 to 1.49)] users were more likely to have MetS. In men, no association was found between overall and specific CS use and presence of MetS. Use of local-only CSs in women, specifically inhaled CSs in both sexes, was associated with higher BMI.\nConclusions: Use of local CSs, particularly inhaled types, as well as systemic CSs, was associated with higher likelihood of having MetS, higher BMI, and other adverse cardiometabolic traits, especially among women. Because the inhaled agents are the main group of prescribed CSs, this might be a substantial risk to public health in case of a yet-to-be-proven causal relationship. (J Clin Endocrinol Metab 102: 3765–3774, 2017)","container-title":"The Journal of Clinical Endocrinology &amp; Metabolism","DOI":"10.1210/jc.2017-01133","ISSN":"0021-972X, 1945-7197","issue":"10","language":"en","page":"3765-3774","source":"DOI.org (Crossref)","title":"Associations Between Systemic and Local Corticosteroid Use With Metabolic Syndrome and Body Mass Index","volume":"102","author":[{"family":"Savas","given":"Mesut"},{"family":"Muka","given":"Taulant"},{"family":"Wester","given":"Vincent L"},{"family":"Van Den Akker","given":"Erica L T"},{"family":"Visser","given":"Jenny A"},{"family":"Braunstahl","given":"Gert-Jan"},{"family":"Slagter","given":"Sandra N"},{"family":"Wolffenbuttel","given":"Bruce H R"},{"family":"Franco","given":"Oscar H"},{"family":"Van Rossum","given":"Elisabeth F C"}],"issued":{"date-parts":[["2017",10,1]]}}}],"schema":"https://github.com/citation-style-language/schema/raw/master/csl-citation.json"} </w:instrText>
      </w:r>
      <w:r w:rsidR="0024419F" w:rsidRPr="00586786">
        <w:rPr>
          <w:rFonts w:ascii="Arial" w:hAnsi="Arial" w:cs="Arial"/>
        </w:rPr>
        <w:fldChar w:fldCharType="separate"/>
      </w:r>
      <w:r w:rsidR="00386695" w:rsidRPr="00586786">
        <w:rPr>
          <w:rFonts w:ascii="Arial" w:hAnsi="Arial" w:cs="Arial"/>
          <w:noProof/>
        </w:rPr>
        <w:t>(40,49)</w:t>
      </w:r>
      <w:r w:rsidR="0024419F" w:rsidRPr="00586786">
        <w:rPr>
          <w:rFonts w:ascii="Arial" w:hAnsi="Arial" w:cs="Arial"/>
        </w:rPr>
        <w:fldChar w:fldCharType="end"/>
      </w:r>
      <w:r w:rsidR="0024419F" w:rsidRPr="00586786">
        <w:rPr>
          <w:rFonts w:ascii="Arial" w:hAnsi="Arial" w:cs="Arial"/>
        </w:rPr>
        <w:t xml:space="preserve">, the </w:t>
      </w:r>
      <w:r w:rsidR="00A72BBA" w:rsidRPr="00586786">
        <w:rPr>
          <w:rFonts w:ascii="Arial" w:hAnsi="Arial" w:cs="Arial"/>
        </w:rPr>
        <w:t>use</w:t>
      </w:r>
      <w:r w:rsidR="0024419F" w:rsidRPr="00586786">
        <w:rPr>
          <w:rFonts w:ascii="Arial" w:hAnsi="Arial" w:cs="Arial"/>
        </w:rPr>
        <w:t xml:space="preserve"> of antihypertensives</w:t>
      </w:r>
      <w:r w:rsidR="00A72BBA" w:rsidRPr="00586786">
        <w:rPr>
          <w:rFonts w:ascii="Arial" w:hAnsi="Arial" w:cs="Arial"/>
        </w:rPr>
        <w:t xml:space="preserve"> was used to</w:t>
      </w:r>
      <w:r w:rsidR="0024419F" w:rsidRPr="00586786">
        <w:rPr>
          <w:rFonts w:ascii="Arial" w:hAnsi="Arial" w:cs="Arial"/>
        </w:rPr>
        <w:t xml:space="preserve"> define the </w:t>
      </w:r>
      <w:r w:rsidR="00A72BBA" w:rsidRPr="00586786">
        <w:rPr>
          <w:rFonts w:ascii="Arial" w:hAnsi="Arial" w:cs="Arial"/>
        </w:rPr>
        <w:t>presence</w:t>
      </w:r>
      <w:r w:rsidR="0024419F" w:rsidRPr="00586786">
        <w:rPr>
          <w:rFonts w:ascii="Arial" w:hAnsi="Arial" w:cs="Arial"/>
        </w:rPr>
        <w:t xml:space="preserve"> of hypertension. The WHO-UMC </w:t>
      </w:r>
      <w:r w:rsidR="00A72BBA" w:rsidRPr="00586786">
        <w:rPr>
          <w:rFonts w:ascii="Arial" w:hAnsi="Arial" w:cs="Arial"/>
        </w:rPr>
        <w:t>assessment scale</w:t>
      </w:r>
      <w:r w:rsidR="0024419F" w:rsidRPr="00586786">
        <w:rPr>
          <w:rFonts w:ascii="Arial" w:hAnsi="Arial" w:cs="Arial"/>
        </w:rPr>
        <w:t>, modified Hartwig and Seigel scale</w:t>
      </w:r>
      <w:r w:rsidR="0024419F" w:rsidRPr="00586786">
        <w:rPr>
          <w:rFonts w:ascii="Arial" w:hAnsi="Arial" w:cs="Arial"/>
        </w:rPr>
        <w:fldChar w:fldCharType="begin"/>
      </w:r>
      <w:r w:rsidR="00386695" w:rsidRPr="00586786">
        <w:rPr>
          <w:rFonts w:ascii="Arial" w:hAnsi="Arial" w:cs="Arial"/>
        </w:rPr>
        <w:instrText xml:space="preserve"> ADDIN ZOTERO_ITEM CSL_CITATION {"citationID":"7YkKSFEG","properties":{"formattedCitation":"(35)","plainCitation":"(35)","noteIndex":0},"citationItems":[{"id":4258,"uris":["http://zotero.org/users/13605431/items/XYYAUV82"],"itemData":{"id":4258,"type":"article-journal","abstract":"Glucocorticoids are used in therapy empirically, but undesirable effects occur with large doses or prolonged administration. The aim of the study is to assess the pattern of adverse drug reactions of glucocorticoids in a tertiary care hospital. A retrospective analysis of adverse drug reactions (ADRs) following administration of glucocorticoids was conducted in the ADR monitoring center, Department of Pharmacology, Kasturba Medical College, Manipal. Clinical and treatment data were collected from the patient case records in the suspected adverse drug reaction reporting form as per the World Health Organization guidelines.  ADRs were assessed for Causality, Preventability and Severity using WHO causality assessment scale, Modified Schumock and Thornton’s scale and Hartwig’s severity scale, respectively. 100 ADRs were observed in 85 patients, with 51% males and 49% females. Prednisolone (53%) was the most common drug responsible for ADRs, followed by betamethasone (9%) and dexamethasone (8%). Hyperglycemia (34%) was the most common ADR, followed by cutaneous adverse reactions (32%). Acne (20%) was common among them. Over 86% reactions were categorized \"possible\". Among ADRs (91%) treated, only 16 % recovered. About 39% of cases were \"probably preventable\". The majority of ADRs (72%) were moderate in “severity”. Given the number and severity of side effects, the institution of glucocorticoids requires careful consideration of the relative risks and benefits in each patient.","container-title":"International Journal of Research in Pharmaceutical Sciences","DOI":"10.26452/ijrps.v12i2.4748","ISSN":"0975-7538","issue":"2","journalAbbreviation":"ijrps","language":"en","license":"https://creativecommons.org/licenses/by-nc-nd/4.0","page":"1611-1619","source":"DOI.org (Crossref)","title":"Glucocorticoids: Boon or Bane-An assessment of safety profiling of steroids in a tertiary care hospital","title-short":"Glucocorticoids","volume":"12","author":[{"family":"Holla","given":"Sadhana"}],"issued":{"date-parts":[["2021",6,12]]}}}],"schema":"https://github.com/citation-style-language/schema/raw/master/csl-citation.json"} </w:instrText>
      </w:r>
      <w:r w:rsidR="0024419F" w:rsidRPr="00586786">
        <w:rPr>
          <w:rFonts w:ascii="Arial" w:hAnsi="Arial" w:cs="Arial"/>
        </w:rPr>
        <w:fldChar w:fldCharType="separate"/>
      </w:r>
      <w:r w:rsidR="00386695" w:rsidRPr="00586786">
        <w:rPr>
          <w:rFonts w:ascii="Arial" w:hAnsi="Arial" w:cs="Arial"/>
          <w:noProof/>
        </w:rPr>
        <w:t>(35)</w:t>
      </w:r>
      <w:r w:rsidR="0024419F" w:rsidRPr="00586786">
        <w:rPr>
          <w:rFonts w:ascii="Arial" w:hAnsi="Arial" w:cs="Arial"/>
        </w:rPr>
        <w:fldChar w:fldCharType="end"/>
      </w:r>
      <w:r w:rsidR="0024419F" w:rsidRPr="00586786">
        <w:rPr>
          <w:rFonts w:ascii="Arial" w:hAnsi="Arial" w:cs="Arial"/>
        </w:rPr>
        <w:t xml:space="preserve">, and retrospective case note review were </w:t>
      </w:r>
      <w:r w:rsidR="00A72BBA" w:rsidRPr="00586786">
        <w:rPr>
          <w:rFonts w:ascii="Arial" w:hAnsi="Arial" w:cs="Arial"/>
        </w:rPr>
        <w:t>each</w:t>
      </w:r>
      <w:r w:rsidR="0024419F" w:rsidRPr="00586786">
        <w:rPr>
          <w:rFonts w:ascii="Arial" w:hAnsi="Arial" w:cs="Arial"/>
        </w:rPr>
        <w:t xml:space="preserve"> used </w:t>
      </w:r>
      <w:r w:rsidR="00A72BBA" w:rsidRPr="00586786">
        <w:rPr>
          <w:rFonts w:ascii="Arial" w:hAnsi="Arial" w:cs="Arial"/>
        </w:rPr>
        <w:t>by</w:t>
      </w:r>
      <w:r w:rsidR="0024419F" w:rsidRPr="00586786">
        <w:rPr>
          <w:rFonts w:ascii="Arial" w:hAnsi="Arial" w:cs="Arial"/>
        </w:rPr>
        <w:t xml:space="preserve"> a single study</w:t>
      </w:r>
      <w:r w:rsidR="0024419F" w:rsidRPr="00586786">
        <w:rPr>
          <w:rFonts w:ascii="Arial" w:hAnsi="Arial" w:cs="Arial"/>
        </w:rPr>
        <w:fldChar w:fldCharType="begin"/>
      </w:r>
      <w:r w:rsidR="00386695" w:rsidRPr="00586786">
        <w:rPr>
          <w:rFonts w:ascii="Arial" w:hAnsi="Arial" w:cs="Arial"/>
        </w:rPr>
        <w:instrText xml:space="preserve"> ADDIN ZOTERO_ITEM CSL_CITATION {"citationID":"kWTjDjel","properties":{"formattedCitation":"(85)","plainCitation":"(85)","noteIndex":0},"citationItems":[{"id":4261,"uris":["http://zotero.org/users/13605431/items/WCP22P8Q"],"itemData":{"id":4261,"type":"article-journal","container-title":"Thorax","DOI":"10.1136/thx.23.6.571","ISSN":"0040-6376","issue":"6","journalAbbreviation":"Thorax","language":"en","page":"571-581","source":"DOI.org (Crossref)","title":"Incidence of serious complications of corticosteroid therapy in respiratory disease: A retrospective survey of patients in the Brompton Hospital","title-short":"Incidence of serious complications of corticosteroid therapy in respiratory disease","volume":"23","author":[{"family":"Smyllie","given":"H. C."},{"family":"Connolly","given":"C. K."}],"issued":{"date-parts":[["1968",11,1]]}}}],"schema":"https://github.com/citation-style-language/schema/raw/master/csl-citation.json"} </w:instrText>
      </w:r>
      <w:r w:rsidR="0024419F" w:rsidRPr="00586786">
        <w:rPr>
          <w:rFonts w:ascii="Arial" w:hAnsi="Arial" w:cs="Arial"/>
        </w:rPr>
        <w:fldChar w:fldCharType="separate"/>
      </w:r>
      <w:r w:rsidR="00386695" w:rsidRPr="00586786">
        <w:rPr>
          <w:rFonts w:ascii="Arial" w:hAnsi="Arial" w:cs="Arial"/>
          <w:noProof/>
        </w:rPr>
        <w:t>(85)</w:t>
      </w:r>
      <w:r w:rsidR="0024419F" w:rsidRPr="00586786">
        <w:rPr>
          <w:rFonts w:ascii="Arial" w:hAnsi="Arial" w:cs="Arial"/>
        </w:rPr>
        <w:fldChar w:fldCharType="end"/>
      </w:r>
      <w:r w:rsidR="0024419F" w:rsidRPr="00586786">
        <w:rPr>
          <w:rFonts w:ascii="Arial" w:hAnsi="Arial" w:cs="Arial"/>
        </w:rPr>
        <w:t xml:space="preserve">. </w:t>
      </w:r>
      <w:r w:rsidR="004A5C73" w:rsidRPr="00586786">
        <w:rPr>
          <w:rFonts w:ascii="Arial" w:hAnsi="Arial" w:cs="Arial"/>
        </w:rPr>
        <w:t xml:space="preserve">AIRD patient populations were included in </w:t>
      </w:r>
      <w:r w:rsidR="00274241" w:rsidRPr="00586786">
        <w:rPr>
          <w:rFonts w:ascii="Arial" w:hAnsi="Arial" w:cs="Arial"/>
        </w:rPr>
        <w:t>seven</w:t>
      </w:r>
      <w:r w:rsidR="004A5C73" w:rsidRPr="00586786">
        <w:rPr>
          <w:rFonts w:ascii="Arial" w:hAnsi="Arial" w:cs="Arial"/>
        </w:rPr>
        <w:t xml:space="preserve"> studies, non</w:t>
      </w:r>
      <w:r w:rsidR="00672A81" w:rsidRPr="00586786">
        <w:rPr>
          <w:rFonts w:ascii="Arial" w:hAnsi="Arial" w:cs="Arial"/>
        </w:rPr>
        <w:t>-</w:t>
      </w:r>
      <w:r w:rsidR="004A5C73" w:rsidRPr="00586786">
        <w:rPr>
          <w:rFonts w:ascii="Arial" w:hAnsi="Arial" w:cs="Arial"/>
        </w:rPr>
        <w:t xml:space="preserve">AIRD populations in </w:t>
      </w:r>
      <w:r w:rsidR="00274241" w:rsidRPr="00586786">
        <w:rPr>
          <w:rFonts w:ascii="Arial" w:hAnsi="Arial" w:cs="Arial"/>
        </w:rPr>
        <w:t>five</w:t>
      </w:r>
      <w:r w:rsidR="004A5C73" w:rsidRPr="00586786">
        <w:rPr>
          <w:rFonts w:ascii="Arial" w:hAnsi="Arial" w:cs="Arial"/>
        </w:rPr>
        <w:t xml:space="preserve"> studies, unrestricted populations in four studies</w:t>
      </w:r>
      <w:r w:rsidR="00672A81" w:rsidRPr="00586786">
        <w:rPr>
          <w:rFonts w:ascii="Arial" w:hAnsi="Arial" w:cs="Arial"/>
        </w:rPr>
        <w:t>,</w:t>
      </w:r>
      <w:r w:rsidR="004A5C73" w:rsidRPr="00586786">
        <w:rPr>
          <w:rFonts w:ascii="Arial" w:hAnsi="Arial" w:cs="Arial"/>
        </w:rPr>
        <w:t xml:space="preserve"> and not specified in one study. </w:t>
      </w:r>
      <w:r w:rsidR="004D2C10" w:rsidRPr="00586786">
        <w:rPr>
          <w:rFonts w:ascii="Arial" w:hAnsi="Arial" w:cs="Arial"/>
        </w:rPr>
        <w:t xml:space="preserve">GCs </w:t>
      </w:r>
      <w:r w:rsidR="007C2F0C" w:rsidRPr="00586786">
        <w:rPr>
          <w:rFonts w:ascii="Arial" w:hAnsi="Arial" w:cs="Arial"/>
        </w:rPr>
        <w:t xml:space="preserve">were delivered systemically in 15 studies, inhaled in </w:t>
      </w:r>
      <w:r w:rsidR="00A72BBA" w:rsidRPr="00586786">
        <w:rPr>
          <w:rFonts w:ascii="Arial" w:hAnsi="Arial" w:cs="Arial"/>
        </w:rPr>
        <w:t>three</w:t>
      </w:r>
      <w:r w:rsidR="007C2F0C" w:rsidRPr="00586786">
        <w:rPr>
          <w:rFonts w:ascii="Arial" w:hAnsi="Arial" w:cs="Arial"/>
        </w:rPr>
        <w:t xml:space="preserve"> studies, topically in </w:t>
      </w:r>
      <w:r w:rsidR="00A72BBA" w:rsidRPr="00586786">
        <w:rPr>
          <w:rFonts w:ascii="Arial" w:hAnsi="Arial" w:cs="Arial"/>
        </w:rPr>
        <w:t>two</w:t>
      </w:r>
      <w:r w:rsidR="007C2F0C" w:rsidRPr="00586786">
        <w:rPr>
          <w:rFonts w:ascii="Arial" w:hAnsi="Arial" w:cs="Arial"/>
        </w:rPr>
        <w:t xml:space="preserve"> studies and additionally via intranasal, ocular, ontological, intestinal, haemorrhoidal, local oral and gynaecological in a single study. Four included papers were development papers for the included measurement instrument. </w:t>
      </w:r>
      <w:r w:rsidR="00D72B82" w:rsidRPr="00586786">
        <w:rPr>
          <w:rFonts w:ascii="Arial" w:hAnsi="Arial" w:cs="Arial"/>
        </w:rPr>
        <w:t>Eleven studies measured change over time</w:t>
      </w:r>
      <w:r w:rsidR="00672A81" w:rsidRPr="00586786">
        <w:rPr>
          <w:rFonts w:ascii="Arial" w:hAnsi="Arial" w:cs="Arial"/>
        </w:rPr>
        <w:t>;</w:t>
      </w:r>
      <w:r w:rsidR="00D72B82" w:rsidRPr="00586786">
        <w:rPr>
          <w:rFonts w:ascii="Arial" w:hAnsi="Arial" w:cs="Arial"/>
        </w:rPr>
        <w:t xml:space="preserve"> two measured</w:t>
      </w:r>
      <w:r w:rsidR="001D7065" w:rsidRPr="00586786">
        <w:rPr>
          <w:rFonts w:ascii="Arial" w:hAnsi="Arial" w:cs="Arial"/>
        </w:rPr>
        <w:t xml:space="preserve"> </w:t>
      </w:r>
      <w:proofErr w:type="gramStart"/>
      <w:r w:rsidR="001D7065" w:rsidRPr="00586786">
        <w:rPr>
          <w:rFonts w:ascii="Arial" w:hAnsi="Arial" w:cs="Arial"/>
        </w:rPr>
        <w:t>value</w:t>
      </w:r>
      <w:proofErr w:type="gramEnd"/>
      <w:r w:rsidR="001D7065" w:rsidRPr="00586786">
        <w:rPr>
          <w:rFonts w:ascii="Arial" w:hAnsi="Arial" w:cs="Arial"/>
        </w:rPr>
        <w:t xml:space="preserve"> at a single time point.</w:t>
      </w:r>
      <w:r w:rsidR="00D72B82" w:rsidRPr="00586786">
        <w:rPr>
          <w:rFonts w:ascii="Arial" w:hAnsi="Arial" w:cs="Arial"/>
        </w:rPr>
        <w:t xml:space="preserve"> </w:t>
      </w:r>
    </w:p>
    <w:p w14:paraId="6DE028D9" w14:textId="77777777" w:rsidR="00607EB8" w:rsidRPr="00586786" w:rsidRDefault="00607EB8" w:rsidP="00586786">
      <w:pPr>
        <w:spacing w:line="360" w:lineRule="auto"/>
        <w:rPr>
          <w:rFonts w:ascii="Arial" w:hAnsi="Arial" w:cs="Arial"/>
        </w:rPr>
      </w:pPr>
    </w:p>
    <w:p w14:paraId="56DA338B" w14:textId="7CFCD20A" w:rsidR="00C74AE4" w:rsidRPr="00586786" w:rsidRDefault="00E0194E" w:rsidP="00586786">
      <w:pPr>
        <w:spacing w:line="360" w:lineRule="auto"/>
        <w:rPr>
          <w:rFonts w:ascii="Arial" w:hAnsi="Arial" w:cs="Arial"/>
          <w:i/>
          <w:iCs/>
        </w:rPr>
      </w:pPr>
      <w:r w:rsidRPr="00586786">
        <w:rPr>
          <w:rFonts w:ascii="Arial" w:hAnsi="Arial" w:cs="Arial"/>
          <w:i/>
          <w:iCs/>
        </w:rPr>
        <w:t>3.</w:t>
      </w:r>
      <w:r w:rsidR="00246CA8" w:rsidRPr="00586786">
        <w:rPr>
          <w:rFonts w:ascii="Arial" w:hAnsi="Arial" w:cs="Arial"/>
          <w:i/>
          <w:iCs/>
        </w:rPr>
        <w:t>6</w:t>
      </w:r>
      <w:r w:rsidRPr="00586786">
        <w:rPr>
          <w:rFonts w:ascii="Arial" w:hAnsi="Arial" w:cs="Arial"/>
          <w:i/>
          <w:iCs/>
        </w:rPr>
        <w:t xml:space="preserve">.4 </w:t>
      </w:r>
      <w:r w:rsidR="00C74AE4" w:rsidRPr="00586786">
        <w:rPr>
          <w:rFonts w:ascii="Arial" w:hAnsi="Arial" w:cs="Arial"/>
          <w:i/>
          <w:iCs/>
        </w:rPr>
        <w:t>Hyperglycaemia</w:t>
      </w:r>
    </w:p>
    <w:p w14:paraId="2FB41E16" w14:textId="4D293251" w:rsidR="00C74AE4" w:rsidRPr="00586786" w:rsidRDefault="00A72BBA" w:rsidP="00586786">
      <w:pPr>
        <w:spacing w:line="360" w:lineRule="auto"/>
        <w:rPr>
          <w:rFonts w:ascii="Arial" w:hAnsi="Arial" w:cs="Arial"/>
        </w:rPr>
      </w:pPr>
      <w:r w:rsidRPr="00586786">
        <w:rPr>
          <w:rFonts w:ascii="Arial" w:hAnsi="Arial" w:cs="Arial"/>
        </w:rPr>
        <w:t>Seven</w:t>
      </w:r>
      <w:r w:rsidR="00D96A78" w:rsidRPr="00586786">
        <w:rPr>
          <w:rFonts w:ascii="Arial" w:hAnsi="Arial" w:cs="Arial"/>
        </w:rPr>
        <w:t xml:space="preserve"> candidate instruments </w:t>
      </w:r>
      <w:r w:rsidR="00781F37" w:rsidRPr="00586786">
        <w:rPr>
          <w:rFonts w:ascii="Arial" w:hAnsi="Arial" w:cs="Arial"/>
        </w:rPr>
        <w:t xml:space="preserve">and </w:t>
      </w:r>
      <w:r w:rsidRPr="00586786">
        <w:rPr>
          <w:rFonts w:ascii="Arial" w:hAnsi="Arial" w:cs="Arial"/>
        </w:rPr>
        <w:t>one</w:t>
      </w:r>
      <w:r w:rsidR="00781F37" w:rsidRPr="00586786">
        <w:rPr>
          <w:rFonts w:ascii="Arial" w:hAnsi="Arial" w:cs="Arial"/>
        </w:rPr>
        <w:t xml:space="preserve"> group of candidate instruments </w:t>
      </w:r>
      <w:r w:rsidR="00145097" w:rsidRPr="00586786">
        <w:rPr>
          <w:rFonts w:ascii="Arial" w:hAnsi="Arial" w:cs="Arial"/>
        </w:rPr>
        <w:t>were</w:t>
      </w:r>
      <w:r w:rsidR="00D96A78" w:rsidRPr="00586786">
        <w:rPr>
          <w:rFonts w:ascii="Arial" w:hAnsi="Arial" w:cs="Arial"/>
        </w:rPr>
        <w:t xml:space="preserve"> identified from 16 included studies </w:t>
      </w:r>
      <w:r w:rsidRPr="00586786">
        <w:rPr>
          <w:rFonts w:ascii="Arial" w:hAnsi="Arial" w:cs="Arial"/>
        </w:rPr>
        <w:t>assessing</w:t>
      </w:r>
      <w:r w:rsidR="00D96A78" w:rsidRPr="00586786">
        <w:rPr>
          <w:rFonts w:ascii="Arial" w:hAnsi="Arial" w:cs="Arial"/>
        </w:rPr>
        <w:t xml:space="preserve"> hyperglycaemia, displayed in </w:t>
      </w:r>
      <w:r w:rsidRPr="00586786">
        <w:rPr>
          <w:rFonts w:ascii="Arial" w:hAnsi="Arial" w:cs="Arial"/>
        </w:rPr>
        <w:t>T</w:t>
      </w:r>
      <w:r w:rsidR="00D96A78" w:rsidRPr="00586786">
        <w:rPr>
          <w:rFonts w:ascii="Arial" w:hAnsi="Arial" w:cs="Arial"/>
        </w:rPr>
        <w:t xml:space="preserve">able </w:t>
      </w:r>
      <w:r w:rsidR="00B84A5D" w:rsidRPr="00586786">
        <w:rPr>
          <w:rFonts w:ascii="Arial" w:hAnsi="Arial" w:cs="Arial"/>
        </w:rPr>
        <w:t>6</w:t>
      </w:r>
      <w:r w:rsidR="00D96A78" w:rsidRPr="00586786">
        <w:rPr>
          <w:rFonts w:ascii="Arial" w:hAnsi="Arial" w:cs="Arial"/>
        </w:rPr>
        <w:t>. The most frequently used instrument was the GTI (n=10 studies)</w:t>
      </w:r>
      <w:r w:rsidR="00A72EC9" w:rsidRPr="00586786">
        <w:rPr>
          <w:rFonts w:ascii="Arial" w:hAnsi="Arial" w:cs="Arial"/>
        </w:rPr>
        <w:t xml:space="preserve"> which measured hyperglycaemia as a change in glucose tolerance over time with or without </w:t>
      </w:r>
      <w:r w:rsidR="00A72EC9" w:rsidRPr="00586786">
        <w:rPr>
          <w:rFonts w:ascii="Arial" w:hAnsi="Arial" w:cs="Arial"/>
        </w:rPr>
        <w:lastRenderedPageBreak/>
        <w:t xml:space="preserve">treatment, or by development of end-organ complications from diabetes (retinopathy, neuropathy, nephropathy) </w:t>
      </w:r>
      <w:r w:rsidR="00821E9A" w:rsidRPr="00586786">
        <w:rPr>
          <w:rFonts w:ascii="Arial" w:hAnsi="Arial" w:cs="Arial"/>
        </w:rPr>
        <w:fldChar w:fldCharType="begin"/>
      </w:r>
      <w:r w:rsidR="00386695" w:rsidRPr="00586786">
        <w:rPr>
          <w:rFonts w:ascii="Arial" w:hAnsi="Arial" w:cs="Arial"/>
        </w:rPr>
        <w:instrText xml:space="preserve"> ADDIN ZOTERO_ITEM CSL_CITATION {"citationID":"jRxg3Jh3","properties":{"formattedCitation":"(10,14,17,21,24,25,28,30,32,33)","plainCitation":"(10,14,17,21,24,25,28,30,32,33)","noteIndex":0},"citationItems":[{"id":3829,"uris":["http://zotero.org/users/13605431/items/MXWPBSJM"],"itemData":{"id":3829,"type":"article-journal","abstract":"Objectives To develop a Glucocorticoid Toxicity Index (GTI) to assess glucocorticoid (GC)-related morbidity and GC-sparing ability of other therapies.\nMethods Nineteen experts on GC use and outcome measures from 11 subspecialties participated. Ten experts were from the USA; nine from Canada, Europe or Australia. Group consensus methods and multicriteria decision analysis (MCDA) were used. A Composite GTI and Speciﬁc List comprise the overall GTI. The Composite GTI reﬂects toxicity likely to change during a clinical trial. The Composite GTI toxicities occur commonly, vary with GC exposure, and are weighted and scored. Relative weights for items in the Composite GTI were derived by group consensus and MCDA. The Speciﬁc List is designed to capture GC toxicity not included in the Composite GTI. The Composite GTI was evaluated by application to paper cases by the investigators and an external group of 17 subspecialists.\nResults Thirty-one toxicity items were included in the Composite GTI and 23 in the Speciﬁc List. Composite GTI evaluation showed high inter-rater agreement (investigators κ 0.88, external raters κ 0.90). To assess the degree to which the Composite GTI corresponds to expert clinical judgement, participants ranked 15 cases by clinical judgement in order of highest to lowest GC toxicity. Expert rankings were then compared with case ranking by the Composite GTI, yielding excellent agreement (investigators weighted κ 0.87, external raters weighted κ 0.77).\nConclusions We describe the development and initial evaluation of a comprehensive instrument for the assessment of GC toxicity.","container-title":"Annals of the Rheumatic Diseases","DOI":"10.1136/annrheumdis-2016-210002","ISSN":"0003-4967, 1468-2060","issue":"3","journalAbbreviation":"Ann Rheum Dis","language":"en","page":"543-546","source":"DOI.org (Crossref)","title":"Development of a Glucocorticoid Toxicity Index (GTI) using multicriteria decision analysis","volume":"76","author":[{"family":"Miloslavsky","given":"Eli M"},{"family":"Naden","given":"Ray P"},{"family":"Bijlsma","given":"Johannes W J"},{"family":"Brogan","given":"Paul A"},{"family":"Brown","given":"E Sherwood"},{"family":"Brunetta","given":"Paul"},{"family":"Buttgereit","given":"Frank"},{"family":"Choi","given":"Hyon K"},{"family":"DiCaire","given":"Jean-Francois"},{"family":"Gelfand","given":"Jeffrey M"},{"family":"Heaney","given":"Liam G"},{"family":"Lightstone","given":"Liz"},{"family":"Lu","given":"Na"},{"family":"Murrell","given":"Dedee F"},{"family":"Petri","given":"Michelle"},{"family":"Rosenbaum","given":"James T"},{"family":"Saag","given":"Kenneth S"},{"family":"Urowitz","given":"Murray B"},{"family":"Winthrop","given":"Kevin L"},{"family":"Stone","given":"John H"}],"issued":{"date-parts":[["2017",3]]}}},{"id":4254,"uris":["http://zotero.org/users/13605431/items/NVRDHTQW"],"itemData":{"id":4254,"type":"article-journal","abstract":"Background ANCA-associated vasculitis (AAV) is an autoimmune disease. Induction remission and maintenance treatment typically includes high-dose, tapering glucocorticoids (GC), in addition to other immunosuppressive medication. The use of theGlucocorticoid Toxicity Index (GTI) provides a global, quantiﬁable assessment tool in which clinicians can assess GC-associated morbidity. Recent trials in AAV have exposed the need for systemic assessment of GC burden. In this small cohort study, we look to address these issues and the justiﬁcation of newer GC sparing agents, such as C5a inhibitors.\nMethods A retrospective cohort study of 43 patients with biopsy AAV was constructed from a single center between 2012–2016, and followed up for 48 months. The GTI table made up of adverse features was used to quantify patients’ GC toxicity. Electronic patient records were reviewed and scores calculated according to published methods. GTI scores were compared with cumulative steroid doses at separate intervals and incidences of adverse features in relation to the treatment timeline.\nResults The mean age was 65.9 (611.06) years and treatment regimens consisted of glucocorticoids alongside cyclophosphamide or rituximab. Our results showed statistical signiﬁcance in the association of cumulative GC doses and GTI scores (P50.008; 95% CI, 1.31 to 8.05). Adverse features relating to mood disturbance and GC-induced psychosis occurred early, in contrast to adrenal insufﬁciency, which typically presented later in the follow-up. Infection-related adverse events were consistent throughout.\nConclusions We demonstrated that higher cumulative doses of steroids in AAV lead to worse glucocorticoidrelated toxicity. Using the GTI creates the potential to individualize and quantify the adverse effects patients experience as a result of GC treatment and permits more patient-centered management. Although glucocorticoids remain the main adjunctive immunosuppression of AAV treatment, the narrow therapeutic window supports the need for GC-sparing treatments. KIDNEY360 2: 1002–1010, 2021. doi: https://doi.org/10.34067/KID.0000502021","container-title":"Kidney360","DOI":"10.34067/KID.0000502021","ISSN":"2641-7650","issue":"6","journalAbbreviation":"Kidney360","language":"en","page":"1002-1010","source":"DOI.org (Crossref)","title":"Glucocorticoid Therapy in ANCA Vasculitis: Using the Glucocorticoid Toxicity Index as an Outcome Measure","title-short":"Glucocorticoid Therapy in ANCA Vasculitis","volume":"2","author":[{"family":"Floyd","given":"Lauren"},{"family":"Morris","given":"Adam"},{"family":"Joshi","given":"Miland"},{"family":"Dhaygude","given":"Ajay"}],"issued":{"date-parts":[["2021",6]]}}},{"id":4288,"uris":["http://zotero.org/users/13605431/items/ZD43GZVK"],"itemData":{"id":4288,"type":"article-journal","abstract":"Glucocorticoids (GCs) have been the cornerstone of treating dozens of inﬂammatory conditions for more than seven decades. GC toxicity is ubiquitous in both clinical trials and clinical practice, and toxicities associated with GC use are central to the experience of most patients being treated for immune-mediated conditions. These conditions span the full range of medical specialties, including rheumatology, nephrology, gastroenterology, neurology, pulmonology, ophthalmology, and others. One of the goals of novel therapies for inﬂammatory disease must be to diminish the effects of GC toxicity in clinically important ways, thereby differentiating these new treatments from existing approaches. Despite the importance of glucocorticoids in the treatment of inﬂammatory disease for more than 70 years, no reliable means of calculating the degree to which GC toxicity has worsened or improved over the course of treatment has been available. The Glucocorticoid Toxicity Index (GTI), developed by an international group of subspecialty physician experts as a clinician-facing clinical trials outcome measure, is a standardized, validated measure of the phenomenon known as GC toxicity. The purpose of the instrument is to measure change in GC toxicity between two points in time: for example, between the baseline visit and the time of the primary efﬁcacy outcome assessment. The instrument is designed to quantify both worsening and improvement in GC toxicity. The GTI has been validated in both real-world experiences and clinical trials, including a phase 3, label-enabling trial in ANCA associated vasculitis. This article reviews the history and rationale for the development of the GTI, describes key data from validation studies, considers the minimum clinically important difference, and provides instructions for use of the instrument.","container-title":"Seminars in Arthritis and Rheumatism","DOI":"10.1016/j.semarthrit.2022.152010","ISSN":"00490172","journalAbbreviation":"Seminars in Arthritis and Rheumatism","language":"en","page":"152010","source":"DOI.org (Crossref)","title":"The glucocorticoid toxicity index: Measuring change in glucocorticoid toxicity over time","title-short":"The glucocorticoid toxicity index","volume":"55","author":[{"family":"Stone","given":"John H."},{"family":"McDowell","given":"P. Jane"},{"family":"Jayne","given":"David R.W."},{"family":"Merkel","given":"Peter A."},{"family":"Robson","given":"Joanna"},{"family":"Patel","given":"Naomi J."},{"family":"Zhang","given":"Yuqing"},{"family":"Yue","given":"Huibin"},{"family":"Bekker","given":"Pirow"},{"family":"Heaney","given":"Liam G."}],"issued":{"date-parts":[["2022",8]]}}},{"id":4279,"uris":["http://zotero.org/users/13605431/items/WI98FPDS"],"itemData":{"id":4279,"type":"article-journal","container-title":"The Journal of Allergy and Clinical Immunology: In Practice","DOI":"10.1016/j.jaip.2020.08.032","ISSN":"22132198","issue":"1","journalAbbreviation":"The Journal of Allergy and Clinical Immunology: In Practice","language":"en","page":"365-372.e5","source":"DOI.org (Crossref)","title":"Quantification of Glucocorticoid-Associated Morbidity in Severe Asthma Using the Glucocorticoid Toxicity Index","volume":"9","author":[{"family":"McDowell","given":"P. Jane"},{"family":"Stone","given":"John H."},{"family":"Zhang","given":"Yuqing"},{"family":"Honeyford","given":"Kirsty"},{"family":"Dunn","given":"Louise"},{"family":"Logan","given":"R. Jayne"},{"family":"Butler","given":"Claire A."},{"family":"McGarvey","given":"Lorcan P.A."},{"family":"Heaney","given":"Liam G."}],"issued":{"date-parts":[["2021",1]]}}},{"id":4197,"uris":["http://zotero.org/users/13605431/items/7SSBXYTK"],"itemData":{"id":4197,"type":"article-journal","abstract":"Rituximab (RTX) combined with short-term glucocorticoids (GC) is an effective therapeutic option for pemphigus. The newly developed Glucocorticoid Toxicity Index (GTI) tool provides the possibility to measure GC toxicities over time. To compare 1-year GTI between two groups of RTX-treated and RTX-naïve patients with pemphigus. The responsiveness of the GTI was also investigated. A prospective cohort of 129 adults with newly diagnosed pemphigus was conducted. GC-related toxicities were assessed at 3-month intervals according to Composite and Specific lists of the GTI. Of the patients, 76.7% (n = 99) received RTX. Throughout the time intervals, RTX-treated patients had lower GTI compared to RTX-naïve ones (p = 0.036). The mean GTI at 1-year was 34.3 in the RTX-treated group and 50.8 in the RTX-naïve group (p = 0.04). The most commonly observed GC-related toxicity was neuropsychiatric manifestations for 34% (224 events). The relapse rate of RTX-treated patients (1%) was significantly lower than RTX-naïve patients (10%) (p = 0.037). The GTI showed no correlation with cumulative GC consumption in both groups (p &gt; 0.05, both). Patients treated with GC alone had remarkably higher GTI than patients treated with GC plus RTX. The GTI is an applicable tool to quantitatively capture GC toxicities at the patient level in pemphigus.","container-title":"Dermatologic Therapy","DOI":"10.1111/dth.15902","ISSN":"1396-0296, 1529-8019","issue":"12","journalAbbreviation":"Dermatologic Therapy","language":"en","source":"DOI.org (Crossref)","title":"Applicability of glucocorticoid toxicity index in pemphigus: Comparison between two groups of rituximab</w:instrText>
      </w:r>
      <w:r w:rsidR="00386695" w:rsidRPr="00586786">
        <w:rPr>
          <w:rFonts w:ascii="Cambria Math" w:hAnsi="Cambria Math" w:cs="Cambria Math"/>
        </w:rPr>
        <w:instrText>‐</w:instrText>
      </w:r>
      <w:r w:rsidR="00386695" w:rsidRPr="00586786">
        <w:rPr>
          <w:rFonts w:ascii="Arial" w:hAnsi="Arial" w:cs="Arial"/>
        </w:rPr>
        <w:instrText>treated and rituximab</w:instrText>
      </w:r>
      <w:r w:rsidR="00386695" w:rsidRPr="00586786">
        <w:rPr>
          <w:rFonts w:ascii="Cambria Math" w:hAnsi="Cambria Math" w:cs="Cambria Math"/>
        </w:rPr>
        <w:instrText>‐</w:instrText>
      </w:r>
      <w:r w:rsidR="00386695" w:rsidRPr="00586786">
        <w:rPr>
          <w:rFonts w:ascii="Arial" w:hAnsi="Arial" w:cs="Arial"/>
        </w:rPr>
        <w:instrText xml:space="preserve">naïve patients","title-short":"Applicability of glucocorticoid toxicity index in pemphigus","volume":"35","author":[{"family":"Mazaherpour","given":"Elham"},{"family":"Kianfar","given":"Nika"},{"family":"Dasdar","given":"Shayan"},{"family":"Sedaghat","given":"Mojtaba"},{"family":"Seyrafi","given":"Hassan"},{"family":"Balighi","given":"Kamran"},{"family":"Saberi","given":"Fatemeh"},{"family":"Nili","given":"Ali"},{"family":"Farimani","given":"Zeinab"},{"family":"Azar","given":"Pedram Molhem"},{"family":"Mahmoodi","given":"Hamidreza"},{"family":"Murrell","given":"Dedee F."},{"family":"Daneshpazhooh","given":"Maryam"}],"issued":{"date-parts":[["2022",12]]}}},{"id":4248,"uris":["http://zotero.org/users/13605431/items/D7I46I5P"],"itemData":{"id":4248,"type":"article-journal","abstract":"Objective: Lupus nephritis (LN) is often treated with high doses of glucocorticoids (GCs). The glucocorticoid toxicity index (GTI) was developed by expert consensus to quantify GC toxicity. To date, the GTI has not been shown to correlate with GC exposure in patients with LN.\nMethods: We performed a retrospective cohort study of patients with biopsy-conﬁrmed LN between 2006 and 2016. Cumulative GC exposure and GTI scores were determined via medical record review. Both the aggregate improvement score (GTI-AIS) and the cumulative worsening score (GTI-CWS) were calculated. We performed linear regression to determine the association between GC exposure and GTI scores at 1 year and 5 years following kidney biopsy.\nResults: This study included 49 patients with a mean age of 33.3 (SD 9.5) years. Mean GC exposure was 23.0 mg prednisone-equivalents per day through year 1 and 9.9 mg prednisone-equivalents per day through year 5. At 5 years, higher GC exposure was associated with higher GTI-AIS (p &lt; 0.001) and GTI-CWS (p = 0.002), and this association persisted in multivariate analysis adjusting for age, sex, race, induction medication, and nephritis class (p = 0.026 for AIS, p = 0.012 for CWS). At 1 year, GC exposure was not associated with GTI scores (p = 0.70 for AIS; p = 0.58 for CWS).\nConclusion: In this cohort study, the GTI was associated with cumulative steroid exposure at 5 years after diagnosis. In patients with LN, the GTI may serve as a useful outcome measure in future LN trials evaluating the steroid sparing effect of novel therapies.","container-title":"Lupus","DOI":"10.1177/09612033231160969","ISSN":"0961-2033, 1477-0962","issue":"4","journalAbbreviation":"Lupus","language":"en","page":"565-570","source":"DOI.org (Crossref)","title":"Estimating glucocorticoid-related morbidity in lupus nephritis using the glucocorticoid toxicity index","volume":"32","author":[{"family":"Usiskin","given":"Ilana M"},{"family":"Kyttaris","given":"Vasileios C"}],"issued":{"date-parts":[["2023",4]]}}},{"id":4250,"uris":["http://zotero.org/users/13605431/items/8TE8S274"],"itemData":{"id":4250,"type":"article-journal","abstract":"Background: Glucocorticoids are the mainstay of treatment for autoimmune blistering diseases (AIBDs). The Glucocorticoid Toxicity Index (GTI) is a novel, outcome-based glucocorticoid-induced adverse effects monitoring instrument.\nObjective: To investigate whether the GTI score was able to accurately quantify the glucocorticoid-induced toxicity in patients with AIBDs.\nMethods: The prospective cohort study included patients with conﬁrmed diagnoses of AIBDs (group1, currently receiving glucocorticoids; and group 2, had glucocorticoids ceased earlier). Data were collected minimally at baseline (V1) and 3 months (V2). Further data from patients who were able to complete the follow-up visits at 6 months (V3) and 12 months (V4) amid the COVID-19 pandemic were also included. GTI scores were calculated after data collection.\nResults: Analysis of data from V1 and V2 found a linear correlation between GTI score and prednisone doses (P \\.05) and a significant difference in GTI scores between group1 and group 2 (P \\.05). Data from V3 and V4 suggested that GTI scores continued to rise progressively alongside increasing cumulative prednisone dose. Limitations: Small sample size, further exacerbated by the COVID-19 pandemic. Single-center study.\nConclusion: The GTI sensitively and speciﬁcally captured the changes in glucocorticoids toxicity over time among patients with AIBDs. The GTI could be a feasible tool that can be used in future clinical trials as a glucocorticoid-induced toxicity outcome measure. ( JAAD Int 2022;6:68-76.)","container-title":"JAAD International","DOI":"10.1016/j.jdin.2021.09.003","ISSN":"26663287","journalAbbreviation":"JAAD International","language":"en","page":"68-76","source":"DOI.org (Crossref)","title":"Evaluation of the toxicity of glucocorticoids in patients with autoimmune blistering disease using the Glucocorticoid Toxicity Index: A cohort study","title-short":"Evaluation of the toxicity of glucocorticoids in patients with autoimmune blistering disease using the Glucocorticoid Toxicity Index","volume":"6","author":[{"family":"Liang","given":"Yicong"},{"family":"Zeng","given":"Faith A.P."},{"family":"Sheriff","given":"Tabrez"},{"family":"Wilson","given":"Anna"},{"family":"Bilgic","given":"Asli"},{"family":"Feng","given":"Grant"},{"family":"Stone","given":"John H."},{"family":"Murrell","given":"Dedee F."}],"issued":{"date-parts":[["2022",3]]}}},{"id":4256,"uris":["http://zotero.org/users/13605431/items/76LWVHJK"],"itemData":{"id":4256,"type":"article-journal","abstract":"Background Reduction in glucocorticoid exposure is the primary benefit of new biologic treatments in severe asthma, but there is currently no evidence that reduction in glucocorticoid exposure corresponds to a proportionate reduction in associated toxicity.\nObjectives To use the validated Glucocorticoid Toxicity Index (GTI) to assess change in glucocorticoid toxicity after 12 months treatment with mepolizumab, and compare toxicity change to glucocorticoid reduction and change in patient-reported outcome measures (PROMs).\nMethods A longitudinal, real-world prospective cohort of 101 consecutive patients with severe asthma commenced on mepolizumab in a specialist UK regional severe asthma clinic. GTI toxicity assessment, cumulative glucocorticoid exposure and PROMs were recorded on commencing mepolizumab (V1), and after 12 months treatment (V2).\nResults There was significant reduction in oral glucocorticoid exposure (V1 median 4280 mg prednisolone per year (interquartile range 3083–5475 mg) versus V2 2450 mg prednisolone per year (1243–3360 mg), p&lt;0.001). Substantial improvements in individual toxicities were observed, but did not correlate with oral glucocorticoid reduction. Mean±SD GTI aggregate improvement score (AIS) was −35.7±57.8 with a wide range in toxicity change at individual patient level (AIS range −165 to +130); 70% (71 out of 101) had a reduction in toxicity (AIS &lt;0); 3% (three out of 101) had no change (AIS=0); and 27% (27 out of 101) an increase in overall toxicity. 62% (62 out of 101) of patients met the AIS minimally clinically important difference of </w:instrText>
      </w:r>
      <w:r w:rsidR="00386695" w:rsidRPr="00586786">
        <w:rPr>
          <w:rFonts w:ascii="Cambria Math" w:hAnsi="Cambria Math" w:cs="Cambria Math"/>
        </w:rPr>
        <w:instrText>⩽</w:instrText>
      </w:r>
      <w:r w:rsidR="00386695" w:rsidRPr="00586786">
        <w:rPr>
          <w:rFonts w:ascii="Arial" w:hAnsi="Arial" w:cs="Arial"/>
        </w:rPr>
        <w:instrText xml:space="preserve">−10, but AIS did not correlate with glucocorticoid reduction or change in PROMs.\nConclusion Mepolizumab resulted in substantial oral glucocorticoid reduction, but this did not correlate with reduction in oral glucocorticoid toxicity, which varies widely at the individual patient level. Oral glucocorticoid reduction is not a comprehensive measure of response to mepolizumab.","container-title":"European Respiratory Journal","DOI":"10.1183/13993003.00160-2021","ISSN":"0903-1936, 1399-3003","issue":"1","journalAbbreviation":"Eur Respir J","language":"en","page":"2100160","source":"DOI.org (Crossref)","title":"Glucocorticoid toxicity reduction with mepolizumab using the Glucocorticoid Toxicity Index","volume":"59","author":[{"family":"McDowell","given":"P. Jane"},{"family":"Stone","given":"John H."},{"family":"Zhang","given":"Yuqing"},{"family":"Honeyford","given":"Kirsty"},{"family":"Dunn","given":"Louise"},{"family":"Logan","given":"R. Jayne"},{"family":"McGarvey","given":"Lorcan P.A."},{"family":"Butler","given":"Claire A."},{"family":"Heaney","given":"Liam G."}],"issued":{"date-parts":[["2022",1]]}}},{"id":4278,"uris":["http://zotero.org/users/13605431/items/6IN5QNZX"],"itemData":{"id":4278,"type":"article-journal","abstract":"Objective: The glucocorticoid toxicity index (GTI) is developed to measure glucocorticoid (GC)-related morbidity over time. This study aimed to assess GC-toxicity in patients at a rheumatology outpatient clinic by using the GTI and to identify the factors that interfere with the GTI.\nMethods: This prospective study included patients with inflammatory arthritis (IA), connective tissue disease and vasculitis who were newly pre­ scribed GC-treatment (GC-naive) or have been still on GC-treatment for ≤2 years (GC-experienced). Patient demographics and disease characteristics, aggregate improvement score (GTI-AIS), cumulative worsening score (GTI-CWS) and cumulative GC-doses were recorded at baseline, 3rd month and 6th month. Generalized estimating equations (GEE) were used to evaluate the GTI scores and associated factors including cumulative GC-doses.\nResults: The study included 156 (48.7% GC-naive) patients with a mean age of 49.1 ± 17.1 years. More than half of the patients in both groups had a diagnosis of vasculitis. A higher cumulative GC-dose was found to be associated with higher GTI-scores in both groups (P &lt; 0.001). In the GC-naive group, patients with vasculitis showed higher GTI-scores than IA patients (P &lt; 0.001); there was also a significant increase in the GTICWS at the 6th month compared with the 3rd month. In the GC-experienced group, GTI-AIS and GTI-CWS were significantly different at 3rd and 6th month (P &lt; 0.05).\nConclusion: It was shown that GTI scores were associated with cumulative GC-doses and vasculitis patients in the GC-naive patients had higher GTI scores than inflammatory arthritis. The GTI allows individualized assessment and management of adverse effects experienced by patients as a result of GC treatment.","container-title":"Rheumatology","DOI":"10.1093/rheumatology/keae288","ISSN":"1462-0324, 1462-0332","language":"en","license":"https://creativecommons.org/licenses/by-nc/4.0/","page":"1-9","source":"DOI.org (Crossref)","title":"Prospective assessment of glucocorticoid toxicity in rheumatology practice: a focus on the glucocorticoid toxicity index","title-short":"Prospective assessment of glucocorticoid toxicity in rheumatology practice","volume":"00","author":[{"family":"Bahap-Kara","given":"Melda"},{"family":"Sariyildiz","given":"Emine"},{"family":"Zengin","given":"Hatice Yagmur"},{"family":"Karadag","given":"Omer"},{"family":"Bayraktar-Ekincioglu","given":"Aygin"}],"issued":{"date-parts":[["2024",5,23]]}}},{"id":4255,"uris":["http://zotero.org/users/13605431/items/HCYTL9WH"],"itemData":{"id":4255,"type":"article-journal","abstract":"Background The ADVOCATE trial, in which the complement C5a receptor inhibitor avacopan was compared with a standard prednisone taper in patients with antineutrophil cytoplasmic antibody (ANCA)-associated vasculitis, used the Glucocorticoid Toxicity Index (GTI) to measure glucocorticoid toxicity change. We set out to do a post-hoc analysis of the ADVOCATE data to evaluate changes in individual GTI domains and their ability to differentiate treatment groups.","container-title":"The Lancet Rheumatology","DOI":"10.1016/S2665-9913(23)00030-9","ISSN":"26659913","issue":"3","journalAbbreviation":"The Lancet Rheumatology","language":"en","page":"e130-e138","source":"DOI.org (Crossref)","title":"Glucocorticoid Toxicity Index scores by domain in patients with antineutrophil cytoplasmic antibody-associated vasculitis treated with avacopan versus standard prednisone taper: post-hoc analysis of data from the ADVOCATE trial","title-short":"Glucocorticoid Toxicity Index scores by domain in patients with antineutrophil cytoplasmic antibody-associated vasculitis treated with avacopan versus standard prednisone taper","volume":"5","author":[{"family":"Patel","given":"Naomi J"},{"family":"Jayne","given":"David R W"},{"family":"Merkel","given":"Peter A"},{"family":"Bekker","given":"Pirow"},{"family":"Zhang","given":"Yuqing"},{"family":"Yue","given":"Huibin"},{"family":"Stone","given":"John H"}],"issued":{"date-parts":[["2023",3]]}}}],"schema":"https://github.com/citation-style-language/schema/raw/master/csl-citation.json"} </w:instrText>
      </w:r>
      <w:r w:rsidR="00821E9A" w:rsidRPr="00586786">
        <w:rPr>
          <w:rFonts w:ascii="Arial" w:hAnsi="Arial" w:cs="Arial"/>
        </w:rPr>
        <w:fldChar w:fldCharType="separate"/>
      </w:r>
      <w:r w:rsidR="00386695" w:rsidRPr="00586786">
        <w:rPr>
          <w:rFonts w:ascii="Arial" w:hAnsi="Arial" w:cs="Arial"/>
          <w:kern w:val="0"/>
        </w:rPr>
        <w:t>(10,14,17,21,24,25,28,30,32,33)</w:t>
      </w:r>
      <w:r w:rsidR="00821E9A" w:rsidRPr="00586786">
        <w:rPr>
          <w:rFonts w:ascii="Arial" w:hAnsi="Arial" w:cs="Arial"/>
        </w:rPr>
        <w:fldChar w:fldCharType="end"/>
      </w:r>
      <w:r w:rsidR="00D1007A" w:rsidRPr="00586786">
        <w:rPr>
          <w:rFonts w:ascii="Arial" w:hAnsi="Arial" w:cs="Arial"/>
        </w:rPr>
        <w:t xml:space="preserve"> followed by H</w:t>
      </w:r>
      <w:r w:rsidRPr="00586786">
        <w:rPr>
          <w:rFonts w:ascii="Arial" w:hAnsi="Arial" w:cs="Arial"/>
        </w:rPr>
        <w:t>bA</w:t>
      </w:r>
      <w:r w:rsidR="00D1007A" w:rsidRPr="00586786">
        <w:rPr>
          <w:rFonts w:ascii="Arial" w:hAnsi="Arial" w:cs="Arial"/>
        </w:rPr>
        <w:t>1c (n=2)</w:t>
      </w:r>
      <w:r w:rsidR="00D1007A" w:rsidRPr="00586786">
        <w:rPr>
          <w:rFonts w:ascii="Arial" w:hAnsi="Arial" w:cs="Arial"/>
        </w:rPr>
        <w:fldChar w:fldCharType="begin"/>
      </w:r>
      <w:r w:rsidR="00386695" w:rsidRPr="00586786">
        <w:rPr>
          <w:rFonts w:ascii="Arial" w:hAnsi="Arial" w:cs="Arial"/>
        </w:rPr>
        <w:instrText xml:space="preserve"> ADDIN ZOTERO_ITEM CSL_CITATION {"citationID":"21OhAaYu","properties":{"formattedCitation":"(29,48)","plainCitation":"(29,48)","noteIndex":0},"citationItems":[{"id":4215,"uris":["http://zotero.org/users/13605431/items/T4B7FI82"],"itemData":{"id":4215,"type":"article-journal","abstract":"Objective: To determine if the use of inhaled corticosteroid (ICS) therapy affects glycemic control in patients with chronic obstructive pulmonary disease (COPD) and type 2 diabetes mellitus (T2DM). Background: Studies have shown mixed evidence on the association between ICS use and worsening glycemic control in patients with preexisting diabetes. Methods: Data were recorded from electronic medical records of veteran patients aged 18 to 80 with COPD and T2DM on at least 2 oral antiglycemic medications from January 1, 2000, to December 31, 2017, at the Veterans Affairs (VA) North Texas Health Care System (VANTHCS). The primary outcome was the rate of A1c progression &gt;10% at 12 months and 5 years. Results: This study included 127 (64 in the ICS group and 63 in the non-ICS group) patients; baseline characteristics between groups were similar with the exception of age and tobacco use. No statistically significant difference was found between groups with regard to the primary outcome. More patients in the non-ICS group had antiglycemic medications initiated at 12 months (P ¼ .009) and 5 years (P ¼ .003) compared to the ICS group. Conclusion: Inhaled corticosteroids did not negatively impact glycemic control among veterans with comorbid COPD and T2DM.","container-title":"Journal of Pharmacy Practice","DOI":"10.1177/0897190020936870","ISSN":"0897-1900, 1531-1937","issue":"1","journalAbbreviation":"Journal of Pharmacy Practice","language":"en","page":"7-12","source":"DOI.org (Crossref)","title":"Assessment of Glycemic Control in Veterans With Chronic Obstructive Pulmonary Disease and Type 2 Diabetes Mellitus on Inhaled Corticosteroid Therapy","volume":"35","author":[{"family":"Lempp","given":"Madison P."},{"family":"Sigler","given":"Meredith A."},{"family":"Adesoye","given":"Adebola A."},{"family":"Ponnuru","given":"Anusha"},{"family":"Duval","given":"Courtney E."}],"issued":{"date-parts":[["2022",2]]}}},{"id":4221,"uris":["http://zotero.org/users/13605431/items/8I7IJ35H"],"itemData":{"id":4221,"type":"article-journal","abstract":"Pemphigus vulgaris is a chronic autoimmune disease and glucocorticoids are one of the main treatments. Our study investigates the prevalence and associated factors of glucocorticoid-induced diabetes mellitus in these patients under different glucocorticoid regimens. 36 patients with first diagnosed Pemphigus vulgaris based on pathological and direct immunofluorescence findings who had received different glucocorticoid regimens (1-2 mg/kg oral or 1-2 mg/kg oral with 1g methylprednisolone pulse daily for 3 consecutive days with or without azathioprine) were evaluated during 2014-2016. Our study found that 22.2% of patients had impaired fasting glucose and incidence of corticosteroid-induced diabetes mellitus was 22.2% with no difference between oral and pulse therapy of corticosteroid. The first day after pulse therapy 19 patients of 21 had post bolus hyperglycemia that 36% of them became diabetic after 8 weeks. None of the variables, including age, BMI, HbA1c, LDL, HDL, TG, cholesterol, family history and blood pressure were associated with diabetes. Pretreatment FBS was the factor that would increase the likelihood of glucocorticoid-induced diabetes mellitus, 42.2% of patients with pretreatment FBS 100-126 developed diabetes in comparison with 17.2% in normal pretreatment FBS. Although the group who received azathioprine was associated with increased incidence of diabetes, the overall corticosteroid dose in this group was significantly higher than the other group (P=0.012), and controversy with other studies could be because of difference in corticosteroid dosage and small number of patients. The incidence of diabetes was not different between the group with glucocorticoid pulses and oral prednisolone without pulse therapy. Higher pretreatment FBS can be related to increased incidence of diabetes, but results from this study due to small number of patients are preliminary and multicenter studies are needed.","container-title":"Acta Medica Iranica","issue":"6","language":"en","page":"375-380","source":"Zotero","title":"Assessment of the Prevalence and Risk Factors Associated With Glucocorticoid- Induced Diabetes Mellitus in Pemphigus Vulgaris Patients","volume":"55","author":[{"family":"Darjani","given":"Abbas"},{"family":"Nickhah","given":"Nahid"},{"family":"Emami","given":"Mohammad Hassan Hedayati"},{"family":"Alizadeh","given":"Narges"},{"family":"Rafiei","given":"Rana"},{"family":"Eftekhari","given":"Hojat"},{"family":"Nejad","given":"Kaveh Gharaei"}],"issued":{"date-parts":[["2017"]]}}}],"schema":"https://github.com/citation-style-language/schema/raw/master/csl-citation.json"} </w:instrText>
      </w:r>
      <w:r w:rsidR="00D1007A" w:rsidRPr="00586786">
        <w:rPr>
          <w:rFonts w:ascii="Arial" w:hAnsi="Arial" w:cs="Arial"/>
        </w:rPr>
        <w:fldChar w:fldCharType="separate"/>
      </w:r>
      <w:r w:rsidR="00386695" w:rsidRPr="00586786">
        <w:rPr>
          <w:rFonts w:ascii="Arial" w:hAnsi="Arial" w:cs="Arial"/>
          <w:noProof/>
        </w:rPr>
        <w:t>(29,48)</w:t>
      </w:r>
      <w:r w:rsidR="00D1007A" w:rsidRPr="00586786">
        <w:rPr>
          <w:rFonts w:ascii="Arial" w:hAnsi="Arial" w:cs="Arial"/>
        </w:rPr>
        <w:fldChar w:fldCharType="end"/>
      </w:r>
      <w:r w:rsidR="00D96A78" w:rsidRPr="00586786">
        <w:rPr>
          <w:rFonts w:ascii="Arial" w:hAnsi="Arial" w:cs="Arial"/>
        </w:rPr>
        <w:t>. Other candidate instruments identified were the SLE damage index</w:t>
      </w:r>
      <w:r w:rsidR="00D1007A" w:rsidRPr="00586786">
        <w:rPr>
          <w:rFonts w:ascii="Arial" w:hAnsi="Arial" w:cs="Arial"/>
        </w:rPr>
        <w:fldChar w:fldCharType="begin"/>
      </w:r>
      <w:r w:rsidR="00386695" w:rsidRPr="00586786">
        <w:rPr>
          <w:rFonts w:ascii="Arial" w:hAnsi="Arial" w:cs="Arial"/>
        </w:rPr>
        <w:instrText xml:space="preserve"> ADDIN ZOTERO_ITEM CSL_CITATION {"citationID":"ArxNNCva","properties":{"formattedCitation":"(23)","plainCitation":"(23)","noteIndex":0},"citationItems":[{"id":4268,"uris":["http://zotero.org/users/13605431/items/BY5KSIH2"],"itemData":{"id":4268,"type":"article-journal","abstract":"Objective. The existing guidelines for lupus nephritis (LN) recommend initial prednisone doses of 0.3–1.0 mg/kg/ day. However, recent studies reported noninferior outcomes with lower doses. The aim of this study was to compare the complete renal response rates in LN patients treated with prednisone ≤30 mg/day or ≥40 mg/day.\nMethods. Patients with new-onset LN and standard immunosuppressive treatment were followed for at least 12 months, divided into medium (≤30 mg/day) and high prednisone groups (≥40 mg/day) and matched (propensity score) based on the baseline differences. Complete renal response was deﬁned as proteinuria &lt;0.5 gm/day and no worsening in renal function. Glucocorticoid-related damage was also assessed.\nResults. High-dose prednisone patients (n = 103; mean ± SD dose 48.6 ± 12.3 mg/day) achieved better rates of complete response compared to the medium group (n = 103; mean ± SD dose 24.2 ± 4.6 mg/day) (61.8% versus 38.2%; P = 0.024) at 12 months. The difference in response rates was reproduced for several subgroups (concomitant immunosuppressive treatment, proliferative/nonproliferative LN). Complete remission rates were higher at 2 years (67.8% versus 39%; P = 0.002) and 3 years (64.9% versus 49.1%; P = 0.025) after LN diagnosis. Cumulative glucocorticoid dose was comparable at 2 and 3 years. Glucocorticoid-related damage was accelerated in both groups for the same period.\nConclusion. Higher initial prednisone doses (median 45 mg/day) achieved signiﬁcantly better rates of complete renal response at 12 months in new-onset LN. Cumulative glucocorticoid dose and damage accrual were not different at 2 and 3 years after LN. Damage was more prominent in the late phases of LN in both groups, underlining the importance of rapid tapering and the need to implement alternative strategies.","container-title":"Arthritis Care &amp; Research","DOI":"10.1002/acr.24592","ISSN":"2151-464X, 2151-4658","issue":"9","journalAbbreviation":"Arthritis Care &amp; Research","language":"en","page":"1451-1458","source":"DOI.org (Crossref)","title":"Medium Versus High Initial Prednisone Dose for Remission Induction in Lupus Nephritis: A Propensity Score–Matched Analysis","title-short":"Medium Versus High Initial Prednisone Dose for Remission Induction in Lupus Nephritis","volume":"74","author":[{"family":"Tselios","given":"Konstantinos"},{"family":"Gladman","given":"Dafna D."},{"family":"Al</w:instrText>
      </w:r>
      <w:r w:rsidR="00386695" w:rsidRPr="00586786">
        <w:rPr>
          <w:rFonts w:ascii="Cambria Math" w:hAnsi="Cambria Math" w:cs="Cambria Math"/>
        </w:rPr>
        <w:instrText>‐</w:instrText>
      </w:r>
      <w:r w:rsidR="00386695" w:rsidRPr="00586786">
        <w:rPr>
          <w:rFonts w:ascii="Arial" w:hAnsi="Arial" w:cs="Arial"/>
        </w:rPr>
        <w:instrText xml:space="preserve">Sheikh","given":"Haifa"},{"family":"Su","given":"Jiandong"},{"family":"Urowitz","given":"Murray B."}],"issued":{"date-parts":[["2022",9]]}}}],"schema":"https://github.com/citation-style-language/schema/raw/master/csl-citation.json"} </w:instrText>
      </w:r>
      <w:r w:rsidR="00D1007A" w:rsidRPr="00586786">
        <w:rPr>
          <w:rFonts w:ascii="Arial" w:hAnsi="Arial" w:cs="Arial"/>
        </w:rPr>
        <w:fldChar w:fldCharType="separate"/>
      </w:r>
      <w:r w:rsidR="00386695" w:rsidRPr="00586786">
        <w:rPr>
          <w:rFonts w:ascii="Arial" w:hAnsi="Arial" w:cs="Arial"/>
          <w:noProof/>
        </w:rPr>
        <w:t>(23)</w:t>
      </w:r>
      <w:r w:rsidR="00D1007A" w:rsidRPr="00586786">
        <w:rPr>
          <w:rFonts w:ascii="Arial" w:hAnsi="Arial" w:cs="Arial"/>
        </w:rPr>
        <w:fldChar w:fldCharType="end"/>
      </w:r>
      <w:r w:rsidR="00D96A78" w:rsidRPr="00586786">
        <w:rPr>
          <w:rFonts w:ascii="Arial" w:hAnsi="Arial" w:cs="Arial"/>
        </w:rPr>
        <w:t>, fasting blood sugar</w:t>
      </w:r>
      <w:r w:rsidR="00D1007A" w:rsidRPr="00586786">
        <w:rPr>
          <w:rFonts w:ascii="Arial" w:hAnsi="Arial" w:cs="Arial"/>
        </w:rPr>
        <w:fldChar w:fldCharType="begin"/>
      </w:r>
      <w:r w:rsidR="00386695" w:rsidRPr="00586786">
        <w:rPr>
          <w:rFonts w:ascii="Arial" w:hAnsi="Arial" w:cs="Arial"/>
        </w:rPr>
        <w:instrText xml:space="preserve"> ADDIN ZOTERO_ITEM CSL_CITATION {"citationID":"TtU9FhNA","properties":{"formattedCitation":"(48)","plainCitation":"(48)","noteIndex":0},"citationItems":[{"id":4221,"uris":["http://zotero.org/users/13605431/items/8I7IJ35H"],"itemData":{"id":4221,"type":"article-journal","abstract":"Pemphigus vulgaris is a chronic autoimmune disease and glucocorticoids are one of the main treatments. Our study investigates the prevalence and associated factors of glucocorticoid-induced diabetes mellitus in these patients under different glucocorticoid regimens. 36 patients with first diagnosed Pemphigus vulgaris based on pathological and direct immunofluorescence findings who had received different glucocorticoid regimens (1-2 mg/kg oral or 1-2 mg/kg oral with 1g methylprednisolone pulse daily for 3 consecutive days with or without azathioprine) were evaluated during 2014-2016. Our study found that 22.2% of patients had impaired fasting glucose and incidence of corticosteroid-induced diabetes mellitus was 22.2% with no difference between oral and pulse therapy of corticosteroid. The first day after pulse therapy 19 patients of 21 had post bolus hyperglycemia that 36% of them became diabetic after 8 weeks. None of the variables, including age, BMI, HbA1c, LDL, HDL, TG, cholesterol, family history and blood pressure were associated with diabetes. Pretreatment FBS was the factor that would increase the likelihood of glucocorticoid-induced diabetes mellitus, 42.2% of patients with pretreatment FBS 100-126 developed diabetes in comparison with 17.2% in normal pretreatment FBS. Although the group who received azathioprine was associated with increased incidence of diabetes, the overall corticosteroid dose in this group was significantly higher than the other group (P=0.012), and controversy with other studies could be because of difference in corticosteroid dosage and small number of patients. The incidence of diabetes was not different between the group with glucocorticoid pulses and oral prednisolone without pulse therapy. Higher pretreatment FBS can be related to increased incidence of diabetes, but results from this study due to small number of patients are preliminary and multicenter studies are needed.","container-title":"Acta Medica Iranica","issue":"6","language":"en","page":"375-380","source":"Zotero","title":"Assessment of the Prevalence and Risk Factors Associated With Glucocorticoid- Induced Diabetes Mellitus in Pemphigus Vulgaris Patients","volume":"55","author":[{"family":"Darjani","given":"Abbas"},{"family":"Nickhah","given":"Nahid"},{"family":"Emami","given":"Mohammad Hassan Hedayati"},{"family":"Alizadeh","given":"Narges"},{"family":"Rafiei","given":"Rana"},{"family":"Eftekhari","given":"Hojat"},{"family":"Nejad","given":"Kaveh Gharaei"}],"issued":{"date-parts":[["2017"]]}}}],"schema":"https://github.com/citation-style-language/schema/raw/master/csl-citation.json"} </w:instrText>
      </w:r>
      <w:r w:rsidR="00D1007A" w:rsidRPr="00586786">
        <w:rPr>
          <w:rFonts w:ascii="Arial" w:hAnsi="Arial" w:cs="Arial"/>
        </w:rPr>
        <w:fldChar w:fldCharType="separate"/>
      </w:r>
      <w:r w:rsidR="00386695" w:rsidRPr="00586786">
        <w:rPr>
          <w:rFonts w:ascii="Arial" w:hAnsi="Arial" w:cs="Arial"/>
          <w:noProof/>
        </w:rPr>
        <w:t>(48)</w:t>
      </w:r>
      <w:r w:rsidR="00D1007A" w:rsidRPr="00586786">
        <w:rPr>
          <w:rFonts w:ascii="Arial" w:hAnsi="Arial" w:cs="Arial"/>
        </w:rPr>
        <w:fldChar w:fldCharType="end"/>
      </w:r>
      <w:r w:rsidR="00D96A78" w:rsidRPr="00586786">
        <w:rPr>
          <w:rFonts w:ascii="Arial" w:hAnsi="Arial" w:cs="Arial"/>
        </w:rPr>
        <w:t>, insulin resistance (</w:t>
      </w:r>
      <w:r w:rsidR="00781F37" w:rsidRPr="00586786">
        <w:rPr>
          <w:rFonts w:ascii="Arial" w:hAnsi="Arial" w:cs="Arial"/>
        </w:rPr>
        <w:t xml:space="preserve">group comprising of </w:t>
      </w:r>
      <w:r w:rsidR="00D96A78" w:rsidRPr="00586786">
        <w:rPr>
          <w:rFonts w:ascii="Arial" w:hAnsi="Arial" w:cs="Arial"/>
        </w:rPr>
        <w:t>fasting serum insulin</w:t>
      </w:r>
      <w:r w:rsidR="00B31A46" w:rsidRPr="00586786">
        <w:rPr>
          <w:rFonts w:ascii="Arial" w:hAnsi="Arial" w:cs="Arial"/>
        </w:rPr>
        <w:t xml:space="preserve"> and the</w:t>
      </w:r>
      <w:r w:rsidR="00D96A78" w:rsidRPr="00586786">
        <w:rPr>
          <w:rFonts w:ascii="Arial" w:hAnsi="Arial" w:cs="Arial"/>
        </w:rPr>
        <w:t xml:space="preserve"> homeostatic model assessment of insulin resistance</w:t>
      </w:r>
      <w:r w:rsidR="00B31A46" w:rsidRPr="00586786">
        <w:rPr>
          <w:rFonts w:ascii="Arial" w:hAnsi="Arial" w:cs="Arial"/>
        </w:rPr>
        <w:t xml:space="preserve"> (HOMAR-IR</w:t>
      </w:r>
      <w:r w:rsidR="00D96A78" w:rsidRPr="00586786">
        <w:rPr>
          <w:rFonts w:ascii="Arial" w:hAnsi="Arial" w:cs="Arial"/>
        </w:rPr>
        <w:t>)</w:t>
      </w:r>
      <w:r w:rsidR="00D1007A" w:rsidRPr="00586786">
        <w:rPr>
          <w:rFonts w:ascii="Arial" w:hAnsi="Arial" w:cs="Arial"/>
        </w:rPr>
        <w:fldChar w:fldCharType="begin"/>
      </w:r>
      <w:r w:rsidR="00386695" w:rsidRPr="00586786">
        <w:rPr>
          <w:rFonts w:ascii="Arial" w:hAnsi="Arial" w:cs="Arial"/>
        </w:rPr>
        <w:instrText xml:space="preserve"> ADDIN ZOTERO_ITEM CSL_CITATION {"citationID":"QsCjSqXi","properties":{"formattedCitation":"(42)","plainCitation":"(42)","noteIndex":0},"citationItems":[{"id":4222,"uris":["http://zotero.org/users/13605431/items/UZEYIUGK"],"itemData":{"id":4222,"type":"article-journal","abstract":"OBJECTIVE To evaluate the safety of abiraterone acetate with 4 glucocorticoid regimens. DESIGN, SETTING, AND PARTICIPANTS Open-label, randomized clinical trial (1:1:1:1) of 164 men with mCRPC from 22 hospitals in 5 countries who were randomly assigned to 1 of 4 intervention groups between June 2013 and October 2014. Analyses were conducted from August 2017 to June 2018. INTERVENTIONS Abiraterone acetate, 1000 mg, once daily with prednisone, 5 mg, twice daily (n = 41), 5 mg once daily (n = 41), 2.5 mg twice daily (n = 40), or dexamethasone, 0.5 mg, once daily (n = 42). MAIN OUTCOMES AND MEASURES Primary end point was no mineralocorticoid excess (grade </w:instrText>
      </w:r>
      <w:r w:rsidR="00386695" w:rsidRPr="00586786">
        <w:rPr>
          <w:rFonts w:ascii="Tahoma" w:hAnsi="Tahoma" w:cs="Tahoma"/>
        </w:rPr>
        <w:instrText>Ն</w:instrText>
      </w:r>
      <w:r w:rsidR="00386695" w:rsidRPr="00586786">
        <w:rPr>
          <w:rFonts w:ascii="Arial" w:hAnsi="Arial" w:cs="Arial"/>
        </w:rPr>
        <w:instrText xml:space="preserve">1 hypokalemia or grade </w:instrText>
      </w:r>
      <w:r w:rsidR="00386695" w:rsidRPr="00586786">
        <w:rPr>
          <w:rFonts w:ascii="Tahoma" w:hAnsi="Tahoma" w:cs="Tahoma"/>
        </w:rPr>
        <w:instrText>Ն</w:instrText>
      </w:r>
      <w:r w:rsidR="00386695" w:rsidRPr="00586786">
        <w:rPr>
          <w:rFonts w:ascii="Arial" w:hAnsi="Arial" w:cs="Arial"/>
        </w:rPr>
        <w:instrText xml:space="preserve">2 hypertension) through 24 weeks (6 cycles) from treatment.\nRESULTS Of 164 men (median [range] age, 70 [50-90] years) randomized to receive abiraterone acetate, 1000 mg, daily with prednisone, 5 mg, twice daily, once daily, or 2.5 mg twice daily, or dexamethasone, 0.5 mg, once daily, 24 (70.6%) of 34 patients (95% CI, 53.8%-83.2%), 14 (36.8%) of 38 patients (95% CI, 23.4%-52.7%), 21 (60.0%) of 35 patients (95% CI, 43.6%-74.4%), and 26 (70.3%) of 37 patients (95% CI, 54.2%-82.5%), respectively, had no mineralocorticoid excess. Plasma adrenocorticotrophic hormone and urinary mineralocorticoid metabolites after 8 weeks were higher with prednisone, 2.5 mg, twice daily and 5 mg once daily than with 5 mg twice daily or dexamethasone, 0.5 mg, once daily. The level of urinary glucocorticoid metabolites appeared higher in patients who did not meet the primary end point, regardless of glucocorticoid regimen. Total lean body mass decreased in the prednisone groups and total body fat increased in the prednisone, 5 mg, twice daily and dexamethasone groups. In the dexamethasone group, there was an increase in serum insulin and homeostatic model assessment of insulin resistance, while total bone mineral density decreased. In the prednisone, 5 mg, twice daily, 5 mg once daily, 2.5 mg twice daily, and dexamethasone groups, median radiographic progression-free survival was 18.5, 15.3, 12.8, and 26.6 months, respectively.\nCONCLUSIONS AND RELEVANCE Abiraterone acetate with prednisone, 5 mg, twice daily or dexamethasone, 0.5 mg, once daily met the prespecified threshold for the primary end point (95% CI excluded 50% mineralocorticoid excess); abiraterone acetate with prednisone, 5 mg, once daily or 2.5 mg twice daily did not meet the threshold. Abiraterone acetate in combination with dexamethasone appeared to be particularly active but may be associated with adverse metabolic consequences.","container-title":"JAMA Oncology","DOI":"10.1001/jamaoncol.2019.1011","ISSN":"2374-2437","issue":"8","journalAbbreviation":"JAMA Oncol","language":"en","page":"1159","source":"DOI.org (Crossref)","title":"Assessment of the Safety of Glucocorticoid Regimens in Combination With Abiraterone Acetate for Metastatic Castration-Resistant Prostate Cancer: A Randomized, Open-label Phase 2 Study","title-short":"Assessment of the Safety of Glucocorticoid Regimens in Combination With Abiraterone Acetate for Metastatic Castration-Resistant Prostate Cancer","volume":"5","author":[{"family":"Attard","given":"Gerhardt"},{"family":"Merseburger","given":"Axel S"},{"family":"Arlt","given":"Wiebke"},{"family":"Sternberg","given":"Cora N"},{"family":"Feyerabend","given":"Susan"},{"family":"Berruti","given":"Alfredo"},{"family":"Joniau","given":"Steven"},{"family":"Géczi","given":"Lajos"},{"family":"Lefresne","given":"Florence"},{"family":"Lahaye","given":"Marjolein"},{"family":"Shelby","given":"Florence Nave"},{"family":"Pissart","given":"Geneviève"},{"family":"Chua","given":"Sue"},{"family":"Jones","given":"Robert J"},{"family":"Tombal","given":"Bertrand"}],"issued":{"date-parts":[["2019",8,1]]}}}],"schema":"https://github.com/citation-style-language/schema/raw/master/csl-citation.json"} </w:instrText>
      </w:r>
      <w:r w:rsidR="00D1007A" w:rsidRPr="00586786">
        <w:rPr>
          <w:rFonts w:ascii="Arial" w:hAnsi="Arial" w:cs="Arial"/>
        </w:rPr>
        <w:fldChar w:fldCharType="separate"/>
      </w:r>
      <w:r w:rsidR="00386695" w:rsidRPr="00586786">
        <w:rPr>
          <w:rFonts w:ascii="Arial" w:hAnsi="Arial" w:cs="Arial"/>
          <w:noProof/>
        </w:rPr>
        <w:t>(42)</w:t>
      </w:r>
      <w:r w:rsidR="00D1007A" w:rsidRPr="00586786">
        <w:rPr>
          <w:rFonts w:ascii="Arial" w:hAnsi="Arial" w:cs="Arial"/>
        </w:rPr>
        <w:fldChar w:fldCharType="end"/>
      </w:r>
      <w:r w:rsidR="00D96A78" w:rsidRPr="00586786">
        <w:rPr>
          <w:rFonts w:ascii="Arial" w:hAnsi="Arial" w:cs="Arial"/>
        </w:rPr>
        <w:t xml:space="preserve">, </w:t>
      </w:r>
      <w:r w:rsidR="00296AFA" w:rsidRPr="00586786">
        <w:rPr>
          <w:rFonts w:ascii="Arial" w:hAnsi="Arial" w:cs="Arial"/>
        </w:rPr>
        <w:t xml:space="preserve">retrospective </w:t>
      </w:r>
      <w:r w:rsidR="00D96A78" w:rsidRPr="00586786">
        <w:rPr>
          <w:rFonts w:ascii="Arial" w:hAnsi="Arial" w:cs="Arial"/>
        </w:rPr>
        <w:t>case note review</w:t>
      </w:r>
      <w:r w:rsidR="00D1007A" w:rsidRPr="00586786">
        <w:rPr>
          <w:rFonts w:ascii="Arial" w:hAnsi="Arial" w:cs="Arial"/>
        </w:rPr>
        <w:fldChar w:fldCharType="begin"/>
      </w:r>
      <w:r w:rsidR="00386695" w:rsidRPr="00586786">
        <w:rPr>
          <w:rFonts w:ascii="Arial" w:hAnsi="Arial" w:cs="Arial"/>
        </w:rPr>
        <w:instrText xml:space="preserve"> ADDIN ZOTERO_ITEM CSL_CITATION {"citationID":"UnhXvouM","properties":{"formattedCitation":"(85)","plainCitation":"(85)","noteIndex":0},"citationItems":[{"id":4261,"uris":["http://zotero.org/users/13605431/items/WCP22P8Q"],"itemData":{"id":4261,"type":"article-journal","container-title":"Thorax","DOI":"10.1136/thx.23.6.571","ISSN":"0040-6376","issue":"6","journalAbbreviation":"Thorax","language":"en","page":"571-581","source":"DOI.org (Crossref)","title":"Incidence of serious complications of corticosteroid therapy in respiratory disease: A retrospective survey of patients in the Brompton Hospital","title-short":"Incidence of serious complications of corticosteroid therapy in respiratory disease","volume":"23","author":[{"family":"Smyllie","given":"H. C."},{"family":"Connolly","given":"C. K."}],"issued":{"date-parts":[["1968",11,1]]}}}],"schema":"https://github.com/citation-style-language/schema/raw/master/csl-citation.json"} </w:instrText>
      </w:r>
      <w:r w:rsidR="00D1007A" w:rsidRPr="00586786">
        <w:rPr>
          <w:rFonts w:ascii="Arial" w:hAnsi="Arial" w:cs="Arial"/>
        </w:rPr>
        <w:fldChar w:fldCharType="separate"/>
      </w:r>
      <w:r w:rsidR="00386695" w:rsidRPr="00586786">
        <w:rPr>
          <w:rFonts w:ascii="Arial" w:hAnsi="Arial" w:cs="Arial"/>
          <w:noProof/>
        </w:rPr>
        <w:t>(85)</w:t>
      </w:r>
      <w:r w:rsidR="00D1007A" w:rsidRPr="00586786">
        <w:rPr>
          <w:rFonts w:ascii="Arial" w:hAnsi="Arial" w:cs="Arial"/>
        </w:rPr>
        <w:fldChar w:fldCharType="end"/>
      </w:r>
      <w:r w:rsidR="00D96A78" w:rsidRPr="00586786">
        <w:rPr>
          <w:rFonts w:ascii="Arial" w:hAnsi="Arial" w:cs="Arial"/>
        </w:rPr>
        <w:t xml:space="preserve">, WHO-UMC </w:t>
      </w:r>
      <w:r w:rsidRPr="00586786">
        <w:rPr>
          <w:rFonts w:ascii="Arial" w:hAnsi="Arial" w:cs="Arial"/>
        </w:rPr>
        <w:t>assessment scale</w:t>
      </w:r>
      <w:r w:rsidR="00C5526C" w:rsidRPr="00586786">
        <w:rPr>
          <w:rFonts w:ascii="Arial" w:hAnsi="Arial" w:cs="Arial"/>
        </w:rPr>
        <w:t xml:space="preserve"> </w:t>
      </w:r>
      <w:r w:rsidR="00D96A78" w:rsidRPr="00586786">
        <w:rPr>
          <w:rFonts w:ascii="Arial" w:hAnsi="Arial" w:cs="Arial"/>
        </w:rPr>
        <w:t>and modified Hartwig and Seigel</w:t>
      </w:r>
      <w:r w:rsidR="00C5526C" w:rsidRPr="00586786">
        <w:rPr>
          <w:rFonts w:ascii="Arial" w:hAnsi="Arial" w:cs="Arial"/>
        </w:rPr>
        <w:t xml:space="preserve"> scale</w:t>
      </w:r>
      <w:r w:rsidR="00D1007A" w:rsidRPr="00586786">
        <w:rPr>
          <w:rFonts w:ascii="Arial" w:hAnsi="Arial" w:cs="Arial"/>
        </w:rPr>
        <w:fldChar w:fldCharType="begin"/>
      </w:r>
      <w:r w:rsidR="00386695" w:rsidRPr="00586786">
        <w:rPr>
          <w:rFonts w:ascii="Arial" w:hAnsi="Arial" w:cs="Arial"/>
        </w:rPr>
        <w:instrText xml:space="preserve"> ADDIN ZOTERO_ITEM CSL_CITATION {"citationID":"cwtgJ096","properties":{"formattedCitation":"(35)","plainCitation":"(35)","noteIndex":0},"citationItems":[{"id":4258,"uris":["http://zotero.org/users/13605431/items/XYYAUV82"],"itemData":{"id":4258,"type":"article-journal","abstract":"Glucocorticoids are used in therapy empirically, but undesirable effects occur with large doses or prolonged administration. The aim of the study is to assess the pattern of adverse drug reactions of glucocorticoids in a tertiary care hospital. A retrospective analysis of adverse drug reactions (ADRs) following administration of glucocorticoids was conducted in the ADR monitoring center, Department of Pharmacology, Kasturba Medical College, Manipal. Clinical and treatment data were collected from the patient case records in the suspected adverse drug reaction reporting form as per the World Health Organization guidelines.  ADRs were assessed for Causality, Preventability and Severity using WHO causality assessment scale, Modified Schumock and Thornton’s scale and Hartwig’s severity scale, respectively. 100 ADRs were observed in 85 patients, with 51% males and 49% females. Prednisolone (53%) was the most common drug responsible for ADRs, followed by betamethasone (9%) and dexamethasone (8%). Hyperglycemia (34%) was the most common ADR, followed by cutaneous adverse reactions (32%). Acne (20%) was common among them. Over 86% reactions were categorized \"possible\". Among ADRs (91%) treated, only 16 % recovered. About 39% of cases were \"probably preventable\". The majority of ADRs (72%) were moderate in “severity”. Given the number and severity of side effects, the institution of glucocorticoids requires careful consideration of the relative risks and benefits in each patient.","container-title":"International Journal of Research in Pharmaceutical Sciences","DOI":"10.26452/ijrps.v12i2.4748","ISSN":"0975-7538","issue":"2","journalAbbreviation":"ijrps","language":"en","license":"https://creativecommons.org/licenses/by-nc-nd/4.0","page":"1611-1619","source":"DOI.org (Crossref)","title":"Glucocorticoids: Boon or Bane-An assessment of safety profiling of steroids in a tertiary care hospital","title-short":"Glucocorticoids","volume":"12","author":[{"family":"Holla","given":"Sadhana"}],"issued":{"date-parts":[["2021",6,12]]}}}],"schema":"https://github.com/citation-style-language/schema/raw/master/csl-citation.json"} </w:instrText>
      </w:r>
      <w:r w:rsidR="00D1007A" w:rsidRPr="00586786">
        <w:rPr>
          <w:rFonts w:ascii="Arial" w:hAnsi="Arial" w:cs="Arial"/>
        </w:rPr>
        <w:fldChar w:fldCharType="separate"/>
      </w:r>
      <w:r w:rsidR="00386695" w:rsidRPr="00586786">
        <w:rPr>
          <w:rFonts w:ascii="Arial" w:hAnsi="Arial" w:cs="Arial"/>
          <w:noProof/>
        </w:rPr>
        <w:t>(35)</w:t>
      </w:r>
      <w:r w:rsidR="00D1007A" w:rsidRPr="00586786">
        <w:rPr>
          <w:rFonts w:ascii="Arial" w:hAnsi="Arial" w:cs="Arial"/>
        </w:rPr>
        <w:fldChar w:fldCharType="end"/>
      </w:r>
      <w:r w:rsidR="00D96A78" w:rsidRPr="00586786">
        <w:rPr>
          <w:rFonts w:ascii="Arial" w:hAnsi="Arial" w:cs="Arial"/>
        </w:rPr>
        <w:t xml:space="preserve">, each included in </w:t>
      </w:r>
      <w:r w:rsidRPr="00586786">
        <w:rPr>
          <w:rFonts w:ascii="Arial" w:hAnsi="Arial" w:cs="Arial"/>
        </w:rPr>
        <w:t>one</w:t>
      </w:r>
      <w:r w:rsidR="00D96A78" w:rsidRPr="00586786">
        <w:rPr>
          <w:rFonts w:ascii="Arial" w:hAnsi="Arial" w:cs="Arial"/>
        </w:rPr>
        <w:t xml:space="preserve"> study. </w:t>
      </w:r>
      <w:r w:rsidR="00A72EC9" w:rsidRPr="00586786">
        <w:rPr>
          <w:rFonts w:ascii="Arial" w:hAnsi="Arial" w:cs="Arial"/>
        </w:rPr>
        <w:t>AIRD patient populations were included in five studies, non-AIRD populations were included in seven studies, unrestricted patient population in three studies</w:t>
      </w:r>
      <w:r w:rsidR="00672A81" w:rsidRPr="00586786">
        <w:rPr>
          <w:rFonts w:ascii="Arial" w:hAnsi="Arial" w:cs="Arial"/>
        </w:rPr>
        <w:t>,</w:t>
      </w:r>
      <w:r w:rsidR="00A72EC9" w:rsidRPr="00586786">
        <w:rPr>
          <w:rFonts w:ascii="Arial" w:hAnsi="Arial" w:cs="Arial"/>
        </w:rPr>
        <w:t xml:space="preserve"> and an unspecified patient population in one study. </w:t>
      </w:r>
      <w:r w:rsidR="004D2C10" w:rsidRPr="00586786">
        <w:rPr>
          <w:rFonts w:ascii="Arial" w:hAnsi="Arial" w:cs="Arial"/>
        </w:rPr>
        <w:t xml:space="preserve">GCs </w:t>
      </w:r>
      <w:r w:rsidR="00296AFA" w:rsidRPr="00586786">
        <w:rPr>
          <w:rFonts w:ascii="Arial" w:hAnsi="Arial" w:cs="Arial"/>
        </w:rPr>
        <w:t xml:space="preserve">were delivered systemically in 10 included studies, inhaled in </w:t>
      </w:r>
      <w:r w:rsidRPr="00586786">
        <w:rPr>
          <w:rFonts w:ascii="Arial" w:hAnsi="Arial" w:cs="Arial"/>
        </w:rPr>
        <w:t>three</w:t>
      </w:r>
      <w:r w:rsidR="00296AFA" w:rsidRPr="00586786">
        <w:rPr>
          <w:rFonts w:ascii="Arial" w:hAnsi="Arial" w:cs="Arial"/>
        </w:rPr>
        <w:t xml:space="preserve"> studies, topical in </w:t>
      </w:r>
      <w:r w:rsidRPr="00586786">
        <w:rPr>
          <w:rFonts w:ascii="Arial" w:hAnsi="Arial" w:cs="Arial"/>
        </w:rPr>
        <w:t>one</w:t>
      </w:r>
      <w:r w:rsidR="00296AFA" w:rsidRPr="00586786">
        <w:rPr>
          <w:rFonts w:ascii="Arial" w:hAnsi="Arial" w:cs="Arial"/>
        </w:rPr>
        <w:t xml:space="preserve"> study and not specified in </w:t>
      </w:r>
      <w:r w:rsidRPr="00586786">
        <w:rPr>
          <w:rFonts w:ascii="Arial" w:hAnsi="Arial" w:cs="Arial"/>
        </w:rPr>
        <w:t>one</w:t>
      </w:r>
      <w:r w:rsidR="00296AFA" w:rsidRPr="00586786">
        <w:rPr>
          <w:rFonts w:ascii="Arial" w:hAnsi="Arial" w:cs="Arial"/>
        </w:rPr>
        <w:t xml:space="preserve"> study. </w:t>
      </w:r>
      <w:r w:rsidR="009135CD" w:rsidRPr="00586786">
        <w:rPr>
          <w:rFonts w:ascii="Arial" w:hAnsi="Arial" w:cs="Arial"/>
        </w:rPr>
        <w:t xml:space="preserve">A single study was the development paper for the measurement instrument included. </w:t>
      </w:r>
      <w:r w:rsidR="00D72B82" w:rsidRPr="00586786">
        <w:rPr>
          <w:rFonts w:ascii="Arial" w:hAnsi="Arial" w:cs="Arial"/>
        </w:rPr>
        <w:t>Fifteen studies measured change over time with the included instrument</w:t>
      </w:r>
      <w:r w:rsidR="00792D04" w:rsidRPr="00586786">
        <w:rPr>
          <w:rFonts w:ascii="Arial" w:hAnsi="Arial" w:cs="Arial"/>
        </w:rPr>
        <w:t>;</w:t>
      </w:r>
      <w:r w:rsidR="00D72B82" w:rsidRPr="00586786">
        <w:rPr>
          <w:rFonts w:ascii="Arial" w:hAnsi="Arial" w:cs="Arial"/>
        </w:rPr>
        <w:t xml:space="preserve"> six assessed </w:t>
      </w:r>
      <w:proofErr w:type="gramStart"/>
      <w:r w:rsidR="00D72B82" w:rsidRPr="00586786">
        <w:rPr>
          <w:rFonts w:ascii="Arial" w:hAnsi="Arial" w:cs="Arial"/>
        </w:rPr>
        <w:t>hyperglycaemia</w:t>
      </w:r>
      <w:proofErr w:type="gramEnd"/>
      <w:r w:rsidR="00D72B82" w:rsidRPr="00586786">
        <w:rPr>
          <w:rFonts w:ascii="Arial" w:hAnsi="Arial" w:cs="Arial"/>
        </w:rPr>
        <w:t xml:space="preserve"> </w:t>
      </w:r>
      <w:r w:rsidR="001D7065" w:rsidRPr="00586786">
        <w:rPr>
          <w:rFonts w:ascii="Arial" w:hAnsi="Arial" w:cs="Arial"/>
        </w:rPr>
        <w:t>at a single time point</w:t>
      </w:r>
      <w:r w:rsidR="00D72B82" w:rsidRPr="00586786">
        <w:rPr>
          <w:rFonts w:ascii="Arial" w:hAnsi="Arial" w:cs="Arial"/>
        </w:rPr>
        <w:t xml:space="preserve">. </w:t>
      </w:r>
    </w:p>
    <w:p w14:paraId="3849E124" w14:textId="77777777" w:rsidR="00D96A78" w:rsidRPr="00586786" w:rsidRDefault="00D96A78" w:rsidP="00586786">
      <w:pPr>
        <w:spacing w:line="360" w:lineRule="auto"/>
        <w:rPr>
          <w:rFonts w:ascii="Arial" w:hAnsi="Arial" w:cs="Arial"/>
        </w:rPr>
      </w:pPr>
    </w:p>
    <w:p w14:paraId="23569BDE" w14:textId="5C4C23CC" w:rsidR="00C74AE4" w:rsidRPr="00586786" w:rsidRDefault="00E0194E" w:rsidP="00586786">
      <w:pPr>
        <w:spacing w:line="360" w:lineRule="auto"/>
        <w:rPr>
          <w:rFonts w:ascii="Arial" w:hAnsi="Arial" w:cs="Arial"/>
          <w:i/>
          <w:iCs/>
        </w:rPr>
      </w:pPr>
      <w:r w:rsidRPr="00586786">
        <w:rPr>
          <w:rFonts w:ascii="Arial" w:hAnsi="Arial" w:cs="Arial"/>
          <w:i/>
          <w:iCs/>
        </w:rPr>
        <w:t>3.</w:t>
      </w:r>
      <w:r w:rsidR="00246CA8" w:rsidRPr="00586786">
        <w:rPr>
          <w:rFonts w:ascii="Arial" w:hAnsi="Arial" w:cs="Arial"/>
          <w:i/>
          <w:iCs/>
        </w:rPr>
        <w:t>6</w:t>
      </w:r>
      <w:r w:rsidRPr="00586786">
        <w:rPr>
          <w:rFonts w:ascii="Arial" w:hAnsi="Arial" w:cs="Arial"/>
          <w:i/>
          <w:iCs/>
        </w:rPr>
        <w:t xml:space="preserve">.5 </w:t>
      </w:r>
      <w:r w:rsidR="00C74AE4" w:rsidRPr="00586786">
        <w:rPr>
          <w:rFonts w:ascii="Arial" w:hAnsi="Arial" w:cs="Arial"/>
          <w:i/>
          <w:iCs/>
        </w:rPr>
        <w:t>Weight</w:t>
      </w:r>
    </w:p>
    <w:p w14:paraId="39AC3B98" w14:textId="7FE90C67" w:rsidR="00AD2518" w:rsidRPr="00586786" w:rsidRDefault="00AD2518" w:rsidP="00586786">
      <w:pPr>
        <w:spacing w:line="360" w:lineRule="auto"/>
        <w:rPr>
          <w:rFonts w:ascii="Arial" w:hAnsi="Arial" w:cs="Arial"/>
        </w:rPr>
      </w:pPr>
      <w:r w:rsidRPr="00586786">
        <w:rPr>
          <w:rFonts w:ascii="Arial" w:hAnsi="Arial" w:cs="Arial"/>
        </w:rPr>
        <w:t>Seven individual measurement tools were identified from 17 studies to assess weight</w:t>
      </w:r>
      <w:r w:rsidR="000F56CB" w:rsidRPr="00586786">
        <w:rPr>
          <w:rFonts w:ascii="Arial" w:hAnsi="Arial" w:cs="Arial"/>
        </w:rPr>
        <w:t xml:space="preserve"> change, as displayed in </w:t>
      </w:r>
      <w:r w:rsidR="00A72BBA" w:rsidRPr="00586786">
        <w:rPr>
          <w:rFonts w:ascii="Arial" w:hAnsi="Arial" w:cs="Arial"/>
        </w:rPr>
        <w:t>T</w:t>
      </w:r>
      <w:r w:rsidR="000F56CB" w:rsidRPr="00586786">
        <w:rPr>
          <w:rFonts w:ascii="Arial" w:hAnsi="Arial" w:cs="Arial"/>
        </w:rPr>
        <w:t>able 7. Body mass index (BMI) was assessed in 13 studies</w:t>
      </w:r>
      <w:r w:rsidR="003C551F" w:rsidRPr="00586786">
        <w:rPr>
          <w:rFonts w:ascii="Arial" w:hAnsi="Arial" w:cs="Arial"/>
        </w:rPr>
        <w:t xml:space="preserve">; </w:t>
      </w:r>
      <w:r w:rsidR="000F56CB" w:rsidRPr="00586786">
        <w:rPr>
          <w:rFonts w:ascii="Arial" w:hAnsi="Arial" w:cs="Arial"/>
        </w:rPr>
        <w:t xml:space="preserve">nine of these </w:t>
      </w:r>
      <w:r w:rsidR="00A72BBA" w:rsidRPr="00586786">
        <w:rPr>
          <w:rFonts w:ascii="Arial" w:hAnsi="Arial" w:cs="Arial"/>
        </w:rPr>
        <w:t>used the GTI</w:t>
      </w:r>
      <w:r w:rsidR="000F56CB" w:rsidRPr="00586786">
        <w:rPr>
          <w:rFonts w:ascii="Arial" w:hAnsi="Arial" w:cs="Arial"/>
        </w:rPr>
        <w:t xml:space="preserve"> to define change in BMI</w:t>
      </w:r>
      <w:r w:rsidR="00B72518" w:rsidRPr="00586786">
        <w:rPr>
          <w:rFonts w:ascii="Arial" w:hAnsi="Arial" w:cs="Arial"/>
        </w:rPr>
        <w:t xml:space="preserve"> over time </w:t>
      </w:r>
      <w:r w:rsidR="000F56CB" w:rsidRPr="00586786">
        <w:rPr>
          <w:rFonts w:ascii="Arial" w:hAnsi="Arial" w:cs="Arial"/>
        </w:rPr>
        <w:fldChar w:fldCharType="begin"/>
      </w:r>
      <w:r w:rsidR="00386695" w:rsidRPr="00586786">
        <w:rPr>
          <w:rFonts w:ascii="Arial" w:hAnsi="Arial" w:cs="Arial"/>
        </w:rPr>
        <w:instrText xml:space="preserve"> ADDIN ZOTERO_ITEM CSL_CITATION {"citationID":"ySjEyoIN","properties":{"formattedCitation":"(10,14,17,21,25,28,30,32,33)","plainCitation":"(10,14,17,21,25,28,30,32,33)","noteIndex":0},"citationItems":[{"id":3829,"uris":["http://zotero.org/users/13605431/items/MXWPBSJM"],"itemData":{"id":3829,"type":"article-journal","abstract":"Objectives To develop a Glucocorticoid Toxicity Index (GTI) to assess glucocorticoid (GC)-related morbidity and GC-sparing ability of other therapies.\nMethods Nineteen experts on GC use and outcome measures from 11 subspecialties participated. Ten experts were from the USA; nine from Canada, Europe or Australia. Group consensus methods and multicriteria decision analysis (MCDA) were used. A Composite GTI and Speciﬁc List comprise the overall GTI. The Composite GTI reﬂects toxicity likely to change during a clinical trial. The Composite GTI toxicities occur commonly, vary with GC exposure, and are weighted and scored. Relative weights for items in the Composite GTI were derived by group consensus and MCDA. The Speciﬁc List is designed to capture GC toxicity not included in the Composite GTI. The Composite GTI was evaluated by application to paper cases by the investigators and an external group of 17 subspecialists.\nResults Thirty-one toxicity items were included in the Composite GTI and 23 in the Speciﬁc List. Composite GTI evaluation showed high inter-rater agreement (investigators κ 0.88, external raters κ 0.90). To assess the degree to which the Composite GTI corresponds to expert clinical judgement, participants ranked 15 cases by clinical judgement in order of highest to lowest GC toxicity. Expert rankings were then compared with case ranking by the Composite GTI, yielding excellent agreement (investigators weighted κ 0.87, external raters weighted κ 0.77).\nConclusions We describe the development and initial evaluation of a comprehensive instrument for the assessment of GC toxicity.","container-title":"Annals of the Rheumatic Diseases","DOI":"10.1136/annrheumdis-2016-210002","ISSN":"0003-4967, 1468-2060","issue":"3","journalAbbreviation":"Ann Rheum Dis","language":"en","page":"543-546","source":"DOI.org (Crossref)","title":"Development of a Glucocorticoid Toxicity Index (GTI) using multicriteria decision analysis","volume":"76","author":[{"family":"Miloslavsky","given":"Eli M"},{"family":"Naden","given":"Ray P"},{"family":"Bijlsma","given":"Johannes W J"},{"family":"Brogan","given":"Paul A"},{"family":"Brown","given":"E Sherwood"},{"family":"Brunetta","given":"Paul"},{"family":"Buttgereit","given":"Frank"},{"family":"Choi","given":"Hyon K"},{"family":"DiCaire","given":"Jean-Francois"},{"family":"Gelfand","given":"Jeffrey M"},{"family":"Heaney","given":"Liam G"},{"family":"Lightstone","given":"Liz"},{"family":"Lu","given":"Na"},{"family":"Murrell","given":"Dedee F"},{"family":"Petri","given":"Michelle"},{"family":"Rosenbaum","given":"James T"},{"family":"Saag","given":"Kenneth S"},{"family":"Urowitz","given":"Murray B"},{"family":"Winthrop","given":"Kevin L"},{"family":"Stone","given":"John H"}],"issued":{"date-parts":[["2017",3]]}}},{"id":4278,"uris":["http://zotero.org/users/13605431/items/6IN5QNZX"],"itemData":{"id":4278,"type":"article-journal","abstract":"Objective: The glucocorticoid toxicity index (GTI) is developed to measure glucocorticoid (GC)-related morbidity over time. This study aimed to assess GC-toxicity in patients at a rheumatology outpatient clinic by using the GTI and to identify the factors that interfere with the GTI.\nMethods: This prospective study included patients with inflammatory arthritis (IA), connective tissue disease and vasculitis who were newly pre­ scribed GC-treatment (GC-naive) or have been still on GC-treatment for ≤2 years (GC-experienced). Patient demographics and disease characteristics, aggregate improvement score (GTI-AIS), cumulative worsening score (GTI-CWS) and cumulative GC-doses were recorded at baseline, 3rd month and 6th month. Generalized estimating equations (GEE) were used to evaluate the GTI scores and associated factors including cumulative GC-doses.\nResults: The study included 156 (48.7% GC-naive) patients with a mean age of 49.1 ± 17.1 years. More than half of the patients in both groups had a diagnosis of vasculitis. A higher cumulative GC-dose was found to be associated with higher GTI-scores in both groups (P &lt; 0.001). In the GC-naive group, patients with vasculitis showed higher GTI-scores than IA patients (P &lt; 0.001); there was also a significant increase in the GTICWS at the 6th month compared with the 3rd month. In the GC-experienced group, GTI-AIS and GTI-CWS were significantly different at 3rd and 6th month (P &lt; 0.05).\nConclusion: It was shown that GTI scores were associated with cumulative GC-doses and vasculitis patients in the GC-naive patients had higher GTI scores than inflammatory arthritis. The GTI allows individualized assessment and management of adverse effects experienced by patients as a result of GC treatment.","container-title":"Rheumatology","DOI":"10.1093/rheumatology/keae288","ISSN":"1462-0324, 1462-0332","language":"en","license":"https://creativecommons.org/licenses/by-nc/4.0/","page":"1-9","source":"DOI.org (Crossref)","title":"Prospective assessment of glucocorticoid toxicity in rheumatology practice: a focus on the glucocorticoid toxicity index","title-short":"Prospective assessment of glucocorticoid toxicity in rheumatology practice","volume":"00","author":[{"family":"Bahap-Kara","given":"Melda"},{"family":"Sariyildiz","given":"Emine"},{"family":"Zengin","given":"Hatice Yagmur"},{"family":"Karadag","given":"Omer"},{"family":"Bayraktar-Ekincioglu","given":"Aygin"}],"issued":{"date-parts":[["2024",5,23]]}}},{"id":4255,"uris":["http://zotero.org/users/13605431/items/HCYTL9WH"],"itemData":{"id":4255,"type":"article-journal","abstract":"Background The ADVOCATE trial, in which the complement C5a receptor inhibitor avacopan was compared with a standard prednisone taper in patients with antineutrophil cytoplasmic antibody (ANCA)-associated vasculitis, used the Glucocorticoid Toxicity Index (GTI) to measure glucocorticoid toxicity change. We set out to do a post-hoc analysis of the ADVOCATE data to evaluate changes in individual GTI domains and their ability to differentiate treatment groups.","container-title":"The Lancet Rheumatology","DOI":"10.1016/S2665-9913(23)00030-9","ISSN":"26659913","issue":"3","journalAbbreviation":"The Lancet Rheumatology","language":"en","page":"e130-e138","source":"DOI.org (Crossref)","title":"Glucocorticoid Toxicity Index scores by domain in patients with antineutrophil cytoplasmic antibody-associated vasculitis treated with avacopan versus standard prednisone taper: post-hoc analysis of data from the ADVOCATE trial","title-short":"Glucocorticoid Toxicity Index scores by domain in patients with antineutrophil cytoplasmic antibody-associated vasculitis treated with avacopan versus standard prednisone taper","volume":"5","author":[{"family":"Patel","given":"Naomi J"},{"family":"Jayne","given":"David R W"},{"family":"Merkel","given":"Peter A"},{"family":"Bekker","given":"Pirow"},{"family":"Zhang","given":"Yuqing"},{"family":"Yue","given":"Huibin"},{"family":"Stone","given":"John H"}],"issued":{"date-parts":[["2023",3]]}}},{"id":4248,"uris":["http://zotero.org/users/13605431/items/D7I46I5P"],"itemData":{"id":4248,"type":"article-journal","abstract":"Objective: Lupus nephritis (LN) is often treated with high doses of glucocorticoids (GCs). The glucocorticoid toxicity index (GTI) was developed by expert consensus to quantify GC toxicity. To date, the GTI has not been shown to correlate with GC exposure in patients with LN.\nMethods: We performed a retrospective cohort study of patients with biopsy-conﬁrmed LN between 2006 and 2016. Cumulative GC exposure and GTI scores were determined via medical record review. Both the aggregate improvement score (GTI-AIS) and the cumulative worsening score (GTI-CWS) were calculated. We performed linear regression to determine the association between GC exposure and GTI scores at 1 year and 5 years following kidney biopsy.\nResults: This study included 49 patients with a mean age of 33.3 (SD 9.5) years. Mean GC exposure was 23.0 mg prednisone-equivalents per day through year 1 and 9.9 mg prednisone-equivalents per day through year 5. At 5 years, higher GC exposure was associated with higher GTI-AIS (p &lt; 0.001) and GTI-CWS (p = 0.002), and this association persisted in multivariate analysis adjusting for age, sex, race, induction medication, and nephritis class (p = 0.026 for AIS, p = 0.012 for CWS). At 1 year, GC exposure was not associated with GTI scores (p = 0.70 for AIS; p = 0.58 for CWS).\nConclusion: In this cohort study, the GTI was associated with cumulative steroid exposure at 5 years after diagnosis. In patients with LN, the GTI may serve as a useful outcome measure in future LN trials evaluating the steroid sparing effect of novel therapies.","container-title":"Lupus","DOI":"10.1177/09612033231160969","ISSN":"0961-2033, 1477-0962","issue":"4","journalAbbreviation":"Lupus","language":"en","page":"565-570","source":"DOI.org (Crossref)","title":"Estimating glucocorticoid-related morbidity in lupus nephritis using the glucocorticoid toxicity index","volume":"32","author":[{"family":"Usiskin","given":"Ilana M"},{"family":"Kyttaris","given":"Vasileios C"}],"issued":{"date-parts":[["2023",4]]}}},{"id":4256,"uris":["http://zotero.org/users/13605431/items/76LWVHJK"],"itemData":{"id":4256,"type":"article-journal","abstract":"Background Reduction in glucocorticoid exposure is the primary benefit of new biologic treatments in severe asthma, but there is currently no evidence that reduction in glucocorticoid exposure corresponds to a proportionate reduction in associated toxicity.\nObjectives To use the validated Glucocorticoid Toxicity Index (GTI) to assess change in glucocorticoid toxicity after 12 months treatment with mepolizumab, and compare toxicity change to glucocorticoid reduction and change in patient-reported outcome measures (PROMs).\nMethods A longitudinal, real-world prospective cohort of 101 consecutive patients with severe asthma commenced on mepolizumab in a specialist UK regional severe asthma clinic. GTI toxicity assessment, cumulative glucocorticoid exposure and PROMs were recorded on commencing mepolizumab (V1), and after 12 months treatment (V2).\nResults There was significant reduction in oral glucocorticoid exposure (V1 median 4280 mg prednisolone per year (interquartile range 3083–5475 mg) versus V2 2450 mg prednisolone per year (1243–3360 mg), p&lt;0.001). Substantial improvements in individual toxicities were observed, but did not correlate with oral glucocorticoid reduction. Mean±SD GTI aggregate improvement score (AIS) was −35.7±57.8 with a wide range in toxicity change at individual patient level (AIS range −165 to +130); 70% (71 out of 101) had a reduction in toxicity (AIS &lt;0); 3% (three out of 101) had no change (AIS=0); and 27% (27 out of 101) an increase in overall toxicity. 62% (62 out of 101) of patients met the AIS minimally clinically important difference of </w:instrText>
      </w:r>
      <w:r w:rsidR="00386695" w:rsidRPr="00586786">
        <w:rPr>
          <w:rFonts w:ascii="Cambria Math" w:hAnsi="Cambria Math" w:cs="Cambria Math"/>
        </w:rPr>
        <w:instrText>⩽</w:instrText>
      </w:r>
      <w:r w:rsidR="00386695" w:rsidRPr="00586786">
        <w:rPr>
          <w:rFonts w:ascii="Arial" w:hAnsi="Arial" w:cs="Arial"/>
        </w:rPr>
        <w:instrText>−10, but AIS did not correlate with glucocorticoid reduction or change in PROMs.\nConclusion Mepolizumab resulted in substantial oral glucocorticoid reduction, but this did not correlate with reduction in oral glucocorticoid toxicity, which varies widely at the individual patient level. Oral glucocorticoid reduction is not a comprehensive measure of response to mepolizumab.","container-title":"European Respiratory Journal","DOI":"10.1183/13993003.00160-2021","ISSN":"0903-1936, 1399-3003","issue":"1","journalAbbreviation":"Eur Respir J","language":"en","page":"2100160","source":"DOI.org (Crossref)","title":"Glucocorticoid toxicity reduction with mepolizumab using the Glucocorticoid Toxicity Index","volume":"59","author":[{"family":"McDowell","given":"P. Jane"},{"family":"Stone","given":"John H."},{"family":"Zhang","given":"Yuqing"},{"family":"Honeyford","given":"Kirsty"},{"family":"Dunn","given":"Louise"},{"family":"Logan","given":"R. Jayne"},{"family":"McGarvey","given":"Lorcan P.A."},{"family":"Butler","given":"Claire A."},{"family":"Heaney","given":"Liam G."}],"issued":{"date-parts":[["2022",1]]}}},{"id":4197,"uris":["http://zotero.org/users/13605431/items/7SSBXYTK"],"itemData":{"id":4197,"type":"article-journal","abstract":"Rituximab (RTX) combined with short-term glucocorticoids (GC) is an effective therapeutic option for pemphigus. The newly developed Glucocorticoid Toxicity Index (GTI) tool provides the possibility to measure GC toxicities over time. To compare 1-year GTI between two groups of RTX-treated and RTX-naïve patients with pemphigus. The responsiveness of the GTI was also investigated. A prospective cohort of 129 adults with newly diagnosed pemphigus was conducted. GC-related toxicities were assessed at 3-month intervals according to Composite and Specific lists of the GTI. Of the patients, 76.7% (n = 99) received RTX. Throughout the time intervals, RTX-treated patients had lower GTI compared to RTX-naïve ones (p = 0.036). The mean GTI at 1-year was 34.3 in the RTX-treated group and 50.8 in the RTX-naïve group (p = 0.04). The most commonly observed GC-related toxicity was neuropsychiatric manifestations for 34% (224 events). The relapse rate of RTX-treated patients (1%) was significantly lower than RTX-naïve patients (10%) (p = 0.037). The GTI showed no correlation with cumulative GC consumption in both groups (p &gt; 0.05, both). Patients treated with GC alone had remarkably higher GTI than patients treated with GC plus RTX. The GTI is an applicable tool to quantitatively capture GC toxicities at the patient level in pemphigus.","container-title":"Dermatologic Therapy","DOI":"10.1111/dth.15902","ISSN":"1396-0296, 1529-8019","issue":"12","journalAbbreviation":"Dermatologic Therapy","language":"en","source":"DOI.org (Crossref)","title":"Applicability of glucocorticoid toxicity index in pemphigus: Comparison between two groups of rituximab</w:instrText>
      </w:r>
      <w:r w:rsidR="00386695" w:rsidRPr="00586786">
        <w:rPr>
          <w:rFonts w:ascii="Cambria Math" w:hAnsi="Cambria Math" w:cs="Cambria Math"/>
        </w:rPr>
        <w:instrText>‐</w:instrText>
      </w:r>
      <w:r w:rsidR="00386695" w:rsidRPr="00586786">
        <w:rPr>
          <w:rFonts w:ascii="Arial" w:hAnsi="Arial" w:cs="Arial"/>
        </w:rPr>
        <w:instrText>treated and rituximab</w:instrText>
      </w:r>
      <w:r w:rsidR="00386695" w:rsidRPr="00586786">
        <w:rPr>
          <w:rFonts w:ascii="Cambria Math" w:hAnsi="Cambria Math" w:cs="Cambria Math"/>
        </w:rPr>
        <w:instrText>‐</w:instrText>
      </w:r>
      <w:r w:rsidR="00386695" w:rsidRPr="00586786">
        <w:rPr>
          <w:rFonts w:ascii="Arial" w:hAnsi="Arial" w:cs="Arial"/>
        </w:rPr>
        <w:instrText xml:space="preserve">naïve patients","title-short":"Applicability of glucocorticoid toxicity index in pemphigus","volume":"35","author":[{"family":"Mazaherpour","given":"Elham"},{"family":"Kianfar","given":"Nika"},{"family":"Dasdar","given":"Shayan"},{"family":"Sedaghat","given":"Mojtaba"},{"family":"Seyrafi","given":"Hassan"},{"family":"Balighi","given":"Kamran"},{"family":"Saberi","given":"Fatemeh"},{"family":"Nili","given":"Ali"},{"family":"Farimani","given":"Zeinab"},{"family":"Azar","given":"Pedram Molhem"},{"family":"Mahmoodi","given":"Hamidreza"},{"family":"Murrell","given":"Dedee F."},{"family":"Daneshpazhooh","given":"Maryam"}],"issued":{"date-parts":[["2022",12]]}}},{"id":4250,"uris":["http://zotero.org/users/13605431/items/8TE8S274"],"itemData":{"id":4250,"type":"article-journal","abstract":"Background: Glucocorticoids are the mainstay of treatment for autoimmune blistering diseases (AIBDs). The Glucocorticoid Toxicity Index (GTI) is a novel, outcome-based glucocorticoid-induced adverse effects monitoring instrument.\nObjective: To investigate whether the GTI score was able to accurately quantify the glucocorticoid-induced toxicity in patients with AIBDs.\nMethods: The prospective cohort study included patients with conﬁrmed diagnoses of AIBDs (group1, currently receiving glucocorticoids; and group 2, had glucocorticoids ceased earlier). Data were collected minimally at baseline (V1) and 3 months (V2). Further data from patients who were able to complete the follow-up visits at 6 months (V3) and 12 months (V4) amid the COVID-19 pandemic were also included. GTI scores were calculated after data collection.\nResults: Analysis of data from V1 and V2 found a linear correlation between GTI score and prednisone doses (P \\.05) and a significant difference in GTI scores between group1 and group 2 (P \\.05). Data from V3 and V4 suggested that GTI scores continued to rise progressively alongside increasing cumulative prednisone dose. Limitations: Small sample size, further exacerbated by the COVID-19 pandemic. Single-center study.\nConclusion: The GTI sensitively and speciﬁcally captured the changes in glucocorticoids toxicity over time among patients with AIBDs. The GTI could be a feasible tool that can be used in future clinical trials as a glucocorticoid-induced toxicity outcome measure. ( JAAD Int 2022;6:68-76.)","container-title":"JAAD International","DOI":"10.1016/j.jdin.2021.09.003","ISSN":"26663287","journalAbbreviation":"JAAD International","language":"en","page":"68-76","source":"DOI.org (Crossref)","title":"Evaluation of the toxicity of glucocorticoids in patients with autoimmune blistering disease using the Glucocorticoid Toxicity Index: A cohort study","title-short":"Evaluation of the toxicity of glucocorticoids in patients with autoimmune blistering disease using the Glucocorticoid Toxicity Index","volume":"6","author":[{"family":"Liang","given":"Yicong"},{"family":"Zeng","given":"Faith A.P."},{"family":"Sheriff","given":"Tabrez"},{"family":"Wilson","given":"Anna"},{"family":"Bilgic","given":"Asli"},{"family":"Feng","given":"Grant"},{"family":"Stone","given":"John H."},{"family":"Murrell","given":"Dedee F."}],"issued":{"date-parts":[["2022",3]]}}},{"id":4254,"uris":["http://zotero.org/users/13605431/items/NVRDHTQW"],"itemData":{"id":4254,"type":"article-journal","abstract":"Background ANCA-associated vasculitis (AAV) is an autoimmune disease. Induction remission and maintenance treatment typically includes high-dose, tapering glucocorticoids (GC), in addition to other immunosuppressive medication. The use of theGlucocorticoid Toxicity Index (GTI) provides a global, quantiﬁable assessment tool in which clinicians can assess GC-associated morbidity. Recent trials in AAV have exposed the need for systemic assessment of GC burden. In this small cohort study, we look to address these issues and the justiﬁcation of newer GC sparing agents, such as C5a inhibitors.\nMethods A retrospective cohort study of 43 patients with biopsy AAV was constructed from a single center between 2012–2016, and followed up for 48 months. The GTI table made up of adverse features was used to quantify patients’ GC toxicity. Electronic patient records were reviewed and scores calculated according to published methods. GTI scores were compared with cumulative steroid doses at separate intervals and incidences of adverse features in relation to the treatment timeline.\nResults The mean age was 65.9 (611.06) years and treatment regimens consisted of glucocorticoids alongside cyclophosphamide or rituximab. Our results showed statistical signiﬁcance in the association of cumulative GC doses and GTI scores (P50.008; 95% CI, 1.31 to 8.05). Adverse features relating to mood disturbance and GC-induced psychosis occurred early, in contrast to adrenal insufﬁciency, which typically presented later in the follow-up. Infection-related adverse events were consistent throughout.\nConclusions We demonstrated that higher cumulative doses of steroids in AAV lead to worse glucocorticoidrelated toxicity. Using the GTI creates the potential to individualize and quantify the adverse effects patients experience as a result of GC treatment and permits more patient-centered management. Although glucocorticoids remain the main adjunctive immunosuppression of AAV treatment, the narrow therapeutic window supports the need for GC-sparing treatments. KIDNEY360 2: 1002–1010, 2021. doi: https://doi.org/10.34067/KID.0000502021","container-title":"Kidney360","DOI":"10.34067/KID.0000502021","ISSN":"2641-7650","issue":"6","journalAbbreviation":"Kidney360","language":"en","page":"1002-1010","source":"DOI.org (Crossref)","title":"Glucocorticoid Therapy in ANCA Vasculitis: Using the Glucocorticoid Toxicity Index as an Outcome Measure","title-short":"Glucocorticoid Therapy in ANCA Vasculitis","volume":"2","author":[{"family":"Floyd","given":"Lauren"},{"family":"Morris","given":"Adam"},{"family":"Joshi","given":"Miland"},{"family":"Dhaygude","given":"Ajay"}],"issued":{"date-parts":[["2021",6]]}}},{"id":4279,"uris":["http://zotero.org/users/13605431/items/WI98FPDS"],"itemData":{"id":4279,"type":"article-journal","container-title":"The Journal of Allergy and Clinical Immunology: In Practice","DOI":"10.1016/j.jaip.2020.08.032","ISSN":"22132198","issue":"1","journalAbbreviation":"The Journal of Allergy and Clinical Immunology: In Practice","language":"en","page":"365-372.e5","source":"DOI.org (Crossref)","title":"Quantification of Glucocorticoid-Associated Morbidity in Severe Asthma Using the Glucocorticoid Toxicity Index","volume":"9","author":[{"family":"McDowell","given":"P. Jane"},{"family":"Stone","given":"John H."},{"family":"Zhang","given":"Yuqing"},{"family":"Honeyford","given":"Kirsty"},{"family":"Dunn","given":"Louise"},{"family":"Logan","given":"R. Jayne"},{"family":"Butler","given":"Claire A."},{"family":"McGarvey","given":"Lorcan P.A."},{"family":"Heaney","given":"Liam G."}],"issued":{"date-parts":[["2021",1]]}}}],"schema":"https://github.com/citation-style-language/schema/raw/master/csl-citation.json"} </w:instrText>
      </w:r>
      <w:r w:rsidR="000F56CB" w:rsidRPr="00586786">
        <w:rPr>
          <w:rFonts w:ascii="Arial" w:hAnsi="Arial" w:cs="Arial"/>
        </w:rPr>
        <w:fldChar w:fldCharType="separate"/>
      </w:r>
      <w:r w:rsidR="00386695" w:rsidRPr="00586786">
        <w:rPr>
          <w:rFonts w:ascii="Arial" w:hAnsi="Arial" w:cs="Arial"/>
          <w:noProof/>
        </w:rPr>
        <w:t>(10,14,17,21,25,28,30,32,33)</w:t>
      </w:r>
      <w:r w:rsidR="000F56CB" w:rsidRPr="00586786">
        <w:rPr>
          <w:rFonts w:ascii="Arial" w:hAnsi="Arial" w:cs="Arial"/>
        </w:rPr>
        <w:fldChar w:fldCharType="end"/>
      </w:r>
      <w:r w:rsidR="000F56CB" w:rsidRPr="00586786">
        <w:rPr>
          <w:rFonts w:ascii="Arial" w:hAnsi="Arial" w:cs="Arial"/>
        </w:rPr>
        <w:t xml:space="preserve">. Of the remaining four studies, </w:t>
      </w:r>
      <w:r w:rsidR="00A72BBA" w:rsidRPr="00586786">
        <w:rPr>
          <w:rFonts w:ascii="Arial" w:hAnsi="Arial" w:cs="Arial"/>
        </w:rPr>
        <w:t>three did not define</w:t>
      </w:r>
      <w:r w:rsidR="000F56CB" w:rsidRPr="00586786">
        <w:rPr>
          <w:rFonts w:ascii="Arial" w:hAnsi="Arial" w:cs="Arial"/>
        </w:rPr>
        <w:t xml:space="preserve"> change in BM</w:t>
      </w:r>
      <w:r w:rsidR="00A72BBA" w:rsidRPr="00586786">
        <w:rPr>
          <w:rFonts w:ascii="Arial" w:hAnsi="Arial" w:cs="Arial"/>
        </w:rPr>
        <w:t>I</w:t>
      </w:r>
      <w:r w:rsidR="000F56CB" w:rsidRPr="00586786">
        <w:rPr>
          <w:rFonts w:ascii="Arial" w:hAnsi="Arial" w:cs="Arial"/>
        </w:rPr>
        <w:fldChar w:fldCharType="begin"/>
      </w:r>
      <w:r w:rsidR="00386695" w:rsidRPr="00586786">
        <w:rPr>
          <w:rFonts w:ascii="Arial" w:hAnsi="Arial" w:cs="Arial"/>
        </w:rPr>
        <w:instrText xml:space="preserve"> ADDIN ZOTERO_ITEM CSL_CITATION {"citationID":"Rk4L4pLX","properties":{"formattedCitation":"(48,49,56)","plainCitation":"(48,49,56)","noteIndex":0},"citationItems":[{"id":4221,"uris":["http://zotero.org/users/13605431/items/8I7IJ35H"],"itemData":{"id":4221,"type":"article-journal","abstract":"Pemphigus vulgaris is a chronic autoimmune disease and glucocorticoids are one of the main treatments. Our study investigates the prevalence and associated factors of glucocorticoid-induced diabetes mellitus in these patients under different glucocorticoid regimens. 36 patients with first diagnosed Pemphigus vulgaris based on pathological and direct immunofluorescence findings who had received different glucocorticoid regimens (1-2 mg/kg oral or 1-2 mg/kg oral with 1g methylprednisolone pulse daily for 3 consecutive days with or without azathioprine) were evaluated during 2014-2016. Our study found that 22.2% of patients had impaired fasting glucose and incidence of corticosteroid-induced diabetes mellitus was 22.2% with no difference between oral and pulse therapy of corticosteroid. The first day after pulse therapy 19 patients of 21 had post bolus hyperglycemia that 36% of them became diabetic after 8 weeks. None of the variables, including age, BMI, HbA1c, LDL, HDL, TG, cholesterol, family history and blood pressure were associated with diabetes. Pretreatment FBS was the factor that would increase the likelihood of glucocorticoid-induced diabetes mellitus, 42.2% of patients with pretreatment FBS 100-126 developed diabetes in comparison with 17.2% in normal pretreatment FBS. Although the group who received azathioprine was associated with increased incidence of diabetes, the overall corticosteroid dose in this group was significantly higher than the other group (P=0.012), and controversy with other studies could be because of difference in corticosteroid dosage and small number of patients. The incidence of diabetes was not different between the group with glucocorticoid pulses and oral prednisolone without pulse therapy. Higher pretreatment FBS can be related to increased incidence of diabetes, but results from this study due to small number of patients are preliminary and multicenter studies are needed.","container-title":"Acta Medica Iranica","issue":"6","language":"en","page":"375-380","source":"Zotero","title":"Assessment of the Prevalence and Risk Factors Associated With Glucocorticoid- Induced Diabetes Mellitus in Pemphigus Vulgaris Patients","volume":"55","author":[{"family":"Darjani","given":"Abbas"},{"family":"Nickhah","given":"Nahid"},{"family":"Emami","given":"Mohammad Hassan Hedayati"},{"family":"Alizadeh","given":"Narges"},{"family":"Rafiei","given":"Rana"},{"family":"Eftekhari","given":"Hojat"},{"family":"Nejad","given":"Kaveh Gharaei"}],"issued":{"date-parts":[["2017"]]}}},{"id":4224,"uris":["http://zotero.org/users/13605431/items/J8DPGBM3"],"itemData":{"id":4224,"type":"article-journal","abstract":"Objective: To investigate the association between overall CS use and specific CS types with MetS, body mass index (BMI), and other cardiometabolic traits. Design: Cross-sectional cohort study. Setting: General population from the northern Netherlands. Participants: A total of 140,879 adult participants in the population-based Lifelines Cohort Study. Main Outcome Measures: BMI, waist circumference, systolic and diastolic blood pressure, fasting metabolic serum parameters, and a comprehensive set of potential confounding factors.\nResults: In women, overall, systemic, and local CS use was associated with higher odds of having MetS. Among local female users, only nasal (odds ratio [OR], 1.20 [95% confidence interval (CI), 1.06 to 1.36]) and inhaled CSs [OR, 1.35 (95% CI, 1.24 to 1.49)] users were more likely to have MetS. In men, no association was found between overall and specific CS use and presence of MetS. Use of local-only CSs in women, specifically inhaled CSs in both sexes, was associated with higher BMI.\nConclusions: Use of local CSs, particularly inhaled types, as well as systemic CSs, was associated with higher likelihood of having MetS, higher BMI, and other adverse cardiometabolic traits, especially among women. Because the inhaled agents are the main group of prescribed CSs, this might be a substantial risk to public health in case of a yet-to-be-proven causal relationship. (J Clin Endocrinol Metab 102: 3765–3774, 2017)","container-title":"The Journal of Clinical Endocrinology &amp; Metabolism","DOI":"10.1210/jc.2017-01133","ISSN":"0021-972X, 1945-7197","issue":"10","language":"en","page":"3765-3774","source":"DOI.org (Crossref)","title":"Associations Between Systemic and Local Corticosteroid Use With Metabolic Syndrome and Body Mass Index","volume":"102","author":[{"family":"Savas","given":"Mesut"},{"family":"Muka","given":"Taulant"},{"family":"Wester","given":"Vincent L"},{"family":"Van Den Akker","given":"Erica L T"},{"family":"Visser","given":"Jenny A"},{"family":"Braunstahl","given":"Gert-Jan"},{"family":"Slagter","given":"Sandra N"},{"family":"Wolffenbuttel","given":"Bruce H R"},{"family":"Franco","given":"Oscar H"},{"family":"Van Rossum","given":"Elisabeth F C"}],"issued":{"date-parts":[["2017",10,1]]}}},{"id":4262,"uris":["http://zotero.org/users/13605431/items/U6MZBG2H"],"itemData":{"id":4262,"type":"article-journal","abstract":"Objective. To clarify whether increase of body weight in patients with early rheumatoid arthritis (RA) upon administration of prednisone is a side effect of prednisone or a result of better control of disease activity, we examined the association of prednisone and disease activity with a subsequent change in body mass index (BMI).\nMethods. In the Computer Assisted Management in Early Rheumatoid Arthritis Trial-II, patients ages &gt;18 years with early RA (disease duration &lt;1 year and no prior use of disease-modifying antirheumatic drugs) had been randomized to a methotrexate (MTX)– based tight control strategy with either 10 mg of prednisone (MTX ؉ prednisone) or placebo (MTX ؉ placebo). The MTX ؉ prednisone group had lower disease activity, but gained more weight than the MTX ؉ placebo group (mean ؎ SD 2.9 ؎ 4.2 kg versus 1.3 ؎ 5.3 kg; P ؍ 0.03). Data from patients with monthly measurements of disease activity (Disease Activity Score in 28 joints [DAS28]) and BMI were analyzed with a longitudinal regression (mixed model) analysis with BMI as the dependent variable and treatment strategy and DAS28 as the independent variables, correcting for baseline BMI and possible confounders (sex, age, and rheumatoid factor status).\nResults. There was no independent association of glucocorticoid therapy with a change in BMI, but a lower DAS28 was associated with an increased BMI 6 months later. The association of the DAS28 with BMI was most strongly present in postmenopausal women. Clinical cutoff points showed a clear association between DAS28 level and the change in BMI 6 months later.\nConclusion. Weight gain during treatment with prednisone seems attributable to a reduction of disease activity and is probably, at least partly, regained weight.","container-title":"Arthritis Care &amp; Research","DOI":"10.1002/acr.21797","ISSN":"2151-464X, 2151-4658","issue":"1","journalAbbreviation":"Arthritis Care &amp; Research","language":"en","license":"http://onlinelibrary.wiley.com/termsAndConditions#vor","page":"88-93","source":"DOI.org (Crossref)","title":"Increase of body mass index in a tight controlled methotrexate</w:instrText>
      </w:r>
      <w:r w:rsidR="00386695" w:rsidRPr="00586786">
        <w:rPr>
          <w:rFonts w:ascii="Cambria Math" w:hAnsi="Cambria Math" w:cs="Cambria Math"/>
        </w:rPr>
        <w:instrText>‐</w:instrText>
      </w:r>
      <w:r w:rsidR="00386695" w:rsidRPr="00586786">
        <w:rPr>
          <w:rFonts w:ascii="Arial" w:hAnsi="Arial" w:cs="Arial"/>
        </w:rPr>
        <w:instrText>based strategy with prednisone in early rheumatoid arthritis: Side effect of the prednisone or better control of disease activity?","title-short":"Increase of body mass index in a tight controlled methotrexate</w:instrText>
      </w:r>
      <w:r w:rsidR="00386695" w:rsidRPr="00586786">
        <w:rPr>
          <w:rFonts w:ascii="Cambria Math" w:hAnsi="Cambria Math" w:cs="Cambria Math"/>
        </w:rPr>
        <w:instrText>‐</w:instrText>
      </w:r>
      <w:r w:rsidR="00386695" w:rsidRPr="00586786">
        <w:rPr>
          <w:rFonts w:ascii="Arial" w:hAnsi="Arial" w:cs="Arial"/>
        </w:rPr>
        <w:instrText>based strategy with prednisone in early rheumatoid arthritis","volume":"65","author":[{"family":"Jurgens","given":"Maud S."},{"family":"Jacobs","given":"Johannes W. G."},{"family":"Geenen","given":"Rinie"},{"family":"Bossema","given":"Ercolie R."},{"family":"Bakker","given":"Marije F."},{"family":"Bijlsma","given":"Johannes W. J."},{"family":"Van Albada</w:instrText>
      </w:r>
      <w:r w:rsidR="00386695" w:rsidRPr="00586786">
        <w:rPr>
          <w:rFonts w:ascii="Cambria Math" w:hAnsi="Cambria Math" w:cs="Cambria Math"/>
        </w:rPr>
        <w:instrText>‐</w:instrText>
      </w:r>
      <w:r w:rsidR="00386695" w:rsidRPr="00586786">
        <w:rPr>
          <w:rFonts w:ascii="Arial" w:hAnsi="Arial" w:cs="Arial"/>
        </w:rPr>
        <w:instrText xml:space="preserve">Kuipers","given":"Iet A."},{"family":"Ehrlich","given":"Johan C."},{"family":"Lafeber","given":"Floris P. J. G."},{"family":"Welsing","given":"Paco M. J."},{"literal":"on behalf of The Utrecht Arthritis Cohort Study Group"}],"issued":{"date-parts":[["2013",1]]}}}],"schema":"https://github.com/citation-style-language/schema/raw/master/csl-citation.json"} </w:instrText>
      </w:r>
      <w:r w:rsidR="000F56CB" w:rsidRPr="00586786">
        <w:rPr>
          <w:rFonts w:ascii="Arial" w:hAnsi="Arial" w:cs="Arial"/>
        </w:rPr>
        <w:fldChar w:fldCharType="separate"/>
      </w:r>
      <w:r w:rsidR="00386695" w:rsidRPr="00586786">
        <w:rPr>
          <w:rFonts w:ascii="Arial" w:hAnsi="Arial" w:cs="Arial"/>
          <w:noProof/>
        </w:rPr>
        <w:t>(48,49,56)</w:t>
      </w:r>
      <w:r w:rsidR="000F56CB" w:rsidRPr="00586786">
        <w:rPr>
          <w:rFonts w:ascii="Arial" w:hAnsi="Arial" w:cs="Arial"/>
        </w:rPr>
        <w:fldChar w:fldCharType="end"/>
      </w:r>
      <w:r w:rsidR="000F56CB" w:rsidRPr="00586786">
        <w:rPr>
          <w:rFonts w:ascii="Arial" w:hAnsi="Arial" w:cs="Arial"/>
        </w:rPr>
        <w:t xml:space="preserve">, and </w:t>
      </w:r>
      <w:r w:rsidR="00A72BBA" w:rsidRPr="00586786">
        <w:rPr>
          <w:rFonts w:ascii="Arial" w:hAnsi="Arial" w:cs="Arial"/>
        </w:rPr>
        <w:t xml:space="preserve">one assessed BMI </w:t>
      </w:r>
      <w:r w:rsidR="000F56CB" w:rsidRPr="00586786">
        <w:rPr>
          <w:rFonts w:ascii="Arial" w:hAnsi="Arial" w:cs="Arial"/>
        </w:rPr>
        <w:t>both categorically and continuously</w:t>
      </w:r>
      <w:r w:rsidR="000F56CB" w:rsidRPr="00586786">
        <w:rPr>
          <w:rFonts w:ascii="Arial" w:hAnsi="Arial" w:cs="Arial"/>
        </w:rPr>
        <w:fldChar w:fldCharType="begin"/>
      </w:r>
      <w:r w:rsidR="00386695" w:rsidRPr="00586786">
        <w:rPr>
          <w:rFonts w:ascii="Arial" w:hAnsi="Arial" w:cs="Arial"/>
        </w:rPr>
        <w:instrText xml:space="preserve"> ADDIN ZOTERO_ITEM CSL_CITATION {"citationID":"oivWnSJD","properties":{"formattedCitation":"(41)","plainCitation":"(41)","noteIndex":0},"citationItems":[{"id":4883,"uris":["http://zotero.org/users/13605431/items/2CRPRSRI"],"itemData":{"id":4883,"type":"article-journal","abstract":"Introduction: Giant cell arteritis (GCA) requires treatment with high-dose, long-term glucocorticoids (GCs), and tocilizumab is often used early in the treatment paradigm. Weight gain, which is associated with morbidity and mortality, is a major concern for patients, though the factors that contribute to changes in body mass index (BMI) throughout the treatment of GCA are poorly understood.","container-title":"Rheumatology and Therapy","DOI":"10.1007/s40744-021-00411-y","ISSN":"2198-6576, 2198-6584","issue":"2","journalAbbreviation":"Rheumatol Ther","language":"en","page":"497-508","source":"DOI.org (Crossref)","title":"The Effects of Treatment on Body Mass Index in Giant Cell Arteritis: A Post Hoc Analysis of the GiACTA Trial","title-short":"The Effects of Treatment on Body Mass Index in Giant Cell Arteritis","volume":"9","author":[{"family":"Patel","given":"Naomi J."},{"family":"Fu","given":"Xiaoqing"},{"family":"Zhang","given":"Yuqing"},{"family":"Unizony","given":"Sebastian H."},{"family":"Wallace","given":"Zachary S."},{"family":"Choi","given":"Hyon K."},{"family":"Stone","given":"John H."}],"issued":{"date-parts":[["2022",4]]}}}],"schema":"https://github.com/citation-style-language/schema/raw/master/csl-citation.json"} </w:instrText>
      </w:r>
      <w:r w:rsidR="000F56CB" w:rsidRPr="00586786">
        <w:rPr>
          <w:rFonts w:ascii="Arial" w:hAnsi="Arial" w:cs="Arial"/>
        </w:rPr>
        <w:fldChar w:fldCharType="separate"/>
      </w:r>
      <w:r w:rsidR="00386695" w:rsidRPr="00586786">
        <w:rPr>
          <w:rFonts w:ascii="Arial" w:hAnsi="Arial" w:cs="Arial"/>
          <w:noProof/>
        </w:rPr>
        <w:t>(41)</w:t>
      </w:r>
      <w:r w:rsidR="000F56CB" w:rsidRPr="00586786">
        <w:rPr>
          <w:rFonts w:ascii="Arial" w:hAnsi="Arial" w:cs="Arial"/>
        </w:rPr>
        <w:fldChar w:fldCharType="end"/>
      </w:r>
      <w:r w:rsidR="000F56CB" w:rsidRPr="00586786">
        <w:rPr>
          <w:rFonts w:ascii="Arial" w:hAnsi="Arial" w:cs="Arial"/>
        </w:rPr>
        <w:t>. Weight</w:t>
      </w:r>
      <w:r w:rsidR="000F56CB" w:rsidRPr="00586786">
        <w:rPr>
          <w:rFonts w:ascii="Arial" w:hAnsi="Arial" w:cs="Arial"/>
        </w:rPr>
        <w:fldChar w:fldCharType="begin"/>
      </w:r>
      <w:r w:rsidR="00386695" w:rsidRPr="00586786">
        <w:rPr>
          <w:rFonts w:ascii="Arial" w:hAnsi="Arial" w:cs="Arial"/>
        </w:rPr>
        <w:instrText xml:space="preserve"> ADDIN ZOTERO_ITEM CSL_CITATION {"citationID":"AKrFaY0V","properties":{"formattedCitation":"(58)","plainCitation":"(58)","noteIndex":0},"citationItems":[{"id":4274,"uris":["http://zotero.org/users/13605431/items/LH38ULSI"],"itemData":{"id":4274,"type":"article-journal","abstract":"Background Excess endogenous steroids are a risk factor for obstructive sleep apnea (OSA). The role of exogenous steroids in this setup is not known. In this study, we prospectively looked at the consequences of a 3-month steroid treatment on the objective measures of sleepdisordered breathing.\nMethods Patients scheduled for long-term steroids treatment underwent two sleep studies, the first before initiation and the second after 3 months of steroid therapy. Their weight and neck girth were measured. Correlations between the changes in the body weight, neck girth, and cumulative steroids dose to apnea/hypopnea index (AHI) change were examined. A group of untreated mild OSA patients (n=23) served as control.\nResults Seventeen patients, five males and 12 females, mean age 52.4±12.6 years, were studied. Fifteen patients increased their mean AHI by 56% from 9.8±11.8 to 15.4±15.8, p= 0.004. This increment was significantly higher when compared to the control group. Body weight and neck girth changes and cumulative steroid dose were not correlated to the AHI increment (Spearman's correlation coefficient r= 0.18 and p=0.49, r=−0.23 and p=0.37, r=−0.17 and p= 0.51, respectively).\nConclusions We found that the objective measures of sleepdisordered breathing worsened after the 3-month steroid","container-title":"Sleep and Breathing","DOI":"10.1007/s11325-011-0541-x","ISSN":"1520-9512, 1522-1709","issue":"2","journalAbbreviation":"Sleep Breath","language":"en","license":"http://www.springer.com/tdm","page":"549-553","source":"DOI.org (Crossref)","title":"Preliminary prospective explanatory observation on the impact of 3-month steroid therapy on the objective measures of sleep-disordered breathing","volume":"16","author":[{"family":"Berger","given":"Gidon"},{"family":"Hardak","given":"Emilia"},{"family":"Shaham","given":"Beatrice"},{"family":"Avitan","given":"Emili"},{"family":"Yigla","given":"Mordechai"}],"issued":{"date-parts":[["2012",6]]}}}],"schema":"https://github.com/citation-style-language/schema/raw/master/csl-citation.json"} </w:instrText>
      </w:r>
      <w:r w:rsidR="000F56CB" w:rsidRPr="00586786">
        <w:rPr>
          <w:rFonts w:ascii="Arial" w:hAnsi="Arial" w:cs="Arial"/>
        </w:rPr>
        <w:fldChar w:fldCharType="separate"/>
      </w:r>
      <w:r w:rsidR="00386695" w:rsidRPr="00586786">
        <w:rPr>
          <w:rFonts w:ascii="Arial" w:hAnsi="Arial" w:cs="Arial"/>
          <w:noProof/>
        </w:rPr>
        <w:t>(58)</w:t>
      </w:r>
      <w:r w:rsidR="000F56CB" w:rsidRPr="00586786">
        <w:rPr>
          <w:rFonts w:ascii="Arial" w:hAnsi="Arial" w:cs="Arial"/>
        </w:rPr>
        <w:fldChar w:fldCharType="end"/>
      </w:r>
      <w:r w:rsidR="000F56CB" w:rsidRPr="00586786">
        <w:rPr>
          <w:rFonts w:ascii="Arial" w:hAnsi="Arial" w:cs="Arial"/>
        </w:rPr>
        <w:t>, waist circumference</w:t>
      </w:r>
      <w:r w:rsidR="000F56CB" w:rsidRPr="00586786">
        <w:rPr>
          <w:rFonts w:ascii="Arial" w:hAnsi="Arial" w:cs="Arial"/>
        </w:rPr>
        <w:fldChar w:fldCharType="begin"/>
      </w:r>
      <w:r w:rsidR="00386695" w:rsidRPr="00586786">
        <w:rPr>
          <w:rFonts w:ascii="Arial" w:hAnsi="Arial" w:cs="Arial"/>
        </w:rPr>
        <w:instrText xml:space="preserve"> ADDIN ZOTERO_ITEM CSL_CITATION {"citationID":"ZJsdPeKv","properties":{"formattedCitation":"(49)","plainCitation":"(49)","noteIndex":0},"citationItems":[{"id":4224,"uris":["http://zotero.org/users/13605431/items/J8DPGBM3"],"itemData":{"id":4224,"type":"article-journal","abstract":"Objective: To investigate the association between overall CS use and specific CS types with MetS, body mass index (BMI), and other cardiometabolic traits. Design: Cross-sectional cohort study. Setting: General population from the northern Netherlands. Participants: A total of 140,879 adult participants in the population-based Lifelines Cohort Study. Main Outcome Measures: BMI, waist circumference, systolic and diastolic blood pressure, fasting metabolic serum parameters, and a comprehensive set of potential confounding factors.\nResults: In women, overall, systemic, and local CS use was associated with higher odds of having MetS. Among local female users, only nasal (odds ratio [OR], 1.20 [95% confidence interval (CI), 1.06 to 1.36]) and inhaled CSs [OR, 1.35 (95% CI, 1.24 to 1.49)] users were more likely to have MetS. In men, no association was found between overall and specific CS use and presence of MetS. Use of local-only CSs in women, specifically inhaled CSs in both sexes, was associated with higher BMI.\nConclusions: Use of local CSs, particularly inhaled types, as well as systemic CSs, was associated with higher likelihood of having MetS, higher BMI, and other adverse cardiometabolic traits, especially among women. Because the inhaled agents are the main group of prescribed CSs, this might be a substantial risk to public health in case of a yet-to-be-proven causal relationship. (J Clin Endocrinol Metab 102: 3765–3774, 2017)","container-title":"The Journal of Clinical Endocrinology &amp; Metabolism","DOI":"10.1210/jc.2017-01133","ISSN":"0021-972X, 1945-7197","issue":"10","language":"en","page":"3765-3774","source":"DOI.org (Crossref)","title":"Associations Between Systemic and Local Corticosteroid Use With Metabolic Syndrome and Body Mass Index","volume":"102","author":[{"family":"Savas","given":"Mesut"},{"family":"Muka","given":"Taulant"},{"family":"Wester","given":"Vincent L"},{"family":"Van Den Akker","given":"Erica L T"},{"family":"Visser","given":"Jenny A"},{"family":"Braunstahl","given":"Gert-Jan"},{"family":"Slagter","given":"Sandra N"},{"family":"Wolffenbuttel","given":"Bruce H R"},{"family":"Franco","given":"Oscar H"},{"family":"Van Rossum","given":"Elisabeth F C"}],"issued":{"date-parts":[["2017",10,1]]}}}],"schema":"https://github.com/citation-style-language/schema/raw/master/csl-citation.json"} </w:instrText>
      </w:r>
      <w:r w:rsidR="000F56CB" w:rsidRPr="00586786">
        <w:rPr>
          <w:rFonts w:ascii="Arial" w:hAnsi="Arial" w:cs="Arial"/>
        </w:rPr>
        <w:fldChar w:fldCharType="separate"/>
      </w:r>
      <w:r w:rsidR="00386695" w:rsidRPr="00586786">
        <w:rPr>
          <w:rFonts w:ascii="Arial" w:hAnsi="Arial" w:cs="Arial"/>
          <w:noProof/>
        </w:rPr>
        <w:t>(49)</w:t>
      </w:r>
      <w:r w:rsidR="000F56CB" w:rsidRPr="00586786">
        <w:rPr>
          <w:rFonts w:ascii="Arial" w:hAnsi="Arial" w:cs="Arial"/>
        </w:rPr>
        <w:fldChar w:fldCharType="end"/>
      </w:r>
      <w:r w:rsidR="00A72BBA" w:rsidRPr="00586786">
        <w:rPr>
          <w:rFonts w:ascii="Arial" w:hAnsi="Arial" w:cs="Arial"/>
        </w:rPr>
        <w:t xml:space="preserve"> and</w:t>
      </w:r>
      <w:r w:rsidR="000F56CB" w:rsidRPr="00586786">
        <w:rPr>
          <w:rFonts w:ascii="Arial" w:hAnsi="Arial" w:cs="Arial"/>
        </w:rPr>
        <w:t xml:space="preserve"> body composition (total lean body mass and total body fat)</w:t>
      </w:r>
      <w:r w:rsidR="000F56CB" w:rsidRPr="00586786">
        <w:rPr>
          <w:rFonts w:ascii="Arial" w:hAnsi="Arial" w:cs="Arial"/>
        </w:rPr>
        <w:fldChar w:fldCharType="begin"/>
      </w:r>
      <w:r w:rsidR="00386695" w:rsidRPr="00586786">
        <w:rPr>
          <w:rFonts w:ascii="Arial" w:hAnsi="Arial" w:cs="Arial"/>
        </w:rPr>
        <w:instrText xml:space="preserve"> ADDIN ZOTERO_ITEM CSL_CITATION {"citationID":"txi9xMZz","properties":{"formattedCitation":"(42)","plainCitation":"(42)","noteIndex":0},"citationItems":[{"id":4222,"uris":["http://zotero.org/users/13605431/items/UZEYIUGK"],"itemData":{"id":4222,"type":"article-journal","abstract":"OBJECTIVE To evaluate the safety of abiraterone acetate with 4 glucocorticoid regimens. DESIGN, SETTING, AND PARTICIPANTS Open-label, randomized clinical trial (1:1:1:1) of 164 men with mCRPC from 22 hospitals in 5 countries who were randomly assigned to 1 of 4 intervention groups between June 2013 and October 2014. Analyses were conducted from August 2017 to June 2018. INTERVENTIONS Abiraterone acetate, 1000 mg, once daily with prednisone, 5 mg, twice daily (n = 41), 5 mg once daily (n = 41), 2.5 mg twice daily (n = 40), or dexamethasone, 0.5 mg, once daily (n = 42). MAIN OUTCOMES AND MEASURES Primary end point was no mineralocorticoid excess (grade </w:instrText>
      </w:r>
      <w:r w:rsidR="00386695" w:rsidRPr="00586786">
        <w:rPr>
          <w:rFonts w:ascii="Tahoma" w:hAnsi="Tahoma" w:cs="Tahoma"/>
        </w:rPr>
        <w:instrText>Ն</w:instrText>
      </w:r>
      <w:r w:rsidR="00386695" w:rsidRPr="00586786">
        <w:rPr>
          <w:rFonts w:ascii="Arial" w:hAnsi="Arial" w:cs="Arial"/>
        </w:rPr>
        <w:instrText xml:space="preserve">1 hypokalemia or grade </w:instrText>
      </w:r>
      <w:r w:rsidR="00386695" w:rsidRPr="00586786">
        <w:rPr>
          <w:rFonts w:ascii="Tahoma" w:hAnsi="Tahoma" w:cs="Tahoma"/>
        </w:rPr>
        <w:instrText>Ն</w:instrText>
      </w:r>
      <w:r w:rsidR="00386695" w:rsidRPr="00586786">
        <w:rPr>
          <w:rFonts w:ascii="Arial" w:hAnsi="Arial" w:cs="Arial"/>
        </w:rPr>
        <w:instrText xml:space="preserve">2 hypertension) through 24 weeks (6 cycles) from treatment.\nRESULTS Of 164 men (median [range] age, 70 [50-90] years) randomized to receive abiraterone acetate, 1000 mg, daily with prednisone, 5 mg, twice daily, once daily, or 2.5 mg twice daily, or dexamethasone, 0.5 mg, once daily, 24 (70.6%) of 34 patients (95% CI, 53.8%-83.2%), 14 (36.8%) of 38 patients (95% CI, 23.4%-52.7%), 21 (60.0%) of 35 patients (95% CI, 43.6%-74.4%), and 26 (70.3%) of 37 patients (95% CI, 54.2%-82.5%), respectively, had no mineralocorticoid excess. Plasma adrenocorticotrophic hormone and urinary mineralocorticoid metabolites after 8 weeks were higher with prednisone, 2.5 mg, twice daily and 5 mg once daily than with 5 mg twice daily or dexamethasone, 0.5 mg, once daily. The level of urinary glucocorticoid metabolites appeared higher in patients who did not meet the primary end point, regardless of glucocorticoid regimen. Total lean body mass decreased in the prednisone groups and total body fat increased in the prednisone, 5 mg, twice daily and dexamethasone groups. In the dexamethasone group, there was an increase in serum insulin and homeostatic model assessment of insulin resistance, while total bone mineral density decreased. In the prednisone, 5 mg, twice daily, 5 mg once daily, 2.5 mg twice daily, and dexamethasone groups, median radiographic progression-free survival was 18.5, 15.3, 12.8, and 26.6 months, respectively.\nCONCLUSIONS AND RELEVANCE Abiraterone acetate with prednisone, 5 mg, twice daily or dexamethasone, 0.5 mg, once daily met the prespecified threshold for the primary end point (95% CI excluded 50% mineralocorticoid excess); abiraterone acetate with prednisone, 5 mg, once daily or 2.5 mg twice daily did not meet the threshold. Abiraterone acetate in combination with dexamethasone appeared to be particularly active but may be associated with adverse metabolic consequences.","container-title":"JAMA Oncology","DOI":"10.1001/jamaoncol.2019.1011","ISSN":"2374-2437","issue":"8","journalAbbreviation":"JAMA Oncol","language":"en","page":"1159","source":"DOI.org (Crossref)","title":"Assessment of the Safety of Glucocorticoid Regimens in Combination With Abiraterone Acetate for Metastatic Castration-Resistant Prostate Cancer: A Randomized, Open-label Phase 2 Study","title-short":"Assessment of the Safety of Glucocorticoid Regimens in Combination With Abiraterone Acetate for Metastatic Castration-Resistant Prostate Cancer","volume":"5","author":[{"family":"Attard","given":"Gerhardt"},{"family":"Merseburger","given":"Axel S"},{"family":"Arlt","given":"Wiebke"},{"family":"Sternberg","given":"Cora N"},{"family":"Feyerabend","given":"Susan"},{"family":"Berruti","given":"Alfredo"},{"family":"Joniau","given":"Steven"},{"family":"Géczi","given":"Lajos"},{"family":"Lefresne","given":"Florence"},{"family":"Lahaye","given":"Marjolein"},{"family":"Shelby","given":"Florence Nave"},{"family":"Pissart","given":"Geneviève"},{"family":"Chua","given":"Sue"},{"family":"Jones","given":"Robert J"},{"family":"Tombal","given":"Bertrand"}],"issued":{"date-parts":[["2019",8,1]]}}}],"schema":"https://github.com/citation-style-language/schema/raw/master/csl-citation.json"} </w:instrText>
      </w:r>
      <w:r w:rsidR="000F56CB" w:rsidRPr="00586786">
        <w:rPr>
          <w:rFonts w:ascii="Arial" w:hAnsi="Arial" w:cs="Arial"/>
        </w:rPr>
        <w:fldChar w:fldCharType="separate"/>
      </w:r>
      <w:r w:rsidR="00386695" w:rsidRPr="00586786">
        <w:rPr>
          <w:rFonts w:ascii="Arial" w:hAnsi="Arial" w:cs="Arial"/>
          <w:noProof/>
        </w:rPr>
        <w:t>(42)</w:t>
      </w:r>
      <w:r w:rsidR="000F56CB" w:rsidRPr="00586786">
        <w:rPr>
          <w:rFonts w:ascii="Arial" w:hAnsi="Arial" w:cs="Arial"/>
        </w:rPr>
        <w:fldChar w:fldCharType="end"/>
      </w:r>
      <w:r w:rsidR="000F56CB" w:rsidRPr="00586786">
        <w:rPr>
          <w:rFonts w:ascii="Arial" w:hAnsi="Arial" w:cs="Arial"/>
        </w:rPr>
        <w:t xml:space="preserve"> were all assessed in a single study each. In the final study, weight change was collected by a retrospective case note review</w:t>
      </w:r>
      <w:r w:rsidR="000F56CB" w:rsidRPr="00586786">
        <w:rPr>
          <w:rFonts w:ascii="Arial" w:hAnsi="Arial" w:cs="Arial"/>
        </w:rPr>
        <w:fldChar w:fldCharType="begin"/>
      </w:r>
      <w:r w:rsidR="00386695" w:rsidRPr="00586786">
        <w:rPr>
          <w:rFonts w:ascii="Arial" w:hAnsi="Arial" w:cs="Arial"/>
        </w:rPr>
        <w:instrText xml:space="preserve"> ADDIN ZOTERO_ITEM CSL_CITATION {"citationID":"QknUI0OY","properties":{"formattedCitation":"(85)","plainCitation":"(85)","noteIndex":0},"citationItems":[{"id":4261,"uris":["http://zotero.org/users/13605431/items/WCP22P8Q"],"itemData":{"id":4261,"type":"article-journal","container-title":"Thorax","DOI":"10.1136/thx.23.6.571","ISSN":"0040-6376","issue":"6","journalAbbreviation":"Thorax","language":"en","page":"571-581","source":"DOI.org (Crossref)","title":"Incidence of serious complications of corticosteroid therapy in respiratory disease: A retrospective survey of patients in the Brompton Hospital","title-short":"Incidence of serious complications of corticosteroid therapy in respiratory disease","volume":"23","author":[{"family":"Smyllie","given":"H. C."},{"family":"Connolly","given":"C. K."}],"issued":{"date-parts":[["1968",11,1]]}}}],"schema":"https://github.com/citation-style-language/schema/raw/master/csl-citation.json"} </w:instrText>
      </w:r>
      <w:r w:rsidR="000F56CB" w:rsidRPr="00586786">
        <w:rPr>
          <w:rFonts w:ascii="Arial" w:hAnsi="Arial" w:cs="Arial"/>
        </w:rPr>
        <w:fldChar w:fldCharType="separate"/>
      </w:r>
      <w:r w:rsidR="00386695" w:rsidRPr="00586786">
        <w:rPr>
          <w:rFonts w:ascii="Arial" w:hAnsi="Arial" w:cs="Arial"/>
          <w:noProof/>
        </w:rPr>
        <w:t>(85)</w:t>
      </w:r>
      <w:r w:rsidR="000F56CB" w:rsidRPr="00586786">
        <w:rPr>
          <w:rFonts w:ascii="Arial" w:hAnsi="Arial" w:cs="Arial"/>
        </w:rPr>
        <w:fldChar w:fldCharType="end"/>
      </w:r>
      <w:r w:rsidR="000F56CB" w:rsidRPr="00586786">
        <w:rPr>
          <w:rFonts w:ascii="Arial" w:hAnsi="Arial" w:cs="Arial"/>
        </w:rPr>
        <w:t xml:space="preserve">. </w:t>
      </w:r>
      <w:r w:rsidR="00B72518" w:rsidRPr="00586786">
        <w:rPr>
          <w:rFonts w:ascii="Arial" w:hAnsi="Arial" w:cs="Arial"/>
        </w:rPr>
        <w:t xml:space="preserve">AIRD patient populations were included in </w:t>
      </w:r>
      <w:r w:rsidR="00274241" w:rsidRPr="00586786">
        <w:rPr>
          <w:rFonts w:ascii="Arial" w:hAnsi="Arial" w:cs="Arial"/>
        </w:rPr>
        <w:t>seven</w:t>
      </w:r>
      <w:r w:rsidR="00B72518" w:rsidRPr="00586786">
        <w:rPr>
          <w:rFonts w:ascii="Arial" w:hAnsi="Arial" w:cs="Arial"/>
        </w:rPr>
        <w:t xml:space="preserve"> studies, non-AIRD populations in </w:t>
      </w:r>
      <w:r w:rsidR="00274241" w:rsidRPr="00586786">
        <w:rPr>
          <w:rFonts w:ascii="Arial" w:hAnsi="Arial" w:cs="Arial"/>
        </w:rPr>
        <w:t>six</w:t>
      </w:r>
      <w:r w:rsidR="00B72518" w:rsidRPr="00586786">
        <w:rPr>
          <w:rFonts w:ascii="Arial" w:hAnsi="Arial" w:cs="Arial"/>
        </w:rPr>
        <w:t xml:space="preserve"> studies, unrestricted patient population in three studies and undefined in one study. </w:t>
      </w:r>
      <w:r w:rsidR="004D2C10" w:rsidRPr="00586786">
        <w:rPr>
          <w:rFonts w:ascii="Arial" w:hAnsi="Arial" w:cs="Arial"/>
        </w:rPr>
        <w:t xml:space="preserve">GCs </w:t>
      </w:r>
      <w:r w:rsidR="00E908E1" w:rsidRPr="00586786">
        <w:rPr>
          <w:rFonts w:ascii="Arial" w:hAnsi="Arial" w:cs="Arial"/>
        </w:rPr>
        <w:t xml:space="preserve">were delivered systemically in 15 studies, via an inhaled route in </w:t>
      </w:r>
      <w:r w:rsidR="00A72BBA" w:rsidRPr="00586786">
        <w:rPr>
          <w:rFonts w:ascii="Arial" w:hAnsi="Arial" w:cs="Arial"/>
        </w:rPr>
        <w:t xml:space="preserve">four </w:t>
      </w:r>
      <w:r w:rsidR="00E908E1" w:rsidRPr="00586786">
        <w:rPr>
          <w:rFonts w:ascii="Arial" w:hAnsi="Arial" w:cs="Arial"/>
        </w:rPr>
        <w:t xml:space="preserve">studies, and additionally via topical, intranasal, ocular, ontological, intestinal, haemorrhoidal, local oral and gynaecological in a single study. The route of administration was not specified in </w:t>
      </w:r>
      <w:r w:rsidR="004C2AA9" w:rsidRPr="00586786">
        <w:rPr>
          <w:rFonts w:ascii="Arial" w:hAnsi="Arial" w:cs="Arial"/>
        </w:rPr>
        <w:t>one</w:t>
      </w:r>
      <w:r w:rsidR="00E908E1" w:rsidRPr="00586786">
        <w:rPr>
          <w:rFonts w:ascii="Arial" w:hAnsi="Arial" w:cs="Arial"/>
        </w:rPr>
        <w:t xml:space="preserve"> study. </w:t>
      </w:r>
      <w:r w:rsidR="00A72BBA" w:rsidRPr="00586786">
        <w:rPr>
          <w:rFonts w:ascii="Arial" w:hAnsi="Arial" w:cs="Arial"/>
        </w:rPr>
        <w:t>Three</w:t>
      </w:r>
      <w:r w:rsidR="00E908E1" w:rsidRPr="00586786">
        <w:rPr>
          <w:rFonts w:ascii="Arial" w:hAnsi="Arial" w:cs="Arial"/>
        </w:rPr>
        <w:t xml:space="preserve"> of the included studies were development papers for the selected instrument</w:t>
      </w:r>
      <w:r w:rsidR="00E53E67" w:rsidRPr="00586786">
        <w:rPr>
          <w:rFonts w:ascii="Arial" w:hAnsi="Arial" w:cs="Arial"/>
        </w:rPr>
        <w:t xml:space="preserve">. Sixteen included studies measured change over time, three measured </w:t>
      </w:r>
      <w:proofErr w:type="gramStart"/>
      <w:r w:rsidR="001D7065" w:rsidRPr="00586786">
        <w:rPr>
          <w:rFonts w:ascii="Arial" w:hAnsi="Arial" w:cs="Arial"/>
        </w:rPr>
        <w:t>value</w:t>
      </w:r>
      <w:proofErr w:type="gramEnd"/>
      <w:r w:rsidR="001D7065" w:rsidRPr="00586786">
        <w:rPr>
          <w:rFonts w:ascii="Arial" w:hAnsi="Arial" w:cs="Arial"/>
        </w:rPr>
        <w:t xml:space="preserve"> at a single time point</w:t>
      </w:r>
      <w:r w:rsidR="00E53E67" w:rsidRPr="00586786">
        <w:rPr>
          <w:rFonts w:ascii="Arial" w:hAnsi="Arial" w:cs="Arial"/>
        </w:rPr>
        <w:t xml:space="preserve">. </w:t>
      </w:r>
    </w:p>
    <w:p w14:paraId="3ED88216" w14:textId="45E69343" w:rsidR="00AD2518" w:rsidRPr="00586786" w:rsidRDefault="00AD2518" w:rsidP="00586786">
      <w:pPr>
        <w:spacing w:line="360" w:lineRule="auto"/>
        <w:rPr>
          <w:rFonts w:ascii="Arial" w:hAnsi="Arial" w:cs="Arial"/>
        </w:rPr>
      </w:pPr>
      <w:r w:rsidRPr="00586786">
        <w:rPr>
          <w:rFonts w:ascii="Arial" w:hAnsi="Arial" w:cs="Arial"/>
        </w:rPr>
        <w:t xml:space="preserve"> </w:t>
      </w:r>
    </w:p>
    <w:p w14:paraId="0DEF6417" w14:textId="71472A5E" w:rsidR="00C74AE4" w:rsidRPr="00586786" w:rsidRDefault="00E0194E" w:rsidP="00586786">
      <w:pPr>
        <w:spacing w:line="360" w:lineRule="auto"/>
        <w:rPr>
          <w:rFonts w:ascii="Arial" w:hAnsi="Arial" w:cs="Arial"/>
          <w:i/>
          <w:iCs/>
        </w:rPr>
      </w:pPr>
      <w:r w:rsidRPr="00586786">
        <w:rPr>
          <w:rFonts w:ascii="Arial" w:hAnsi="Arial" w:cs="Arial"/>
          <w:i/>
          <w:iCs/>
        </w:rPr>
        <w:t>3.</w:t>
      </w:r>
      <w:r w:rsidR="00246CA8" w:rsidRPr="00586786">
        <w:rPr>
          <w:rFonts w:ascii="Arial" w:hAnsi="Arial" w:cs="Arial"/>
          <w:i/>
          <w:iCs/>
        </w:rPr>
        <w:t>6</w:t>
      </w:r>
      <w:r w:rsidRPr="00586786">
        <w:rPr>
          <w:rFonts w:ascii="Arial" w:hAnsi="Arial" w:cs="Arial"/>
          <w:i/>
          <w:iCs/>
        </w:rPr>
        <w:t xml:space="preserve">.6 </w:t>
      </w:r>
      <w:r w:rsidR="00C74AE4" w:rsidRPr="00586786">
        <w:rPr>
          <w:rFonts w:ascii="Arial" w:hAnsi="Arial" w:cs="Arial"/>
          <w:i/>
          <w:iCs/>
        </w:rPr>
        <w:t>Fatigue</w:t>
      </w:r>
    </w:p>
    <w:p w14:paraId="6A24EA14" w14:textId="6E62C94F" w:rsidR="00C74AE4" w:rsidRPr="00586786" w:rsidRDefault="0024365F" w:rsidP="00586786">
      <w:pPr>
        <w:spacing w:line="360" w:lineRule="auto"/>
        <w:rPr>
          <w:rFonts w:ascii="Arial" w:hAnsi="Arial" w:cs="Arial"/>
        </w:rPr>
      </w:pPr>
      <w:r w:rsidRPr="00586786">
        <w:rPr>
          <w:rFonts w:ascii="Arial" w:hAnsi="Arial" w:cs="Arial"/>
        </w:rPr>
        <w:lastRenderedPageBreak/>
        <w:t xml:space="preserve">No </w:t>
      </w:r>
      <w:proofErr w:type="spellStart"/>
      <w:r w:rsidR="00280A76" w:rsidRPr="00586786">
        <w:rPr>
          <w:rFonts w:ascii="Arial" w:hAnsi="Arial" w:cs="Arial"/>
        </w:rPr>
        <w:t>ClinROs</w:t>
      </w:r>
      <w:proofErr w:type="spellEnd"/>
      <w:r w:rsidR="00280A76" w:rsidRPr="00586786">
        <w:rPr>
          <w:rFonts w:ascii="Arial" w:hAnsi="Arial" w:cs="Arial"/>
        </w:rPr>
        <w:t xml:space="preserve"> </w:t>
      </w:r>
      <w:r w:rsidR="00B661AB" w:rsidRPr="00586786">
        <w:rPr>
          <w:rFonts w:ascii="Arial" w:hAnsi="Arial" w:cs="Arial"/>
        </w:rPr>
        <w:t>measuring</w:t>
      </w:r>
      <w:r w:rsidRPr="00586786">
        <w:rPr>
          <w:rFonts w:ascii="Arial" w:hAnsi="Arial" w:cs="Arial"/>
        </w:rPr>
        <w:t xml:space="preserve"> the presence </w:t>
      </w:r>
      <w:r w:rsidR="0023036F" w:rsidRPr="00586786">
        <w:rPr>
          <w:rFonts w:ascii="Arial" w:hAnsi="Arial" w:cs="Arial"/>
        </w:rPr>
        <w:t xml:space="preserve">or impact </w:t>
      </w:r>
      <w:r w:rsidRPr="00586786">
        <w:rPr>
          <w:rFonts w:ascii="Arial" w:hAnsi="Arial" w:cs="Arial"/>
        </w:rPr>
        <w:t>of fatigue</w:t>
      </w:r>
      <w:r w:rsidR="00AE09EE" w:rsidRPr="00586786">
        <w:rPr>
          <w:rFonts w:ascii="Arial" w:hAnsi="Arial" w:cs="Arial"/>
        </w:rPr>
        <w:t xml:space="preserve"> in </w:t>
      </w:r>
      <w:r w:rsidR="00323041" w:rsidRPr="00586786">
        <w:rPr>
          <w:rFonts w:ascii="Arial" w:hAnsi="Arial" w:cs="Arial"/>
        </w:rPr>
        <w:t>the included population</w:t>
      </w:r>
      <w:r w:rsidR="00280A76" w:rsidRPr="00586786">
        <w:rPr>
          <w:rFonts w:ascii="Arial" w:hAnsi="Arial" w:cs="Arial"/>
        </w:rPr>
        <w:t xml:space="preserve"> were identified</w:t>
      </w:r>
      <w:r w:rsidRPr="00586786">
        <w:rPr>
          <w:rFonts w:ascii="Arial" w:hAnsi="Arial" w:cs="Arial"/>
        </w:rPr>
        <w:t xml:space="preserve">. </w:t>
      </w:r>
    </w:p>
    <w:p w14:paraId="1A131457" w14:textId="77777777" w:rsidR="0024365F" w:rsidRPr="00586786" w:rsidRDefault="0024365F" w:rsidP="00586786">
      <w:pPr>
        <w:spacing w:line="360" w:lineRule="auto"/>
        <w:rPr>
          <w:rFonts w:ascii="Arial" w:hAnsi="Arial" w:cs="Arial"/>
        </w:rPr>
      </w:pPr>
    </w:p>
    <w:p w14:paraId="7BA33FFD" w14:textId="1E26E645" w:rsidR="00C74AE4" w:rsidRPr="00586786" w:rsidRDefault="00E0194E" w:rsidP="00586786">
      <w:pPr>
        <w:spacing w:line="360" w:lineRule="auto"/>
        <w:rPr>
          <w:rFonts w:ascii="Arial" w:hAnsi="Arial" w:cs="Arial"/>
          <w:i/>
          <w:iCs/>
        </w:rPr>
      </w:pPr>
      <w:r w:rsidRPr="00586786">
        <w:rPr>
          <w:rFonts w:ascii="Arial" w:hAnsi="Arial" w:cs="Arial"/>
          <w:i/>
          <w:iCs/>
        </w:rPr>
        <w:t>3.</w:t>
      </w:r>
      <w:r w:rsidR="00246CA8" w:rsidRPr="00586786">
        <w:rPr>
          <w:rFonts w:ascii="Arial" w:hAnsi="Arial" w:cs="Arial"/>
          <w:i/>
          <w:iCs/>
        </w:rPr>
        <w:t>6</w:t>
      </w:r>
      <w:r w:rsidRPr="00586786">
        <w:rPr>
          <w:rFonts w:ascii="Arial" w:hAnsi="Arial" w:cs="Arial"/>
          <w:i/>
          <w:iCs/>
        </w:rPr>
        <w:t xml:space="preserve">.7 </w:t>
      </w:r>
      <w:r w:rsidR="00C74AE4" w:rsidRPr="00586786">
        <w:rPr>
          <w:rFonts w:ascii="Arial" w:hAnsi="Arial" w:cs="Arial"/>
          <w:i/>
          <w:iCs/>
        </w:rPr>
        <w:t>Mood disturbance</w:t>
      </w:r>
    </w:p>
    <w:p w14:paraId="137D18FD" w14:textId="787FEF50" w:rsidR="00C74AE4" w:rsidRPr="00586786" w:rsidRDefault="00E058AC" w:rsidP="00586786">
      <w:pPr>
        <w:spacing w:line="360" w:lineRule="auto"/>
        <w:rPr>
          <w:rFonts w:ascii="Arial" w:hAnsi="Arial" w:cs="Arial"/>
        </w:rPr>
      </w:pPr>
      <w:r w:rsidRPr="00586786">
        <w:rPr>
          <w:rFonts w:ascii="Arial" w:hAnsi="Arial" w:cs="Arial"/>
        </w:rPr>
        <w:t xml:space="preserve">Ten individual measurement tools were identified from 14 studies to assess mood disturbance as a </w:t>
      </w:r>
      <w:proofErr w:type="spellStart"/>
      <w:r w:rsidR="004D2C10" w:rsidRPr="00586786">
        <w:rPr>
          <w:rFonts w:ascii="Arial" w:hAnsi="Arial" w:cs="Arial"/>
        </w:rPr>
        <w:t>ClinRO</w:t>
      </w:r>
      <w:proofErr w:type="spellEnd"/>
      <w:r w:rsidRPr="00586786">
        <w:rPr>
          <w:rFonts w:ascii="Arial" w:hAnsi="Arial" w:cs="Arial"/>
        </w:rPr>
        <w:t xml:space="preserve">, displayed in </w:t>
      </w:r>
      <w:r w:rsidR="00A72BBA" w:rsidRPr="00586786">
        <w:rPr>
          <w:rFonts w:ascii="Arial" w:hAnsi="Arial" w:cs="Arial"/>
        </w:rPr>
        <w:t>T</w:t>
      </w:r>
      <w:r w:rsidRPr="00586786">
        <w:rPr>
          <w:rFonts w:ascii="Arial" w:hAnsi="Arial" w:cs="Arial"/>
        </w:rPr>
        <w:t xml:space="preserve">able 8. The most frequently used instrument was the GTI (n=9) </w:t>
      </w:r>
      <w:r w:rsidRPr="00586786">
        <w:rPr>
          <w:rFonts w:ascii="Arial" w:hAnsi="Arial" w:cs="Arial"/>
        </w:rPr>
        <w:fldChar w:fldCharType="begin"/>
      </w:r>
      <w:r w:rsidR="00386695" w:rsidRPr="00586786">
        <w:rPr>
          <w:rFonts w:ascii="Arial" w:hAnsi="Arial" w:cs="Arial"/>
        </w:rPr>
        <w:instrText xml:space="preserve"> ADDIN ZOTERO_ITEM CSL_CITATION {"citationID":"sHT41s3N","properties":{"formattedCitation":"(10,14,17,21,25,28,30,32,33)","plainCitation":"(10,14,17,21,25,28,30,32,33)","noteIndex":0},"citationItems":[{"id":3829,"uris":["http://zotero.org/users/13605431/items/MXWPBSJM"],"itemData":{"id":3829,"type":"article-journal","abstract":"Objectives To develop a Glucocorticoid Toxicity Index (GTI) to assess glucocorticoid (GC)-related morbidity and GC-sparing ability of other therapies.\nMethods Nineteen experts on GC use and outcome measures from 11 subspecialties participated. Ten experts were from the USA; nine from Canada, Europe or Australia. Group consensus methods and multicriteria decision analysis (MCDA) were used. A Composite GTI and Speciﬁc List comprise the overall GTI. The Composite GTI reﬂects toxicity likely to change during a clinical trial. The Composite GTI toxicities occur commonly, vary with GC exposure, and are weighted and scored. Relative weights for items in the Composite GTI were derived by group consensus and MCDA. The Speciﬁc List is designed to capture GC toxicity not included in the Composite GTI. The Composite GTI was evaluated by application to paper cases by the investigators and an external group of 17 subspecialists.\nResults Thirty-one toxicity items were included in the Composite GTI and 23 in the Speciﬁc List. Composite GTI evaluation showed high inter-rater agreement (investigators κ 0.88, external raters κ 0.90). To assess the degree to which the Composite GTI corresponds to expert clinical judgement, participants ranked 15 cases by clinical judgement in order of highest to lowest GC toxicity. Expert rankings were then compared with case ranking by the Composite GTI, yielding excellent agreement (investigators weighted κ 0.87, external raters weighted κ 0.77).\nConclusions We describe the development and initial evaluation of a comprehensive instrument for the assessment of GC toxicity.","container-title":"Annals of the Rheumatic Diseases","DOI":"10.1136/annrheumdis-2016-210002","ISSN":"0003-4967, 1468-2060","issue":"3","journalAbbreviation":"Ann Rheum Dis","language":"en","page":"543-546","source":"DOI.org (Crossref)","title":"Development of a Glucocorticoid Toxicity Index (GTI) using multicriteria decision analysis","volume":"76","author":[{"family":"Miloslavsky","given":"Eli M"},{"family":"Naden","given":"Ray P"},{"family":"Bijlsma","given":"Johannes W J"},{"family":"Brogan","given":"Paul A"},{"family":"Brown","given":"E Sherwood"},{"family":"Brunetta","given":"Paul"},{"family":"Buttgereit","given":"Frank"},{"family":"Choi","given":"Hyon K"},{"family":"DiCaire","given":"Jean-Francois"},{"family":"Gelfand","given":"Jeffrey M"},{"family":"Heaney","given":"Liam G"},{"family":"Lightstone","given":"Liz"},{"family":"Lu","given":"Na"},{"family":"Murrell","given":"Dedee F"},{"family":"Petri","given":"Michelle"},{"family":"Rosenbaum","given":"James T"},{"family":"Saag","given":"Kenneth S"},{"family":"Urowitz","given":"Murray B"},{"family":"Winthrop","given":"Kevin L"},{"family":"Stone","given":"John H"}],"issued":{"date-parts":[["2017",3]]}}},{"id":4278,"uris":["http://zotero.org/users/13605431/items/6IN5QNZX"],"itemData":{"id":4278,"type":"article-journal","abstract":"Objective: The glucocorticoid toxicity index (GTI) is developed to measure glucocorticoid (GC)-related morbidity over time. This study aimed to assess GC-toxicity in patients at a rheumatology outpatient clinic by using the GTI and to identify the factors that interfere with the GTI.\nMethods: This prospective study included patients with inflammatory arthritis (IA), connective tissue disease and vasculitis who were newly pre­ scribed GC-treatment (GC-naive) or have been still on GC-treatment for ≤2 years (GC-experienced). Patient demographics and disease characteristics, aggregate improvement score (GTI-AIS), cumulative worsening score (GTI-CWS) and cumulative GC-doses were recorded at baseline, 3rd month and 6th month. Generalized estimating equations (GEE) were used to evaluate the GTI scores and associated factors including cumulative GC-doses.\nResults: The study included 156 (48.7% GC-naive) patients with a mean age of 49.1 ± 17.1 years. More than half of the patients in both groups had a diagnosis of vasculitis. A higher cumulative GC-dose was found to be associated with higher GTI-scores in both groups (P &lt; 0.001). In the GC-naive group, patients with vasculitis showed higher GTI-scores than IA patients (P &lt; 0.001); there was also a significant increase in the GTICWS at the 6th month compared with the 3rd month. In the GC-experienced group, GTI-AIS and GTI-CWS were significantly different at 3rd and 6th month (P &lt; 0.05).\nConclusion: It was shown that GTI scores were associated with cumulative GC-doses and vasculitis patients in the GC-naive patients had higher GTI scores than inflammatory arthritis. The GTI allows individualized assessment and management of adverse effects experienced by patients as a result of GC treatment.","container-title":"Rheumatology","DOI":"10.1093/rheumatology/keae288","ISSN":"1462-0324, 1462-0332","language":"en","license":"https://creativecommons.org/licenses/by-nc/4.0/","page":"1-9","source":"DOI.org (Crossref)","title":"Prospective assessment of glucocorticoid toxicity in rheumatology practice: a focus on the glucocorticoid toxicity index","title-short":"Prospective assessment of glucocorticoid toxicity in rheumatology practice","volume":"00","author":[{"family":"Bahap-Kara","given":"Melda"},{"family":"Sariyildiz","given":"Emine"},{"family":"Zengin","given":"Hatice Yagmur"},{"family":"Karadag","given":"Omer"},{"family":"Bayraktar-Ekincioglu","given":"Aygin"}],"issued":{"date-parts":[["2024",5,23]]}}},{"id":4255,"uris":["http://zotero.org/users/13605431/items/HCYTL9WH"],"itemData":{"id":4255,"type":"article-journal","abstract":"Background The ADVOCATE trial, in which the complement C5a receptor inhibitor avacopan was compared with a standard prednisone taper in patients with antineutrophil cytoplasmic antibody (ANCA)-associated vasculitis, used the Glucocorticoid Toxicity Index (GTI) to measure glucocorticoid toxicity change. We set out to do a post-hoc analysis of the ADVOCATE data to evaluate changes in individual GTI domains and their ability to differentiate treatment groups.","container-title":"The Lancet Rheumatology","DOI":"10.1016/S2665-9913(23)00030-9","ISSN":"26659913","issue":"3","journalAbbreviation":"The Lancet Rheumatology","language":"en","page":"e130-e138","source":"DOI.org (Crossref)","title":"Glucocorticoid Toxicity Index scores by domain in patients with antineutrophil cytoplasmic antibody-associated vasculitis treated with avacopan versus standard prednisone taper: post-hoc analysis of data from the ADVOCATE trial","title-short":"Glucocorticoid Toxicity Index scores by domain in patients with antineutrophil cytoplasmic antibody-associated vasculitis treated with avacopan versus standard prednisone taper","volume":"5","author":[{"family":"Patel","given":"Naomi J"},{"family":"Jayne","given":"David R W"},{"family":"Merkel","given":"Peter A"},{"family":"Bekker","given":"Pirow"},{"family":"Zhang","given":"Yuqing"},{"family":"Yue","given":"Huibin"},{"family":"Stone","given":"John H"}],"issued":{"date-parts":[["2023",3]]}}},{"id":4248,"uris":["http://zotero.org/users/13605431/items/D7I46I5P"],"itemData":{"id":4248,"type":"article-journal","abstract":"Objective: Lupus nephritis (LN) is often treated with high doses of glucocorticoids (GCs). The glucocorticoid toxicity index (GTI) was developed by expert consensus to quantify GC toxicity. To date, the GTI has not been shown to correlate with GC exposure in patients with LN.\nMethods: We performed a retrospective cohort study of patients with biopsy-conﬁrmed LN between 2006 and 2016. Cumulative GC exposure and GTI scores were determined via medical record review. Both the aggregate improvement score (GTI-AIS) and the cumulative worsening score (GTI-CWS) were calculated. We performed linear regression to determine the association between GC exposure and GTI scores at 1 year and 5 years following kidney biopsy.\nResults: This study included 49 patients with a mean age of 33.3 (SD 9.5) years. Mean GC exposure was 23.0 mg prednisone-equivalents per day through year 1 and 9.9 mg prednisone-equivalents per day through year 5. At 5 years, higher GC exposure was associated with higher GTI-AIS (p &lt; 0.001) and GTI-CWS (p = 0.002), and this association persisted in multivariate analysis adjusting for age, sex, race, induction medication, and nephritis class (p = 0.026 for AIS, p = 0.012 for CWS). At 1 year, GC exposure was not associated with GTI scores (p = 0.70 for AIS; p = 0.58 for CWS).\nConclusion: In this cohort study, the GTI was associated with cumulative steroid exposure at 5 years after diagnosis. In patients with LN, the GTI may serve as a useful outcome measure in future LN trials evaluating the steroid sparing effect of novel therapies.","container-title":"Lupus","DOI":"10.1177/09612033231160969","ISSN":"0961-2033, 1477-0962","issue":"4","journalAbbreviation":"Lupus","language":"en","page":"565-570","source":"DOI.org (Crossref)","title":"Estimating glucocorticoid-related morbidity in lupus nephritis using the glucocorticoid toxicity index","volume":"32","author":[{"family":"Usiskin","given":"Ilana M"},{"family":"Kyttaris","given":"Vasileios C"}],"issued":{"date-parts":[["2023",4]]}}},{"id":4256,"uris":["http://zotero.org/users/13605431/items/76LWVHJK"],"itemData":{"id":4256,"type":"article-journal","abstract":"Background Reduction in glucocorticoid exposure is the primary benefit of new biologic treatments in severe asthma, but there is currently no evidence that reduction in glucocorticoid exposure corresponds to a proportionate reduction in associated toxicity.\nObjectives To use the validated Glucocorticoid Toxicity Index (GTI) to assess change in glucocorticoid toxicity after 12 months treatment with mepolizumab, and compare toxicity change to glucocorticoid reduction and change in patient-reported outcome measures (PROMs).\nMethods A longitudinal, real-world prospective cohort of 101 consecutive patients with severe asthma commenced on mepolizumab in a specialist UK regional severe asthma clinic. GTI toxicity assessment, cumulative glucocorticoid exposure and PROMs were recorded on commencing mepolizumab (V1), and after 12 months treatment (V2).\nResults There was significant reduction in oral glucocorticoid exposure (V1 median 4280 mg prednisolone per year (interquartile range 3083–5475 mg) versus V2 2450 mg prednisolone per year (1243–3360 mg), p&lt;0.001). Substantial improvements in individual toxicities were observed, but did not correlate with oral glucocorticoid reduction. Mean±SD GTI aggregate improvement score (AIS) was −35.7±57.8 with a wide range in toxicity change at individual patient level (AIS range −165 to +130); 70% (71 out of 101) had a reduction in toxicity (AIS &lt;0); 3% (three out of 101) had no change (AIS=0); and 27% (27 out of 101) an increase in overall toxicity. 62% (62 out of 101) of patients met the AIS minimally clinically important difference of </w:instrText>
      </w:r>
      <w:r w:rsidR="00386695" w:rsidRPr="00586786">
        <w:rPr>
          <w:rFonts w:ascii="Cambria Math" w:hAnsi="Cambria Math" w:cs="Cambria Math"/>
        </w:rPr>
        <w:instrText>⩽</w:instrText>
      </w:r>
      <w:r w:rsidR="00386695" w:rsidRPr="00586786">
        <w:rPr>
          <w:rFonts w:ascii="Arial" w:hAnsi="Arial" w:cs="Arial"/>
        </w:rPr>
        <w:instrText>−10, but AIS did not correlate with glucocorticoid reduction or change in PROMs.\nConclusion Mepolizumab resulted in substantial oral glucocorticoid reduction, but this did not correlate with reduction in oral glucocorticoid toxicity, which varies widely at the individual patient level. Oral glucocorticoid reduction is not a comprehensive measure of response to mepolizumab.","container-title":"European Respiratory Journal","DOI":"10.1183/13993003.00160-2021","ISSN":"0903-1936, 1399-3003","issue":"1","journalAbbreviation":"Eur Respir J","language":"en","page":"2100160","source":"DOI.org (Crossref)","title":"Glucocorticoid toxicity reduction with mepolizumab using the Glucocorticoid Toxicity Index","volume":"59","author":[{"family":"McDowell","given":"P. Jane"},{"family":"Stone","given":"John H."},{"family":"Zhang","given":"Yuqing"},{"family":"Honeyford","given":"Kirsty"},{"family":"Dunn","given":"Louise"},{"family":"Logan","given":"R. Jayne"},{"family":"McGarvey","given":"Lorcan P.A."},{"family":"Butler","given":"Claire A."},{"family":"Heaney","given":"Liam G."}],"issued":{"date-parts":[["2022",1]]}}},{"id":4197,"uris":["http://zotero.org/users/13605431/items/7SSBXYTK"],"itemData":{"id":4197,"type":"article-journal","abstract":"Rituximab (RTX) combined with short-term glucocorticoids (GC) is an effective therapeutic option for pemphigus. The newly developed Glucocorticoid Toxicity Index (GTI) tool provides the possibility to measure GC toxicities over time. To compare 1-year GTI between two groups of RTX-treated and RTX-naïve patients with pemphigus. The responsiveness of the GTI was also investigated. A prospective cohort of 129 adults with newly diagnosed pemphigus was conducted. GC-related toxicities were assessed at 3-month intervals according to Composite and Specific lists of the GTI. Of the patients, 76.7% (n = 99) received RTX. Throughout the time intervals, RTX-treated patients had lower GTI compared to RTX-naïve ones (p = 0.036). The mean GTI at 1-year was 34.3 in the RTX-treated group and 50.8 in the RTX-naïve group (p = 0.04). The most commonly observed GC-related toxicity was neuropsychiatric manifestations for 34% (224 events). The relapse rate of RTX-treated patients (1%) was significantly lower than RTX-naïve patients (10%) (p = 0.037). The GTI showed no correlation with cumulative GC consumption in both groups (p &gt; 0.05, both). Patients treated with GC alone had remarkably higher GTI than patients treated with GC plus RTX. The GTI is an applicable tool to quantitatively capture GC toxicities at the patient level in pemphigus.","container-title":"Dermatologic Therapy","DOI":"10.1111/dth.15902","ISSN":"1396-0296, 1529-8019","issue":"12","journalAbbreviation":"Dermatologic Therapy","language":"en","source":"DOI.org (Crossref)","title":"Applicability of glucocorticoid toxicity index in pemphigus: Comparison between two groups of rituximab</w:instrText>
      </w:r>
      <w:r w:rsidR="00386695" w:rsidRPr="00586786">
        <w:rPr>
          <w:rFonts w:ascii="Cambria Math" w:hAnsi="Cambria Math" w:cs="Cambria Math"/>
        </w:rPr>
        <w:instrText>‐</w:instrText>
      </w:r>
      <w:r w:rsidR="00386695" w:rsidRPr="00586786">
        <w:rPr>
          <w:rFonts w:ascii="Arial" w:hAnsi="Arial" w:cs="Arial"/>
        </w:rPr>
        <w:instrText>treated and rituximab</w:instrText>
      </w:r>
      <w:r w:rsidR="00386695" w:rsidRPr="00586786">
        <w:rPr>
          <w:rFonts w:ascii="Cambria Math" w:hAnsi="Cambria Math" w:cs="Cambria Math"/>
        </w:rPr>
        <w:instrText>‐</w:instrText>
      </w:r>
      <w:r w:rsidR="00386695" w:rsidRPr="00586786">
        <w:rPr>
          <w:rFonts w:ascii="Arial" w:hAnsi="Arial" w:cs="Arial"/>
        </w:rPr>
        <w:instrText xml:space="preserve">naïve patients","title-short":"Applicability of glucocorticoid toxicity index in pemphigus","volume":"35","author":[{"family":"Mazaherpour","given":"Elham"},{"family":"Kianfar","given":"Nika"},{"family":"Dasdar","given":"Shayan"},{"family":"Sedaghat","given":"Mojtaba"},{"family":"Seyrafi","given":"Hassan"},{"family":"Balighi","given":"Kamran"},{"family":"Saberi","given":"Fatemeh"},{"family":"Nili","given":"Ali"},{"family":"Farimani","given":"Zeinab"},{"family":"Azar","given":"Pedram Molhem"},{"family":"Mahmoodi","given":"Hamidreza"},{"family":"Murrell","given":"Dedee F."},{"family":"Daneshpazhooh","given":"Maryam"}],"issued":{"date-parts":[["2022",12]]}}},{"id":4250,"uris":["http://zotero.org/users/13605431/items/8TE8S274"],"itemData":{"id":4250,"type":"article-journal","abstract":"Background: Glucocorticoids are the mainstay of treatment for autoimmune blistering diseases (AIBDs). The Glucocorticoid Toxicity Index (GTI) is a novel, outcome-based glucocorticoid-induced adverse effects monitoring instrument.\nObjective: To investigate whether the GTI score was able to accurately quantify the glucocorticoid-induced toxicity in patients with AIBDs.\nMethods: The prospective cohort study included patients with conﬁrmed diagnoses of AIBDs (group1, currently receiving glucocorticoids; and group 2, had glucocorticoids ceased earlier). Data were collected minimally at baseline (V1) and 3 months (V2). Further data from patients who were able to complete the follow-up visits at 6 months (V3) and 12 months (V4) amid the COVID-19 pandemic were also included. GTI scores were calculated after data collection.\nResults: Analysis of data from V1 and V2 found a linear correlation between GTI score and prednisone doses (P \\.05) and a significant difference in GTI scores between group1 and group 2 (P \\.05). Data from V3 and V4 suggested that GTI scores continued to rise progressively alongside increasing cumulative prednisone dose. Limitations: Small sample size, further exacerbated by the COVID-19 pandemic. Single-center study.\nConclusion: The GTI sensitively and speciﬁcally captured the changes in glucocorticoids toxicity over time among patients with AIBDs. The GTI could be a feasible tool that can be used in future clinical trials as a glucocorticoid-induced toxicity outcome measure. ( JAAD Int 2022;6:68-76.)","container-title":"JAAD International","DOI":"10.1016/j.jdin.2021.09.003","ISSN":"26663287","journalAbbreviation":"JAAD International","language":"en","page":"68-76","source":"DOI.org (Crossref)","title":"Evaluation of the toxicity of glucocorticoids in patients with autoimmune blistering disease using the Glucocorticoid Toxicity Index: A cohort study","title-short":"Evaluation of the toxicity of glucocorticoids in patients with autoimmune blistering disease using the Glucocorticoid Toxicity Index","volume":"6","author":[{"family":"Liang","given":"Yicong"},{"family":"Zeng","given":"Faith A.P."},{"family":"Sheriff","given":"Tabrez"},{"family":"Wilson","given":"Anna"},{"family":"Bilgic","given":"Asli"},{"family":"Feng","given":"Grant"},{"family":"Stone","given":"John H."},{"family":"Murrell","given":"Dedee F."}],"issued":{"date-parts":[["2022",3]]}}},{"id":4254,"uris":["http://zotero.org/users/13605431/items/NVRDHTQW"],"itemData":{"id":4254,"type":"article-journal","abstract":"Background ANCA-associated vasculitis (AAV) is an autoimmune disease. Induction remission and maintenance treatment typically includes high-dose, tapering glucocorticoids (GC), in addition to other immunosuppressive medication. The use of theGlucocorticoid Toxicity Index (GTI) provides a global, quantiﬁable assessment tool in which clinicians can assess GC-associated morbidity. Recent trials in AAV have exposed the need for systemic assessment of GC burden. In this small cohort study, we look to address these issues and the justiﬁcation of newer GC sparing agents, such as C5a inhibitors.\nMethods A retrospective cohort study of 43 patients with biopsy AAV was constructed from a single center between 2012–2016, and followed up for 48 months. The GTI table made up of adverse features was used to quantify patients’ GC toxicity. Electronic patient records were reviewed and scores calculated according to published methods. GTI scores were compared with cumulative steroid doses at separate intervals and incidences of adverse features in relation to the treatment timeline.\nResults The mean age was 65.9 (611.06) years and treatment regimens consisted of glucocorticoids alongside cyclophosphamide or rituximab. Our results showed statistical signiﬁcance in the association of cumulative GC doses and GTI scores (P50.008; 95% CI, 1.31 to 8.05). Adverse features relating to mood disturbance and GC-induced psychosis occurred early, in contrast to adrenal insufﬁciency, which typically presented later in the follow-up. Infection-related adverse events were consistent throughout.\nConclusions We demonstrated that higher cumulative doses of steroids in AAV lead to worse glucocorticoidrelated toxicity. Using the GTI creates the potential to individualize and quantify the adverse effects patients experience as a result of GC treatment and permits more patient-centered management. Although glucocorticoids remain the main adjunctive immunosuppression of AAV treatment, the narrow therapeutic window supports the need for GC-sparing treatments. KIDNEY360 2: 1002–1010, 2021. doi: https://doi.org/10.34067/KID.0000502021","container-title":"Kidney360","DOI":"10.34067/KID.0000502021","ISSN":"2641-7650","issue":"6","journalAbbreviation":"Kidney360","language":"en","page":"1002-1010","source":"DOI.org (Crossref)","title":"Glucocorticoid Therapy in ANCA Vasculitis: Using the Glucocorticoid Toxicity Index as an Outcome Measure","title-short":"Glucocorticoid Therapy in ANCA Vasculitis","volume":"2","author":[{"family":"Floyd","given":"Lauren"},{"family":"Morris","given":"Adam"},{"family":"Joshi","given":"Miland"},{"family":"Dhaygude","given":"Ajay"}],"issued":{"date-parts":[["2021",6]]}}},{"id":4279,"uris":["http://zotero.org/users/13605431/items/WI98FPDS"],"itemData":{"id":4279,"type":"article-journal","container-title":"The Journal of Allergy and Clinical Immunology: In Practice","DOI":"10.1016/j.jaip.2020.08.032","ISSN":"22132198","issue":"1","journalAbbreviation":"The Journal of Allergy and Clinical Immunology: In Practice","language":"en","page":"365-372.e5","source":"DOI.org (Crossref)","title":"Quantification of Glucocorticoid-Associated Morbidity in Severe Asthma Using the Glucocorticoid Toxicity Index","volume":"9","author":[{"family":"McDowell","given":"P. Jane"},{"family":"Stone","given":"John H."},{"family":"Zhang","given":"Yuqing"},{"family":"Honeyford","given":"Kirsty"},{"family":"Dunn","given":"Louise"},{"family":"Logan","given":"R. Jayne"},{"family":"Butler","given":"Claire A."},{"family":"McGarvey","given":"Lorcan P.A."},{"family":"Heaney","given":"Liam G."}],"issued":{"date-parts":[["2021",1]]}}}],"schema":"https://github.com/citation-style-language/schema/raw/master/csl-citation.json"} </w:instrText>
      </w:r>
      <w:r w:rsidRPr="00586786">
        <w:rPr>
          <w:rFonts w:ascii="Arial" w:hAnsi="Arial" w:cs="Arial"/>
        </w:rPr>
        <w:fldChar w:fldCharType="separate"/>
      </w:r>
      <w:r w:rsidR="00386695" w:rsidRPr="00586786">
        <w:rPr>
          <w:rFonts w:ascii="Arial" w:hAnsi="Arial" w:cs="Arial"/>
          <w:noProof/>
        </w:rPr>
        <w:t>(10,14,17,21,25,28,30,32,33)</w:t>
      </w:r>
      <w:r w:rsidRPr="00586786">
        <w:rPr>
          <w:rFonts w:ascii="Arial" w:hAnsi="Arial" w:cs="Arial"/>
        </w:rPr>
        <w:fldChar w:fldCharType="end"/>
      </w:r>
      <w:r w:rsidRPr="00586786">
        <w:rPr>
          <w:rFonts w:ascii="Arial" w:hAnsi="Arial" w:cs="Arial"/>
        </w:rPr>
        <w:t>. Other candidate instruments were the</w:t>
      </w:r>
      <w:r w:rsidR="009C41EA" w:rsidRPr="00586786">
        <w:rPr>
          <w:rFonts w:ascii="Arial" w:hAnsi="Arial" w:cs="Arial"/>
        </w:rPr>
        <w:t xml:space="preserve"> Brief Psychiatric Rating Scale (18 item) (n=2)</w:t>
      </w:r>
      <w:r w:rsidR="009C41EA" w:rsidRPr="00586786">
        <w:rPr>
          <w:rFonts w:ascii="Arial" w:hAnsi="Arial" w:cs="Arial"/>
        </w:rPr>
        <w:fldChar w:fldCharType="begin"/>
      </w:r>
      <w:r w:rsidR="00386695" w:rsidRPr="00586786">
        <w:rPr>
          <w:rFonts w:ascii="Arial" w:hAnsi="Arial" w:cs="Arial"/>
        </w:rPr>
        <w:instrText xml:space="preserve"> ADDIN ZOTERO_ITEM CSL_CITATION {"citationID":"UjN7OCnM","properties":{"formattedCitation":"(69,74)","plainCitation":"(69,74)","noteIndex":0},"citationItems":[{"id":4217,"uris":["http://zotero.org/users/13605431/items/UTXNNGTJ"],"itemData":{"id":4217,"type":"article-journal","abstract":"Background: Corticosteroids have been used for many years for inflammatory diseases. Mood changes are common during short-term, high-dose, corticosteroid therapy. Virtually no data are available on the mood effects of long-term corticosteroid therapy.\nObjective: To evaluate mood during corticosteroid therapy using standard clinician-rated and patient-rated measures.\nMethods: Outpatients receiving prednisone therapy (7.5 mg/d for 6 months) and similar controls were enrolled. Current mood was evaluated using the Hamilton Rating Scale for Depression (HRSD), Young Mania Rating Scale (YMRS), Brief Psychiatric Rating Scale (BPRS), Internal State Scale (ISS), and a diagnostic interview.\nResults: Twenty patients and 14 controls were enrolled in the study. Depressive symptom severity as evaluated by the HRSD and ISS depression and well-being subscales and global psychiatric symptom severity as evaluated by the BPRS and ISS perceived conflict subscale were greater in patients receiving prednisone than controls. Manic symptom severity as evaluated by the ISS activation subscale but not the YMRS was higher in patients receiving prednisone. Twelve (60%) of 20 corticosteroidtreated patients met diagnostic criteria for a lifetime prednisone-induced mood disorder. Activation subscale scores did not correlate with YMRS scores. Other ISS subscales showed expected correlations with clinician-rated assessments.\nConclusions: Mood symptoms and disorders are common in corticosteroid-dependent patients. Unlike short-term prednisone therapy, long-term therapy may be more associated with depressive than manic symptoms based on the clinician-rated assessments. The ISS may be more sensitive to mood symptoms with prednisone than clinician-rated scales.","container-title":"Annals of Allergy, Asthma &amp; Immunology","DOI":"10.1016/S1081-1206(10)61756-5","ISSN":"10811206","issue":"5","journalAbbreviation":"Annals of Allergy, Asthma &amp; Immunology","language":"en","license":"https://www.elsevier.com/tdm/userlicense/1.0/","page":"500-505","source":"DOI.org (Crossref)","title":"Assessment of mood states in patients receiving long-term corticosteroid therapy and in controls with patient-rated and clinician-rated scales","volume":"92","author":[{"family":"Bolanos","given":"Sandra H."},{"family":"Khan","given":"David A."},{"family":"Hanczyc","given":"Margaret"},{"family":"Bauer","given":"Mark S."},{"family":"Dhanani","given":"Nafisa"},{"family":"Brown","given":"E.S."}],"issued":{"date-parts":[["2004",5]]}}},{"id":4233,"uris":["http://zotero.org/users/13605431/items/E5HFXVCS"],"itemData":{"id":4233,"type":"article-journal","abstract":"Mood symptoms are reported frequently in asthma patients, particularly during corticosteroid therapy. This investigation compared the Internal State Scale (ISS), a selfreport measure of symptoms of mania and depression, to the Hamilton Rating Scale for Depression (HRSD), Young Mania Rating Scale (YMRS), and Brief Psychiatric Rating Scale (BPRS) in a group of asthma patients (nϭ60 at baseline) before, during, and after a 1–2 week burst of prednisone. The depression and well being subscales of the ISS correlated well with HDRS scores. The perceived conflict subscale correlated with the BPRS scores. However, none of the ISS subscales correlated consistently and specifically with the YMRS in this population. Possible explanations for differences observed in bipolar versus asthma patients given the ISS are discussed. These data suggest the ISS may be a useful tool for depression symptoms and overall psychopathology in asthma patients and in patients receiving corticosteroid therapy. However, its ability may be attenuated outside of the population for which it was designed. © 2000 Elsevier Science Inc.","container-title":"General Hospital Psychiatry","DOI":"10.1016/S0163-8343(00)00075-X","ISSN":"01638343","issue":"3","journalAbbreviation":"General Hospital Psychiatry","language":"en","license":"https://www.elsevier.com/tdm/userlicense/1.0/","page":"180-183","source":"DOI.org (Crossref)","title":"Comparison of the internal state scale to clinician-administered scales in asthma patients receiving corticosteroid therapy","volume":"22","author":[{"family":"Brown","given":"E.Sherwood"},{"family":"Bauer","given":"Mark S"},{"family":"Suppes","given":"Trisha"},{"family":"Khan","given":"David A"},{"family":"Carmody","given":"Thomas"}],"issued":{"date-parts":[["2000",5]]}}}],"schema":"https://github.com/citation-style-language/schema/raw/master/csl-citation.json"} </w:instrText>
      </w:r>
      <w:r w:rsidR="009C41EA" w:rsidRPr="00586786">
        <w:rPr>
          <w:rFonts w:ascii="Arial" w:hAnsi="Arial" w:cs="Arial"/>
        </w:rPr>
        <w:fldChar w:fldCharType="separate"/>
      </w:r>
      <w:r w:rsidR="00386695" w:rsidRPr="00586786">
        <w:rPr>
          <w:rFonts w:ascii="Arial" w:hAnsi="Arial" w:cs="Arial"/>
          <w:noProof/>
        </w:rPr>
        <w:t>(69,74)</w:t>
      </w:r>
      <w:r w:rsidR="009C41EA" w:rsidRPr="00586786">
        <w:rPr>
          <w:rFonts w:ascii="Arial" w:hAnsi="Arial" w:cs="Arial"/>
        </w:rPr>
        <w:fldChar w:fldCharType="end"/>
      </w:r>
      <w:r w:rsidR="009C41EA" w:rsidRPr="00586786">
        <w:rPr>
          <w:rFonts w:ascii="Arial" w:hAnsi="Arial" w:cs="Arial"/>
        </w:rPr>
        <w:t>, Young Mania Rating Scale (n=2)</w:t>
      </w:r>
      <w:r w:rsidR="009C41EA" w:rsidRPr="00586786">
        <w:rPr>
          <w:rFonts w:ascii="Arial" w:hAnsi="Arial" w:cs="Arial"/>
        </w:rPr>
        <w:fldChar w:fldCharType="begin"/>
      </w:r>
      <w:r w:rsidR="00386695" w:rsidRPr="00586786">
        <w:rPr>
          <w:rFonts w:ascii="Arial" w:hAnsi="Arial" w:cs="Arial"/>
        </w:rPr>
        <w:instrText xml:space="preserve"> ADDIN ZOTERO_ITEM CSL_CITATION {"citationID":"8M4XJTBX","properties":{"formattedCitation":"(69,74)","plainCitation":"(69,74)","noteIndex":0},"citationItems":[{"id":4217,"uris":["http://zotero.org/users/13605431/items/UTXNNGTJ"],"itemData":{"id":4217,"type":"article-journal","abstract":"Background: Corticosteroids have been used for many years for inflammatory diseases. Mood changes are common during short-term, high-dose, corticosteroid therapy. Virtually no data are available on the mood effects of long-term corticosteroid therapy.\nObjective: To evaluate mood during corticosteroid therapy using standard clinician-rated and patient-rated measures.\nMethods: Outpatients receiving prednisone therapy (7.5 mg/d for 6 months) and similar controls were enrolled. Current mood was evaluated using the Hamilton Rating Scale for Depression (HRSD), Young Mania Rating Scale (YMRS), Brief Psychiatric Rating Scale (BPRS), Internal State Scale (ISS), and a diagnostic interview.\nResults: Twenty patients and 14 controls were enrolled in the study. Depressive symptom severity as evaluated by the HRSD and ISS depression and well-being subscales and global psychiatric symptom severity as evaluated by the BPRS and ISS perceived conflict subscale were greater in patients receiving prednisone than controls. Manic symptom severity as evaluated by the ISS activation subscale but not the YMRS was higher in patients receiving prednisone. Twelve (60%) of 20 corticosteroidtreated patients met diagnostic criteria for a lifetime prednisone-induced mood disorder. Activation subscale scores did not correlate with YMRS scores. Other ISS subscales showed expected correlations with clinician-rated assessments.\nConclusions: Mood symptoms and disorders are common in corticosteroid-dependent patients. Unlike short-term prednisone therapy, long-term therapy may be more associated with depressive than manic symptoms based on the clinician-rated assessments. The ISS may be more sensitive to mood symptoms with prednisone than clinician-rated scales.","container-title":"Annals of Allergy, Asthma &amp; Immunology","DOI":"10.1016/S1081-1206(10)61756-5","ISSN":"10811206","issue":"5","journalAbbreviation":"Annals of Allergy, Asthma &amp; Immunology","language":"en","license":"https://www.elsevier.com/tdm/userlicense/1.0/","page":"500-505","source":"DOI.org (Crossref)","title":"Assessment of mood states in patients receiving long-term corticosteroid therapy and in controls with patient-rated and clinician-rated scales","volume":"92","author":[{"family":"Bolanos","given":"Sandra H."},{"family":"Khan","given":"David A."},{"family":"Hanczyc","given":"Margaret"},{"family":"Bauer","given":"Mark S."},{"family":"Dhanani","given":"Nafisa"},{"family":"Brown","given":"E.S."}],"issued":{"date-parts":[["2004",5]]}}},{"id":4233,"uris":["http://zotero.org/users/13605431/items/E5HFXVCS"],"itemData":{"id":4233,"type":"article-journal","abstract":"Mood symptoms are reported frequently in asthma patients, particularly during corticosteroid therapy. This investigation compared the Internal State Scale (ISS), a selfreport measure of symptoms of mania and depression, to the Hamilton Rating Scale for Depression (HRSD), Young Mania Rating Scale (YMRS), and Brief Psychiatric Rating Scale (BPRS) in a group of asthma patients (nϭ60 at baseline) before, during, and after a 1–2 week burst of prednisone. The depression and well being subscales of the ISS correlated well with HDRS scores. The perceived conflict subscale correlated with the BPRS scores. However, none of the ISS subscales correlated consistently and specifically with the YMRS in this population. Possible explanations for differences observed in bipolar versus asthma patients given the ISS are discussed. These data suggest the ISS may be a useful tool for depression symptoms and overall psychopathology in asthma patients and in patients receiving corticosteroid therapy. However, its ability may be attenuated outside of the population for which it was designed. © 2000 Elsevier Science Inc.","container-title":"General Hospital Psychiatry","DOI":"10.1016/S0163-8343(00)00075-X","ISSN":"01638343","issue":"3","journalAbbreviation":"General Hospital Psychiatry","language":"en","license":"https://www.elsevier.com/tdm/userlicense/1.0/","page":"180-183","source":"DOI.org (Crossref)","title":"Comparison of the internal state scale to clinician-administered scales in asthma patients receiving corticosteroid therapy","volume":"22","author":[{"family":"Brown","given":"E.Sherwood"},{"family":"Bauer","given":"Mark S"},{"family":"Suppes","given":"Trisha"},{"family":"Khan","given":"David A"},{"family":"Carmody","given":"Thomas"}],"issued":{"date-parts":[["2000",5]]}}}],"schema":"https://github.com/citation-style-language/schema/raw/master/csl-citation.json"} </w:instrText>
      </w:r>
      <w:r w:rsidR="009C41EA" w:rsidRPr="00586786">
        <w:rPr>
          <w:rFonts w:ascii="Arial" w:hAnsi="Arial" w:cs="Arial"/>
        </w:rPr>
        <w:fldChar w:fldCharType="separate"/>
      </w:r>
      <w:r w:rsidR="00386695" w:rsidRPr="00586786">
        <w:rPr>
          <w:rFonts w:ascii="Arial" w:hAnsi="Arial" w:cs="Arial"/>
          <w:noProof/>
        </w:rPr>
        <w:t>(69,74)</w:t>
      </w:r>
      <w:r w:rsidR="009C41EA" w:rsidRPr="00586786">
        <w:rPr>
          <w:rFonts w:ascii="Arial" w:hAnsi="Arial" w:cs="Arial"/>
        </w:rPr>
        <w:fldChar w:fldCharType="end"/>
      </w:r>
      <w:r w:rsidR="009C41EA" w:rsidRPr="00586786">
        <w:rPr>
          <w:rFonts w:ascii="Arial" w:hAnsi="Arial" w:cs="Arial"/>
        </w:rPr>
        <w:t>,</w:t>
      </w:r>
      <w:r w:rsidRPr="00586786">
        <w:rPr>
          <w:rFonts w:ascii="Arial" w:hAnsi="Arial" w:cs="Arial"/>
        </w:rPr>
        <w:t xml:space="preserve"> Hamilton rating scale for depression (17 item) (n=1)</w:t>
      </w:r>
      <w:r w:rsidR="009C41EA" w:rsidRPr="00586786">
        <w:rPr>
          <w:rFonts w:ascii="Arial" w:hAnsi="Arial" w:cs="Arial"/>
        </w:rPr>
        <w:fldChar w:fldCharType="begin"/>
      </w:r>
      <w:r w:rsidR="00386695" w:rsidRPr="00586786">
        <w:rPr>
          <w:rFonts w:ascii="Arial" w:hAnsi="Arial" w:cs="Arial"/>
        </w:rPr>
        <w:instrText xml:space="preserve"> ADDIN ZOTERO_ITEM CSL_CITATION {"citationID":"hGn51q2S","properties":{"formattedCitation":"(69)","plainCitation":"(69)","noteIndex":0},"citationItems":[{"id":4217,"uris":["http://zotero.org/users/13605431/items/UTXNNGTJ"],"itemData":{"id":4217,"type":"article-journal","abstract":"Background: Corticosteroids have been used for many years for inflammatory diseases. Mood changes are common during short-term, high-dose, corticosteroid therapy. Virtually no data are available on the mood effects of long-term corticosteroid therapy.\nObjective: To evaluate mood during corticosteroid therapy using standard clinician-rated and patient-rated measures.\nMethods: Outpatients receiving prednisone therapy (7.5 mg/d for 6 months) and similar controls were enrolled. Current mood was evaluated using the Hamilton Rating Scale for Depression (HRSD), Young Mania Rating Scale (YMRS), Brief Psychiatric Rating Scale (BPRS), Internal State Scale (ISS), and a diagnostic interview.\nResults: Twenty patients and 14 controls were enrolled in the study. Depressive symptom severity as evaluated by the HRSD and ISS depression and well-being subscales and global psychiatric symptom severity as evaluated by the BPRS and ISS perceived conflict subscale were greater in patients receiving prednisone than controls. Manic symptom severity as evaluated by the ISS activation subscale but not the YMRS was higher in patients receiving prednisone. Twelve (60%) of 20 corticosteroidtreated patients met diagnostic criteria for a lifetime prednisone-induced mood disorder. Activation subscale scores did not correlate with YMRS scores. Other ISS subscales showed expected correlations with clinician-rated assessments.\nConclusions: Mood symptoms and disorders are common in corticosteroid-dependent patients. Unlike short-term prednisone therapy, long-term therapy may be more associated with depressive than manic symptoms based on the clinician-rated assessments. The ISS may be more sensitive to mood symptoms with prednisone than clinician-rated scales.","container-title":"Annals of Allergy, Asthma &amp; Immunology","DOI":"10.1016/S1081-1206(10)61756-5","ISSN":"10811206","issue":"5","journalAbbreviation":"Annals of Allergy, Asthma &amp; Immunology","language":"en","license":"https://www.elsevier.com/tdm/userlicense/1.0/","page":"500-505","source":"DOI.org (Crossref)","title":"Assessment of mood states in patients receiving long-term corticosteroid therapy and in controls with patient-rated and clinician-rated scales","volume":"92","author":[{"family":"Bolanos","given":"Sandra H."},{"family":"Khan","given":"David A."},{"family":"Hanczyc","given":"Margaret"},{"family":"Bauer","given":"Mark S."},{"family":"Dhanani","given":"Nafisa"},{"family":"Brown","given":"E.S."}],"issued":{"date-parts":[["2004",5]]}}}],"schema":"https://github.com/citation-style-language/schema/raw/master/csl-citation.json"} </w:instrText>
      </w:r>
      <w:r w:rsidR="009C41EA" w:rsidRPr="00586786">
        <w:rPr>
          <w:rFonts w:ascii="Arial" w:hAnsi="Arial" w:cs="Arial"/>
        </w:rPr>
        <w:fldChar w:fldCharType="separate"/>
      </w:r>
      <w:r w:rsidR="00386695" w:rsidRPr="00586786">
        <w:rPr>
          <w:rFonts w:ascii="Arial" w:hAnsi="Arial" w:cs="Arial"/>
          <w:noProof/>
        </w:rPr>
        <w:t>(69)</w:t>
      </w:r>
      <w:r w:rsidR="009C41EA" w:rsidRPr="00586786">
        <w:rPr>
          <w:rFonts w:ascii="Arial" w:hAnsi="Arial" w:cs="Arial"/>
        </w:rPr>
        <w:fldChar w:fldCharType="end"/>
      </w:r>
      <w:r w:rsidRPr="00586786">
        <w:rPr>
          <w:rFonts w:ascii="Arial" w:hAnsi="Arial" w:cs="Arial"/>
        </w:rPr>
        <w:t>, Hamilton rating scale for depression (31 item) (n=1)</w:t>
      </w:r>
      <w:r w:rsidR="009C41EA" w:rsidRPr="00586786">
        <w:rPr>
          <w:rFonts w:ascii="Arial" w:hAnsi="Arial" w:cs="Arial"/>
        </w:rPr>
        <w:fldChar w:fldCharType="begin"/>
      </w:r>
      <w:r w:rsidR="00386695" w:rsidRPr="00586786">
        <w:rPr>
          <w:rFonts w:ascii="Arial" w:hAnsi="Arial" w:cs="Arial"/>
        </w:rPr>
        <w:instrText xml:space="preserve"> ADDIN ZOTERO_ITEM CSL_CITATION {"citationID":"b9kRTeIU","properties":{"formattedCitation":"(74)","plainCitation":"(74)","noteIndex":0},"citationItems":[{"id":4233,"uris":["http://zotero.org/users/13605431/items/E5HFXVCS"],"itemData":{"id":4233,"type":"article-journal","abstract":"Mood symptoms are reported frequently in asthma patients, particularly during corticosteroid therapy. This investigation compared the Internal State Scale (ISS), a selfreport measure of symptoms of mania and depression, to the Hamilton Rating Scale for Depression (HRSD), Young Mania Rating Scale (YMRS), and Brief Psychiatric Rating Scale (BPRS) in a group of asthma patients (nϭ60 at baseline) before, during, and after a 1–2 week burst of prednisone. The depression and well being subscales of the ISS correlated well with HDRS scores. The perceived conflict subscale correlated with the BPRS scores. However, none of the ISS subscales correlated consistently and specifically with the YMRS in this population. Possible explanations for differences observed in bipolar versus asthma patients given the ISS are discussed. These data suggest the ISS may be a useful tool for depression symptoms and overall psychopathology in asthma patients and in patients receiving corticosteroid therapy. However, its ability may be attenuated outside of the population for which it was designed. © 2000 Elsevier Science Inc.","container-title":"General Hospital Psychiatry","DOI":"10.1016/S0163-8343(00)00075-X","ISSN":"01638343","issue":"3","journalAbbreviation":"General Hospital Psychiatry","language":"en","license":"https://www.elsevier.com/tdm/userlicense/1.0/","page":"180-183","source":"DOI.org (Crossref)","title":"Comparison of the internal state scale to clinician-administered scales in asthma patients receiving corticosteroid therapy","volume":"22","author":[{"family":"Brown","given":"E.Sherwood"},{"family":"Bauer","given":"Mark S"},{"family":"Suppes","given":"Trisha"},{"family":"Khan","given":"David A"},{"family":"Carmody","given":"Thomas"}],"issued":{"date-parts":[["2000",5]]}}}],"schema":"https://github.com/citation-style-language/schema/raw/master/csl-citation.json"} </w:instrText>
      </w:r>
      <w:r w:rsidR="009C41EA" w:rsidRPr="00586786">
        <w:rPr>
          <w:rFonts w:ascii="Arial" w:hAnsi="Arial" w:cs="Arial"/>
        </w:rPr>
        <w:fldChar w:fldCharType="separate"/>
      </w:r>
      <w:r w:rsidR="00386695" w:rsidRPr="00586786">
        <w:rPr>
          <w:rFonts w:ascii="Arial" w:hAnsi="Arial" w:cs="Arial"/>
          <w:noProof/>
        </w:rPr>
        <w:t>(74)</w:t>
      </w:r>
      <w:r w:rsidR="009C41EA" w:rsidRPr="00586786">
        <w:rPr>
          <w:rFonts w:ascii="Arial" w:hAnsi="Arial" w:cs="Arial"/>
        </w:rPr>
        <w:fldChar w:fldCharType="end"/>
      </w:r>
      <w:r w:rsidRPr="00586786">
        <w:rPr>
          <w:rFonts w:ascii="Arial" w:hAnsi="Arial" w:cs="Arial"/>
        </w:rPr>
        <w:t xml:space="preserve">, structured clinical interview for </w:t>
      </w:r>
      <w:r w:rsidRPr="00586786">
        <w:rPr>
          <w:rFonts w:ascii="Arial" w:hAnsi="Arial" w:cs="Arial"/>
          <w:i/>
          <w:iCs/>
        </w:rPr>
        <w:t>Diagnostic and Statistical Manual of Mental Disorders (IV)</w:t>
      </w:r>
      <w:r w:rsidRPr="00586786">
        <w:rPr>
          <w:rFonts w:ascii="Arial" w:hAnsi="Arial" w:cs="Arial"/>
        </w:rPr>
        <w:t xml:space="preserve"> (n=1)</w:t>
      </w:r>
      <w:r w:rsidR="009C41EA" w:rsidRPr="00586786">
        <w:rPr>
          <w:rFonts w:ascii="Arial" w:hAnsi="Arial" w:cs="Arial"/>
        </w:rPr>
        <w:fldChar w:fldCharType="begin"/>
      </w:r>
      <w:r w:rsidR="00386695" w:rsidRPr="00586786">
        <w:rPr>
          <w:rFonts w:ascii="Arial" w:hAnsi="Arial" w:cs="Arial"/>
        </w:rPr>
        <w:instrText xml:space="preserve"> ADDIN ZOTERO_ITEM CSL_CITATION {"citationID":"L6eHS5Nj","properties":{"formattedCitation":"(69)","plainCitation":"(69)","noteIndex":0},"citationItems":[{"id":4217,"uris":["http://zotero.org/users/13605431/items/UTXNNGTJ"],"itemData":{"id":4217,"type":"article-journal","abstract":"Background: Corticosteroids have been used for many years for inflammatory diseases. Mood changes are common during short-term, high-dose, corticosteroid therapy. Virtually no data are available on the mood effects of long-term corticosteroid therapy.\nObjective: To evaluate mood during corticosteroid therapy using standard clinician-rated and patient-rated measures.\nMethods: Outpatients receiving prednisone therapy (7.5 mg/d for 6 months) and similar controls were enrolled. Current mood was evaluated using the Hamilton Rating Scale for Depression (HRSD), Young Mania Rating Scale (YMRS), Brief Psychiatric Rating Scale (BPRS), Internal State Scale (ISS), and a diagnostic interview.\nResults: Twenty patients and 14 controls were enrolled in the study. Depressive symptom severity as evaluated by the HRSD and ISS depression and well-being subscales and global psychiatric symptom severity as evaluated by the BPRS and ISS perceived conflict subscale were greater in patients receiving prednisone than controls. Manic symptom severity as evaluated by the ISS activation subscale but not the YMRS was higher in patients receiving prednisone. Twelve (60%) of 20 corticosteroidtreated patients met diagnostic criteria for a lifetime prednisone-induced mood disorder. Activation subscale scores did not correlate with YMRS scores. Other ISS subscales showed expected correlations with clinician-rated assessments.\nConclusions: Mood symptoms and disorders are common in corticosteroid-dependent patients. Unlike short-term prednisone therapy, long-term therapy may be more associated with depressive than manic symptoms based on the clinician-rated assessments. The ISS may be more sensitive to mood symptoms with prednisone than clinician-rated scales.","container-title":"Annals of Allergy, Asthma &amp; Immunology","DOI":"10.1016/S1081-1206(10)61756-5","ISSN":"10811206","issue":"5","journalAbbreviation":"Annals of Allergy, Asthma &amp; Immunology","language":"en","license":"https://www.elsevier.com/tdm/userlicense/1.0/","page":"500-505","source":"DOI.org (Crossref)","title":"Assessment of mood states in patients receiving long-term corticosteroid therapy and in controls with patient-rated and clinician-rated scales","volume":"92","author":[{"family":"Bolanos","given":"Sandra H."},{"family":"Khan","given":"David A."},{"family":"Hanczyc","given":"Margaret"},{"family":"Bauer","given":"Mark S."},{"family":"Dhanani","given":"Nafisa"},{"family":"Brown","given":"E.S."}],"issued":{"date-parts":[["2004",5]]}}}],"schema":"https://github.com/citation-style-language/schema/raw/master/csl-citation.json"} </w:instrText>
      </w:r>
      <w:r w:rsidR="009C41EA" w:rsidRPr="00586786">
        <w:rPr>
          <w:rFonts w:ascii="Arial" w:hAnsi="Arial" w:cs="Arial"/>
        </w:rPr>
        <w:fldChar w:fldCharType="separate"/>
      </w:r>
      <w:r w:rsidR="00386695" w:rsidRPr="00586786">
        <w:rPr>
          <w:rFonts w:ascii="Arial" w:hAnsi="Arial" w:cs="Arial"/>
          <w:noProof/>
        </w:rPr>
        <w:t>(69)</w:t>
      </w:r>
      <w:r w:rsidR="009C41EA" w:rsidRPr="00586786">
        <w:rPr>
          <w:rFonts w:ascii="Arial" w:hAnsi="Arial" w:cs="Arial"/>
        </w:rPr>
        <w:fldChar w:fldCharType="end"/>
      </w:r>
      <w:r w:rsidRPr="00586786">
        <w:rPr>
          <w:rFonts w:ascii="Arial" w:hAnsi="Arial" w:cs="Arial"/>
        </w:rPr>
        <w:t>, CTCAE (n=1)</w:t>
      </w:r>
      <w:r w:rsidR="009C41EA" w:rsidRPr="00586786">
        <w:rPr>
          <w:rFonts w:ascii="Arial" w:hAnsi="Arial" w:cs="Arial"/>
        </w:rPr>
        <w:fldChar w:fldCharType="begin"/>
      </w:r>
      <w:r w:rsidR="00386695" w:rsidRPr="00586786">
        <w:rPr>
          <w:rFonts w:ascii="Arial" w:hAnsi="Arial" w:cs="Arial"/>
        </w:rPr>
        <w:instrText xml:space="preserve"> ADDIN ZOTERO_ITEM CSL_CITATION {"citationID":"hb3mSyAm","properties":{"formattedCitation":"(51)","plainCitation":"(51)","noteIndex":0},"citationItems":[{"id":4300,"uris":["http://zotero.org/users/13605431/items/LT4WC3V8"],"itemData":{"id":4300,"type":"article-journal","abstract":"Purpose In brain tumours, brain metastases or advanced cancer; treatment with corticosteroids, side effects can add to symptoms. These are best assessed by patients, complementing clinical assessment. We assessed the feasibility and validity of the Dexamethasone Symptom Questionnaire–Chronic (DSQChronic), patient and caregiver versions.","container-title":"Supportive Care in Cancer","DOI":"10.1007/s00520-015-2897-0","ISSN":"0941-4355, 1433-7339","issue":"3","journalAbbreviation":"Support Care Cancer","language":"en","page":"1209-1218","source":"DOI.org (Crossref)","title":"Validating self-report and proxy reports of the Dexamethasone Symptom Questionnaire -Chronic for the evaluation of longer-term corticosteroid toxicity","volume":"24","author":[{"literal":"On behalf of the Cooperative Trials Group for Neuro-Oncology (COGNO)"},{"family":"Agar","given":"Meera"},{"family":"Koh","given":"Eng-Siew"},{"family":"Gibbs","given":"Emma"},{"family":"Barnes","given":"Elizabeth H."},{"family":"Hovey","given":"Elizabeth"},{"family":"Livingstone","given":"Ann"},{"family":"Sawkins","given":"Kate"},{"family":"Chye","given":"Richard"},{"family":"Lovell","given":"Melanie R."},{"family":"Clark","given":"Katherine"},{"family":"Vardy","given":"Janette"},{"family":"King","given":"Madeleine"}],"issued":{"date-parts":[["2016",3]]}}}],"schema":"https://github.com/citation-style-language/schema/raw/master/csl-citation.json"} </w:instrText>
      </w:r>
      <w:r w:rsidR="009C41EA" w:rsidRPr="00586786">
        <w:rPr>
          <w:rFonts w:ascii="Arial" w:hAnsi="Arial" w:cs="Arial"/>
        </w:rPr>
        <w:fldChar w:fldCharType="separate"/>
      </w:r>
      <w:r w:rsidR="00386695" w:rsidRPr="00586786">
        <w:rPr>
          <w:rFonts w:ascii="Arial" w:hAnsi="Arial" w:cs="Arial"/>
          <w:noProof/>
        </w:rPr>
        <w:t>(51)</w:t>
      </w:r>
      <w:r w:rsidR="009C41EA" w:rsidRPr="00586786">
        <w:rPr>
          <w:rFonts w:ascii="Arial" w:hAnsi="Arial" w:cs="Arial"/>
        </w:rPr>
        <w:fldChar w:fldCharType="end"/>
      </w:r>
      <w:r w:rsidRPr="00586786">
        <w:rPr>
          <w:rFonts w:ascii="Arial" w:hAnsi="Arial" w:cs="Arial"/>
        </w:rPr>
        <w:t xml:space="preserve">, WHO-UMC </w:t>
      </w:r>
      <w:r w:rsidR="00A72BBA" w:rsidRPr="00586786">
        <w:rPr>
          <w:rFonts w:ascii="Arial" w:hAnsi="Arial" w:cs="Arial"/>
        </w:rPr>
        <w:t xml:space="preserve">assessment scale </w:t>
      </w:r>
      <w:r w:rsidRPr="00586786">
        <w:rPr>
          <w:rFonts w:ascii="Arial" w:hAnsi="Arial" w:cs="Arial"/>
        </w:rPr>
        <w:t>(n=1), modified Hartwig and Seigel scale (n=1)</w:t>
      </w:r>
      <w:r w:rsidR="009C41EA" w:rsidRPr="00586786">
        <w:rPr>
          <w:rFonts w:ascii="Arial" w:hAnsi="Arial" w:cs="Arial"/>
        </w:rPr>
        <w:fldChar w:fldCharType="begin"/>
      </w:r>
      <w:r w:rsidR="00386695" w:rsidRPr="00586786">
        <w:rPr>
          <w:rFonts w:ascii="Arial" w:hAnsi="Arial" w:cs="Arial"/>
        </w:rPr>
        <w:instrText xml:space="preserve"> ADDIN ZOTERO_ITEM CSL_CITATION {"citationID":"EYrhOZMN","properties":{"formattedCitation":"(35)","plainCitation":"(35)","noteIndex":0},"citationItems":[{"id":4258,"uris":["http://zotero.org/users/13605431/items/XYYAUV82"],"itemData":{"id":4258,"type":"article-journal","abstract":"Glucocorticoids are used in therapy empirically, but undesirable effects occur with large doses or prolonged administration. The aim of the study is to assess the pattern of adverse drug reactions of glucocorticoids in a tertiary care hospital. A retrospective analysis of adverse drug reactions (ADRs) following administration of glucocorticoids was conducted in the ADR monitoring center, Department of Pharmacology, Kasturba Medical College, Manipal. Clinical and treatment data were collected from the patient case records in the suspected adverse drug reaction reporting form as per the World Health Organization guidelines.  ADRs were assessed for Causality, Preventability and Severity using WHO causality assessment scale, Modified Schumock and Thornton’s scale and Hartwig’s severity scale, respectively. 100 ADRs were observed in 85 patients, with 51% males and 49% females. Prednisolone (53%) was the most common drug responsible for ADRs, followed by betamethasone (9%) and dexamethasone (8%). Hyperglycemia (34%) was the most common ADR, followed by cutaneous adverse reactions (32%). Acne (20%) was common among them. Over 86% reactions were categorized \"possible\". Among ADRs (91%) treated, only 16 % recovered. About 39% of cases were \"probably preventable\". The majority of ADRs (72%) were moderate in “severity”. Given the number and severity of side effects, the institution of glucocorticoids requires careful consideration of the relative risks and benefits in each patient.","container-title":"International Journal of Research in Pharmaceutical Sciences","DOI":"10.26452/ijrps.v12i2.4748","ISSN":"0975-7538","issue":"2","journalAbbreviation":"ijrps","language":"en","license":"https://creativecommons.org/licenses/by-nc-nd/4.0","page":"1611-1619","source":"DOI.org (Crossref)","title":"Glucocorticoids: Boon or Bane-An assessment of safety profiling of steroids in a tertiary care hospital","title-short":"Glucocorticoids","volume":"12","author":[{"family":"Holla","given":"Sadhana"}],"issued":{"date-parts":[["2021",6,12]]}}}],"schema":"https://github.com/citation-style-language/schema/raw/master/csl-citation.json"} </w:instrText>
      </w:r>
      <w:r w:rsidR="009C41EA" w:rsidRPr="00586786">
        <w:rPr>
          <w:rFonts w:ascii="Arial" w:hAnsi="Arial" w:cs="Arial"/>
        </w:rPr>
        <w:fldChar w:fldCharType="separate"/>
      </w:r>
      <w:r w:rsidR="00386695" w:rsidRPr="00586786">
        <w:rPr>
          <w:rFonts w:ascii="Arial" w:hAnsi="Arial" w:cs="Arial"/>
          <w:noProof/>
        </w:rPr>
        <w:t>(35)</w:t>
      </w:r>
      <w:r w:rsidR="009C41EA" w:rsidRPr="00586786">
        <w:rPr>
          <w:rFonts w:ascii="Arial" w:hAnsi="Arial" w:cs="Arial"/>
        </w:rPr>
        <w:fldChar w:fldCharType="end"/>
      </w:r>
      <w:r w:rsidRPr="00586786">
        <w:rPr>
          <w:rFonts w:ascii="Arial" w:hAnsi="Arial" w:cs="Arial"/>
        </w:rPr>
        <w:t xml:space="preserve"> and a retrospective case note review (n=1)</w:t>
      </w:r>
      <w:r w:rsidR="009C41EA" w:rsidRPr="00586786">
        <w:rPr>
          <w:rFonts w:ascii="Arial" w:hAnsi="Arial" w:cs="Arial"/>
        </w:rPr>
        <w:fldChar w:fldCharType="begin"/>
      </w:r>
      <w:r w:rsidR="00386695" w:rsidRPr="00586786">
        <w:rPr>
          <w:rFonts w:ascii="Arial" w:hAnsi="Arial" w:cs="Arial"/>
        </w:rPr>
        <w:instrText xml:space="preserve"> ADDIN ZOTERO_ITEM CSL_CITATION {"citationID":"3szoVtf4","properties":{"formattedCitation":"(85)","plainCitation":"(85)","noteIndex":0},"citationItems":[{"id":4261,"uris":["http://zotero.org/users/13605431/items/WCP22P8Q"],"itemData":{"id":4261,"type":"article-journal","container-title":"Thorax","DOI":"10.1136/thx.23.6.571","ISSN":"0040-6376","issue":"6","journalAbbreviation":"Thorax","language":"en","page":"571-581","source":"DOI.org (Crossref)","title":"Incidence of serious complications of corticosteroid therapy in respiratory disease: A retrospective survey of patients in the Brompton Hospital","title-short":"Incidence of serious complications of corticosteroid therapy in respiratory disease","volume":"23","author":[{"family":"Smyllie","given":"H. C."},{"family":"Connolly","given":"C. K."}],"issued":{"date-parts":[["1968",11,1]]}}}],"schema":"https://github.com/citation-style-language/schema/raw/master/csl-citation.json"} </w:instrText>
      </w:r>
      <w:r w:rsidR="009C41EA" w:rsidRPr="00586786">
        <w:rPr>
          <w:rFonts w:ascii="Arial" w:hAnsi="Arial" w:cs="Arial"/>
        </w:rPr>
        <w:fldChar w:fldCharType="separate"/>
      </w:r>
      <w:r w:rsidR="00386695" w:rsidRPr="00586786">
        <w:rPr>
          <w:rFonts w:ascii="Arial" w:hAnsi="Arial" w:cs="Arial"/>
          <w:noProof/>
        </w:rPr>
        <w:t>(85)</w:t>
      </w:r>
      <w:r w:rsidR="009C41EA" w:rsidRPr="00586786">
        <w:rPr>
          <w:rFonts w:ascii="Arial" w:hAnsi="Arial" w:cs="Arial"/>
        </w:rPr>
        <w:fldChar w:fldCharType="end"/>
      </w:r>
      <w:r w:rsidRPr="00586786">
        <w:rPr>
          <w:rFonts w:ascii="Arial" w:hAnsi="Arial" w:cs="Arial"/>
        </w:rPr>
        <w:t>.</w:t>
      </w:r>
      <w:r w:rsidR="0029623C" w:rsidRPr="00586786">
        <w:rPr>
          <w:rFonts w:ascii="Arial" w:hAnsi="Arial" w:cs="Arial"/>
        </w:rPr>
        <w:t xml:space="preserve"> Included patient populations were AIRD patients (n=4), non-AIRD patients (n=5), unrestricted (n=3), unspecified (n=1) and both AIRD and non-AIRD patients (n=1). </w:t>
      </w:r>
      <w:r w:rsidR="004D2C10" w:rsidRPr="00586786">
        <w:rPr>
          <w:rFonts w:ascii="Arial" w:hAnsi="Arial" w:cs="Arial"/>
        </w:rPr>
        <w:t xml:space="preserve">GCs </w:t>
      </w:r>
      <w:r w:rsidR="009C41EA" w:rsidRPr="00586786">
        <w:rPr>
          <w:rFonts w:ascii="Arial" w:hAnsi="Arial" w:cs="Arial"/>
        </w:rPr>
        <w:t xml:space="preserve">were administered systemically in 13 studies, inhaled in three studies, topically in one study and not specified in one study. Two papers were development papers for the instrument included. </w:t>
      </w:r>
      <w:r w:rsidR="00E53E67" w:rsidRPr="00586786">
        <w:rPr>
          <w:rFonts w:ascii="Arial" w:hAnsi="Arial" w:cs="Arial"/>
        </w:rPr>
        <w:t xml:space="preserve">Fourteen studies assessed change over time with the selected instrument, five assessed </w:t>
      </w:r>
      <w:proofErr w:type="gramStart"/>
      <w:r w:rsidR="001D7065" w:rsidRPr="00586786">
        <w:rPr>
          <w:rFonts w:ascii="Arial" w:hAnsi="Arial" w:cs="Arial"/>
        </w:rPr>
        <w:t>value</w:t>
      </w:r>
      <w:proofErr w:type="gramEnd"/>
      <w:r w:rsidR="001D7065" w:rsidRPr="00586786">
        <w:rPr>
          <w:rFonts w:ascii="Arial" w:hAnsi="Arial" w:cs="Arial"/>
        </w:rPr>
        <w:t xml:space="preserve"> at a single time point</w:t>
      </w:r>
      <w:r w:rsidR="00E53E67" w:rsidRPr="00586786">
        <w:rPr>
          <w:rFonts w:ascii="Arial" w:hAnsi="Arial" w:cs="Arial"/>
        </w:rPr>
        <w:t>.</w:t>
      </w:r>
    </w:p>
    <w:p w14:paraId="3B2FCEB1" w14:textId="77777777" w:rsidR="00183541" w:rsidRPr="00586786" w:rsidRDefault="00183541" w:rsidP="00586786">
      <w:pPr>
        <w:spacing w:line="360" w:lineRule="auto"/>
        <w:rPr>
          <w:rFonts w:ascii="Arial" w:hAnsi="Arial" w:cs="Arial"/>
        </w:rPr>
      </w:pPr>
    </w:p>
    <w:p w14:paraId="111B38DD" w14:textId="57B4A2F2" w:rsidR="00C74AE4" w:rsidRPr="00586786" w:rsidRDefault="00E0194E" w:rsidP="00586786">
      <w:pPr>
        <w:spacing w:line="360" w:lineRule="auto"/>
        <w:rPr>
          <w:rFonts w:ascii="Arial" w:hAnsi="Arial" w:cs="Arial"/>
          <w:i/>
          <w:iCs/>
        </w:rPr>
      </w:pPr>
      <w:r w:rsidRPr="00586786">
        <w:rPr>
          <w:rFonts w:ascii="Arial" w:hAnsi="Arial" w:cs="Arial"/>
          <w:i/>
          <w:iCs/>
        </w:rPr>
        <w:t>3.</w:t>
      </w:r>
      <w:r w:rsidR="00246CA8" w:rsidRPr="00586786">
        <w:rPr>
          <w:rFonts w:ascii="Arial" w:hAnsi="Arial" w:cs="Arial"/>
          <w:i/>
          <w:iCs/>
        </w:rPr>
        <w:t>6</w:t>
      </w:r>
      <w:r w:rsidRPr="00586786">
        <w:rPr>
          <w:rFonts w:ascii="Arial" w:hAnsi="Arial" w:cs="Arial"/>
          <w:i/>
          <w:iCs/>
        </w:rPr>
        <w:t xml:space="preserve">.8 </w:t>
      </w:r>
      <w:r w:rsidR="00C74AE4" w:rsidRPr="00586786">
        <w:rPr>
          <w:rFonts w:ascii="Arial" w:hAnsi="Arial" w:cs="Arial"/>
          <w:i/>
          <w:iCs/>
        </w:rPr>
        <w:t>Death</w:t>
      </w:r>
    </w:p>
    <w:p w14:paraId="60B08305" w14:textId="44DB719C" w:rsidR="00C74AE4" w:rsidRPr="00586786" w:rsidRDefault="0024365F" w:rsidP="00586786">
      <w:pPr>
        <w:spacing w:line="360" w:lineRule="auto"/>
        <w:rPr>
          <w:rFonts w:ascii="Arial" w:hAnsi="Arial" w:cs="Arial"/>
        </w:rPr>
      </w:pPr>
      <w:r w:rsidRPr="00586786">
        <w:rPr>
          <w:rFonts w:ascii="Arial" w:hAnsi="Arial" w:cs="Arial"/>
        </w:rPr>
        <w:t xml:space="preserve">A single paper reported death as an adverse effect from </w:t>
      </w:r>
      <w:r w:rsidR="004D2C10" w:rsidRPr="00586786">
        <w:rPr>
          <w:rFonts w:ascii="Arial" w:hAnsi="Arial" w:cs="Arial"/>
        </w:rPr>
        <w:t xml:space="preserve">GC </w:t>
      </w:r>
      <w:r w:rsidRPr="00586786">
        <w:rPr>
          <w:rFonts w:ascii="Arial" w:hAnsi="Arial" w:cs="Arial"/>
        </w:rPr>
        <w:t>use, measured by collecting data from retrospective case note reviews of hospital records</w:t>
      </w:r>
      <w:r w:rsidR="00772621" w:rsidRPr="00586786">
        <w:rPr>
          <w:rFonts w:ascii="Arial" w:hAnsi="Arial" w:cs="Arial"/>
        </w:rPr>
        <w:t xml:space="preserve"> of patients using systemic </w:t>
      </w:r>
      <w:r w:rsidR="004D2C10" w:rsidRPr="00586786">
        <w:rPr>
          <w:rFonts w:ascii="Arial" w:hAnsi="Arial" w:cs="Arial"/>
        </w:rPr>
        <w:t xml:space="preserve">GCs </w:t>
      </w:r>
      <w:r w:rsidR="00772621" w:rsidRPr="00586786">
        <w:rPr>
          <w:rFonts w:ascii="Arial" w:hAnsi="Arial" w:cs="Arial"/>
        </w:rPr>
        <w:t>in an unrestricted population</w:t>
      </w:r>
      <w:r w:rsidRPr="00586786">
        <w:rPr>
          <w:rFonts w:ascii="Arial" w:hAnsi="Arial" w:cs="Arial"/>
        </w:rPr>
        <w:fldChar w:fldCharType="begin"/>
      </w:r>
      <w:r w:rsidR="00386695" w:rsidRPr="00586786">
        <w:rPr>
          <w:rFonts w:ascii="Arial" w:hAnsi="Arial" w:cs="Arial"/>
        </w:rPr>
        <w:instrText xml:space="preserve"> ADDIN ZOTERO_ITEM CSL_CITATION {"citationID":"XXhRg3sN","properties":{"formattedCitation":"(85)","plainCitation":"(85)","noteIndex":0},"citationItems":[{"id":4261,"uris":["http://zotero.org/users/13605431/items/WCP22P8Q"],"itemData":{"id":4261,"type":"article-journal","container-title":"Thorax","DOI":"10.1136/thx.23.6.571","ISSN":"0040-6376","issue":"6","journalAbbreviation":"Thorax","language":"en","page":"571-581","source":"DOI.org (Crossref)","title":"Incidence of serious complications of corticosteroid therapy in respiratory disease: A retrospective survey of patients in the Brompton Hospital","title-short":"Incidence of serious complications of corticosteroid therapy in respiratory disease","volume":"23","author":[{"family":"Smyllie","given":"H. C."},{"family":"Connolly","given":"C. K."}],"issued":{"date-parts":[["1968",11,1]]}}}],"schema":"https://github.com/citation-style-language/schema/raw/master/csl-citation.json"} </w:instrText>
      </w:r>
      <w:r w:rsidRPr="00586786">
        <w:rPr>
          <w:rFonts w:ascii="Arial" w:hAnsi="Arial" w:cs="Arial"/>
        </w:rPr>
        <w:fldChar w:fldCharType="separate"/>
      </w:r>
      <w:r w:rsidR="00386695" w:rsidRPr="00586786">
        <w:rPr>
          <w:rFonts w:ascii="Arial" w:hAnsi="Arial" w:cs="Arial"/>
          <w:noProof/>
        </w:rPr>
        <w:t>(85)</w:t>
      </w:r>
      <w:r w:rsidRPr="00586786">
        <w:rPr>
          <w:rFonts w:ascii="Arial" w:hAnsi="Arial" w:cs="Arial"/>
        </w:rPr>
        <w:fldChar w:fldCharType="end"/>
      </w:r>
      <w:r w:rsidRPr="00586786">
        <w:rPr>
          <w:rFonts w:ascii="Arial" w:hAnsi="Arial" w:cs="Arial"/>
        </w:rPr>
        <w:t xml:space="preserve">. </w:t>
      </w:r>
    </w:p>
    <w:p w14:paraId="7319DF58" w14:textId="77777777" w:rsidR="0024365F" w:rsidRPr="00586786" w:rsidRDefault="0024365F" w:rsidP="00586786">
      <w:pPr>
        <w:spacing w:line="360" w:lineRule="auto"/>
        <w:rPr>
          <w:rFonts w:ascii="Arial" w:hAnsi="Arial" w:cs="Arial"/>
        </w:rPr>
      </w:pPr>
    </w:p>
    <w:p w14:paraId="30C057C9" w14:textId="2F6BA769" w:rsidR="00C74AE4" w:rsidRPr="00586786" w:rsidRDefault="00E0194E" w:rsidP="00586786">
      <w:pPr>
        <w:spacing w:line="360" w:lineRule="auto"/>
        <w:rPr>
          <w:rFonts w:ascii="Arial" w:hAnsi="Arial" w:cs="Arial"/>
        </w:rPr>
      </w:pPr>
      <w:r w:rsidRPr="00586786">
        <w:rPr>
          <w:rFonts w:ascii="Arial" w:hAnsi="Arial" w:cs="Arial"/>
          <w:i/>
          <w:iCs/>
        </w:rPr>
        <w:t>3</w:t>
      </w:r>
      <w:r w:rsidR="00246CA8" w:rsidRPr="00586786">
        <w:rPr>
          <w:rFonts w:ascii="Arial" w:hAnsi="Arial" w:cs="Arial"/>
          <w:i/>
          <w:iCs/>
        </w:rPr>
        <w:t>.7</w:t>
      </w:r>
      <w:r w:rsidRPr="00586786">
        <w:rPr>
          <w:rFonts w:ascii="Arial" w:hAnsi="Arial" w:cs="Arial"/>
          <w:i/>
          <w:iCs/>
        </w:rPr>
        <w:t xml:space="preserve"> </w:t>
      </w:r>
      <w:r w:rsidR="00C74AE4" w:rsidRPr="00586786">
        <w:rPr>
          <w:rFonts w:ascii="Arial" w:hAnsi="Arial" w:cs="Arial"/>
          <w:i/>
          <w:iCs/>
        </w:rPr>
        <w:t xml:space="preserve">Clinician reported </w:t>
      </w:r>
      <w:r w:rsidR="00252F38" w:rsidRPr="00586786">
        <w:rPr>
          <w:rFonts w:ascii="Arial" w:hAnsi="Arial" w:cs="Arial"/>
          <w:i/>
          <w:iCs/>
        </w:rPr>
        <w:t>candidate instruments</w:t>
      </w:r>
      <w:r w:rsidR="00C74AE4" w:rsidRPr="00586786">
        <w:rPr>
          <w:rFonts w:ascii="Arial" w:hAnsi="Arial" w:cs="Arial"/>
          <w:i/>
          <w:iCs/>
        </w:rPr>
        <w:t xml:space="preserve"> by </w:t>
      </w:r>
      <w:r w:rsidR="00252F38" w:rsidRPr="00586786">
        <w:rPr>
          <w:rFonts w:ascii="Arial" w:hAnsi="Arial" w:cs="Arial"/>
          <w:i/>
          <w:iCs/>
        </w:rPr>
        <w:t>non-</w:t>
      </w:r>
      <w:r w:rsidR="00C74AE4" w:rsidRPr="00586786">
        <w:rPr>
          <w:rFonts w:ascii="Arial" w:hAnsi="Arial" w:cs="Arial"/>
          <w:i/>
          <w:iCs/>
        </w:rPr>
        <w:t>core domain</w:t>
      </w:r>
    </w:p>
    <w:p w14:paraId="6E67B430" w14:textId="00B5C88E" w:rsidR="00C74AE4" w:rsidRPr="00586786" w:rsidRDefault="00E0194E" w:rsidP="00586786">
      <w:pPr>
        <w:spacing w:line="360" w:lineRule="auto"/>
        <w:rPr>
          <w:rFonts w:ascii="Arial" w:hAnsi="Arial" w:cs="Arial"/>
          <w:i/>
          <w:iCs/>
        </w:rPr>
      </w:pPr>
      <w:r w:rsidRPr="00586786">
        <w:rPr>
          <w:rFonts w:ascii="Arial" w:hAnsi="Arial" w:cs="Arial"/>
          <w:i/>
          <w:iCs/>
        </w:rPr>
        <w:t>3.</w:t>
      </w:r>
      <w:r w:rsidR="00246CA8" w:rsidRPr="00586786">
        <w:rPr>
          <w:rFonts w:ascii="Arial" w:hAnsi="Arial" w:cs="Arial"/>
          <w:i/>
          <w:iCs/>
        </w:rPr>
        <w:t>7</w:t>
      </w:r>
      <w:r w:rsidRPr="00586786">
        <w:rPr>
          <w:rFonts w:ascii="Arial" w:hAnsi="Arial" w:cs="Arial"/>
          <w:i/>
          <w:iCs/>
        </w:rPr>
        <w:t xml:space="preserve">.1 </w:t>
      </w:r>
      <w:r w:rsidR="00C74AE4" w:rsidRPr="00586786">
        <w:rPr>
          <w:rFonts w:ascii="Arial" w:hAnsi="Arial" w:cs="Arial"/>
          <w:i/>
          <w:iCs/>
        </w:rPr>
        <w:t>Osteonecrosis</w:t>
      </w:r>
    </w:p>
    <w:p w14:paraId="34876A0F" w14:textId="23BAED2D" w:rsidR="00CE590C" w:rsidRPr="00586786" w:rsidRDefault="00A72BBA" w:rsidP="00586786">
      <w:pPr>
        <w:spacing w:line="360" w:lineRule="auto"/>
        <w:rPr>
          <w:rFonts w:ascii="Arial" w:hAnsi="Arial" w:cs="Arial"/>
        </w:rPr>
      </w:pPr>
      <w:r w:rsidRPr="00586786">
        <w:rPr>
          <w:rFonts w:ascii="Arial" w:hAnsi="Arial" w:cs="Arial"/>
        </w:rPr>
        <w:t xml:space="preserve">Nine studies assessing osteonecrosis using </w:t>
      </w:r>
      <w:proofErr w:type="spellStart"/>
      <w:r w:rsidR="004D2C10" w:rsidRPr="00586786">
        <w:rPr>
          <w:rFonts w:ascii="Arial" w:hAnsi="Arial" w:cs="Arial"/>
        </w:rPr>
        <w:t>ClinROs</w:t>
      </w:r>
      <w:proofErr w:type="spellEnd"/>
      <w:r w:rsidRPr="00586786">
        <w:rPr>
          <w:rFonts w:ascii="Arial" w:hAnsi="Arial" w:cs="Arial"/>
        </w:rPr>
        <w:t xml:space="preserve"> were included, with three </w:t>
      </w:r>
      <w:r w:rsidR="00CE590C" w:rsidRPr="00586786">
        <w:rPr>
          <w:rFonts w:ascii="Arial" w:hAnsi="Arial" w:cs="Arial"/>
        </w:rPr>
        <w:t>candidate instruments identified (the GTI, n=6</w:t>
      </w:r>
      <w:r w:rsidR="006A1A8F" w:rsidRPr="00586786">
        <w:rPr>
          <w:rFonts w:ascii="Arial" w:hAnsi="Arial" w:cs="Arial"/>
        </w:rPr>
        <w:t>, defined by the presence of avascular necrosis</w:t>
      </w:r>
      <w:r w:rsidR="00507EB9" w:rsidRPr="00586786">
        <w:rPr>
          <w:rFonts w:ascii="Arial" w:hAnsi="Arial" w:cs="Arial"/>
        </w:rPr>
        <w:fldChar w:fldCharType="begin"/>
      </w:r>
      <w:r w:rsidR="00386695" w:rsidRPr="00586786">
        <w:rPr>
          <w:rFonts w:ascii="Arial" w:hAnsi="Arial" w:cs="Arial"/>
        </w:rPr>
        <w:instrText xml:space="preserve"> ADDIN ZOTERO_ITEM CSL_CITATION {"citationID":"wBBaUTSp","properties":{"formattedCitation":"(10,21,28,30,32,33)","plainCitation":"(10,21,28,30,32,33)","noteIndex":0},"citationItems":[{"id":3829,"uris":["http://zotero.org/users/13605431/items/MXWPBSJM"],"itemData":{"id":3829,"type":"article-journal","abstract":"Objectives To develop a Glucocorticoid Toxicity Index (GTI) to assess glucocorticoid (GC)-related morbidity and GC-sparing ability of other therapies.\nMethods Nineteen experts on GC use and outcome measures from 11 subspecialties participated. Ten experts were from the USA; nine from Canada, Europe or Australia. Group consensus methods and multicriteria decision analysis (MCDA) were used. A Composite GTI and Speciﬁc List comprise the overall GTI. The Composite GTI reﬂects toxicity likely to change during a clinical trial. The Composite GTI toxicities occur commonly, vary with GC exposure, and are weighted and scored. Relative weights for items in the Composite GTI were derived by group consensus and MCDA. The Speciﬁc List is designed to capture GC toxicity not included in the Composite GTI. The Composite GTI was evaluated by application to paper cases by the investigators and an external group of 17 subspecialists.\nResults Thirty-one toxicity items were included in the Composite GTI and 23 in the Speciﬁc List. Composite GTI evaluation showed high inter-rater agreement (investigators κ 0.88, external raters κ 0.90). To assess the degree to which the Composite GTI corresponds to expert clinical judgement, participants ranked 15 cases by clinical judgement in order of highest to lowest GC toxicity. Expert rankings were then compared with case ranking by the Composite GTI, yielding excellent agreement (investigators weighted κ 0.87, external raters weighted κ 0.77).\nConclusions We describe the development and initial evaluation of a comprehensive instrument for the assessment of GC toxicity.","container-title":"Annals of the Rheumatic Diseases","DOI":"10.1136/annrheumdis-2016-210002","ISSN":"0003-4967, 1468-2060","issue":"3","journalAbbreviation":"Ann Rheum Dis","language":"en","page":"543-546","source":"DOI.org (Crossref)","title":"Development of a Glucocorticoid Toxicity Index (GTI) using multicriteria decision analysis","volume":"76","author":[{"family":"Miloslavsky","given":"Eli M"},{"family":"Naden","given":"Ray P"},{"family":"Bijlsma","given":"Johannes W J"},{"family":"Brogan","given":"Paul A"},{"family":"Brown","given":"E Sherwood"},{"family":"Brunetta","given":"Paul"},{"family":"Buttgereit","given":"Frank"},{"family":"Choi","given":"Hyon K"},{"family":"DiCaire","given":"Jean-Francois"},{"family":"Gelfand","given":"Jeffrey M"},{"family":"Heaney","given":"Liam G"},{"family":"Lightstone","given":"Liz"},{"family":"Lu","given":"Na"},{"family":"Murrell","given":"Dedee F"},{"family":"Petri","given":"Michelle"},{"family":"Rosenbaum","given":"James T"},{"family":"Saag","given":"Kenneth S"},{"family":"Urowitz","given":"Murray B"},{"family":"Winthrop","given":"Kevin L"},{"family":"Stone","given":"John H"}],"issued":{"date-parts":[["2017",3]]}}},{"id":4254,"uris":["http://zotero.org/users/13605431/items/NVRDHTQW"],"itemData":{"id":4254,"type":"article-journal","abstract":"Background ANCA-associated vasculitis (AAV) is an autoimmune disease. Induction remission and maintenance treatment typically includes high-dose, tapering glucocorticoids (GC), in addition to other immunosuppressive medication. The use of theGlucocorticoid Toxicity Index (GTI) provides a global, quantiﬁable assessment tool in which clinicians can assess GC-associated morbidity. Recent trials in AAV have exposed the need for systemic assessment of GC burden. In this small cohort study, we look to address these issues and the justiﬁcation of newer GC sparing agents, such as C5a inhibitors.\nMethods A retrospective cohort study of 43 patients with biopsy AAV was constructed from a single center between 2012–2016, and followed up for 48 months. The GTI table made up of adverse features was used to quantify patients’ GC toxicity. Electronic patient records were reviewed and scores calculated according to published methods. GTI scores were compared with cumulative steroid doses at separate intervals and incidences of adverse features in relation to the treatment timeline.\nResults The mean age was 65.9 (611.06) years and treatment regimens consisted of glucocorticoids alongside cyclophosphamide or rituximab. Our results showed statistical signiﬁcance in the association of cumulative GC doses and GTI scores (P50.008; 95% CI, 1.31 to 8.05). Adverse features relating to mood disturbance and GC-induced psychosis occurred early, in contrast to adrenal insufﬁciency, which typically presented later in the follow-up. Infection-related adverse events were consistent throughout.\nConclusions We demonstrated that higher cumulative doses of steroids in AAV lead to worse glucocorticoidrelated toxicity. Using the GTI creates the potential to individualize and quantify the adverse effects patients experience as a result of GC treatment and permits more patient-centered management. Although glucocorticoids remain the main adjunctive immunosuppression of AAV treatment, the narrow therapeutic window supports the need for GC-sparing treatments. KIDNEY360 2: 1002–1010, 2021. doi: https://doi.org/10.34067/KID.0000502021","container-title":"Kidney360","DOI":"10.34067/KID.0000502021","ISSN":"2641-7650","issue":"6","journalAbbreviation":"Kidney360","language":"en","page":"1002-1010","source":"DOI.org (Crossref)","title":"Glucocorticoid Therapy in ANCA Vasculitis: Using the Glucocorticoid Toxicity Index as an Outcome Measure","title-short":"Glucocorticoid Therapy in ANCA Vasculitis","volume":"2","author":[{"family":"Floyd","given":"Lauren"},{"family":"Morris","given":"Adam"},{"family":"Joshi","given":"Miland"},{"family":"Dhaygude","given":"Ajay"}],"issued":{"date-parts":[["2021",6]]}}},{"id":4279,"uris":["http://zotero.org/users/13605431/items/WI98FPDS"],"itemData":{"id":4279,"type":"article-journal","container-title":"The Journal of Allergy and Clinical Immunology: In Practice","DOI":"10.1016/j.jaip.2020.08.032","ISSN":"22132198","issue":"1","journalAbbreviation":"The Journal of Allergy and Clinical Immunology: In Practice","language":"en","page":"365-372.e5","source":"DOI.org (Crossref)","title":"Quantification of Glucocorticoid-Associated Morbidity in Severe Asthma Using the Glucocorticoid Toxicity Index","volume":"9","author":[{"family":"McDowell","given":"P. Jane"},{"family":"Stone","given":"John H."},{"family":"Zhang","given":"Yuqing"},{"family":"Honeyford","given":"Kirsty"},{"family":"Dunn","given":"Louise"},{"family":"Logan","given":"R. Jayne"},{"family":"Butler","given":"Claire A."},{"family":"McGarvey","given":"Lorcan P.A."},{"family":"Heaney","given":"Liam G."}],"issued":{"date-parts":[["2021",1]]}}},{"id":4197,"uris":["http://zotero.org/users/13605431/items/7SSBXYTK"],"itemData":{"id":4197,"type":"article-journal","abstract":"Rituximab (RTX) combined with short-term glucocorticoids (GC) is an effective therapeutic option for pemphigus. The newly developed Glucocorticoid Toxicity Index (GTI) tool provides the possibility to measure GC toxicities over time. To compare 1-year GTI between two groups of RTX-treated and RTX-naïve patients with pemphigus. The responsiveness of the GTI was also investigated. A prospective cohort of 129 adults with newly diagnosed pemphigus was conducted. GC-related toxicities were assessed at 3-month intervals according to Composite and Specific lists of the GTI. Of the patients, 76.7% (n = 99) received RTX. Throughout the time intervals, RTX-treated patients had lower GTI compared to RTX-naïve ones (p = 0.036). The mean GTI at 1-year was 34.3 in the RTX-treated group and 50.8 in the RTX-naïve group (p = 0.04). The most commonly observed GC-related toxicity was neuropsychiatric manifestations for 34% (224 events). The relapse rate of RTX-treated patients (1%) was significantly lower than RTX-naïve patients (10%) (p = 0.037). The GTI showed no correlation with cumulative GC consumption in both groups (p &gt; 0.05, both). Patients treated with GC alone had remarkably higher GTI than patients treated with GC plus RTX. The GTI is an applicable tool to quantitatively capture GC toxicities at the patient level in pemphigus.","container-title":"Dermatologic Therapy","DOI":"10.1111/dth.15902","ISSN":"1396-0296, 1529-8019","issue":"12","journalAbbreviation":"Dermatologic Therapy","language":"en","source":"DOI.org (Crossref)","title":"Applicability of glucocorticoid toxicity index in pemphigus: Comparison between two groups of rituximab</w:instrText>
      </w:r>
      <w:r w:rsidR="00386695" w:rsidRPr="00586786">
        <w:rPr>
          <w:rFonts w:ascii="Cambria Math" w:hAnsi="Cambria Math" w:cs="Cambria Math"/>
        </w:rPr>
        <w:instrText>‐</w:instrText>
      </w:r>
      <w:r w:rsidR="00386695" w:rsidRPr="00586786">
        <w:rPr>
          <w:rFonts w:ascii="Arial" w:hAnsi="Arial" w:cs="Arial"/>
        </w:rPr>
        <w:instrText>treated and rituximab</w:instrText>
      </w:r>
      <w:r w:rsidR="00386695" w:rsidRPr="00586786">
        <w:rPr>
          <w:rFonts w:ascii="Cambria Math" w:hAnsi="Cambria Math" w:cs="Cambria Math"/>
        </w:rPr>
        <w:instrText>‐</w:instrText>
      </w:r>
      <w:r w:rsidR="00386695" w:rsidRPr="00586786">
        <w:rPr>
          <w:rFonts w:ascii="Arial" w:hAnsi="Arial" w:cs="Arial"/>
        </w:rPr>
        <w:instrText xml:space="preserve">naïve patients","title-short":"Applicability of glucocorticoid toxicity index in pemphigus","volume":"35","author":[{"family":"Mazaherpour","given":"Elham"},{"family":"Kianfar","given":"Nika"},{"family":"Dasdar","given":"Shayan"},{"family":"Sedaghat","given":"Mojtaba"},{"family":"Seyrafi","given":"Hassan"},{"family":"Balighi","given":"Kamran"},{"family":"Saberi","given":"Fatemeh"},{"family":"Nili","given":"Ali"},{"family":"Farimani","given":"Zeinab"},{"family":"Azar","given":"Pedram Molhem"},{"family":"Mahmoodi","given":"Hamidreza"},{"family":"Murrell","given":"Dedee F."},{"family":"Daneshpazhooh","given":"Maryam"}],"issued":{"date-parts":[["2022",12]]}}},{"id":4248,"uris":["http://zotero.org/users/13605431/items/D7I46I5P"],"itemData":{"id":4248,"type":"article-journal","abstract":"Objective: Lupus nephritis (LN) is often treated with high doses of glucocorticoids (GCs). The glucocorticoid toxicity index (GTI) was developed by expert consensus to quantify GC toxicity. To date, the GTI has not been shown to correlate with GC exposure in patients with LN.\nMethods: We performed a retrospective cohort study of patients with biopsy-conﬁrmed LN between 2006 and 2016. Cumulative GC exposure and GTI scores were determined via medical record review. Both the aggregate improvement score (GTI-AIS) and the cumulative worsening score (GTI-CWS) were calculated. We performed linear regression to determine the association between GC exposure and GTI scores at 1 year and 5 years following kidney biopsy.\nResults: This study included 49 patients with a mean age of 33.3 (SD 9.5) years. Mean GC exposure was 23.0 mg prednisone-equivalents per day through year 1 and 9.9 mg prednisone-equivalents per day through year 5. At 5 years, higher GC exposure was associated with higher GTI-AIS (p &lt; 0.001) and GTI-CWS (p = 0.002), and this association persisted in multivariate analysis adjusting for age, sex, race, induction medication, and nephritis class (p = 0.026 for AIS, p = 0.012 for CWS). At 1 year, GC exposure was not associated with GTI scores (p = 0.70 for AIS; p = 0.58 for CWS).\nConclusion: In this cohort study, the GTI was associated with cumulative steroid exposure at 5 years after diagnosis. In patients with LN, the GTI may serve as a useful outcome measure in future LN trials evaluating the steroid sparing effect of novel therapies.","container-title":"Lupus","DOI":"10.1177/09612033231160969","ISSN":"0961-2033, 1477-0962","issue":"4","journalAbbreviation":"Lupus","language":"en","page":"565-570","source":"DOI.org (Crossref)","title":"Estimating glucocorticoid-related morbidity in lupus nephritis using the glucocorticoid toxicity index","volume":"32","author":[{"family":"Usiskin","given":"Ilana M"},{"family":"Kyttaris","given":"Vasileios C"}],"issued":{"date-parts":[["2023",4]]}}},{"id":4250,"uris":["http://zotero.org/users/13605431/items/8TE8S274"],"itemData":{"id":4250,"type":"article-journal","abstract":"Background: Glucocorticoids are the mainstay of treatment for autoimmune blistering diseases (AIBDs). The Glucocorticoid Toxicity Index (GTI) is a novel, outcome-based glucocorticoid-induced adverse effects monitoring instrument.\nObjective: To investigate whether the GTI score was able to accurately quantify the glucocorticoid-induced toxicity in patients with AIBDs.\nMethods: The prospective cohort study included patients with conﬁrmed diagnoses of AIBDs (group1, currently receiving glucocorticoids; and group 2, had glucocorticoids ceased earlier). Data were collected minimally at baseline (V1) and 3 months (V2). Further data from patients who were able to complete the follow-up visits at 6 months (V3) and 12 months (V4) amid the COVID-19 pandemic were also included. GTI scores were calculated after data collection.\nResults: Analysis of data from V1 and V2 found a linear correlation between GTI score and prednisone doses (P \\.05) and a significant difference in GTI scores between group1 and group 2 (P \\.05). Data from V3 and V4 suggested that GTI scores continued to rise progressively alongside increasing cumulative prednisone dose. Limitations: Small sample size, further exacerbated by the COVID-19 pandemic. Single-center study.\nConclusion: The GTI sensitively and speciﬁcally captured the changes in glucocorticoids toxicity over time among patients with AIBDs. The GTI could be a feasible tool that can be used in future clinical trials as a glucocorticoid-induced toxicity outcome measure. ( JAAD Int 2022;6:68-76.)","container-title":"JAAD International","DOI":"10.1016/j.jdin.2021.09.003","ISSN":"26663287","journalAbbreviation":"JAAD International","language":"en","page":"68-76","source":"DOI.org (Crossref)","title":"Evaluation of the toxicity of glucocorticoids in patients with autoimmune blistering disease using the Glucocorticoid Toxicity Index: A cohort study","title-short":"Evaluation of the toxicity of glucocorticoids in patients with autoimmune blistering disease using the Glucocorticoid Toxicity Index","volume":"6","author":[{"family":"Liang","given":"Yicong"},{"family":"Zeng","given":"Faith A.P."},{"family":"Sheriff","given":"Tabrez"},{"family":"Wilson","given":"Anna"},{"family":"Bilgic","given":"Asli"},{"family":"Feng","given":"Grant"},{"family":"Stone","given":"John H."},{"family":"Murrell","given":"Dedee F."}],"issued":{"date-parts":[["2022",3]]}}}],"schema":"https://github.com/citation-style-language/schema/raw/master/csl-citation.json"} </w:instrText>
      </w:r>
      <w:r w:rsidR="00507EB9" w:rsidRPr="00586786">
        <w:rPr>
          <w:rFonts w:ascii="Arial" w:hAnsi="Arial" w:cs="Arial"/>
        </w:rPr>
        <w:fldChar w:fldCharType="separate"/>
      </w:r>
      <w:r w:rsidR="00386695" w:rsidRPr="00586786">
        <w:rPr>
          <w:rFonts w:ascii="Arial" w:hAnsi="Arial" w:cs="Arial"/>
          <w:kern w:val="0"/>
        </w:rPr>
        <w:t>(10,21,28,30,32,33)</w:t>
      </w:r>
      <w:r w:rsidR="00507EB9" w:rsidRPr="00586786">
        <w:rPr>
          <w:rFonts w:ascii="Arial" w:hAnsi="Arial" w:cs="Arial"/>
        </w:rPr>
        <w:fldChar w:fldCharType="end"/>
      </w:r>
      <w:r w:rsidR="00CE590C" w:rsidRPr="00586786">
        <w:rPr>
          <w:rFonts w:ascii="Arial" w:hAnsi="Arial" w:cs="Arial"/>
        </w:rPr>
        <w:t>; the SLE damage index, n=1</w:t>
      </w:r>
      <w:r w:rsidR="00507EB9" w:rsidRPr="00586786">
        <w:rPr>
          <w:rFonts w:ascii="Arial" w:hAnsi="Arial" w:cs="Arial"/>
        </w:rPr>
        <w:fldChar w:fldCharType="begin"/>
      </w:r>
      <w:r w:rsidR="00386695" w:rsidRPr="00586786">
        <w:rPr>
          <w:rFonts w:ascii="Arial" w:hAnsi="Arial" w:cs="Arial"/>
        </w:rPr>
        <w:instrText xml:space="preserve"> ADDIN ZOTERO_ITEM CSL_CITATION {"citationID":"EtG21BPW","properties":{"formattedCitation":"(23)","plainCitation":"(23)","noteIndex":0},"citationItems":[{"id":4268,"uris":["http://zotero.org/users/13605431/items/BY5KSIH2"],"itemData":{"id":4268,"type":"article-journal","abstract":"Objective. The existing guidelines for lupus nephritis (LN) recommend initial prednisone doses of 0.3–1.0 mg/kg/ day. However, recent studies reported noninferior outcomes with lower doses. The aim of this study was to compare the complete renal response rates in LN patients treated with prednisone ≤30 mg/day or ≥40 mg/day.\nMethods. Patients with new-onset LN and standard immunosuppressive treatment were followed for at least 12 months, divided into medium (≤30 mg/day) and high prednisone groups (≥40 mg/day) and matched (propensity score) based on the baseline differences. Complete renal response was deﬁned as proteinuria &lt;0.5 gm/day and no worsening in renal function. Glucocorticoid-related damage was also assessed.\nResults. High-dose prednisone patients (n = 103; mean ± SD dose 48.6 ± 12.3 mg/day) achieved better rates of complete response compared to the medium group (n = 103; mean ± SD dose 24.2 ± 4.6 mg/day) (61.8% versus 38.2%; P = 0.024) at 12 months. The difference in response rates was reproduced for several subgroups (concomitant immunosuppressive treatment, proliferative/nonproliferative LN). Complete remission rates were higher at 2 years (67.8% versus 39%; P = 0.002) and 3 years (64.9% versus 49.1%; P = 0.025) after LN diagnosis. Cumulative glucocorticoid dose was comparable at 2 and 3 years. Glucocorticoid-related damage was accelerated in both groups for the same period.\nConclusion. Higher initial prednisone doses (median 45 mg/day) achieved signiﬁcantly better rates of complete renal response at 12 months in new-onset LN. Cumulative glucocorticoid dose and damage accrual were not different at 2 and 3 years after LN. Damage was more prominent in the late phases of LN in both groups, underlining the importance of rapid tapering and the need to implement alternative strategies.","container-title":"Arthritis Care &amp; Research","DOI":"10.1002/acr.24592","ISSN":"2151-464X, 2151-4658","issue":"9","journalAbbreviation":"Arthritis Care &amp; Research","language":"en","page":"1451-1458","source":"DOI.org (Crossref)","title":"Medium Versus High Initial Prednisone Dose for Remission Induction in Lupus Nephritis: A Propensity Score–Matched Analysis","title-short":"Medium Versus High Initial Prednisone Dose for Remission Induction in Lupus Nephritis","volume":"74","author":[{"family":"Tselios","given":"Konstantinos"},{"family":"Gladman","given":"Dafna D."},{"family":"Al</w:instrText>
      </w:r>
      <w:r w:rsidR="00386695" w:rsidRPr="00586786">
        <w:rPr>
          <w:rFonts w:ascii="Cambria Math" w:hAnsi="Cambria Math" w:cs="Cambria Math"/>
        </w:rPr>
        <w:instrText>‐</w:instrText>
      </w:r>
      <w:r w:rsidR="00386695" w:rsidRPr="00586786">
        <w:rPr>
          <w:rFonts w:ascii="Arial" w:hAnsi="Arial" w:cs="Arial"/>
        </w:rPr>
        <w:instrText xml:space="preserve">Sheikh","given":"Haifa"},{"family":"Su","given":"Jiandong"},{"family":"Urowitz","given":"Murray B."}],"issued":{"date-parts":[["2022",9]]}}}],"schema":"https://github.com/citation-style-language/schema/raw/master/csl-citation.json"} </w:instrText>
      </w:r>
      <w:r w:rsidR="00507EB9" w:rsidRPr="00586786">
        <w:rPr>
          <w:rFonts w:ascii="Arial" w:hAnsi="Arial" w:cs="Arial"/>
        </w:rPr>
        <w:fldChar w:fldCharType="separate"/>
      </w:r>
      <w:r w:rsidR="00386695" w:rsidRPr="00586786">
        <w:rPr>
          <w:rFonts w:ascii="Arial" w:hAnsi="Arial" w:cs="Arial"/>
          <w:noProof/>
        </w:rPr>
        <w:t>(23)</w:t>
      </w:r>
      <w:r w:rsidR="00507EB9" w:rsidRPr="00586786">
        <w:rPr>
          <w:rFonts w:ascii="Arial" w:hAnsi="Arial" w:cs="Arial"/>
        </w:rPr>
        <w:fldChar w:fldCharType="end"/>
      </w:r>
      <w:r w:rsidR="00CE590C" w:rsidRPr="00586786">
        <w:rPr>
          <w:rFonts w:ascii="Arial" w:hAnsi="Arial" w:cs="Arial"/>
        </w:rPr>
        <w:t>; and magnetic resonance imaging of the femur/femoral neck, n=2</w:t>
      </w:r>
      <w:r w:rsidR="00507EB9" w:rsidRPr="00586786">
        <w:rPr>
          <w:rFonts w:ascii="Arial" w:hAnsi="Arial" w:cs="Arial"/>
        </w:rPr>
        <w:fldChar w:fldCharType="begin"/>
      </w:r>
      <w:r w:rsidR="00386695" w:rsidRPr="00586786">
        <w:rPr>
          <w:rFonts w:ascii="Arial" w:hAnsi="Arial" w:cs="Arial"/>
        </w:rPr>
        <w:instrText xml:space="preserve"> ADDIN ZOTERO_ITEM CSL_CITATION {"citationID":"7ZtZQ4kc","properties":{"formattedCitation":"(61,77)","plainCitation":"(61,77)","noteIndex":0},"citationItems":[{"id":4280,"uris":["http://zotero.org/users/13605431/items/CQ8XWCWC"],"itemData":{"id":4280,"type":"article-journal","container-title":"Transplantation Proceedings","DOI":"10.1016/S0041-1345(98)00920-8","ISSN":"00411345","issue":"7","journalAbbreviation":"Transplantation Proceedings","language":"en","license":"https://www.elsevier.com/tdm/userlicense/1.0/","page":"3039-3040","source":"DOI.org (Crossref)","title":"Relationship between steroid dosage and osteonecrosis of the femoral head after renal transplantation as measured by magnetic resonance imaging","volume":"30","author":[{"family":"Kubo","given":"T"},{"family":"Fujioka","given":"M"},{"family":"Yamazoe","given":"S"},{"family":"Yoshimura","given":"N"},{"family":"Oka","given":"T"},{"family":"Ushijima","given":"Y"},{"family":"Hasegawa","given":"Y"},{"family":"Hirasawa","given":"Y"}],"issued":{"date-parts":[["1998",11]]}}},{"id":4236,"uris":["http://zotero.org/users/13605431/items/JF2V7XFY"],"itemData":{"id":4236,"type":"article-journal","abstract":"Increased risk of osteoporosis, fractures, and avascular necrosis (AVN) has been suggested in multiple sclerosis (MS). Patients with MS are often exposed to corticosteroid treatment (CST) during the disease course and conflicting reports exist regarding complications of CST. Our study aims to investigate the association between cumulative doses of CST and radiographic evaluation of AVN of the femoral head in MS. Twenty-six MS patients (mean age, 38.4±10 yr) were enrolled and prospectively evaluated for AVN by magnetic resonance imaging (MRI). The mean disease duration was 11.5±8.5 years and mean expanded disability status scale (EDSS) score was 3±2. The cumulative dosage of CST varied between 20 g and 60 g; patients were grouped into two categories: 1) CST between 20-40 g, 17 (65%) patients; 2) CST ≥40 g; 9 (35%) patients. The relationship between cumulative CST dosage and MRI diagnosis of AVN was statistically insignificant (P&gt;0.9). Clarification of the cumulative effect of CST in the development of AVN is of great importance for future long-term steroid treatment strategies.","container-title":"Neurology International","DOI":"10.4081/ni.2010.e17","ISSN":"2035-8377, 2035-8385","issue":"2","journalAbbreviation":"Neurol Int","language":"en","page":"17","source":"DOI.org (Crossref)","title":"Correlation of cumulative corticosteroid treatment with magnetic resonance imaging assessment of avascular femoral head necrosis in patients with multiple sclerosis","volume":"2","author":[{"family":"Kale","given":"Nilufer"},{"family":"Agaoglu","given":"Jale"},{"family":"Tanik","given":"Osman"}],"issued":{"date-parts":[["2010",10,18]]}}}],"schema":"https://github.com/citation-style-language/schema/raw/master/csl-citation.json"} </w:instrText>
      </w:r>
      <w:r w:rsidR="00507EB9" w:rsidRPr="00586786">
        <w:rPr>
          <w:rFonts w:ascii="Arial" w:hAnsi="Arial" w:cs="Arial"/>
        </w:rPr>
        <w:fldChar w:fldCharType="separate"/>
      </w:r>
      <w:r w:rsidR="00386695" w:rsidRPr="00586786">
        <w:rPr>
          <w:rFonts w:ascii="Arial" w:hAnsi="Arial" w:cs="Arial"/>
          <w:noProof/>
        </w:rPr>
        <w:t>(61,77)</w:t>
      </w:r>
      <w:r w:rsidR="00507EB9" w:rsidRPr="00586786">
        <w:rPr>
          <w:rFonts w:ascii="Arial" w:hAnsi="Arial" w:cs="Arial"/>
        </w:rPr>
        <w:fldChar w:fldCharType="end"/>
      </w:r>
      <w:r w:rsidR="00CE590C" w:rsidRPr="00586786">
        <w:rPr>
          <w:rFonts w:ascii="Arial" w:hAnsi="Arial" w:cs="Arial"/>
        </w:rPr>
        <w:t>)</w:t>
      </w:r>
      <w:r w:rsidR="007A27D3" w:rsidRPr="00586786">
        <w:rPr>
          <w:rFonts w:ascii="Arial" w:hAnsi="Arial" w:cs="Arial"/>
        </w:rPr>
        <w:t xml:space="preserve"> (supplementary table 2). </w:t>
      </w:r>
      <w:r w:rsidR="001B5680" w:rsidRPr="00586786">
        <w:rPr>
          <w:rFonts w:ascii="Arial" w:hAnsi="Arial" w:cs="Arial"/>
        </w:rPr>
        <w:t>AIRD patient populations were included in four studies, non-AIRD populations in four studies</w:t>
      </w:r>
      <w:r w:rsidR="00AB1553" w:rsidRPr="00586786">
        <w:rPr>
          <w:rFonts w:ascii="Arial" w:hAnsi="Arial" w:cs="Arial"/>
        </w:rPr>
        <w:t>,</w:t>
      </w:r>
      <w:r w:rsidR="001B5680" w:rsidRPr="00586786">
        <w:rPr>
          <w:rFonts w:ascii="Arial" w:hAnsi="Arial" w:cs="Arial"/>
        </w:rPr>
        <w:t xml:space="preserve"> and an unspecified patient population in one study. </w:t>
      </w:r>
      <w:r w:rsidR="004D2C10" w:rsidRPr="00586786">
        <w:rPr>
          <w:rFonts w:ascii="Arial" w:hAnsi="Arial" w:cs="Arial"/>
        </w:rPr>
        <w:t xml:space="preserve">GCs </w:t>
      </w:r>
      <w:r w:rsidR="00CE590C" w:rsidRPr="00586786">
        <w:rPr>
          <w:rFonts w:ascii="Arial" w:hAnsi="Arial" w:cs="Arial"/>
        </w:rPr>
        <w:t xml:space="preserve">were delivered systemically in 10 included studies, inhaled in </w:t>
      </w:r>
      <w:r w:rsidRPr="00586786">
        <w:rPr>
          <w:rFonts w:ascii="Arial" w:hAnsi="Arial" w:cs="Arial"/>
        </w:rPr>
        <w:t>one</w:t>
      </w:r>
      <w:r w:rsidR="00CE590C" w:rsidRPr="00586786">
        <w:rPr>
          <w:rFonts w:ascii="Arial" w:hAnsi="Arial" w:cs="Arial"/>
        </w:rPr>
        <w:t xml:space="preserve"> study and not specified in </w:t>
      </w:r>
      <w:r w:rsidRPr="00586786">
        <w:rPr>
          <w:rFonts w:ascii="Arial" w:hAnsi="Arial" w:cs="Arial"/>
        </w:rPr>
        <w:t>one</w:t>
      </w:r>
      <w:r w:rsidR="00CE590C" w:rsidRPr="00586786">
        <w:rPr>
          <w:rFonts w:ascii="Arial" w:hAnsi="Arial" w:cs="Arial"/>
        </w:rPr>
        <w:t xml:space="preserve">. </w:t>
      </w:r>
      <w:r w:rsidR="0062729E" w:rsidRPr="00586786">
        <w:rPr>
          <w:rFonts w:ascii="Arial" w:hAnsi="Arial" w:cs="Arial"/>
        </w:rPr>
        <w:lastRenderedPageBreak/>
        <w:t xml:space="preserve">One </w:t>
      </w:r>
      <w:r w:rsidR="00E53E67" w:rsidRPr="00586786">
        <w:rPr>
          <w:rFonts w:ascii="Arial" w:hAnsi="Arial" w:cs="Arial"/>
        </w:rPr>
        <w:t>study</w:t>
      </w:r>
      <w:r w:rsidR="0062729E" w:rsidRPr="00586786">
        <w:rPr>
          <w:rFonts w:ascii="Arial" w:hAnsi="Arial" w:cs="Arial"/>
        </w:rPr>
        <w:t xml:space="preserve"> was the development paper for the instrument included, the remaining </w:t>
      </w:r>
      <w:r w:rsidR="00E53E67" w:rsidRPr="00586786">
        <w:rPr>
          <w:rFonts w:ascii="Arial" w:hAnsi="Arial" w:cs="Arial"/>
        </w:rPr>
        <w:t>7</w:t>
      </w:r>
      <w:r w:rsidR="0062729E" w:rsidRPr="00586786">
        <w:rPr>
          <w:rFonts w:ascii="Arial" w:hAnsi="Arial" w:cs="Arial"/>
        </w:rPr>
        <w:t xml:space="preserve"> </w:t>
      </w:r>
      <w:r w:rsidR="00E53E67" w:rsidRPr="00586786">
        <w:rPr>
          <w:rFonts w:ascii="Arial" w:hAnsi="Arial" w:cs="Arial"/>
        </w:rPr>
        <w:t>studies</w:t>
      </w:r>
      <w:r w:rsidR="0062729E" w:rsidRPr="00586786">
        <w:rPr>
          <w:rFonts w:ascii="Arial" w:hAnsi="Arial" w:cs="Arial"/>
        </w:rPr>
        <w:t xml:space="preserve"> were validating existing instruments. </w:t>
      </w:r>
      <w:r w:rsidR="00E53E67" w:rsidRPr="00586786">
        <w:rPr>
          <w:rFonts w:ascii="Arial" w:hAnsi="Arial" w:cs="Arial"/>
        </w:rPr>
        <w:t xml:space="preserve">Eight studies measured change over time, with a single study </w:t>
      </w:r>
      <w:r w:rsidR="001D7065" w:rsidRPr="00586786">
        <w:rPr>
          <w:rFonts w:ascii="Arial" w:hAnsi="Arial" w:cs="Arial"/>
        </w:rPr>
        <w:t>measuring value at a single time point</w:t>
      </w:r>
      <w:r w:rsidR="00E53E67" w:rsidRPr="00586786">
        <w:rPr>
          <w:rFonts w:ascii="Arial" w:hAnsi="Arial" w:cs="Arial"/>
        </w:rPr>
        <w:t xml:space="preserve">. </w:t>
      </w:r>
    </w:p>
    <w:p w14:paraId="52C28843" w14:textId="77777777" w:rsidR="005A2C56" w:rsidRPr="00586786" w:rsidRDefault="005A2C56" w:rsidP="00586786">
      <w:pPr>
        <w:spacing w:line="360" w:lineRule="auto"/>
        <w:rPr>
          <w:rFonts w:ascii="Arial" w:hAnsi="Arial" w:cs="Arial"/>
        </w:rPr>
      </w:pPr>
    </w:p>
    <w:p w14:paraId="75A39C77" w14:textId="64C890DE" w:rsidR="00C74AE4" w:rsidRPr="00586786" w:rsidRDefault="00E0194E" w:rsidP="00586786">
      <w:pPr>
        <w:spacing w:line="360" w:lineRule="auto"/>
        <w:rPr>
          <w:rFonts w:ascii="Arial" w:hAnsi="Arial" w:cs="Arial"/>
          <w:i/>
          <w:iCs/>
        </w:rPr>
      </w:pPr>
      <w:r w:rsidRPr="00586786">
        <w:rPr>
          <w:rFonts w:ascii="Arial" w:hAnsi="Arial" w:cs="Arial"/>
          <w:i/>
          <w:iCs/>
        </w:rPr>
        <w:t>3.</w:t>
      </w:r>
      <w:r w:rsidR="00246CA8" w:rsidRPr="00586786">
        <w:rPr>
          <w:rFonts w:ascii="Arial" w:hAnsi="Arial" w:cs="Arial"/>
          <w:i/>
          <w:iCs/>
        </w:rPr>
        <w:t>7</w:t>
      </w:r>
      <w:r w:rsidRPr="00586786">
        <w:rPr>
          <w:rFonts w:ascii="Arial" w:hAnsi="Arial" w:cs="Arial"/>
          <w:i/>
          <w:iCs/>
        </w:rPr>
        <w:t xml:space="preserve">.2 </w:t>
      </w:r>
      <w:r w:rsidR="00C74AE4" w:rsidRPr="00586786">
        <w:rPr>
          <w:rFonts w:ascii="Arial" w:hAnsi="Arial" w:cs="Arial"/>
          <w:i/>
          <w:iCs/>
        </w:rPr>
        <w:t>Eye problems</w:t>
      </w:r>
    </w:p>
    <w:p w14:paraId="1F37C9CE" w14:textId="680F3130" w:rsidR="0062729E" w:rsidRPr="00586786" w:rsidRDefault="00CE590C" w:rsidP="00586786">
      <w:pPr>
        <w:spacing w:line="360" w:lineRule="auto"/>
        <w:rPr>
          <w:rFonts w:ascii="Arial" w:hAnsi="Arial" w:cs="Arial"/>
        </w:rPr>
      </w:pPr>
      <w:r w:rsidRPr="00586786">
        <w:rPr>
          <w:rFonts w:ascii="Arial" w:hAnsi="Arial" w:cs="Arial"/>
        </w:rPr>
        <w:t xml:space="preserve">Nine studies assessed </w:t>
      </w:r>
      <w:proofErr w:type="spellStart"/>
      <w:r w:rsidR="004D2C10" w:rsidRPr="00586786">
        <w:rPr>
          <w:rFonts w:ascii="Arial" w:hAnsi="Arial" w:cs="Arial"/>
        </w:rPr>
        <w:t>ClinROs</w:t>
      </w:r>
      <w:proofErr w:type="spellEnd"/>
      <w:r w:rsidRPr="00586786">
        <w:rPr>
          <w:rFonts w:ascii="Arial" w:hAnsi="Arial" w:cs="Arial"/>
        </w:rPr>
        <w:t xml:space="preserve"> to assess eye problems</w:t>
      </w:r>
      <w:r w:rsidR="00A72BBA" w:rsidRPr="00586786">
        <w:rPr>
          <w:rFonts w:ascii="Arial" w:hAnsi="Arial" w:cs="Arial"/>
        </w:rPr>
        <w:t xml:space="preserve"> (</w:t>
      </w:r>
      <w:r w:rsidR="007A27D3" w:rsidRPr="00586786">
        <w:rPr>
          <w:rFonts w:ascii="Arial" w:hAnsi="Arial" w:cs="Arial"/>
        </w:rPr>
        <w:t>supplementary table 3</w:t>
      </w:r>
      <w:r w:rsidR="00A72BBA" w:rsidRPr="00586786">
        <w:rPr>
          <w:rFonts w:ascii="Arial" w:hAnsi="Arial" w:cs="Arial"/>
        </w:rPr>
        <w:t>)</w:t>
      </w:r>
      <w:r w:rsidRPr="00586786">
        <w:rPr>
          <w:rFonts w:ascii="Arial" w:hAnsi="Arial" w:cs="Arial"/>
        </w:rPr>
        <w:t xml:space="preserve">. </w:t>
      </w:r>
      <w:r w:rsidR="00A72BBA" w:rsidRPr="00586786">
        <w:rPr>
          <w:rFonts w:ascii="Arial" w:hAnsi="Arial" w:cs="Arial"/>
        </w:rPr>
        <w:t>Five</w:t>
      </w:r>
      <w:r w:rsidRPr="00586786">
        <w:rPr>
          <w:rFonts w:ascii="Arial" w:hAnsi="Arial" w:cs="Arial"/>
        </w:rPr>
        <w:t xml:space="preserve"> candidate instruments were identified</w:t>
      </w:r>
      <w:r w:rsidR="00A72BBA" w:rsidRPr="00586786">
        <w:rPr>
          <w:rFonts w:ascii="Arial" w:hAnsi="Arial" w:cs="Arial"/>
        </w:rPr>
        <w:t xml:space="preserve"> from these studies; </w:t>
      </w:r>
      <w:r w:rsidRPr="00586786">
        <w:rPr>
          <w:rFonts w:ascii="Arial" w:hAnsi="Arial" w:cs="Arial"/>
        </w:rPr>
        <w:t>the GTI</w:t>
      </w:r>
      <w:r w:rsidR="001B5680" w:rsidRPr="00586786">
        <w:rPr>
          <w:rFonts w:ascii="Arial" w:hAnsi="Arial" w:cs="Arial"/>
        </w:rPr>
        <w:t>, defined by the presence of any of central serous retinopathy, intraocular pressure elevation or posterior subcapsular cataract</w:t>
      </w:r>
      <w:r w:rsidRPr="00586786">
        <w:rPr>
          <w:rFonts w:ascii="Arial" w:hAnsi="Arial" w:cs="Arial"/>
        </w:rPr>
        <w:t>(n=6)</w:t>
      </w:r>
      <w:r w:rsidR="00D61E86" w:rsidRPr="00586786">
        <w:rPr>
          <w:rFonts w:ascii="Arial" w:hAnsi="Arial" w:cs="Arial"/>
        </w:rPr>
        <w:fldChar w:fldCharType="begin"/>
      </w:r>
      <w:r w:rsidR="00386695" w:rsidRPr="00586786">
        <w:rPr>
          <w:rFonts w:ascii="Arial" w:hAnsi="Arial" w:cs="Arial"/>
        </w:rPr>
        <w:instrText xml:space="preserve"> ADDIN ZOTERO_ITEM CSL_CITATION {"citationID":"IsfvIXhR","properties":{"formattedCitation":"(10,21,28,30,32,33)","plainCitation":"(10,21,28,30,32,33)","noteIndex":0},"citationItems":[{"id":3829,"uris":["http://zotero.org/users/13605431/items/MXWPBSJM"],"itemData":{"id":3829,"type":"article-journal","abstract":"Objectives To develop a Glucocorticoid Toxicity Index (GTI) to assess glucocorticoid (GC)-related morbidity and GC-sparing ability of other therapies.\nMethods Nineteen experts on GC use and outcome measures from 11 subspecialties participated. Ten experts were from the USA; nine from Canada, Europe or Australia. Group consensus methods and multicriteria decision analysis (MCDA) were used. A Composite GTI and Speciﬁc List comprise the overall GTI. The Composite GTI reﬂects toxicity likely to change during a clinical trial. The Composite GTI toxicities occur commonly, vary with GC exposure, and are weighted and scored. Relative weights for items in the Composite GTI were derived by group consensus and MCDA. The Speciﬁc List is designed to capture GC toxicity not included in the Composite GTI. The Composite GTI was evaluated by application to paper cases by the investigators and an external group of 17 subspecialists.\nResults Thirty-one toxicity items were included in the Composite GTI and 23 in the Speciﬁc List. Composite GTI evaluation showed high inter-rater agreement (investigators κ 0.88, external raters κ 0.90). To assess the degree to which the Composite GTI corresponds to expert clinical judgement, participants ranked 15 cases by clinical judgement in order of highest to lowest GC toxicity. Expert rankings were then compared with case ranking by the Composite GTI, yielding excellent agreement (investigators weighted κ 0.87, external raters weighted κ 0.77).\nConclusions We describe the development and initial evaluation of a comprehensive instrument for the assessment of GC toxicity.","container-title":"Annals of the Rheumatic Diseases","DOI":"10.1136/annrheumdis-2016-210002","ISSN":"0003-4967, 1468-2060","issue":"3","journalAbbreviation":"Ann Rheum Dis","language":"en","page":"543-546","source":"DOI.org (Crossref)","title":"Development of a Glucocorticoid Toxicity Index (GTI) using multicriteria decision analysis","volume":"76","author":[{"family":"Miloslavsky","given":"Eli M"},{"family":"Naden","given":"Ray P"},{"family":"Bijlsma","given":"Johannes W J"},{"family":"Brogan","given":"Paul A"},{"family":"Brown","given":"E Sherwood"},{"family":"Brunetta","given":"Paul"},{"family":"Buttgereit","given":"Frank"},{"family":"Choi","given":"Hyon K"},{"family":"DiCaire","given":"Jean-Francois"},{"family":"Gelfand","given":"Jeffrey M"},{"family":"Heaney","given":"Liam G"},{"family":"Lightstone","given":"Liz"},{"family":"Lu","given":"Na"},{"family":"Murrell","given":"Dedee F"},{"family":"Petri","given":"Michelle"},{"family":"Rosenbaum","given":"James T"},{"family":"Saag","given":"Kenneth S"},{"family":"Urowitz","given":"Murray B"},{"family":"Winthrop","given":"Kevin L"},{"family":"Stone","given":"John H"}],"issued":{"date-parts":[["2017",3]]}}},{"id":4254,"uris":["http://zotero.org/users/13605431/items/NVRDHTQW"],"itemData":{"id":4254,"type":"article-journal","abstract":"Background ANCA-associated vasculitis (AAV) is an autoimmune disease. Induction remission and maintenance treatment typically includes high-dose, tapering glucocorticoids (GC), in addition to other immunosuppressive medication. The use of theGlucocorticoid Toxicity Index (GTI) provides a global, quantiﬁable assessment tool in which clinicians can assess GC-associated morbidity. Recent trials in AAV have exposed the need for systemic assessment of GC burden. In this small cohort study, we look to address these issues and the justiﬁcation of newer GC sparing agents, such as C5a inhibitors.\nMethods A retrospective cohort study of 43 patients with biopsy AAV was constructed from a single center between 2012–2016, and followed up for 48 months. The GTI table made up of adverse features was used to quantify patients’ GC toxicity. Electronic patient records were reviewed and scores calculated according to published methods. GTI scores were compared with cumulative steroid doses at separate intervals and incidences of adverse features in relation to the treatment timeline.\nResults The mean age was 65.9 (611.06) years and treatment regimens consisted of glucocorticoids alongside cyclophosphamide or rituximab. Our results showed statistical signiﬁcance in the association of cumulative GC doses and GTI scores (P50.008; 95% CI, 1.31 to 8.05). Adverse features relating to mood disturbance and GC-induced psychosis occurred early, in contrast to adrenal insufﬁciency, which typically presented later in the follow-up. Infection-related adverse events were consistent throughout.\nConclusions We demonstrated that higher cumulative doses of steroids in AAV lead to worse glucocorticoidrelated toxicity. Using the GTI creates the potential to individualize and quantify the adverse effects patients experience as a result of GC treatment and permits more patient-centered management. Although glucocorticoids remain the main adjunctive immunosuppression of AAV treatment, the narrow therapeutic window supports the need for GC-sparing treatments. KIDNEY360 2: 1002–1010, 2021. doi: https://doi.org/10.34067/KID.0000502021","container-title":"Kidney360","DOI":"10.34067/KID.0000502021","ISSN":"2641-7650","issue":"6","journalAbbreviation":"Kidney360","language":"en","page":"1002-1010","source":"DOI.org (Crossref)","title":"Glucocorticoid Therapy in ANCA Vasculitis: Using the Glucocorticoid Toxicity Index as an Outcome Measure","title-short":"Glucocorticoid Therapy in ANCA Vasculitis","volume":"2","author":[{"family":"Floyd","given":"Lauren"},{"family":"Morris","given":"Adam"},{"family":"Joshi","given":"Miland"},{"family":"Dhaygude","given":"Ajay"}],"issued":{"date-parts":[["2021",6]]}}},{"id":4279,"uris":["http://zotero.org/users/13605431/items/WI98FPDS"],"itemData":{"id":4279,"type":"article-journal","container-title":"The Journal of Allergy and Clinical Immunology: In Practice","DOI":"10.1016/j.jaip.2020.08.032","ISSN":"22132198","issue":"1","journalAbbreviation":"The Journal of Allergy and Clinical Immunology: In Practice","language":"en","page":"365-372.e5","source":"DOI.org (Crossref)","title":"Quantification of Glucocorticoid-Associated Morbidity in Severe Asthma Using the Glucocorticoid Toxicity Index","volume":"9","author":[{"family":"McDowell","given":"P. Jane"},{"family":"Stone","given":"John H."},{"family":"Zhang","given":"Yuqing"},{"family":"Honeyford","given":"Kirsty"},{"family":"Dunn","given":"Louise"},{"family":"Logan","given":"R. Jayne"},{"family":"Butler","given":"Claire A."},{"family":"McGarvey","given":"Lorcan P.A."},{"family":"Heaney","given":"Liam G."}],"issued":{"date-parts":[["2021",1]]}}},{"id":4197,"uris":["http://zotero.org/users/13605431/items/7SSBXYTK"],"itemData":{"id":4197,"type":"article-journal","abstract":"Rituximab (RTX) combined with short-term glucocorticoids (GC) is an effective therapeutic option for pemphigus. The newly developed Glucocorticoid Toxicity Index (GTI) tool provides the possibility to measure GC toxicities over time. To compare 1-year GTI between two groups of RTX-treated and RTX-naïve patients with pemphigus. The responsiveness of the GTI was also investigated. A prospective cohort of 129 adults with newly diagnosed pemphigus was conducted. GC-related toxicities were assessed at 3-month intervals according to Composite and Specific lists of the GTI. Of the patients, 76.7% (n = 99) received RTX. Throughout the time intervals, RTX-treated patients had lower GTI compared to RTX-naïve ones (p = 0.036). The mean GTI at 1-year was 34.3 in the RTX-treated group and 50.8 in the RTX-naïve group (p = 0.04). The most commonly observed GC-related toxicity was neuropsychiatric manifestations for 34% (224 events). The relapse rate of RTX-treated patients (1%) was significantly lower than RTX-naïve patients (10%) (p = 0.037). The GTI showed no correlation with cumulative GC consumption in both groups (p &gt; 0.05, both). Patients treated with GC alone had remarkably higher GTI than patients treated with GC plus RTX. The GTI is an applicable tool to quantitatively capture GC toxicities at the patient level in pemphigus.","container-title":"Dermatologic Therapy","DOI":"10.1111/dth.15902","ISSN":"1396-0296, 1529-8019","issue":"12","journalAbbreviation":"Dermatologic Therapy","language":"en","source":"DOI.org (Crossref)","title":"Applicability of glucocorticoid toxicity index in pemphigus: Comparison between two groups of rituximab</w:instrText>
      </w:r>
      <w:r w:rsidR="00386695" w:rsidRPr="00586786">
        <w:rPr>
          <w:rFonts w:ascii="Cambria Math" w:hAnsi="Cambria Math" w:cs="Cambria Math"/>
        </w:rPr>
        <w:instrText>‐</w:instrText>
      </w:r>
      <w:r w:rsidR="00386695" w:rsidRPr="00586786">
        <w:rPr>
          <w:rFonts w:ascii="Arial" w:hAnsi="Arial" w:cs="Arial"/>
        </w:rPr>
        <w:instrText>treated and rituximab</w:instrText>
      </w:r>
      <w:r w:rsidR="00386695" w:rsidRPr="00586786">
        <w:rPr>
          <w:rFonts w:ascii="Cambria Math" w:hAnsi="Cambria Math" w:cs="Cambria Math"/>
        </w:rPr>
        <w:instrText>‐</w:instrText>
      </w:r>
      <w:r w:rsidR="00386695" w:rsidRPr="00586786">
        <w:rPr>
          <w:rFonts w:ascii="Arial" w:hAnsi="Arial" w:cs="Arial"/>
        </w:rPr>
        <w:instrText xml:space="preserve">naïve patients","title-short":"Applicability of glucocorticoid toxicity index in pemphigus","volume":"35","author":[{"family":"Mazaherpour","given":"Elham"},{"family":"Kianfar","given":"Nika"},{"family":"Dasdar","given":"Shayan"},{"family":"Sedaghat","given":"Mojtaba"},{"family":"Seyrafi","given":"Hassan"},{"family":"Balighi","given":"Kamran"},{"family":"Saberi","given":"Fatemeh"},{"family":"Nili","given":"Ali"},{"family":"Farimani","given":"Zeinab"},{"family":"Azar","given":"Pedram Molhem"},{"family":"Mahmoodi","given":"Hamidreza"},{"family":"Murrell","given":"Dedee F."},{"family":"Daneshpazhooh","given":"Maryam"}],"issued":{"date-parts":[["2022",12]]}}},{"id":4248,"uris":["http://zotero.org/users/13605431/items/D7I46I5P"],"itemData":{"id":4248,"type":"article-journal","abstract":"Objective: Lupus nephritis (LN) is often treated with high doses of glucocorticoids (GCs). The glucocorticoid toxicity index (GTI) was developed by expert consensus to quantify GC toxicity. To date, the GTI has not been shown to correlate with GC exposure in patients with LN.\nMethods: We performed a retrospective cohort study of patients with biopsy-conﬁrmed LN between 2006 and 2016. Cumulative GC exposure and GTI scores were determined via medical record review. Both the aggregate improvement score (GTI-AIS) and the cumulative worsening score (GTI-CWS) were calculated. We performed linear regression to determine the association between GC exposure and GTI scores at 1 year and 5 years following kidney biopsy.\nResults: This study included 49 patients with a mean age of 33.3 (SD 9.5) years. Mean GC exposure was 23.0 mg prednisone-equivalents per day through year 1 and 9.9 mg prednisone-equivalents per day through year 5. At 5 years, higher GC exposure was associated with higher GTI-AIS (p &lt; 0.001) and GTI-CWS (p = 0.002), and this association persisted in multivariate analysis adjusting for age, sex, race, induction medication, and nephritis class (p = 0.026 for AIS, p = 0.012 for CWS). At 1 year, GC exposure was not associated with GTI scores (p = 0.70 for AIS; p = 0.58 for CWS).\nConclusion: In this cohort study, the GTI was associated with cumulative steroid exposure at 5 years after diagnosis. In patients with LN, the GTI may serve as a useful outcome measure in future LN trials evaluating the steroid sparing effect of novel therapies.","container-title":"Lupus","DOI":"10.1177/09612033231160969","ISSN":"0961-2033, 1477-0962","issue":"4","journalAbbreviation":"Lupus","language":"en","page":"565-570","source":"DOI.org (Crossref)","title":"Estimating glucocorticoid-related morbidity in lupus nephritis using the glucocorticoid toxicity index","volume":"32","author":[{"family":"Usiskin","given":"Ilana M"},{"family":"Kyttaris","given":"Vasileios C"}],"issued":{"date-parts":[["2023",4]]}}},{"id":4250,"uris":["http://zotero.org/users/13605431/items/8TE8S274"],"itemData":{"id":4250,"type":"article-journal","abstract":"Background: Glucocorticoids are the mainstay of treatment for autoimmune blistering diseases (AIBDs). The Glucocorticoid Toxicity Index (GTI) is a novel, outcome-based glucocorticoid-induced adverse effects monitoring instrument.\nObjective: To investigate whether the GTI score was able to accurately quantify the glucocorticoid-induced toxicity in patients with AIBDs.\nMethods: The prospective cohort study included patients with conﬁrmed diagnoses of AIBDs (group1, currently receiving glucocorticoids; and group 2, had glucocorticoids ceased earlier). Data were collected minimally at baseline (V1) and 3 months (V2). Further data from patients who were able to complete the follow-up visits at 6 months (V3) and 12 months (V4) amid the COVID-19 pandemic were also included. GTI scores were calculated after data collection.\nResults: Analysis of data from V1 and V2 found a linear correlation between GTI score and prednisone doses (P \\.05) and a significant difference in GTI scores between group1 and group 2 (P \\.05). Data from V3 and V4 suggested that GTI scores continued to rise progressively alongside increasing cumulative prednisone dose. Limitations: Small sample size, further exacerbated by the COVID-19 pandemic. Single-center study.\nConclusion: The GTI sensitively and speciﬁcally captured the changes in glucocorticoids toxicity over time among patients with AIBDs. The GTI could be a feasible tool that can be used in future clinical trials as a glucocorticoid-induced toxicity outcome measure. ( JAAD Int 2022;6:68-76.)","container-title":"JAAD International","DOI":"10.1016/j.jdin.2021.09.003","ISSN":"26663287","journalAbbreviation":"JAAD International","language":"en","page":"68-76","source":"DOI.org (Crossref)","title":"Evaluation of the toxicity of glucocorticoids in patients with autoimmune blistering disease using the Glucocorticoid Toxicity Index: A cohort study","title-short":"Evaluation of the toxicity of glucocorticoids in patients with autoimmune blistering disease using the Glucocorticoid Toxicity Index","volume":"6","author":[{"family":"Liang","given":"Yicong"},{"family":"Zeng","given":"Faith A.P."},{"family":"Sheriff","given":"Tabrez"},{"family":"Wilson","given":"Anna"},{"family":"Bilgic","given":"Asli"},{"family":"Feng","given":"Grant"},{"family":"Stone","given":"John H."},{"family":"Murrell","given":"Dedee F."}],"issued":{"date-parts":[["2022",3]]}}}],"schema":"https://github.com/citation-style-language/schema/raw/master/csl-citation.json"} </w:instrText>
      </w:r>
      <w:r w:rsidR="00D61E86" w:rsidRPr="00586786">
        <w:rPr>
          <w:rFonts w:ascii="Arial" w:hAnsi="Arial" w:cs="Arial"/>
        </w:rPr>
        <w:fldChar w:fldCharType="separate"/>
      </w:r>
      <w:r w:rsidR="00386695" w:rsidRPr="00586786">
        <w:rPr>
          <w:rFonts w:ascii="Arial" w:hAnsi="Arial" w:cs="Arial"/>
          <w:kern w:val="0"/>
        </w:rPr>
        <w:t>(10,21,28,30,32,33)</w:t>
      </w:r>
      <w:r w:rsidR="00D61E86" w:rsidRPr="00586786">
        <w:rPr>
          <w:rFonts w:ascii="Arial" w:hAnsi="Arial" w:cs="Arial"/>
        </w:rPr>
        <w:fldChar w:fldCharType="end"/>
      </w:r>
      <w:r w:rsidRPr="00586786">
        <w:rPr>
          <w:rFonts w:ascii="Arial" w:hAnsi="Arial" w:cs="Arial"/>
        </w:rPr>
        <w:t>, SLE damage index (n=1)</w:t>
      </w:r>
      <w:r w:rsidR="00D61E86" w:rsidRPr="00586786">
        <w:rPr>
          <w:rFonts w:ascii="Arial" w:hAnsi="Arial" w:cs="Arial"/>
        </w:rPr>
        <w:fldChar w:fldCharType="begin"/>
      </w:r>
      <w:r w:rsidR="00386695" w:rsidRPr="00586786">
        <w:rPr>
          <w:rFonts w:ascii="Arial" w:hAnsi="Arial" w:cs="Arial"/>
        </w:rPr>
        <w:instrText xml:space="preserve"> ADDIN ZOTERO_ITEM CSL_CITATION {"citationID":"OdhbgBVo","properties":{"formattedCitation":"(23)","plainCitation":"(23)","noteIndex":0},"citationItems":[{"id":4268,"uris":["http://zotero.org/users/13605431/items/BY5KSIH2"],"itemData":{"id":4268,"type":"article-journal","abstract":"Objective. The existing guidelines for lupus nephritis (LN) recommend initial prednisone doses of 0.3–1.0 mg/kg/ day. However, recent studies reported noninferior outcomes with lower doses. The aim of this study was to compare the complete renal response rates in LN patients treated with prednisone ≤30 mg/day or ≥40 mg/day.\nMethods. Patients with new-onset LN and standard immunosuppressive treatment were followed for at least 12 months, divided into medium (≤30 mg/day) and high prednisone groups (≥40 mg/day) and matched (propensity score) based on the baseline differences. Complete renal response was deﬁned as proteinuria &lt;0.5 gm/day and no worsening in renal function. Glucocorticoid-related damage was also assessed.\nResults. High-dose prednisone patients (n = 103; mean ± SD dose 48.6 ± 12.3 mg/day) achieved better rates of complete response compared to the medium group (n = 103; mean ± SD dose 24.2 ± 4.6 mg/day) (61.8% versus 38.2%; P = 0.024) at 12 months. The difference in response rates was reproduced for several subgroups (concomitant immunosuppressive treatment, proliferative/nonproliferative LN). Complete remission rates were higher at 2 years (67.8% versus 39%; P = 0.002) and 3 years (64.9% versus 49.1%; P = 0.025) after LN diagnosis. Cumulative glucocorticoid dose was comparable at 2 and 3 years. Glucocorticoid-related damage was accelerated in both groups for the same period.\nConclusion. Higher initial prednisone doses (median 45 mg/day) achieved signiﬁcantly better rates of complete renal response at 12 months in new-onset LN. Cumulative glucocorticoid dose and damage accrual were not different at 2 and 3 years after LN. Damage was more prominent in the late phases of LN in both groups, underlining the importance of rapid tapering and the need to implement alternative strategies.","container-title":"Arthritis Care &amp; Research","DOI":"10.1002/acr.24592","ISSN":"2151-464X, 2151-4658","issue":"9","journalAbbreviation":"Arthritis Care &amp; Research","language":"en","page":"1451-1458","source":"DOI.org (Crossref)","title":"Medium Versus High Initial Prednisone Dose for Remission Induction in Lupus Nephritis: A Propensity Score–Matched Analysis","title-short":"Medium Versus High Initial Prednisone Dose for Remission Induction in Lupus Nephritis","volume":"74","author":[{"family":"Tselios","given":"Konstantinos"},{"family":"Gladman","given":"Dafna D."},{"family":"Al</w:instrText>
      </w:r>
      <w:r w:rsidR="00386695" w:rsidRPr="00586786">
        <w:rPr>
          <w:rFonts w:ascii="Cambria Math" w:hAnsi="Cambria Math" w:cs="Cambria Math"/>
        </w:rPr>
        <w:instrText>‐</w:instrText>
      </w:r>
      <w:r w:rsidR="00386695" w:rsidRPr="00586786">
        <w:rPr>
          <w:rFonts w:ascii="Arial" w:hAnsi="Arial" w:cs="Arial"/>
        </w:rPr>
        <w:instrText xml:space="preserve">Sheikh","given":"Haifa"},{"family":"Su","given":"Jiandong"},{"family":"Urowitz","given":"Murray B."}],"issued":{"date-parts":[["2022",9]]}}}],"schema":"https://github.com/citation-style-language/schema/raw/master/csl-citation.json"} </w:instrText>
      </w:r>
      <w:r w:rsidR="00D61E86" w:rsidRPr="00586786">
        <w:rPr>
          <w:rFonts w:ascii="Arial" w:hAnsi="Arial" w:cs="Arial"/>
        </w:rPr>
        <w:fldChar w:fldCharType="separate"/>
      </w:r>
      <w:r w:rsidR="00386695" w:rsidRPr="00586786">
        <w:rPr>
          <w:rFonts w:ascii="Arial" w:hAnsi="Arial" w:cs="Arial"/>
          <w:noProof/>
        </w:rPr>
        <w:t>(23)</w:t>
      </w:r>
      <w:r w:rsidR="00D61E86" w:rsidRPr="00586786">
        <w:rPr>
          <w:rFonts w:ascii="Arial" w:hAnsi="Arial" w:cs="Arial"/>
        </w:rPr>
        <w:fldChar w:fldCharType="end"/>
      </w:r>
      <w:r w:rsidRPr="00586786">
        <w:rPr>
          <w:rFonts w:ascii="Arial" w:hAnsi="Arial" w:cs="Arial"/>
        </w:rPr>
        <w:t xml:space="preserve">, WHO-UMC </w:t>
      </w:r>
      <w:r w:rsidR="00A72BBA" w:rsidRPr="00586786">
        <w:rPr>
          <w:rFonts w:ascii="Arial" w:hAnsi="Arial" w:cs="Arial"/>
        </w:rPr>
        <w:t>assessment scale</w:t>
      </w:r>
      <w:r w:rsidRPr="00586786">
        <w:rPr>
          <w:rFonts w:ascii="Arial" w:hAnsi="Arial" w:cs="Arial"/>
        </w:rPr>
        <w:t xml:space="preserve"> (n=1) and modified Hartwig and Seigel scale (n=1)</w:t>
      </w:r>
      <w:r w:rsidR="00D61E86" w:rsidRPr="00586786">
        <w:rPr>
          <w:rFonts w:ascii="Arial" w:hAnsi="Arial" w:cs="Arial"/>
        </w:rPr>
        <w:fldChar w:fldCharType="begin"/>
      </w:r>
      <w:r w:rsidR="00386695" w:rsidRPr="00586786">
        <w:rPr>
          <w:rFonts w:ascii="Arial" w:hAnsi="Arial" w:cs="Arial"/>
        </w:rPr>
        <w:instrText xml:space="preserve"> ADDIN ZOTERO_ITEM CSL_CITATION {"citationID":"t4WtIq8A","properties":{"formattedCitation":"(35)","plainCitation":"(35)","noteIndex":0},"citationItems":[{"id":4258,"uris":["http://zotero.org/users/13605431/items/XYYAUV82"],"itemData":{"id":4258,"type":"article-journal","abstract":"Glucocorticoids are used in therapy empirically, but undesirable effects occur with large doses or prolonged administration. The aim of the study is to assess the pattern of adverse drug reactions of glucocorticoids in a tertiary care hospital. A retrospective analysis of adverse drug reactions (ADRs) following administration of glucocorticoids was conducted in the ADR monitoring center, Department of Pharmacology, Kasturba Medical College, Manipal. Clinical and treatment data were collected from the patient case records in the suspected adverse drug reaction reporting form as per the World Health Organization guidelines.  ADRs were assessed for Causality, Preventability and Severity using WHO causality assessment scale, Modified Schumock and Thornton’s scale and Hartwig’s severity scale, respectively. 100 ADRs were observed in 85 patients, with 51% males and 49% females. Prednisolone (53%) was the most common drug responsible for ADRs, followed by betamethasone (9%) and dexamethasone (8%). Hyperglycemia (34%) was the most common ADR, followed by cutaneous adverse reactions (32%). Acne (20%) was common among them. Over 86% reactions were categorized \"possible\". Among ADRs (91%) treated, only 16 % recovered. About 39% of cases were \"probably preventable\". The majority of ADRs (72%) were moderate in “severity”. Given the number and severity of side effects, the institution of glucocorticoids requires careful consideration of the relative risks and benefits in each patient.","container-title":"International Journal of Research in Pharmaceutical Sciences","DOI":"10.26452/ijrps.v12i2.4748","ISSN":"0975-7538","issue":"2","journalAbbreviation":"ijrps","language":"en","license":"https://creativecommons.org/licenses/by-nc-nd/4.0","page":"1611-1619","source":"DOI.org (Crossref)","title":"Glucocorticoids: Boon or Bane-An assessment of safety profiling of steroids in a tertiary care hospital","title-short":"Glucocorticoids","volume":"12","author":[{"family":"Holla","given":"Sadhana"}],"issued":{"date-parts":[["2021",6,12]]}}}],"schema":"https://github.com/citation-style-language/schema/raw/master/csl-citation.json"} </w:instrText>
      </w:r>
      <w:r w:rsidR="00D61E86" w:rsidRPr="00586786">
        <w:rPr>
          <w:rFonts w:ascii="Arial" w:hAnsi="Arial" w:cs="Arial"/>
        </w:rPr>
        <w:fldChar w:fldCharType="separate"/>
      </w:r>
      <w:r w:rsidR="00386695" w:rsidRPr="00586786">
        <w:rPr>
          <w:rFonts w:ascii="Arial" w:hAnsi="Arial" w:cs="Arial"/>
          <w:noProof/>
        </w:rPr>
        <w:t>(35)</w:t>
      </w:r>
      <w:r w:rsidR="00D61E86" w:rsidRPr="00586786">
        <w:rPr>
          <w:rFonts w:ascii="Arial" w:hAnsi="Arial" w:cs="Arial"/>
        </w:rPr>
        <w:fldChar w:fldCharType="end"/>
      </w:r>
      <w:r w:rsidRPr="00586786">
        <w:rPr>
          <w:rFonts w:ascii="Arial" w:hAnsi="Arial" w:cs="Arial"/>
        </w:rPr>
        <w:t>. A single paper</w:t>
      </w:r>
      <w:r w:rsidRPr="00586786">
        <w:rPr>
          <w:rFonts w:ascii="Arial" w:hAnsi="Arial" w:cs="Arial"/>
        </w:rPr>
        <w:fldChar w:fldCharType="begin"/>
      </w:r>
      <w:r w:rsidR="00386695" w:rsidRPr="00586786">
        <w:rPr>
          <w:rFonts w:ascii="Arial" w:hAnsi="Arial" w:cs="Arial"/>
        </w:rPr>
        <w:instrText xml:space="preserve"> ADDIN ZOTERO_ITEM CSL_CITATION {"citationID":"ygdKpja1","properties":{"formattedCitation":"(66)","plainCitation":"(66)","noteIndex":0},"citationItems":[{"id":4528,"uris":["http://zotero.org/users/13605431/items/DEZWRTSP"],"itemData":{"id":4528,"type":"article-journal","container-title":"Journal of Drugs in Dermatology","issue":"4","page":"328-332","title":"Short-term safety assessment of clobetasol propionate 0.05% shampoo hypothalamic-pituitary-adrenal axis suppression, atrophogenicity, and ocular safety in subjects with scalp psoriasis","volume":"5","author":[{"family":"Andres","given":"Phillipe"},{"family":"Poncet","given":"Michel"},{"family":"Sidou","given":"Farzaneh"},{"family":"Soto","given":"Pascale"}],"issued":{"date-parts":[["2006"]]}}}],"schema":"https://github.com/citation-style-language/schema/raw/master/csl-citation.json"} </w:instrText>
      </w:r>
      <w:r w:rsidRPr="00586786">
        <w:rPr>
          <w:rFonts w:ascii="Arial" w:hAnsi="Arial" w:cs="Arial"/>
        </w:rPr>
        <w:fldChar w:fldCharType="separate"/>
      </w:r>
      <w:r w:rsidR="00386695" w:rsidRPr="00586786">
        <w:rPr>
          <w:rFonts w:ascii="Arial" w:hAnsi="Arial" w:cs="Arial"/>
          <w:noProof/>
        </w:rPr>
        <w:t>(66)</w:t>
      </w:r>
      <w:r w:rsidRPr="00586786">
        <w:rPr>
          <w:rFonts w:ascii="Arial" w:hAnsi="Arial" w:cs="Arial"/>
        </w:rPr>
        <w:fldChar w:fldCharType="end"/>
      </w:r>
      <w:r w:rsidRPr="00586786">
        <w:rPr>
          <w:rFonts w:ascii="Arial" w:hAnsi="Arial" w:cs="Arial"/>
        </w:rPr>
        <w:t xml:space="preserve"> developed a binary, composite assessment </w:t>
      </w:r>
      <w:r w:rsidR="00FA4D3E" w:rsidRPr="00586786">
        <w:rPr>
          <w:rFonts w:ascii="Arial" w:hAnsi="Arial" w:cs="Arial"/>
        </w:rPr>
        <w:t xml:space="preserve">tool to measure </w:t>
      </w:r>
      <w:r w:rsidRPr="00586786">
        <w:rPr>
          <w:rFonts w:ascii="Arial" w:hAnsi="Arial" w:cs="Arial"/>
        </w:rPr>
        <w:t>ocular safety</w:t>
      </w:r>
      <w:r w:rsidR="00A72BBA" w:rsidRPr="00586786">
        <w:rPr>
          <w:rFonts w:ascii="Arial" w:hAnsi="Arial" w:cs="Arial"/>
        </w:rPr>
        <w:t xml:space="preserve">. This </w:t>
      </w:r>
      <w:r w:rsidRPr="00586786">
        <w:rPr>
          <w:rFonts w:ascii="Arial" w:hAnsi="Arial" w:cs="Arial"/>
        </w:rPr>
        <w:t xml:space="preserve">included assessment of intraocular pressure (IOP, measured by Goldman method), slit lamp examination, visual acuity assessment (Parinaud scale for near visual acuity, </w:t>
      </w:r>
      <w:proofErr w:type="spellStart"/>
      <w:r w:rsidRPr="00586786">
        <w:rPr>
          <w:rFonts w:ascii="Arial" w:hAnsi="Arial" w:cs="Arial"/>
        </w:rPr>
        <w:t>Monoyer</w:t>
      </w:r>
      <w:proofErr w:type="spellEnd"/>
      <w:r w:rsidRPr="00586786">
        <w:rPr>
          <w:rFonts w:ascii="Arial" w:hAnsi="Arial" w:cs="Arial"/>
        </w:rPr>
        <w:t xml:space="preserve"> scale for far visual acuity) and subject rating of sensory change</w:t>
      </w:r>
      <w:r w:rsidR="00C75EFF" w:rsidRPr="00586786">
        <w:rPr>
          <w:rFonts w:ascii="Arial" w:hAnsi="Arial" w:cs="Arial"/>
        </w:rPr>
        <w:t xml:space="preserve"> to assign a</w:t>
      </w:r>
      <w:r w:rsidR="000A25EF" w:rsidRPr="00586786">
        <w:rPr>
          <w:rFonts w:ascii="Arial" w:hAnsi="Arial" w:cs="Arial"/>
        </w:rPr>
        <w:t xml:space="preserve">n investigator </w:t>
      </w:r>
      <w:r w:rsidR="00C75EFF" w:rsidRPr="00586786">
        <w:rPr>
          <w:rFonts w:ascii="Arial" w:hAnsi="Arial" w:cs="Arial"/>
        </w:rPr>
        <w:t xml:space="preserve">measure of ‘tolerable’ or ‘not tolerable’. </w:t>
      </w:r>
      <w:r w:rsidR="001B5680" w:rsidRPr="00586786">
        <w:rPr>
          <w:rFonts w:ascii="Arial" w:hAnsi="Arial" w:cs="Arial"/>
        </w:rPr>
        <w:t xml:space="preserve">AIRD populations were included in four studies, non-AIRD populations in three studies, an unrestricted population in one study and an unspecified patient population in one study. </w:t>
      </w:r>
      <w:r w:rsidR="004D2C10" w:rsidRPr="00586786">
        <w:rPr>
          <w:rFonts w:ascii="Arial" w:hAnsi="Arial" w:cs="Arial"/>
        </w:rPr>
        <w:t xml:space="preserve">GCs </w:t>
      </w:r>
      <w:r w:rsidR="00C75EFF" w:rsidRPr="00586786">
        <w:rPr>
          <w:rFonts w:ascii="Arial" w:hAnsi="Arial" w:cs="Arial"/>
        </w:rPr>
        <w:t xml:space="preserve">were delivered systemically in </w:t>
      </w:r>
      <w:r w:rsidR="00A72BBA" w:rsidRPr="00586786">
        <w:rPr>
          <w:rFonts w:ascii="Arial" w:hAnsi="Arial" w:cs="Arial"/>
        </w:rPr>
        <w:t>seven</w:t>
      </w:r>
      <w:r w:rsidR="00C75EFF" w:rsidRPr="00586786">
        <w:rPr>
          <w:rFonts w:ascii="Arial" w:hAnsi="Arial" w:cs="Arial"/>
        </w:rPr>
        <w:t xml:space="preserve"> studies, inhaled </w:t>
      </w:r>
      <w:r w:rsidR="00A72BBA" w:rsidRPr="00586786">
        <w:rPr>
          <w:rFonts w:ascii="Arial" w:hAnsi="Arial" w:cs="Arial"/>
        </w:rPr>
        <w:t>in two</w:t>
      </w:r>
      <w:r w:rsidR="00C75EFF" w:rsidRPr="00586786">
        <w:rPr>
          <w:rFonts w:ascii="Arial" w:hAnsi="Arial" w:cs="Arial"/>
        </w:rPr>
        <w:t xml:space="preserve"> studies, topically in </w:t>
      </w:r>
      <w:r w:rsidR="00A72BBA" w:rsidRPr="00586786">
        <w:rPr>
          <w:rFonts w:ascii="Arial" w:hAnsi="Arial" w:cs="Arial"/>
        </w:rPr>
        <w:t>two</w:t>
      </w:r>
      <w:r w:rsidR="00C75EFF" w:rsidRPr="00586786">
        <w:rPr>
          <w:rFonts w:ascii="Arial" w:hAnsi="Arial" w:cs="Arial"/>
        </w:rPr>
        <w:t xml:space="preserve"> studies and not specified in </w:t>
      </w:r>
      <w:r w:rsidR="00A72BBA" w:rsidRPr="00586786">
        <w:rPr>
          <w:rFonts w:ascii="Arial" w:hAnsi="Arial" w:cs="Arial"/>
        </w:rPr>
        <w:t>one</w:t>
      </w:r>
      <w:r w:rsidR="00C75EFF" w:rsidRPr="00586786">
        <w:rPr>
          <w:rFonts w:ascii="Arial" w:hAnsi="Arial" w:cs="Arial"/>
        </w:rPr>
        <w:t xml:space="preserve"> study. </w:t>
      </w:r>
      <w:r w:rsidR="0062729E" w:rsidRPr="00586786">
        <w:rPr>
          <w:rFonts w:ascii="Arial" w:hAnsi="Arial" w:cs="Arial"/>
        </w:rPr>
        <w:t xml:space="preserve">One paper was the development paper for the </w:t>
      </w:r>
      <w:r w:rsidR="00710A04" w:rsidRPr="00586786">
        <w:rPr>
          <w:rFonts w:ascii="Arial" w:hAnsi="Arial" w:cs="Arial"/>
        </w:rPr>
        <w:t xml:space="preserve">included </w:t>
      </w:r>
      <w:r w:rsidR="0062729E" w:rsidRPr="00586786">
        <w:rPr>
          <w:rFonts w:ascii="Arial" w:hAnsi="Arial" w:cs="Arial"/>
        </w:rPr>
        <w:t>instrument</w:t>
      </w:r>
      <w:r w:rsidR="003923EE" w:rsidRPr="00586786">
        <w:rPr>
          <w:rFonts w:ascii="Arial" w:hAnsi="Arial" w:cs="Arial"/>
        </w:rPr>
        <w:t>;</w:t>
      </w:r>
      <w:r w:rsidR="0062729E" w:rsidRPr="00586786">
        <w:rPr>
          <w:rFonts w:ascii="Arial" w:hAnsi="Arial" w:cs="Arial"/>
        </w:rPr>
        <w:t xml:space="preserve"> the remaining </w:t>
      </w:r>
      <w:r w:rsidR="00A72BBA" w:rsidRPr="00586786">
        <w:rPr>
          <w:rFonts w:ascii="Arial" w:hAnsi="Arial" w:cs="Arial"/>
        </w:rPr>
        <w:t>eight</w:t>
      </w:r>
      <w:r w:rsidR="0062729E" w:rsidRPr="00586786">
        <w:rPr>
          <w:rFonts w:ascii="Arial" w:hAnsi="Arial" w:cs="Arial"/>
        </w:rPr>
        <w:t xml:space="preserve"> papers were validating existing instruments. </w:t>
      </w:r>
      <w:r w:rsidR="00E53E67" w:rsidRPr="00586786">
        <w:rPr>
          <w:rFonts w:ascii="Arial" w:hAnsi="Arial" w:cs="Arial"/>
        </w:rPr>
        <w:t>Eight studies were used to measure change over time with the included instrument</w:t>
      </w:r>
      <w:r w:rsidR="003923EE" w:rsidRPr="00586786">
        <w:rPr>
          <w:rFonts w:ascii="Arial" w:hAnsi="Arial" w:cs="Arial"/>
        </w:rPr>
        <w:t>;</w:t>
      </w:r>
      <w:r w:rsidR="00E53E67" w:rsidRPr="00586786">
        <w:rPr>
          <w:rFonts w:ascii="Arial" w:hAnsi="Arial" w:cs="Arial"/>
        </w:rPr>
        <w:t xml:space="preserve"> one paper </w:t>
      </w:r>
      <w:r w:rsidR="001D7065" w:rsidRPr="00586786">
        <w:rPr>
          <w:rFonts w:ascii="Arial" w:hAnsi="Arial" w:cs="Arial"/>
        </w:rPr>
        <w:t>measured a single time point</w:t>
      </w:r>
      <w:r w:rsidR="00E53E67" w:rsidRPr="00586786">
        <w:rPr>
          <w:rFonts w:ascii="Arial" w:hAnsi="Arial" w:cs="Arial"/>
        </w:rPr>
        <w:t xml:space="preserve">. </w:t>
      </w:r>
    </w:p>
    <w:p w14:paraId="6A9D8428" w14:textId="77777777" w:rsidR="005A2C56" w:rsidRPr="00586786" w:rsidRDefault="005A2C56" w:rsidP="00586786">
      <w:pPr>
        <w:spacing w:line="360" w:lineRule="auto"/>
        <w:rPr>
          <w:rFonts w:ascii="Arial" w:hAnsi="Arial" w:cs="Arial"/>
        </w:rPr>
      </w:pPr>
    </w:p>
    <w:p w14:paraId="40234DBF" w14:textId="313BEB24" w:rsidR="00C74AE4" w:rsidRPr="00586786" w:rsidRDefault="00E0194E" w:rsidP="00586786">
      <w:pPr>
        <w:spacing w:line="360" w:lineRule="auto"/>
        <w:rPr>
          <w:rFonts w:ascii="Arial" w:hAnsi="Arial" w:cs="Arial"/>
          <w:i/>
          <w:iCs/>
        </w:rPr>
      </w:pPr>
      <w:r w:rsidRPr="00586786">
        <w:rPr>
          <w:rFonts w:ascii="Arial" w:hAnsi="Arial" w:cs="Arial"/>
          <w:i/>
          <w:iCs/>
        </w:rPr>
        <w:t>3.</w:t>
      </w:r>
      <w:r w:rsidR="00246CA8" w:rsidRPr="00586786">
        <w:rPr>
          <w:rFonts w:ascii="Arial" w:hAnsi="Arial" w:cs="Arial"/>
          <w:i/>
          <w:iCs/>
        </w:rPr>
        <w:t>7</w:t>
      </w:r>
      <w:r w:rsidRPr="00586786">
        <w:rPr>
          <w:rFonts w:ascii="Arial" w:hAnsi="Arial" w:cs="Arial"/>
          <w:i/>
          <w:iCs/>
        </w:rPr>
        <w:t xml:space="preserve">.3 </w:t>
      </w:r>
      <w:r w:rsidR="00C74AE4" w:rsidRPr="00586786">
        <w:rPr>
          <w:rFonts w:ascii="Arial" w:hAnsi="Arial" w:cs="Arial"/>
          <w:i/>
          <w:iCs/>
        </w:rPr>
        <w:t xml:space="preserve">Sleep disturbance </w:t>
      </w:r>
    </w:p>
    <w:p w14:paraId="48839D14" w14:textId="48173E6F" w:rsidR="00C74AE4" w:rsidRPr="00586786" w:rsidRDefault="00C75EFF" w:rsidP="00586786">
      <w:pPr>
        <w:spacing w:line="360" w:lineRule="auto"/>
        <w:rPr>
          <w:rFonts w:ascii="Arial" w:hAnsi="Arial" w:cs="Arial"/>
        </w:rPr>
      </w:pPr>
      <w:r w:rsidRPr="00586786">
        <w:rPr>
          <w:rFonts w:ascii="Arial" w:hAnsi="Arial" w:cs="Arial"/>
        </w:rPr>
        <w:t xml:space="preserve">Two studies </w:t>
      </w:r>
      <w:r w:rsidR="00F01B80" w:rsidRPr="00586786">
        <w:rPr>
          <w:rFonts w:ascii="Arial" w:hAnsi="Arial" w:cs="Arial"/>
        </w:rPr>
        <w:t>evaluated</w:t>
      </w:r>
      <w:r w:rsidRPr="00586786">
        <w:rPr>
          <w:rFonts w:ascii="Arial" w:hAnsi="Arial" w:cs="Arial"/>
        </w:rPr>
        <w:t xml:space="preserve"> sleep disturbance, with </w:t>
      </w:r>
      <w:r w:rsidR="00A72BBA" w:rsidRPr="00586786">
        <w:rPr>
          <w:rFonts w:ascii="Arial" w:hAnsi="Arial" w:cs="Arial"/>
        </w:rPr>
        <w:t>two</w:t>
      </w:r>
      <w:r w:rsidRPr="00586786">
        <w:rPr>
          <w:rFonts w:ascii="Arial" w:hAnsi="Arial" w:cs="Arial"/>
        </w:rPr>
        <w:t xml:space="preserve"> candidate instruments identified</w:t>
      </w:r>
      <w:r w:rsidR="007A27D3" w:rsidRPr="00586786">
        <w:rPr>
          <w:rFonts w:ascii="Arial" w:hAnsi="Arial" w:cs="Arial"/>
        </w:rPr>
        <w:t xml:space="preserve"> (supplementary table 4)</w:t>
      </w:r>
      <w:r w:rsidRPr="00586786">
        <w:rPr>
          <w:rFonts w:ascii="Arial" w:hAnsi="Arial" w:cs="Arial"/>
        </w:rPr>
        <w:t xml:space="preserve">. In the first study, the </w:t>
      </w:r>
      <w:r w:rsidR="00A72BBA" w:rsidRPr="00586786">
        <w:rPr>
          <w:rFonts w:ascii="Arial" w:hAnsi="Arial" w:cs="Arial"/>
        </w:rPr>
        <w:t>CTCAE</w:t>
      </w:r>
      <w:r w:rsidRPr="00586786">
        <w:rPr>
          <w:rFonts w:ascii="Arial" w:hAnsi="Arial" w:cs="Arial"/>
        </w:rPr>
        <w:t xml:space="preserve"> (version 4) was used to assign a clinician rating to adverse effects that were detected from use of a patient reported outcome measure (dexamethasone symptom questionnaire – chronic</w:t>
      </w:r>
      <w:r w:rsidR="003F3998" w:rsidRPr="00586786">
        <w:rPr>
          <w:rFonts w:ascii="Arial" w:hAnsi="Arial" w:cs="Arial"/>
        </w:rPr>
        <w:t xml:space="preserve"> (DSQ-C)</w:t>
      </w:r>
      <w:r w:rsidRPr="00586786">
        <w:rPr>
          <w:rFonts w:ascii="Arial" w:hAnsi="Arial" w:cs="Arial"/>
        </w:rPr>
        <w:t xml:space="preserve">) in a population using </w:t>
      </w:r>
      <w:r w:rsidR="00A72BBA" w:rsidRPr="00586786">
        <w:rPr>
          <w:rFonts w:ascii="Arial" w:hAnsi="Arial" w:cs="Arial"/>
        </w:rPr>
        <w:t>GCs</w:t>
      </w:r>
      <w:r w:rsidRPr="00586786">
        <w:rPr>
          <w:rFonts w:ascii="Arial" w:hAnsi="Arial" w:cs="Arial"/>
        </w:rPr>
        <w:t xml:space="preserve"> systemically for treatment of primary brain tumours</w:t>
      </w:r>
      <w:r w:rsidRPr="00586786">
        <w:rPr>
          <w:rFonts w:ascii="Arial" w:hAnsi="Arial" w:cs="Arial"/>
        </w:rPr>
        <w:fldChar w:fldCharType="begin"/>
      </w:r>
      <w:r w:rsidR="00386695" w:rsidRPr="00586786">
        <w:rPr>
          <w:rFonts w:ascii="Arial" w:hAnsi="Arial" w:cs="Arial"/>
        </w:rPr>
        <w:instrText xml:space="preserve"> ADDIN ZOTERO_ITEM CSL_CITATION {"citationID":"G4yJPnxv","properties":{"formattedCitation":"(51)","plainCitation":"(51)","noteIndex":0},"citationItems":[{"id":4300,"uris":["http://zotero.org/users/13605431/items/LT4WC3V8"],"itemData":{"id":4300,"type":"article-journal","abstract":"Purpose In brain tumours, brain metastases or advanced cancer; treatment with corticosteroids, side effects can add to symptoms. These are best assessed by patients, complementing clinical assessment. We assessed the feasibility and validity of the Dexamethasone Symptom Questionnaire–Chronic (DSQChronic), patient and caregiver versions.","container-title":"Supportive Care in Cancer","DOI":"10.1007/s00520-015-2897-0","ISSN":"0941-4355, 1433-7339","issue":"3","journalAbbreviation":"Support Care Cancer","language":"en","page":"1209-1218","source":"DOI.org (Crossref)","title":"Validating self-report and proxy reports of the Dexamethasone Symptom Questionnaire -Chronic for the evaluation of longer-term corticosteroid toxicity","volume":"24","author":[{"literal":"On behalf of the Cooperative Trials Group for Neuro-Oncology (COGNO)"},{"family":"Agar","given":"Meera"},{"family":"Koh","given":"Eng-Siew"},{"family":"Gibbs","given":"Emma"},{"family":"Barnes","given":"Elizabeth H."},{"family":"Hovey","given":"Elizabeth"},{"family":"Livingstone","given":"Ann"},{"family":"Sawkins","given":"Kate"},{"family":"Chye","given":"Richard"},{"family":"Lovell","given":"Melanie R."},{"family":"Clark","given":"Katherine"},{"family":"Vardy","given":"Janette"},{"family":"King","given":"Madeleine"}],"issued":{"date-parts":[["2016",3]]}}}],"schema":"https://github.com/citation-style-language/schema/raw/master/csl-citation.json"} </w:instrText>
      </w:r>
      <w:r w:rsidRPr="00586786">
        <w:rPr>
          <w:rFonts w:ascii="Arial" w:hAnsi="Arial" w:cs="Arial"/>
        </w:rPr>
        <w:fldChar w:fldCharType="separate"/>
      </w:r>
      <w:r w:rsidR="00386695" w:rsidRPr="00586786">
        <w:rPr>
          <w:rFonts w:ascii="Arial" w:hAnsi="Arial" w:cs="Arial"/>
          <w:noProof/>
        </w:rPr>
        <w:t>(51)</w:t>
      </w:r>
      <w:r w:rsidRPr="00586786">
        <w:rPr>
          <w:rFonts w:ascii="Arial" w:hAnsi="Arial" w:cs="Arial"/>
        </w:rPr>
        <w:fldChar w:fldCharType="end"/>
      </w:r>
      <w:r w:rsidRPr="00586786">
        <w:rPr>
          <w:rFonts w:ascii="Arial" w:hAnsi="Arial" w:cs="Arial"/>
        </w:rPr>
        <w:t xml:space="preserve">. In the second study, polysomnography was used to define the apnoea-hypopnoea index (AHI) in a non-restricted population of patients using systemic </w:t>
      </w:r>
      <w:r w:rsidR="004D2C10" w:rsidRPr="00586786">
        <w:rPr>
          <w:rFonts w:ascii="Arial" w:hAnsi="Arial" w:cs="Arial"/>
        </w:rPr>
        <w:t>GCs</w:t>
      </w:r>
      <w:r w:rsidRPr="00586786">
        <w:rPr>
          <w:rFonts w:ascii="Arial" w:hAnsi="Arial" w:cs="Arial"/>
        </w:rPr>
        <w:fldChar w:fldCharType="begin"/>
      </w:r>
      <w:r w:rsidR="00386695" w:rsidRPr="00586786">
        <w:rPr>
          <w:rFonts w:ascii="Arial" w:hAnsi="Arial" w:cs="Arial"/>
        </w:rPr>
        <w:instrText xml:space="preserve"> ADDIN ZOTERO_ITEM CSL_CITATION {"citationID":"vQY6As4r","properties":{"formattedCitation":"(58)","plainCitation":"(58)","noteIndex":0},"citationItems":[{"id":4274,"uris":["http://zotero.org/users/13605431/items/LH38ULSI"],"itemData":{"id":4274,"type":"article-journal","abstract":"Background Excess endogenous steroids are a risk factor for obstructive sleep apnea (OSA). The role of exogenous steroids in this setup is not known. In this study, we prospectively looked at the consequences of a 3-month steroid treatment on the objective measures of sleepdisordered breathing.\nMethods Patients scheduled for long-term steroids treatment underwent two sleep studies, the first before initiation and the second after 3 months of steroid therapy. Their weight and neck girth were measured. Correlations between the changes in the body weight, neck girth, and cumulative steroids dose to apnea/hypopnea index (AHI) change were examined. A group of untreated mild OSA patients (n=23) served as control.\nResults Seventeen patients, five males and 12 females, mean age 52.4±12.6 years, were studied. Fifteen patients increased their mean AHI by 56% from 9.8±11.8 to 15.4±15.8, p= 0.004. This increment was significantly higher when compared to the control group. Body weight and neck girth changes and cumulative steroid dose were not correlated to the AHI increment (Spearman's correlation coefficient r= 0.18 and p=0.49, r=−0.23 and p=0.37, r=−0.17 and p= 0.51, respectively).\nConclusions We found that the objective measures of sleepdisordered breathing worsened after the 3-month steroid","container-title":"Sleep and Breathing","DOI":"10.1007/s11325-011-0541-x","ISSN":"1520-9512, 1522-1709","issue":"2","journalAbbreviation":"Sleep Breath","language":"en","license":"http://www.springer.com/tdm","page":"549-553","source":"DOI.org (Crossref)","title":"Preliminary prospective explanatory observation on the impact of 3-month steroid therapy on the objective measures of sleep-disordered breathing","volume":"16","author":[{"family":"Berger","given":"Gidon"},{"family":"Hardak","given":"Emilia"},{"family":"Shaham","given":"Beatrice"},{"family":"Avitan","given":"Emili"},{"family":"Yigla","given":"Mordechai"}],"issued":{"date-parts":[["2012",6]]}}}],"schema":"https://github.com/citation-style-language/schema/raw/master/csl-citation.json"} </w:instrText>
      </w:r>
      <w:r w:rsidRPr="00586786">
        <w:rPr>
          <w:rFonts w:ascii="Arial" w:hAnsi="Arial" w:cs="Arial"/>
        </w:rPr>
        <w:fldChar w:fldCharType="separate"/>
      </w:r>
      <w:r w:rsidR="00386695" w:rsidRPr="00586786">
        <w:rPr>
          <w:rFonts w:ascii="Arial" w:hAnsi="Arial" w:cs="Arial"/>
          <w:noProof/>
        </w:rPr>
        <w:t>(58)</w:t>
      </w:r>
      <w:r w:rsidRPr="00586786">
        <w:rPr>
          <w:rFonts w:ascii="Arial" w:hAnsi="Arial" w:cs="Arial"/>
        </w:rPr>
        <w:fldChar w:fldCharType="end"/>
      </w:r>
      <w:r w:rsidRPr="00586786">
        <w:rPr>
          <w:rFonts w:ascii="Arial" w:hAnsi="Arial" w:cs="Arial"/>
        </w:rPr>
        <w:t>.</w:t>
      </w:r>
      <w:r w:rsidR="003F3998" w:rsidRPr="00586786">
        <w:rPr>
          <w:rFonts w:ascii="Arial" w:hAnsi="Arial" w:cs="Arial"/>
        </w:rPr>
        <w:t xml:space="preserve"> In this paper, apnoea was defined as the complete cessation of airflow lasting for 10 seconds or more; hypopnoea was defined as either a ≥50% reduction in airflow for 10 s or more or less than 50%, but with discernible reduction in airflow accompanied either by a </w:t>
      </w:r>
      <w:r w:rsidR="003F3998" w:rsidRPr="00586786">
        <w:rPr>
          <w:rFonts w:ascii="Arial" w:hAnsi="Arial" w:cs="Arial"/>
        </w:rPr>
        <w:lastRenderedPageBreak/>
        <w:t xml:space="preserve">decrease in the oxyhaemoglobin saturation of &gt;3% or an arousal. The average number of episodes of </w:t>
      </w:r>
      <w:r w:rsidR="006048E3" w:rsidRPr="00586786">
        <w:rPr>
          <w:rFonts w:ascii="Arial" w:hAnsi="Arial" w:cs="Arial"/>
        </w:rPr>
        <w:t>apnoea</w:t>
      </w:r>
      <w:r w:rsidR="003F3998" w:rsidRPr="00586786">
        <w:rPr>
          <w:rFonts w:ascii="Arial" w:hAnsi="Arial" w:cs="Arial"/>
        </w:rPr>
        <w:t xml:space="preserve"> and hypopnoea per hour of sleep (AHI) was calculated as the summary measurement of sleep-disordered breathing. </w:t>
      </w:r>
      <w:r w:rsidR="0029466D" w:rsidRPr="00586786">
        <w:rPr>
          <w:rFonts w:ascii="Arial" w:hAnsi="Arial" w:cs="Arial"/>
        </w:rPr>
        <w:t xml:space="preserve">Both papers validated existing instruments </w:t>
      </w:r>
      <w:r w:rsidR="00A950BF" w:rsidRPr="00586786">
        <w:rPr>
          <w:rFonts w:ascii="Arial" w:hAnsi="Arial" w:cs="Arial"/>
        </w:rPr>
        <w:t>rather than</w:t>
      </w:r>
      <w:r w:rsidR="0029466D" w:rsidRPr="00586786">
        <w:rPr>
          <w:rFonts w:ascii="Arial" w:hAnsi="Arial" w:cs="Arial"/>
        </w:rPr>
        <w:t xml:space="preserve"> develop</w:t>
      </w:r>
      <w:r w:rsidR="00A950BF" w:rsidRPr="00586786">
        <w:rPr>
          <w:rFonts w:ascii="Arial" w:hAnsi="Arial" w:cs="Arial"/>
        </w:rPr>
        <w:t>ing</w:t>
      </w:r>
      <w:r w:rsidR="0029466D" w:rsidRPr="00586786">
        <w:rPr>
          <w:rFonts w:ascii="Arial" w:hAnsi="Arial" w:cs="Arial"/>
        </w:rPr>
        <w:t xml:space="preserve"> new instruments</w:t>
      </w:r>
      <w:r w:rsidR="00740733" w:rsidRPr="00586786">
        <w:rPr>
          <w:rFonts w:ascii="Arial" w:hAnsi="Arial" w:cs="Arial"/>
        </w:rPr>
        <w:t xml:space="preserve">, and measured change over time. </w:t>
      </w:r>
    </w:p>
    <w:p w14:paraId="3A211ECE" w14:textId="77777777" w:rsidR="005A2C56" w:rsidRPr="00586786" w:rsidRDefault="005A2C56" w:rsidP="00586786">
      <w:pPr>
        <w:spacing w:line="360" w:lineRule="auto"/>
        <w:rPr>
          <w:rFonts w:ascii="Arial" w:hAnsi="Arial" w:cs="Arial"/>
        </w:rPr>
      </w:pPr>
    </w:p>
    <w:p w14:paraId="31FD783E" w14:textId="2F0847EE" w:rsidR="00C74AE4" w:rsidRPr="00586786" w:rsidRDefault="00E0194E" w:rsidP="00586786">
      <w:pPr>
        <w:spacing w:line="360" w:lineRule="auto"/>
        <w:rPr>
          <w:rFonts w:ascii="Arial" w:hAnsi="Arial" w:cs="Arial"/>
          <w:i/>
          <w:iCs/>
        </w:rPr>
      </w:pPr>
      <w:r w:rsidRPr="00586786">
        <w:rPr>
          <w:rFonts w:ascii="Arial" w:hAnsi="Arial" w:cs="Arial"/>
          <w:i/>
          <w:iCs/>
        </w:rPr>
        <w:t>3.</w:t>
      </w:r>
      <w:r w:rsidR="00246CA8" w:rsidRPr="00586786">
        <w:rPr>
          <w:rFonts w:ascii="Arial" w:hAnsi="Arial" w:cs="Arial"/>
          <w:i/>
          <w:iCs/>
        </w:rPr>
        <w:t>7</w:t>
      </w:r>
      <w:r w:rsidRPr="00586786">
        <w:rPr>
          <w:rFonts w:ascii="Arial" w:hAnsi="Arial" w:cs="Arial"/>
          <w:i/>
          <w:iCs/>
        </w:rPr>
        <w:t xml:space="preserve">.4 </w:t>
      </w:r>
      <w:r w:rsidR="00C74AE4" w:rsidRPr="00586786">
        <w:rPr>
          <w:rFonts w:ascii="Arial" w:hAnsi="Arial" w:cs="Arial"/>
          <w:i/>
          <w:iCs/>
        </w:rPr>
        <w:t>Appearance</w:t>
      </w:r>
    </w:p>
    <w:p w14:paraId="6FDEDA93" w14:textId="63BCA535" w:rsidR="00C74AE4" w:rsidRPr="00586786" w:rsidRDefault="009A1CA3" w:rsidP="00586786">
      <w:pPr>
        <w:spacing w:line="360" w:lineRule="auto"/>
        <w:rPr>
          <w:rFonts w:ascii="Arial" w:hAnsi="Arial" w:cs="Arial"/>
        </w:rPr>
      </w:pPr>
      <w:r w:rsidRPr="00586786">
        <w:rPr>
          <w:rFonts w:ascii="Arial" w:hAnsi="Arial" w:cs="Arial"/>
        </w:rPr>
        <w:t>A single study assessed a clinician reported candidate instrument assessing appearance, utilising the CTCAE</w:t>
      </w:r>
      <w:r w:rsidR="00A72BBA" w:rsidRPr="00586786">
        <w:rPr>
          <w:rFonts w:ascii="Arial" w:hAnsi="Arial" w:cs="Arial"/>
        </w:rPr>
        <w:t xml:space="preserve"> (</w:t>
      </w:r>
      <w:r w:rsidRPr="00586786">
        <w:rPr>
          <w:rFonts w:ascii="Arial" w:hAnsi="Arial" w:cs="Arial"/>
        </w:rPr>
        <w:t>v</w:t>
      </w:r>
      <w:r w:rsidR="00A72BBA" w:rsidRPr="00586786">
        <w:rPr>
          <w:rFonts w:ascii="Arial" w:hAnsi="Arial" w:cs="Arial"/>
        </w:rPr>
        <w:t xml:space="preserve">ersion </w:t>
      </w:r>
      <w:r w:rsidRPr="00586786">
        <w:rPr>
          <w:rFonts w:ascii="Arial" w:hAnsi="Arial" w:cs="Arial"/>
        </w:rPr>
        <w:t>4</w:t>
      </w:r>
      <w:r w:rsidR="00A72BBA" w:rsidRPr="00586786">
        <w:rPr>
          <w:rFonts w:ascii="Arial" w:hAnsi="Arial" w:cs="Arial"/>
        </w:rPr>
        <w:t>)</w:t>
      </w:r>
      <w:r w:rsidRPr="00586786">
        <w:rPr>
          <w:rFonts w:ascii="Arial" w:hAnsi="Arial" w:cs="Arial"/>
        </w:rPr>
        <w:t xml:space="preserve"> </w:t>
      </w:r>
      <w:r w:rsidR="00E53E67" w:rsidRPr="00586786">
        <w:rPr>
          <w:rFonts w:ascii="Arial" w:hAnsi="Arial" w:cs="Arial"/>
        </w:rPr>
        <w:t xml:space="preserve">as a measure of change, </w:t>
      </w:r>
      <w:r w:rsidRPr="00586786">
        <w:rPr>
          <w:rFonts w:ascii="Arial" w:hAnsi="Arial" w:cs="Arial"/>
        </w:rPr>
        <w:t>assign</w:t>
      </w:r>
      <w:r w:rsidR="00E53E67" w:rsidRPr="00586786">
        <w:rPr>
          <w:rFonts w:ascii="Arial" w:hAnsi="Arial" w:cs="Arial"/>
        </w:rPr>
        <w:t>ing</w:t>
      </w:r>
      <w:r w:rsidRPr="00586786">
        <w:rPr>
          <w:rFonts w:ascii="Arial" w:hAnsi="Arial" w:cs="Arial"/>
        </w:rPr>
        <w:t xml:space="preserve"> a clinician rating to </w:t>
      </w:r>
      <w:r w:rsidR="00A72BBA" w:rsidRPr="00586786">
        <w:rPr>
          <w:rFonts w:ascii="Arial" w:hAnsi="Arial" w:cs="Arial"/>
        </w:rPr>
        <w:t>AEs</w:t>
      </w:r>
      <w:r w:rsidRPr="00586786">
        <w:rPr>
          <w:rFonts w:ascii="Arial" w:hAnsi="Arial" w:cs="Arial"/>
        </w:rPr>
        <w:t xml:space="preserve"> that were detected from use of the DSQ-C in a population using </w:t>
      </w:r>
      <w:r w:rsidR="00A72BBA" w:rsidRPr="00586786">
        <w:rPr>
          <w:rFonts w:ascii="Arial" w:hAnsi="Arial" w:cs="Arial"/>
        </w:rPr>
        <w:t>GCs</w:t>
      </w:r>
      <w:r w:rsidRPr="00586786">
        <w:rPr>
          <w:rFonts w:ascii="Arial" w:hAnsi="Arial" w:cs="Arial"/>
        </w:rPr>
        <w:t xml:space="preserve"> systemically for treatment of primary brain tumours</w:t>
      </w:r>
      <w:r w:rsidRPr="00586786">
        <w:rPr>
          <w:rFonts w:ascii="Arial" w:hAnsi="Arial" w:cs="Arial"/>
        </w:rPr>
        <w:fldChar w:fldCharType="begin"/>
      </w:r>
      <w:r w:rsidR="00386695" w:rsidRPr="00586786">
        <w:rPr>
          <w:rFonts w:ascii="Arial" w:hAnsi="Arial" w:cs="Arial"/>
        </w:rPr>
        <w:instrText xml:space="preserve"> ADDIN ZOTERO_ITEM CSL_CITATION {"citationID":"JBwEoK6c","properties":{"formattedCitation":"(51)","plainCitation":"(51)","noteIndex":0},"citationItems":[{"id":4300,"uris":["http://zotero.org/users/13605431/items/LT4WC3V8"],"itemData":{"id":4300,"type":"article-journal","abstract":"Purpose In brain tumours, brain metastases or advanced cancer; treatment with corticosteroids, side effects can add to symptoms. These are best assessed by patients, complementing clinical assessment. We assessed the feasibility and validity of the Dexamethasone Symptom Questionnaire–Chronic (DSQChronic), patient and caregiver versions.","container-title":"Supportive Care in Cancer","DOI":"10.1007/s00520-015-2897-0","ISSN":"0941-4355, 1433-7339","issue":"3","journalAbbreviation":"Support Care Cancer","language":"en","page":"1209-1218","source":"DOI.org (Crossref)","title":"Validating self-report and proxy reports of the Dexamethasone Symptom Questionnaire -Chronic for the evaluation of longer-term corticosteroid toxicity","volume":"24","author":[{"literal":"On behalf of the Cooperative Trials Group for Neuro-Oncology (COGNO)"},{"family":"Agar","given":"Meera"},{"family":"Koh","given":"Eng-Siew"},{"family":"Gibbs","given":"Emma"},{"family":"Barnes","given":"Elizabeth H."},{"family":"Hovey","given":"Elizabeth"},{"family":"Livingstone","given":"Ann"},{"family":"Sawkins","given":"Kate"},{"family":"Chye","given":"Richard"},{"family":"Lovell","given":"Melanie R."},{"family":"Clark","given":"Katherine"},{"family":"Vardy","given":"Janette"},{"family":"King","given":"Madeleine"}],"issued":{"date-parts":[["2016",3]]}}}],"schema":"https://github.com/citation-style-language/schema/raw/master/csl-citation.json"} </w:instrText>
      </w:r>
      <w:r w:rsidRPr="00586786">
        <w:rPr>
          <w:rFonts w:ascii="Arial" w:hAnsi="Arial" w:cs="Arial"/>
        </w:rPr>
        <w:fldChar w:fldCharType="separate"/>
      </w:r>
      <w:r w:rsidR="00386695" w:rsidRPr="00586786">
        <w:rPr>
          <w:rFonts w:ascii="Arial" w:hAnsi="Arial" w:cs="Arial"/>
          <w:noProof/>
        </w:rPr>
        <w:t>(51)</w:t>
      </w:r>
      <w:r w:rsidRPr="00586786">
        <w:rPr>
          <w:rFonts w:ascii="Arial" w:hAnsi="Arial" w:cs="Arial"/>
        </w:rPr>
        <w:fldChar w:fldCharType="end"/>
      </w:r>
      <w:r w:rsidRPr="00586786">
        <w:rPr>
          <w:rFonts w:ascii="Arial" w:hAnsi="Arial" w:cs="Arial"/>
        </w:rPr>
        <w:t>.</w:t>
      </w:r>
    </w:p>
    <w:p w14:paraId="47470DE8" w14:textId="77777777" w:rsidR="00775CB6" w:rsidRPr="00586786" w:rsidRDefault="00775CB6" w:rsidP="00586786">
      <w:pPr>
        <w:spacing w:line="360" w:lineRule="auto"/>
        <w:rPr>
          <w:rFonts w:ascii="Arial" w:hAnsi="Arial" w:cs="Arial"/>
        </w:rPr>
      </w:pPr>
    </w:p>
    <w:p w14:paraId="598190AC" w14:textId="778BD22A" w:rsidR="00E0194E" w:rsidRPr="00586786" w:rsidRDefault="00E0194E" w:rsidP="00586786">
      <w:pPr>
        <w:spacing w:line="360" w:lineRule="auto"/>
        <w:rPr>
          <w:rFonts w:ascii="Arial" w:hAnsi="Arial" w:cs="Arial"/>
        </w:rPr>
      </w:pPr>
      <w:r w:rsidRPr="00586786">
        <w:rPr>
          <w:rFonts w:ascii="Arial" w:hAnsi="Arial" w:cs="Arial"/>
          <w:i/>
          <w:iCs/>
        </w:rPr>
        <w:t>3.</w:t>
      </w:r>
      <w:r w:rsidR="00246CA8" w:rsidRPr="00586786">
        <w:rPr>
          <w:rFonts w:ascii="Arial" w:hAnsi="Arial" w:cs="Arial"/>
          <w:i/>
          <w:iCs/>
        </w:rPr>
        <w:t>8</w:t>
      </w:r>
      <w:r w:rsidRPr="00586786">
        <w:rPr>
          <w:rFonts w:ascii="Arial" w:hAnsi="Arial" w:cs="Arial"/>
        </w:rPr>
        <w:t xml:space="preserve"> </w:t>
      </w:r>
      <w:r w:rsidRPr="00586786">
        <w:rPr>
          <w:rFonts w:ascii="Arial" w:hAnsi="Arial" w:cs="Arial"/>
          <w:i/>
          <w:iCs/>
        </w:rPr>
        <w:t>Additional instruments identified</w:t>
      </w:r>
    </w:p>
    <w:p w14:paraId="4CE57690" w14:textId="1E552BC1" w:rsidR="009E22BA" w:rsidRPr="00586786" w:rsidRDefault="009E22BA" w:rsidP="00586786">
      <w:pPr>
        <w:spacing w:line="360" w:lineRule="auto"/>
        <w:rPr>
          <w:rFonts w:ascii="Arial" w:hAnsi="Arial" w:cs="Arial"/>
        </w:rPr>
      </w:pPr>
      <w:r w:rsidRPr="00586786">
        <w:rPr>
          <w:rFonts w:ascii="Arial" w:hAnsi="Arial" w:cs="Arial"/>
        </w:rPr>
        <w:t xml:space="preserve">Additional </w:t>
      </w:r>
      <w:r w:rsidR="00F017F4" w:rsidRPr="00586786">
        <w:rPr>
          <w:rFonts w:ascii="Arial" w:hAnsi="Arial" w:cs="Arial"/>
        </w:rPr>
        <w:t>studies</w:t>
      </w:r>
      <w:r w:rsidRPr="00586786">
        <w:rPr>
          <w:rFonts w:ascii="Arial" w:hAnsi="Arial" w:cs="Arial"/>
        </w:rPr>
        <w:t xml:space="preserve"> assessing non-OMERACT </w:t>
      </w:r>
      <w:r w:rsidR="00A72BBA" w:rsidRPr="00586786">
        <w:rPr>
          <w:rFonts w:ascii="Arial" w:hAnsi="Arial" w:cs="Arial"/>
        </w:rPr>
        <w:t>GC</w:t>
      </w:r>
      <w:r w:rsidRPr="00586786">
        <w:rPr>
          <w:rFonts w:ascii="Arial" w:hAnsi="Arial" w:cs="Arial"/>
        </w:rPr>
        <w:t xml:space="preserve"> impact domains were identified as part of this review, including measures of hypothalamic-pituitary-adrenal axis</w:t>
      </w:r>
      <w:r w:rsidR="00A72BBA" w:rsidRPr="00586786">
        <w:rPr>
          <w:rFonts w:ascii="Arial" w:hAnsi="Arial" w:cs="Arial"/>
        </w:rPr>
        <w:t xml:space="preserve"> (HPA)</w:t>
      </w:r>
      <w:r w:rsidRPr="00586786">
        <w:rPr>
          <w:rFonts w:ascii="Arial" w:hAnsi="Arial" w:cs="Arial"/>
        </w:rPr>
        <w:t xml:space="preserve"> suppression (n=20), skin toxicity (n=11), hyperlipidaemia (n=9), myopathy (n=9), gastrointestinal effects (including appetite change) (n=10), electrolyte imbalance (n=1), bone marrow suppression (n=1), Cushing’s syndrome and hypotension (n=1). A single study also collected samples measuring </w:t>
      </w:r>
      <w:r w:rsidR="008A30B7" w:rsidRPr="00586786">
        <w:rPr>
          <w:rFonts w:ascii="Arial" w:hAnsi="Arial" w:cs="Arial"/>
        </w:rPr>
        <w:t>luteinising hormone (</w:t>
      </w:r>
      <w:r w:rsidRPr="00586786">
        <w:rPr>
          <w:rFonts w:ascii="Arial" w:hAnsi="Arial" w:cs="Arial"/>
        </w:rPr>
        <w:t>LH</w:t>
      </w:r>
      <w:r w:rsidR="008A30B7" w:rsidRPr="00586786">
        <w:rPr>
          <w:rFonts w:ascii="Arial" w:hAnsi="Arial" w:cs="Arial"/>
        </w:rPr>
        <w:t>)</w:t>
      </w:r>
      <w:r w:rsidRPr="00586786">
        <w:rPr>
          <w:rFonts w:ascii="Arial" w:hAnsi="Arial" w:cs="Arial"/>
        </w:rPr>
        <w:t xml:space="preserve">, </w:t>
      </w:r>
      <w:r w:rsidR="008A30B7" w:rsidRPr="00586786">
        <w:rPr>
          <w:rFonts w:ascii="Arial" w:hAnsi="Arial" w:cs="Arial"/>
        </w:rPr>
        <w:t>folic-stimulating hormone (</w:t>
      </w:r>
      <w:r w:rsidRPr="00586786">
        <w:rPr>
          <w:rFonts w:ascii="Arial" w:hAnsi="Arial" w:cs="Arial"/>
        </w:rPr>
        <w:t>FSH</w:t>
      </w:r>
      <w:r w:rsidR="008A30B7" w:rsidRPr="00586786">
        <w:rPr>
          <w:rFonts w:ascii="Arial" w:hAnsi="Arial" w:cs="Arial"/>
        </w:rPr>
        <w:t>)</w:t>
      </w:r>
      <w:r w:rsidRPr="00586786">
        <w:rPr>
          <w:rFonts w:ascii="Arial" w:hAnsi="Arial" w:cs="Arial"/>
        </w:rPr>
        <w:t>, prolactin, oestradiol, progesterone, testosterone and 17-</w:t>
      </w:r>
      <w:r w:rsidR="00A72BBA" w:rsidRPr="00586786">
        <w:rPr>
          <w:rFonts w:ascii="Arial" w:hAnsi="Arial" w:cs="Arial"/>
        </w:rPr>
        <w:t>hydroxyprogesterone</w:t>
      </w:r>
      <w:r w:rsidRPr="00586786">
        <w:rPr>
          <w:rFonts w:ascii="Arial" w:hAnsi="Arial" w:cs="Arial"/>
        </w:rPr>
        <w:t xml:space="preserve">. As these domains are not part of the OMERACT </w:t>
      </w:r>
      <w:r w:rsidR="00A72BBA" w:rsidRPr="00586786">
        <w:rPr>
          <w:rFonts w:ascii="Arial" w:hAnsi="Arial" w:cs="Arial"/>
        </w:rPr>
        <w:t>GC</w:t>
      </w:r>
      <w:r w:rsidRPr="00586786">
        <w:rPr>
          <w:rFonts w:ascii="Arial" w:hAnsi="Arial" w:cs="Arial"/>
        </w:rPr>
        <w:t xml:space="preserve"> impact domain set, further analysis of these measures was outside the scope of this review. </w:t>
      </w:r>
    </w:p>
    <w:p w14:paraId="77BAFD5A" w14:textId="77777777" w:rsidR="00FD568A" w:rsidRPr="00586786" w:rsidRDefault="00FD568A" w:rsidP="00586786">
      <w:pPr>
        <w:spacing w:line="360" w:lineRule="auto"/>
        <w:rPr>
          <w:rFonts w:ascii="Arial" w:hAnsi="Arial" w:cs="Arial"/>
        </w:rPr>
      </w:pPr>
    </w:p>
    <w:p w14:paraId="429FE77F" w14:textId="03702F3E" w:rsidR="0082697A" w:rsidRPr="00586786" w:rsidRDefault="00E0194E" w:rsidP="00586786">
      <w:pPr>
        <w:spacing w:line="360" w:lineRule="auto"/>
        <w:rPr>
          <w:rFonts w:ascii="Arial" w:hAnsi="Arial" w:cs="Arial"/>
        </w:rPr>
      </w:pPr>
      <w:r w:rsidRPr="00586786">
        <w:rPr>
          <w:rFonts w:ascii="Arial" w:hAnsi="Arial" w:cs="Arial"/>
          <w:b/>
          <w:bCs/>
        </w:rPr>
        <w:t xml:space="preserve">4.0 </w:t>
      </w:r>
      <w:r w:rsidR="0082697A" w:rsidRPr="00586786">
        <w:rPr>
          <w:rFonts w:ascii="Arial" w:hAnsi="Arial" w:cs="Arial"/>
          <w:b/>
          <w:bCs/>
        </w:rPr>
        <w:t>DISCUSSION</w:t>
      </w:r>
    </w:p>
    <w:p w14:paraId="130794D9" w14:textId="43E13B32" w:rsidR="00482945" w:rsidRPr="00586786" w:rsidRDefault="00161694" w:rsidP="00586786">
      <w:pPr>
        <w:spacing w:line="360" w:lineRule="auto"/>
        <w:rPr>
          <w:rFonts w:ascii="Arial" w:hAnsi="Arial" w:cs="Arial"/>
        </w:rPr>
      </w:pPr>
      <w:r w:rsidRPr="00586786">
        <w:rPr>
          <w:rFonts w:ascii="Arial" w:hAnsi="Arial" w:cs="Arial"/>
        </w:rPr>
        <w:t>To the authors</w:t>
      </w:r>
      <w:r w:rsidR="00567A0B" w:rsidRPr="00586786">
        <w:rPr>
          <w:rFonts w:ascii="Arial" w:hAnsi="Arial" w:cs="Arial"/>
        </w:rPr>
        <w:t>’</w:t>
      </w:r>
      <w:r w:rsidRPr="00586786">
        <w:rPr>
          <w:rFonts w:ascii="Arial" w:hAnsi="Arial" w:cs="Arial"/>
        </w:rPr>
        <w:t xml:space="preserve"> knowledge, this is the first review to </w:t>
      </w:r>
      <w:r w:rsidR="00710A04" w:rsidRPr="00586786">
        <w:rPr>
          <w:rFonts w:ascii="Arial" w:hAnsi="Arial" w:cs="Arial"/>
        </w:rPr>
        <w:t xml:space="preserve">collate </w:t>
      </w:r>
      <w:r w:rsidR="009F5A4A" w:rsidRPr="00586786">
        <w:rPr>
          <w:rFonts w:ascii="Arial" w:hAnsi="Arial" w:cs="Arial"/>
        </w:rPr>
        <w:t>measurement instruments for</w:t>
      </w:r>
      <w:r w:rsidRPr="00586786">
        <w:rPr>
          <w:rFonts w:ascii="Arial" w:hAnsi="Arial" w:cs="Arial"/>
        </w:rPr>
        <w:t xml:space="preserve"> </w:t>
      </w:r>
      <w:r w:rsidR="00280A76" w:rsidRPr="00586786">
        <w:rPr>
          <w:rFonts w:ascii="Arial" w:hAnsi="Arial" w:cs="Arial"/>
        </w:rPr>
        <w:t xml:space="preserve">GC </w:t>
      </w:r>
      <w:r w:rsidRPr="00586786">
        <w:rPr>
          <w:rFonts w:ascii="Arial" w:hAnsi="Arial" w:cs="Arial"/>
        </w:rPr>
        <w:t xml:space="preserve">impact across all </w:t>
      </w:r>
      <w:r w:rsidR="00710A04" w:rsidRPr="00586786">
        <w:rPr>
          <w:rFonts w:ascii="Arial" w:hAnsi="Arial" w:cs="Arial"/>
        </w:rPr>
        <w:t>route</w:t>
      </w:r>
      <w:r w:rsidRPr="00586786">
        <w:rPr>
          <w:rFonts w:ascii="Arial" w:hAnsi="Arial" w:cs="Arial"/>
        </w:rPr>
        <w:t>s of administration and disease cohorts</w:t>
      </w:r>
      <w:r w:rsidR="0056136B" w:rsidRPr="00586786">
        <w:rPr>
          <w:rFonts w:ascii="Arial" w:hAnsi="Arial" w:cs="Arial"/>
        </w:rPr>
        <w:t>.</w:t>
      </w:r>
      <w:r w:rsidRPr="00586786">
        <w:rPr>
          <w:rFonts w:ascii="Arial" w:hAnsi="Arial" w:cs="Arial"/>
        </w:rPr>
        <w:t xml:space="preserve"> </w:t>
      </w:r>
      <w:r w:rsidR="0056136B" w:rsidRPr="00586786">
        <w:rPr>
          <w:rFonts w:ascii="Arial" w:hAnsi="Arial" w:cs="Arial"/>
        </w:rPr>
        <w:t xml:space="preserve">This review focussed on identification and characterisation of </w:t>
      </w:r>
      <w:proofErr w:type="spellStart"/>
      <w:r w:rsidR="0056136B" w:rsidRPr="00586786">
        <w:rPr>
          <w:rFonts w:ascii="Arial" w:hAnsi="Arial" w:cs="Arial"/>
        </w:rPr>
        <w:t>ClinROs</w:t>
      </w:r>
      <w:proofErr w:type="spellEnd"/>
      <w:r w:rsidR="00280A76" w:rsidRPr="00586786">
        <w:rPr>
          <w:rFonts w:ascii="Arial" w:hAnsi="Arial" w:cs="Arial"/>
        </w:rPr>
        <w:t>.</w:t>
      </w:r>
      <w:r w:rsidR="0056136B" w:rsidRPr="00586786">
        <w:rPr>
          <w:rFonts w:ascii="Arial" w:hAnsi="Arial" w:cs="Arial"/>
        </w:rPr>
        <w:t xml:space="preserve"> </w:t>
      </w:r>
      <w:r w:rsidR="00280A76" w:rsidRPr="00586786">
        <w:rPr>
          <w:rFonts w:ascii="Arial" w:hAnsi="Arial" w:cs="Arial"/>
        </w:rPr>
        <w:t>The instruments identified in th</w:t>
      </w:r>
      <w:r w:rsidR="00246CA8" w:rsidRPr="00586786">
        <w:rPr>
          <w:rFonts w:ascii="Arial" w:hAnsi="Arial" w:cs="Arial"/>
        </w:rPr>
        <w:t>i</w:t>
      </w:r>
      <w:r w:rsidR="00280A76" w:rsidRPr="00586786">
        <w:rPr>
          <w:rFonts w:ascii="Arial" w:hAnsi="Arial" w:cs="Arial"/>
        </w:rPr>
        <w:t>s study will be</w:t>
      </w:r>
      <w:r w:rsidR="0056136B" w:rsidRPr="00586786">
        <w:rPr>
          <w:rFonts w:ascii="Arial" w:hAnsi="Arial" w:cs="Arial"/>
        </w:rPr>
        <w:t xml:space="preserve"> further assess</w:t>
      </w:r>
      <w:r w:rsidR="00280A76" w:rsidRPr="00586786">
        <w:rPr>
          <w:rFonts w:ascii="Arial" w:hAnsi="Arial" w:cs="Arial"/>
        </w:rPr>
        <w:t>ed for</w:t>
      </w:r>
      <w:r w:rsidR="0056136B" w:rsidRPr="00586786">
        <w:rPr>
          <w:rFonts w:ascii="Arial" w:hAnsi="Arial" w:cs="Arial"/>
        </w:rPr>
        <w:t xml:space="preserve"> content, feasibility and face validity, </w:t>
      </w:r>
      <w:r w:rsidR="00280A76" w:rsidRPr="00586786">
        <w:rPr>
          <w:rFonts w:ascii="Arial" w:hAnsi="Arial" w:cs="Arial"/>
        </w:rPr>
        <w:t xml:space="preserve">prior to </w:t>
      </w:r>
      <w:r w:rsidR="0056136B" w:rsidRPr="00586786">
        <w:rPr>
          <w:rFonts w:ascii="Arial" w:hAnsi="Arial" w:cs="Arial"/>
        </w:rPr>
        <w:t xml:space="preserve">instrument selection for the core outcome set of the OMERACT </w:t>
      </w:r>
      <w:r w:rsidR="004D2C10" w:rsidRPr="00586786">
        <w:rPr>
          <w:rFonts w:ascii="Arial" w:hAnsi="Arial" w:cs="Arial"/>
        </w:rPr>
        <w:t xml:space="preserve">GC </w:t>
      </w:r>
      <w:r w:rsidR="0056136B" w:rsidRPr="00586786">
        <w:rPr>
          <w:rFonts w:ascii="Arial" w:hAnsi="Arial" w:cs="Arial"/>
        </w:rPr>
        <w:t>Impact Working Group</w:t>
      </w:r>
      <w:r w:rsidR="0056136B" w:rsidRPr="00586786">
        <w:rPr>
          <w:rFonts w:ascii="Arial" w:hAnsi="Arial" w:cs="Arial"/>
        </w:rPr>
        <w:fldChar w:fldCharType="begin"/>
      </w:r>
      <w:r w:rsidR="00386695" w:rsidRPr="00586786">
        <w:rPr>
          <w:rFonts w:ascii="Arial" w:hAnsi="Arial" w:cs="Arial"/>
        </w:rPr>
        <w:instrText xml:space="preserve"> ADDIN ZOTERO_ITEM CSL_CITATION {"citationID":"6OvqsqtP","properties":{"formattedCitation":"(6)","plainCitation":"(6)","noteIndex":0},"citationItems":[{"id":5153,"uris":["http://zotero.org/users/13605431/items/5C4F99VR"],"itemData":{"id":5153,"type":"book","publisher":"OMERACT","publisher-place":"Ontario, Canada","title":"The OMERACT Handbook: Chapter 5: Instrument Selection for Core Outcome Measurement Sets","author":[{"family":"Beaton","given":"Dorcas"},{"family":"Maxwell","given":"Lara"},{"family":"Grosskleg","given":"Shawna"},{"family":"Shea","given":"Beverley"},{"family":"Tugwell","given":"Peter"},{"family":"Bingham","given":"Clifton O."},{"family":"Conaghan","given":"Philip G"},{"family":"D'Agostino","given":"Maria-Antonietta"},{"family":"Hofstetter","given":"Catherine"},{"family":"March","given":"Lyn"},{"family":"Simon","given":"Lee"},{"family":"Singh","given":"Jasvinder A"},{"family":"Strand","given":"Vibeke"},{"family":"Wells","given":"George"}],"issued":{"date-parts":[["2021",6]]}},"locator":"5"}],"schema":"https://github.com/citation-style-language/schema/raw/master/csl-citation.json"} </w:instrText>
      </w:r>
      <w:r w:rsidR="0056136B" w:rsidRPr="00586786">
        <w:rPr>
          <w:rFonts w:ascii="Arial" w:hAnsi="Arial" w:cs="Arial"/>
        </w:rPr>
        <w:fldChar w:fldCharType="separate"/>
      </w:r>
      <w:r w:rsidR="00386695" w:rsidRPr="00586786">
        <w:rPr>
          <w:rFonts w:ascii="Arial" w:hAnsi="Arial" w:cs="Arial"/>
          <w:noProof/>
        </w:rPr>
        <w:t>(6)</w:t>
      </w:r>
      <w:r w:rsidR="0056136B" w:rsidRPr="00586786">
        <w:rPr>
          <w:rFonts w:ascii="Arial" w:hAnsi="Arial" w:cs="Arial"/>
        </w:rPr>
        <w:fldChar w:fldCharType="end"/>
      </w:r>
      <w:r w:rsidR="0056136B" w:rsidRPr="00586786">
        <w:rPr>
          <w:rFonts w:ascii="Arial" w:hAnsi="Arial" w:cs="Arial"/>
        </w:rPr>
        <w:t xml:space="preserve">. The review highlights the </w:t>
      </w:r>
      <w:r w:rsidR="00280A76" w:rsidRPr="00586786">
        <w:rPr>
          <w:rFonts w:ascii="Arial" w:hAnsi="Arial" w:cs="Arial"/>
        </w:rPr>
        <w:t>existence of</w:t>
      </w:r>
      <w:r w:rsidR="0056136B" w:rsidRPr="00586786">
        <w:rPr>
          <w:rFonts w:ascii="Arial" w:hAnsi="Arial" w:cs="Arial"/>
        </w:rPr>
        <w:t xml:space="preserve"> multiple measures of </w:t>
      </w:r>
      <w:r w:rsidR="004D2C10" w:rsidRPr="00586786">
        <w:rPr>
          <w:rFonts w:ascii="Arial" w:hAnsi="Arial" w:cs="Arial"/>
        </w:rPr>
        <w:t xml:space="preserve">GC </w:t>
      </w:r>
      <w:r w:rsidR="0056136B" w:rsidRPr="00586786">
        <w:rPr>
          <w:rFonts w:ascii="Arial" w:hAnsi="Arial" w:cs="Arial"/>
        </w:rPr>
        <w:t xml:space="preserve">impact that address both physiological and psychosocial domains. </w:t>
      </w:r>
      <w:r w:rsidR="00482945" w:rsidRPr="00586786">
        <w:rPr>
          <w:rFonts w:ascii="Arial" w:hAnsi="Arial" w:cs="Arial"/>
        </w:rPr>
        <w:t>Measurement instruments for GC toxicity range from w</w:t>
      </w:r>
      <w:r w:rsidR="00DA34E8" w:rsidRPr="00586786">
        <w:rPr>
          <w:rFonts w:ascii="Arial" w:hAnsi="Arial" w:cs="Arial"/>
        </w:rPr>
        <w:t>idely used</w:t>
      </w:r>
      <w:r w:rsidR="00482945" w:rsidRPr="00586786">
        <w:rPr>
          <w:rFonts w:ascii="Arial" w:hAnsi="Arial" w:cs="Arial"/>
        </w:rPr>
        <w:t xml:space="preserve"> instruments, established</w:t>
      </w:r>
      <w:r w:rsidR="00280A76" w:rsidRPr="00586786">
        <w:rPr>
          <w:rFonts w:ascii="Arial" w:hAnsi="Arial" w:cs="Arial"/>
        </w:rPr>
        <w:t>, validated</w:t>
      </w:r>
      <w:r w:rsidR="00482945" w:rsidRPr="00586786">
        <w:rPr>
          <w:rFonts w:ascii="Arial" w:hAnsi="Arial" w:cs="Arial"/>
        </w:rPr>
        <w:t xml:space="preserve"> and tested in pivotal clinical trials (for example, the GTI or CTCAE), or those familiar to clinical practice (</w:t>
      </w:r>
      <w:proofErr w:type="spellStart"/>
      <w:r w:rsidR="00482945" w:rsidRPr="00586786">
        <w:rPr>
          <w:rFonts w:ascii="Arial" w:hAnsi="Arial" w:cs="Arial"/>
        </w:rPr>
        <w:t>e.g</w:t>
      </w:r>
      <w:proofErr w:type="spellEnd"/>
      <w:r w:rsidR="00482945" w:rsidRPr="00586786">
        <w:rPr>
          <w:rFonts w:ascii="Arial" w:hAnsi="Arial" w:cs="Arial"/>
        </w:rPr>
        <w:t xml:space="preserve">: measurement of lumbar spine or </w:t>
      </w:r>
      <w:r w:rsidR="00482945" w:rsidRPr="00586786">
        <w:rPr>
          <w:rFonts w:ascii="Arial" w:hAnsi="Arial" w:cs="Arial"/>
        </w:rPr>
        <w:lastRenderedPageBreak/>
        <w:t>femoral neck bone mineral density for bone fragility), to tools that are less familiar to clinicians and therefore less accessible in clinical practice</w:t>
      </w:r>
      <w:r w:rsidR="00280A76" w:rsidRPr="00586786">
        <w:rPr>
          <w:rFonts w:ascii="Arial" w:hAnsi="Arial" w:cs="Arial"/>
        </w:rPr>
        <w:t xml:space="preserve"> (</w:t>
      </w:r>
      <w:r w:rsidR="00246CA8" w:rsidRPr="00586786">
        <w:rPr>
          <w:rFonts w:ascii="Arial" w:hAnsi="Arial" w:cs="Arial"/>
        </w:rPr>
        <w:t>e.g.: bone indentation measurement</w:t>
      </w:r>
      <w:r w:rsidR="00280A76" w:rsidRPr="00586786">
        <w:rPr>
          <w:rFonts w:ascii="Arial" w:hAnsi="Arial" w:cs="Arial"/>
        </w:rPr>
        <w:t>)</w:t>
      </w:r>
      <w:r w:rsidR="00482945" w:rsidRPr="00586786">
        <w:rPr>
          <w:rFonts w:ascii="Arial" w:hAnsi="Arial" w:cs="Arial"/>
        </w:rPr>
        <w:t xml:space="preserve">. </w:t>
      </w:r>
    </w:p>
    <w:p w14:paraId="7012A99D" w14:textId="58CB8704" w:rsidR="000B7E43" w:rsidRPr="00586786" w:rsidRDefault="00482945" w:rsidP="00586786">
      <w:pPr>
        <w:spacing w:line="360" w:lineRule="auto"/>
        <w:rPr>
          <w:rFonts w:ascii="Arial" w:hAnsi="Arial" w:cs="Arial"/>
        </w:rPr>
      </w:pPr>
      <w:r w:rsidRPr="00586786">
        <w:rPr>
          <w:rFonts w:ascii="Arial" w:hAnsi="Arial" w:cs="Arial"/>
        </w:rPr>
        <w:t xml:space="preserve"> </w:t>
      </w:r>
    </w:p>
    <w:p w14:paraId="4F6406EC" w14:textId="180563EA" w:rsidR="00161694" w:rsidRPr="00586786" w:rsidRDefault="00161694" w:rsidP="00586786">
      <w:pPr>
        <w:spacing w:line="360" w:lineRule="auto"/>
        <w:rPr>
          <w:rFonts w:ascii="Arial" w:hAnsi="Arial" w:cs="Arial"/>
        </w:rPr>
      </w:pPr>
      <w:r w:rsidRPr="00586786">
        <w:rPr>
          <w:rFonts w:ascii="Arial" w:hAnsi="Arial" w:cs="Arial"/>
        </w:rPr>
        <w:t xml:space="preserve">The </w:t>
      </w:r>
      <w:r w:rsidR="009F5A4A" w:rsidRPr="00586786">
        <w:rPr>
          <w:rFonts w:ascii="Arial" w:hAnsi="Arial" w:cs="Arial"/>
        </w:rPr>
        <w:t>GTI</w:t>
      </w:r>
      <w:r w:rsidRPr="00586786">
        <w:rPr>
          <w:rFonts w:ascii="Arial" w:hAnsi="Arial" w:cs="Arial"/>
        </w:rPr>
        <w:t xml:space="preserve"> </w:t>
      </w:r>
      <w:r w:rsidR="00482945" w:rsidRPr="00586786">
        <w:rPr>
          <w:rFonts w:ascii="Arial" w:hAnsi="Arial" w:cs="Arial"/>
        </w:rPr>
        <w:t>was</w:t>
      </w:r>
      <w:r w:rsidR="00A72BBA" w:rsidRPr="00586786">
        <w:rPr>
          <w:rFonts w:ascii="Arial" w:hAnsi="Arial" w:cs="Arial"/>
        </w:rPr>
        <w:t xml:space="preserve"> the most widely used </w:t>
      </w:r>
      <w:proofErr w:type="spellStart"/>
      <w:r w:rsidR="00280A76" w:rsidRPr="00586786">
        <w:rPr>
          <w:rFonts w:ascii="Arial" w:hAnsi="Arial" w:cs="Arial"/>
        </w:rPr>
        <w:t>ClinRO</w:t>
      </w:r>
      <w:proofErr w:type="spellEnd"/>
      <w:r w:rsidR="00280A76" w:rsidRPr="00586786">
        <w:rPr>
          <w:rFonts w:ascii="Arial" w:hAnsi="Arial" w:cs="Arial"/>
        </w:rPr>
        <w:t xml:space="preserve"> </w:t>
      </w:r>
      <w:r w:rsidR="00482945" w:rsidRPr="00586786">
        <w:rPr>
          <w:rFonts w:ascii="Arial" w:hAnsi="Arial" w:cs="Arial"/>
        </w:rPr>
        <w:t>in this scoping review</w:t>
      </w:r>
      <w:r w:rsidR="00A72BBA" w:rsidRPr="00586786">
        <w:rPr>
          <w:rFonts w:ascii="Arial" w:hAnsi="Arial" w:cs="Arial"/>
        </w:rPr>
        <w:t xml:space="preserve">. It </w:t>
      </w:r>
      <w:r w:rsidRPr="00586786">
        <w:rPr>
          <w:rFonts w:ascii="Arial" w:hAnsi="Arial" w:cs="Arial"/>
        </w:rPr>
        <w:t xml:space="preserve">was developed and validated to address the lack of standardised assessment of GC </w:t>
      </w:r>
      <w:r w:rsidR="00BB7A9F" w:rsidRPr="00586786">
        <w:rPr>
          <w:rFonts w:ascii="Arial" w:hAnsi="Arial" w:cs="Arial"/>
        </w:rPr>
        <w:t xml:space="preserve">toxicity </w:t>
      </w:r>
      <w:r w:rsidRPr="00586786">
        <w:rPr>
          <w:rFonts w:ascii="Arial" w:hAnsi="Arial" w:cs="Arial"/>
        </w:rPr>
        <w:t xml:space="preserve">in clinical trials. The GTI measures the majority of the OMERACT </w:t>
      </w:r>
      <w:r w:rsidR="004D2C10" w:rsidRPr="00586786">
        <w:rPr>
          <w:rFonts w:ascii="Arial" w:hAnsi="Arial" w:cs="Arial"/>
        </w:rPr>
        <w:t xml:space="preserve">GC </w:t>
      </w:r>
      <w:r w:rsidRPr="00586786">
        <w:rPr>
          <w:rFonts w:ascii="Arial" w:hAnsi="Arial" w:cs="Arial"/>
        </w:rPr>
        <w:t xml:space="preserve">impact core domains (excluding fatigue or death) via the composite GTI, and measures </w:t>
      </w:r>
      <w:r w:rsidR="00A72BBA" w:rsidRPr="00586786">
        <w:rPr>
          <w:rFonts w:ascii="Arial" w:hAnsi="Arial" w:cs="Arial"/>
        </w:rPr>
        <w:t>two</w:t>
      </w:r>
      <w:r w:rsidRPr="00586786">
        <w:rPr>
          <w:rFonts w:ascii="Arial" w:hAnsi="Arial" w:cs="Arial"/>
        </w:rPr>
        <w:t xml:space="preserve"> of the suggested domains (osteonecrosis, eye problems) via </w:t>
      </w:r>
      <w:r w:rsidR="00800341" w:rsidRPr="00586786">
        <w:rPr>
          <w:rFonts w:ascii="Arial" w:hAnsi="Arial" w:cs="Arial"/>
        </w:rPr>
        <w:t>the</w:t>
      </w:r>
      <w:r w:rsidRPr="00586786">
        <w:rPr>
          <w:rFonts w:ascii="Arial" w:hAnsi="Arial" w:cs="Arial"/>
        </w:rPr>
        <w:t xml:space="preserve"> specific list</w:t>
      </w:r>
      <w:r w:rsidR="00640460" w:rsidRPr="00586786">
        <w:rPr>
          <w:rFonts w:ascii="Arial" w:hAnsi="Arial" w:cs="Arial"/>
        </w:rPr>
        <w:t xml:space="preserve"> of adverse outcomes</w:t>
      </w:r>
      <w:r w:rsidR="00056FFE" w:rsidRPr="00586786">
        <w:rPr>
          <w:rFonts w:ascii="Arial" w:hAnsi="Arial" w:cs="Arial"/>
        </w:rPr>
        <w:fldChar w:fldCharType="begin"/>
      </w:r>
      <w:r w:rsidR="00386695" w:rsidRPr="00586786">
        <w:rPr>
          <w:rFonts w:ascii="Arial" w:hAnsi="Arial" w:cs="Arial"/>
        </w:rPr>
        <w:instrText xml:space="preserve"> ADDIN ZOTERO_ITEM CSL_CITATION {"citationID":"s9Xk2OZk","properties":{"formattedCitation":"(10)","plainCitation":"(10)","noteIndex":0},"citationItems":[{"id":3829,"uris":["http://zotero.org/users/13605431/items/MXWPBSJM"],"itemData":{"id":3829,"type":"article-journal","abstract":"Objectives To develop a Glucocorticoid Toxicity Index (GTI) to assess glucocorticoid (GC)-related morbidity and GC-sparing ability of other therapies.\nMethods Nineteen experts on GC use and outcome measures from 11 subspecialties participated. Ten experts were from the USA; nine from Canada, Europe or Australia. Group consensus methods and multicriteria decision analysis (MCDA) were used. A Composite GTI and Speciﬁc List comprise the overall GTI. The Composite GTI reﬂects toxicity likely to change during a clinical trial. The Composite GTI toxicities occur commonly, vary with GC exposure, and are weighted and scored. Relative weights for items in the Composite GTI were derived by group consensus and MCDA. The Speciﬁc List is designed to capture GC toxicity not included in the Composite GTI. The Composite GTI was evaluated by application to paper cases by the investigators and an external group of 17 subspecialists.\nResults Thirty-one toxicity items were included in the Composite GTI and 23 in the Speciﬁc List. Composite GTI evaluation showed high inter-rater agreement (investigators κ 0.88, external raters κ 0.90). To assess the degree to which the Composite GTI corresponds to expert clinical judgement, participants ranked 15 cases by clinical judgement in order of highest to lowest GC toxicity. Expert rankings were then compared with case ranking by the Composite GTI, yielding excellent agreement (investigators weighted κ 0.87, external raters weighted κ 0.77).\nConclusions We describe the development and initial evaluation of a comprehensive instrument for the assessment of GC toxicity.","container-title":"Annals of the Rheumatic Diseases","DOI":"10.1136/annrheumdis-2016-210002","ISSN":"0003-4967, 1468-2060","issue":"3","journalAbbreviation":"Ann Rheum Dis","language":"en","page":"543-546","source":"DOI.org (Crossref)","title":"Development of a Glucocorticoid Toxicity Index (GTI) using multicriteria decision analysis","volume":"76","author":[{"family":"Miloslavsky","given":"Eli M"},{"family":"Naden","given":"Ray P"},{"family":"Bijlsma","given":"Johannes W J"},{"family":"Brogan","given":"Paul A"},{"family":"Brown","given":"E Sherwood"},{"family":"Brunetta","given":"Paul"},{"family":"Buttgereit","given":"Frank"},{"family":"Choi","given":"Hyon K"},{"family":"DiCaire","given":"Jean-Francois"},{"family":"Gelfand","given":"Jeffrey M"},{"family":"Heaney","given":"Liam G"},{"family":"Lightstone","given":"Liz"},{"family":"Lu","given":"Na"},{"family":"Murrell","given":"Dedee F"},{"family":"Petri","given":"Michelle"},{"family":"Rosenbaum","given":"James T"},{"family":"Saag","given":"Kenneth S"},{"family":"Urowitz","given":"Murray B"},{"family":"Winthrop","given":"Kevin L"},{"family":"Stone","given":"John H"}],"issued":{"date-parts":[["2017",3]]}}}],"schema":"https://github.com/citation-style-language/schema/raw/master/csl-citation.json"} </w:instrText>
      </w:r>
      <w:r w:rsidR="00056FFE" w:rsidRPr="00586786">
        <w:rPr>
          <w:rFonts w:ascii="Arial" w:hAnsi="Arial" w:cs="Arial"/>
        </w:rPr>
        <w:fldChar w:fldCharType="separate"/>
      </w:r>
      <w:r w:rsidR="00386695" w:rsidRPr="00586786">
        <w:rPr>
          <w:rFonts w:ascii="Arial" w:hAnsi="Arial" w:cs="Arial"/>
          <w:noProof/>
        </w:rPr>
        <w:t>(10)</w:t>
      </w:r>
      <w:r w:rsidR="00056FFE" w:rsidRPr="00586786">
        <w:rPr>
          <w:rFonts w:ascii="Arial" w:hAnsi="Arial" w:cs="Arial"/>
        </w:rPr>
        <w:fldChar w:fldCharType="end"/>
      </w:r>
      <w:r w:rsidR="0029623C" w:rsidRPr="00586786">
        <w:rPr>
          <w:rFonts w:ascii="Arial" w:hAnsi="Arial" w:cs="Arial"/>
        </w:rPr>
        <w:t>, as well as measuring change in GC toxicity over time</w:t>
      </w:r>
      <w:r w:rsidRPr="00586786">
        <w:rPr>
          <w:rFonts w:ascii="Arial" w:hAnsi="Arial" w:cs="Arial"/>
        </w:rPr>
        <w:t>. The GTI however</w:t>
      </w:r>
      <w:r w:rsidR="009923FD" w:rsidRPr="00586786">
        <w:rPr>
          <w:rFonts w:ascii="Arial" w:hAnsi="Arial" w:cs="Arial"/>
        </w:rPr>
        <w:t xml:space="preserve"> does not assess </w:t>
      </w:r>
      <w:r w:rsidRPr="00586786">
        <w:rPr>
          <w:rFonts w:ascii="Arial" w:hAnsi="Arial" w:cs="Arial"/>
        </w:rPr>
        <w:t>appearance, sleep disturbance and fatigue</w:t>
      </w:r>
      <w:r w:rsidR="0056136B" w:rsidRPr="00586786">
        <w:rPr>
          <w:rFonts w:ascii="Arial" w:hAnsi="Arial" w:cs="Arial"/>
        </w:rPr>
        <w:t>, and did not include consumers</w:t>
      </w:r>
      <w:r w:rsidR="005F5C87" w:rsidRPr="00586786">
        <w:rPr>
          <w:rFonts w:ascii="Arial" w:hAnsi="Arial" w:cs="Arial"/>
        </w:rPr>
        <w:t xml:space="preserve"> (people with lived experience</w:t>
      </w:r>
      <w:r w:rsidR="00A900A0" w:rsidRPr="00586786">
        <w:rPr>
          <w:rFonts w:ascii="Arial" w:hAnsi="Arial" w:cs="Arial"/>
        </w:rPr>
        <w:t xml:space="preserve"> of the condition</w:t>
      </w:r>
      <w:r w:rsidR="005F5C87" w:rsidRPr="00586786">
        <w:rPr>
          <w:rFonts w:ascii="Arial" w:hAnsi="Arial" w:cs="Arial"/>
        </w:rPr>
        <w:t>)</w:t>
      </w:r>
      <w:r w:rsidR="0056136B" w:rsidRPr="00586786">
        <w:rPr>
          <w:rFonts w:ascii="Arial" w:hAnsi="Arial" w:cs="Arial"/>
        </w:rPr>
        <w:t xml:space="preserve"> in the development of the instrument</w:t>
      </w:r>
      <w:r w:rsidRPr="00586786">
        <w:rPr>
          <w:rFonts w:ascii="Arial" w:hAnsi="Arial" w:cs="Arial"/>
        </w:rPr>
        <w:t xml:space="preserve">. </w:t>
      </w:r>
    </w:p>
    <w:p w14:paraId="4EB68574" w14:textId="4B6A6F63" w:rsidR="0061760D" w:rsidRPr="00586786" w:rsidRDefault="0061760D" w:rsidP="00586786">
      <w:pPr>
        <w:spacing w:line="360" w:lineRule="auto"/>
        <w:rPr>
          <w:rFonts w:ascii="Arial" w:hAnsi="Arial" w:cs="Arial"/>
        </w:rPr>
      </w:pPr>
    </w:p>
    <w:p w14:paraId="3497F928" w14:textId="2066B31F" w:rsidR="00482945" w:rsidRPr="00586786" w:rsidRDefault="00B405BD" w:rsidP="00586786">
      <w:pPr>
        <w:spacing w:line="360" w:lineRule="auto"/>
        <w:rPr>
          <w:rFonts w:ascii="Arial" w:hAnsi="Arial" w:cs="Arial"/>
        </w:rPr>
      </w:pPr>
      <w:r w:rsidRPr="00586786">
        <w:rPr>
          <w:rFonts w:ascii="Arial" w:hAnsi="Arial" w:cs="Arial"/>
        </w:rPr>
        <w:t>Multiple</w:t>
      </w:r>
      <w:r w:rsidR="00161694" w:rsidRPr="00586786">
        <w:rPr>
          <w:rFonts w:ascii="Arial" w:hAnsi="Arial" w:cs="Arial"/>
        </w:rPr>
        <w:t xml:space="preserve"> </w:t>
      </w:r>
      <w:r w:rsidR="00D0030C" w:rsidRPr="00586786">
        <w:rPr>
          <w:rFonts w:ascii="Arial" w:hAnsi="Arial" w:cs="Arial"/>
        </w:rPr>
        <w:t xml:space="preserve">objective </w:t>
      </w:r>
      <w:proofErr w:type="spellStart"/>
      <w:r w:rsidR="004D2C10" w:rsidRPr="00586786">
        <w:rPr>
          <w:rFonts w:ascii="Arial" w:hAnsi="Arial" w:cs="Arial"/>
        </w:rPr>
        <w:t>ClinROs</w:t>
      </w:r>
      <w:proofErr w:type="spellEnd"/>
      <w:r w:rsidR="004D2C10" w:rsidRPr="00586786">
        <w:rPr>
          <w:rFonts w:ascii="Arial" w:hAnsi="Arial" w:cs="Arial"/>
        </w:rPr>
        <w:t>,</w:t>
      </w:r>
      <w:r w:rsidR="00482945" w:rsidRPr="00586786">
        <w:rPr>
          <w:rFonts w:ascii="Arial" w:hAnsi="Arial" w:cs="Arial"/>
        </w:rPr>
        <w:t xml:space="preserve"> </w:t>
      </w:r>
      <w:r w:rsidR="00D0030C" w:rsidRPr="00586786">
        <w:rPr>
          <w:rFonts w:ascii="Arial" w:hAnsi="Arial" w:cs="Arial"/>
        </w:rPr>
        <w:t>such as</w:t>
      </w:r>
      <w:r w:rsidR="00482945" w:rsidRPr="00586786">
        <w:rPr>
          <w:rFonts w:ascii="Arial" w:hAnsi="Arial" w:cs="Arial"/>
        </w:rPr>
        <w:t xml:space="preserve"> </w:t>
      </w:r>
      <w:r w:rsidR="00161694" w:rsidRPr="00586786">
        <w:rPr>
          <w:rFonts w:ascii="Arial" w:hAnsi="Arial" w:cs="Arial"/>
        </w:rPr>
        <w:t>laboratory assessments or imaging measurements were identified across domains, including DEXA, TBS and H</w:t>
      </w:r>
      <w:r w:rsidR="00A72BBA" w:rsidRPr="00586786">
        <w:rPr>
          <w:rFonts w:ascii="Arial" w:hAnsi="Arial" w:cs="Arial"/>
        </w:rPr>
        <w:t>bA</w:t>
      </w:r>
      <w:r w:rsidR="00161694" w:rsidRPr="00586786">
        <w:rPr>
          <w:rFonts w:ascii="Arial" w:hAnsi="Arial" w:cs="Arial"/>
        </w:rPr>
        <w:t xml:space="preserve">1c. However, there is a lack of standardisation of reference intervals for GC treated patients </w:t>
      </w:r>
      <w:r w:rsidR="00D0030C" w:rsidRPr="00586786">
        <w:rPr>
          <w:rFonts w:ascii="Arial" w:hAnsi="Arial" w:cs="Arial"/>
        </w:rPr>
        <w:t xml:space="preserve">with these measures </w:t>
      </w:r>
      <w:r w:rsidR="00161694" w:rsidRPr="00586786">
        <w:rPr>
          <w:rFonts w:ascii="Arial" w:hAnsi="Arial" w:cs="Arial"/>
        </w:rPr>
        <w:t xml:space="preserve">and a lack of standardisation of the relevant change over time required to measure impact in this population group. </w:t>
      </w:r>
      <w:r w:rsidR="00482945" w:rsidRPr="00586786">
        <w:rPr>
          <w:rFonts w:ascii="Arial" w:hAnsi="Arial" w:cs="Arial"/>
        </w:rPr>
        <w:t xml:space="preserve">Additionally, utilising the identified instruments as measures of change over time may be associated with </w:t>
      </w:r>
      <w:r w:rsidR="0031351B" w:rsidRPr="00586786">
        <w:rPr>
          <w:rFonts w:ascii="Arial" w:hAnsi="Arial" w:cs="Arial"/>
        </w:rPr>
        <w:t>biases in clinical trials (</w:t>
      </w:r>
      <w:proofErr w:type="spellStart"/>
      <w:r w:rsidR="0031351B" w:rsidRPr="00586786">
        <w:rPr>
          <w:rFonts w:ascii="Arial" w:hAnsi="Arial" w:cs="Arial"/>
        </w:rPr>
        <w:t>e.g</w:t>
      </w:r>
      <w:proofErr w:type="spellEnd"/>
      <w:r w:rsidR="0031351B" w:rsidRPr="00586786">
        <w:rPr>
          <w:rFonts w:ascii="Arial" w:hAnsi="Arial" w:cs="Arial"/>
        </w:rPr>
        <w:t xml:space="preserve">; regression to mean bias if there is imbalance between groups) or clinical practice unless appropriate definitions of baseline measurements are instituted. </w:t>
      </w:r>
    </w:p>
    <w:p w14:paraId="4F1D066F" w14:textId="77777777" w:rsidR="00643EEE" w:rsidRPr="00586786" w:rsidRDefault="00643EEE" w:rsidP="00586786">
      <w:pPr>
        <w:spacing w:line="360" w:lineRule="auto"/>
        <w:rPr>
          <w:rFonts w:ascii="Arial" w:hAnsi="Arial" w:cs="Arial"/>
        </w:rPr>
      </w:pPr>
    </w:p>
    <w:p w14:paraId="24CBBD36" w14:textId="7FABFC5D" w:rsidR="0056136B" w:rsidRPr="00586786" w:rsidRDefault="00E65748" w:rsidP="00586786">
      <w:pPr>
        <w:spacing w:line="360" w:lineRule="auto"/>
        <w:rPr>
          <w:rFonts w:ascii="Arial" w:hAnsi="Arial" w:cs="Arial"/>
        </w:rPr>
      </w:pPr>
      <w:r w:rsidRPr="00586786">
        <w:rPr>
          <w:rFonts w:ascii="Arial" w:hAnsi="Arial" w:cs="Arial"/>
        </w:rPr>
        <w:t xml:space="preserve">This review identified </w:t>
      </w:r>
      <w:proofErr w:type="gramStart"/>
      <w:r w:rsidRPr="00586786">
        <w:rPr>
          <w:rFonts w:ascii="Arial" w:hAnsi="Arial" w:cs="Arial"/>
        </w:rPr>
        <w:t>a number of</w:t>
      </w:r>
      <w:proofErr w:type="gramEnd"/>
      <w:r w:rsidRPr="00586786">
        <w:rPr>
          <w:rFonts w:ascii="Arial" w:hAnsi="Arial" w:cs="Arial"/>
        </w:rPr>
        <w:t xml:space="preserve"> instruments that assess GC related </w:t>
      </w:r>
      <w:r w:rsidR="00A72BBA" w:rsidRPr="00586786">
        <w:rPr>
          <w:rFonts w:ascii="Arial" w:hAnsi="Arial" w:cs="Arial"/>
        </w:rPr>
        <w:t>AEs</w:t>
      </w:r>
      <w:r w:rsidRPr="00586786">
        <w:rPr>
          <w:rFonts w:ascii="Arial" w:hAnsi="Arial" w:cs="Arial"/>
        </w:rPr>
        <w:t xml:space="preserve">, in non-OMERACT domains such as HPA axis suppression or steroid induced myopathy. As the purpose of this review was to identify instruments that could be matched to the OMERACT </w:t>
      </w:r>
      <w:r w:rsidR="00A72BBA" w:rsidRPr="00586786">
        <w:rPr>
          <w:rFonts w:ascii="Arial" w:hAnsi="Arial" w:cs="Arial"/>
        </w:rPr>
        <w:t>GC</w:t>
      </w:r>
      <w:r w:rsidRPr="00586786">
        <w:rPr>
          <w:rFonts w:ascii="Arial" w:hAnsi="Arial" w:cs="Arial"/>
        </w:rPr>
        <w:t xml:space="preserve"> core domain set, it was not within the scope of this review to further assess these identified tools</w:t>
      </w:r>
      <w:r w:rsidR="00E443DB" w:rsidRPr="00586786">
        <w:rPr>
          <w:rFonts w:ascii="Arial" w:hAnsi="Arial" w:cs="Arial"/>
        </w:rPr>
        <w:t>.</w:t>
      </w:r>
      <w:r w:rsidRPr="00586786">
        <w:rPr>
          <w:rFonts w:ascii="Arial" w:hAnsi="Arial" w:cs="Arial"/>
        </w:rPr>
        <w:t xml:space="preserve"> </w:t>
      </w:r>
      <w:r w:rsidR="00E443DB" w:rsidRPr="00586786">
        <w:rPr>
          <w:rFonts w:ascii="Arial" w:hAnsi="Arial" w:cs="Arial"/>
        </w:rPr>
        <w:t>H</w:t>
      </w:r>
      <w:r w:rsidRPr="00586786">
        <w:rPr>
          <w:rFonts w:ascii="Arial" w:hAnsi="Arial" w:cs="Arial"/>
        </w:rPr>
        <w:t>owever</w:t>
      </w:r>
      <w:r w:rsidR="00E443DB" w:rsidRPr="00586786">
        <w:rPr>
          <w:rFonts w:ascii="Arial" w:hAnsi="Arial" w:cs="Arial"/>
        </w:rPr>
        <w:t>,</w:t>
      </w:r>
      <w:r w:rsidRPr="00586786">
        <w:rPr>
          <w:rFonts w:ascii="Arial" w:hAnsi="Arial" w:cs="Arial"/>
        </w:rPr>
        <w:t xml:space="preserve"> further assessment should be considered to ascertain the </w:t>
      </w:r>
      <w:r w:rsidR="00DA5FB8" w:rsidRPr="00586786">
        <w:rPr>
          <w:rFonts w:ascii="Arial" w:hAnsi="Arial" w:cs="Arial"/>
        </w:rPr>
        <w:t>utility</w:t>
      </w:r>
      <w:r w:rsidRPr="00586786">
        <w:rPr>
          <w:rFonts w:ascii="Arial" w:hAnsi="Arial" w:cs="Arial"/>
        </w:rPr>
        <w:t xml:space="preserve"> of these tools in the landscape of measuring GC impact in clinical trials. </w:t>
      </w:r>
    </w:p>
    <w:p w14:paraId="1A339B9E" w14:textId="77777777" w:rsidR="00DF5FD5" w:rsidRPr="00586786" w:rsidRDefault="00DF5FD5" w:rsidP="00586786">
      <w:pPr>
        <w:spacing w:line="360" w:lineRule="auto"/>
        <w:rPr>
          <w:rFonts w:ascii="Arial" w:hAnsi="Arial" w:cs="Arial"/>
        </w:rPr>
      </w:pPr>
    </w:p>
    <w:p w14:paraId="3E283E48" w14:textId="0E75891D" w:rsidR="00280A76" w:rsidRPr="00586786" w:rsidRDefault="00F027EF" w:rsidP="00586786">
      <w:pPr>
        <w:spacing w:line="360" w:lineRule="auto"/>
        <w:rPr>
          <w:rFonts w:ascii="Arial" w:hAnsi="Arial" w:cs="Arial"/>
        </w:rPr>
      </w:pPr>
      <w:r w:rsidRPr="00586786">
        <w:rPr>
          <w:rFonts w:ascii="Arial" w:hAnsi="Arial" w:cs="Arial"/>
        </w:rPr>
        <w:t>This review was strengthened by the large number of studies and instruments identified</w:t>
      </w:r>
      <w:r w:rsidR="00023CD2" w:rsidRPr="00586786">
        <w:rPr>
          <w:rFonts w:ascii="Arial" w:hAnsi="Arial" w:cs="Arial"/>
        </w:rPr>
        <w:t>, enhanced by the</w:t>
      </w:r>
      <w:r w:rsidRPr="00586786">
        <w:rPr>
          <w:rFonts w:ascii="Arial" w:hAnsi="Arial" w:cs="Arial"/>
        </w:rPr>
        <w:t xml:space="preserve"> unrestricted range of disease cohorts</w:t>
      </w:r>
      <w:r w:rsidR="00280A76" w:rsidRPr="00586786">
        <w:rPr>
          <w:rFonts w:ascii="Arial" w:hAnsi="Arial" w:cs="Arial"/>
        </w:rPr>
        <w:t xml:space="preserve"> and routes of GC </w:t>
      </w:r>
      <w:r w:rsidR="00280A76" w:rsidRPr="00586786">
        <w:rPr>
          <w:rFonts w:ascii="Arial" w:hAnsi="Arial" w:cs="Arial"/>
        </w:rPr>
        <w:lastRenderedPageBreak/>
        <w:t>administration</w:t>
      </w:r>
      <w:r w:rsidRPr="00586786">
        <w:rPr>
          <w:rFonts w:ascii="Arial" w:hAnsi="Arial" w:cs="Arial"/>
        </w:rPr>
        <w:t xml:space="preserve"> that were included in the </w:t>
      </w:r>
      <w:r w:rsidR="00280A76" w:rsidRPr="00586786">
        <w:rPr>
          <w:rFonts w:ascii="Arial" w:hAnsi="Arial" w:cs="Arial"/>
        </w:rPr>
        <w:t>search strategy</w:t>
      </w:r>
      <w:r w:rsidRPr="00586786">
        <w:rPr>
          <w:rFonts w:ascii="Arial" w:hAnsi="Arial" w:cs="Arial"/>
        </w:rPr>
        <w:t xml:space="preserve">. This provides a large list of potential instruments that can be further assessed against the OMERACT filter for measurement of impact domains. </w:t>
      </w:r>
      <w:r w:rsidR="00280A76" w:rsidRPr="00586786">
        <w:rPr>
          <w:rFonts w:ascii="Arial" w:hAnsi="Arial" w:cs="Arial"/>
        </w:rPr>
        <w:t>Although a formal quality assessment of the papers was not performed in the setting of a scoping</w:t>
      </w:r>
      <w:r w:rsidRPr="00586786">
        <w:rPr>
          <w:rFonts w:ascii="Arial" w:hAnsi="Arial" w:cs="Arial"/>
        </w:rPr>
        <w:t xml:space="preserve"> review</w:t>
      </w:r>
      <w:r w:rsidR="00280A76" w:rsidRPr="00586786">
        <w:rPr>
          <w:rFonts w:ascii="Arial" w:hAnsi="Arial" w:cs="Arial"/>
        </w:rPr>
        <w:t xml:space="preserve">, there were </w:t>
      </w:r>
      <w:r w:rsidR="00910CEF" w:rsidRPr="00586786">
        <w:rPr>
          <w:rFonts w:ascii="Arial" w:hAnsi="Arial" w:cs="Arial"/>
        </w:rPr>
        <w:t>limitations</w:t>
      </w:r>
      <w:r w:rsidR="00280A76" w:rsidRPr="00586786">
        <w:rPr>
          <w:rFonts w:ascii="Arial" w:hAnsi="Arial" w:cs="Arial"/>
        </w:rPr>
        <w:t xml:space="preserve"> to the</w:t>
      </w:r>
      <w:r w:rsidRPr="00586786">
        <w:rPr>
          <w:rFonts w:ascii="Arial" w:hAnsi="Arial" w:cs="Arial"/>
        </w:rPr>
        <w:t xml:space="preserve"> </w:t>
      </w:r>
      <w:r w:rsidR="00280A76" w:rsidRPr="00586786">
        <w:rPr>
          <w:rFonts w:ascii="Arial" w:hAnsi="Arial" w:cs="Arial"/>
        </w:rPr>
        <w:t>generalisability of the studies identified. Firstly,</w:t>
      </w:r>
      <w:r w:rsidR="00910CEF" w:rsidRPr="00586786">
        <w:rPr>
          <w:rFonts w:ascii="Arial" w:hAnsi="Arial" w:cs="Arial"/>
        </w:rPr>
        <w:t xml:space="preserve"> </w:t>
      </w:r>
      <w:proofErr w:type="gramStart"/>
      <w:r w:rsidR="00280A76" w:rsidRPr="00586786">
        <w:rPr>
          <w:rFonts w:ascii="Arial" w:hAnsi="Arial" w:cs="Arial"/>
        </w:rPr>
        <w:t>the majority of</w:t>
      </w:r>
      <w:proofErr w:type="gramEnd"/>
      <w:r w:rsidR="00280A76" w:rsidRPr="00586786">
        <w:rPr>
          <w:rFonts w:ascii="Arial" w:hAnsi="Arial" w:cs="Arial"/>
        </w:rPr>
        <w:t xml:space="preserve"> included studies assessed </w:t>
      </w:r>
      <w:r w:rsidRPr="00586786">
        <w:rPr>
          <w:rFonts w:ascii="Arial" w:hAnsi="Arial" w:cs="Arial"/>
        </w:rPr>
        <w:t xml:space="preserve">systemic </w:t>
      </w:r>
      <w:r w:rsidR="00A72BBA" w:rsidRPr="00586786">
        <w:rPr>
          <w:rFonts w:ascii="Arial" w:hAnsi="Arial" w:cs="Arial"/>
        </w:rPr>
        <w:t>GC</w:t>
      </w:r>
      <w:r w:rsidRPr="00586786">
        <w:rPr>
          <w:rFonts w:ascii="Arial" w:hAnsi="Arial" w:cs="Arial"/>
        </w:rPr>
        <w:t xml:space="preserve"> use, </w:t>
      </w:r>
      <w:r w:rsidR="00280A76" w:rsidRPr="00586786">
        <w:rPr>
          <w:rFonts w:ascii="Arial" w:hAnsi="Arial" w:cs="Arial"/>
        </w:rPr>
        <w:t>with other routes of GC administration less commonly represented in the literature. H</w:t>
      </w:r>
      <w:r w:rsidRPr="00586786">
        <w:rPr>
          <w:rFonts w:ascii="Arial" w:hAnsi="Arial" w:cs="Arial"/>
        </w:rPr>
        <w:t>owever</w:t>
      </w:r>
      <w:r w:rsidR="00E443DB" w:rsidRPr="00586786">
        <w:rPr>
          <w:rFonts w:ascii="Arial" w:hAnsi="Arial" w:cs="Arial"/>
        </w:rPr>
        <w:t>,</w:t>
      </w:r>
      <w:r w:rsidRPr="00586786">
        <w:rPr>
          <w:rFonts w:ascii="Arial" w:hAnsi="Arial" w:cs="Arial"/>
        </w:rPr>
        <w:t xml:space="preserve"> this is unlikely to create </w:t>
      </w:r>
      <w:r w:rsidR="007767E1" w:rsidRPr="00586786">
        <w:rPr>
          <w:rFonts w:ascii="Arial" w:hAnsi="Arial" w:cs="Arial"/>
        </w:rPr>
        <w:t>a significant issue</w:t>
      </w:r>
      <w:r w:rsidR="00E443DB" w:rsidRPr="00586786">
        <w:rPr>
          <w:rFonts w:ascii="Arial" w:hAnsi="Arial" w:cs="Arial"/>
        </w:rPr>
        <w:t>,</w:t>
      </w:r>
      <w:r w:rsidR="007767E1" w:rsidRPr="00586786">
        <w:rPr>
          <w:rFonts w:ascii="Arial" w:hAnsi="Arial" w:cs="Arial"/>
        </w:rPr>
        <w:t xml:space="preserve"> </w:t>
      </w:r>
      <w:r w:rsidR="00280A76" w:rsidRPr="00586786">
        <w:rPr>
          <w:rFonts w:ascii="Arial" w:hAnsi="Arial" w:cs="Arial"/>
        </w:rPr>
        <w:t xml:space="preserve">as the </w:t>
      </w:r>
      <w:r w:rsidRPr="00586786">
        <w:rPr>
          <w:rFonts w:ascii="Arial" w:hAnsi="Arial" w:cs="Arial"/>
        </w:rPr>
        <w:t>OMERACT</w:t>
      </w:r>
      <w:r w:rsidR="00910CEF" w:rsidRPr="00586786">
        <w:rPr>
          <w:rFonts w:ascii="Arial" w:hAnsi="Arial" w:cs="Arial"/>
        </w:rPr>
        <w:t xml:space="preserve"> </w:t>
      </w:r>
      <w:r w:rsidR="00280A76" w:rsidRPr="00586786">
        <w:rPr>
          <w:rFonts w:ascii="Arial" w:hAnsi="Arial" w:cs="Arial"/>
        </w:rPr>
        <w:t>GC Impact Group’s focus is on</w:t>
      </w:r>
      <w:r w:rsidRPr="00586786">
        <w:rPr>
          <w:rFonts w:ascii="Arial" w:hAnsi="Arial" w:cs="Arial"/>
        </w:rPr>
        <w:t xml:space="preserve"> </w:t>
      </w:r>
      <w:r w:rsidR="00A72BBA" w:rsidRPr="00586786">
        <w:rPr>
          <w:rFonts w:ascii="Arial" w:hAnsi="Arial" w:cs="Arial"/>
        </w:rPr>
        <w:t>AIRDs</w:t>
      </w:r>
      <w:r w:rsidRPr="00586786">
        <w:rPr>
          <w:rFonts w:ascii="Arial" w:hAnsi="Arial" w:cs="Arial"/>
        </w:rPr>
        <w:t xml:space="preserve">, </w:t>
      </w:r>
      <w:r w:rsidR="00280A76" w:rsidRPr="00586786">
        <w:rPr>
          <w:rFonts w:ascii="Arial" w:hAnsi="Arial" w:cs="Arial"/>
        </w:rPr>
        <w:t xml:space="preserve">for which </w:t>
      </w:r>
      <w:r w:rsidRPr="00586786">
        <w:rPr>
          <w:rFonts w:ascii="Arial" w:hAnsi="Arial" w:cs="Arial"/>
        </w:rPr>
        <w:t xml:space="preserve">systemic </w:t>
      </w:r>
      <w:r w:rsidR="00280A76" w:rsidRPr="00586786">
        <w:rPr>
          <w:rFonts w:ascii="Arial" w:hAnsi="Arial" w:cs="Arial"/>
        </w:rPr>
        <w:t xml:space="preserve">GCs are the </w:t>
      </w:r>
      <w:r w:rsidR="00E443DB" w:rsidRPr="00586786">
        <w:rPr>
          <w:rFonts w:ascii="Arial" w:hAnsi="Arial" w:cs="Arial"/>
        </w:rPr>
        <w:t xml:space="preserve">most </w:t>
      </w:r>
      <w:proofErr w:type="gramStart"/>
      <w:r w:rsidR="00E443DB" w:rsidRPr="00586786">
        <w:rPr>
          <w:rFonts w:ascii="Arial" w:hAnsi="Arial" w:cs="Arial"/>
        </w:rPr>
        <w:t>commonly-used</w:t>
      </w:r>
      <w:proofErr w:type="gramEnd"/>
      <w:r w:rsidR="00280A76" w:rsidRPr="00586786">
        <w:rPr>
          <w:rFonts w:ascii="Arial" w:hAnsi="Arial" w:cs="Arial"/>
        </w:rPr>
        <w:t xml:space="preserve"> GC treatment</w:t>
      </w:r>
      <w:r w:rsidR="009E79C7" w:rsidRPr="00586786">
        <w:rPr>
          <w:rFonts w:ascii="Arial" w:hAnsi="Arial" w:cs="Arial"/>
        </w:rPr>
        <w:t xml:space="preserve"> type</w:t>
      </w:r>
      <w:r w:rsidR="00280A76" w:rsidRPr="00586786">
        <w:rPr>
          <w:rFonts w:ascii="Arial" w:hAnsi="Arial" w:cs="Arial"/>
        </w:rPr>
        <w:t>.</w:t>
      </w:r>
    </w:p>
    <w:p w14:paraId="0AF63E9C" w14:textId="77777777" w:rsidR="00280A76" w:rsidRPr="00586786" w:rsidRDefault="00280A76" w:rsidP="00586786">
      <w:pPr>
        <w:spacing w:line="360" w:lineRule="auto"/>
        <w:rPr>
          <w:rFonts w:ascii="Arial" w:hAnsi="Arial" w:cs="Arial"/>
        </w:rPr>
      </w:pPr>
    </w:p>
    <w:p w14:paraId="5DABEC89" w14:textId="407C0C0B" w:rsidR="00910CEF" w:rsidRPr="00586786" w:rsidRDefault="00910CEF" w:rsidP="00586786">
      <w:pPr>
        <w:spacing w:line="360" w:lineRule="auto"/>
        <w:rPr>
          <w:rFonts w:ascii="Arial" w:hAnsi="Arial" w:cs="Arial"/>
        </w:rPr>
      </w:pPr>
      <w:proofErr w:type="gramStart"/>
      <w:r w:rsidRPr="00586786">
        <w:rPr>
          <w:rFonts w:ascii="Arial" w:hAnsi="Arial" w:cs="Arial"/>
        </w:rPr>
        <w:t>A number of</w:t>
      </w:r>
      <w:proofErr w:type="gramEnd"/>
      <w:r w:rsidRPr="00586786">
        <w:rPr>
          <w:rFonts w:ascii="Arial" w:hAnsi="Arial" w:cs="Arial"/>
        </w:rPr>
        <w:t xml:space="preserve"> the instruments identified in this review are not widely available for clinical use (e.g.: bone indentation) or were created to assess disease activity rather than GC toxicity (e.g.: SLE damage index) and as such may be limited in their validity for further use as a GC impact measure. Several measures only assessed the binary presence of an adverse outcome and did not provide a threshold for diagnosis or change over time, thus limiting their use for further assessment. </w:t>
      </w:r>
    </w:p>
    <w:p w14:paraId="29E70221" w14:textId="77777777" w:rsidR="00910CEF" w:rsidRPr="00586786" w:rsidRDefault="00910CEF" w:rsidP="00586786">
      <w:pPr>
        <w:spacing w:line="360" w:lineRule="auto"/>
        <w:rPr>
          <w:rFonts w:ascii="Arial" w:hAnsi="Arial" w:cs="Arial"/>
        </w:rPr>
      </w:pPr>
    </w:p>
    <w:p w14:paraId="5409D6F4" w14:textId="76B4BF04" w:rsidR="00280A76" w:rsidRPr="00586786" w:rsidRDefault="00280A76" w:rsidP="00586786">
      <w:pPr>
        <w:spacing w:line="360" w:lineRule="auto"/>
        <w:rPr>
          <w:rFonts w:ascii="Arial" w:hAnsi="Arial" w:cs="Arial"/>
          <w:lang w:val="en-AU"/>
        </w:rPr>
      </w:pPr>
      <w:r w:rsidRPr="00586786">
        <w:rPr>
          <w:rFonts w:ascii="Arial" w:hAnsi="Arial" w:cs="Arial"/>
        </w:rPr>
        <w:t xml:space="preserve">Additionally, most included studies arose from developed countries, and the validity of these </w:t>
      </w:r>
      <w:proofErr w:type="spellStart"/>
      <w:r w:rsidRPr="00586786">
        <w:rPr>
          <w:rFonts w:ascii="Arial" w:hAnsi="Arial" w:cs="Arial"/>
        </w:rPr>
        <w:t>ClinROs</w:t>
      </w:r>
      <w:proofErr w:type="spellEnd"/>
      <w:r w:rsidRPr="00586786">
        <w:rPr>
          <w:rFonts w:ascii="Arial" w:hAnsi="Arial" w:cs="Arial"/>
        </w:rPr>
        <w:t xml:space="preserve"> in low and middle-income countries, who may be disparately affected by the adverse effects of GC use, is unknown. </w:t>
      </w:r>
    </w:p>
    <w:p w14:paraId="360D7D1F" w14:textId="77777777" w:rsidR="00280A76" w:rsidRPr="00586786" w:rsidRDefault="00280A76" w:rsidP="00586786">
      <w:pPr>
        <w:spacing w:line="360" w:lineRule="auto"/>
        <w:rPr>
          <w:rFonts w:ascii="Arial" w:hAnsi="Arial" w:cs="Arial"/>
        </w:rPr>
      </w:pPr>
    </w:p>
    <w:p w14:paraId="6E5703A0" w14:textId="6B8C9267" w:rsidR="00AA28D2" w:rsidRPr="00586786" w:rsidRDefault="00280A76" w:rsidP="00586786">
      <w:pPr>
        <w:spacing w:line="360" w:lineRule="auto"/>
        <w:rPr>
          <w:rFonts w:ascii="Arial" w:hAnsi="Arial" w:cs="Arial"/>
        </w:rPr>
      </w:pPr>
      <w:r w:rsidRPr="00586786">
        <w:rPr>
          <w:rFonts w:ascii="Arial" w:hAnsi="Arial" w:cs="Arial"/>
        </w:rPr>
        <w:t>Another potential limitation is that n</w:t>
      </w:r>
      <w:r w:rsidR="00643EEE" w:rsidRPr="00586786">
        <w:rPr>
          <w:rFonts w:ascii="Arial" w:hAnsi="Arial" w:cs="Arial"/>
        </w:rPr>
        <w:t xml:space="preserve">on-English language papers or those without available translation to English were excluded, creating a potential bias for included instruments, which should be recognised when proceeding to instrument selection. </w:t>
      </w:r>
      <w:r w:rsidR="00C26822">
        <w:rPr>
          <w:rFonts w:ascii="Arial" w:hAnsi="Arial" w:cs="Arial"/>
        </w:rPr>
        <w:t xml:space="preserve">Additionally, outcomes of glucocorticoid toxicity may have been reported as a secondary outcome in some studies, which may have been excluded early in the screening process. </w:t>
      </w:r>
      <w:r w:rsidR="0040524B" w:rsidRPr="00586786">
        <w:rPr>
          <w:rFonts w:ascii="Arial" w:hAnsi="Arial" w:cs="Arial"/>
        </w:rPr>
        <w:t xml:space="preserve">A final limitation is that the search strategy did not include studies assessing the efficacy of therapeutics in the treatment of </w:t>
      </w:r>
      <w:r w:rsidR="004D2C10" w:rsidRPr="00586786">
        <w:rPr>
          <w:rFonts w:ascii="Arial" w:hAnsi="Arial" w:cs="Arial"/>
        </w:rPr>
        <w:t xml:space="preserve">GC </w:t>
      </w:r>
      <w:r w:rsidR="0040524B" w:rsidRPr="00586786">
        <w:rPr>
          <w:rFonts w:ascii="Arial" w:hAnsi="Arial" w:cs="Arial"/>
        </w:rPr>
        <w:t xml:space="preserve">associated adverse events such as osteoporosis or diabetes, and as such any additional outcome measures used in these studies were not included in the final analysis in the review. </w:t>
      </w:r>
    </w:p>
    <w:p w14:paraId="37E15AF8" w14:textId="0BF47A94" w:rsidR="00643EEE" w:rsidRPr="00586786" w:rsidRDefault="00643EEE" w:rsidP="00586786">
      <w:pPr>
        <w:spacing w:line="360" w:lineRule="auto"/>
        <w:rPr>
          <w:rFonts w:ascii="Arial" w:hAnsi="Arial" w:cs="Arial"/>
        </w:rPr>
      </w:pPr>
    </w:p>
    <w:p w14:paraId="36928DD9" w14:textId="63369F83" w:rsidR="00C9785A" w:rsidRPr="00586786" w:rsidRDefault="00C9785A" w:rsidP="00586786">
      <w:pPr>
        <w:spacing w:line="360" w:lineRule="auto"/>
        <w:rPr>
          <w:rFonts w:ascii="Arial" w:hAnsi="Arial" w:cs="Arial"/>
        </w:rPr>
      </w:pPr>
      <w:r w:rsidRPr="00586786">
        <w:rPr>
          <w:rFonts w:ascii="Arial" w:hAnsi="Arial" w:cs="Arial"/>
        </w:rPr>
        <w:t xml:space="preserve">The wide range of adverse effects </w:t>
      </w:r>
      <w:r w:rsidR="00280A76" w:rsidRPr="00586786">
        <w:rPr>
          <w:rFonts w:ascii="Arial" w:hAnsi="Arial" w:cs="Arial"/>
        </w:rPr>
        <w:t xml:space="preserve">associated with </w:t>
      </w:r>
      <w:r w:rsidRPr="00586786">
        <w:rPr>
          <w:rFonts w:ascii="Arial" w:hAnsi="Arial" w:cs="Arial"/>
        </w:rPr>
        <w:t>GC</w:t>
      </w:r>
      <w:r w:rsidR="00280A76" w:rsidRPr="00586786">
        <w:rPr>
          <w:rFonts w:ascii="Arial" w:hAnsi="Arial" w:cs="Arial"/>
        </w:rPr>
        <w:t xml:space="preserve"> use</w:t>
      </w:r>
      <w:r w:rsidRPr="00586786">
        <w:rPr>
          <w:rFonts w:ascii="Arial" w:hAnsi="Arial" w:cs="Arial"/>
        </w:rPr>
        <w:t xml:space="preserve"> results in varied impact on patients across domains. For example, infection and mood disturbance are likely to directly impact quality of life, but other domains such as bone fragility, </w:t>
      </w:r>
      <w:r w:rsidRPr="00586786">
        <w:rPr>
          <w:rFonts w:ascii="Arial" w:hAnsi="Arial" w:cs="Arial"/>
        </w:rPr>
        <w:lastRenderedPageBreak/>
        <w:t xml:space="preserve">hypertension and hyperglycaemia are also markers of health or risk factors for disease which may require mitigation with future medications. Given the varied nature of these effects, there is </w:t>
      </w:r>
      <w:r w:rsidR="0056136B" w:rsidRPr="00586786">
        <w:rPr>
          <w:rFonts w:ascii="Arial" w:hAnsi="Arial" w:cs="Arial"/>
        </w:rPr>
        <w:t xml:space="preserve">significant </w:t>
      </w:r>
      <w:r w:rsidRPr="00586786">
        <w:rPr>
          <w:rFonts w:ascii="Arial" w:hAnsi="Arial" w:cs="Arial"/>
        </w:rPr>
        <w:t xml:space="preserve">value in measuring the impact </w:t>
      </w:r>
      <w:r w:rsidR="0056136B" w:rsidRPr="00586786">
        <w:rPr>
          <w:rFonts w:ascii="Arial" w:hAnsi="Arial" w:cs="Arial"/>
        </w:rPr>
        <w:t xml:space="preserve">of each effect </w:t>
      </w:r>
      <w:r w:rsidRPr="00586786">
        <w:rPr>
          <w:rFonts w:ascii="Arial" w:hAnsi="Arial" w:cs="Arial"/>
        </w:rPr>
        <w:t xml:space="preserve">separately rather than combining them into a composite measure such as the GTI, though this may create feasibility issues when measuring each domain with great precision. </w:t>
      </w:r>
      <w:r w:rsidR="0029623C" w:rsidRPr="00586786">
        <w:rPr>
          <w:rFonts w:ascii="Arial" w:hAnsi="Arial" w:cs="Arial"/>
        </w:rPr>
        <w:t xml:space="preserve">The value of </w:t>
      </w:r>
      <w:r w:rsidR="00F272AD" w:rsidRPr="00586786">
        <w:rPr>
          <w:rFonts w:ascii="Arial" w:hAnsi="Arial" w:cs="Arial"/>
        </w:rPr>
        <w:t xml:space="preserve">“steroid-sparing” </w:t>
      </w:r>
      <w:r w:rsidR="0029623C" w:rsidRPr="00586786">
        <w:rPr>
          <w:rFonts w:ascii="Arial" w:hAnsi="Arial" w:cs="Arial"/>
        </w:rPr>
        <w:t>agents that reduce GC use should not be assessed by drug cost alone, but by their capacity to reduce cumulative GC exposure, prevent complications</w:t>
      </w:r>
      <w:r w:rsidR="001D7065" w:rsidRPr="00586786">
        <w:rPr>
          <w:rFonts w:ascii="Arial" w:hAnsi="Arial" w:cs="Arial"/>
        </w:rPr>
        <w:t xml:space="preserve"> of GCs</w:t>
      </w:r>
      <w:r w:rsidR="000515D5" w:rsidRPr="00586786">
        <w:rPr>
          <w:rFonts w:ascii="Arial" w:hAnsi="Arial" w:cs="Arial"/>
        </w:rPr>
        <w:t xml:space="preserve"> and AIRDs</w:t>
      </w:r>
      <w:r w:rsidR="0029623C" w:rsidRPr="00586786">
        <w:rPr>
          <w:rFonts w:ascii="Arial" w:hAnsi="Arial" w:cs="Arial"/>
        </w:rPr>
        <w:t xml:space="preserve">, and improve quality of life. </w:t>
      </w:r>
    </w:p>
    <w:p w14:paraId="42F8A600" w14:textId="77777777" w:rsidR="00C9785A" w:rsidRPr="00586786" w:rsidRDefault="00C9785A" w:rsidP="00586786">
      <w:pPr>
        <w:spacing w:line="360" w:lineRule="auto"/>
        <w:rPr>
          <w:rFonts w:ascii="Arial" w:hAnsi="Arial" w:cs="Arial"/>
        </w:rPr>
      </w:pPr>
    </w:p>
    <w:p w14:paraId="28668E7D" w14:textId="0F3C786D" w:rsidR="00C9785A" w:rsidRPr="00586786" w:rsidRDefault="00C9785A" w:rsidP="00586786">
      <w:pPr>
        <w:spacing w:line="360" w:lineRule="auto"/>
        <w:rPr>
          <w:rFonts w:ascii="Arial" w:hAnsi="Arial" w:cs="Arial"/>
          <w:lang w:val="en-AU"/>
        </w:rPr>
      </w:pPr>
      <w:proofErr w:type="gramStart"/>
      <w:r w:rsidRPr="00586786">
        <w:rPr>
          <w:rFonts w:ascii="Arial" w:hAnsi="Arial" w:cs="Arial"/>
        </w:rPr>
        <w:t>A large number of</w:t>
      </w:r>
      <w:proofErr w:type="gramEnd"/>
      <w:r w:rsidRPr="00586786">
        <w:rPr>
          <w:rFonts w:ascii="Arial" w:hAnsi="Arial" w:cs="Arial"/>
        </w:rPr>
        <w:t xml:space="preserve"> included studies u</w:t>
      </w:r>
      <w:r w:rsidR="00280A76" w:rsidRPr="00586786">
        <w:rPr>
          <w:rFonts w:ascii="Arial" w:hAnsi="Arial" w:cs="Arial"/>
        </w:rPr>
        <w:t>sed</w:t>
      </w:r>
      <w:r w:rsidRPr="00586786">
        <w:rPr>
          <w:rFonts w:ascii="Arial" w:hAnsi="Arial" w:cs="Arial"/>
        </w:rPr>
        <w:t xml:space="preserve"> the selected measure to describe change over time, though thresholds for significant change were infrequently defined and have not been standardised for use in clinical trials. </w:t>
      </w:r>
    </w:p>
    <w:p w14:paraId="03472080" w14:textId="2A8186CF" w:rsidR="00A6781A" w:rsidRPr="00586786" w:rsidRDefault="00A6781A" w:rsidP="00586786">
      <w:pPr>
        <w:spacing w:line="360" w:lineRule="auto"/>
        <w:rPr>
          <w:rFonts w:ascii="Arial" w:hAnsi="Arial" w:cs="Arial"/>
        </w:rPr>
      </w:pPr>
    </w:p>
    <w:p w14:paraId="525825FE" w14:textId="5F102CF8" w:rsidR="00643EEE" w:rsidRPr="00586786" w:rsidRDefault="00C9785A" w:rsidP="00586786">
      <w:pPr>
        <w:spacing w:line="360" w:lineRule="auto"/>
        <w:rPr>
          <w:rFonts w:ascii="Arial" w:hAnsi="Arial" w:cs="Arial"/>
        </w:rPr>
      </w:pPr>
      <w:r w:rsidRPr="00586786">
        <w:rPr>
          <w:rFonts w:ascii="Arial" w:hAnsi="Arial" w:cs="Arial"/>
        </w:rPr>
        <w:t>The OMERACT GC Impact Group will perform f</w:t>
      </w:r>
      <w:r w:rsidR="00643EEE" w:rsidRPr="00586786">
        <w:rPr>
          <w:rFonts w:ascii="Arial" w:hAnsi="Arial" w:cs="Arial"/>
        </w:rPr>
        <w:t xml:space="preserve">urther assessment </w:t>
      </w:r>
      <w:r w:rsidR="0056136B" w:rsidRPr="00586786">
        <w:rPr>
          <w:rFonts w:ascii="Arial" w:hAnsi="Arial" w:cs="Arial"/>
        </w:rPr>
        <w:t xml:space="preserve">of content, feasibility and </w:t>
      </w:r>
      <w:r w:rsidR="00643EEE" w:rsidRPr="00586786">
        <w:rPr>
          <w:rFonts w:ascii="Arial" w:hAnsi="Arial" w:cs="Arial"/>
        </w:rPr>
        <w:t xml:space="preserve">face validity of candidate instruments </w:t>
      </w:r>
      <w:r w:rsidRPr="00586786">
        <w:rPr>
          <w:rFonts w:ascii="Arial" w:hAnsi="Arial" w:cs="Arial"/>
        </w:rPr>
        <w:t>to</w:t>
      </w:r>
      <w:r w:rsidR="00643EEE" w:rsidRPr="00586786">
        <w:rPr>
          <w:rFonts w:ascii="Arial" w:hAnsi="Arial" w:cs="Arial"/>
        </w:rPr>
        <w:t xml:space="preserve"> inform instrument selection </w:t>
      </w:r>
      <w:r w:rsidR="00763657">
        <w:rPr>
          <w:rFonts w:ascii="Arial" w:hAnsi="Arial" w:cs="Arial"/>
        </w:rPr>
        <w:t xml:space="preserve">and endorsement </w:t>
      </w:r>
      <w:r w:rsidR="00643EEE" w:rsidRPr="00586786">
        <w:rPr>
          <w:rFonts w:ascii="Arial" w:hAnsi="Arial" w:cs="Arial"/>
        </w:rPr>
        <w:t xml:space="preserve">for each impact domain. </w:t>
      </w:r>
      <w:r w:rsidR="00910CEF" w:rsidRPr="00586786">
        <w:rPr>
          <w:rFonts w:ascii="Arial" w:hAnsi="Arial" w:cs="Arial"/>
        </w:rPr>
        <w:t xml:space="preserve">Incorporation of PROs to measure each domain will be important, and it is likely that a combination of </w:t>
      </w:r>
      <w:proofErr w:type="spellStart"/>
      <w:r w:rsidR="00910CEF" w:rsidRPr="00586786">
        <w:rPr>
          <w:rFonts w:ascii="Arial" w:hAnsi="Arial" w:cs="Arial"/>
        </w:rPr>
        <w:t>ClinROs</w:t>
      </w:r>
      <w:proofErr w:type="spellEnd"/>
      <w:r w:rsidR="00910CEF" w:rsidRPr="00586786">
        <w:rPr>
          <w:rFonts w:ascii="Arial" w:hAnsi="Arial" w:cs="Arial"/>
        </w:rPr>
        <w:t xml:space="preserve"> and PROs will be required to adequately measure the core domain set. </w:t>
      </w:r>
    </w:p>
    <w:p w14:paraId="7176F318" w14:textId="77777777" w:rsidR="00F027EF" w:rsidRPr="00586786" w:rsidRDefault="00F027EF" w:rsidP="00586786">
      <w:pPr>
        <w:spacing w:line="360" w:lineRule="auto"/>
        <w:rPr>
          <w:rFonts w:ascii="Arial" w:hAnsi="Arial" w:cs="Arial"/>
        </w:rPr>
      </w:pPr>
    </w:p>
    <w:p w14:paraId="4DA261E2" w14:textId="0A3DE468" w:rsidR="00E0194E" w:rsidRPr="00586786" w:rsidRDefault="0061760D" w:rsidP="00586786">
      <w:pPr>
        <w:spacing w:line="360" w:lineRule="auto"/>
        <w:rPr>
          <w:rFonts w:ascii="Arial" w:hAnsi="Arial" w:cs="Arial"/>
          <w:b/>
          <w:bCs/>
        </w:rPr>
      </w:pPr>
      <w:r w:rsidRPr="00586786">
        <w:rPr>
          <w:rFonts w:ascii="Arial" w:hAnsi="Arial" w:cs="Arial"/>
          <w:b/>
          <w:bCs/>
        </w:rPr>
        <w:t>5.0 CONCLUSION</w:t>
      </w:r>
    </w:p>
    <w:p w14:paraId="30B425DA" w14:textId="57603884" w:rsidR="00AF41F7" w:rsidRPr="00586786" w:rsidRDefault="005C0A0F" w:rsidP="00586786">
      <w:pPr>
        <w:spacing w:line="360" w:lineRule="auto"/>
        <w:rPr>
          <w:rFonts w:ascii="Arial" w:hAnsi="Arial" w:cs="Arial"/>
        </w:rPr>
      </w:pPr>
      <w:r w:rsidRPr="00586786">
        <w:rPr>
          <w:rFonts w:ascii="Arial" w:hAnsi="Arial" w:cs="Arial"/>
        </w:rPr>
        <w:t xml:space="preserve">In conclusion, this review identified </w:t>
      </w:r>
      <w:r w:rsidR="00A203CC" w:rsidRPr="00586786">
        <w:rPr>
          <w:rFonts w:ascii="Arial" w:hAnsi="Arial" w:cs="Arial"/>
        </w:rPr>
        <w:t>multiple</w:t>
      </w:r>
      <w:r w:rsidRPr="00586786">
        <w:rPr>
          <w:rFonts w:ascii="Arial" w:hAnsi="Arial" w:cs="Arial"/>
        </w:rPr>
        <w:t xml:space="preserve"> </w:t>
      </w:r>
      <w:proofErr w:type="spellStart"/>
      <w:r w:rsidR="00280A76" w:rsidRPr="00586786">
        <w:rPr>
          <w:rFonts w:ascii="Arial" w:hAnsi="Arial" w:cs="Arial"/>
        </w:rPr>
        <w:t>ClinRO</w:t>
      </w:r>
      <w:proofErr w:type="spellEnd"/>
      <w:r w:rsidR="00086416" w:rsidRPr="00586786">
        <w:rPr>
          <w:rFonts w:ascii="Arial" w:hAnsi="Arial" w:cs="Arial"/>
        </w:rPr>
        <w:t xml:space="preserve"> </w:t>
      </w:r>
      <w:r w:rsidRPr="00586786">
        <w:rPr>
          <w:rFonts w:ascii="Arial" w:hAnsi="Arial" w:cs="Arial"/>
        </w:rPr>
        <w:t xml:space="preserve">candidate instruments to measure the physiological and psychosocial impact domains previously </w:t>
      </w:r>
      <w:r w:rsidR="00F1122B" w:rsidRPr="00586786">
        <w:rPr>
          <w:rFonts w:ascii="Arial" w:hAnsi="Arial" w:cs="Arial"/>
        </w:rPr>
        <w:t>produced</w:t>
      </w:r>
      <w:r w:rsidRPr="00586786">
        <w:rPr>
          <w:rFonts w:ascii="Arial" w:hAnsi="Arial" w:cs="Arial"/>
        </w:rPr>
        <w:t xml:space="preserve"> by the OMERACT </w:t>
      </w:r>
      <w:r w:rsidR="004D2C10" w:rsidRPr="00586786">
        <w:rPr>
          <w:rFonts w:ascii="Arial" w:hAnsi="Arial" w:cs="Arial"/>
        </w:rPr>
        <w:t xml:space="preserve">GC </w:t>
      </w:r>
      <w:r w:rsidRPr="00586786">
        <w:rPr>
          <w:rFonts w:ascii="Arial" w:hAnsi="Arial" w:cs="Arial"/>
        </w:rPr>
        <w:t>impact working group.</w:t>
      </w:r>
      <w:r w:rsidR="00E0642B" w:rsidRPr="00586786">
        <w:rPr>
          <w:rFonts w:ascii="Arial" w:hAnsi="Arial" w:cs="Arial"/>
        </w:rPr>
        <w:t xml:space="preserve"> Comprehensive measurement of all aspects of GC related toxicity is challenging, and f</w:t>
      </w:r>
      <w:r w:rsidRPr="00586786">
        <w:rPr>
          <w:rFonts w:ascii="Arial" w:hAnsi="Arial" w:cs="Arial"/>
        </w:rPr>
        <w:t>urther appraisal of each instrument</w:t>
      </w:r>
      <w:r w:rsidR="0056136B" w:rsidRPr="00586786">
        <w:rPr>
          <w:rFonts w:ascii="Arial" w:hAnsi="Arial" w:cs="Arial"/>
        </w:rPr>
        <w:t xml:space="preserve">’s content, feasibility and face validity </w:t>
      </w:r>
      <w:r w:rsidRPr="00586786">
        <w:rPr>
          <w:rFonts w:ascii="Arial" w:hAnsi="Arial" w:cs="Arial"/>
        </w:rPr>
        <w:t xml:space="preserve">will enable selection of appropriate </w:t>
      </w:r>
      <w:r w:rsidR="00E0642B" w:rsidRPr="00586786">
        <w:rPr>
          <w:rFonts w:ascii="Arial" w:hAnsi="Arial" w:cs="Arial"/>
        </w:rPr>
        <w:t>measures for each impact domain.</w:t>
      </w:r>
      <w:r w:rsidRPr="00586786">
        <w:rPr>
          <w:rFonts w:ascii="Arial" w:hAnsi="Arial" w:cs="Arial"/>
        </w:rPr>
        <w:t xml:space="preserve"> </w:t>
      </w:r>
      <w:r w:rsidR="00C9785A" w:rsidRPr="00586786">
        <w:rPr>
          <w:rFonts w:ascii="Arial" w:hAnsi="Arial" w:cs="Arial"/>
        </w:rPr>
        <w:t xml:space="preserve"> </w:t>
      </w:r>
      <w:r w:rsidR="00280A76" w:rsidRPr="00586786">
        <w:rPr>
          <w:rFonts w:ascii="Arial" w:hAnsi="Arial" w:cs="Arial"/>
        </w:rPr>
        <w:t>P</w:t>
      </w:r>
      <w:r w:rsidR="00C9785A" w:rsidRPr="00586786">
        <w:rPr>
          <w:rFonts w:ascii="Arial" w:hAnsi="Arial" w:cs="Arial"/>
        </w:rPr>
        <w:t xml:space="preserve">atient research partners </w:t>
      </w:r>
      <w:r w:rsidR="00280A76" w:rsidRPr="00586786">
        <w:rPr>
          <w:rFonts w:ascii="Arial" w:hAnsi="Arial" w:cs="Arial"/>
        </w:rPr>
        <w:t xml:space="preserve">should </w:t>
      </w:r>
      <w:r w:rsidR="00910CEF" w:rsidRPr="00586786">
        <w:rPr>
          <w:rFonts w:ascii="Arial" w:hAnsi="Arial" w:cs="Arial"/>
        </w:rPr>
        <w:t>be</w:t>
      </w:r>
      <w:r w:rsidR="00280A76" w:rsidRPr="00586786">
        <w:rPr>
          <w:rFonts w:ascii="Arial" w:hAnsi="Arial" w:cs="Arial"/>
        </w:rPr>
        <w:t xml:space="preserve"> included </w:t>
      </w:r>
      <w:r w:rsidR="00C9785A" w:rsidRPr="00586786">
        <w:rPr>
          <w:rFonts w:ascii="Arial" w:hAnsi="Arial" w:cs="Arial"/>
        </w:rPr>
        <w:t xml:space="preserve">in </w:t>
      </w:r>
      <w:r w:rsidR="00280A76" w:rsidRPr="00586786">
        <w:rPr>
          <w:rFonts w:ascii="Arial" w:hAnsi="Arial" w:cs="Arial"/>
        </w:rPr>
        <w:t xml:space="preserve">the </w:t>
      </w:r>
      <w:r w:rsidR="00C9785A" w:rsidRPr="00586786">
        <w:rPr>
          <w:rFonts w:ascii="Arial" w:hAnsi="Arial" w:cs="Arial"/>
        </w:rPr>
        <w:t>development of</w:t>
      </w:r>
      <w:r w:rsidR="00280A76" w:rsidRPr="00586786">
        <w:rPr>
          <w:rFonts w:ascii="Arial" w:hAnsi="Arial" w:cs="Arial"/>
        </w:rPr>
        <w:t xml:space="preserve"> future</w:t>
      </w:r>
      <w:r w:rsidR="00C9785A" w:rsidRPr="00586786">
        <w:rPr>
          <w:rFonts w:ascii="Arial" w:hAnsi="Arial" w:cs="Arial"/>
        </w:rPr>
        <w:t xml:space="preserve"> </w:t>
      </w:r>
      <w:proofErr w:type="spellStart"/>
      <w:r w:rsidR="00C9785A" w:rsidRPr="00586786">
        <w:rPr>
          <w:rFonts w:ascii="Arial" w:hAnsi="Arial" w:cs="Arial"/>
        </w:rPr>
        <w:t>ClinROs</w:t>
      </w:r>
      <w:proofErr w:type="spellEnd"/>
      <w:r w:rsidR="00C9785A" w:rsidRPr="00586786">
        <w:rPr>
          <w:rFonts w:ascii="Arial" w:hAnsi="Arial" w:cs="Arial"/>
        </w:rPr>
        <w:t xml:space="preserve">. </w:t>
      </w:r>
    </w:p>
    <w:p w14:paraId="10D02EB5" w14:textId="77777777" w:rsidR="00AF41F7" w:rsidRPr="00586786" w:rsidRDefault="00AF41F7" w:rsidP="00586786">
      <w:pPr>
        <w:spacing w:line="360" w:lineRule="auto"/>
        <w:rPr>
          <w:rFonts w:ascii="Arial" w:hAnsi="Arial" w:cs="Arial"/>
        </w:rPr>
      </w:pPr>
    </w:p>
    <w:p w14:paraId="1B549692" w14:textId="7DAB27B7" w:rsidR="00AF41F7" w:rsidRPr="00586786" w:rsidRDefault="00733E51" w:rsidP="00586786">
      <w:pPr>
        <w:spacing w:line="360" w:lineRule="auto"/>
        <w:rPr>
          <w:rFonts w:ascii="Arial" w:hAnsi="Arial" w:cs="Arial"/>
          <w:b/>
          <w:bCs/>
        </w:rPr>
      </w:pPr>
      <w:r w:rsidRPr="00586786">
        <w:rPr>
          <w:rFonts w:ascii="Arial" w:hAnsi="Arial" w:cs="Arial"/>
          <w:b/>
          <w:bCs/>
        </w:rPr>
        <w:t>FUNDING</w:t>
      </w:r>
    </w:p>
    <w:p w14:paraId="1744BAC2" w14:textId="3714FFCF" w:rsidR="00733E51" w:rsidRPr="00586786" w:rsidRDefault="00733E51" w:rsidP="00586786">
      <w:pPr>
        <w:spacing w:line="360" w:lineRule="auto"/>
        <w:rPr>
          <w:rFonts w:ascii="Arial" w:hAnsi="Arial" w:cs="Arial"/>
          <w:color w:val="1F1F1F"/>
        </w:rPr>
      </w:pPr>
      <w:r w:rsidRPr="00586786">
        <w:rPr>
          <w:rFonts w:ascii="Arial" w:hAnsi="Arial" w:cs="Arial"/>
          <w:color w:val="1F1F1F"/>
        </w:rPr>
        <w:t>This research did not receive any specific grant from funding agencies in the public, commercial, or not-for-profit sectors.</w:t>
      </w:r>
    </w:p>
    <w:p w14:paraId="7EA1BCC2" w14:textId="77777777" w:rsidR="00733E51" w:rsidRPr="00586786" w:rsidRDefault="00733E51" w:rsidP="00586786">
      <w:pPr>
        <w:spacing w:line="360" w:lineRule="auto"/>
        <w:rPr>
          <w:rFonts w:ascii="Arial" w:hAnsi="Arial" w:cs="Arial"/>
        </w:rPr>
      </w:pPr>
    </w:p>
    <w:p w14:paraId="6D5406A7" w14:textId="45034395" w:rsidR="00AF41F7" w:rsidRPr="00586786" w:rsidRDefault="002E513F" w:rsidP="00586786">
      <w:pPr>
        <w:spacing w:line="360" w:lineRule="auto"/>
        <w:rPr>
          <w:rFonts w:ascii="Arial" w:hAnsi="Arial" w:cs="Arial"/>
          <w:b/>
          <w:bCs/>
        </w:rPr>
      </w:pPr>
      <w:r w:rsidRPr="00586786">
        <w:rPr>
          <w:rFonts w:ascii="Arial" w:hAnsi="Arial" w:cs="Arial"/>
          <w:b/>
          <w:bCs/>
        </w:rPr>
        <w:t>ACKNOWLEDGEMENTS</w:t>
      </w:r>
    </w:p>
    <w:p w14:paraId="1EBF445E" w14:textId="01EC7B54" w:rsidR="00AF41F7" w:rsidRPr="00586786" w:rsidRDefault="00AF41F7" w:rsidP="00586786">
      <w:pPr>
        <w:spacing w:line="360" w:lineRule="auto"/>
        <w:rPr>
          <w:rFonts w:ascii="Arial" w:hAnsi="Arial" w:cs="Arial"/>
        </w:rPr>
      </w:pPr>
      <w:r w:rsidRPr="00586786">
        <w:rPr>
          <w:rFonts w:ascii="Arial" w:hAnsi="Arial" w:cs="Arial"/>
        </w:rPr>
        <w:t>Lee Staszynski, Research Librarian, SA Health</w:t>
      </w:r>
    </w:p>
    <w:p w14:paraId="150F956B" w14:textId="77777777" w:rsidR="00DF5CE8" w:rsidRPr="00586786" w:rsidRDefault="00DF5CE8" w:rsidP="00586786">
      <w:pPr>
        <w:spacing w:line="360" w:lineRule="auto"/>
        <w:rPr>
          <w:rFonts w:ascii="Arial" w:hAnsi="Arial" w:cs="Arial"/>
        </w:rPr>
      </w:pPr>
    </w:p>
    <w:p w14:paraId="07DDBD84" w14:textId="37685FF8" w:rsidR="003D0883" w:rsidRPr="00586786" w:rsidRDefault="003D0883" w:rsidP="00586786">
      <w:pPr>
        <w:spacing w:line="360" w:lineRule="auto"/>
        <w:rPr>
          <w:rFonts w:ascii="Arial" w:hAnsi="Arial" w:cs="Arial"/>
          <w:b/>
          <w:bCs/>
        </w:rPr>
      </w:pPr>
      <w:r w:rsidRPr="00586786">
        <w:rPr>
          <w:rFonts w:ascii="Arial" w:hAnsi="Arial" w:cs="Arial"/>
          <w:b/>
          <w:bCs/>
        </w:rPr>
        <w:t>TABLE AND FIGURE LEGENDS</w:t>
      </w:r>
    </w:p>
    <w:p w14:paraId="550F1C98" w14:textId="057C2DFE" w:rsidR="003D0883" w:rsidRPr="00586786" w:rsidRDefault="003D0883" w:rsidP="00586786">
      <w:pPr>
        <w:spacing w:line="360" w:lineRule="auto"/>
        <w:rPr>
          <w:rFonts w:ascii="Arial" w:hAnsi="Arial" w:cs="Arial"/>
        </w:rPr>
      </w:pPr>
      <w:r w:rsidRPr="00586786">
        <w:rPr>
          <w:rFonts w:ascii="Arial" w:hAnsi="Arial" w:cs="Arial"/>
          <w:b/>
          <w:bCs/>
        </w:rPr>
        <w:t xml:space="preserve">Figure 1: </w:t>
      </w:r>
      <w:r w:rsidRPr="00586786">
        <w:rPr>
          <w:rFonts w:ascii="Arial" w:hAnsi="Arial" w:cs="Arial"/>
        </w:rPr>
        <w:t>PRISMA flowchart</w:t>
      </w:r>
    </w:p>
    <w:p w14:paraId="12AC95CA" w14:textId="77777777" w:rsidR="003D0883" w:rsidRPr="00586786" w:rsidRDefault="003D0883" w:rsidP="00586786">
      <w:pPr>
        <w:spacing w:line="360" w:lineRule="auto"/>
        <w:rPr>
          <w:rFonts w:ascii="Arial" w:hAnsi="Arial" w:cs="Arial"/>
        </w:rPr>
      </w:pPr>
    </w:p>
    <w:p w14:paraId="1A804E8F" w14:textId="7BF8D6FD" w:rsidR="003D0883" w:rsidRPr="00586786" w:rsidRDefault="003D0883" w:rsidP="00586786">
      <w:pPr>
        <w:spacing w:line="360" w:lineRule="auto"/>
        <w:rPr>
          <w:rFonts w:ascii="Arial" w:hAnsi="Arial" w:cs="Arial"/>
          <w:lang w:val="en-AU"/>
        </w:rPr>
      </w:pPr>
      <w:r w:rsidRPr="00586786">
        <w:rPr>
          <w:rFonts w:ascii="Arial" w:hAnsi="Arial" w:cs="Arial"/>
          <w:b/>
          <w:bCs/>
        </w:rPr>
        <w:t xml:space="preserve">Table 1: </w:t>
      </w:r>
      <w:r w:rsidRPr="00586786">
        <w:rPr>
          <w:rFonts w:ascii="Arial" w:hAnsi="Arial" w:cs="Arial"/>
          <w:lang w:val="en-AU"/>
        </w:rPr>
        <w:t>Characteristics of included studies</w:t>
      </w:r>
    </w:p>
    <w:p w14:paraId="5083A21C" w14:textId="77777777" w:rsidR="003D0883" w:rsidRPr="00586786" w:rsidRDefault="003D0883" w:rsidP="00586786">
      <w:pPr>
        <w:spacing w:line="360" w:lineRule="auto"/>
        <w:rPr>
          <w:rFonts w:ascii="Arial" w:hAnsi="Arial" w:cs="Arial"/>
          <w:lang w:val="en-AU"/>
        </w:rPr>
      </w:pPr>
    </w:p>
    <w:p w14:paraId="3DB57ED9" w14:textId="1412EB91" w:rsidR="003D0883" w:rsidRPr="00586786" w:rsidRDefault="003D0883" w:rsidP="00586786">
      <w:pPr>
        <w:spacing w:line="360" w:lineRule="auto"/>
        <w:rPr>
          <w:rFonts w:ascii="Arial" w:hAnsi="Arial" w:cs="Arial"/>
        </w:rPr>
      </w:pPr>
      <w:r w:rsidRPr="00586786">
        <w:rPr>
          <w:rFonts w:ascii="Arial" w:hAnsi="Arial" w:cs="Arial"/>
          <w:b/>
          <w:bCs/>
          <w:lang w:val="en-AU"/>
        </w:rPr>
        <w:t>Table 2:</w:t>
      </w:r>
      <w:r w:rsidRPr="00586786">
        <w:rPr>
          <w:rFonts w:ascii="Arial" w:hAnsi="Arial" w:cs="Arial"/>
          <w:lang w:val="en-AU"/>
        </w:rPr>
        <w:t xml:space="preserve"> </w:t>
      </w:r>
      <w:r w:rsidRPr="00586786">
        <w:rPr>
          <w:rFonts w:ascii="Arial" w:hAnsi="Arial" w:cs="Arial"/>
        </w:rPr>
        <w:t>OMERACT glucocorticoid impact domains assessed by studies</w:t>
      </w:r>
    </w:p>
    <w:p w14:paraId="424FCCE1" w14:textId="77777777" w:rsidR="003D0883" w:rsidRPr="00586786" w:rsidRDefault="003D0883" w:rsidP="00586786">
      <w:pPr>
        <w:spacing w:line="360" w:lineRule="auto"/>
        <w:rPr>
          <w:rFonts w:ascii="Arial" w:hAnsi="Arial" w:cs="Arial"/>
        </w:rPr>
      </w:pPr>
    </w:p>
    <w:p w14:paraId="14A5A39E" w14:textId="34FF28FD" w:rsidR="003D0883" w:rsidRPr="00586786" w:rsidRDefault="003D0883" w:rsidP="00586786">
      <w:pPr>
        <w:spacing w:line="360" w:lineRule="auto"/>
        <w:rPr>
          <w:rFonts w:ascii="Arial" w:hAnsi="Arial" w:cs="Arial"/>
        </w:rPr>
      </w:pPr>
      <w:r w:rsidRPr="00586786">
        <w:rPr>
          <w:rFonts w:ascii="Arial" w:hAnsi="Arial" w:cs="Arial"/>
          <w:b/>
          <w:bCs/>
        </w:rPr>
        <w:t>Table 3:</w:t>
      </w:r>
      <w:r w:rsidRPr="00586786">
        <w:rPr>
          <w:rFonts w:ascii="Arial" w:hAnsi="Arial" w:cs="Arial"/>
        </w:rPr>
        <w:t xml:space="preserve"> </w:t>
      </w:r>
      <w:r w:rsidR="0074531C" w:rsidRPr="00586786">
        <w:rPr>
          <w:rFonts w:ascii="Arial" w:hAnsi="Arial" w:cs="Arial"/>
        </w:rPr>
        <w:t>Clinician reported measures of infection</w:t>
      </w:r>
    </w:p>
    <w:p w14:paraId="16D863F2" w14:textId="77777777" w:rsidR="00B84A5D" w:rsidRPr="00586786" w:rsidRDefault="00B84A5D" w:rsidP="00586786">
      <w:pPr>
        <w:spacing w:line="360" w:lineRule="auto"/>
        <w:rPr>
          <w:rFonts w:ascii="Arial" w:hAnsi="Arial" w:cs="Arial"/>
        </w:rPr>
      </w:pPr>
    </w:p>
    <w:p w14:paraId="4E10A98F" w14:textId="37FEB816" w:rsidR="00B84A5D" w:rsidRPr="00586786" w:rsidRDefault="00B84A5D" w:rsidP="00586786">
      <w:pPr>
        <w:spacing w:line="360" w:lineRule="auto"/>
        <w:rPr>
          <w:rFonts w:ascii="Arial" w:hAnsi="Arial" w:cs="Arial"/>
        </w:rPr>
      </w:pPr>
      <w:r w:rsidRPr="00586786">
        <w:rPr>
          <w:rFonts w:ascii="Arial" w:hAnsi="Arial" w:cs="Arial"/>
          <w:b/>
          <w:bCs/>
        </w:rPr>
        <w:t>Table 4:</w:t>
      </w:r>
      <w:r w:rsidRPr="00586786">
        <w:rPr>
          <w:rFonts w:ascii="Arial" w:hAnsi="Arial" w:cs="Arial"/>
        </w:rPr>
        <w:t xml:space="preserve"> Clinician reported measures of bone fragility</w:t>
      </w:r>
    </w:p>
    <w:p w14:paraId="6A174B3E" w14:textId="77777777" w:rsidR="00B84A5D" w:rsidRPr="00586786" w:rsidRDefault="00B84A5D" w:rsidP="00586786">
      <w:pPr>
        <w:spacing w:line="360" w:lineRule="auto"/>
        <w:rPr>
          <w:rFonts w:ascii="Arial" w:hAnsi="Arial" w:cs="Arial"/>
        </w:rPr>
      </w:pPr>
    </w:p>
    <w:p w14:paraId="3129414F" w14:textId="65697ED3" w:rsidR="00B84A5D" w:rsidRPr="00586786" w:rsidRDefault="00B84A5D" w:rsidP="00586786">
      <w:pPr>
        <w:spacing w:line="360" w:lineRule="auto"/>
        <w:rPr>
          <w:rFonts w:ascii="Arial" w:hAnsi="Arial" w:cs="Arial"/>
        </w:rPr>
      </w:pPr>
      <w:r w:rsidRPr="00586786">
        <w:rPr>
          <w:rFonts w:ascii="Arial" w:hAnsi="Arial" w:cs="Arial"/>
          <w:b/>
          <w:bCs/>
        </w:rPr>
        <w:t>Table 5:</w:t>
      </w:r>
      <w:r w:rsidR="0074531C" w:rsidRPr="00586786">
        <w:rPr>
          <w:rFonts w:ascii="Arial" w:hAnsi="Arial" w:cs="Arial"/>
        </w:rPr>
        <w:t xml:space="preserve"> Clinician reported measures of hypertension</w:t>
      </w:r>
    </w:p>
    <w:p w14:paraId="796FE294" w14:textId="77777777" w:rsidR="00B84A5D" w:rsidRPr="00586786" w:rsidRDefault="00B84A5D" w:rsidP="00586786">
      <w:pPr>
        <w:spacing w:line="360" w:lineRule="auto"/>
        <w:rPr>
          <w:rFonts w:ascii="Arial" w:hAnsi="Arial" w:cs="Arial"/>
        </w:rPr>
      </w:pPr>
    </w:p>
    <w:p w14:paraId="41F4D446" w14:textId="176F3EE6" w:rsidR="00B84A5D" w:rsidRPr="00586786" w:rsidRDefault="00B84A5D" w:rsidP="00586786">
      <w:pPr>
        <w:spacing w:line="360" w:lineRule="auto"/>
        <w:rPr>
          <w:rFonts w:ascii="Arial" w:hAnsi="Arial" w:cs="Arial"/>
        </w:rPr>
      </w:pPr>
      <w:r w:rsidRPr="00586786">
        <w:rPr>
          <w:rFonts w:ascii="Arial" w:hAnsi="Arial" w:cs="Arial"/>
          <w:b/>
          <w:bCs/>
        </w:rPr>
        <w:t>Table 6:</w:t>
      </w:r>
      <w:r w:rsidRPr="00586786">
        <w:rPr>
          <w:rFonts w:ascii="Arial" w:hAnsi="Arial" w:cs="Arial"/>
        </w:rPr>
        <w:t xml:space="preserve"> Clinician reported measures of hyperglycaemia</w:t>
      </w:r>
    </w:p>
    <w:p w14:paraId="77AD1D6E" w14:textId="77777777" w:rsidR="008A7796" w:rsidRPr="00586786" w:rsidRDefault="008A7796" w:rsidP="00586786">
      <w:pPr>
        <w:spacing w:line="360" w:lineRule="auto"/>
        <w:rPr>
          <w:rFonts w:ascii="Arial" w:hAnsi="Arial" w:cs="Arial"/>
        </w:rPr>
      </w:pPr>
    </w:p>
    <w:p w14:paraId="3DF608E3" w14:textId="42EE44DD" w:rsidR="008A7796" w:rsidRPr="00586786" w:rsidRDefault="008A7796" w:rsidP="00586786">
      <w:pPr>
        <w:spacing w:line="360" w:lineRule="auto"/>
        <w:rPr>
          <w:rFonts w:ascii="Arial" w:hAnsi="Arial" w:cs="Arial"/>
          <w:b/>
          <w:bCs/>
        </w:rPr>
      </w:pPr>
      <w:r w:rsidRPr="00586786">
        <w:rPr>
          <w:rFonts w:ascii="Arial" w:hAnsi="Arial" w:cs="Arial"/>
          <w:b/>
          <w:bCs/>
        </w:rPr>
        <w:t>Table 7:</w:t>
      </w:r>
      <w:r w:rsidR="0074531C" w:rsidRPr="00586786">
        <w:rPr>
          <w:rFonts w:ascii="Arial" w:hAnsi="Arial" w:cs="Arial"/>
          <w:b/>
          <w:bCs/>
        </w:rPr>
        <w:t xml:space="preserve"> </w:t>
      </w:r>
      <w:r w:rsidR="0074531C" w:rsidRPr="00586786">
        <w:rPr>
          <w:rFonts w:ascii="Arial" w:hAnsi="Arial" w:cs="Arial"/>
        </w:rPr>
        <w:t>Clinician reported measures of weight</w:t>
      </w:r>
    </w:p>
    <w:p w14:paraId="33EB33CC" w14:textId="77777777" w:rsidR="008A7796" w:rsidRPr="00586786" w:rsidRDefault="008A7796" w:rsidP="00586786">
      <w:pPr>
        <w:spacing w:line="360" w:lineRule="auto"/>
        <w:rPr>
          <w:rFonts w:ascii="Arial" w:hAnsi="Arial" w:cs="Arial"/>
          <w:b/>
          <w:bCs/>
        </w:rPr>
      </w:pPr>
    </w:p>
    <w:p w14:paraId="5D9BEEF2" w14:textId="479797B7" w:rsidR="008A7796" w:rsidRPr="00586786" w:rsidRDefault="008A7796" w:rsidP="00586786">
      <w:pPr>
        <w:spacing w:line="360" w:lineRule="auto"/>
        <w:rPr>
          <w:rFonts w:ascii="Arial" w:hAnsi="Arial" w:cs="Arial"/>
          <w:b/>
          <w:bCs/>
        </w:rPr>
      </w:pPr>
      <w:r w:rsidRPr="00586786">
        <w:rPr>
          <w:rFonts w:ascii="Arial" w:hAnsi="Arial" w:cs="Arial"/>
          <w:b/>
          <w:bCs/>
        </w:rPr>
        <w:t>Table 8:</w:t>
      </w:r>
      <w:r w:rsidR="0074531C" w:rsidRPr="00586786">
        <w:rPr>
          <w:rFonts w:ascii="Arial" w:hAnsi="Arial" w:cs="Arial"/>
          <w:b/>
          <w:bCs/>
        </w:rPr>
        <w:t xml:space="preserve"> </w:t>
      </w:r>
      <w:r w:rsidR="0074531C" w:rsidRPr="00586786">
        <w:rPr>
          <w:rFonts w:ascii="Arial" w:hAnsi="Arial" w:cs="Arial"/>
        </w:rPr>
        <w:t>Clinician reported measures of mood disturbance</w:t>
      </w:r>
    </w:p>
    <w:p w14:paraId="60A295F3" w14:textId="77777777" w:rsidR="007300F4" w:rsidRPr="00586786" w:rsidRDefault="007300F4" w:rsidP="00586786">
      <w:pPr>
        <w:spacing w:line="360" w:lineRule="auto"/>
        <w:rPr>
          <w:rFonts w:ascii="Arial" w:hAnsi="Arial" w:cs="Arial"/>
        </w:rPr>
      </w:pPr>
    </w:p>
    <w:p w14:paraId="606ECDC8" w14:textId="20E04348" w:rsidR="007300F4" w:rsidRPr="00586786" w:rsidRDefault="002E513F" w:rsidP="00586786">
      <w:pPr>
        <w:spacing w:line="360" w:lineRule="auto"/>
        <w:rPr>
          <w:rFonts w:ascii="Arial" w:hAnsi="Arial" w:cs="Arial"/>
          <w:lang w:val="sv-SE"/>
        </w:rPr>
      </w:pPr>
      <w:r w:rsidRPr="00586786">
        <w:rPr>
          <w:rFonts w:ascii="Arial" w:hAnsi="Arial" w:cs="Arial"/>
          <w:b/>
          <w:bCs/>
          <w:lang w:val="sv-SE"/>
        </w:rPr>
        <w:t>REFERENCES</w:t>
      </w:r>
    </w:p>
    <w:p w14:paraId="77CE01D5" w14:textId="77777777" w:rsidR="00386695" w:rsidRPr="00586786" w:rsidRDefault="00853175" w:rsidP="00586786">
      <w:pPr>
        <w:pStyle w:val="Bibliography"/>
        <w:spacing w:line="360" w:lineRule="auto"/>
        <w:rPr>
          <w:rFonts w:ascii="Arial" w:hAnsi="Arial" w:cs="Arial"/>
        </w:rPr>
      </w:pPr>
      <w:r w:rsidRPr="00586786">
        <w:rPr>
          <w:rFonts w:ascii="Arial" w:hAnsi="Arial" w:cs="Arial"/>
        </w:rPr>
        <w:fldChar w:fldCharType="begin"/>
      </w:r>
      <w:r w:rsidR="0029623C" w:rsidRPr="00586786">
        <w:rPr>
          <w:rFonts w:ascii="Arial" w:hAnsi="Arial" w:cs="Arial"/>
          <w:lang w:val="sv-SE"/>
        </w:rPr>
        <w:instrText xml:space="preserve"> ADDIN ZOTERO_BIBL {"uncited":[],"omitted":[],"custom":[]} CSL_BIBLIOGRAPHY </w:instrText>
      </w:r>
      <w:r w:rsidRPr="00586786">
        <w:rPr>
          <w:rFonts w:ascii="Arial" w:hAnsi="Arial" w:cs="Arial"/>
        </w:rPr>
        <w:fldChar w:fldCharType="separate"/>
      </w:r>
      <w:r w:rsidR="00386695" w:rsidRPr="00586786">
        <w:rPr>
          <w:rFonts w:ascii="Arial" w:hAnsi="Arial" w:cs="Arial"/>
        </w:rPr>
        <w:t>1.</w:t>
      </w:r>
      <w:r w:rsidR="00386695" w:rsidRPr="00586786">
        <w:rPr>
          <w:rFonts w:ascii="Arial" w:hAnsi="Arial" w:cs="Arial"/>
        </w:rPr>
        <w:tab/>
        <w:t xml:space="preserve">Fardet L, Petersen I, Nazareth I. Prevalence of long-term oral glucocorticoid prescriptions in the UK over the past 20 years. Rheumatology. 2011 Nov 1;50(11):1982–90. </w:t>
      </w:r>
    </w:p>
    <w:p w14:paraId="35295206" w14:textId="77777777" w:rsidR="00386695" w:rsidRPr="00586786" w:rsidRDefault="00386695" w:rsidP="00586786">
      <w:pPr>
        <w:pStyle w:val="Bibliography"/>
        <w:spacing w:line="360" w:lineRule="auto"/>
        <w:rPr>
          <w:rFonts w:ascii="Arial" w:hAnsi="Arial" w:cs="Arial"/>
        </w:rPr>
      </w:pPr>
      <w:r w:rsidRPr="00586786">
        <w:rPr>
          <w:rFonts w:ascii="Arial" w:hAnsi="Arial" w:cs="Arial"/>
        </w:rPr>
        <w:t>2.</w:t>
      </w:r>
      <w:r w:rsidRPr="00586786">
        <w:rPr>
          <w:rFonts w:ascii="Arial" w:hAnsi="Arial" w:cs="Arial"/>
        </w:rPr>
        <w:tab/>
        <w:t xml:space="preserve">Laugesen K, Jørgensen JOL, Petersen I, Sørensen HT. Fifteen-year nationwide trends in systemic glucocorticoid drug use in Denmark. Eur J Endocrinol. 2019 Sept;181(3):267–73. </w:t>
      </w:r>
    </w:p>
    <w:p w14:paraId="0D3C7D96" w14:textId="77777777" w:rsidR="00386695" w:rsidRPr="00586786" w:rsidRDefault="00386695" w:rsidP="00586786">
      <w:pPr>
        <w:pStyle w:val="Bibliography"/>
        <w:spacing w:line="360" w:lineRule="auto"/>
        <w:rPr>
          <w:rFonts w:ascii="Arial" w:hAnsi="Arial" w:cs="Arial"/>
        </w:rPr>
      </w:pPr>
      <w:r w:rsidRPr="00586786">
        <w:rPr>
          <w:rFonts w:ascii="Arial" w:hAnsi="Arial" w:cs="Arial"/>
        </w:rPr>
        <w:t>3.</w:t>
      </w:r>
      <w:r w:rsidRPr="00586786">
        <w:rPr>
          <w:rFonts w:ascii="Arial" w:hAnsi="Arial" w:cs="Arial"/>
        </w:rPr>
        <w:tab/>
        <w:t xml:space="preserve">Hardy RS, Raza K, Cooper MS. Therapeutic glucocorticoids: mechanisms of actions in rheumatic diseases. Nat Rev Rheumatol. 2020 Mar;16(3):133–44. </w:t>
      </w:r>
    </w:p>
    <w:p w14:paraId="64AA88F4" w14:textId="77777777" w:rsidR="00386695" w:rsidRPr="00586786" w:rsidRDefault="00386695" w:rsidP="00586786">
      <w:pPr>
        <w:pStyle w:val="Bibliography"/>
        <w:spacing w:line="360" w:lineRule="auto"/>
        <w:rPr>
          <w:rFonts w:ascii="Arial" w:hAnsi="Arial" w:cs="Arial"/>
        </w:rPr>
      </w:pPr>
      <w:r w:rsidRPr="00586786">
        <w:rPr>
          <w:rFonts w:ascii="Arial" w:hAnsi="Arial" w:cs="Arial"/>
        </w:rPr>
        <w:t>4.</w:t>
      </w:r>
      <w:r w:rsidRPr="00586786">
        <w:rPr>
          <w:rFonts w:ascii="Arial" w:hAnsi="Arial" w:cs="Arial"/>
        </w:rPr>
        <w:tab/>
        <w:t xml:space="preserve">Best JH, Kong AM, Smith DM, Abbass I, Michalska M. Healthcare Costs of Potential Glucocorticoid-Associated Adverse Events in Patients with Giant Cell Arteritis. Clin Outcomes Res. 2019 Dec;Volume 11:799–807. </w:t>
      </w:r>
    </w:p>
    <w:p w14:paraId="7D54F1F2" w14:textId="77777777" w:rsidR="00386695" w:rsidRPr="00586786" w:rsidRDefault="00386695" w:rsidP="00586786">
      <w:pPr>
        <w:pStyle w:val="Bibliography"/>
        <w:spacing w:line="360" w:lineRule="auto"/>
        <w:rPr>
          <w:rFonts w:ascii="Arial" w:hAnsi="Arial" w:cs="Arial"/>
        </w:rPr>
      </w:pPr>
      <w:r w:rsidRPr="00586786">
        <w:rPr>
          <w:rFonts w:ascii="Arial" w:hAnsi="Arial" w:cs="Arial"/>
        </w:rPr>
        <w:lastRenderedPageBreak/>
        <w:t>5.</w:t>
      </w:r>
      <w:r w:rsidRPr="00586786">
        <w:rPr>
          <w:rFonts w:ascii="Arial" w:hAnsi="Arial" w:cs="Arial"/>
        </w:rPr>
        <w:tab/>
        <w:t xml:space="preserve">Tieu J, Cheah JT, Black RJ, Christensen R, Ghosh N, Richards P, et al. Improving benefit-harm assessment of glucocorticoid therapy incorporating the patient perspective: The OMERACT glucocorticoid core domain set. Semin Arthritis Rheum. 2021 Oct;51(5):1139–45. </w:t>
      </w:r>
    </w:p>
    <w:p w14:paraId="3ED2D40A" w14:textId="77777777" w:rsidR="00386695" w:rsidRPr="00586786" w:rsidRDefault="00386695" w:rsidP="00586786">
      <w:pPr>
        <w:pStyle w:val="Bibliography"/>
        <w:spacing w:line="360" w:lineRule="auto"/>
        <w:rPr>
          <w:rFonts w:ascii="Arial" w:hAnsi="Arial" w:cs="Arial"/>
        </w:rPr>
      </w:pPr>
      <w:r w:rsidRPr="00586786">
        <w:rPr>
          <w:rFonts w:ascii="Arial" w:hAnsi="Arial" w:cs="Arial"/>
        </w:rPr>
        <w:t>6.</w:t>
      </w:r>
      <w:r w:rsidRPr="00586786">
        <w:rPr>
          <w:rFonts w:ascii="Arial" w:hAnsi="Arial" w:cs="Arial"/>
        </w:rPr>
        <w:tab/>
        <w:t xml:space="preserve">Beaton D, Maxwell L, Grosskleg S, Shea B, Tugwell P, Bingham CO, et al. The OMERACT Handbook: Chapter 5: Instrument Selection for Core Outcome Measurement Sets. Ontario, Canada: OMERACT; 2021. </w:t>
      </w:r>
    </w:p>
    <w:p w14:paraId="391D5887" w14:textId="77777777" w:rsidR="00386695" w:rsidRPr="00586786" w:rsidRDefault="00386695" w:rsidP="00586786">
      <w:pPr>
        <w:pStyle w:val="Bibliography"/>
        <w:spacing w:line="360" w:lineRule="auto"/>
        <w:rPr>
          <w:rFonts w:ascii="Arial" w:hAnsi="Arial" w:cs="Arial"/>
        </w:rPr>
      </w:pPr>
      <w:r w:rsidRPr="00586786">
        <w:rPr>
          <w:rFonts w:ascii="Arial" w:hAnsi="Arial" w:cs="Arial"/>
        </w:rPr>
        <w:t>7.</w:t>
      </w:r>
      <w:r w:rsidRPr="00586786">
        <w:rPr>
          <w:rFonts w:ascii="Arial" w:hAnsi="Arial" w:cs="Arial"/>
        </w:rPr>
        <w:tab/>
        <w:t xml:space="preserve">Boers M, Kirwan JR, Wells G, Beaton D, Gossec L, d’Agostino MA, et al. Developing Core Outcome Measurement Sets for Clinical Trials: OMERACT Filter 2.0. J Clin Epidemiol. 2014 July;67(7):745–53. </w:t>
      </w:r>
    </w:p>
    <w:p w14:paraId="35DA052A" w14:textId="77777777" w:rsidR="00386695" w:rsidRPr="00586786" w:rsidRDefault="00386695" w:rsidP="00586786">
      <w:pPr>
        <w:pStyle w:val="Bibliography"/>
        <w:spacing w:line="360" w:lineRule="auto"/>
        <w:rPr>
          <w:rFonts w:ascii="Arial" w:hAnsi="Arial" w:cs="Arial"/>
        </w:rPr>
      </w:pPr>
      <w:r w:rsidRPr="00586786">
        <w:rPr>
          <w:rFonts w:ascii="Arial" w:hAnsi="Arial" w:cs="Arial"/>
        </w:rPr>
        <w:t>8.</w:t>
      </w:r>
      <w:r w:rsidRPr="00586786">
        <w:rPr>
          <w:rFonts w:ascii="Arial" w:hAnsi="Arial" w:cs="Arial"/>
        </w:rPr>
        <w:tab/>
        <w:t>Lenderking W, Revicki D. Clinician-reported Outcomes (ClinROs), Concepts and Development [Internet]. [cited 2025 Oct 12]. Available from: https://www.evidera.com/wp-content/uploads/2015/04/Clinician-Reported-Outcomes-ClinROs-Concepts-and-Development.pdf</w:t>
      </w:r>
    </w:p>
    <w:p w14:paraId="0804F919" w14:textId="77777777" w:rsidR="00386695" w:rsidRPr="00586786" w:rsidRDefault="00386695" w:rsidP="00586786">
      <w:pPr>
        <w:pStyle w:val="Bibliography"/>
        <w:spacing w:line="360" w:lineRule="auto"/>
        <w:rPr>
          <w:rFonts w:ascii="Arial" w:hAnsi="Arial" w:cs="Arial"/>
        </w:rPr>
      </w:pPr>
      <w:r w:rsidRPr="00586786">
        <w:rPr>
          <w:rFonts w:ascii="Arial" w:hAnsi="Arial" w:cs="Arial"/>
        </w:rPr>
        <w:t>9.</w:t>
      </w:r>
      <w:r w:rsidRPr="00586786">
        <w:rPr>
          <w:rFonts w:ascii="Arial" w:hAnsi="Arial" w:cs="Arial"/>
        </w:rPr>
        <w:tab/>
        <w:t>Veritas Health Innovation. Covidence systematic review software [Internet]. Available from: www.covidence.org</w:t>
      </w:r>
    </w:p>
    <w:p w14:paraId="41D4E995" w14:textId="77777777" w:rsidR="00386695" w:rsidRPr="00586786" w:rsidRDefault="00386695" w:rsidP="00586786">
      <w:pPr>
        <w:pStyle w:val="Bibliography"/>
        <w:spacing w:line="360" w:lineRule="auto"/>
        <w:rPr>
          <w:rFonts w:ascii="Arial" w:hAnsi="Arial" w:cs="Arial"/>
        </w:rPr>
      </w:pPr>
      <w:r w:rsidRPr="00586786">
        <w:rPr>
          <w:rFonts w:ascii="Arial" w:hAnsi="Arial" w:cs="Arial"/>
        </w:rPr>
        <w:t>10.</w:t>
      </w:r>
      <w:r w:rsidRPr="00586786">
        <w:rPr>
          <w:rFonts w:ascii="Arial" w:hAnsi="Arial" w:cs="Arial"/>
        </w:rPr>
        <w:tab/>
        <w:t xml:space="preserve">Miloslavsky EM, Naden RP, Bijlsma JWJ, Brogan PA, Brown ES, Brunetta P, et al. Development of a Glucocorticoid Toxicity Index (GTI) using multicriteria decision analysis. Ann Rheum Dis. 2017 Mar;76(3):543–6. </w:t>
      </w:r>
    </w:p>
    <w:p w14:paraId="2011C722" w14:textId="77777777" w:rsidR="00386695" w:rsidRPr="00586786" w:rsidRDefault="00386695" w:rsidP="00586786">
      <w:pPr>
        <w:pStyle w:val="Bibliography"/>
        <w:spacing w:line="360" w:lineRule="auto"/>
        <w:rPr>
          <w:rFonts w:ascii="Arial" w:hAnsi="Arial" w:cs="Arial"/>
        </w:rPr>
      </w:pPr>
      <w:r w:rsidRPr="00586786">
        <w:rPr>
          <w:rFonts w:ascii="Arial" w:hAnsi="Arial" w:cs="Arial"/>
        </w:rPr>
        <w:t>11.</w:t>
      </w:r>
      <w:r w:rsidRPr="00586786">
        <w:rPr>
          <w:rFonts w:ascii="Arial" w:hAnsi="Arial" w:cs="Arial"/>
        </w:rPr>
        <w:tab/>
        <w:t xml:space="preserve">Black RJ, Robson JC, Goodman SM, Hoon E, Lai LYH, Simon LS, et al. A Patient-reported Outcome Measure for Effect of Glucocorticoid Therapy in Adults with Inflammatory Diseases Is Needed: Report from the OMERACT 2016 Special Interest Group. J Rheumatol. 2017 Nov;44(11):1754–8. </w:t>
      </w:r>
    </w:p>
    <w:p w14:paraId="65111A32" w14:textId="77777777" w:rsidR="00386695" w:rsidRPr="00586786" w:rsidRDefault="00386695" w:rsidP="00586786">
      <w:pPr>
        <w:pStyle w:val="Bibliography"/>
        <w:spacing w:line="360" w:lineRule="auto"/>
        <w:rPr>
          <w:rFonts w:ascii="Arial" w:hAnsi="Arial" w:cs="Arial"/>
        </w:rPr>
      </w:pPr>
      <w:r w:rsidRPr="00586786">
        <w:rPr>
          <w:rFonts w:ascii="Arial" w:hAnsi="Arial" w:cs="Arial"/>
        </w:rPr>
        <w:t>12.</w:t>
      </w:r>
      <w:r w:rsidRPr="00586786">
        <w:rPr>
          <w:rFonts w:ascii="Arial" w:hAnsi="Arial" w:cs="Arial"/>
        </w:rPr>
        <w:tab/>
        <w:t xml:space="preserve">Bridgewater S, Ndosi M, Dawson J, Richards P, Silverthorne C, Dures E, et al. Validation of a new glucocorticoid-specific Patient-Reported Outcome Questionnaire (the Steroid PRO). Ann Rheum Dis. 2024 Mar;83(3):394–400. </w:t>
      </w:r>
    </w:p>
    <w:p w14:paraId="5C26EEDE" w14:textId="77777777" w:rsidR="00386695" w:rsidRPr="00586786" w:rsidRDefault="00386695" w:rsidP="00586786">
      <w:pPr>
        <w:pStyle w:val="Bibliography"/>
        <w:spacing w:line="360" w:lineRule="auto"/>
        <w:rPr>
          <w:rFonts w:ascii="Arial" w:hAnsi="Arial" w:cs="Arial"/>
        </w:rPr>
      </w:pPr>
      <w:r w:rsidRPr="00586786">
        <w:rPr>
          <w:rFonts w:ascii="Arial" w:hAnsi="Arial" w:cs="Arial"/>
        </w:rPr>
        <w:t>13.</w:t>
      </w:r>
      <w:r w:rsidRPr="00586786">
        <w:rPr>
          <w:rFonts w:ascii="Arial" w:hAnsi="Arial" w:cs="Arial"/>
        </w:rPr>
        <w:tab/>
        <w:t xml:space="preserve">Pelewicz K, Miśkiewicz P. Glucocorticoid-induced adrenal insufficiency after therapy with intravenous methylprednisolone in patients with moderate-to-severe </w:t>
      </w:r>
      <w:r w:rsidRPr="00586786">
        <w:rPr>
          <w:rFonts w:ascii="Arial" w:hAnsi="Arial" w:cs="Arial"/>
        </w:rPr>
        <w:lastRenderedPageBreak/>
        <w:t xml:space="preserve">and active Graves’ orbitopathy: assessment with a low-dose corticotropin test. J Endocrinol Invest. 2024 Feb 4;47(8):1987–94. </w:t>
      </w:r>
    </w:p>
    <w:p w14:paraId="5CA69A68" w14:textId="77777777" w:rsidR="00386695" w:rsidRPr="00586786" w:rsidRDefault="00386695" w:rsidP="00586786">
      <w:pPr>
        <w:pStyle w:val="Bibliography"/>
        <w:spacing w:line="360" w:lineRule="auto"/>
        <w:rPr>
          <w:rFonts w:ascii="Arial" w:hAnsi="Arial" w:cs="Arial"/>
        </w:rPr>
      </w:pPr>
      <w:r w:rsidRPr="00586786">
        <w:rPr>
          <w:rFonts w:ascii="Arial" w:hAnsi="Arial" w:cs="Arial"/>
        </w:rPr>
        <w:t>14.</w:t>
      </w:r>
      <w:r w:rsidRPr="00586786">
        <w:rPr>
          <w:rFonts w:ascii="Arial" w:hAnsi="Arial" w:cs="Arial"/>
        </w:rPr>
        <w:tab/>
        <w:t xml:space="preserve">Bahap-Kara M, Sariyildiz E, Zengin HY, Karadag O, Bayraktar-Ekincioglu A. Prospective assessment of glucocorticoid toxicity in rheumatology practice: a focus on the glucocorticoid toxicity index. Rheumatology. 2024 May 23;00:1–9. </w:t>
      </w:r>
    </w:p>
    <w:p w14:paraId="7E7E66DD" w14:textId="77777777" w:rsidR="00386695" w:rsidRPr="00586786" w:rsidRDefault="00386695" w:rsidP="00586786">
      <w:pPr>
        <w:pStyle w:val="Bibliography"/>
        <w:spacing w:line="360" w:lineRule="auto"/>
        <w:rPr>
          <w:rFonts w:ascii="Arial" w:hAnsi="Arial" w:cs="Arial"/>
        </w:rPr>
      </w:pPr>
      <w:r w:rsidRPr="00586786">
        <w:rPr>
          <w:rFonts w:ascii="Arial" w:hAnsi="Arial" w:cs="Arial"/>
        </w:rPr>
        <w:t>15.</w:t>
      </w:r>
      <w:r w:rsidRPr="00586786">
        <w:rPr>
          <w:rFonts w:ascii="Arial" w:hAnsi="Arial" w:cs="Arial"/>
        </w:rPr>
        <w:tab/>
        <w:t>Saini J, Garcia RG, Herndon J, Erickson D, Gruber L, Bancos I. Use of overnight metyrapone test in suspected secondary adrenal insufficiency: A retrospective single centre</w:t>
      </w:r>
      <w:r w:rsidRPr="00586786">
        <w:rPr>
          <w:rFonts w:ascii="Cambria Math" w:hAnsi="Cambria Math" w:cs="Cambria Math"/>
        </w:rPr>
        <w:t>‐</w:t>
      </w:r>
      <w:r w:rsidRPr="00586786">
        <w:rPr>
          <w:rFonts w:ascii="Arial" w:hAnsi="Arial" w:cs="Arial"/>
        </w:rPr>
        <w:t xml:space="preserve">study. Clin Endocrinol (Oxf). 2024 Mar;100(3):203–11. </w:t>
      </w:r>
    </w:p>
    <w:p w14:paraId="523D1961" w14:textId="77777777" w:rsidR="00386695" w:rsidRPr="00586786" w:rsidRDefault="00386695" w:rsidP="00586786">
      <w:pPr>
        <w:pStyle w:val="Bibliography"/>
        <w:spacing w:line="360" w:lineRule="auto"/>
        <w:rPr>
          <w:rFonts w:ascii="Arial" w:hAnsi="Arial" w:cs="Arial"/>
        </w:rPr>
      </w:pPr>
      <w:r w:rsidRPr="00586786">
        <w:rPr>
          <w:rFonts w:ascii="Arial" w:hAnsi="Arial" w:cs="Arial"/>
        </w:rPr>
        <w:t>16.</w:t>
      </w:r>
      <w:r w:rsidRPr="00586786">
        <w:rPr>
          <w:rFonts w:ascii="Arial" w:hAnsi="Arial" w:cs="Arial"/>
        </w:rPr>
        <w:tab/>
        <w:t xml:space="preserve">Martins-Martinho J, Ponte A, Dourado E, Khmelinskii N, Barreira SC, Cruz-Machado AR, et al. Anxiety and depression in patients with giant cell arteritis. Rheumatol Adv Pract. 2023 Dec 9;8(1). </w:t>
      </w:r>
    </w:p>
    <w:p w14:paraId="0D038A10" w14:textId="77777777" w:rsidR="00386695" w:rsidRPr="00586786" w:rsidRDefault="00386695" w:rsidP="00586786">
      <w:pPr>
        <w:pStyle w:val="Bibliography"/>
        <w:spacing w:line="360" w:lineRule="auto"/>
        <w:rPr>
          <w:rFonts w:ascii="Arial" w:hAnsi="Arial" w:cs="Arial"/>
        </w:rPr>
      </w:pPr>
      <w:r w:rsidRPr="00586786">
        <w:rPr>
          <w:rFonts w:ascii="Arial" w:hAnsi="Arial" w:cs="Arial"/>
        </w:rPr>
        <w:t>17.</w:t>
      </w:r>
      <w:r w:rsidRPr="00586786">
        <w:rPr>
          <w:rFonts w:ascii="Arial" w:hAnsi="Arial" w:cs="Arial"/>
        </w:rPr>
        <w:tab/>
        <w:t xml:space="preserve">Patel NJ, Jayne DRW, Merkel PA, Bekker P, Zhang Y, Yue H, et al. Glucocorticoid Toxicity Index scores by domain in patients with antineutrophil cytoplasmic antibody-associated vasculitis treated with avacopan versus standard prednisone taper: post-hoc analysis of data from the ADVOCATE trial. Lancet Rheumatol. 2023 Mar;5(3):e130–8. </w:t>
      </w:r>
    </w:p>
    <w:p w14:paraId="5BD449E6" w14:textId="77777777" w:rsidR="00386695" w:rsidRPr="00586786" w:rsidRDefault="00386695" w:rsidP="00586786">
      <w:pPr>
        <w:pStyle w:val="Bibliography"/>
        <w:spacing w:line="360" w:lineRule="auto"/>
        <w:rPr>
          <w:rFonts w:ascii="Arial" w:hAnsi="Arial" w:cs="Arial"/>
        </w:rPr>
      </w:pPr>
      <w:r w:rsidRPr="00586786">
        <w:rPr>
          <w:rFonts w:ascii="Arial" w:hAnsi="Arial" w:cs="Arial"/>
        </w:rPr>
        <w:t>18.</w:t>
      </w:r>
      <w:r w:rsidRPr="00586786">
        <w:rPr>
          <w:rFonts w:ascii="Arial" w:hAnsi="Arial" w:cs="Arial"/>
        </w:rPr>
        <w:tab/>
        <w:t xml:space="preserve">Almayali AAH, Boers M, Hartman L, Opris D, Bos R, Kok MR, et al. Three-month tapering and discontinuation of long- term, low-dose glucocorticoids in senior patients with rheumatoid arthritis is feasible and safe: placebo-controlled double blind tapering after the GLORIA trial. Ann Rheum Dis. 2023 Oct;82(10):1307–14. </w:t>
      </w:r>
    </w:p>
    <w:p w14:paraId="7A23DE55" w14:textId="77777777" w:rsidR="00386695" w:rsidRPr="00586786" w:rsidRDefault="00386695" w:rsidP="00586786">
      <w:pPr>
        <w:pStyle w:val="Bibliography"/>
        <w:spacing w:line="360" w:lineRule="auto"/>
        <w:rPr>
          <w:rFonts w:ascii="Arial" w:hAnsi="Arial" w:cs="Arial"/>
        </w:rPr>
      </w:pPr>
      <w:r w:rsidRPr="00586786">
        <w:rPr>
          <w:rFonts w:ascii="Arial" w:hAnsi="Arial" w:cs="Arial"/>
        </w:rPr>
        <w:t>19.</w:t>
      </w:r>
      <w:r w:rsidRPr="00586786">
        <w:rPr>
          <w:rFonts w:ascii="Arial" w:hAnsi="Arial" w:cs="Arial"/>
        </w:rPr>
        <w:tab/>
        <w:t xml:space="preserve">Yardimci GK, Pagnoux C, Stewart J. A Canadian vasculitis patient-driven survey to highlight which prednisone-related side effects matter the most. Clin Exp Rheumatol. 2023 Feb 15;41:943–7. </w:t>
      </w:r>
    </w:p>
    <w:p w14:paraId="4D1564A7" w14:textId="77777777" w:rsidR="00386695" w:rsidRPr="00586786" w:rsidRDefault="00386695" w:rsidP="00586786">
      <w:pPr>
        <w:pStyle w:val="Bibliography"/>
        <w:spacing w:line="360" w:lineRule="auto"/>
        <w:rPr>
          <w:rFonts w:ascii="Arial" w:hAnsi="Arial" w:cs="Arial"/>
        </w:rPr>
      </w:pPr>
      <w:r w:rsidRPr="00586786">
        <w:rPr>
          <w:rFonts w:ascii="Arial" w:hAnsi="Arial" w:cs="Arial"/>
        </w:rPr>
        <w:t>20.</w:t>
      </w:r>
      <w:r w:rsidRPr="00586786">
        <w:rPr>
          <w:rFonts w:ascii="Arial" w:hAnsi="Arial" w:cs="Arial"/>
        </w:rPr>
        <w:tab/>
        <w:t xml:space="preserve">Griffiths-Jones DJ, Garcia YS, Ryder WD, Pauling JD, Hall F, Lanyon P, et al. A Phase II randomized controlled trial of oral prednisolone in early diffuse cutaneous systemic sclerosis (PRedSS). Rheumatology. 2023 Sept 1;62(9):3133–8. </w:t>
      </w:r>
    </w:p>
    <w:p w14:paraId="48C34B96" w14:textId="77777777" w:rsidR="00386695" w:rsidRPr="00586786" w:rsidRDefault="00386695" w:rsidP="00586786">
      <w:pPr>
        <w:pStyle w:val="Bibliography"/>
        <w:spacing w:line="360" w:lineRule="auto"/>
        <w:rPr>
          <w:rFonts w:ascii="Arial" w:hAnsi="Arial" w:cs="Arial"/>
        </w:rPr>
      </w:pPr>
      <w:r w:rsidRPr="00586786">
        <w:rPr>
          <w:rFonts w:ascii="Arial" w:hAnsi="Arial" w:cs="Arial"/>
        </w:rPr>
        <w:lastRenderedPageBreak/>
        <w:t>21.</w:t>
      </w:r>
      <w:r w:rsidRPr="00586786">
        <w:rPr>
          <w:rFonts w:ascii="Arial" w:hAnsi="Arial" w:cs="Arial"/>
        </w:rPr>
        <w:tab/>
        <w:t xml:space="preserve">Usiskin IM, Kyttaris VC. Estimating glucocorticoid-related morbidity in lupus nephritis using the glucocorticoid toxicity index. Lupus. 2023 Apr;32(4):565–70. </w:t>
      </w:r>
    </w:p>
    <w:p w14:paraId="07378912" w14:textId="77777777" w:rsidR="00386695" w:rsidRPr="00586786" w:rsidRDefault="00386695" w:rsidP="00586786">
      <w:pPr>
        <w:pStyle w:val="Bibliography"/>
        <w:spacing w:line="360" w:lineRule="auto"/>
        <w:rPr>
          <w:rFonts w:ascii="Arial" w:hAnsi="Arial" w:cs="Arial"/>
        </w:rPr>
      </w:pPr>
      <w:r w:rsidRPr="00586786">
        <w:rPr>
          <w:rFonts w:ascii="Arial" w:hAnsi="Arial" w:cs="Arial"/>
        </w:rPr>
        <w:t>22.</w:t>
      </w:r>
      <w:r w:rsidRPr="00586786">
        <w:rPr>
          <w:rFonts w:ascii="Arial" w:hAnsi="Arial" w:cs="Arial"/>
        </w:rPr>
        <w:tab/>
        <w:t xml:space="preserve">Bridgewater S, Shepherd MA, Dawson J, Richards P, Silverthorne C, Ndosi M, et al. Measuring the impact of steroid therapy on health-related quality of life in patients with rheumatic diseases: international development of a glucocorticoid treatment–specific patient-reported outcome measure. Rheumatology. 2023 Nov 2;62(11):3565–75. </w:t>
      </w:r>
    </w:p>
    <w:p w14:paraId="78922744" w14:textId="77777777" w:rsidR="00386695" w:rsidRPr="00586786" w:rsidRDefault="00386695" w:rsidP="00586786">
      <w:pPr>
        <w:pStyle w:val="Bibliography"/>
        <w:spacing w:line="360" w:lineRule="auto"/>
        <w:rPr>
          <w:rFonts w:ascii="Arial" w:hAnsi="Arial" w:cs="Arial"/>
        </w:rPr>
      </w:pPr>
      <w:r w:rsidRPr="00586786">
        <w:rPr>
          <w:rFonts w:ascii="Arial" w:hAnsi="Arial" w:cs="Arial"/>
        </w:rPr>
        <w:t>23.</w:t>
      </w:r>
      <w:r w:rsidRPr="00586786">
        <w:rPr>
          <w:rFonts w:ascii="Arial" w:hAnsi="Arial" w:cs="Arial"/>
        </w:rPr>
        <w:tab/>
        <w:t>Tselios K, Gladman DD, Al</w:t>
      </w:r>
      <w:r w:rsidRPr="00586786">
        <w:rPr>
          <w:rFonts w:ascii="Cambria Math" w:hAnsi="Cambria Math" w:cs="Cambria Math"/>
        </w:rPr>
        <w:t>‐</w:t>
      </w:r>
      <w:r w:rsidRPr="00586786">
        <w:rPr>
          <w:rFonts w:ascii="Arial" w:hAnsi="Arial" w:cs="Arial"/>
        </w:rPr>
        <w:t xml:space="preserve">Sheikh H, Su J, Urowitz MB. Medium Versus High Initial Prednisone Dose for Remission Induction in Lupus Nephritis: A Propensity Score–Matched Analysis. Arthritis Care Res. 2022 Sept;74(9):1451–8. </w:t>
      </w:r>
    </w:p>
    <w:p w14:paraId="19F95098" w14:textId="77777777" w:rsidR="00386695" w:rsidRPr="00586786" w:rsidRDefault="00386695" w:rsidP="00586786">
      <w:pPr>
        <w:pStyle w:val="Bibliography"/>
        <w:spacing w:line="360" w:lineRule="auto"/>
        <w:rPr>
          <w:rFonts w:ascii="Arial" w:hAnsi="Arial" w:cs="Arial"/>
        </w:rPr>
      </w:pPr>
      <w:r w:rsidRPr="00586786">
        <w:rPr>
          <w:rFonts w:ascii="Arial" w:hAnsi="Arial" w:cs="Arial"/>
        </w:rPr>
        <w:t>24.</w:t>
      </w:r>
      <w:r w:rsidRPr="00586786">
        <w:rPr>
          <w:rFonts w:ascii="Arial" w:hAnsi="Arial" w:cs="Arial"/>
        </w:rPr>
        <w:tab/>
        <w:t xml:space="preserve">Stone JH, McDowell PJ, Jayne DRW, Merkel PA, Robson J, Patel NJ, et al. The glucocorticoid toxicity index: Measuring change in glucocorticoid toxicity over time. Semin Arthritis Rheum. 2022 Aug;55:152010. </w:t>
      </w:r>
    </w:p>
    <w:p w14:paraId="0C95987C" w14:textId="77777777" w:rsidR="00386695" w:rsidRPr="00586786" w:rsidRDefault="00386695" w:rsidP="00586786">
      <w:pPr>
        <w:pStyle w:val="Bibliography"/>
        <w:spacing w:line="360" w:lineRule="auto"/>
        <w:rPr>
          <w:rFonts w:ascii="Arial" w:hAnsi="Arial" w:cs="Arial"/>
        </w:rPr>
      </w:pPr>
      <w:r w:rsidRPr="00586786">
        <w:rPr>
          <w:rFonts w:ascii="Arial" w:hAnsi="Arial" w:cs="Arial"/>
        </w:rPr>
        <w:t>25.</w:t>
      </w:r>
      <w:r w:rsidRPr="00586786">
        <w:rPr>
          <w:rFonts w:ascii="Arial" w:hAnsi="Arial" w:cs="Arial"/>
        </w:rPr>
        <w:tab/>
        <w:t xml:space="preserve">McDowell PJ, Stone JH, Zhang Y, Honeyford K, Dunn L, Logan RJ, et al. Glucocorticoid toxicity reduction with mepolizumab using the Glucocorticoid Toxicity Index. Eur Respir J. 2022 Jan;59(1):2100160. </w:t>
      </w:r>
    </w:p>
    <w:p w14:paraId="6207888A" w14:textId="77777777" w:rsidR="00386695" w:rsidRPr="00586786" w:rsidRDefault="00386695" w:rsidP="00586786">
      <w:pPr>
        <w:pStyle w:val="Bibliography"/>
        <w:spacing w:line="360" w:lineRule="auto"/>
        <w:rPr>
          <w:rFonts w:ascii="Arial" w:hAnsi="Arial" w:cs="Arial"/>
        </w:rPr>
      </w:pPr>
      <w:r w:rsidRPr="00586786">
        <w:rPr>
          <w:rFonts w:ascii="Arial" w:hAnsi="Arial" w:cs="Arial"/>
        </w:rPr>
        <w:t>26.</w:t>
      </w:r>
      <w:r w:rsidRPr="00586786">
        <w:rPr>
          <w:rFonts w:ascii="Arial" w:hAnsi="Arial" w:cs="Arial"/>
        </w:rPr>
        <w:tab/>
        <w:t xml:space="preserve">De Boysson H, Barakat C, Dumont A, Boutemy J, Martin Silva N, Maigné G, et al. Tolerance of glucocorticoids in giant cell arteritis: a study of patient-reported adverse events. Rheumatology. 2022 Aug 30;61(9):3567–75. </w:t>
      </w:r>
    </w:p>
    <w:p w14:paraId="560DF883" w14:textId="77777777" w:rsidR="00386695" w:rsidRPr="00586786" w:rsidRDefault="00386695" w:rsidP="00586786">
      <w:pPr>
        <w:pStyle w:val="Bibliography"/>
        <w:spacing w:line="360" w:lineRule="auto"/>
        <w:rPr>
          <w:rFonts w:ascii="Arial" w:hAnsi="Arial" w:cs="Arial"/>
        </w:rPr>
      </w:pPr>
      <w:r w:rsidRPr="00586786">
        <w:rPr>
          <w:rFonts w:ascii="Arial" w:hAnsi="Arial" w:cs="Arial"/>
        </w:rPr>
        <w:t>27.</w:t>
      </w:r>
      <w:r w:rsidRPr="00586786">
        <w:rPr>
          <w:rFonts w:ascii="Arial" w:hAnsi="Arial" w:cs="Arial"/>
        </w:rPr>
        <w:tab/>
        <w:t xml:space="preserve">Rymuza J, Pelewicz K, Przedlacki J, Miśkiewicz P. Therapy With Intravenous Methylprednisolone Pulses Is Associated With Loss of Bone Microarchitecture in Trabecular Bone Score -Assessment Among Patients With Moderate-to-Severe Graves’ Orbitopathy: A Pilot Study. Front Endocrinol. 2022 July 14;13:893600. </w:t>
      </w:r>
    </w:p>
    <w:p w14:paraId="7103A662" w14:textId="77777777" w:rsidR="00386695" w:rsidRPr="00586786" w:rsidRDefault="00386695" w:rsidP="00586786">
      <w:pPr>
        <w:pStyle w:val="Bibliography"/>
        <w:spacing w:line="360" w:lineRule="auto"/>
        <w:rPr>
          <w:rFonts w:ascii="Arial" w:hAnsi="Arial" w:cs="Arial"/>
        </w:rPr>
      </w:pPr>
      <w:r w:rsidRPr="00586786">
        <w:rPr>
          <w:rFonts w:ascii="Arial" w:hAnsi="Arial" w:cs="Arial"/>
        </w:rPr>
        <w:t>28.</w:t>
      </w:r>
      <w:r w:rsidRPr="00586786">
        <w:rPr>
          <w:rFonts w:ascii="Arial" w:hAnsi="Arial" w:cs="Arial"/>
        </w:rPr>
        <w:tab/>
        <w:t>Mazaherpour E, Kianfar N, Dasdar S, Sedaghat M, Seyrafi H, Balighi K, et al. Applicability of glucocorticoid toxicity index in pemphigus: Comparison between two groups of rituximab</w:t>
      </w:r>
      <w:r w:rsidRPr="00586786">
        <w:rPr>
          <w:rFonts w:ascii="Cambria Math" w:hAnsi="Cambria Math" w:cs="Cambria Math"/>
        </w:rPr>
        <w:t>‐</w:t>
      </w:r>
      <w:r w:rsidRPr="00586786">
        <w:rPr>
          <w:rFonts w:ascii="Arial" w:hAnsi="Arial" w:cs="Arial"/>
        </w:rPr>
        <w:t>treated and rituximab</w:t>
      </w:r>
      <w:r w:rsidRPr="00586786">
        <w:rPr>
          <w:rFonts w:ascii="Cambria Math" w:hAnsi="Cambria Math" w:cs="Cambria Math"/>
        </w:rPr>
        <w:t>‐</w:t>
      </w:r>
      <w:r w:rsidRPr="00586786">
        <w:rPr>
          <w:rFonts w:ascii="Arial" w:hAnsi="Arial" w:cs="Arial"/>
        </w:rPr>
        <w:t xml:space="preserve">naïve patients. Dermatol Ther. 2022 Dec;35(12). </w:t>
      </w:r>
    </w:p>
    <w:p w14:paraId="3412F3EA" w14:textId="77777777" w:rsidR="00386695" w:rsidRPr="00586786" w:rsidRDefault="00386695" w:rsidP="00586786">
      <w:pPr>
        <w:pStyle w:val="Bibliography"/>
        <w:spacing w:line="360" w:lineRule="auto"/>
        <w:rPr>
          <w:rFonts w:ascii="Arial" w:hAnsi="Arial" w:cs="Arial"/>
        </w:rPr>
      </w:pPr>
      <w:r w:rsidRPr="00586786">
        <w:rPr>
          <w:rFonts w:ascii="Arial" w:hAnsi="Arial" w:cs="Arial"/>
        </w:rPr>
        <w:t>29.</w:t>
      </w:r>
      <w:r w:rsidRPr="00586786">
        <w:rPr>
          <w:rFonts w:ascii="Arial" w:hAnsi="Arial" w:cs="Arial"/>
        </w:rPr>
        <w:tab/>
        <w:t xml:space="preserve">Lempp MP, Sigler MA, Adesoye AA, Ponnuru A, Duval CE. Assessment of Glycemic Control in Veterans With Chronic Obstructive Pulmonary Disease and </w:t>
      </w:r>
      <w:r w:rsidRPr="00586786">
        <w:rPr>
          <w:rFonts w:ascii="Arial" w:hAnsi="Arial" w:cs="Arial"/>
        </w:rPr>
        <w:lastRenderedPageBreak/>
        <w:t xml:space="preserve">Type 2 Diabetes Mellitus on Inhaled Corticosteroid Therapy. J Pharm Pract. 2022 Feb;35(1):7–12. </w:t>
      </w:r>
    </w:p>
    <w:p w14:paraId="56242AA7" w14:textId="77777777" w:rsidR="00386695" w:rsidRPr="00586786" w:rsidRDefault="00386695" w:rsidP="00586786">
      <w:pPr>
        <w:pStyle w:val="Bibliography"/>
        <w:spacing w:line="360" w:lineRule="auto"/>
        <w:rPr>
          <w:rFonts w:ascii="Arial" w:hAnsi="Arial" w:cs="Arial"/>
        </w:rPr>
      </w:pPr>
      <w:r w:rsidRPr="00586786">
        <w:rPr>
          <w:rFonts w:ascii="Arial" w:hAnsi="Arial" w:cs="Arial"/>
        </w:rPr>
        <w:t>30.</w:t>
      </w:r>
      <w:r w:rsidRPr="00586786">
        <w:rPr>
          <w:rFonts w:ascii="Arial" w:hAnsi="Arial" w:cs="Arial"/>
        </w:rPr>
        <w:tab/>
        <w:t xml:space="preserve">Liang Y, Zeng FAP, Sheriff T, Wilson A, Bilgic A, Feng G, et al. Evaluation of the toxicity of glucocorticoids in patients with autoimmune blistering disease using the Glucocorticoid Toxicity Index: A cohort study. JAAD Int. 2022 Mar;6:68–76. </w:t>
      </w:r>
    </w:p>
    <w:p w14:paraId="44852FEB" w14:textId="77777777" w:rsidR="00386695" w:rsidRPr="00586786" w:rsidRDefault="00386695" w:rsidP="00586786">
      <w:pPr>
        <w:pStyle w:val="Bibliography"/>
        <w:spacing w:line="360" w:lineRule="auto"/>
        <w:rPr>
          <w:rFonts w:ascii="Arial" w:hAnsi="Arial" w:cs="Arial"/>
        </w:rPr>
      </w:pPr>
      <w:r w:rsidRPr="00586786">
        <w:rPr>
          <w:rFonts w:ascii="Arial" w:hAnsi="Arial" w:cs="Arial"/>
        </w:rPr>
        <w:t>31.</w:t>
      </w:r>
      <w:r w:rsidRPr="00586786">
        <w:rPr>
          <w:rFonts w:ascii="Arial" w:hAnsi="Arial" w:cs="Arial"/>
        </w:rPr>
        <w:tab/>
        <w:t xml:space="preserve">Hazlewood GS, Schieir O, Bykerk V, Mujaab K, Tugwell P, Wells G, et al. Frequency of Symptomatic Adverse Events in Rheumatoid Arthritis: An Exploratory Online Survey. J Rheumatol. 2022 Sept;49(9):998–1005. </w:t>
      </w:r>
    </w:p>
    <w:p w14:paraId="448C2FC0" w14:textId="77777777" w:rsidR="00386695" w:rsidRPr="00586786" w:rsidRDefault="00386695" w:rsidP="00586786">
      <w:pPr>
        <w:pStyle w:val="Bibliography"/>
        <w:spacing w:line="360" w:lineRule="auto"/>
        <w:rPr>
          <w:rFonts w:ascii="Arial" w:hAnsi="Arial" w:cs="Arial"/>
        </w:rPr>
      </w:pPr>
      <w:r w:rsidRPr="00586786">
        <w:rPr>
          <w:rFonts w:ascii="Arial" w:hAnsi="Arial" w:cs="Arial"/>
        </w:rPr>
        <w:t>32.</w:t>
      </w:r>
      <w:r w:rsidRPr="00586786">
        <w:rPr>
          <w:rFonts w:ascii="Arial" w:hAnsi="Arial" w:cs="Arial"/>
        </w:rPr>
        <w:tab/>
        <w:t xml:space="preserve">Floyd L, Morris A, Joshi M, Dhaygude A. Glucocorticoid Therapy in ANCA Vasculitis: Using the Glucocorticoid Toxicity Index as an Outcome Measure. Kidney360. 2021 June;2(6):1002–10. </w:t>
      </w:r>
    </w:p>
    <w:p w14:paraId="5110A95F" w14:textId="77777777" w:rsidR="00386695" w:rsidRPr="00586786" w:rsidRDefault="00386695" w:rsidP="00586786">
      <w:pPr>
        <w:pStyle w:val="Bibliography"/>
        <w:spacing w:line="360" w:lineRule="auto"/>
        <w:rPr>
          <w:rFonts w:ascii="Arial" w:hAnsi="Arial" w:cs="Arial"/>
        </w:rPr>
      </w:pPr>
      <w:r w:rsidRPr="00586786">
        <w:rPr>
          <w:rFonts w:ascii="Arial" w:hAnsi="Arial" w:cs="Arial"/>
        </w:rPr>
        <w:t>33.</w:t>
      </w:r>
      <w:r w:rsidRPr="00586786">
        <w:rPr>
          <w:rFonts w:ascii="Arial" w:hAnsi="Arial" w:cs="Arial"/>
        </w:rPr>
        <w:tab/>
        <w:t xml:space="preserve">McDowell PJ, Stone JH, Zhang Y, Honeyford K, Dunn L, Logan RJ, et al. Quantification of Glucocorticoid-Associated Morbidity in Severe Asthma Using the Glucocorticoid Toxicity Index. J Allergy Clin Immunol Pract. 2021 Jan;9(1):365-372.e5. </w:t>
      </w:r>
    </w:p>
    <w:p w14:paraId="073E8C70" w14:textId="77777777" w:rsidR="00386695" w:rsidRPr="00586786" w:rsidRDefault="00386695" w:rsidP="00586786">
      <w:pPr>
        <w:pStyle w:val="Bibliography"/>
        <w:spacing w:line="360" w:lineRule="auto"/>
        <w:rPr>
          <w:rFonts w:ascii="Arial" w:hAnsi="Arial" w:cs="Arial"/>
        </w:rPr>
      </w:pPr>
      <w:r w:rsidRPr="00586786">
        <w:rPr>
          <w:rFonts w:ascii="Arial" w:hAnsi="Arial" w:cs="Arial"/>
        </w:rPr>
        <w:t>34.</w:t>
      </w:r>
      <w:r w:rsidRPr="00586786">
        <w:rPr>
          <w:rFonts w:ascii="Arial" w:hAnsi="Arial" w:cs="Arial"/>
        </w:rPr>
        <w:tab/>
        <w:t xml:space="preserve">Loarce-Martos J, Lilleker JB, Alder E, Goode J, Chinoy H. Perspectives on glucocorticoid usage in patients with adult inflammatory myopathy. Clin Rheumatol. 2021 Dec;40(12):4977–82. </w:t>
      </w:r>
    </w:p>
    <w:p w14:paraId="059E5FE2" w14:textId="77777777" w:rsidR="00386695" w:rsidRPr="00586786" w:rsidRDefault="00386695" w:rsidP="00586786">
      <w:pPr>
        <w:pStyle w:val="Bibliography"/>
        <w:spacing w:line="360" w:lineRule="auto"/>
        <w:rPr>
          <w:rFonts w:ascii="Arial" w:hAnsi="Arial" w:cs="Arial"/>
        </w:rPr>
      </w:pPr>
      <w:r w:rsidRPr="00586786">
        <w:rPr>
          <w:rFonts w:ascii="Arial" w:hAnsi="Arial" w:cs="Arial"/>
        </w:rPr>
        <w:t>35.</w:t>
      </w:r>
      <w:r w:rsidRPr="00586786">
        <w:rPr>
          <w:rFonts w:ascii="Arial" w:hAnsi="Arial" w:cs="Arial"/>
        </w:rPr>
        <w:tab/>
        <w:t xml:space="preserve">Holla S. Glucocorticoids: Boon or Bane-An assessment of safety profiling of steroids in a tertiary care hospital. Int J Res Pharm Sci. 2021 June 12;12(2):1611–9. </w:t>
      </w:r>
    </w:p>
    <w:p w14:paraId="27D1279C" w14:textId="77777777" w:rsidR="00386695" w:rsidRPr="00586786" w:rsidRDefault="00386695" w:rsidP="00586786">
      <w:pPr>
        <w:pStyle w:val="Bibliography"/>
        <w:spacing w:line="360" w:lineRule="auto"/>
        <w:rPr>
          <w:rFonts w:ascii="Arial" w:hAnsi="Arial" w:cs="Arial"/>
        </w:rPr>
      </w:pPr>
      <w:r w:rsidRPr="00586786">
        <w:rPr>
          <w:rFonts w:ascii="Arial" w:hAnsi="Arial" w:cs="Arial"/>
        </w:rPr>
        <w:t>36.</w:t>
      </w:r>
      <w:r w:rsidRPr="00586786">
        <w:rPr>
          <w:rFonts w:ascii="Arial" w:hAnsi="Arial" w:cs="Arial"/>
        </w:rPr>
        <w:tab/>
        <w:t xml:space="preserve">Celebi OO, Song SA, Santeerapharp A, Choksawad K, Franco RA. Assessment of side effects after serial intralesional steroid injections for idiopathic subglottic stenosis. Eur Arch Otorhinolaryngol. 2021 Feb;278(2):445–50. </w:t>
      </w:r>
    </w:p>
    <w:p w14:paraId="1DE96297" w14:textId="77777777" w:rsidR="00386695" w:rsidRPr="00586786" w:rsidRDefault="00386695" w:rsidP="00586786">
      <w:pPr>
        <w:pStyle w:val="Bibliography"/>
        <w:spacing w:line="360" w:lineRule="auto"/>
        <w:rPr>
          <w:rFonts w:ascii="Arial" w:hAnsi="Arial" w:cs="Arial"/>
        </w:rPr>
      </w:pPr>
      <w:r w:rsidRPr="00586786">
        <w:rPr>
          <w:rFonts w:ascii="Arial" w:hAnsi="Arial" w:cs="Arial"/>
        </w:rPr>
        <w:t>37.</w:t>
      </w:r>
      <w:r w:rsidRPr="00586786">
        <w:rPr>
          <w:rFonts w:ascii="Arial" w:hAnsi="Arial" w:cs="Arial"/>
        </w:rPr>
        <w:tab/>
        <w:t xml:space="preserve">Miyawaki Y, Shimizu S, Ogawa Y, Sada K ei, Katayama Y, Asano Y, et al. Association of glucocorticoid doses and emotional health in lupus low disease activity state (LLDAS): a cross-sectional study. Arthritis Res Ther. 2021 Dec;23(1):79. </w:t>
      </w:r>
    </w:p>
    <w:p w14:paraId="1D78094F" w14:textId="77777777" w:rsidR="00386695" w:rsidRPr="00586786" w:rsidRDefault="00386695" w:rsidP="00586786">
      <w:pPr>
        <w:pStyle w:val="Bibliography"/>
        <w:spacing w:line="360" w:lineRule="auto"/>
        <w:rPr>
          <w:rFonts w:ascii="Arial" w:hAnsi="Arial" w:cs="Arial"/>
        </w:rPr>
      </w:pPr>
      <w:r w:rsidRPr="00586786">
        <w:rPr>
          <w:rFonts w:ascii="Arial" w:hAnsi="Arial" w:cs="Arial"/>
        </w:rPr>
        <w:lastRenderedPageBreak/>
        <w:t>38.</w:t>
      </w:r>
      <w:r w:rsidRPr="00586786">
        <w:rPr>
          <w:rFonts w:ascii="Arial" w:hAnsi="Arial" w:cs="Arial"/>
        </w:rPr>
        <w:tab/>
        <w:t>Gao Y, Wang O, Guan W, Wu X, Mao J, Wang X, et al. Bone mineral density and trabecular bone score in patients with 21</w:t>
      </w:r>
      <w:r w:rsidRPr="00586786">
        <w:rPr>
          <w:rFonts w:ascii="Cambria Math" w:hAnsi="Cambria Math" w:cs="Cambria Math"/>
        </w:rPr>
        <w:t>‐</w:t>
      </w:r>
      <w:r w:rsidRPr="00586786">
        <w:rPr>
          <w:rFonts w:ascii="Arial" w:hAnsi="Arial" w:cs="Arial"/>
        </w:rPr>
        <w:t xml:space="preserve">hydroxylase deficiency after glucocorticoid treatment. Clin Endocrinol (Oxf). 2021 May;94(5):765–73. </w:t>
      </w:r>
    </w:p>
    <w:p w14:paraId="2109D5FF" w14:textId="77777777" w:rsidR="00386695" w:rsidRPr="00586786" w:rsidRDefault="00386695" w:rsidP="00586786">
      <w:pPr>
        <w:pStyle w:val="Bibliography"/>
        <w:spacing w:line="360" w:lineRule="auto"/>
        <w:rPr>
          <w:rFonts w:ascii="Arial" w:hAnsi="Arial" w:cs="Arial"/>
        </w:rPr>
      </w:pPr>
      <w:r w:rsidRPr="00586786">
        <w:rPr>
          <w:rFonts w:ascii="Arial" w:hAnsi="Arial" w:cs="Arial"/>
        </w:rPr>
        <w:t>39.</w:t>
      </w:r>
      <w:r w:rsidRPr="00586786">
        <w:rPr>
          <w:rFonts w:ascii="Arial" w:hAnsi="Arial" w:cs="Arial"/>
        </w:rPr>
        <w:tab/>
        <w:t xml:space="preserve">Nowakowska-Płaza A, Wroński J, Sudoł-Szopińska I, Głuszko P. Clinical Utility of Trabecular Bone Score (TBS) in Fracture Risk Assessment of Patients with Rheumatic Diseases Treated with Glucocorticoids. Horm Metab Res. 2021 Aug;53(08):499–503. </w:t>
      </w:r>
    </w:p>
    <w:p w14:paraId="11635741" w14:textId="77777777" w:rsidR="00386695" w:rsidRPr="00586786" w:rsidRDefault="00386695" w:rsidP="00586786">
      <w:pPr>
        <w:pStyle w:val="Bibliography"/>
        <w:spacing w:line="360" w:lineRule="auto"/>
        <w:rPr>
          <w:rFonts w:ascii="Arial" w:hAnsi="Arial" w:cs="Arial"/>
        </w:rPr>
      </w:pPr>
      <w:r w:rsidRPr="00586786">
        <w:rPr>
          <w:rFonts w:ascii="Arial" w:hAnsi="Arial" w:cs="Arial"/>
        </w:rPr>
        <w:t>40.</w:t>
      </w:r>
      <w:r w:rsidRPr="00586786">
        <w:rPr>
          <w:rFonts w:ascii="Arial" w:hAnsi="Arial" w:cs="Arial"/>
        </w:rPr>
        <w:tab/>
        <w:t xml:space="preserve">Costello RE, Yimer BB, Roads P, Jani M, Dixon WG. Glucocorticoid use is associated with an increased risk of hypertension. Rheumatology. 2021 Jan 5;60(1):132–9. </w:t>
      </w:r>
    </w:p>
    <w:p w14:paraId="2B171442" w14:textId="77777777" w:rsidR="00386695" w:rsidRPr="00586786" w:rsidRDefault="00386695" w:rsidP="00586786">
      <w:pPr>
        <w:pStyle w:val="Bibliography"/>
        <w:spacing w:line="360" w:lineRule="auto"/>
        <w:rPr>
          <w:rFonts w:ascii="Arial" w:hAnsi="Arial" w:cs="Arial"/>
        </w:rPr>
      </w:pPr>
      <w:r w:rsidRPr="00586786">
        <w:rPr>
          <w:rFonts w:ascii="Arial" w:hAnsi="Arial" w:cs="Arial"/>
        </w:rPr>
        <w:t>41.</w:t>
      </w:r>
      <w:r w:rsidRPr="00586786">
        <w:rPr>
          <w:rFonts w:ascii="Arial" w:hAnsi="Arial" w:cs="Arial"/>
        </w:rPr>
        <w:tab/>
        <w:t xml:space="preserve">Patel NJ, Fu X, Zhang Y, Unizony SH, Wallace ZS, Choi HK, et al. The Effects of Treatment on Body Mass Index in Giant Cell Arteritis: A Post Hoc Analysis of the GiACTA Trial. Rheumatol Ther. 2022 Apr;9(2):497–508. </w:t>
      </w:r>
    </w:p>
    <w:p w14:paraId="2F70F1EF" w14:textId="77777777" w:rsidR="00386695" w:rsidRPr="00586786" w:rsidRDefault="00386695" w:rsidP="00586786">
      <w:pPr>
        <w:pStyle w:val="Bibliography"/>
        <w:spacing w:line="360" w:lineRule="auto"/>
        <w:rPr>
          <w:rFonts w:ascii="Arial" w:hAnsi="Arial" w:cs="Arial"/>
        </w:rPr>
      </w:pPr>
      <w:r w:rsidRPr="00586786">
        <w:rPr>
          <w:rFonts w:ascii="Arial" w:hAnsi="Arial" w:cs="Arial"/>
        </w:rPr>
        <w:t>42.</w:t>
      </w:r>
      <w:r w:rsidRPr="00586786">
        <w:rPr>
          <w:rFonts w:ascii="Arial" w:hAnsi="Arial" w:cs="Arial"/>
        </w:rPr>
        <w:tab/>
        <w:t xml:space="preserve">Attard G, Merseburger AS, Arlt W, Sternberg CN, Feyerabend S, Berruti A, et al. Assessment of the Safety of Glucocorticoid Regimens in Combination With Abiraterone Acetate for Metastatic Castration-Resistant Prostate Cancer: A Randomized, Open-label Phase 2 Study. JAMA Oncol. 2019 Aug 1;5(8):1159. </w:t>
      </w:r>
    </w:p>
    <w:p w14:paraId="1AFE1C04" w14:textId="77777777" w:rsidR="00386695" w:rsidRPr="00586786" w:rsidRDefault="00386695" w:rsidP="00586786">
      <w:pPr>
        <w:pStyle w:val="Bibliography"/>
        <w:spacing w:line="360" w:lineRule="auto"/>
        <w:rPr>
          <w:rFonts w:ascii="Arial" w:hAnsi="Arial" w:cs="Arial"/>
        </w:rPr>
      </w:pPr>
      <w:r w:rsidRPr="00586786">
        <w:rPr>
          <w:rFonts w:ascii="Arial" w:hAnsi="Arial" w:cs="Arial"/>
        </w:rPr>
        <w:t>43.</w:t>
      </w:r>
      <w:r w:rsidRPr="00586786">
        <w:rPr>
          <w:rFonts w:ascii="Arial" w:hAnsi="Arial" w:cs="Arial"/>
        </w:rPr>
        <w:tab/>
        <w:t xml:space="preserve">Guaraldi F, Gori D, Calderoni P, Castiello E, Pratelli L, Leporati M, et al. Comparative assessment of hypothalamic-pituitary-adrenal axis suppression secondary to intrabursal injection of different glucocorticoids: a pilot study. J Endocrinol Invest. 2019 Sept;42(9):1117–24. </w:t>
      </w:r>
    </w:p>
    <w:p w14:paraId="21859627" w14:textId="77777777" w:rsidR="00386695" w:rsidRPr="00586786" w:rsidRDefault="00386695" w:rsidP="00586786">
      <w:pPr>
        <w:pStyle w:val="Bibliography"/>
        <w:spacing w:line="360" w:lineRule="auto"/>
        <w:rPr>
          <w:rFonts w:ascii="Arial" w:hAnsi="Arial" w:cs="Arial"/>
        </w:rPr>
      </w:pPr>
      <w:r w:rsidRPr="00586786">
        <w:rPr>
          <w:rFonts w:ascii="Arial" w:hAnsi="Arial" w:cs="Arial"/>
        </w:rPr>
        <w:t>44.</w:t>
      </w:r>
      <w:r w:rsidRPr="00586786">
        <w:rPr>
          <w:rFonts w:ascii="Arial" w:hAnsi="Arial" w:cs="Arial"/>
        </w:rPr>
        <w:tab/>
        <w:t xml:space="preserve">Xue Y, Baker AL, Nader S, Orlander P, Sanchez AJ, Kellam J, et al. Lumbar Spine Trabecular Bone Score (TBS) Reflects Diminished Bone Quality in Patients With Diabetes Mellitus and Oral Glucocorticoid Therapy. J Clin Densitom. 2018 Apr;21(2):185–92. </w:t>
      </w:r>
    </w:p>
    <w:p w14:paraId="1CDE21B3" w14:textId="77777777" w:rsidR="00386695" w:rsidRPr="00586786" w:rsidRDefault="00386695" w:rsidP="00586786">
      <w:pPr>
        <w:pStyle w:val="Bibliography"/>
        <w:spacing w:line="360" w:lineRule="auto"/>
        <w:rPr>
          <w:rFonts w:ascii="Arial" w:hAnsi="Arial" w:cs="Arial"/>
        </w:rPr>
      </w:pPr>
      <w:r w:rsidRPr="00586786">
        <w:rPr>
          <w:rFonts w:ascii="Arial" w:hAnsi="Arial" w:cs="Arial"/>
        </w:rPr>
        <w:t>45.</w:t>
      </w:r>
      <w:r w:rsidRPr="00586786">
        <w:rPr>
          <w:rFonts w:ascii="Arial" w:hAnsi="Arial" w:cs="Arial"/>
        </w:rPr>
        <w:tab/>
        <w:t xml:space="preserve">Sarwar G, Bisquera A, Peel R, Hancock S, Grainge C, Attia J. The effect of inhaled corticosteroids on bone mineral density measured by quantitative ultrasonography in an older population. Clin Respir J. 2018 Feb;12(2):659–65. </w:t>
      </w:r>
    </w:p>
    <w:p w14:paraId="10BF871A" w14:textId="77777777" w:rsidR="00386695" w:rsidRPr="00586786" w:rsidRDefault="00386695" w:rsidP="00586786">
      <w:pPr>
        <w:pStyle w:val="Bibliography"/>
        <w:spacing w:line="360" w:lineRule="auto"/>
        <w:rPr>
          <w:rFonts w:ascii="Arial" w:hAnsi="Arial" w:cs="Arial"/>
        </w:rPr>
      </w:pPr>
      <w:r w:rsidRPr="00586786">
        <w:rPr>
          <w:rFonts w:ascii="Arial" w:hAnsi="Arial" w:cs="Arial"/>
        </w:rPr>
        <w:lastRenderedPageBreak/>
        <w:t>46.</w:t>
      </w:r>
      <w:r w:rsidRPr="00586786">
        <w:rPr>
          <w:rFonts w:ascii="Arial" w:hAnsi="Arial" w:cs="Arial"/>
        </w:rPr>
        <w:tab/>
        <w:t xml:space="preserve">Lee I, Kaminski HJ, McPherson T, Feese M, Cutter G. Gender differences in prednisone adverse effects: Survey result from the MG registry. Neurol Neuroimmunol Neuroinflammation. 2018 Nov;5(6):e507. </w:t>
      </w:r>
    </w:p>
    <w:p w14:paraId="1EAEB754" w14:textId="77777777" w:rsidR="00386695" w:rsidRPr="00586786" w:rsidRDefault="00386695" w:rsidP="00586786">
      <w:pPr>
        <w:pStyle w:val="Bibliography"/>
        <w:spacing w:line="360" w:lineRule="auto"/>
        <w:rPr>
          <w:rFonts w:ascii="Arial" w:hAnsi="Arial" w:cs="Arial"/>
        </w:rPr>
      </w:pPr>
      <w:r w:rsidRPr="00586786">
        <w:rPr>
          <w:rFonts w:ascii="Arial" w:hAnsi="Arial" w:cs="Arial"/>
        </w:rPr>
        <w:t>47.</w:t>
      </w:r>
      <w:r w:rsidRPr="00586786">
        <w:rPr>
          <w:rFonts w:ascii="Arial" w:hAnsi="Arial" w:cs="Arial"/>
        </w:rPr>
        <w:tab/>
        <w:t xml:space="preserve">Chuang MH, Chuang TL, Koo M, Wang YF. Trabecular Bone Score Reflects Trabecular Microarchitecture Deterioration and Fragility Fracture in Female Adult Patients Receiving Glucocorticoid Therapy: A Pre-Post Controlled Study. BioMed Res Int. 2017;2017:1–7. </w:t>
      </w:r>
    </w:p>
    <w:p w14:paraId="2FBBE4EA" w14:textId="77777777" w:rsidR="00386695" w:rsidRPr="00586786" w:rsidRDefault="00386695" w:rsidP="00586786">
      <w:pPr>
        <w:pStyle w:val="Bibliography"/>
        <w:spacing w:line="360" w:lineRule="auto"/>
        <w:rPr>
          <w:rFonts w:ascii="Arial" w:hAnsi="Arial" w:cs="Arial"/>
        </w:rPr>
      </w:pPr>
      <w:r w:rsidRPr="00586786">
        <w:rPr>
          <w:rFonts w:ascii="Arial" w:hAnsi="Arial" w:cs="Arial"/>
        </w:rPr>
        <w:t>48.</w:t>
      </w:r>
      <w:r w:rsidRPr="00586786">
        <w:rPr>
          <w:rFonts w:ascii="Arial" w:hAnsi="Arial" w:cs="Arial"/>
        </w:rPr>
        <w:tab/>
        <w:t xml:space="preserve">Darjani A, Nickhah N, Emami MHH, Alizadeh N, Rafiei R, Eftekhari H, et al. Assessment of the Prevalence and Risk Factors Associated With Glucocorticoid- Induced Diabetes Mellitus in Pemphigus Vulgaris Patients. Acta Med Iran. 2017;55(6):375–80. </w:t>
      </w:r>
    </w:p>
    <w:p w14:paraId="56499EDA" w14:textId="77777777" w:rsidR="00386695" w:rsidRPr="00586786" w:rsidRDefault="00386695" w:rsidP="00586786">
      <w:pPr>
        <w:pStyle w:val="Bibliography"/>
        <w:spacing w:line="360" w:lineRule="auto"/>
        <w:rPr>
          <w:rFonts w:ascii="Arial" w:hAnsi="Arial" w:cs="Arial"/>
        </w:rPr>
      </w:pPr>
      <w:r w:rsidRPr="00586786">
        <w:rPr>
          <w:rFonts w:ascii="Arial" w:hAnsi="Arial" w:cs="Arial"/>
        </w:rPr>
        <w:t>49.</w:t>
      </w:r>
      <w:r w:rsidRPr="00586786">
        <w:rPr>
          <w:rFonts w:ascii="Arial" w:hAnsi="Arial" w:cs="Arial"/>
        </w:rPr>
        <w:tab/>
        <w:t xml:space="preserve">Savas M, Muka T, Wester VL, Van Den Akker ELT, Visser JA, Braunstahl GJ, et al. Associations Between Systemic and Local Corticosteroid Use With Metabolic Syndrome and Body Mass Index. J Clin Endocrinol Metab. 2017 Oct 1;102(10):3765–74. </w:t>
      </w:r>
    </w:p>
    <w:p w14:paraId="615FF3B9" w14:textId="77777777" w:rsidR="00386695" w:rsidRPr="00586786" w:rsidRDefault="00386695" w:rsidP="00586786">
      <w:pPr>
        <w:pStyle w:val="Bibliography"/>
        <w:spacing w:line="360" w:lineRule="auto"/>
        <w:rPr>
          <w:rFonts w:ascii="Arial" w:hAnsi="Arial" w:cs="Arial"/>
        </w:rPr>
      </w:pPr>
      <w:r w:rsidRPr="00586786">
        <w:rPr>
          <w:rFonts w:ascii="Arial" w:hAnsi="Arial" w:cs="Arial"/>
        </w:rPr>
        <w:t>50.</w:t>
      </w:r>
      <w:r w:rsidRPr="00586786">
        <w:rPr>
          <w:rFonts w:ascii="Arial" w:hAnsi="Arial" w:cs="Arial"/>
        </w:rPr>
        <w:tab/>
        <w:t xml:space="preserve">Hendriksen RGF, Lionarons JM, Hendriksen JGM, Vles JSH, McAdam LC, Biggar WD. Development of a New Self-Reporting Instrument Measuring Benefits and Side Effects of Corticosteroids in Duchenne Muscular Dystrophy: Report from a Pilot Study. J Neuromuscul Dis. 2017 Aug 29;4(3):217–36. </w:t>
      </w:r>
    </w:p>
    <w:p w14:paraId="3915FAF1" w14:textId="77777777" w:rsidR="00386695" w:rsidRPr="00586786" w:rsidRDefault="00386695" w:rsidP="00586786">
      <w:pPr>
        <w:pStyle w:val="Bibliography"/>
        <w:spacing w:line="360" w:lineRule="auto"/>
        <w:rPr>
          <w:rFonts w:ascii="Arial" w:hAnsi="Arial" w:cs="Arial"/>
        </w:rPr>
      </w:pPr>
      <w:r w:rsidRPr="00586786">
        <w:rPr>
          <w:rFonts w:ascii="Arial" w:hAnsi="Arial" w:cs="Arial"/>
        </w:rPr>
        <w:t>51.</w:t>
      </w:r>
      <w:r w:rsidRPr="00586786">
        <w:rPr>
          <w:rFonts w:ascii="Arial" w:hAnsi="Arial" w:cs="Arial"/>
        </w:rPr>
        <w:tab/>
        <w:t xml:space="preserve">On behalf of the Cooperative Trials Group for Neuro-Oncology (COGNO), Agar M, Koh ES, Gibbs E, Barnes EH, Hovey E, et al. Validating self-report and proxy reports of the Dexamethasone Symptom Questionnaire -Chronic for the evaluation of longer-term corticosteroid toxicity. Support Care Cancer. 2016 Mar;24(3):1209–18. </w:t>
      </w:r>
    </w:p>
    <w:p w14:paraId="1B48B742" w14:textId="77777777" w:rsidR="00386695" w:rsidRPr="00586786" w:rsidRDefault="00386695" w:rsidP="00586786">
      <w:pPr>
        <w:pStyle w:val="Bibliography"/>
        <w:spacing w:line="360" w:lineRule="auto"/>
        <w:rPr>
          <w:rFonts w:ascii="Arial" w:hAnsi="Arial" w:cs="Arial"/>
        </w:rPr>
      </w:pPr>
      <w:r w:rsidRPr="00586786">
        <w:rPr>
          <w:rFonts w:ascii="Arial" w:hAnsi="Arial" w:cs="Arial"/>
        </w:rPr>
        <w:t>52.</w:t>
      </w:r>
      <w:r w:rsidRPr="00586786">
        <w:rPr>
          <w:rFonts w:ascii="Arial" w:hAnsi="Arial" w:cs="Arial"/>
        </w:rPr>
        <w:tab/>
        <w:t xml:space="preserve">Geisz M, Ha C, Kappelman MD, Martin CF, Chen W, Anton K, et al. Medication Utilization and the Impact of Continued Corticosteroid Use on Patient-reported Outcomes in Older Patients with Inflammatory Bowel Disease: Inflamm Bowel Dis. 2016 June;22(6):1435–41. </w:t>
      </w:r>
    </w:p>
    <w:p w14:paraId="4FAB324C" w14:textId="77777777" w:rsidR="00386695" w:rsidRPr="00586786" w:rsidRDefault="00386695" w:rsidP="00586786">
      <w:pPr>
        <w:pStyle w:val="Bibliography"/>
        <w:spacing w:line="360" w:lineRule="auto"/>
        <w:rPr>
          <w:rFonts w:ascii="Arial" w:hAnsi="Arial" w:cs="Arial"/>
        </w:rPr>
      </w:pPr>
      <w:r w:rsidRPr="00586786">
        <w:rPr>
          <w:rFonts w:ascii="Arial" w:hAnsi="Arial" w:cs="Arial"/>
        </w:rPr>
        <w:lastRenderedPageBreak/>
        <w:t>53.</w:t>
      </w:r>
      <w:r w:rsidRPr="00586786">
        <w:rPr>
          <w:rFonts w:ascii="Arial" w:hAnsi="Arial" w:cs="Arial"/>
        </w:rPr>
        <w:tab/>
        <w:t xml:space="preserve">Armstrong TS, Ying Y, Wu J, Acquaye AA, Vera-Bolanos E, Gilbert MR, et al. The relationship between corticosteroids and symptoms in patients with primary brain tumors: utility of the Dexamethasone Symptom Questionnaire–Chronic. Neuro-Oncol. 2015 Aug;17(8):1114–20. </w:t>
      </w:r>
    </w:p>
    <w:p w14:paraId="75B566D9" w14:textId="77777777" w:rsidR="00386695" w:rsidRPr="00586786" w:rsidRDefault="00386695" w:rsidP="00586786">
      <w:pPr>
        <w:pStyle w:val="Bibliography"/>
        <w:spacing w:line="360" w:lineRule="auto"/>
        <w:rPr>
          <w:rFonts w:ascii="Arial" w:hAnsi="Arial" w:cs="Arial"/>
        </w:rPr>
      </w:pPr>
      <w:r w:rsidRPr="00586786">
        <w:rPr>
          <w:rFonts w:ascii="Arial" w:hAnsi="Arial" w:cs="Arial"/>
        </w:rPr>
        <w:t>54.</w:t>
      </w:r>
      <w:r w:rsidRPr="00586786">
        <w:rPr>
          <w:rFonts w:ascii="Arial" w:hAnsi="Arial" w:cs="Arial"/>
        </w:rPr>
        <w:tab/>
        <w:t xml:space="preserve">Paggiosi MA, Peel NFA, Eastell R. The impact of glucocorticoid therapy on trabecular bone score in older women. Osteoporos Int. 2015 June;26(6):1773–80. </w:t>
      </w:r>
    </w:p>
    <w:p w14:paraId="4B37797C" w14:textId="77777777" w:rsidR="00386695" w:rsidRPr="00586786" w:rsidRDefault="00386695" w:rsidP="00586786">
      <w:pPr>
        <w:pStyle w:val="Bibliography"/>
        <w:spacing w:line="360" w:lineRule="auto"/>
        <w:rPr>
          <w:rFonts w:ascii="Arial" w:hAnsi="Arial" w:cs="Arial"/>
        </w:rPr>
      </w:pPr>
      <w:r w:rsidRPr="00586786">
        <w:rPr>
          <w:rFonts w:ascii="Arial" w:hAnsi="Arial" w:cs="Arial"/>
        </w:rPr>
        <w:t>55.</w:t>
      </w:r>
      <w:r w:rsidRPr="00586786">
        <w:rPr>
          <w:rFonts w:ascii="Arial" w:hAnsi="Arial" w:cs="Arial"/>
        </w:rPr>
        <w:tab/>
        <w:t xml:space="preserve">Mellibovsky L, Prieto-Alhambra D, Mellibovsky F, Güerri-Fernández R, Nogués X, Randall C, et al. Bone Tissue Properties Measurement by Reference Point Indentation in Glucocorticoid-Induced Osteoporosis. J Bone Miner Res. 2015 Sept 1;30(9):1651–6. </w:t>
      </w:r>
    </w:p>
    <w:p w14:paraId="2A3C5E0B" w14:textId="77777777" w:rsidR="00386695" w:rsidRPr="00586786" w:rsidRDefault="00386695" w:rsidP="00586786">
      <w:pPr>
        <w:pStyle w:val="Bibliography"/>
        <w:spacing w:line="360" w:lineRule="auto"/>
        <w:rPr>
          <w:rFonts w:ascii="Arial" w:hAnsi="Arial" w:cs="Arial"/>
        </w:rPr>
      </w:pPr>
      <w:r w:rsidRPr="00586786">
        <w:rPr>
          <w:rFonts w:ascii="Arial" w:hAnsi="Arial" w:cs="Arial"/>
        </w:rPr>
        <w:t>56.</w:t>
      </w:r>
      <w:r w:rsidRPr="00586786">
        <w:rPr>
          <w:rFonts w:ascii="Arial" w:hAnsi="Arial" w:cs="Arial"/>
        </w:rPr>
        <w:tab/>
        <w:t>Jurgens MS, Jacobs JWG, Geenen R, Bossema ER, Bakker MF, Bijlsma JWJ, et al. Increase of body mass index in a tight controlled methotrexate</w:t>
      </w:r>
      <w:r w:rsidRPr="00586786">
        <w:rPr>
          <w:rFonts w:ascii="Cambria Math" w:hAnsi="Cambria Math" w:cs="Cambria Math"/>
        </w:rPr>
        <w:t>‐</w:t>
      </w:r>
      <w:r w:rsidRPr="00586786">
        <w:rPr>
          <w:rFonts w:ascii="Arial" w:hAnsi="Arial" w:cs="Arial"/>
        </w:rPr>
        <w:t xml:space="preserve">based strategy with prednisone in early rheumatoid arthritis: Side effect of the prednisone or better control of disease activity? Arthritis Care Res. 2013 Jan;65(1):88–93. </w:t>
      </w:r>
    </w:p>
    <w:p w14:paraId="68F09739" w14:textId="77777777" w:rsidR="00386695" w:rsidRPr="00586786" w:rsidRDefault="00386695" w:rsidP="00586786">
      <w:pPr>
        <w:pStyle w:val="Bibliography"/>
        <w:spacing w:line="360" w:lineRule="auto"/>
        <w:rPr>
          <w:rFonts w:ascii="Arial" w:hAnsi="Arial" w:cs="Arial"/>
        </w:rPr>
      </w:pPr>
      <w:r w:rsidRPr="00586786">
        <w:rPr>
          <w:rFonts w:ascii="Arial" w:hAnsi="Arial" w:cs="Arial"/>
        </w:rPr>
        <w:t>57.</w:t>
      </w:r>
      <w:r w:rsidRPr="00586786">
        <w:rPr>
          <w:rFonts w:ascii="Arial" w:hAnsi="Arial" w:cs="Arial"/>
        </w:rPr>
        <w:tab/>
        <w:t xml:space="preserve">Graeff C, Marin F, Petto H, Kayser O, Reisinger A, Peña J, et al. High resolution quantitative computed tomography-based assessment of trabecular microstructure and strength estimates by finite-element analysis of the spine, but not DXA, reflects vertebral fracture status in men with glucocorticoid-induced osteoporosis. Bone. 2013 Feb;52(2):568–77. </w:t>
      </w:r>
    </w:p>
    <w:p w14:paraId="70E64DA1" w14:textId="77777777" w:rsidR="00386695" w:rsidRPr="00586786" w:rsidRDefault="00386695" w:rsidP="00586786">
      <w:pPr>
        <w:pStyle w:val="Bibliography"/>
        <w:spacing w:line="360" w:lineRule="auto"/>
        <w:rPr>
          <w:rFonts w:ascii="Arial" w:hAnsi="Arial" w:cs="Arial"/>
        </w:rPr>
      </w:pPr>
      <w:r w:rsidRPr="00586786">
        <w:rPr>
          <w:rFonts w:ascii="Arial" w:hAnsi="Arial" w:cs="Arial"/>
        </w:rPr>
        <w:t>58.</w:t>
      </w:r>
      <w:r w:rsidRPr="00586786">
        <w:rPr>
          <w:rFonts w:ascii="Arial" w:hAnsi="Arial" w:cs="Arial"/>
        </w:rPr>
        <w:tab/>
        <w:t xml:space="preserve">Berger G, Hardak E, Shaham B, Avitan E, Yigla M. Preliminary prospective explanatory observation on the impact of 3-month steroid therapy on the objective measures of sleep-disordered breathing. Sleep Breath. 2012 June;16(2):549–53. </w:t>
      </w:r>
    </w:p>
    <w:p w14:paraId="4E3D1738" w14:textId="77777777" w:rsidR="00386695" w:rsidRPr="00586786" w:rsidRDefault="00386695" w:rsidP="00586786">
      <w:pPr>
        <w:pStyle w:val="Bibliography"/>
        <w:spacing w:line="360" w:lineRule="auto"/>
        <w:rPr>
          <w:rFonts w:ascii="Arial" w:hAnsi="Arial" w:cs="Arial"/>
        </w:rPr>
      </w:pPr>
      <w:r w:rsidRPr="00586786">
        <w:rPr>
          <w:rFonts w:ascii="Arial" w:hAnsi="Arial" w:cs="Arial"/>
        </w:rPr>
        <w:t>59.</w:t>
      </w:r>
      <w:r w:rsidRPr="00586786">
        <w:rPr>
          <w:rFonts w:ascii="Arial" w:hAnsi="Arial" w:cs="Arial"/>
        </w:rPr>
        <w:tab/>
        <w:t xml:space="preserve">Pincus T, Castrejón I. Effective Initial and Long-Term Prednisone in Doses of Less Than 5 Mg/Day to Treat Rheumatoid Arthritis. Bull NYU Hosp Jt Dis. 2012;70(Suppl1):S14–20. </w:t>
      </w:r>
    </w:p>
    <w:p w14:paraId="18B0913E" w14:textId="77777777" w:rsidR="00386695" w:rsidRPr="00586786" w:rsidRDefault="00386695" w:rsidP="00586786">
      <w:pPr>
        <w:pStyle w:val="Bibliography"/>
        <w:spacing w:line="360" w:lineRule="auto"/>
        <w:rPr>
          <w:rFonts w:ascii="Arial" w:hAnsi="Arial" w:cs="Arial"/>
        </w:rPr>
      </w:pPr>
      <w:r w:rsidRPr="00586786">
        <w:rPr>
          <w:rFonts w:ascii="Arial" w:hAnsi="Arial" w:cs="Arial"/>
        </w:rPr>
        <w:t>60.</w:t>
      </w:r>
      <w:r w:rsidRPr="00586786">
        <w:rPr>
          <w:rFonts w:ascii="Arial" w:hAnsi="Arial" w:cs="Arial"/>
        </w:rPr>
        <w:tab/>
        <w:t xml:space="preserve">Li EK, Zhu TY, Tam LS, Hung VW, Griffith JF, Li TK, et al. Bone Microarchitecture Assessment by High-Resolution Peripheral Quantitative Computed Tomography in Patients with Systemic Lupus Erythematosus Taking Corticosteroids. J Rheumatol. 2010 July;37(7):1473–9. </w:t>
      </w:r>
    </w:p>
    <w:p w14:paraId="48C0BF74" w14:textId="77777777" w:rsidR="00386695" w:rsidRPr="00586786" w:rsidRDefault="00386695" w:rsidP="00586786">
      <w:pPr>
        <w:pStyle w:val="Bibliography"/>
        <w:spacing w:line="360" w:lineRule="auto"/>
        <w:rPr>
          <w:rFonts w:ascii="Arial" w:hAnsi="Arial" w:cs="Arial"/>
        </w:rPr>
      </w:pPr>
      <w:r w:rsidRPr="00586786">
        <w:rPr>
          <w:rFonts w:ascii="Arial" w:hAnsi="Arial" w:cs="Arial"/>
        </w:rPr>
        <w:lastRenderedPageBreak/>
        <w:t>61.</w:t>
      </w:r>
      <w:r w:rsidRPr="00586786">
        <w:rPr>
          <w:rFonts w:ascii="Arial" w:hAnsi="Arial" w:cs="Arial"/>
        </w:rPr>
        <w:tab/>
        <w:t xml:space="preserve">Kale N, Agaoglu J, Tanik O. Correlation of cumulative corticosteroid treatment with magnetic resonance imaging assessment of avascular femoral head necrosis in patients with multiple sclerosis. Neurol Int. 2010 Oct 18;2(2):17. </w:t>
      </w:r>
    </w:p>
    <w:p w14:paraId="257DAD5E" w14:textId="77777777" w:rsidR="00386695" w:rsidRPr="00586786" w:rsidRDefault="00386695" w:rsidP="00586786">
      <w:pPr>
        <w:pStyle w:val="Bibliography"/>
        <w:spacing w:line="360" w:lineRule="auto"/>
        <w:rPr>
          <w:rFonts w:ascii="Arial" w:hAnsi="Arial" w:cs="Arial"/>
        </w:rPr>
      </w:pPr>
      <w:r w:rsidRPr="00586786">
        <w:rPr>
          <w:rFonts w:ascii="Arial" w:hAnsi="Arial" w:cs="Arial"/>
        </w:rPr>
        <w:t>62.</w:t>
      </w:r>
      <w:r w:rsidRPr="00586786">
        <w:rPr>
          <w:rFonts w:ascii="Arial" w:hAnsi="Arial" w:cs="Arial"/>
        </w:rPr>
        <w:tab/>
        <w:t xml:space="preserve">Molen TVD, Foster JM, Caeser M, Müller T, Postma DS. Difference between patient-reported side effects of ciclesonide versus fluticasone propionate. Respir Med. 2010 Dec;104(12):1825–33. </w:t>
      </w:r>
    </w:p>
    <w:p w14:paraId="6170BC06" w14:textId="77777777" w:rsidR="00386695" w:rsidRPr="00586786" w:rsidRDefault="00386695" w:rsidP="00586786">
      <w:pPr>
        <w:pStyle w:val="Bibliography"/>
        <w:spacing w:line="360" w:lineRule="auto"/>
        <w:rPr>
          <w:rFonts w:ascii="Arial" w:hAnsi="Arial" w:cs="Arial"/>
        </w:rPr>
      </w:pPr>
      <w:r w:rsidRPr="00586786">
        <w:rPr>
          <w:rFonts w:ascii="Arial" w:hAnsi="Arial" w:cs="Arial"/>
        </w:rPr>
        <w:t>63.</w:t>
      </w:r>
      <w:r w:rsidRPr="00586786">
        <w:rPr>
          <w:rFonts w:ascii="Arial" w:hAnsi="Arial" w:cs="Arial"/>
        </w:rPr>
        <w:tab/>
        <w:t xml:space="preserve">Pugnet G, Sailler L, Astudillo L, Vernet J, Bennet A, Arlet P. Fréquence et déterminants de l’insufﬁsance surrénalienne biologique dépistée par le test au Synacthène® à 250 ␮g lors du sevrage d’une corticothérapie prolongée. Étude chez 100 patients. Rev Médecine Interne. 2010;31:332–6. </w:t>
      </w:r>
    </w:p>
    <w:p w14:paraId="3CEA19F5" w14:textId="77777777" w:rsidR="00386695" w:rsidRPr="00586786" w:rsidRDefault="00386695" w:rsidP="00586786">
      <w:pPr>
        <w:pStyle w:val="Bibliography"/>
        <w:spacing w:line="360" w:lineRule="auto"/>
        <w:rPr>
          <w:rFonts w:ascii="Arial" w:hAnsi="Arial" w:cs="Arial"/>
        </w:rPr>
      </w:pPr>
      <w:r w:rsidRPr="00586786">
        <w:rPr>
          <w:rFonts w:ascii="Arial" w:hAnsi="Arial" w:cs="Arial"/>
        </w:rPr>
        <w:t>64.</w:t>
      </w:r>
      <w:r w:rsidRPr="00586786">
        <w:rPr>
          <w:rFonts w:ascii="Arial" w:hAnsi="Arial" w:cs="Arial"/>
        </w:rPr>
        <w:tab/>
        <w:t xml:space="preserve">Villabona CV, Koh C, Panergo J, Reddy A, Fogelfeld L. Adrenocorticotropic Hormone Stimulation Test During High-Dose Glucocorticoid Therapy. Endocr Pract. 2009 Mar;15(2):122–7. </w:t>
      </w:r>
    </w:p>
    <w:p w14:paraId="7BF2956E" w14:textId="77777777" w:rsidR="00386695" w:rsidRPr="00586786" w:rsidRDefault="00386695" w:rsidP="00586786">
      <w:pPr>
        <w:pStyle w:val="Bibliography"/>
        <w:spacing w:line="360" w:lineRule="auto"/>
        <w:rPr>
          <w:rFonts w:ascii="Arial" w:hAnsi="Arial" w:cs="Arial"/>
        </w:rPr>
      </w:pPr>
      <w:r w:rsidRPr="00586786">
        <w:rPr>
          <w:rFonts w:ascii="Arial" w:hAnsi="Arial" w:cs="Arial"/>
        </w:rPr>
        <w:t>65.</w:t>
      </w:r>
      <w:r w:rsidRPr="00586786">
        <w:rPr>
          <w:rFonts w:ascii="Arial" w:hAnsi="Arial" w:cs="Arial"/>
        </w:rPr>
        <w:tab/>
        <w:t xml:space="preserve">Cross RK, Lapshin O, Finkelstein J. Patient Subjective Assessment of Drug Side Effects in Inflammatory Bowel Disease. J Clin Gastroenterol. 2008 Mar;42(3):244–51. </w:t>
      </w:r>
    </w:p>
    <w:p w14:paraId="245B9D77" w14:textId="77777777" w:rsidR="00386695" w:rsidRPr="00586786" w:rsidRDefault="00386695" w:rsidP="00586786">
      <w:pPr>
        <w:pStyle w:val="Bibliography"/>
        <w:spacing w:line="360" w:lineRule="auto"/>
        <w:rPr>
          <w:rFonts w:ascii="Arial" w:hAnsi="Arial" w:cs="Arial"/>
        </w:rPr>
      </w:pPr>
      <w:r w:rsidRPr="00586786">
        <w:rPr>
          <w:rFonts w:ascii="Arial" w:hAnsi="Arial" w:cs="Arial"/>
        </w:rPr>
        <w:t>66.</w:t>
      </w:r>
      <w:r w:rsidRPr="00586786">
        <w:rPr>
          <w:rFonts w:ascii="Arial" w:hAnsi="Arial" w:cs="Arial"/>
        </w:rPr>
        <w:tab/>
        <w:t xml:space="preserve">Andres P, Poncet M, Sidou F, Soto P. Short-term safety assessment of clobetasol propionate 0.05% shampoo hypothalamic-pituitary-adrenal axis suppression, atrophogenicity, and ocular safety in subjects with scalp psoriasis. J Drugs Dermatol. 2006;5(4):328–32. </w:t>
      </w:r>
    </w:p>
    <w:p w14:paraId="69B4A57C" w14:textId="77777777" w:rsidR="00386695" w:rsidRPr="00586786" w:rsidRDefault="00386695" w:rsidP="00586786">
      <w:pPr>
        <w:pStyle w:val="Bibliography"/>
        <w:spacing w:line="360" w:lineRule="auto"/>
        <w:rPr>
          <w:rFonts w:ascii="Arial" w:hAnsi="Arial" w:cs="Arial"/>
        </w:rPr>
      </w:pPr>
      <w:r w:rsidRPr="00586786">
        <w:rPr>
          <w:rFonts w:ascii="Arial" w:hAnsi="Arial" w:cs="Arial"/>
        </w:rPr>
        <w:t>67.</w:t>
      </w:r>
      <w:r w:rsidRPr="00586786">
        <w:rPr>
          <w:rFonts w:ascii="Arial" w:hAnsi="Arial" w:cs="Arial"/>
        </w:rPr>
        <w:tab/>
        <w:t xml:space="preserve">Foster JM, Van Sonderen E, Lee AJ, Sanderman R, Dijkstra A, Postma DS, et al. A self-rating scale for patient-perceived side effects of inhaled corticosteroids. Respir Res. 2006 Dec;7(1):131. </w:t>
      </w:r>
    </w:p>
    <w:p w14:paraId="523D7C48" w14:textId="77777777" w:rsidR="00386695" w:rsidRPr="00586786" w:rsidRDefault="00386695" w:rsidP="00586786">
      <w:pPr>
        <w:pStyle w:val="Bibliography"/>
        <w:spacing w:line="360" w:lineRule="auto"/>
        <w:rPr>
          <w:rFonts w:ascii="Arial" w:hAnsi="Arial" w:cs="Arial"/>
        </w:rPr>
      </w:pPr>
      <w:r w:rsidRPr="00586786">
        <w:rPr>
          <w:rFonts w:ascii="Arial" w:hAnsi="Arial" w:cs="Arial"/>
        </w:rPr>
        <w:t>68.</w:t>
      </w:r>
      <w:r w:rsidRPr="00586786">
        <w:rPr>
          <w:rFonts w:ascii="Arial" w:hAnsi="Arial" w:cs="Arial"/>
        </w:rPr>
        <w:tab/>
        <w:t xml:space="preserve">Lian KC, Lang TF, Keyak JH, Modin GW, Rehman Q, Do L, et al. Differences in hip quantitative computed tomography (QCT) measurements of bone mineral density and bone strength between glucocorticoid-treated and glucocorticoid-naïve postmenopausal women. Osteoporos Int. 2005 June;16(6):642–50. </w:t>
      </w:r>
    </w:p>
    <w:p w14:paraId="1BD5C820" w14:textId="77777777" w:rsidR="00386695" w:rsidRPr="00586786" w:rsidRDefault="00386695" w:rsidP="00586786">
      <w:pPr>
        <w:pStyle w:val="Bibliography"/>
        <w:spacing w:line="360" w:lineRule="auto"/>
        <w:rPr>
          <w:rFonts w:ascii="Arial" w:hAnsi="Arial" w:cs="Arial"/>
        </w:rPr>
      </w:pPr>
      <w:r w:rsidRPr="00586786">
        <w:rPr>
          <w:rFonts w:ascii="Arial" w:hAnsi="Arial" w:cs="Arial"/>
        </w:rPr>
        <w:t>69.</w:t>
      </w:r>
      <w:r w:rsidRPr="00586786">
        <w:rPr>
          <w:rFonts w:ascii="Arial" w:hAnsi="Arial" w:cs="Arial"/>
        </w:rPr>
        <w:tab/>
        <w:t xml:space="preserve">Bolanos SH, Khan DA, Hanczyc M, Bauer MS, Dhanani N, Brown ES. Assessment of mood states in patients receiving long-term corticosteroid therapy </w:t>
      </w:r>
      <w:r w:rsidRPr="00586786">
        <w:rPr>
          <w:rFonts w:ascii="Arial" w:hAnsi="Arial" w:cs="Arial"/>
        </w:rPr>
        <w:lastRenderedPageBreak/>
        <w:t xml:space="preserve">and in controls with patient-rated and clinician-rated scales. Ann Allergy Asthma Immunol. 2004 May;92(5):500–5. </w:t>
      </w:r>
    </w:p>
    <w:p w14:paraId="736B31AA" w14:textId="77777777" w:rsidR="00386695" w:rsidRPr="00586786" w:rsidRDefault="00386695" w:rsidP="00586786">
      <w:pPr>
        <w:pStyle w:val="Bibliography"/>
        <w:spacing w:line="360" w:lineRule="auto"/>
        <w:rPr>
          <w:rFonts w:ascii="Arial" w:hAnsi="Arial" w:cs="Arial"/>
        </w:rPr>
      </w:pPr>
      <w:r w:rsidRPr="00586786">
        <w:rPr>
          <w:rFonts w:ascii="Arial" w:hAnsi="Arial" w:cs="Arial"/>
        </w:rPr>
        <w:t>70.</w:t>
      </w:r>
      <w:r w:rsidRPr="00586786">
        <w:rPr>
          <w:rFonts w:ascii="Arial" w:hAnsi="Arial" w:cs="Arial"/>
        </w:rPr>
        <w:tab/>
        <w:t xml:space="preserve">Bachert C, Lukat K </w:t>
      </w:r>
      <w:r w:rsidRPr="00586786">
        <w:rPr>
          <w:rFonts w:ascii="Cambria Math" w:hAnsi="Cambria Math" w:cs="Cambria Math"/>
        </w:rPr>
        <w:t>‐</w:t>
      </w:r>
      <w:r w:rsidRPr="00586786">
        <w:rPr>
          <w:rFonts w:ascii="Arial" w:hAnsi="Arial" w:cs="Arial"/>
        </w:rPr>
        <w:t>F., Lange B. Effect of intranasal fluticasone propionate and triamcinolone acetonide on basal and dynamic measures of hypothalamic–pituitary–adrenal</w:t>
      </w:r>
      <w:r w:rsidRPr="00586786">
        <w:rPr>
          <w:rFonts w:ascii="Cambria Math" w:hAnsi="Cambria Math" w:cs="Cambria Math"/>
        </w:rPr>
        <w:t>‐</w:t>
      </w:r>
      <w:r w:rsidRPr="00586786">
        <w:rPr>
          <w:rFonts w:ascii="Arial" w:hAnsi="Arial" w:cs="Arial"/>
        </w:rPr>
        <w:t xml:space="preserve">axis activity in healthy volunteers. Clin Exp Allergy. 2004 Jan;34(1):85–90. </w:t>
      </w:r>
    </w:p>
    <w:p w14:paraId="725D2FE1" w14:textId="77777777" w:rsidR="00386695" w:rsidRPr="00586786" w:rsidRDefault="00386695" w:rsidP="00586786">
      <w:pPr>
        <w:pStyle w:val="Bibliography"/>
        <w:spacing w:line="360" w:lineRule="auto"/>
        <w:rPr>
          <w:rFonts w:ascii="Arial" w:hAnsi="Arial" w:cs="Arial"/>
        </w:rPr>
      </w:pPr>
      <w:r w:rsidRPr="00586786">
        <w:rPr>
          <w:rFonts w:ascii="Arial" w:hAnsi="Arial" w:cs="Arial"/>
        </w:rPr>
        <w:t>71.</w:t>
      </w:r>
      <w:r w:rsidRPr="00586786">
        <w:rPr>
          <w:rFonts w:ascii="Arial" w:hAnsi="Arial" w:cs="Arial"/>
        </w:rPr>
        <w:tab/>
        <w:t xml:space="preserve">Oliveri B, Di Gregorio S, Parisi MS, Solís F, Mautalen C. Is ultrasound of bone relevant for corticosteroid-treated patients? A comparative study with bone densitometry measured by DEXA. Joint Bone Spine. 2003 Feb;70(1):46–51. </w:t>
      </w:r>
    </w:p>
    <w:p w14:paraId="7C02C4F1" w14:textId="77777777" w:rsidR="00386695" w:rsidRPr="00586786" w:rsidRDefault="00386695" w:rsidP="00586786">
      <w:pPr>
        <w:pStyle w:val="Bibliography"/>
        <w:spacing w:line="360" w:lineRule="auto"/>
        <w:rPr>
          <w:rFonts w:ascii="Arial" w:hAnsi="Arial" w:cs="Arial"/>
        </w:rPr>
      </w:pPr>
      <w:r w:rsidRPr="00586786">
        <w:rPr>
          <w:rFonts w:ascii="Arial" w:hAnsi="Arial" w:cs="Arial"/>
        </w:rPr>
        <w:t>72.</w:t>
      </w:r>
      <w:r w:rsidRPr="00586786">
        <w:rPr>
          <w:rFonts w:ascii="Arial" w:hAnsi="Arial" w:cs="Arial"/>
        </w:rPr>
        <w:tab/>
        <w:t xml:space="preserve">Desrame J, Sabate J, Agher R, Bremont C, Gaudric M, Couturier D, et al. Assessment of Hypothalamic-Pituitary-Adrenal Axis Function After Corticosteroid Therapy in Inﬂammatory Bowel Disease. Am J Gastroenterol. 2002;97(7):1785–91. </w:t>
      </w:r>
    </w:p>
    <w:p w14:paraId="114A5BA6" w14:textId="77777777" w:rsidR="00386695" w:rsidRPr="00586786" w:rsidRDefault="00386695" w:rsidP="00586786">
      <w:pPr>
        <w:pStyle w:val="Bibliography"/>
        <w:spacing w:line="360" w:lineRule="auto"/>
        <w:rPr>
          <w:rFonts w:ascii="Arial" w:hAnsi="Arial" w:cs="Arial"/>
        </w:rPr>
      </w:pPr>
      <w:r w:rsidRPr="00586786">
        <w:rPr>
          <w:rFonts w:ascii="Arial" w:hAnsi="Arial" w:cs="Arial"/>
        </w:rPr>
        <w:t>73.</w:t>
      </w:r>
      <w:r w:rsidRPr="00586786">
        <w:rPr>
          <w:rFonts w:ascii="Arial" w:hAnsi="Arial" w:cs="Arial"/>
        </w:rPr>
        <w:tab/>
        <w:t xml:space="preserve">Patel RS, Wallace AM, Hinnie J, McGarry GW. Preliminary results of a pilot study investigating the potential of salivary cortisol measurements to detect occult adrenal suppression secondary to steroid nose drops. Clin Otolaryngol Allied Sci. 2001 June;26(3):231–4. </w:t>
      </w:r>
    </w:p>
    <w:p w14:paraId="6CAA99C9" w14:textId="77777777" w:rsidR="00386695" w:rsidRPr="00586786" w:rsidRDefault="00386695" w:rsidP="00586786">
      <w:pPr>
        <w:pStyle w:val="Bibliography"/>
        <w:spacing w:line="360" w:lineRule="auto"/>
        <w:rPr>
          <w:rFonts w:ascii="Arial" w:hAnsi="Arial" w:cs="Arial"/>
        </w:rPr>
      </w:pPr>
      <w:r w:rsidRPr="00586786">
        <w:rPr>
          <w:rFonts w:ascii="Arial" w:hAnsi="Arial" w:cs="Arial"/>
        </w:rPr>
        <w:t>74.</w:t>
      </w:r>
      <w:r w:rsidRPr="00586786">
        <w:rPr>
          <w:rFonts w:ascii="Arial" w:hAnsi="Arial" w:cs="Arial"/>
        </w:rPr>
        <w:tab/>
        <w:t xml:space="preserve">Brown ES, Bauer MS, Suppes T, Khan DA, Carmody T. Comparison of the internal state scale to clinician-administered scales in asthma patients receiving corticosteroid therapy. Gen Hosp Psychiatry. 2000 May;22(3):180–3. </w:t>
      </w:r>
    </w:p>
    <w:p w14:paraId="67DAB3D8" w14:textId="77777777" w:rsidR="00386695" w:rsidRPr="00586786" w:rsidRDefault="00386695" w:rsidP="00586786">
      <w:pPr>
        <w:pStyle w:val="Bibliography"/>
        <w:spacing w:line="360" w:lineRule="auto"/>
        <w:rPr>
          <w:rFonts w:ascii="Arial" w:hAnsi="Arial" w:cs="Arial"/>
        </w:rPr>
      </w:pPr>
      <w:r w:rsidRPr="00586786">
        <w:rPr>
          <w:rFonts w:ascii="Arial" w:hAnsi="Arial" w:cs="Arial"/>
        </w:rPr>
        <w:t>75.</w:t>
      </w:r>
      <w:r w:rsidRPr="00586786">
        <w:rPr>
          <w:rFonts w:ascii="Arial" w:hAnsi="Arial" w:cs="Arial"/>
        </w:rPr>
        <w:tab/>
        <w:t xml:space="preserve">Gellner R, Stange M, Schiemann U, Domschke W, Hengst K. CRH test prior to discontinuation of long-term low-dose glucocorticoid therapy.pdf. Endocrinol Diabetes. 1999;107:561–7. </w:t>
      </w:r>
    </w:p>
    <w:p w14:paraId="4C326106" w14:textId="77777777" w:rsidR="00386695" w:rsidRPr="00586786" w:rsidRDefault="00386695" w:rsidP="00586786">
      <w:pPr>
        <w:pStyle w:val="Bibliography"/>
        <w:spacing w:line="360" w:lineRule="auto"/>
        <w:rPr>
          <w:rFonts w:ascii="Arial" w:hAnsi="Arial" w:cs="Arial"/>
        </w:rPr>
      </w:pPr>
      <w:r w:rsidRPr="00586786">
        <w:rPr>
          <w:rFonts w:ascii="Arial" w:hAnsi="Arial" w:cs="Arial"/>
        </w:rPr>
        <w:t>76.</w:t>
      </w:r>
      <w:r w:rsidRPr="00586786">
        <w:rPr>
          <w:rFonts w:ascii="Arial" w:hAnsi="Arial" w:cs="Arial"/>
        </w:rPr>
        <w:tab/>
        <w:t xml:space="preserve">Daens S, Peretz A, De Maertelaer V, Moris M, Bergmann P. Efficiency of Quantitative Ultrasound Measurements as Compared with Dual-Energy X-ray Absorptiometry in the Assessment of Corticosteroid-Induced Bone Impairment. Osteoporos Int. 1999 Sept 1;10(4):278–83. </w:t>
      </w:r>
    </w:p>
    <w:p w14:paraId="43C1112D" w14:textId="77777777" w:rsidR="00386695" w:rsidRPr="00586786" w:rsidRDefault="00386695" w:rsidP="00586786">
      <w:pPr>
        <w:pStyle w:val="Bibliography"/>
        <w:spacing w:line="360" w:lineRule="auto"/>
        <w:rPr>
          <w:rFonts w:ascii="Arial" w:hAnsi="Arial" w:cs="Arial"/>
        </w:rPr>
      </w:pPr>
      <w:r w:rsidRPr="00586786">
        <w:rPr>
          <w:rFonts w:ascii="Arial" w:hAnsi="Arial" w:cs="Arial"/>
        </w:rPr>
        <w:t>77.</w:t>
      </w:r>
      <w:r w:rsidRPr="00586786">
        <w:rPr>
          <w:rFonts w:ascii="Arial" w:hAnsi="Arial" w:cs="Arial"/>
        </w:rPr>
        <w:tab/>
        <w:t xml:space="preserve">Kubo T, Fujioka M, Yamazoe S, Yoshimura N, Oka T, Ushijima Y, et al. Relationship between steroid dosage and osteonecrosis of the femoral head after </w:t>
      </w:r>
      <w:r w:rsidRPr="00586786">
        <w:rPr>
          <w:rFonts w:ascii="Arial" w:hAnsi="Arial" w:cs="Arial"/>
        </w:rPr>
        <w:lastRenderedPageBreak/>
        <w:t xml:space="preserve">renal transplantation as measured by magnetic resonance imaging. Transplant Proc. 1998 Nov;30(7):3039–40. </w:t>
      </w:r>
    </w:p>
    <w:p w14:paraId="60BCB7B3" w14:textId="77777777" w:rsidR="00386695" w:rsidRPr="00586786" w:rsidRDefault="00386695" w:rsidP="00586786">
      <w:pPr>
        <w:pStyle w:val="Bibliography"/>
        <w:spacing w:line="360" w:lineRule="auto"/>
        <w:rPr>
          <w:rFonts w:ascii="Arial" w:hAnsi="Arial" w:cs="Arial"/>
        </w:rPr>
      </w:pPr>
      <w:r w:rsidRPr="00586786">
        <w:rPr>
          <w:rFonts w:ascii="Arial" w:hAnsi="Arial" w:cs="Arial"/>
        </w:rPr>
        <w:t>78.</w:t>
      </w:r>
      <w:r w:rsidRPr="00586786">
        <w:rPr>
          <w:rFonts w:ascii="Arial" w:hAnsi="Arial" w:cs="Arial"/>
        </w:rPr>
        <w:tab/>
        <w:t xml:space="preserve">Blanckaert F, Cortet B, Coquerelle P, Flipo R, Duquesnoy B, Marchandise X, et al. Contribution of calcaneal ultrasonic assessment to the evaluation of postmenopausal and glucocorticoid-induced osteoporosis. Rev Rhum. 1997;64(5):305–13. </w:t>
      </w:r>
    </w:p>
    <w:p w14:paraId="42E02B63" w14:textId="77777777" w:rsidR="00386695" w:rsidRPr="00586786" w:rsidRDefault="00386695" w:rsidP="00586786">
      <w:pPr>
        <w:pStyle w:val="Bibliography"/>
        <w:spacing w:line="360" w:lineRule="auto"/>
        <w:rPr>
          <w:rFonts w:ascii="Arial" w:hAnsi="Arial" w:cs="Arial"/>
        </w:rPr>
      </w:pPr>
      <w:r w:rsidRPr="00586786">
        <w:rPr>
          <w:rFonts w:ascii="Arial" w:hAnsi="Arial" w:cs="Arial"/>
        </w:rPr>
        <w:t>79.</w:t>
      </w:r>
      <w:r w:rsidRPr="00586786">
        <w:rPr>
          <w:rFonts w:ascii="Arial" w:hAnsi="Arial" w:cs="Arial"/>
        </w:rPr>
        <w:tab/>
        <w:t xml:space="preserve">Felder M, Ruegsegger P. Bone loss in patients with rheumatoid arthritis ? effect of steroids measured by low dose quantitative computed tomography. Rheumatol Int. 1991 May;11(1):41–4. </w:t>
      </w:r>
    </w:p>
    <w:p w14:paraId="2CED5B3E" w14:textId="77777777" w:rsidR="00386695" w:rsidRPr="00586786" w:rsidRDefault="00386695" w:rsidP="00586786">
      <w:pPr>
        <w:pStyle w:val="Bibliography"/>
        <w:spacing w:line="360" w:lineRule="auto"/>
        <w:rPr>
          <w:rFonts w:ascii="Arial" w:hAnsi="Arial" w:cs="Arial"/>
        </w:rPr>
      </w:pPr>
      <w:r w:rsidRPr="00586786">
        <w:rPr>
          <w:rFonts w:ascii="Arial" w:hAnsi="Arial" w:cs="Arial"/>
        </w:rPr>
        <w:t>80.</w:t>
      </w:r>
      <w:r w:rsidRPr="00586786">
        <w:rPr>
          <w:rFonts w:ascii="Arial" w:hAnsi="Arial" w:cs="Arial"/>
        </w:rPr>
        <w:tab/>
        <w:t xml:space="preserve">Dhillon VB, Davies MC, Hall ML, Round JM, Ell PJ, Jacobs HS, et al. Assessment of the effect of oral corticosteroids on bone mineral density in systemic lupus erythematosus: a preliminary study with dual energy x ray absorptiometry. Ann Rheum Dis. 1990 Aug 1;49(8):624–6. </w:t>
      </w:r>
    </w:p>
    <w:p w14:paraId="28D2310B" w14:textId="77777777" w:rsidR="00386695" w:rsidRPr="00586786" w:rsidRDefault="00386695" w:rsidP="00586786">
      <w:pPr>
        <w:pStyle w:val="Bibliography"/>
        <w:spacing w:line="360" w:lineRule="auto"/>
        <w:rPr>
          <w:rFonts w:ascii="Arial" w:hAnsi="Arial" w:cs="Arial"/>
        </w:rPr>
      </w:pPr>
      <w:r w:rsidRPr="00586786">
        <w:rPr>
          <w:rFonts w:ascii="Arial" w:hAnsi="Arial" w:cs="Arial"/>
        </w:rPr>
        <w:t>81.</w:t>
      </w:r>
      <w:r w:rsidRPr="00586786">
        <w:rPr>
          <w:rFonts w:ascii="Arial" w:hAnsi="Arial" w:cs="Arial"/>
        </w:rPr>
        <w:tab/>
        <w:t xml:space="preserve">Peretz A, Praet J, Bosson D, Rozenberg S, Bourdoux P. Serum osteocalcin in the assessment of corticosteroid induced osteoporosis. Effect of long and short term corticosteroid treatment.pdf. J Rheumatol. 1989;16:363–7. </w:t>
      </w:r>
    </w:p>
    <w:p w14:paraId="22B02C78" w14:textId="77777777" w:rsidR="00386695" w:rsidRPr="00586786" w:rsidRDefault="00386695" w:rsidP="00586786">
      <w:pPr>
        <w:pStyle w:val="Bibliography"/>
        <w:spacing w:line="360" w:lineRule="auto"/>
        <w:rPr>
          <w:rFonts w:ascii="Arial" w:hAnsi="Arial" w:cs="Arial"/>
        </w:rPr>
      </w:pPr>
      <w:r w:rsidRPr="00586786">
        <w:rPr>
          <w:rFonts w:ascii="Arial" w:hAnsi="Arial" w:cs="Arial"/>
        </w:rPr>
        <w:t>82.</w:t>
      </w:r>
      <w:r w:rsidRPr="00586786">
        <w:rPr>
          <w:rFonts w:ascii="Arial" w:hAnsi="Arial" w:cs="Arial"/>
        </w:rPr>
        <w:tab/>
        <w:t xml:space="preserve">Canafax DM, Mann H, Sutherland D, Simmons R, Najarian J. The use of a cosyntropin stimulation test to predict adrenal suppression in renal transplant patients being withdrawn from prednisone. Transplantation. 1983;36(2):143–6. </w:t>
      </w:r>
    </w:p>
    <w:p w14:paraId="5BA6B748" w14:textId="77777777" w:rsidR="00386695" w:rsidRPr="00586786" w:rsidRDefault="00386695" w:rsidP="00586786">
      <w:pPr>
        <w:pStyle w:val="Bibliography"/>
        <w:spacing w:line="360" w:lineRule="auto"/>
        <w:rPr>
          <w:rFonts w:ascii="Arial" w:hAnsi="Arial" w:cs="Arial"/>
        </w:rPr>
      </w:pPr>
      <w:r w:rsidRPr="00586786">
        <w:rPr>
          <w:rFonts w:ascii="Arial" w:hAnsi="Arial" w:cs="Arial"/>
        </w:rPr>
        <w:t>83.</w:t>
      </w:r>
      <w:r w:rsidRPr="00586786">
        <w:rPr>
          <w:rFonts w:ascii="Arial" w:hAnsi="Arial" w:cs="Arial"/>
        </w:rPr>
        <w:tab/>
        <w:t xml:space="preserve">Droszcz W, Malunowicz E, Lech B, Krawczynska H, Madalinska M. Assessment of adrenocortical function in asthmatic patients on long-term triamcinolone acetonide treatment. Ann Allergy. 1979 Jan;42:41–3. </w:t>
      </w:r>
    </w:p>
    <w:p w14:paraId="25D22E22" w14:textId="77777777" w:rsidR="00386695" w:rsidRPr="00586786" w:rsidRDefault="00386695" w:rsidP="00586786">
      <w:pPr>
        <w:pStyle w:val="Bibliography"/>
        <w:spacing w:line="360" w:lineRule="auto"/>
        <w:rPr>
          <w:rFonts w:ascii="Arial" w:hAnsi="Arial" w:cs="Arial"/>
        </w:rPr>
      </w:pPr>
      <w:r w:rsidRPr="00586786">
        <w:rPr>
          <w:rFonts w:ascii="Arial" w:hAnsi="Arial" w:cs="Arial"/>
        </w:rPr>
        <w:t>84.</w:t>
      </w:r>
      <w:r w:rsidRPr="00586786">
        <w:rPr>
          <w:rFonts w:ascii="Arial" w:hAnsi="Arial" w:cs="Arial"/>
        </w:rPr>
        <w:tab/>
        <w:t xml:space="preserve">McAllen MK, Kochanowski SJ, Shaw KM. Steroid Aerosols in Asthma: An Assessment of Betamethasone Valerate and a 12-month Study of Patients on Maintenance Treatment. BMJ. 1974 Feb 2;1(5900):171–5. </w:t>
      </w:r>
    </w:p>
    <w:p w14:paraId="0B409430" w14:textId="77777777" w:rsidR="00386695" w:rsidRPr="00586786" w:rsidRDefault="00386695" w:rsidP="00586786">
      <w:pPr>
        <w:pStyle w:val="Bibliography"/>
        <w:spacing w:line="360" w:lineRule="auto"/>
        <w:rPr>
          <w:rFonts w:ascii="Arial" w:hAnsi="Arial" w:cs="Arial"/>
        </w:rPr>
      </w:pPr>
      <w:r w:rsidRPr="00586786">
        <w:rPr>
          <w:rFonts w:ascii="Arial" w:hAnsi="Arial" w:cs="Arial"/>
        </w:rPr>
        <w:t>85.</w:t>
      </w:r>
      <w:r w:rsidRPr="00586786">
        <w:rPr>
          <w:rFonts w:ascii="Arial" w:hAnsi="Arial" w:cs="Arial"/>
        </w:rPr>
        <w:tab/>
        <w:t xml:space="preserve">Smyllie HC, Connolly CK. Incidence of serious complications of corticosteroid therapy in respiratory disease: A retrospective survey of patients in the Brompton Hospital. Thorax. 1968 Nov 1;23(6):571–81. </w:t>
      </w:r>
    </w:p>
    <w:p w14:paraId="7502DE7D" w14:textId="4781B401" w:rsidR="007300F4" w:rsidRPr="00586786" w:rsidRDefault="00853175" w:rsidP="00586786">
      <w:pPr>
        <w:pStyle w:val="Bibliography"/>
        <w:spacing w:line="360" w:lineRule="auto"/>
        <w:rPr>
          <w:rFonts w:ascii="Arial" w:hAnsi="Arial" w:cs="Arial"/>
          <w:lang w:val="en-AU"/>
        </w:rPr>
      </w:pPr>
      <w:r w:rsidRPr="00586786">
        <w:rPr>
          <w:rFonts w:ascii="Arial" w:hAnsi="Arial" w:cs="Arial"/>
        </w:rPr>
        <w:lastRenderedPageBreak/>
        <w:fldChar w:fldCharType="end"/>
      </w:r>
    </w:p>
    <w:sectPr w:rsidR="007300F4" w:rsidRPr="00586786" w:rsidSect="00354D64">
      <w:headerReference w:type="even" r:id="rId9"/>
      <w:footerReference w:type="even" r:id="rId10"/>
      <w:footerReference w:type="default" r:id="rId11"/>
      <w:headerReference w:type="first" r:id="rId12"/>
      <w:footerReference w:type="firs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E2AB3" w14:textId="77777777" w:rsidR="009E7344" w:rsidRDefault="009E7344" w:rsidP="00586786">
      <w:r>
        <w:separator/>
      </w:r>
    </w:p>
  </w:endnote>
  <w:endnote w:type="continuationSeparator" w:id="0">
    <w:p w14:paraId="4EDB06BE" w14:textId="77777777" w:rsidR="009E7344" w:rsidRDefault="009E7344" w:rsidP="00586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9C7E" w14:textId="323461F0" w:rsidR="00586786" w:rsidRDefault="00F718BB" w:rsidP="00586786">
    <w:pPr>
      <w:pStyle w:val="Footer"/>
      <w:framePr w:wrap="none" w:vAnchor="text" w:hAnchor="margin" w:xAlign="right" w:y="1"/>
      <w:rPr>
        <w:rStyle w:val="PageNumber"/>
      </w:rPr>
    </w:pPr>
    <w:r>
      <w:rPr>
        <w:noProof/>
      </w:rPr>
      <mc:AlternateContent>
        <mc:Choice Requires="wps">
          <w:drawing>
            <wp:anchor distT="0" distB="0" distL="0" distR="0" simplePos="0" relativeHeight="251662336" behindDoc="0" locked="0" layoutInCell="1" allowOverlap="1" wp14:anchorId="1E9DFD78" wp14:editId="3416DD6A">
              <wp:simplePos x="635" y="635"/>
              <wp:positionH relativeFrom="page">
                <wp:align>center</wp:align>
              </wp:positionH>
              <wp:positionV relativeFrom="page">
                <wp:align>bottom</wp:align>
              </wp:positionV>
              <wp:extent cx="443865" cy="443865"/>
              <wp:effectExtent l="0" t="0" r="1270" b="0"/>
              <wp:wrapNone/>
              <wp:docPr id="5" name="Text Box 5" descr="OFFICIAL: Sensitiv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51CBCEC" w14:textId="6A88A6F0" w:rsidR="00F718BB" w:rsidRPr="00F718BB" w:rsidRDefault="00F718BB" w:rsidP="00F718BB">
                          <w:pPr>
                            <w:rPr>
                              <w:rFonts w:ascii="Arial" w:eastAsia="Arial" w:hAnsi="Arial" w:cs="Arial"/>
                              <w:noProof/>
                              <w:color w:val="A80000"/>
                            </w:rPr>
                          </w:pPr>
                          <w:r w:rsidRPr="00F718BB">
                            <w:rPr>
                              <w:rFonts w:ascii="Arial" w:eastAsia="Arial" w:hAnsi="Arial" w:cs="Arial"/>
                              <w:noProof/>
                              <w:color w:val="A80000"/>
                            </w:rPr>
                            <w:t xml:space="preserve">OFFICIAL: Sensitive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9DFD78" id="_x0000_t202" coordsize="21600,21600" o:spt="202" path="m,l,21600r21600,l21600,xe">
              <v:stroke joinstyle="miter"/>
              <v:path gradientshapeok="t" o:connecttype="rect"/>
            </v:shapetype>
            <v:shape id="Text Box 5" o:spid="_x0000_s1028" type="#_x0000_t202" alt="OFFICIAL: Sensitive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751CBCEC" w14:textId="6A88A6F0" w:rsidR="00F718BB" w:rsidRPr="00F718BB" w:rsidRDefault="00F718BB" w:rsidP="00F718BB">
                    <w:pPr>
                      <w:rPr>
                        <w:rFonts w:ascii="Arial" w:eastAsia="Arial" w:hAnsi="Arial" w:cs="Arial"/>
                        <w:noProof/>
                        <w:color w:val="A80000"/>
                      </w:rPr>
                    </w:pPr>
                    <w:r w:rsidRPr="00F718BB">
                      <w:rPr>
                        <w:rFonts w:ascii="Arial" w:eastAsia="Arial" w:hAnsi="Arial" w:cs="Arial"/>
                        <w:noProof/>
                        <w:color w:val="A80000"/>
                      </w:rPr>
                      <w:t xml:space="preserve">OFFICIAL: Sensitive </w:t>
                    </w:r>
                  </w:p>
                </w:txbxContent>
              </v:textbox>
              <w10:wrap anchorx="page" anchory="page"/>
            </v:shape>
          </w:pict>
        </mc:Fallback>
      </mc:AlternateContent>
    </w:r>
  </w:p>
  <w:sdt>
    <w:sdtPr>
      <w:rPr>
        <w:rStyle w:val="PageNumber"/>
      </w:rPr>
      <w:id w:val="-796296591"/>
      <w:docPartObj>
        <w:docPartGallery w:val="Page Numbers (Bottom of Page)"/>
        <w:docPartUnique/>
      </w:docPartObj>
    </w:sdtPr>
    <w:sdtContent>
      <w:p w14:paraId="743B2644" w14:textId="77777777" w:rsidR="00586786" w:rsidRDefault="00586786" w:rsidP="005867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20835B2" w14:textId="77777777" w:rsidR="00586786" w:rsidRDefault="00586786" w:rsidP="005867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BA021" w14:textId="5E5C0060" w:rsidR="00586786" w:rsidRPr="00586786" w:rsidRDefault="00F718BB" w:rsidP="00586786">
    <w:pPr>
      <w:pStyle w:val="Footer"/>
      <w:framePr w:wrap="none" w:vAnchor="text" w:hAnchor="margin" w:xAlign="right" w:y="1"/>
      <w:rPr>
        <w:rStyle w:val="PageNumber"/>
        <w:rFonts w:ascii="Arial" w:hAnsi="Arial" w:cs="Arial"/>
      </w:rPr>
    </w:pPr>
    <w:r>
      <w:rPr>
        <w:rFonts w:ascii="Arial" w:hAnsi="Arial" w:cs="Arial"/>
        <w:noProof/>
      </w:rPr>
      <mc:AlternateContent>
        <mc:Choice Requires="wps">
          <w:drawing>
            <wp:anchor distT="0" distB="0" distL="0" distR="0" simplePos="0" relativeHeight="251663360" behindDoc="0" locked="0" layoutInCell="1" allowOverlap="1" wp14:anchorId="0A873A05" wp14:editId="7D2BDAC8">
              <wp:simplePos x="6553200" y="10067925"/>
              <wp:positionH relativeFrom="page">
                <wp:align>center</wp:align>
              </wp:positionH>
              <wp:positionV relativeFrom="page">
                <wp:align>bottom</wp:align>
              </wp:positionV>
              <wp:extent cx="443865" cy="443865"/>
              <wp:effectExtent l="0" t="0" r="1270" b="0"/>
              <wp:wrapNone/>
              <wp:docPr id="6" name="Text Box 6" descr="OFFICIAL: Sensitiv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A5A1BE0" w14:textId="4DEC4348" w:rsidR="00F718BB" w:rsidRPr="00F718BB" w:rsidRDefault="00F718BB" w:rsidP="00F718BB">
                          <w:pPr>
                            <w:rPr>
                              <w:rFonts w:ascii="Arial" w:eastAsia="Arial" w:hAnsi="Arial" w:cs="Arial"/>
                              <w:noProof/>
                              <w:color w:val="A80000"/>
                            </w:rPr>
                          </w:pPr>
                          <w:r w:rsidRPr="00F718BB">
                            <w:rPr>
                              <w:rFonts w:ascii="Arial" w:eastAsia="Arial" w:hAnsi="Arial" w:cs="Arial"/>
                              <w:noProof/>
                              <w:color w:val="A80000"/>
                            </w:rPr>
                            <w:t xml:space="preserve">OFFICIAL: Sensitive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873A05" id="_x0000_t202" coordsize="21600,21600" o:spt="202" path="m,l,21600r21600,l21600,xe">
              <v:stroke joinstyle="miter"/>
              <v:path gradientshapeok="t" o:connecttype="rect"/>
            </v:shapetype>
            <v:shape id="Text Box 6" o:spid="_x0000_s1029" type="#_x0000_t202" alt="OFFICIAL: Sensitive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5A5A1BE0" w14:textId="4DEC4348" w:rsidR="00F718BB" w:rsidRPr="00F718BB" w:rsidRDefault="00F718BB" w:rsidP="00F718BB">
                    <w:pPr>
                      <w:rPr>
                        <w:rFonts w:ascii="Arial" w:eastAsia="Arial" w:hAnsi="Arial" w:cs="Arial"/>
                        <w:noProof/>
                        <w:color w:val="A80000"/>
                      </w:rPr>
                    </w:pPr>
                    <w:r w:rsidRPr="00F718BB">
                      <w:rPr>
                        <w:rFonts w:ascii="Arial" w:eastAsia="Arial" w:hAnsi="Arial" w:cs="Arial"/>
                        <w:noProof/>
                        <w:color w:val="A80000"/>
                      </w:rPr>
                      <w:t xml:space="preserve">OFFICIAL: Sensitive </w:t>
                    </w:r>
                  </w:p>
                </w:txbxContent>
              </v:textbox>
              <w10:wrap anchorx="page" anchory="page"/>
            </v:shape>
          </w:pict>
        </mc:Fallback>
      </mc:AlternateContent>
    </w:r>
    <w:sdt>
      <w:sdtPr>
        <w:rPr>
          <w:rStyle w:val="PageNumber"/>
          <w:rFonts w:ascii="Arial" w:hAnsi="Arial" w:cs="Arial"/>
        </w:rPr>
        <w:id w:val="-2120905304"/>
        <w:docPartObj>
          <w:docPartGallery w:val="Page Numbers (Bottom of Page)"/>
          <w:docPartUnique/>
        </w:docPartObj>
      </w:sdtPr>
      <w:sdtContent>
        <w:r w:rsidR="00586786" w:rsidRPr="00586786">
          <w:rPr>
            <w:rStyle w:val="PageNumber"/>
            <w:rFonts w:ascii="Arial" w:hAnsi="Arial" w:cs="Arial"/>
          </w:rPr>
          <w:fldChar w:fldCharType="begin"/>
        </w:r>
        <w:r w:rsidR="00586786" w:rsidRPr="00586786">
          <w:rPr>
            <w:rStyle w:val="PageNumber"/>
            <w:rFonts w:ascii="Arial" w:hAnsi="Arial" w:cs="Arial"/>
          </w:rPr>
          <w:instrText xml:space="preserve"> PAGE </w:instrText>
        </w:r>
        <w:r w:rsidR="00586786" w:rsidRPr="00586786">
          <w:rPr>
            <w:rStyle w:val="PageNumber"/>
            <w:rFonts w:ascii="Arial" w:hAnsi="Arial" w:cs="Arial"/>
          </w:rPr>
          <w:fldChar w:fldCharType="separate"/>
        </w:r>
        <w:r w:rsidR="00586786" w:rsidRPr="00586786">
          <w:rPr>
            <w:rStyle w:val="PageNumber"/>
            <w:rFonts w:ascii="Arial" w:hAnsi="Arial" w:cs="Arial"/>
            <w:noProof/>
          </w:rPr>
          <w:t>27</w:t>
        </w:r>
        <w:r w:rsidR="00586786" w:rsidRPr="00586786">
          <w:rPr>
            <w:rStyle w:val="PageNumber"/>
            <w:rFonts w:ascii="Arial" w:hAnsi="Arial" w:cs="Arial"/>
          </w:rPr>
          <w:fldChar w:fldCharType="end"/>
        </w:r>
      </w:sdtContent>
    </w:sdt>
  </w:p>
  <w:p w14:paraId="277D7B30" w14:textId="77777777" w:rsidR="00586786" w:rsidRPr="00586786" w:rsidRDefault="00586786" w:rsidP="00586786">
    <w:pPr>
      <w:pStyle w:val="Footer"/>
      <w:ind w:right="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E9007" w14:textId="7493FF33" w:rsidR="00F718BB" w:rsidRDefault="00F718BB">
    <w:pPr>
      <w:pStyle w:val="Footer"/>
    </w:pPr>
    <w:r>
      <w:rPr>
        <w:noProof/>
      </w:rPr>
      <mc:AlternateContent>
        <mc:Choice Requires="wps">
          <w:drawing>
            <wp:anchor distT="0" distB="0" distL="0" distR="0" simplePos="0" relativeHeight="251661312" behindDoc="0" locked="0" layoutInCell="1" allowOverlap="1" wp14:anchorId="6CB22EDA" wp14:editId="4BABFC14">
              <wp:simplePos x="635" y="635"/>
              <wp:positionH relativeFrom="page">
                <wp:align>center</wp:align>
              </wp:positionH>
              <wp:positionV relativeFrom="page">
                <wp:align>bottom</wp:align>
              </wp:positionV>
              <wp:extent cx="443865" cy="443865"/>
              <wp:effectExtent l="0" t="0" r="1270" b="0"/>
              <wp:wrapNone/>
              <wp:docPr id="4" name="Text Box 4" descr="OFFICIAL: Sensitiv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82500B2" w14:textId="4E98871A" w:rsidR="00F718BB" w:rsidRPr="00F718BB" w:rsidRDefault="00F718BB" w:rsidP="00F718BB">
                          <w:pPr>
                            <w:rPr>
                              <w:rFonts w:ascii="Arial" w:eastAsia="Arial" w:hAnsi="Arial" w:cs="Arial"/>
                              <w:noProof/>
                              <w:color w:val="A80000"/>
                            </w:rPr>
                          </w:pPr>
                          <w:r w:rsidRPr="00F718BB">
                            <w:rPr>
                              <w:rFonts w:ascii="Arial" w:eastAsia="Arial" w:hAnsi="Arial" w:cs="Arial"/>
                              <w:noProof/>
                              <w:color w:val="A80000"/>
                            </w:rPr>
                            <w:t xml:space="preserve">OFFICIAL: Sensitive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B22EDA" id="_x0000_t202" coordsize="21600,21600" o:spt="202" path="m,l,21600r21600,l21600,xe">
              <v:stroke joinstyle="miter"/>
              <v:path gradientshapeok="t" o:connecttype="rect"/>
            </v:shapetype>
            <v:shape id="Text Box 4" o:spid="_x0000_s1031" type="#_x0000_t202" alt="OFFICIAL: Sensitive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482500B2" w14:textId="4E98871A" w:rsidR="00F718BB" w:rsidRPr="00F718BB" w:rsidRDefault="00F718BB" w:rsidP="00F718BB">
                    <w:pPr>
                      <w:rPr>
                        <w:rFonts w:ascii="Arial" w:eastAsia="Arial" w:hAnsi="Arial" w:cs="Arial"/>
                        <w:noProof/>
                        <w:color w:val="A80000"/>
                      </w:rPr>
                    </w:pPr>
                    <w:r w:rsidRPr="00F718BB">
                      <w:rPr>
                        <w:rFonts w:ascii="Arial" w:eastAsia="Arial" w:hAnsi="Arial" w:cs="Arial"/>
                        <w:noProof/>
                        <w:color w:val="A80000"/>
                      </w:rPr>
                      <w:t xml:space="preserve">OFFICIAL: Sensitive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6303A" w14:textId="77777777" w:rsidR="009E7344" w:rsidRDefault="009E7344" w:rsidP="00586786">
      <w:r>
        <w:separator/>
      </w:r>
    </w:p>
  </w:footnote>
  <w:footnote w:type="continuationSeparator" w:id="0">
    <w:p w14:paraId="06360DCE" w14:textId="77777777" w:rsidR="009E7344" w:rsidRDefault="009E7344" w:rsidP="00586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E137" w14:textId="2F752D3C" w:rsidR="00F718BB" w:rsidRDefault="00F718BB">
    <w:pPr>
      <w:pStyle w:val="Header"/>
    </w:pPr>
    <w:r>
      <w:rPr>
        <w:noProof/>
      </w:rPr>
      <mc:AlternateContent>
        <mc:Choice Requires="wps">
          <w:drawing>
            <wp:anchor distT="0" distB="0" distL="0" distR="0" simplePos="0" relativeHeight="251659264" behindDoc="0" locked="0" layoutInCell="1" allowOverlap="1" wp14:anchorId="3D552B77" wp14:editId="477C7F28">
              <wp:simplePos x="635" y="635"/>
              <wp:positionH relativeFrom="page">
                <wp:align>center</wp:align>
              </wp:positionH>
              <wp:positionV relativeFrom="page">
                <wp:align>top</wp:align>
              </wp:positionV>
              <wp:extent cx="443865" cy="443865"/>
              <wp:effectExtent l="0" t="0" r="1270" b="15240"/>
              <wp:wrapNone/>
              <wp:docPr id="2"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9DE8CA" w14:textId="5DF88C4F" w:rsidR="00F718BB" w:rsidRPr="00F718BB" w:rsidRDefault="00F718BB" w:rsidP="00F718BB">
                          <w:pPr>
                            <w:rPr>
                              <w:rFonts w:ascii="Arial" w:eastAsia="Arial" w:hAnsi="Arial" w:cs="Arial"/>
                              <w:noProof/>
                              <w:color w:val="A80000"/>
                            </w:rPr>
                          </w:pPr>
                          <w:r w:rsidRPr="00F718BB">
                            <w:rPr>
                              <w:rFonts w:ascii="Arial" w:eastAsia="Arial" w:hAnsi="Arial" w:cs="Arial"/>
                              <w:noProof/>
                              <w:color w:val="A8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552B77" id="_x0000_t202" coordsize="21600,21600" o:spt="202" path="m,l,21600r21600,l21600,xe">
              <v:stroke joinstyle="miter"/>
              <v:path gradientshapeok="t" o:connecttype="rect"/>
            </v:shapetype>
            <v:shape id="Text Box 2" o:spid="_x0000_s1026" type="#_x0000_t202" alt="OFFICIAL: Sensitive"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6D9DE8CA" w14:textId="5DF88C4F" w:rsidR="00F718BB" w:rsidRPr="00F718BB" w:rsidRDefault="00F718BB" w:rsidP="00F718BB">
                    <w:pPr>
                      <w:rPr>
                        <w:rFonts w:ascii="Arial" w:eastAsia="Arial" w:hAnsi="Arial" w:cs="Arial"/>
                        <w:noProof/>
                        <w:color w:val="A80000"/>
                      </w:rPr>
                    </w:pPr>
                    <w:r w:rsidRPr="00F718BB">
                      <w:rPr>
                        <w:rFonts w:ascii="Arial" w:eastAsia="Arial" w:hAnsi="Arial" w:cs="Arial"/>
                        <w:noProof/>
                        <w:color w:val="A80000"/>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D6C55" w14:textId="2B27DFAB" w:rsidR="00F718BB" w:rsidRDefault="00F718BB">
    <w:pPr>
      <w:pStyle w:val="Header"/>
    </w:pPr>
    <w:r>
      <w:rPr>
        <w:noProof/>
      </w:rPr>
      <mc:AlternateContent>
        <mc:Choice Requires="wps">
          <w:drawing>
            <wp:anchor distT="0" distB="0" distL="0" distR="0" simplePos="0" relativeHeight="251658240" behindDoc="0" locked="0" layoutInCell="1" allowOverlap="1" wp14:anchorId="33BC74A5" wp14:editId="6F8A2133">
              <wp:simplePos x="635" y="635"/>
              <wp:positionH relativeFrom="page">
                <wp:align>center</wp:align>
              </wp:positionH>
              <wp:positionV relativeFrom="page">
                <wp:align>top</wp:align>
              </wp:positionV>
              <wp:extent cx="443865" cy="443865"/>
              <wp:effectExtent l="0" t="0" r="1270" b="15240"/>
              <wp:wrapNone/>
              <wp:docPr id="1"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2715E6" w14:textId="7D7FEB92" w:rsidR="00F718BB" w:rsidRPr="00F718BB" w:rsidRDefault="00F718BB" w:rsidP="00F718BB">
                          <w:pPr>
                            <w:rPr>
                              <w:rFonts w:ascii="Arial" w:eastAsia="Arial" w:hAnsi="Arial" w:cs="Arial"/>
                              <w:noProof/>
                              <w:color w:val="A80000"/>
                            </w:rPr>
                          </w:pPr>
                          <w:r w:rsidRPr="00F718BB">
                            <w:rPr>
                              <w:rFonts w:ascii="Arial" w:eastAsia="Arial" w:hAnsi="Arial" w:cs="Arial"/>
                              <w:noProof/>
                              <w:color w:val="A8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BC74A5" id="_x0000_t202" coordsize="21600,21600" o:spt="202" path="m,l,21600r21600,l21600,xe">
              <v:stroke joinstyle="miter"/>
              <v:path gradientshapeok="t" o:connecttype="rect"/>
            </v:shapetype>
            <v:shape id="Text Box 1" o:spid="_x0000_s1030" type="#_x0000_t202" alt="OFFICIAL: Sensitiv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332715E6" w14:textId="7D7FEB92" w:rsidR="00F718BB" w:rsidRPr="00F718BB" w:rsidRDefault="00F718BB" w:rsidP="00F718BB">
                    <w:pPr>
                      <w:rPr>
                        <w:rFonts w:ascii="Arial" w:eastAsia="Arial" w:hAnsi="Arial" w:cs="Arial"/>
                        <w:noProof/>
                        <w:color w:val="A80000"/>
                      </w:rPr>
                    </w:pPr>
                    <w:r w:rsidRPr="00F718BB">
                      <w:rPr>
                        <w:rFonts w:ascii="Arial" w:eastAsia="Arial" w:hAnsi="Arial" w:cs="Arial"/>
                        <w:noProof/>
                        <w:color w:val="A80000"/>
                      </w:rPr>
                      <w:t>OFFICIAL: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2589"/>
    <w:multiLevelType w:val="hybridMultilevel"/>
    <w:tmpl w:val="898E9B68"/>
    <w:lvl w:ilvl="0" w:tplc="FF6EDCB4">
      <w:start w:val="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405087"/>
    <w:multiLevelType w:val="multilevel"/>
    <w:tmpl w:val="1F80D0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328479A"/>
    <w:multiLevelType w:val="multilevel"/>
    <w:tmpl w:val="43486C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575A7080"/>
    <w:multiLevelType w:val="hybridMultilevel"/>
    <w:tmpl w:val="74A45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28631E"/>
    <w:multiLevelType w:val="multilevel"/>
    <w:tmpl w:val="73DAE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8C6AC0"/>
    <w:multiLevelType w:val="hybridMultilevel"/>
    <w:tmpl w:val="6C7AF8C0"/>
    <w:lvl w:ilvl="0" w:tplc="C6E00C5C">
      <w:start w:val="202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D55E8A"/>
    <w:multiLevelType w:val="hybridMultilevel"/>
    <w:tmpl w:val="EDB60E5E"/>
    <w:lvl w:ilvl="0" w:tplc="00B46E5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2719378">
    <w:abstractNumId w:val="4"/>
  </w:num>
  <w:num w:numId="2" w16cid:durableId="1810434234">
    <w:abstractNumId w:val="6"/>
  </w:num>
  <w:num w:numId="3" w16cid:durableId="897667287">
    <w:abstractNumId w:val="0"/>
  </w:num>
  <w:num w:numId="4" w16cid:durableId="2096172171">
    <w:abstractNumId w:val="5"/>
  </w:num>
  <w:num w:numId="5" w16cid:durableId="945698528">
    <w:abstractNumId w:val="1"/>
  </w:num>
  <w:num w:numId="6" w16cid:durableId="1195657184">
    <w:abstractNumId w:val="2"/>
  </w:num>
  <w:num w:numId="7" w16cid:durableId="13354509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949"/>
    <w:rsid w:val="00006AD2"/>
    <w:rsid w:val="000229A3"/>
    <w:rsid w:val="00023CD2"/>
    <w:rsid w:val="0003019E"/>
    <w:rsid w:val="00032949"/>
    <w:rsid w:val="00032EF2"/>
    <w:rsid w:val="00040DEB"/>
    <w:rsid w:val="0004135B"/>
    <w:rsid w:val="00047833"/>
    <w:rsid w:val="000515D5"/>
    <w:rsid w:val="00054902"/>
    <w:rsid w:val="00055ADF"/>
    <w:rsid w:val="00056FFE"/>
    <w:rsid w:val="000604A8"/>
    <w:rsid w:val="00062B10"/>
    <w:rsid w:val="00064068"/>
    <w:rsid w:val="0007006D"/>
    <w:rsid w:val="00086416"/>
    <w:rsid w:val="000904FF"/>
    <w:rsid w:val="000A25EF"/>
    <w:rsid w:val="000B7891"/>
    <w:rsid w:val="000B7E43"/>
    <w:rsid w:val="000C236C"/>
    <w:rsid w:val="000C2F5E"/>
    <w:rsid w:val="000C49E5"/>
    <w:rsid w:val="000C7C1C"/>
    <w:rsid w:val="000D37B2"/>
    <w:rsid w:val="000E579E"/>
    <w:rsid w:val="000F4974"/>
    <w:rsid w:val="000F56CB"/>
    <w:rsid w:val="000F6296"/>
    <w:rsid w:val="001077AA"/>
    <w:rsid w:val="00107DD9"/>
    <w:rsid w:val="00107E1C"/>
    <w:rsid w:val="00115F76"/>
    <w:rsid w:val="00130D5F"/>
    <w:rsid w:val="001337B0"/>
    <w:rsid w:val="00144A4B"/>
    <w:rsid w:val="00145097"/>
    <w:rsid w:val="00147EB1"/>
    <w:rsid w:val="00154D4D"/>
    <w:rsid w:val="00161694"/>
    <w:rsid w:val="001827AC"/>
    <w:rsid w:val="00183541"/>
    <w:rsid w:val="001902A3"/>
    <w:rsid w:val="0019171F"/>
    <w:rsid w:val="00195126"/>
    <w:rsid w:val="00197BB1"/>
    <w:rsid w:val="001A1E6B"/>
    <w:rsid w:val="001A21F9"/>
    <w:rsid w:val="001A496C"/>
    <w:rsid w:val="001A5AF7"/>
    <w:rsid w:val="001B27B1"/>
    <w:rsid w:val="001B2800"/>
    <w:rsid w:val="001B4BE9"/>
    <w:rsid w:val="001B5680"/>
    <w:rsid w:val="001C1B3B"/>
    <w:rsid w:val="001C2C58"/>
    <w:rsid w:val="001D5A43"/>
    <w:rsid w:val="001D7065"/>
    <w:rsid w:val="001F1AD6"/>
    <w:rsid w:val="00202366"/>
    <w:rsid w:val="00202EAD"/>
    <w:rsid w:val="00215A2C"/>
    <w:rsid w:val="00216051"/>
    <w:rsid w:val="00221AB9"/>
    <w:rsid w:val="00222BB8"/>
    <w:rsid w:val="00223502"/>
    <w:rsid w:val="0023036F"/>
    <w:rsid w:val="0024365F"/>
    <w:rsid w:val="0024419F"/>
    <w:rsid w:val="00246CA8"/>
    <w:rsid w:val="0025208E"/>
    <w:rsid w:val="00252F38"/>
    <w:rsid w:val="0025316E"/>
    <w:rsid w:val="00253705"/>
    <w:rsid w:val="002552DE"/>
    <w:rsid w:val="00263A85"/>
    <w:rsid w:val="00274241"/>
    <w:rsid w:val="00277EE3"/>
    <w:rsid w:val="002807FD"/>
    <w:rsid w:val="00280A76"/>
    <w:rsid w:val="0029466D"/>
    <w:rsid w:val="0029623C"/>
    <w:rsid w:val="00296AFA"/>
    <w:rsid w:val="002A0ABA"/>
    <w:rsid w:val="002A7BF5"/>
    <w:rsid w:val="002B40D0"/>
    <w:rsid w:val="002C2651"/>
    <w:rsid w:val="002C28B4"/>
    <w:rsid w:val="002C652A"/>
    <w:rsid w:val="002D0E8B"/>
    <w:rsid w:val="002D15BC"/>
    <w:rsid w:val="002D6F45"/>
    <w:rsid w:val="002E4711"/>
    <w:rsid w:val="002E513F"/>
    <w:rsid w:val="002F0E1B"/>
    <w:rsid w:val="002F1508"/>
    <w:rsid w:val="002F2922"/>
    <w:rsid w:val="002F7BE9"/>
    <w:rsid w:val="003003B8"/>
    <w:rsid w:val="003061CB"/>
    <w:rsid w:val="0031351B"/>
    <w:rsid w:val="00315B86"/>
    <w:rsid w:val="00323041"/>
    <w:rsid w:val="0033081B"/>
    <w:rsid w:val="00330887"/>
    <w:rsid w:val="00337B38"/>
    <w:rsid w:val="00344D7F"/>
    <w:rsid w:val="00354D64"/>
    <w:rsid w:val="00365878"/>
    <w:rsid w:val="00381315"/>
    <w:rsid w:val="00382110"/>
    <w:rsid w:val="00386695"/>
    <w:rsid w:val="003923EE"/>
    <w:rsid w:val="003A43BA"/>
    <w:rsid w:val="003B563E"/>
    <w:rsid w:val="003B6F94"/>
    <w:rsid w:val="003C551F"/>
    <w:rsid w:val="003D0883"/>
    <w:rsid w:val="003E63AB"/>
    <w:rsid w:val="003E7F2B"/>
    <w:rsid w:val="003F0DA5"/>
    <w:rsid w:val="003F368F"/>
    <w:rsid w:val="003F3998"/>
    <w:rsid w:val="003F4488"/>
    <w:rsid w:val="003F58C4"/>
    <w:rsid w:val="003F73B8"/>
    <w:rsid w:val="0040524B"/>
    <w:rsid w:val="00417909"/>
    <w:rsid w:val="004340C5"/>
    <w:rsid w:val="004347DF"/>
    <w:rsid w:val="004416F1"/>
    <w:rsid w:val="00443594"/>
    <w:rsid w:val="00444173"/>
    <w:rsid w:val="00453270"/>
    <w:rsid w:val="00456EDA"/>
    <w:rsid w:val="004572DF"/>
    <w:rsid w:val="00462876"/>
    <w:rsid w:val="00471B91"/>
    <w:rsid w:val="00477BF1"/>
    <w:rsid w:val="00482945"/>
    <w:rsid w:val="00487D7E"/>
    <w:rsid w:val="0049703E"/>
    <w:rsid w:val="004A5C73"/>
    <w:rsid w:val="004B3490"/>
    <w:rsid w:val="004C2AA9"/>
    <w:rsid w:val="004D0765"/>
    <w:rsid w:val="004D2C10"/>
    <w:rsid w:val="004F7811"/>
    <w:rsid w:val="00507EB9"/>
    <w:rsid w:val="00517ADB"/>
    <w:rsid w:val="005221C8"/>
    <w:rsid w:val="00522B12"/>
    <w:rsid w:val="005236E3"/>
    <w:rsid w:val="005244B6"/>
    <w:rsid w:val="005347A1"/>
    <w:rsid w:val="00540BF4"/>
    <w:rsid w:val="00540D1B"/>
    <w:rsid w:val="00541AD5"/>
    <w:rsid w:val="0055603A"/>
    <w:rsid w:val="0056136B"/>
    <w:rsid w:val="00561655"/>
    <w:rsid w:val="00561DB0"/>
    <w:rsid w:val="00567A0B"/>
    <w:rsid w:val="00570248"/>
    <w:rsid w:val="005724FA"/>
    <w:rsid w:val="0058382E"/>
    <w:rsid w:val="00586786"/>
    <w:rsid w:val="0059539E"/>
    <w:rsid w:val="005A0E59"/>
    <w:rsid w:val="005A14AE"/>
    <w:rsid w:val="005A2C56"/>
    <w:rsid w:val="005B09D2"/>
    <w:rsid w:val="005B4027"/>
    <w:rsid w:val="005C0A0F"/>
    <w:rsid w:val="005C3A13"/>
    <w:rsid w:val="005D324E"/>
    <w:rsid w:val="005D3971"/>
    <w:rsid w:val="005D39C8"/>
    <w:rsid w:val="005E2CB3"/>
    <w:rsid w:val="005E3C6F"/>
    <w:rsid w:val="005E5A20"/>
    <w:rsid w:val="005F5C87"/>
    <w:rsid w:val="0060205F"/>
    <w:rsid w:val="006048E3"/>
    <w:rsid w:val="0060611B"/>
    <w:rsid w:val="00607AE8"/>
    <w:rsid w:val="00607EB8"/>
    <w:rsid w:val="0061760D"/>
    <w:rsid w:val="00622AD4"/>
    <w:rsid w:val="0062729E"/>
    <w:rsid w:val="00633EEC"/>
    <w:rsid w:val="00640460"/>
    <w:rsid w:val="00643EEE"/>
    <w:rsid w:val="00646D0A"/>
    <w:rsid w:val="006500FD"/>
    <w:rsid w:val="00653787"/>
    <w:rsid w:val="00667CE0"/>
    <w:rsid w:val="00672A81"/>
    <w:rsid w:val="00676B00"/>
    <w:rsid w:val="006810A1"/>
    <w:rsid w:val="006950E9"/>
    <w:rsid w:val="006A1A8F"/>
    <w:rsid w:val="006D6857"/>
    <w:rsid w:val="006E1443"/>
    <w:rsid w:val="006E4638"/>
    <w:rsid w:val="006F6869"/>
    <w:rsid w:val="00700A76"/>
    <w:rsid w:val="007105F8"/>
    <w:rsid w:val="00710A04"/>
    <w:rsid w:val="007300F4"/>
    <w:rsid w:val="00730A5F"/>
    <w:rsid w:val="007317B8"/>
    <w:rsid w:val="00733E51"/>
    <w:rsid w:val="00734C43"/>
    <w:rsid w:val="00735E08"/>
    <w:rsid w:val="00736357"/>
    <w:rsid w:val="00740733"/>
    <w:rsid w:val="0074531C"/>
    <w:rsid w:val="00747818"/>
    <w:rsid w:val="00747FC9"/>
    <w:rsid w:val="00751301"/>
    <w:rsid w:val="00754AC5"/>
    <w:rsid w:val="00763657"/>
    <w:rsid w:val="00766282"/>
    <w:rsid w:val="0077015F"/>
    <w:rsid w:val="00772621"/>
    <w:rsid w:val="00773B37"/>
    <w:rsid w:val="00775CB6"/>
    <w:rsid w:val="007767E1"/>
    <w:rsid w:val="00781F37"/>
    <w:rsid w:val="00792D04"/>
    <w:rsid w:val="007938D8"/>
    <w:rsid w:val="00797950"/>
    <w:rsid w:val="00797E0C"/>
    <w:rsid w:val="007A27D3"/>
    <w:rsid w:val="007A7082"/>
    <w:rsid w:val="007B2290"/>
    <w:rsid w:val="007C2F0C"/>
    <w:rsid w:val="007C7C0B"/>
    <w:rsid w:val="007D22A3"/>
    <w:rsid w:val="007E078D"/>
    <w:rsid w:val="007E3149"/>
    <w:rsid w:val="007E7F22"/>
    <w:rsid w:val="00800341"/>
    <w:rsid w:val="00820E56"/>
    <w:rsid w:val="00821E9A"/>
    <w:rsid w:val="008243EE"/>
    <w:rsid w:val="0082697A"/>
    <w:rsid w:val="00827E45"/>
    <w:rsid w:val="00831721"/>
    <w:rsid w:val="00841660"/>
    <w:rsid w:val="00843A6F"/>
    <w:rsid w:val="00853175"/>
    <w:rsid w:val="008543ED"/>
    <w:rsid w:val="008560C0"/>
    <w:rsid w:val="00863013"/>
    <w:rsid w:val="00866643"/>
    <w:rsid w:val="008703F4"/>
    <w:rsid w:val="0087135A"/>
    <w:rsid w:val="00871AAD"/>
    <w:rsid w:val="00871CB9"/>
    <w:rsid w:val="00874779"/>
    <w:rsid w:val="00880B83"/>
    <w:rsid w:val="00881A3D"/>
    <w:rsid w:val="008906E8"/>
    <w:rsid w:val="0089187C"/>
    <w:rsid w:val="008931F4"/>
    <w:rsid w:val="00895ACF"/>
    <w:rsid w:val="008A30B7"/>
    <w:rsid w:val="008A7796"/>
    <w:rsid w:val="008B3623"/>
    <w:rsid w:val="008B5DD2"/>
    <w:rsid w:val="008C27AA"/>
    <w:rsid w:val="008C76B1"/>
    <w:rsid w:val="008D2471"/>
    <w:rsid w:val="008D2780"/>
    <w:rsid w:val="008E16DE"/>
    <w:rsid w:val="008E32D2"/>
    <w:rsid w:val="00910CEF"/>
    <w:rsid w:val="00911B89"/>
    <w:rsid w:val="009134FA"/>
    <w:rsid w:val="009135CD"/>
    <w:rsid w:val="00925C18"/>
    <w:rsid w:val="0093383A"/>
    <w:rsid w:val="00937FC1"/>
    <w:rsid w:val="00941DA4"/>
    <w:rsid w:val="0094626B"/>
    <w:rsid w:val="009462B0"/>
    <w:rsid w:val="00950F76"/>
    <w:rsid w:val="009623AE"/>
    <w:rsid w:val="00963E71"/>
    <w:rsid w:val="00966247"/>
    <w:rsid w:val="00981C45"/>
    <w:rsid w:val="009923FD"/>
    <w:rsid w:val="009A1CA3"/>
    <w:rsid w:val="009A44C2"/>
    <w:rsid w:val="009C41EA"/>
    <w:rsid w:val="009C4E1A"/>
    <w:rsid w:val="009D5652"/>
    <w:rsid w:val="009D59C2"/>
    <w:rsid w:val="009E22BA"/>
    <w:rsid w:val="009E324D"/>
    <w:rsid w:val="009E41BC"/>
    <w:rsid w:val="009E6B00"/>
    <w:rsid w:val="009E7344"/>
    <w:rsid w:val="009E79C7"/>
    <w:rsid w:val="009F14E8"/>
    <w:rsid w:val="009F5A4A"/>
    <w:rsid w:val="00A03DB0"/>
    <w:rsid w:val="00A045D4"/>
    <w:rsid w:val="00A052C1"/>
    <w:rsid w:val="00A12909"/>
    <w:rsid w:val="00A13D54"/>
    <w:rsid w:val="00A203CC"/>
    <w:rsid w:val="00A20A28"/>
    <w:rsid w:val="00A3255B"/>
    <w:rsid w:val="00A33D95"/>
    <w:rsid w:val="00A43F35"/>
    <w:rsid w:val="00A5326A"/>
    <w:rsid w:val="00A57E3F"/>
    <w:rsid w:val="00A65C69"/>
    <w:rsid w:val="00A6781A"/>
    <w:rsid w:val="00A72BBA"/>
    <w:rsid w:val="00A72EC9"/>
    <w:rsid w:val="00A776C8"/>
    <w:rsid w:val="00A8259B"/>
    <w:rsid w:val="00A900A0"/>
    <w:rsid w:val="00A950BF"/>
    <w:rsid w:val="00A9782F"/>
    <w:rsid w:val="00AA03AF"/>
    <w:rsid w:val="00AA28D2"/>
    <w:rsid w:val="00AA3514"/>
    <w:rsid w:val="00AB1553"/>
    <w:rsid w:val="00AB6B08"/>
    <w:rsid w:val="00AC2BE3"/>
    <w:rsid w:val="00AC3526"/>
    <w:rsid w:val="00AC710A"/>
    <w:rsid w:val="00AC7F3C"/>
    <w:rsid w:val="00AD2518"/>
    <w:rsid w:val="00AD34C3"/>
    <w:rsid w:val="00AD4562"/>
    <w:rsid w:val="00AE09EE"/>
    <w:rsid w:val="00AE0C32"/>
    <w:rsid w:val="00AE2021"/>
    <w:rsid w:val="00AE2091"/>
    <w:rsid w:val="00AF41F7"/>
    <w:rsid w:val="00B00A48"/>
    <w:rsid w:val="00B048E8"/>
    <w:rsid w:val="00B071B7"/>
    <w:rsid w:val="00B17A73"/>
    <w:rsid w:val="00B20E94"/>
    <w:rsid w:val="00B31A46"/>
    <w:rsid w:val="00B3499C"/>
    <w:rsid w:val="00B405BD"/>
    <w:rsid w:val="00B47835"/>
    <w:rsid w:val="00B61E05"/>
    <w:rsid w:val="00B661AB"/>
    <w:rsid w:val="00B72518"/>
    <w:rsid w:val="00B746ED"/>
    <w:rsid w:val="00B80852"/>
    <w:rsid w:val="00B841F3"/>
    <w:rsid w:val="00B84A5D"/>
    <w:rsid w:val="00B9212E"/>
    <w:rsid w:val="00B92239"/>
    <w:rsid w:val="00B9308A"/>
    <w:rsid w:val="00B945D7"/>
    <w:rsid w:val="00BB1B59"/>
    <w:rsid w:val="00BB5027"/>
    <w:rsid w:val="00BB7A9F"/>
    <w:rsid w:val="00BC47DF"/>
    <w:rsid w:val="00BE2B28"/>
    <w:rsid w:val="00BF0A5F"/>
    <w:rsid w:val="00C05B27"/>
    <w:rsid w:val="00C26822"/>
    <w:rsid w:val="00C31DD7"/>
    <w:rsid w:val="00C42204"/>
    <w:rsid w:val="00C50DCC"/>
    <w:rsid w:val="00C53EAA"/>
    <w:rsid w:val="00C5526C"/>
    <w:rsid w:val="00C60729"/>
    <w:rsid w:val="00C65D04"/>
    <w:rsid w:val="00C71353"/>
    <w:rsid w:val="00C74AE4"/>
    <w:rsid w:val="00C75EFF"/>
    <w:rsid w:val="00C9785A"/>
    <w:rsid w:val="00CB1638"/>
    <w:rsid w:val="00CB3660"/>
    <w:rsid w:val="00CB40B4"/>
    <w:rsid w:val="00CC0E55"/>
    <w:rsid w:val="00CC2294"/>
    <w:rsid w:val="00CD0690"/>
    <w:rsid w:val="00CE590C"/>
    <w:rsid w:val="00D0030C"/>
    <w:rsid w:val="00D1007A"/>
    <w:rsid w:val="00D224F5"/>
    <w:rsid w:val="00D25C02"/>
    <w:rsid w:val="00D25EF7"/>
    <w:rsid w:val="00D305D6"/>
    <w:rsid w:val="00D40B03"/>
    <w:rsid w:val="00D41835"/>
    <w:rsid w:val="00D458F9"/>
    <w:rsid w:val="00D4621D"/>
    <w:rsid w:val="00D5095C"/>
    <w:rsid w:val="00D54686"/>
    <w:rsid w:val="00D57022"/>
    <w:rsid w:val="00D578EF"/>
    <w:rsid w:val="00D61E86"/>
    <w:rsid w:val="00D61E93"/>
    <w:rsid w:val="00D6659F"/>
    <w:rsid w:val="00D70A30"/>
    <w:rsid w:val="00D71DF0"/>
    <w:rsid w:val="00D72B82"/>
    <w:rsid w:val="00D74214"/>
    <w:rsid w:val="00D96A78"/>
    <w:rsid w:val="00DA03DE"/>
    <w:rsid w:val="00DA34E8"/>
    <w:rsid w:val="00DA5FB8"/>
    <w:rsid w:val="00DB7819"/>
    <w:rsid w:val="00DC3504"/>
    <w:rsid w:val="00DC36B6"/>
    <w:rsid w:val="00DC46D3"/>
    <w:rsid w:val="00DD4FCA"/>
    <w:rsid w:val="00DD5118"/>
    <w:rsid w:val="00DD53C1"/>
    <w:rsid w:val="00DE17C4"/>
    <w:rsid w:val="00DE26AB"/>
    <w:rsid w:val="00DE5E4D"/>
    <w:rsid w:val="00DF182B"/>
    <w:rsid w:val="00DF33CB"/>
    <w:rsid w:val="00DF4501"/>
    <w:rsid w:val="00DF5CE8"/>
    <w:rsid w:val="00DF5FD5"/>
    <w:rsid w:val="00DF6C06"/>
    <w:rsid w:val="00E0194E"/>
    <w:rsid w:val="00E05505"/>
    <w:rsid w:val="00E058AC"/>
    <w:rsid w:val="00E0642B"/>
    <w:rsid w:val="00E1472F"/>
    <w:rsid w:val="00E27CFB"/>
    <w:rsid w:val="00E27E54"/>
    <w:rsid w:val="00E34920"/>
    <w:rsid w:val="00E35DF7"/>
    <w:rsid w:val="00E366E6"/>
    <w:rsid w:val="00E40D8B"/>
    <w:rsid w:val="00E443DB"/>
    <w:rsid w:val="00E460ED"/>
    <w:rsid w:val="00E53E67"/>
    <w:rsid w:val="00E5518A"/>
    <w:rsid w:val="00E577AC"/>
    <w:rsid w:val="00E57E0E"/>
    <w:rsid w:val="00E61608"/>
    <w:rsid w:val="00E61994"/>
    <w:rsid w:val="00E65748"/>
    <w:rsid w:val="00E65EA0"/>
    <w:rsid w:val="00E7166F"/>
    <w:rsid w:val="00E8247E"/>
    <w:rsid w:val="00E846A5"/>
    <w:rsid w:val="00E85E64"/>
    <w:rsid w:val="00E908E1"/>
    <w:rsid w:val="00E95615"/>
    <w:rsid w:val="00E97CCE"/>
    <w:rsid w:val="00EA707C"/>
    <w:rsid w:val="00EB1E16"/>
    <w:rsid w:val="00ED1D05"/>
    <w:rsid w:val="00EE2A29"/>
    <w:rsid w:val="00EE33C1"/>
    <w:rsid w:val="00F0018F"/>
    <w:rsid w:val="00F017F4"/>
    <w:rsid w:val="00F01B80"/>
    <w:rsid w:val="00F027EF"/>
    <w:rsid w:val="00F072DF"/>
    <w:rsid w:val="00F1122B"/>
    <w:rsid w:val="00F264D4"/>
    <w:rsid w:val="00F272AD"/>
    <w:rsid w:val="00F45662"/>
    <w:rsid w:val="00F45E52"/>
    <w:rsid w:val="00F53E87"/>
    <w:rsid w:val="00F55BD2"/>
    <w:rsid w:val="00F55EAE"/>
    <w:rsid w:val="00F5730B"/>
    <w:rsid w:val="00F70510"/>
    <w:rsid w:val="00F718BB"/>
    <w:rsid w:val="00F74209"/>
    <w:rsid w:val="00F96C11"/>
    <w:rsid w:val="00FA102C"/>
    <w:rsid w:val="00FA4D3E"/>
    <w:rsid w:val="00FB3804"/>
    <w:rsid w:val="00FB657D"/>
    <w:rsid w:val="00FC1BE2"/>
    <w:rsid w:val="00FC4A41"/>
    <w:rsid w:val="00FD568A"/>
    <w:rsid w:val="00FD7E87"/>
    <w:rsid w:val="00FE1083"/>
    <w:rsid w:val="00FE3A2A"/>
    <w:rsid w:val="00FE641D"/>
    <w:rsid w:val="00FF50CE"/>
    <w:rsid w:val="00FF51F5"/>
    <w:rsid w:val="00FF5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FF798"/>
  <w14:defaultImageDpi w14:val="32767"/>
  <w15:chartTrackingRefBased/>
  <w15:docId w15:val="{63C0C82A-B6EC-154B-8816-111BA7EBD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2949"/>
    <w:pPr>
      <w:keepNext/>
      <w:keepLines/>
      <w:spacing w:before="360" w:after="80"/>
      <w:outlineLvl w:val="0"/>
    </w:pPr>
    <w:rPr>
      <w:rFonts w:asciiTheme="majorHAnsi" w:eastAsiaTheme="majorEastAsia" w:hAnsiTheme="majorHAnsi" w:cstheme="majorBidi"/>
      <w:color w:val="B3186D" w:themeColor="accent1" w:themeShade="BF"/>
      <w:sz w:val="40"/>
      <w:szCs w:val="40"/>
    </w:rPr>
  </w:style>
  <w:style w:type="paragraph" w:styleId="Heading2">
    <w:name w:val="heading 2"/>
    <w:basedOn w:val="Normal"/>
    <w:next w:val="Normal"/>
    <w:link w:val="Heading2Char"/>
    <w:uiPriority w:val="9"/>
    <w:semiHidden/>
    <w:unhideWhenUsed/>
    <w:qFormat/>
    <w:rsid w:val="00032949"/>
    <w:pPr>
      <w:keepNext/>
      <w:keepLines/>
      <w:spacing w:before="160" w:after="80"/>
      <w:outlineLvl w:val="1"/>
    </w:pPr>
    <w:rPr>
      <w:rFonts w:asciiTheme="majorHAnsi" w:eastAsiaTheme="majorEastAsia" w:hAnsiTheme="majorHAnsi" w:cstheme="majorBidi"/>
      <w:color w:val="B3186D" w:themeColor="accent1" w:themeShade="BF"/>
      <w:sz w:val="32"/>
      <w:szCs w:val="32"/>
    </w:rPr>
  </w:style>
  <w:style w:type="paragraph" w:styleId="Heading3">
    <w:name w:val="heading 3"/>
    <w:basedOn w:val="Normal"/>
    <w:next w:val="Normal"/>
    <w:link w:val="Heading3Char"/>
    <w:uiPriority w:val="9"/>
    <w:unhideWhenUsed/>
    <w:qFormat/>
    <w:rsid w:val="00032949"/>
    <w:pPr>
      <w:keepNext/>
      <w:keepLines/>
      <w:spacing w:before="160" w:after="80"/>
      <w:outlineLvl w:val="2"/>
    </w:pPr>
    <w:rPr>
      <w:rFonts w:eastAsiaTheme="majorEastAsia" w:cstheme="majorBidi"/>
      <w:color w:val="B3186D" w:themeColor="accent1" w:themeShade="BF"/>
      <w:sz w:val="28"/>
      <w:szCs w:val="28"/>
    </w:rPr>
  </w:style>
  <w:style w:type="paragraph" w:styleId="Heading4">
    <w:name w:val="heading 4"/>
    <w:basedOn w:val="Normal"/>
    <w:next w:val="Normal"/>
    <w:link w:val="Heading4Char"/>
    <w:uiPriority w:val="9"/>
    <w:semiHidden/>
    <w:unhideWhenUsed/>
    <w:qFormat/>
    <w:rsid w:val="00032949"/>
    <w:pPr>
      <w:keepNext/>
      <w:keepLines/>
      <w:spacing w:before="80" w:after="40"/>
      <w:outlineLvl w:val="3"/>
    </w:pPr>
    <w:rPr>
      <w:rFonts w:eastAsiaTheme="majorEastAsia" w:cstheme="majorBidi"/>
      <w:i/>
      <w:iCs/>
      <w:color w:val="B3186D" w:themeColor="accent1" w:themeShade="BF"/>
    </w:rPr>
  </w:style>
  <w:style w:type="paragraph" w:styleId="Heading5">
    <w:name w:val="heading 5"/>
    <w:basedOn w:val="Normal"/>
    <w:next w:val="Normal"/>
    <w:link w:val="Heading5Char"/>
    <w:uiPriority w:val="9"/>
    <w:semiHidden/>
    <w:unhideWhenUsed/>
    <w:qFormat/>
    <w:rsid w:val="00032949"/>
    <w:pPr>
      <w:keepNext/>
      <w:keepLines/>
      <w:spacing w:before="80" w:after="40"/>
      <w:outlineLvl w:val="4"/>
    </w:pPr>
    <w:rPr>
      <w:rFonts w:eastAsiaTheme="majorEastAsia" w:cstheme="majorBidi"/>
      <w:color w:val="B3186D" w:themeColor="accent1" w:themeShade="BF"/>
    </w:rPr>
  </w:style>
  <w:style w:type="paragraph" w:styleId="Heading6">
    <w:name w:val="heading 6"/>
    <w:basedOn w:val="Normal"/>
    <w:next w:val="Normal"/>
    <w:link w:val="Heading6Char"/>
    <w:uiPriority w:val="9"/>
    <w:semiHidden/>
    <w:unhideWhenUsed/>
    <w:qFormat/>
    <w:rsid w:val="000329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9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9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9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949"/>
    <w:rPr>
      <w:rFonts w:asciiTheme="majorHAnsi" w:eastAsiaTheme="majorEastAsia" w:hAnsiTheme="majorHAnsi" w:cstheme="majorBidi"/>
      <w:color w:val="B3186D" w:themeColor="accent1" w:themeShade="BF"/>
      <w:sz w:val="40"/>
      <w:szCs w:val="40"/>
    </w:rPr>
  </w:style>
  <w:style w:type="character" w:customStyle="1" w:styleId="Heading2Char">
    <w:name w:val="Heading 2 Char"/>
    <w:basedOn w:val="DefaultParagraphFont"/>
    <w:link w:val="Heading2"/>
    <w:uiPriority w:val="9"/>
    <w:semiHidden/>
    <w:rsid w:val="00032949"/>
    <w:rPr>
      <w:rFonts w:asciiTheme="majorHAnsi" w:eastAsiaTheme="majorEastAsia" w:hAnsiTheme="majorHAnsi" w:cstheme="majorBidi"/>
      <w:color w:val="B3186D" w:themeColor="accent1" w:themeShade="BF"/>
      <w:sz w:val="32"/>
      <w:szCs w:val="32"/>
    </w:rPr>
  </w:style>
  <w:style w:type="character" w:customStyle="1" w:styleId="Heading3Char">
    <w:name w:val="Heading 3 Char"/>
    <w:basedOn w:val="DefaultParagraphFont"/>
    <w:link w:val="Heading3"/>
    <w:uiPriority w:val="9"/>
    <w:rsid w:val="00032949"/>
    <w:rPr>
      <w:rFonts w:eastAsiaTheme="majorEastAsia" w:cstheme="majorBidi"/>
      <w:color w:val="B3186D" w:themeColor="accent1" w:themeShade="BF"/>
      <w:sz w:val="28"/>
      <w:szCs w:val="28"/>
    </w:rPr>
  </w:style>
  <w:style w:type="character" w:customStyle="1" w:styleId="Heading4Char">
    <w:name w:val="Heading 4 Char"/>
    <w:basedOn w:val="DefaultParagraphFont"/>
    <w:link w:val="Heading4"/>
    <w:uiPriority w:val="9"/>
    <w:semiHidden/>
    <w:rsid w:val="00032949"/>
    <w:rPr>
      <w:rFonts w:eastAsiaTheme="majorEastAsia" w:cstheme="majorBidi"/>
      <w:i/>
      <w:iCs/>
      <w:color w:val="B3186D" w:themeColor="accent1" w:themeShade="BF"/>
    </w:rPr>
  </w:style>
  <w:style w:type="character" w:customStyle="1" w:styleId="Heading5Char">
    <w:name w:val="Heading 5 Char"/>
    <w:basedOn w:val="DefaultParagraphFont"/>
    <w:link w:val="Heading5"/>
    <w:uiPriority w:val="9"/>
    <w:semiHidden/>
    <w:rsid w:val="00032949"/>
    <w:rPr>
      <w:rFonts w:eastAsiaTheme="majorEastAsia" w:cstheme="majorBidi"/>
      <w:color w:val="B3186D" w:themeColor="accent1" w:themeShade="BF"/>
    </w:rPr>
  </w:style>
  <w:style w:type="character" w:customStyle="1" w:styleId="Heading6Char">
    <w:name w:val="Heading 6 Char"/>
    <w:basedOn w:val="DefaultParagraphFont"/>
    <w:link w:val="Heading6"/>
    <w:uiPriority w:val="9"/>
    <w:semiHidden/>
    <w:rsid w:val="000329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9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9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949"/>
    <w:rPr>
      <w:rFonts w:eastAsiaTheme="majorEastAsia" w:cstheme="majorBidi"/>
      <w:color w:val="272727" w:themeColor="text1" w:themeTint="D8"/>
    </w:rPr>
  </w:style>
  <w:style w:type="paragraph" w:styleId="Title">
    <w:name w:val="Title"/>
    <w:basedOn w:val="Normal"/>
    <w:next w:val="Normal"/>
    <w:link w:val="TitleChar"/>
    <w:uiPriority w:val="10"/>
    <w:qFormat/>
    <w:rsid w:val="000329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9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94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9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9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2949"/>
    <w:rPr>
      <w:i/>
      <w:iCs/>
      <w:color w:val="404040" w:themeColor="text1" w:themeTint="BF"/>
    </w:rPr>
  </w:style>
  <w:style w:type="paragraph" w:styleId="ListParagraph">
    <w:name w:val="List Paragraph"/>
    <w:basedOn w:val="Normal"/>
    <w:uiPriority w:val="34"/>
    <w:qFormat/>
    <w:rsid w:val="00032949"/>
    <w:pPr>
      <w:ind w:left="720"/>
      <w:contextualSpacing/>
    </w:pPr>
  </w:style>
  <w:style w:type="character" w:styleId="IntenseEmphasis">
    <w:name w:val="Intense Emphasis"/>
    <w:basedOn w:val="DefaultParagraphFont"/>
    <w:uiPriority w:val="21"/>
    <w:qFormat/>
    <w:rsid w:val="00032949"/>
    <w:rPr>
      <w:i/>
      <w:iCs/>
      <w:color w:val="B3186D" w:themeColor="accent1" w:themeShade="BF"/>
    </w:rPr>
  </w:style>
  <w:style w:type="paragraph" w:styleId="IntenseQuote">
    <w:name w:val="Intense Quote"/>
    <w:basedOn w:val="Normal"/>
    <w:next w:val="Normal"/>
    <w:link w:val="IntenseQuoteChar"/>
    <w:uiPriority w:val="30"/>
    <w:qFormat/>
    <w:rsid w:val="00032949"/>
    <w:pPr>
      <w:pBdr>
        <w:top w:val="single" w:sz="4" w:space="10" w:color="B3186D" w:themeColor="accent1" w:themeShade="BF"/>
        <w:bottom w:val="single" w:sz="4" w:space="10" w:color="B3186D" w:themeColor="accent1" w:themeShade="BF"/>
      </w:pBdr>
      <w:spacing w:before="360" w:after="360"/>
      <w:ind w:left="864" w:right="864"/>
      <w:jc w:val="center"/>
    </w:pPr>
    <w:rPr>
      <w:i/>
      <w:iCs/>
      <w:color w:val="B3186D" w:themeColor="accent1" w:themeShade="BF"/>
    </w:rPr>
  </w:style>
  <w:style w:type="character" w:customStyle="1" w:styleId="IntenseQuoteChar">
    <w:name w:val="Intense Quote Char"/>
    <w:basedOn w:val="DefaultParagraphFont"/>
    <w:link w:val="IntenseQuote"/>
    <w:uiPriority w:val="30"/>
    <w:rsid w:val="00032949"/>
    <w:rPr>
      <w:i/>
      <w:iCs/>
      <w:color w:val="B3186D" w:themeColor="accent1" w:themeShade="BF"/>
    </w:rPr>
  </w:style>
  <w:style w:type="character" w:styleId="IntenseReference">
    <w:name w:val="Intense Reference"/>
    <w:basedOn w:val="DefaultParagraphFont"/>
    <w:uiPriority w:val="32"/>
    <w:qFormat/>
    <w:rsid w:val="00032949"/>
    <w:rPr>
      <w:b/>
      <w:bCs/>
      <w:smallCaps/>
      <w:color w:val="B3186D" w:themeColor="accent1" w:themeShade="BF"/>
      <w:spacing w:val="5"/>
    </w:rPr>
  </w:style>
  <w:style w:type="paragraph" w:styleId="NormalWeb">
    <w:name w:val="Normal (Web)"/>
    <w:basedOn w:val="Normal"/>
    <w:uiPriority w:val="99"/>
    <w:unhideWhenUsed/>
    <w:rsid w:val="00032949"/>
    <w:pPr>
      <w:spacing w:before="100" w:beforeAutospacing="1" w:after="100" w:afterAutospacing="1"/>
    </w:pPr>
    <w:rPr>
      <w:rFonts w:ascii="Times New Roman" w:eastAsia="Times New Roman" w:hAnsi="Times New Roman" w:cs="Times New Roman"/>
      <w:kern w:val="0"/>
      <w:lang w:val="en-AU" w:eastAsia="en-GB"/>
      <w14:ligatures w14:val="none"/>
    </w:rPr>
  </w:style>
  <w:style w:type="paragraph" w:styleId="Bibliography">
    <w:name w:val="Bibliography"/>
    <w:basedOn w:val="Normal"/>
    <w:next w:val="Normal"/>
    <w:uiPriority w:val="37"/>
    <w:unhideWhenUsed/>
    <w:rsid w:val="00853175"/>
    <w:pPr>
      <w:tabs>
        <w:tab w:val="left" w:pos="260"/>
      </w:tabs>
      <w:spacing w:after="240"/>
      <w:ind w:left="264" w:hanging="264"/>
    </w:pPr>
  </w:style>
  <w:style w:type="character" w:styleId="CommentReference">
    <w:name w:val="annotation reference"/>
    <w:basedOn w:val="DefaultParagraphFont"/>
    <w:uiPriority w:val="99"/>
    <w:semiHidden/>
    <w:unhideWhenUsed/>
    <w:rsid w:val="003E63AB"/>
    <w:rPr>
      <w:sz w:val="16"/>
      <w:szCs w:val="16"/>
    </w:rPr>
  </w:style>
  <w:style w:type="paragraph" w:styleId="CommentText">
    <w:name w:val="annotation text"/>
    <w:basedOn w:val="Normal"/>
    <w:link w:val="CommentTextChar"/>
    <w:uiPriority w:val="99"/>
    <w:unhideWhenUsed/>
    <w:rsid w:val="003E63AB"/>
    <w:rPr>
      <w:sz w:val="20"/>
      <w:szCs w:val="20"/>
    </w:rPr>
  </w:style>
  <w:style w:type="character" w:customStyle="1" w:styleId="CommentTextChar">
    <w:name w:val="Comment Text Char"/>
    <w:basedOn w:val="DefaultParagraphFont"/>
    <w:link w:val="CommentText"/>
    <w:uiPriority w:val="99"/>
    <w:rsid w:val="003E63AB"/>
    <w:rPr>
      <w:sz w:val="20"/>
      <w:szCs w:val="20"/>
    </w:rPr>
  </w:style>
  <w:style w:type="paragraph" w:styleId="CommentSubject">
    <w:name w:val="annotation subject"/>
    <w:basedOn w:val="CommentText"/>
    <w:next w:val="CommentText"/>
    <w:link w:val="CommentSubjectChar"/>
    <w:uiPriority w:val="99"/>
    <w:semiHidden/>
    <w:unhideWhenUsed/>
    <w:rsid w:val="003E63AB"/>
    <w:rPr>
      <w:b/>
      <w:bCs/>
    </w:rPr>
  </w:style>
  <w:style w:type="character" w:customStyle="1" w:styleId="CommentSubjectChar">
    <w:name w:val="Comment Subject Char"/>
    <w:basedOn w:val="CommentTextChar"/>
    <w:link w:val="CommentSubject"/>
    <w:uiPriority w:val="99"/>
    <w:semiHidden/>
    <w:rsid w:val="003E63AB"/>
    <w:rPr>
      <w:b/>
      <w:bCs/>
      <w:sz w:val="20"/>
      <w:szCs w:val="20"/>
    </w:rPr>
  </w:style>
  <w:style w:type="character" w:styleId="Hyperlink">
    <w:name w:val="Hyperlink"/>
    <w:basedOn w:val="DefaultParagraphFont"/>
    <w:uiPriority w:val="99"/>
    <w:unhideWhenUsed/>
    <w:rsid w:val="00DD53C1"/>
    <w:rPr>
      <w:color w:val="6B9F25" w:themeColor="hyperlink"/>
      <w:u w:val="single"/>
    </w:rPr>
  </w:style>
  <w:style w:type="character" w:styleId="UnresolvedMention">
    <w:name w:val="Unresolved Mention"/>
    <w:basedOn w:val="DefaultParagraphFont"/>
    <w:uiPriority w:val="99"/>
    <w:rsid w:val="00DD53C1"/>
    <w:rPr>
      <w:color w:val="605E5C"/>
      <w:shd w:val="clear" w:color="auto" w:fill="E1DFDD"/>
    </w:rPr>
  </w:style>
  <w:style w:type="table" w:styleId="TableGrid">
    <w:name w:val="Table Grid"/>
    <w:basedOn w:val="TableNormal"/>
    <w:uiPriority w:val="39"/>
    <w:rsid w:val="000604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9782F"/>
  </w:style>
  <w:style w:type="paragraph" w:styleId="Footer">
    <w:name w:val="footer"/>
    <w:basedOn w:val="Normal"/>
    <w:link w:val="FooterChar"/>
    <w:uiPriority w:val="99"/>
    <w:unhideWhenUsed/>
    <w:rsid w:val="00586786"/>
    <w:pPr>
      <w:tabs>
        <w:tab w:val="center" w:pos="4513"/>
        <w:tab w:val="right" w:pos="9026"/>
      </w:tabs>
    </w:pPr>
  </w:style>
  <w:style w:type="character" w:customStyle="1" w:styleId="FooterChar">
    <w:name w:val="Footer Char"/>
    <w:basedOn w:val="DefaultParagraphFont"/>
    <w:link w:val="Footer"/>
    <w:uiPriority w:val="99"/>
    <w:rsid w:val="00586786"/>
  </w:style>
  <w:style w:type="character" w:styleId="PageNumber">
    <w:name w:val="page number"/>
    <w:basedOn w:val="DefaultParagraphFont"/>
    <w:uiPriority w:val="99"/>
    <w:semiHidden/>
    <w:unhideWhenUsed/>
    <w:rsid w:val="00586786"/>
  </w:style>
  <w:style w:type="paragraph" w:styleId="Header">
    <w:name w:val="header"/>
    <w:basedOn w:val="Normal"/>
    <w:link w:val="HeaderChar"/>
    <w:uiPriority w:val="99"/>
    <w:unhideWhenUsed/>
    <w:rsid w:val="00586786"/>
    <w:pPr>
      <w:tabs>
        <w:tab w:val="center" w:pos="4513"/>
        <w:tab w:val="right" w:pos="9026"/>
      </w:tabs>
    </w:pPr>
  </w:style>
  <w:style w:type="character" w:customStyle="1" w:styleId="HeaderChar">
    <w:name w:val="Header Char"/>
    <w:basedOn w:val="DefaultParagraphFont"/>
    <w:link w:val="Header"/>
    <w:uiPriority w:val="99"/>
    <w:rsid w:val="00586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315487">
      <w:bodyDiv w:val="1"/>
      <w:marLeft w:val="0"/>
      <w:marRight w:val="0"/>
      <w:marTop w:val="0"/>
      <w:marBottom w:val="0"/>
      <w:divBdr>
        <w:top w:val="none" w:sz="0" w:space="0" w:color="auto"/>
        <w:left w:val="none" w:sz="0" w:space="0" w:color="auto"/>
        <w:bottom w:val="none" w:sz="0" w:space="0" w:color="auto"/>
        <w:right w:val="none" w:sz="0" w:space="0" w:color="auto"/>
      </w:divBdr>
    </w:div>
    <w:div w:id="1050232492">
      <w:bodyDiv w:val="1"/>
      <w:marLeft w:val="0"/>
      <w:marRight w:val="0"/>
      <w:marTop w:val="0"/>
      <w:marBottom w:val="0"/>
      <w:divBdr>
        <w:top w:val="none" w:sz="0" w:space="0" w:color="auto"/>
        <w:left w:val="none" w:sz="0" w:space="0" w:color="auto"/>
        <w:bottom w:val="none" w:sz="0" w:space="0" w:color="auto"/>
        <w:right w:val="none" w:sz="0" w:space="0" w:color="auto"/>
      </w:divBdr>
    </w:div>
    <w:div w:id="1075393677">
      <w:bodyDiv w:val="1"/>
      <w:marLeft w:val="0"/>
      <w:marRight w:val="0"/>
      <w:marTop w:val="0"/>
      <w:marBottom w:val="0"/>
      <w:divBdr>
        <w:top w:val="none" w:sz="0" w:space="0" w:color="auto"/>
        <w:left w:val="none" w:sz="0" w:space="0" w:color="auto"/>
        <w:bottom w:val="none" w:sz="0" w:space="0" w:color="auto"/>
        <w:right w:val="none" w:sz="0" w:space="0" w:color="auto"/>
      </w:divBdr>
    </w:div>
    <w:div w:id="1212569441">
      <w:bodyDiv w:val="1"/>
      <w:marLeft w:val="0"/>
      <w:marRight w:val="0"/>
      <w:marTop w:val="0"/>
      <w:marBottom w:val="0"/>
      <w:divBdr>
        <w:top w:val="none" w:sz="0" w:space="0" w:color="auto"/>
        <w:left w:val="none" w:sz="0" w:space="0" w:color="auto"/>
        <w:bottom w:val="none" w:sz="0" w:space="0" w:color="auto"/>
        <w:right w:val="none" w:sz="0" w:space="0" w:color="auto"/>
      </w:divBdr>
      <w:divsChild>
        <w:div w:id="1718355009">
          <w:marLeft w:val="0"/>
          <w:marRight w:val="0"/>
          <w:marTop w:val="0"/>
          <w:marBottom w:val="240"/>
          <w:divBdr>
            <w:top w:val="none" w:sz="0" w:space="0" w:color="auto"/>
            <w:left w:val="none" w:sz="0" w:space="0" w:color="auto"/>
            <w:bottom w:val="none" w:sz="0" w:space="0" w:color="auto"/>
            <w:right w:val="none" w:sz="0" w:space="0" w:color="auto"/>
          </w:divBdr>
        </w:div>
      </w:divsChild>
    </w:div>
    <w:div w:id="1439251500">
      <w:bodyDiv w:val="1"/>
      <w:marLeft w:val="0"/>
      <w:marRight w:val="0"/>
      <w:marTop w:val="0"/>
      <w:marBottom w:val="0"/>
      <w:divBdr>
        <w:top w:val="none" w:sz="0" w:space="0" w:color="auto"/>
        <w:left w:val="none" w:sz="0" w:space="0" w:color="auto"/>
        <w:bottom w:val="none" w:sz="0" w:space="0" w:color="auto"/>
        <w:right w:val="none" w:sz="0" w:space="0" w:color="auto"/>
      </w:divBdr>
    </w:div>
    <w:div w:id="1631547417">
      <w:bodyDiv w:val="1"/>
      <w:marLeft w:val="0"/>
      <w:marRight w:val="0"/>
      <w:marTop w:val="0"/>
      <w:marBottom w:val="0"/>
      <w:divBdr>
        <w:top w:val="none" w:sz="0" w:space="0" w:color="auto"/>
        <w:left w:val="none" w:sz="0" w:space="0" w:color="auto"/>
        <w:bottom w:val="none" w:sz="0" w:space="0" w:color="auto"/>
        <w:right w:val="none" w:sz="0" w:space="0" w:color="auto"/>
      </w:divBdr>
    </w:div>
    <w:div w:id="168540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ce.terrett@sa.gov.a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E45C1-A74E-9A42-AE9F-D1E57FFE2E98}">
  <ds:schemaRefs>
    <ds:schemaRef ds:uri="http://schemas.openxmlformats.org/officeDocument/2006/bibliography"/>
  </ds:schemaRefs>
</ds:datastoreItem>
</file>

<file path=docMetadata/LabelInfo.xml><?xml version="1.0" encoding="utf-8"?>
<clbl:labelList xmlns:clbl="http://schemas.microsoft.com/office/2020/mipLabelMetadata">
  <clbl:label id="{96b289ea-b729-4a61-8be4-4c9b5998d087}"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Normal</Template>
  <TotalTime>7</TotalTime>
  <Pages>28</Pages>
  <Words>83750</Words>
  <Characters>499151</Characters>
  <Application>Microsoft Office Word</Application>
  <DocSecurity>0</DocSecurity>
  <Lines>9075</Lines>
  <Paragraphs>2534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Terrett</dc:creator>
  <cp:keywords/>
  <dc:description/>
  <cp:lastModifiedBy>Elizabeth Risdon</cp:lastModifiedBy>
  <cp:revision>2</cp:revision>
  <cp:lastPrinted>2026-09-07T11:19:00Z</cp:lastPrinted>
  <dcterms:created xsi:type="dcterms:W3CDTF">2026-09-07T11:21:00Z</dcterms:created>
  <dcterms:modified xsi:type="dcterms:W3CDTF">2026-09-07T11:21:00Z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id="1BYwHMxh"/&gt;&lt;style id="http://www.zotero.org/styles/vancouver" locale="en-AU"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y fmtid="{D5CDD505-2E9C-101B-9397-08002B2CF9AE}" pid="4" name="ClassificationContentMarkingHeaderShapeIds">
    <vt:lpwstr>1,2,3</vt:lpwstr>
  </property>
  <property fmtid="{D5CDD505-2E9C-101B-9397-08002B2CF9AE}" pid="5" name="ClassificationContentMarkingHeaderFontProps">
    <vt:lpwstr>#a80000,12,arial</vt:lpwstr>
  </property>
  <property fmtid="{D5CDD505-2E9C-101B-9397-08002B2CF9AE}" pid="6" name="ClassificationContentMarkingHeaderText">
    <vt:lpwstr>OFFICIAL: Sensitive</vt:lpwstr>
  </property>
  <property fmtid="{D5CDD505-2E9C-101B-9397-08002B2CF9AE}" pid="7" name="ClassificationContentMarkingFooterShapeIds">
    <vt:lpwstr>4,5,6</vt:lpwstr>
  </property>
  <property fmtid="{D5CDD505-2E9C-101B-9397-08002B2CF9AE}" pid="8" name="ClassificationContentMarkingFooterFontProps">
    <vt:lpwstr>#a80000,12,arial</vt:lpwstr>
  </property>
  <property fmtid="{D5CDD505-2E9C-101B-9397-08002B2CF9AE}" pid="9" name="ClassificationContentMarkingFooterText">
    <vt:lpwstr>OFFICIAL: Sensitive </vt:lpwstr>
  </property>
</Properties>
</file>