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194E5" w14:textId="0BD840F9" w:rsidR="00E60682" w:rsidRPr="00E60682" w:rsidRDefault="00E60682" w:rsidP="00E60682">
      <w:pPr>
        <w:jc w:val="center"/>
        <w:rPr>
          <w:lang w:val="en-US"/>
        </w:rPr>
      </w:pPr>
      <w:r w:rsidRPr="00E60682">
        <w:rPr>
          <w:lang w:val="en-US"/>
        </w:rPr>
        <w:t>Green Conceits</w:t>
      </w:r>
      <w:r>
        <w:rPr>
          <w:lang w:val="en-US"/>
        </w:rPr>
        <w:t>:</w:t>
      </w:r>
    </w:p>
    <w:p w14:paraId="40E9DDF2" w14:textId="77777777" w:rsidR="00E60682" w:rsidRDefault="00E60682" w:rsidP="00E60682">
      <w:pPr>
        <w:jc w:val="center"/>
        <w:rPr>
          <w:lang w:val="en-US"/>
        </w:rPr>
      </w:pPr>
      <w:r w:rsidRPr="00E60682">
        <w:rPr>
          <w:lang w:val="en-US"/>
        </w:rPr>
        <w:t>Poetry and the Universal in Marvell and Cavendish</w:t>
      </w:r>
    </w:p>
    <w:p w14:paraId="5B9EFCEB" w14:textId="77777777" w:rsidR="00E60682" w:rsidRDefault="00E60682" w:rsidP="00E60682">
      <w:pPr>
        <w:jc w:val="center"/>
        <w:rPr>
          <w:lang w:val="en-US"/>
        </w:rPr>
      </w:pPr>
    </w:p>
    <w:p w14:paraId="7580294A" w14:textId="7B402419" w:rsidR="00E60682" w:rsidRDefault="00E60682" w:rsidP="00E60682">
      <w:pPr>
        <w:jc w:val="center"/>
        <w:rPr>
          <w:bCs/>
          <w:sz w:val="22"/>
          <w:szCs w:val="22"/>
          <w:lang w:val="en-US"/>
        </w:rPr>
      </w:pPr>
      <w:r w:rsidRPr="007612D5">
        <w:rPr>
          <w:bCs/>
          <w:sz w:val="22"/>
          <w:szCs w:val="22"/>
          <w:lang w:val="en-US"/>
        </w:rPr>
        <w:t>NAMRATHA RAO</w:t>
      </w:r>
    </w:p>
    <w:p w14:paraId="692F60FD" w14:textId="77777777" w:rsidR="00E60682" w:rsidRPr="00E60682" w:rsidRDefault="00E60682" w:rsidP="00E60682">
      <w:pPr>
        <w:jc w:val="center"/>
        <w:rPr>
          <w:bCs/>
          <w:sz w:val="22"/>
          <w:szCs w:val="22"/>
          <w:lang w:val="en-US"/>
        </w:rPr>
      </w:pPr>
    </w:p>
    <w:p w14:paraId="3D51A906" w14:textId="0ECC7049" w:rsidR="00E60682" w:rsidRDefault="00E60682" w:rsidP="00E60682">
      <w:pPr>
        <w:jc w:val="center"/>
        <w:rPr>
          <w:i/>
          <w:iCs/>
          <w:lang w:val="en-US"/>
        </w:rPr>
      </w:pPr>
      <w:r>
        <w:rPr>
          <w:i/>
          <w:iCs/>
          <w:lang w:val="en-US"/>
        </w:rPr>
        <w:t>University of York</w:t>
      </w:r>
    </w:p>
    <w:p w14:paraId="3750DAE5" w14:textId="77777777" w:rsidR="00E60682" w:rsidRDefault="00E60682" w:rsidP="00E60682">
      <w:pPr>
        <w:jc w:val="center"/>
        <w:rPr>
          <w:i/>
          <w:iCs/>
          <w:lang w:val="en-US"/>
        </w:rPr>
      </w:pPr>
    </w:p>
    <w:p w14:paraId="6F2F7A26" w14:textId="77777777" w:rsidR="00E60682" w:rsidRDefault="00E60682" w:rsidP="00E60682">
      <w:pPr>
        <w:rPr>
          <w:i/>
          <w:iCs/>
          <w:lang w:val="en-US"/>
        </w:rPr>
      </w:pPr>
    </w:p>
    <w:p w14:paraId="3E69D368" w14:textId="7F0A9CCD" w:rsidR="00E60682" w:rsidRDefault="00E60682" w:rsidP="00E60682">
      <w:pPr>
        <w:adjustRightInd w:val="0"/>
        <w:snapToGrid w:val="0"/>
        <w:spacing w:line="360" w:lineRule="auto"/>
        <w:jc w:val="center"/>
        <w:rPr>
          <w:lang w:val="en-US"/>
        </w:rPr>
      </w:pPr>
      <w:r w:rsidRPr="00E60682">
        <w:rPr>
          <w:lang w:val="en-US"/>
        </w:rPr>
        <w:t xml:space="preserve">I. </w:t>
      </w:r>
      <w:r>
        <w:rPr>
          <w:lang w:val="en-US"/>
        </w:rPr>
        <w:t>ENDS AND ENDLESSNESS</w:t>
      </w:r>
    </w:p>
    <w:p w14:paraId="67557996" w14:textId="77777777" w:rsidR="00E60682" w:rsidRPr="00E60682" w:rsidRDefault="00E60682" w:rsidP="00E60682">
      <w:pPr>
        <w:rPr>
          <w:i/>
          <w:iCs/>
          <w:lang w:val="en-US"/>
        </w:rPr>
      </w:pPr>
    </w:p>
    <w:p w14:paraId="6F6C3B2A" w14:textId="592D01B2" w:rsidR="0018385F" w:rsidRDefault="00E60682" w:rsidP="0018385F">
      <w:pPr>
        <w:spacing w:line="480" w:lineRule="auto"/>
      </w:pPr>
      <w:r w:rsidRPr="00E60682">
        <w:t xml:space="preserve">In a celebrated passage of his </w:t>
      </w:r>
      <w:r w:rsidRPr="0018385F">
        <w:rPr>
          <w:i/>
          <w:iCs/>
        </w:rPr>
        <w:t>Pensées</w:t>
      </w:r>
      <w:r w:rsidRPr="00E60682">
        <w:t xml:space="preserve"> (1670), Pascal </w:t>
      </w:r>
      <w:r w:rsidR="00F50D74">
        <w:t>picture</w:t>
      </w:r>
      <w:r w:rsidRPr="00E60682">
        <w:t xml:space="preserve">s our suspension between the measureless expanse of space and the equally immeasurable divisibility of matter, those two infinities described as well in </w:t>
      </w:r>
      <w:r w:rsidRPr="0018385F">
        <w:rPr>
          <w:i/>
          <w:iCs/>
        </w:rPr>
        <w:t xml:space="preserve">De </w:t>
      </w:r>
      <w:proofErr w:type="spellStart"/>
      <w:r w:rsidRPr="0018385F">
        <w:rPr>
          <w:i/>
          <w:iCs/>
        </w:rPr>
        <w:t>l’esprit</w:t>
      </w:r>
      <w:proofErr w:type="spellEnd"/>
      <w:r w:rsidRPr="0018385F">
        <w:rPr>
          <w:i/>
          <w:iCs/>
        </w:rPr>
        <w:t xml:space="preserve"> </w:t>
      </w:r>
      <w:proofErr w:type="spellStart"/>
      <w:r w:rsidRPr="0018385F">
        <w:rPr>
          <w:i/>
          <w:iCs/>
        </w:rPr>
        <w:t>géométrique</w:t>
      </w:r>
      <w:proofErr w:type="spellEnd"/>
      <w:r w:rsidRPr="00E60682">
        <w:t xml:space="preserve"> (written c.1657-8); the one great, the other small. </w:t>
      </w:r>
      <w:r w:rsidR="0018385F">
        <w:t>“</w:t>
      </w:r>
      <w:r w:rsidRPr="00E60682">
        <w:t>Let us,</w:t>
      </w:r>
      <w:r w:rsidR="0018385F">
        <w:t>”</w:t>
      </w:r>
      <w:r w:rsidRPr="00E60682">
        <w:t xml:space="preserve"> he proposes, </w:t>
      </w:r>
      <w:r w:rsidR="0018385F">
        <w:t>“</w:t>
      </w:r>
      <w:r w:rsidRPr="00E60682">
        <w:t>contemplate the whole of nature in its full and mighty majesty</w:t>
      </w:r>
      <w:r w:rsidR="0018385F">
        <w:t>.”</w:t>
      </w:r>
      <w:r w:rsidRPr="00E60682">
        <w:t xml:space="preserve"> On such an attempt, as the earth becomes a pinpoint in the sweep of the firmament, imagination takes over where vision falters. </w:t>
      </w:r>
      <w:r w:rsidR="0018385F">
        <w:t>“</w:t>
      </w:r>
      <w:r w:rsidRPr="00E60682">
        <w:t>And yet</w:t>
      </w:r>
      <w:r w:rsidR="0018385F">
        <w:t>”,</w:t>
      </w:r>
      <w:r w:rsidRPr="00E60682">
        <w:t xml:space="preserve"> maintains Pascal, </w:t>
      </w:r>
      <w:r w:rsidR="0018385F">
        <w:t>“</w:t>
      </w:r>
      <w:r w:rsidRPr="00E60682">
        <w:t>our imagination will grow weary of conceiving before nature of producing</w:t>
      </w:r>
      <w:r w:rsidR="0018385F">
        <w:t>”,</w:t>
      </w:r>
      <w:r w:rsidRPr="00E60682">
        <w:t xml:space="preserve"> for no idea comes near its immensity. </w:t>
      </w:r>
      <w:r w:rsidR="0018385F">
        <w:t>“</w:t>
      </w:r>
      <w:r w:rsidRPr="00E60682">
        <w:t>What</w:t>
      </w:r>
      <w:r w:rsidR="0018385F">
        <w:t>”,</w:t>
      </w:r>
      <w:r w:rsidRPr="00E60682">
        <w:t xml:space="preserve"> after all, </w:t>
      </w:r>
      <w:r w:rsidR="0018385F">
        <w:t>“</w:t>
      </w:r>
      <w:r w:rsidRPr="00E60682">
        <w:t>is man in infinity?</w:t>
      </w:r>
      <w:r w:rsidR="0018385F">
        <w:t>”</w:t>
      </w:r>
      <w:r w:rsidRPr="00E60682">
        <w:t xml:space="preserve"> Just as astonishing, however, will prove our search for </w:t>
      </w:r>
      <w:r w:rsidR="0018385F">
        <w:t>“</w:t>
      </w:r>
      <w:r w:rsidRPr="00E60682">
        <w:t>the tiniest things</w:t>
      </w:r>
      <w:r w:rsidR="0018385F">
        <w:t>.”</w:t>
      </w:r>
      <w:r w:rsidRPr="00E60682">
        <w:t xml:space="preserve"> To peer, for instance, into a mite—into </w:t>
      </w:r>
      <w:r w:rsidR="0018385F">
        <w:t>“</w:t>
      </w:r>
      <w:r w:rsidRPr="00E60682">
        <w:t>veins in its legs, blood in its veins, humours in its blood, drops in its humours</w:t>
      </w:r>
      <w:r w:rsidR="0018385F">
        <w:t>”</w:t>
      </w:r>
      <w:r w:rsidRPr="00E60682">
        <w:t xml:space="preserve"> and so on—would be to expend ourselves in division, as each </w:t>
      </w:r>
      <w:r w:rsidR="0018385F">
        <w:t>“</w:t>
      </w:r>
      <w:r w:rsidRPr="00E60682">
        <w:t>new abyss</w:t>
      </w:r>
      <w:r w:rsidR="0018385F">
        <w:t>”</w:t>
      </w:r>
      <w:r w:rsidRPr="00E60682">
        <w:t xml:space="preserve"> admits another. Caught between impossible notions of vastness and void, the infinite and infinitesimal, in nature humankind is forced to confront its own disproportion, </w:t>
      </w:r>
      <w:r w:rsidR="0018385F">
        <w:t>“</w:t>
      </w:r>
      <w:r w:rsidRPr="00E60682">
        <w:t>a mid-point between nothing and everything, infinitely far from understanding the extremes,</w:t>
      </w:r>
      <w:r w:rsidR="0018385F">
        <w:t>”</w:t>
      </w:r>
      <w:r w:rsidRPr="00E60682">
        <w:t xml:space="preserve"> even as those extremes are acknowledged—</w:t>
      </w:r>
      <w:r w:rsidRPr="00F50D74">
        <w:rPr>
          <w:i/>
          <w:iCs/>
        </w:rPr>
        <w:t>contra</w:t>
      </w:r>
      <w:r w:rsidRPr="00E60682">
        <w:t xml:space="preserve"> Aristotle’s insistence that the infinite is potential and never actual—as real.</w:t>
      </w:r>
      <w:r w:rsidR="0018385F">
        <w:rPr>
          <w:rStyle w:val="EndnoteReference"/>
        </w:rPr>
        <w:endnoteReference w:id="1"/>
      </w:r>
      <w:r w:rsidR="0018385F">
        <w:t xml:space="preserve"> </w:t>
      </w:r>
      <w:r w:rsidR="0018385F" w:rsidRPr="0018385F">
        <w:t xml:space="preserve">Both the ends of things and their beginnings remain out of reach. </w:t>
      </w:r>
    </w:p>
    <w:p w14:paraId="6E9D60ED" w14:textId="77777777" w:rsidR="0018385F" w:rsidRDefault="0018385F" w:rsidP="0018385F">
      <w:pPr>
        <w:spacing w:line="480" w:lineRule="auto"/>
      </w:pPr>
    </w:p>
    <w:p w14:paraId="3FEA1B78" w14:textId="53C8B6F3" w:rsidR="009E21A4" w:rsidRDefault="0018385F" w:rsidP="009E21A4">
      <w:pPr>
        <w:spacing w:line="480" w:lineRule="auto"/>
        <w:rPr>
          <w:lang w:val="en-US"/>
        </w:rPr>
      </w:pPr>
      <w:r>
        <w:t xml:space="preserve">Delving into nature with some initial pretence of parity, Pascal alludes </w:t>
      </w:r>
      <w:r>
        <w:rPr>
          <w:lang w:val="en-US"/>
        </w:rPr>
        <w:t xml:space="preserve">to the development and discoveries of scientific instruments—the telescope, for example, </w:t>
      </w:r>
      <w:r>
        <w:rPr>
          <w:lang w:val="en-US"/>
        </w:rPr>
        <w:lastRenderedPageBreak/>
        <w:t>and the microscope—only to show how they conclude, rightly viewed, in wonder rather than knowledge. Indeed, writing i</w:t>
      </w:r>
      <w:r w:rsidRPr="00ED3186">
        <w:rPr>
          <w:lang w:val="en-US"/>
        </w:rPr>
        <w:t>n the</w:t>
      </w:r>
      <w:r>
        <w:rPr>
          <w:lang w:val="en-US"/>
        </w:rPr>
        <w:t xml:space="preserve"> late-twentieth</w:t>
      </w:r>
      <w:r w:rsidRPr="00ED3186">
        <w:rPr>
          <w:lang w:val="en-US"/>
        </w:rPr>
        <w:t xml:space="preserve"> century, Louis Marin </w:t>
      </w:r>
      <w:r>
        <w:rPr>
          <w:lang w:val="en-US"/>
        </w:rPr>
        <w:t>saw</w:t>
      </w:r>
      <w:r w:rsidRPr="00ED3186">
        <w:rPr>
          <w:lang w:val="en-US"/>
        </w:rPr>
        <w:t xml:space="preserve"> in the existential disproportion </w:t>
      </w:r>
      <w:r>
        <w:rPr>
          <w:lang w:val="en-US"/>
        </w:rPr>
        <w:t xml:space="preserve">that </w:t>
      </w:r>
      <w:r w:rsidRPr="00ED3186">
        <w:rPr>
          <w:lang w:val="en-US"/>
        </w:rPr>
        <w:t>Pascal evokes</w:t>
      </w:r>
      <w:r>
        <w:rPr>
          <w:lang w:val="en-US"/>
        </w:rPr>
        <w:t xml:space="preserve"> </w:t>
      </w:r>
      <w:r w:rsidRPr="00ED3186">
        <w:rPr>
          <w:lang w:val="en-US"/>
        </w:rPr>
        <w:t xml:space="preserve">in </w:t>
      </w:r>
      <w:r>
        <w:rPr>
          <w:lang w:val="en-US"/>
        </w:rPr>
        <w:t xml:space="preserve">his account of </w:t>
      </w:r>
      <w:r w:rsidRPr="00ED3186">
        <w:rPr>
          <w:lang w:val="en-US"/>
        </w:rPr>
        <w:t>the mind’s encounter with the infinite, an anticipation of the Kantian sublime</w:t>
      </w:r>
      <w:r>
        <w:rPr>
          <w:lang w:val="en-US"/>
        </w:rPr>
        <w:t>.</w:t>
      </w:r>
      <w:r>
        <w:rPr>
          <w:rStyle w:val="EndnoteReference"/>
          <w:lang w:val="en-US"/>
        </w:rPr>
        <w:endnoteReference w:id="2"/>
      </w:r>
      <w:r>
        <w:rPr>
          <w:lang w:val="en-US"/>
        </w:rPr>
        <w:t xml:space="preserve"> For Pascal, even to hope to comprehend nature’s twofold infinity, which he ties to “the principles of things,” would be somewhat ridiculous, presumptuous.</w:t>
      </w:r>
      <w:r>
        <w:rPr>
          <w:rStyle w:val="EndnoteReference"/>
          <w:lang w:val="en-US"/>
        </w:rPr>
        <w:endnoteReference w:id="3"/>
      </w:r>
      <w:r>
        <w:rPr>
          <w:lang w:val="en-US"/>
        </w:rPr>
        <w:t xml:space="preserve"> But several thinkers of the seventeenth century, among them Descartes, Leibniz and Spinoza, undertook precisely such efforts to grapple with infinity, in some cases distinguishing—against the Aristotelian principle that infinity belongs to the sphere of quantity—between quantitative </w:t>
      </w:r>
      <w:r w:rsidRPr="00CC2A11">
        <w:rPr>
          <w:lang w:val="en-US"/>
        </w:rPr>
        <w:t>and</w:t>
      </w:r>
      <w:r>
        <w:rPr>
          <w:lang w:val="en-US"/>
        </w:rPr>
        <w:t xml:space="preserve"> qualitative notions, the one proper to mathematics and physics, and the other to divinity.</w:t>
      </w:r>
      <w:r>
        <w:rPr>
          <w:rStyle w:val="EndnoteReference"/>
          <w:lang w:val="en-US"/>
        </w:rPr>
        <w:endnoteReference w:id="4"/>
      </w:r>
      <w:r w:rsidR="003C2A3E">
        <w:rPr>
          <w:lang w:val="en-US"/>
        </w:rPr>
        <w:t xml:space="preserve"> Descartes, in particular, preserved in his </w:t>
      </w:r>
      <w:r w:rsidR="003C2A3E">
        <w:rPr>
          <w:i/>
          <w:iCs/>
          <w:lang w:val="en-US"/>
        </w:rPr>
        <w:t>Principia philosophiae</w:t>
      </w:r>
      <w:r w:rsidR="003C2A3E">
        <w:rPr>
          <w:lang w:val="en-US"/>
        </w:rPr>
        <w:t xml:space="preserve"> (1644)</w:t>
      </w:r>
      <w:r w:rsidR="003C2A3E">
        <w:rPr>
          <w:i/>
          <w:iCs/>
          <w:lang w:val="en-US"/>
        </w:rPr>
        <w:t xml:space="preserve"> </w:t>
      </w:r>
      <w:r w:rsidR="003C2A3E">
        <w:rPr>
          <w:lang w:val="en-US"/>
        </w:rPr>
        <w:t>the term “infinite” for God alone, preferring “indefinite” for all other cases of non-finitude or unlimitedness. The divisibility of a body or the number of stars is, that is to say, indefinite rather than infinite.</w:t>
      </w:r>
      <w:r w:rsidR="003C2A3E">
        <w:rPr>
          <w:rStyle w:val="EndnoteReference"/>
          <w:lang w:val="en-US"/>
        </w:rPr>
        <w:endnoteReference w:id="5"/>
      </w:r>
      <w:r w:rsidR="003C2A3E">
        <w:rPr>
          <w:lang w:val="en-US"/>
        </w:rPr>
        <w:t xml:space="preserve"> His institution of a sharp distinction between entities that are indefinite</w:t>
      </w:r>
      <w:r w:rsidR="00E51574">
        <w:rPr>
          <w:lang w:val="en-US"/>
        </w:rPr>
        <w:t>,</w:t>
      </w:r>
      <w:r w:rsidR="003C2A3E">
        <w:rPr>
          <w:lang w:val="en-US"/>
        </w:rPr>
        <w:t xml:space="preserve"> and the deity who is infinite</w:t>
      </w:r>
      <w:r w:rsidR="00E51574">
        <w:rPr>
          <w:lang w:val="en-US"/>
        </w:rPr>
        <w:t xml:space="preserve">, </w:t>
      </w:r>
      <w:r w:rsidR="003C2A3E">
        <w:rPr>
          <w:lang w:val="en-US"/>
        </w:rPr>
        <w:t>posits a special kind of “</w:t>
      </w:r>
      <w:r w:rsidR="003C2A3E" w:rsidRPr="007A0C92">
        <w:rPr>
          <w:lang w:val="en-US"/>
        </w:rPr>
        <w:t>ontic infinity</w:t>
      </w:r>
      <w:r w:rsidR="003C2A3E">
        <w:rPr>
          <w:lang w:val="en-US"/>
        </w:rPr>
        <w:t>”</w:t>
      </w:r>
      <w:r w:rsidR="00E51574">
        <w:rPr>
          <w:lang w:val="en-US"/>
        </w:rPr>
        <w:t xml:space="preserve"> </w:t>
      </w:r>
      <w:r w:rsidR="003C2A3E">
        <w:rPr>
          <w:lang w:val="en-US"/>
        </w:rPr>
        <w:t>which, properly understood, is not quantitative but qualitative in its indication of God’s absolute independence of being.</w:t>
      </w:r>
      <w:r w:rsidR="003C2A3E">
        <w:rPr>
          <w:rStyle w:val="EndnoteReference"/>
          <w:lang w:val="en-US"/>
        </w:rPr>
        <w:endnoteReference w:id="6"/>
      </w:r>
      <w:r w:rsidR="009E21A4">
        <w:rPr>
          <w:lang w:val="en-US"/>
        </w:rPr>
        <w:t xml:space="preserve"> By contrast, Pascal’s fragment conjoins questions of measure, concerning the infinite size and divisibility of space and matter, to the ontological notion of the unqualified difference in being of God, “the author of these wonders” in whom alone these “extremes” meet. His account leads, in consequence, to a conflation of quantitative and qualitative inflections of infinity, both of which assume a recessed </w:t>
      </w:r>
      <w:r w:rsidR="00AA6738">
        <w:rPr>
          <w:lang w:val="en-US"/>
        </w:rPr>
        <w:t>inviolacy</w:t>
      </w:r>
      <w:r w:rsidR="009E21A4">
        <w:rPr>
          <w:lang w:val="en-US"/>
        </w:rPr>
        <w:t>. Neither indefiniteness nor infinitude is empirically accessible and the pursuit of ends, whether the grandest whole or minutest part, the circumference or center, only renews the predicament—</w:t>
      </w:r>
      <w:r w:rsidR="009E21A4">
        <w:rPr>
          <w:lang w:val="en-US"/>
        </w:rPr>
        <w:lastRenderedPageBreak/>
        <w:t>the miracle and terror—of endlessness. “So let us work,” then, urges Pascal, “on thinking well.”</w:t>
      </w:r>
      <w:r w:rsidR="009E21A4" w:rsidRPr="009E21A4">
        <w:rPr>
          <w:rStyle w:val="EndnoteReference"/>
          <w:lang w:val="en-US"/>
        </w:rPr>
        <w:t xml:space="preserve"> </w:t>
      </w:r>
      <w:r w:rsidR="009E21A4">
        <w:rPr>
          <w:rStyle w:val="EndnoteReference"/>
          <w:lang w:val="en-US"/>
        </w:rPr>
        <w:endnoteReference w:id="7"/>
      </w:r>
      <w:r w:rsidR="009E21A4">
        <w:t xml:space="preserve"> </w:t>
      </w:r>
      <w:r w:rsidR="009E21A4">
        <w:rPr>
          <w:lang w:val="en-US"/>
        </w:rPr>
        <w:t>But what might this look like?</w:t>
      </w:r>
    </w:p>
    <w:p w14:paraId="0EEC960B" w14:textId="77777777" w:rsidR="00D6152C" w:rsidRDefault="00D6152C" w:rsidP="009E21A4">
      <w:pPr>
        <w:spacing w:line="480" w:lineRule="auto"/>
        <w:rPr>
          <w:lang w:val="en-US"/>
        </w:rPr>
      </w:pPr>
    </w:p>
    <w:p w14:paraId="127224E6" w14:textId="185CCE4B" w:rsidR="00D6152C" w:rsidRDefault="00D6152C" w:rsidP="00D6152C">
      <w:pPr>
        <w:spacing w:line="480" w:lineRule="auto"/>
        <w:rPr>
          <w:lang w:val="en-US"/>
        </w:rPr>
      </w:pPr>
      <w:r>
        <w:rPr>
          <w:lang w:val="en-US"/>
        </w:rPr>
        <w:t>I focus in this essay on two lyric poems from the latter half of the seventeenth century by Andrew Marvell and Margaret Cavendish, “The Garden” and “Nature’s Dress.” As with Pascal, both poems test how we might think about nature as a whole, or universal, in ways that account to varying degrees for the proliferation of particulars it entails. (A version of this comes up as well in Aristotle’s contention that “matter and the infinite are contained inside what contains them,” i.e. a whole.)</w:t>
      </w:r>
      <w:r>
        <w:rPr>
          <w:rStyle w:val="EndnoteReference"/>
          <w:lang w:val="en-US"/>
        </w:rPr>
        <w:endnoteReference w:id="8"/>
      </w:r>
      <w:r>
        <w:rPr>
          <w:lang w:val="en-US"/>
        </w:rPr>
        <w:t xml:space="preserve"> Both poems proceed, moreover, by way of wit, with that “alliance of levity and seriousness” which T. S. Eliot </w:t>
      </w:r>
      <w:r w:rsidR="006267B8">
        <w:rPr>
          <w:lang w:val="en-US"/>
        </w:rPr>
        <w:t xml:space="preserve">praised in </w:t>
      </w:r>
      <w:r>
        <w:rPr>
          <w:lang w:val="en-US"/>
        </w:rPr>
        <w:t>Marvell, and “by which the seriousness is intensified.”</w:t>
      </w:r>
      <w:r>
        <w:rPr>
          <w:rStyle w:val="EndnoteReference"/>
          <w:lang w:val="en-US"/>
        </w:rPr>
        <w:endnoteReference w:id="9"/>
      </w:r>
      <w:r>
        <w:rPr>
          <w:lang w:val="en-US"/>
        </w:rPr>
        <w:t xml:space="preserve"> </w:t>
      </w:r>
      <w:r w:rsidRPr="00D6152C">
        <w:rPr>
          <w:lang w:val="en-US"/>
        </w:rPr>
        <w:t>The question of whether their attempts resolve chiefly into a kind of wonder</w:t>
      </w:r>
      <w:r w:rsidR="008C4E51">
        <w:rPr>
          <w:lang w:val="en-US"/>
        </w:rPr>
        <w:t>—</w:t>
      </w:r>
      <w:r w:rsidRPr="00D6152C">
        <w:rPr>
          <w:lang w:val="en-US"/>
        </w:rPr>
        <w:t>or weariness</w:t>
      </w:r>
      <w:r w:rsidR="008C4E51">
        <w:rPr>
          <w:lang w:val="en-US"/>
        </w:rPr>
        <w:t>—</w:t>
      </w:r>
      <w:r w:rsidRPr="00D6152C">
        <w:rPr>
          <w:lang w:val="en-US"/>
        </w:rPr>
        <w:t>at infinity is less certain. Before turning to the poems, however, I want briefly to consider the concept of the universal, both because it seems awkwardly inseparable from the study of art, and principally, poetry, and because it has fallen for some time now under acute critical suspicion.</w:t>
      </w:r>
    </w:p>
    <w:p w14:paraId="5CA4C28B" w14:textId="77777777" w:rsidR="00D6152C" w:rsidRDefault="00D6152C" w:rsidP="00D6152C">
      <w:pPr>
        <w:spacing w:line="480" w:lineRule="auto"/>
        <w:rPr>
          <w:lang w:val="en-US"/>
        </w:rPr>
      </w:pPr>
    </w:p>
    <w:p w14:paraId="13F9E5D7" w14:textId="233EAA84" w:rsidR="00D6152C" w:rsidRDefault="00D6152C" w:rsidP="00D6152C">
      <w:pPr>
        <w:spacing w:line="480" w:lineRule="auto"/>
        <w:rPr>
          <w:lang w:val="en-CA"/>
        </w:rPr>
      </w:pPr>
      <w:r>
        <w:rPr>
          <w:lang w:val="en-US"/>
        </w:rPr>
        <w:t xml:space="preserve">The status of the universal in early modern literary studies has in recent years plummeted. Charged with tendencies to domination on metaphysical, epistemological and political grounds, it is summoned almost exclusively as an object of ideological unmasking; both an instrument of colonialism and a means, more broadly, of suppressing the resistance of the particular in various forms. Valorized, by comparison, are the virtues of multiplicity and endlessness, which may by turns be generative and relentless, whether in the shape of </w:t>
      </w:r>
      <w:r w:rsidRPr="006D7DA1">
        <w:rPr>
          <w:lang w:val="en-CA"/>
        </w:rPr>
        <w:t>the wandering dilations of romance, the abiding imminence of understanding in biblical epic</w:t>
      </w:r>
      <w:r>
        <w:rPr>
          <w:lang w:val="en-CA"/>
        </w:rPr>
        <w:t>,</w:t>
      </w:r>
      <w:r w:rsidRPr="006D7DA1">
        <w:rPr>
          <w:lang w:val="en-CA"/>
        </w:rPr>
        <w:t xml:space="preserve"> or the </w:t>
      </w:r>
      <w:r>
        <w:rPr>
          <w:lang w:val="en-CA"/>
        </w:rPr>
        <w:t xml:space="preserve">explosion </w:t>
      </w:r>
      <w:r w:rsidRPr="006D7DA1">
        <w:rPr>
          <w:lang w:val="en-CA"/>
        </w:rPr>
        <w:t xml:space="preserve">of </w:t>
      </w:r>
      <w:r>
        <w:rPr>
          <w:lang w:val="en-CA"/>
        </w:rPr>
        <w:t>objects</w:t>
      </w:r>
      <w:r w:rsidRPr="006D7DA1">
        <w:rPr>
          <w:lang w:val="en-CA"/>
        </w:rPr>
        <w:t xml:space="preserve"> in </w:t>
      </w:r>
      <w:r w:rsidRPr="006D7DA1">
        <w:rPr>
          <w:lang w:val="en-CA"/>
        </w:rPr>
        <w:lastRenderedPageBreak/>
        <w:t xml:space="preserve">empirical study—what David Carroll Simon </w:t>
      </w:r>
      <w:r w:rsidR="00556698">
        <w:rPr>
          <w:lang w:val="en-CA"/>
        </w:rPr>
        <w:t>calls</w:t>
      </w:r>
      <w:r w:rsidRPr="006D7DA1">
        <w:rPr>
          <w:lang w:val="en-CA"/>
        </w:rPr>
        <w:t xml:space="preserve"> a suspended </w:t>
      </w:r>
      <w:r w:rsidR="0024698F">
        <w:rPr>
          <w:lang w:val="en-CA"/>
        </w:rPr>
        <w:t>“</w:t>
      </w:r>
      <w:r w:rsidRPr="006D7DA1">
        <w:rPr>
          <w:lang w:val="en-CA"/>
        </w:rPr>
        <w:t>middle space of open-ended investigation</w:t>
      </w:r>
      <w:r w:rsidR="0024698F">
        <w:rPr>
          <w:lang w:val="en-CA"/>
        </w:rPr>
        <w:t>,”</w:t>
      </w:r>
      <w:r>
        <w:rPr>
          <w:lang w:val="en-CA"/>
        </w:rPr>
        <w:t xml:space="preserve"> opposed to </w:t>
      </w:r>
      <w:r w:rsidR="0024698F">
        <w:rPr>
          <w:lang w:val="en-CA"/>
        </w:rPr>
        <w:t xml:space="preserve">the </w:t>
      </w:r>
      <w:r>
        <w:rPr>
          <w:lang w:val="en-CA"/>
        </w:rPr>
        <w:t>Aristotelian emphasis on beginnings and ends.</w:t>
      </w:r>
      <w:r w:rsidR="0024698F">
        <w:rPr>
          <w:rStyle w:val="EndnoteReference"/>
          <w:lang w:val="en-CA"/>
        </w:rPr>
        <w:endnoteReference w:id="10"/>
      </w:r>
      <w:r w:rsidR="00556698">
        <w:rPr>
          <w:lang w:val="en-CA"/>
        </w:rPr>
        <w:t xml:space="preserve"> We witness across scholarly spheres a renewed interest in approaches that describe themselves as decentralizing and provincializing, via investigations of imperialist projects and the categories of the human they invent and enforce to the intersections between religion and race-making to the related field of literature and science. In a recent leading study, Debapriya Sarkar appeals to a literary epistemology that is “practical rather than theorized… particular rather than universal.”</w:t>
      </w:r>
      <w:r w:rsidR="00556698">
        <w:rPr>
          <w:rStyle w:val="EndnoteReference"/>
          <w:lang w:val="en-CA"/>
        </w:rPr>
        <w:endnoteReference w:id="11"/>
      </w:r>
    </w:p>
    <w:p w14:paraId="25CDA410" w14:textId="77777777" w:rsidR="00404BB4" w:rsidRDefault="00404BB4" w:rsidP="008804E8">
      <w:pPr>
        <w:spacing w:line="480" w:lineRule="auto"/>
        <w:rPr>
          <w:lang w:val="en-CA"/>
        </w:rPr>
      </w:pPr>
    </w:p>
    <w:p w14:paraId="1A9B2077" w14:textId="7F048669" w:rsidR="007B65C3" w:rsidRDefault="00404BB4" w:rsidP="008804E8">
      <w:pPr>
        <w:spacing w:line="480" w:lineRule="auto"/>
        <w:rPr>
          <w:lang w:val="en-CA"/>
        </w:rPr>
      </w:pPr>
      <w:r>
        <w:rPr>
          <w:lang w:val="en-CA"/>
        </w:rPr>
        <w:t>This powerful mistrust of the universal is in many respects compelling and warranted. Drawing on the work of decolonial theorists, scholars have shown how systems of classification constructed in classical antiquity and entrenched in the Renaissance, by specific groups of people, were spuriously endowed with a separate and objective ontological validity.</w:t>
      </w:r>
      <w:r>
        <w:rPr>
          <w:rStyle w:val="EndnoteReference"/>
          <w:lang w:val="en-CA"/>
        </w:rPr>
        <w:endnoteReference w:id="12"/>
      </w:r>
      <w:r w:rsidR="008804E8">
        <w:rPr>
          <w:lang w:val="en-CA"/>
        </w:rPr>
        <w:t xml:space="preserve"> In other words, hierarchical categories, such as </w:t>
      </w:r>
      <w:r w:rsidR="00D508A0">
        <w:rPr>
          <w:lang w:val="en-CA"/>
        </w:rPr>
        <w:t>“</w:t>
      </w:r>
      <w:r w:rsidR="008804E8">
        <w:rPr>
          <w:lang w:val="en-CA"/>
        </w:rPr>
        <w:t>the human,</w:t>
      </w:r>
      <w:r w:rsidR="00D508A0">
        <w:rPr>
          <w:lang w:val="en-CA"/>
        </w:rPr>
        <w:t>”</w:t>
      </w:r>
      <w:r w:rsidR="008804E8">
        <w:rPr>
          <w:lang w:val="en-CA"/>
        </w:rPr>
        <w:t xml:space="preserve"> in which some people freely participate, and into which far more are forcibly drafted, are falsely presented as metaphysically given. The problem is that systems of organisation which are, in truth, deeply local productions masquerade as universal in claiming to cover a wide variety of people and things, while these people and things have little say in how they are encompassed under the shelter of the universal. Yet this need not imply that the very possibility of the universal is itself a danger, that there are no alternatives to the counterfeit models with which we are so familiar. Simply put, might we develop ways of thinking that aspire to understand things as a whole and in principle without becoming indifferent, or even antagonistic to those things in the process?</w:t>
      </w:r>
    </w:p>
    <w:p w14:paraId="43A2ED71" w14:textId="77777777" w:rsidR="007773B8" w:rsidRDefault="007773B8" w:rsidP="008804E8">
      <w:pPr>
        <w:spacing w:line="480" w:lineRule="auto"/>
        <w:rPr>
          <w:lang w:val="en-CA"/>
        </w:rPr>
      </w:pPr>
    </w:p>
    <w:p w14:paraId="485CD39B" w14:textId="091AEC39" w:rsidR="007B65C3" w:rsidRDefault="007B65C3" w:rsidP="007B65C3">
      <w:pPr>
        <w:spacing w:line="480" w:lineRule="auto"/>
        <w:jc w:val="center"/>
        <w:rPr>
          <w:lang w:val="en-CA"/>
        </w:rPr>
      </w:pPr>
      <w:r>
        <w:rPr>
          <w:lang w:val="en-CA"/>
        </w:rPr>
        <w:lastRenderedPageBreak/>
        <w:t>II. THE VEXATIONS OF ART</w:t>
      </w:r>
    </w:p>
    <w:p w14:paraId="3158B627" w14:textId="3B3926C0" w:rsidR="007B65C3" w:rsidRDefault="007B65C3" w:rsidP="007B65C3">
      <w:pPr>
        <w:spacing w:line="480" w:lineRule="auto"/>
        <w:rPr>
          <w:color w:val="000000" w:themeColor="text1"/>
          <w:spacing w:val="-2"/>
          <w:shd w:val="clear" w:color="auto" w:fill="FFFFFF"/>
        </w:rPr>
      </w:pPr>
      <w:r>
        <w:rPr>
          <w:lang w:val="en-CA"/>
        </w:rPr>
        <w:t xml:space="preserve">Forgoing the universal seems </w:t>
      </w:r>
      <w:r w:rsidR="003B337D">
        <w:rPr>
          <w:lang w:val="en-CA"/>
        </w:rPr>
        <w:t>tricky</w:t>
      </w:r>
      <w:r>
        <w:rPr>
          <w:lang w:val="en-CA"/>
        </w:rPr>
        <w:t xml:space="preserve"> and somewhat unsatisfying. Attempts to overcome it share by necessity in that pursuit of transcendence, or climbing beyond (</w:t>
      </w:r>
      <w:r w:rsidRPr="002C76B0">
        <w:rPr>
          <w:i/>
          <w:iCs/>
          <w:lang w:val="en-CA"/>
        </w:rPr>
        <w:t>trans</w:t>
      </w:r>
      <w:r w:rsidRPr="002C76B0">
        <w:rPr>
          <w:lang w:val="en-CA"/>
        </w:rPr>
        <w:t xml:space="preserve"> + </w:t>
      </w:r>
      <w:proofErr w:type="spellStart"/>
      <w:r w:rsidRPr="002C76B0">
        <w:rPr>
          <w:i/>
          <w:iCs/>
          <w:lang w:val="en-CA"/>
        </w:rPr>
        <w:t>scandĕre</w:t>
      </w:r>
      <w:proofErr w:type="spellEnd"/>
      <w:r>
        <w:rPr>
          <w:lang w:val="en-CA"/>
        </w:rPr>
        <w:t>)</w:t>
      </w:r>
      <w:r w:rsidR="00A45B90">
        <w:rPr>
          <w:lang w:val="en-CA"/>
        </w:rPr>
        <w:t>,</w:t>
      </w:r>
      <w:r>
        <w:rPr>
          <w:lang w:val="en-CA"/>
        </w:rPr>
        <w:t xml:space="preserve"> they disparage. More interestingly, since Aristotle, and certainly for early modern writers, the fortunes of poetry and the universal were entangled; our critique of one enfolds the other and has consequences for both. </w:t>
      </w:r>
      <w:r w:rsidRPr="00287CF0">
        <w:rPr>
          <w:i/>
          <w:iCs/>
          <w:color w:val="000000" w:themeColor="text1"/>
          <w:spacing w:val="-2"/>
          <w:shd w:val="clear" w:color="auto" w:fill="FFFFFF"/>
        </w:rPr>
        <w:t xml:space="preserve">De </w:t>
      </w:r>
      <w:proofErr w:type="spellStart"/>
      <w:r w:rsidRPr="00287CF0">
        <w:rPr>
          <w:i/>
          <w:iCs/>
          <w:color w:val="000000" w:themeColor="text1"/>
          <w:spacing w:val="-2"/>
          <w:shd w:val="clear" w:color="auto" w:fill="FFFFFF"/>
        </w:rPr>
        <w:t>Interpretatione</w:t>
      </w:r>
      <w:proofErr w:type="spellEnd"/>
      <w:r>
        <w:rPr>
          <w:color w:val="000000" w:themeColor="text1"/>
          <w:spacing w:val="-2"/>
          <w:shd w:val="clear" w:color="auto" w:fill="FFFFFF"/>
        </w:rPr>
        <w:t xml:space="preserve"> defines the universal as that which is by nature predicated (</w:t>
      </w:r>
      <w:proofErr w:type="spellStart"/>
      <w:r>
        <w:rPr>
          <w:color w:val="000000" w:themeColor="text1"/>
          <w:spacing w:val="-2"/>
          <w:shd w:val="clear" w:color="auto" w:fill="FFFFFF"/>
        </w:rPr>
        <w:t>katēgoreistai</w:t>
      </w:r>
      <w:proofErr w:type="spellEnd"/>
      <w:r>
        <w:rPr>
          <w:color w:val="000000" w:themeColor="text1"/>
          <w:spacing w:val="-2"/>
          <w:shd w:val="clear" w:color="auto" w:fill="FFFFFF"/>
        </w:rPr>
        <w:t xml:space="preserve">) of many things, while the particular is that which is not, and </w:t>
      </w:r>
      <w:r>
        <w:rPr>
          <w:lang w:val="en-CA"/>
        </w:rPr>
        <w:t xml:space="preserve">the </w:t>
      </w:r>
      <w:r>
        <w:rPr>
          <w:i/>
          <w:iCs/>
          <w:lang w:val="en-CA"/>
        </w:rPr>
        <w:t>Poetics</w:t>
      </w:r>
      <w:r>
        <w:rPr>
          <w:lang w:val="en-CA"/>
        </w:rPr>
        <w:t xml:space="preserve"> names the universal the principal concern of poetry</w:t>
      </w:r>
      <w:r>
        <w:rPr>
          <w:color w:val="000000" w:themeColor="text1"/>
          <w:spacing w:val="-2"/>
          <w:shd w:val="clear" w:color="auto" w:fill="FFFFFF"/>
        </w:rPr>
        <w:t>.</w:t>
      </w:r>
      <w:r>
        <w:rPr>
          <w:rStyle w:val="EndnoteReference"/>
          <w:color w:val="000000" w:themeColor="text1"/>
          <w:spacing w:val="-2"/>
          <w:shd w:val="clear" w:color="auto" w:fill="FFFFFF"/>
        </w:rPr>
        <w:endnoteReference w:id="13"/>
      </w:r>
      <w:r w:rsidR="00D508A0">
        <w:rPr>
          <w:color w:val="000000" w:themeColor="text1"/>
          <w:spacing w:val="-2"/>
          <w:shd w:val="clear" w:color="auto" w:fill="FFFFFF"/>
        </w:rPr>
        <w:t xml:space="preserve"> </w:t>
      </w:r>
      <w:r w:rsidR="00D508A0">
        <w:rPr>
          <w:lang w:val="en-CA"/>
        </w:rPr>
        <w:t xml:space="preserve">Early in the </w:t>
      </w:r>
      <w:r w:rsidR="00D508A0">
        <w:rPr>
          <w:i/>
          <w:iCs/>
          <w:lang w:val="en-CA"/>
        </w:rPr>
        <w:t>Metaphysics</w:t>
      </w:r>
      <w:r w:rsidR="00D508A0">
        <w:rPr>
          <w:lang w:val="en-CA"/>
        </w:rPr>
        <w:t xml:space="preserve">, Aristotle allies both art and science, </w:t>
      </w:r>
      <w:proofErr w:type="spellStart"/>
      <w:r w:rsidR="00D508A0">
        <w:rPr>
          <w:lang w:val="en-CA"/>
        </w:rPr>
        <w:t>technē</w:t>
      </w:r>
      <w:proofErr w:type="spellEnd"/>
      <w:r w:rsidR="00D508A0">
        <w:rPr>
          <w:lang w:val="en-CA"/>
        </w:rPr>
        <w:t xml:space="preserve"> and </w:t>
      </w:r>
      <w:proofErr w:type="spellStart"/>
      <w:r w:rsidR="00D508A0">
        <w:rPr>
          <w:lang w:val="en-CA"/>
        </w:rPr>
        <w:t>epistēmē</w:t>
      </w:r>
      <w:proofErr w:type="spellEnd"/>
      <w:r w:rsidR="00D508A0">
        <w:rPr>
          <w:lang w:val="en-CA"/>
        </w:rPr>
        <w:t>, with the knowledge of universals (</w:t>
      </w:r>
      <w:r w:rsidR="00D508A0">
        <w:t xml:space="preserve">ta </w:t>
      </w:r>
      <w:proofErr w:type="spellStart"/>
      <w:r w:rsidR="00D508A0">
        <w:t>katholou</w:t>
      </w:r>
      <w:proofErr w:type="spellEnd"/>
      <w:r w:rsidR="00D508A0">
        <w:t>)</w:t>
      </w:r>
      <w:r w:rsidR="00D508A0">
        <w:rPr>
          <w:lang w:val="en-CA"/>
        </w:rPr>
        <w:t xml:space="preserve">, while experience is </w:t>
      </w:r>
      <w:r w:rsidR="00291D41">
        <w:rPr>
          <w:lang w:val="en-CA"/>
        </w:rPr>
        <w:t xml:space="preserve">cast </w:t>
      </w:r>
      <w:r w:rsidR="00D508A0">
        <w:rPr>
          <w:lang w:val="en-CA"/>
        </w:rPr>
        <w:t>as the knowledge of particulars (</w:t>
      </w:r>
      <w:r w:rsidR="00D508A0" w:rsidRPr="00D52764">
        <w:t xml:space="preserve">ta </w:t>
      </w:r>
      <w:proofErr w:type="spellStart"/>
      <w:r w:rsidR="00D508A0" w:rsidRPr="00D52764">
        <w:t>kath</w:t>
      </w:r>
      <w:proofErr w:type="spellEnd"/>
      <w:r w:rsidR="00D508A0" w:rsidRPr="00D52764">
        <w:t xml:space="preserve">’ </w:t>
      </w:r>
      <w:proofErr w:type="spellStart"/>
      <w:r w:rsidR="00D508A0" w:rsidRPr="00D52764">
        <w:t>hekasta</w:t>
      </w:r>
      <w:proofErr w:type="spellEnd"/>
      <w:r w:rsidR="00D508A0">
        <w:t>). More precisely</w:t>
      </w:r>
      <w:r w:rsidR="00D508A0" w:rsidRPr="00287CF0">
        <w:rPr>
          <w:color w:val="000000" w:themeColor="text1"/>
        </w:rPr>
        <w:t>,</w:t>
      </w:r>
      <w:r w:rsidR="00D508A0">
        <w:rPr>
          <w:color w:val="000000" w:themeColor="text1"/>
        </w:rPr>
        <w:t xml:space="preserve"> “[a]</w:t>
      </w:r>
      <w:r w:rsidR="00D508A0" w:rsidRPr="00287CF0">
        <w:rPr>
          <w:color w:val="000000" w:themeColor="text1"/>
          <w:spacing w:val="-2"/>
          <w:shd w:val="clear" w:color="auto" w:fill="FFFFFF"/>
        </w:rPr>
        <w:t xml:space="preserve">rt is produced when from many </w:t>
      </w:r>
      <w:r w:rsidR="00D508A0" w:rsidRPr="00287CF0">
        <w:rPr>
          <w:i/>
          <w:iCs/>
          <w:color w:val="000000" w:themeColor="text1"/>
          <w:spacing w:val="-2"/>
          <w:shd w:val="clear" w:color="auto" w:fill="FFFFFF"/>
        </w:rPr>
        <w:t>notions</w:t>
      </w:r>
      <w:r w:rsidR="00D508A0">
        <w:rPr>
          <w:color w:val="000000" w:themeColor="text1"/>
          <w:spacing w:val="-2"/>
          <w:shd w:val="clear" w:color="auto" w:fill="FFFFFF"/>
        </w:rPr>
        <w:t xml:space="preserve"> (</w:t>
      </w:r>
      <w:proofErr w:type="spellStart"/>
      <w:r w:rsidR="00D508A0" w:rsidRPr="00480417">
        <w:rPr>
          <w:color w:val="000000" w:themeColor="text1"/>
          <w:spacing w:val="-2"/>
          <w:shd w:val="clear" w:color="auto" w:fill="FFFFFF"/>
        </w:rPr>
        <w:t>ennoimá</w:t>
      </w:r>
      <w:r w:rsidR="00D508A0">
        <w:rPr>
          <w:color w:val="000000" w:themeColor="text1"/>
          <w:spacing w:val="-2"/>
          <w:shd w:val="clear" w:color="auto" w:fill="FFFFFF"/>
        </w:rPr>
        <w:t>ton</w:t>
      </w:r>
      <w:proofErr w:type="spellEnd"/>
      <w:r w:rsidR="00D508A0">
        <w:rPr>
          <w:color w:val="000000" w:themeColor="text1"/>
          <w:spacing w:val="-2"/>
          <w:shd w:val="clear" w:color="auto" w:fill="FFFFFF"/>
        </w:rPr>
        <w:t>)</w:t>
      </w:r>
      <w:r w:rsidR="00D508A0" w:rsidRPr="00287CF0">
        <w:rPr>
          <w:i/>
          <w:iCs/>
          <w:color w:val="000000" w:themeColor="text1"/>
          <w:spacing w:val="-2"/>
          <w:shd w:val="clear" w:color="auto" w:fill="FFFFFF"/>
        </w:rPr>
        <w:t xml:space="preserve"> </w:t>
      </w:r>
      <w:r w:rsidR="00D508A0" w:rsidRPr="00480417">
        <w:rPr>
          <w:color w:val="000000" w:themeColor="text1"/>
          <w:spacing w:val="-2"/>
          <w:shd w:val="clear" w:color="auto" w:fill="FFFFFF"/>
        </w:rPr>
        <w:t>of experience</w:t>
      </w:r>
      <w:r w:rsidR="00D508A0" w:rsidRPr="00287CF0">
        <w:rPr>
          <w:color w:val="000000" w:themeColor="text1"/>
          <w:spacing w:val="-2"/>
          <w:shd w:val="clear" w:color="auto" w:fill="FFFFFF"/>
        </w:rPr>
        <w:t> a single universal judgement is formed with regard to like objects.</w:t>
      </w:r>
      <w:r w:rsidR="00D508A0">
        <w:rPr>
          <w:color w:val="000000" w:themeColor="text1"/>
          <w:spacing w:val="-2"/>
          <w:shd w:val="clear" w:color="auto" w:fill="FFFFFF"/>
        </w:rPr>
        <w:t>”</w:t>
      </w:r>
      <w:r w:rsidR="00D508A0">
        <w:rPr>
          <w:rStyle w:val="EndnoteReference"/>
          <w:color w:val="000000" w:themeColor="text1"/>
          <w:spacing w:val="-2"/>
          <w:shd w:val="clear" w:color="auto" w:fill="FFFFFF"/>
        </w:rPr>
        <w:endnoteReference w:id="14"/>
      </w:r>
    </w:p>
    <w:p w14:paraId="7FDF1CE6" w14:textId="77777777" w:rsidR="00C501AF" w:rsidRDefault="00C501AF" w:rsidP="007B65C3">
      <w:pPr>
        <w:spacing w:line="480" w:lineRule="auto"/>
        <w:rPr>
          <w:color w:val="000000" w:themeColor="text1"/>
          <w:spacing w:val="-2"/>
          <w:shd w:val="clear" w:color="auto" w:fill="FFFFFF"/>
        </w:rPr>
      </w:pPr>
    </w:p>
    <w:p w14:paraId="4586E0A4" w14:textId="47415B80" w:rsidR="005739F4" w:rsidRDefault="00C501AF" w:rsidP="005739F4">
      <w:pPr>
        <w:spacing w:line="480" w:lineRule="auto"/>
        <w:rPr>
          <w:color w:val="000000" w:themeColor="text1"/>
          <w:spacing w:val="-2"/>
          <w:shd w:val="clear" w:color="auto" w:fill="FFFFFF"/>
        </w:rPr>
      </w:pPr>
      <w:r>
        <w:rPr>
          <w:color w:val="000000" w:themeColor="text1"/>
          <w:spacing w:val="-2"/>
          <w:shd w:val="clear" w:color="auto" w:fill="FFFFFF"/>
        </w:rPr>
        <w:t>This brief but influential account asserts, first of all, that art involves the formation of universals, which in turn involve constraint; a movement from many to one. At the same time, this process of making depends on experience and, therefore, on particulars. Herein lies the difficulty, previously observed, of the exclusion of those properties peculiar to things as particulars; the further thought ascends from a plurality of particulars to yield a concept of their manifold, the less such a concept can be justly deployed to determine them. But another problem, a prior one, persists, for “experience” is not conjured by Aristotle as some kind of pure particularity. Invoked from the start as “notions of experience,” and said to be reliant on memory, it arrives as already partly conceptual.</w:t>
      </w:r>
      <w:r>
        <w:rPr>
          <w:rStyle w:val="EndnoteReference"/>
          <w:color w:val="000000" w:themeColor="text1"/>
          <w:spacing w:val="-2"/>
          <w:shd w:val="clear" w:color="auto" w:fill="FFFFFF"/>
        </w:rPr>
        <w:endnoteReference w:id="15"/>
      </w:r>
      <w:r>
        <w:rPr>
          <w:color w:val="000000" w:themeColor="text1"/>
          <w:spacing w:val="-2"/>
          <w:shd w:val="clear" w:color="auto" w:fill="FFFFFF"/>
        </w:rPr>
        <w:t xml:space="preserve"> What ostensibly begins as a set of neat distinctions grows hard to maintain. Although Aristotle firmly associates art and science with universals </w:t>
      </w:r>
      <w:r>
        <w:rPr>
          <w:color w:val="000000" w:themeColor="text1"/>
          <w:spacing w:val="-2"/>
          <w:shd w:val="clear" w:color="auto" w:fill="FFFFFF"/>
        </w:rPr>
        <w:lastRenderedPageBreak/>
        <w:t xml:space="preserve">and announces the superiority of the knowledge of universals, establishing thereby an asymmetrical relation, he also admits a puzzle fundamental to both forms of knowledge: </w:t>
      </w:r>
      <w:r w:rsidR="00DB79AD">
        <w:rPr>
          <w:color w:val="000000" w:themeColor="text1"/>
          <w:spacing w:val="-2"/>
          <w:shd w:val="clear" w:color="auto" w:fill="FFFFFF"/>
        </w:rPr>
        <w:t>namely</w:t>
      </w:r>
      <w:r>
        <w:rPr>
          <w:color w:val="000000" w:themeColor="text1"/>
          <w:spacing w:val="-2"/>
          <w:shd w:val="clear" w:color="auto" w:fill="FFFFFF"/>
        </w:rPr>
        <w:t xml:space="preserve">, the uncertain dialectic between the particular and universal, </w:t>
      </w:r>
      <w:r w:rsidR="005739F4">
        <w:rPr>
          <w:color w:val="000000" w:themeColor="text1"/>
          <w:spacing w:val="-2"/>
          <w:shd w:val="clear" w:color="auto" w:fill="FFFFFF"/>
        </w:rPr>
        <w:t>designated</w:t>
      </w:r>
      <w:r>
        <w:rPr>
          <w:color w:val="000000" w:themeColor="text1"/>
          <w:spacing w:val="-2"/>
          <w:shd w:val="clear" w:color="auto" w:fill="FFFFFF"/>
        </w:rPr>
        <w:t xml:space="preserve"> in Metaphysics B </w:t>
      </w:r>
      <w:r w:rsidR="005739F4">
        <w:rPr>
          <w:color w:val="000000" w:themeColor="text1"/>
          <w:spacing w:val="-2"/>
          <w:shd w:val="clear" w:color="auto" w:fill="FFFFFF"/>
        </w:rPr>
        <w:t xml:space="preserve">as </w:t>
      </w:r>
      <w:r>
        <w:rPr>
          <w:color w:val="000000" w:themeColor="text1"/>
          <w:spacing w:val="-2"/>
          <w:shd w:val="clear" w:color="auto" w:fill="FFFFFF"/>
        </w:rPr>
        <w:t xml:space="preserve">the </w:t>
      </w:r>
      <w:r>
        <w:rPr>
          <w:i/>
          <w:iCs/>
          <w:color w:val="000000" w:themeColor="text1"/>
          <w:spacing w:val="-2"/>
          <w:shd w:val="clear" w:color="auto" w:fill="FFFFFF"/>
        </w:rPr>
        <w:t>aporia</w:t>
      </w:r>
      <w:r>
        <w:rPr>
          <w:color w:val="000000" w:themeColor="text1"/>
          <w:spacing w:val="-2"/>
          <w:shd w:val="clear" w:color="auto" w:fill="FFFFFF"/>
        </w:rPr>
        <w:t xml:space="preserve"> </w:t>
      </w:r>
      <w:r w:rsidR="005739F4">
        <w:rPr>
          <w:color w:val="000000" w:themeColor="text1"/>
          <w:spacing w:val="-2"/>
          <w:shd w:val="clear" w:color="auto" w:fill="FFFFFF"/>
        </w:rPr>
        <w:t xml:space="preserve">greatest </w:t>
      </w:r>
      <w:r>
        <w:rPr>
          <w:color w:val="000000" w:themeColor="text1"/>
          <w:spacing w:val="-2"/>
          <w:shd w:val="clear" w:color="auto" w:fill="FFFFFF"/>
        </w:rPr>
        <w:t>of all, and most in need of examination</w:t>
      </w:r>
      <w:r w:rsidRPr="00D227CE">
        <w:rPr>
          <w:color w:val="000000" w:themeColor="text1"/>
          <w:spacing w:val="-2"/>
          <w:shd w:val="clear" w:color="auto" w:fill="FFFFFF"/>
        </w:rPr>
        <w:t>.</w:t>
      </w:r>
      <w:r w:rsidRPr="00D227CE">
        <w:rPr>
          <w:rStyle w:val="EndnoteReference"/>
          <w:color w:val="000000" w:themeColor="text1"/>
          <w:spacing w:val="-2"/>
          <w:shd w:val="clear" w:color="auto" w:fill="FFFFFF"/>
        </w:rPr>
        <w:endnoteReference w:id="16"/>
      </w:r>
      <w:r w:rsidRPr="00D227CE">
        <w:rPr>
          <w:color w:val="000000" w:themeColor="text1"/>
          <w:spacing w:val="-2"/>
          <w:shd w:val="clear" w:color="auto" w:fill="FFFFFF"/>
        </w:rPr>
        <w:t xml:space="preserve"> He </w:t>
      </w:r>
      <w:r w:rsidR="005739F4" w:rsidRPr="00D227CE">
        <w:rPr>
          <w:color w:val="000000" w:themeColor="text1"/>
          <w:spacing w:val="-2"/>
          <w:shd w:val="clear" w:color="auto" w:fill="FFFFFF"/>
        </w:rPr>
        <w:t>accentuates</w:t>
      </w:r>
      <w:r w:rsidRPr="00D227CE">
        <w:rPr>
          <w:color w:val="000000" w:themeColor="text1"/>
          <w:spacing w:val="-2"/>
          <w:shd w:val="clear" w:color="auto" w:fill="FFFFFF"/>
        </w:rPr>
        <w:t xml:space="preserve">, then, the question that </w:t>
      </w:r>
      <w:r w:rsidR="005739F4" w:rsidRPr="00D227CE">
        <w:rPr>
          <w:color w:val="000000" w:themeColor="text1"/>
          <w:spacing w:val="-2"/>
          <w:shd w:val="clear" w:color="auto" w:fill="FFFFFF"/>
        </w:rPr>
        <w:t>would go on</w:t>
      </w:r>
      <w:r w:rsidRPr="00D227CE">
        <w:rPr>
          <w:color w:val="000000" w:themeColor="text1"/>
          <w:spacing w:val="-2"/>
          <w:shd w:val="clear" w:color="auto" w:fill="FFFFFF"/>
        </w:rPr>
        <w:t xml:space="preserve"> to exercise thinkers from Plotinus to Kant and beyond</w:t>
      </w:r>
      <w:r w:rsidR="009B322E" w:rsidRPr="00D227CE">
        <w:rPr>
          <w:color w:val="000000" w:themeColor="text1"/>
          <w:spacing w:val="-2"/>
          <w:shd w:val="clear" w:color="auto" w:fill="FFFFFF"/>
        </w:rPr>
        <w:t xml:space="preserve">; namely, </w:t>
      </w:r>
      <w:r w:rsidRPr="00D227CE">
        <w:rPr>
          <w:color w:val="000000" w:themeColor="text1"/>
          <w:spacing w:val="-2"/>
          <w:shd w:val="clear" w:color="auto" w:fill="FFFFFF"/>
        </w:rPr>
        <w:t>how to reconcile these poles</w:t>
      </w:r>
      <w:r>
        <w:rPr>
          <w:color w:val="000000" w:themeColor="text1"/>
          <w:spacing w:val="-2"/>
          <w:shd w:val="clear" w:color="auto" w:fill="FFFFFF"/>
        </w:rPr>
        <w:t>.</w:t>
      </w:r>
      <w:r>
        <w:rPr>
          <w:rStyle w:val="EndnoteReference"/>
          <w:color w:val="000000" w:themeColor="text1"/>
          <w:spacing w:val="-2"/>
          <w:shd w:val="clear" w:color="auto" w:fill="FFFFFF"/>
        </w:rPr>
        <w:endnoteReference w:id="17"/>
      </w:r>
      <w:r w:rsidR="005739F4">
        <w:rPr>
          <w:color w:val="000000" w:themeColor="text1"/>
          <w:spacing w:val="-2"/>
          <w:shd w:val="clear" w:color="auto" w:fill="FFFFFF"/>
        </w:rPr>
        <w:t xml:space="preserve"> </w:t>
      </w:r>
      <w:r w:rsidR="005739F4" w:rsidRPr="005739F4">
        <w:rPr>
          <w:color w:val="000000" w:themeColor="text1"/>
          <w:spacing w:val="-2"/>
          <w:shd w:val="clear" w:color="auto" w:fill="FFFFFF"/>
        </w:rPr>
        <w:t xml:space="preserve">And </w:t>
      </w:r>
      <w:r w:rsidR="00D227CE">
        <w:rPr>
          <w:color w:val="000000" w:themeColor="text1"/>
          <w:spacing w:val="-2"/>
          <w:shd w:val="clear" w:color="auto" w:fill="FFFFFF"/>
        </w:rPr>
        <w:t xml:space="preserve">in </w:t>
      </w:r>
      <w:r w:rsidR="005739F4" w:rsidRPr="005739F4">
        <w:rPr>
          <w:color w:val="000000" w:themeColor="text1"/>
          <w:spacing w:val="-2"/>
          <w:shd w:val="clear" w:color="auto" w:fill="FFFFFF"/>
        </w:rPr>
        <w:t>doing</w:t>
      </w:r>
      <w:r w:rsidR="00D227CE">
        <w:rPr>
          <w:color w:val="000000" w:themeColor="text1"/>
          <w:spacing w:val="-2"/>
          <w:shd w:val="clear" w:color="auto" w:fill="FFFFFF"/>
        </w:rPr>
        <w:t xml:space="preserve"> so</w:t>
      </w:r>
      <w:r w:rsidR="005739F4" w:rsidRPr="005739F4">
        <w:rPr>
          <w:color w:val="000000" w:themeColor="text1"/>
          <w:spacing w:val="-2"/>
          <w:shd w:val="clear" w:color="auto" w:fill="FFFFFF"/>
        </w:rPr>
        <w:t xml:space="preserve">, he provokes our thinking about thinking itself, which, he seems to suggest, runs the risk of settling into another species of avowed endlessness, drifting from one extreme to the other and back again. </w:t>
      </w:r>
    </w:p>
    <w:p w14:paraId="09CD67D2" w14:textId="77777777" w:rsidR="0009250B" w:rsidRDefault="0009250B" w:rsidP="005739F4">
      <w:pPr>
        <w:spacing w:line="480" w:lineRule="auto"/>
        <w:rPr>
          <w:color w:val="000000" w:themeColor="text1"/>
          <w:spacing w:val="-2"/>
          <w:shd w:val="clear" w:color="auto" w:fill="FFFFFF"/>
        </w:rPr>
      </w:pPr>
    </w:p>
    <w:p w14:paraId="3B0C6911" w14:textId="7DC151D7" w:rsidR="00A52E88" w:rsidRDefault="0009250B" w:rsidP="00A52E88">
      <w:pPr>
        <w:spacing w:line="480" w:lineRule="auto"/>
        <w:rPr>
          <w:color w:val="000000" w:themeColor="text1"/>
          <w:spacing w:val="-2"/>
          <w:shd w:val="clear" w:color="auto" w:fill="FFFFFF"/>
        </w:rPr>
      </w:pPr>
      <w:r w:rsidRPr="00A52E88">
        <w:rPr>
          <w:color w:val="000000" w:themeColor="text1"/>
          <w:spacing w:val="-2"/>
          <w:shd w:val="clear" w:color="auto" w:fill="FFFFFF"/>
        </w:rPr>
        <w:t>In the early seventeenth century, the dynamic struggle between the particular and universal reappears, to take one example, in Francis Bacon’s energetic and unsettling portrayals of the activity of natural philosophy.</w:t>
      </w:r>
      <w:r w:rsidR="00F105AC" w:rsidRPr="00A52E88">
        <w:rPr>
          <w:color w:val="000000" w:themeColor="text1"/>
          <w:spacing w:val="-2"/>
          <w:shd w:val="clear" w:color="auto" w:fill="FFFFFF"/>
        </w:rPr>
        <w:t xml:space="preserve"> Bacon styles art “the bonds of nature [</w:t>
      </w:r>
      <w:r w:rsidR="00F105AC" w:rsidRPr="00A52E88">
        <w:rPr>
          <w:i/>
          <w:iCs/>
          <w:color w:val="000000" w:themeColor="text1"/>
          <w:spacing w:val="-2"/>
          <w:shd w:val="clear" w:color="auto" w:fill="FFFFFF"/>
        </w:rPr>
        <w:t>naturae vincula</w:t>
      </w:r>
      <w:r w:rsidR="00F105AC" w:rsidRPr="00A52E88">
        <w:rPr>
          <w:color w:val="000000" w:themeColor="text1"/>
          <w:spacing w:val="-2"/>
          <w:shd w:val="clear" w:color="auto" w:fill="FFFFFF"/>
        </w:rPr>
        <w:t xml:space="preserve">]” and repeatedly likens the relationship between the art of natural philosophy and nature to the capturing and shackling of Proteus. In </w:t>
      </w:r>
      <w:r w:rsidR="00F105AC" w:rsidRPr="00A52E88">
        <w:rPr>
          <w:i/>
          <w:iCs/>
          <w:color w:val="000000" w:themeColor="text1"/>
          <w:spacing w:val="-2"/>
          <w:shd w:val="clear" w:color="auto" w:fill="FFFFFF"/>
        </w:rPr>
        <w:t xml:space="preserve">De </w:t>
      </w:r>
      <w:proofErr w:type="spellStart"/>
      <w:r w:rsidR="00F105AC" w:rsidRPr="00A52E88">
        <w:rPr>
          <w:i/>
          <w:iCs/>
          <w:color w:val="000000" w:themeColor="text1"/>
          <w:spacing w:val="-2"/>
          <w:shd w:val="clear" w:color="auto" w:fill="FFFFFF"/>
        </w:rPr>
        <w:t>sapientia</w:t>
      </w:r>
      <w:proofErr w:type="spellEnd"/>
      <w:r w:rsidR="00F105AC" w:rsidRPr="00A52E88">
        <w:rPr>
          <w:i/>
          <w:iCs/>
          <w:color w:val="000000" w:themeColor="text1"/>
          <w:spacing w:val="-2"/>
          <w:shd w:val="clear" w:color="auto" w:fill="FFFFFF"/>
        </w:rPr>
        <w:t xml:space="preserve"> </w:t>
      </w:r>
      <w:proofErr w:type="spellStart"/>
      <w:r w:rsidR="00F105AC" w:rsidRPr="00A52E88">
        <w:rPr>
          <w:i/>
          <w:iCs/>
          <w:color w:val="000000" w:themeColor="text1"/>
          <w:spacing w:val="-2"/>
          <w:shd w:val="clear" w:color="auto" w:fill="FFFFFF"/>
        </w:rPr>
        <w:t>veterum</w:t>
      </w:r>
      <w:proofErr w:type="spellEnd"/>
      <w:r w:rsidR="00F105AC" w:rsidRPr="00A52E88">
        <w:rPr>
          <w:color w:val="000000" w:themeColor="text1"/>
          <w:spacing w:val="-2"/>
          <w:shd w:val="clear" w:color="auto" w:fill="FFFFFF"/>
        </w:rPr>
        <w:t xml:space="preserve"> (1609), Bacon explains that “under the person of Proteus” is represented “Matter”, and that anyone seeking his help must “first… secure his hands” and then “bind him with chains.” By this he implies that to bear force on unconstrained matter would result, eventually, in the revelation of its true shape.</w:t>
      </w:r>
      <w:r w:rsidR="00F105AC" w:rsidRPr="00A52E88">
        <w:rPr>
          <w:rStyle w:val="EndnoteReference"/>
          <w:color w:val="000000" w:themeColor="text1"/>
          <w:spacing w:val="-2"/>
          <w:shd w:val="clear" w:color="auto" w:fill="FFFFFF"/>
        </w:rPr>
        <w:endnoteReference w:id="18"/>
      </w:r>
      <w:r w:rsidR="00A52E88" w:rsidRPr="00A52E88">
        <w:rPr>
          <w:color w:val="000000" w:themeColor="text1"/>
          <w:spacing w:val="-2"/>
          <w:shd w:val="clear" w:color="auto" w:fill="FFFFFF"/>
        </w:rPr>
        <w:t xml:space="preserve"> Returning to the figure of Proteus in his </w:t>
      </w:r>
      <w:proofErr w:type="spellStart"/>
      <w:r w:rsidR="00A52E88" w:rsidRPr="00A52E88">
        <w:rPr>
          <w:i/>
          <w:iCs/>
          <w:color w:val="000000" w:themeColor="text1"/>
          <w:spacing w:val="-2"/>
          <w:shd w:val="clear" w:color="auto" w:fill="FFFFFF"/>
        </w:rPr>
        <w:t>Descriptio</w:t>
      </w:r>
      <w:proofErr w:type="spellEnd"/>
      <w:r w:rsidR="00A52E88" w:rsidRPr="00A52E88">
        <w:rPr>
          <w:i/>
          <w:iCs/>
          <w:color w:val="000000" w:themeColor="text1"/>
          <w:spacing w:val="-2"/>
          <w:shd w:val="clear" w:color="auto" w:fill="FFFFFF"/>
        </w:rPr>
        <w:t xml:space="preserve"> </w:t>
      </w:r>
      <w:proofErr w:type="spellStart"/>
      <w:r w:rsidR="00A52E88" w:rsidRPr="00A52E88">
        <w:rPr>
          <w:i/>
          <w:iCs/>
          <w:color w:val="000000" w:themeColor="text1"/>
          <w:spacing w:val="-2"/>
          <w:shd w:val="clear" w:color="auto" w:fill="FFFFFF"/>
        </w:rPr>
        <w:t>globi</w:t>
      </w:r>
      <w:proofErr w:type="spellEnd"/>
      <w:r w:rsidR="00A52E88" w:rsidRPr="00A52E88">
        <w:rPr>
          <w:i/>
          <w:iCs/>
          <w:color w:val="000000" w:themeColor="text1"/>
          <w:spacing w:val="-2"/>
          <w:shd w:val="clear" w:color="auto" w:fill="FFFFFF"/>
        </w:rPr>
        <w:t xml:space="preserve"> </w:t>
      </w:r>
      <w:proofErr w:type="spellStart"/>
      <w:r w:rsidR="00A52E88" w:rsidRPr="00A52E88">
        <w:rPr>
          <w:i/>
          <w:iCs/>
          <w:color w:val="000000" w:themeColor="text1"/>
          <w:spacing w:val="-2"/>
          <w:shd w:val="clear" w:color="auto" w:fill="FFFFFF"/>
        </w:rPr>
        <w:t>intellectualis</w:t>
      </w:r>
      <w:proofErr w:type="spellEnd"/>
      <w:r w:rsidR="00A52E88" w:rsidRPr="00A52E88">
        <w:rPr>
          <w:i/>
          <w:iCs/>
          <w:color w:val="000000" w:themeColor="text1"/>
          <w:spacing w:val="-2"/>
          <w:shd w:val="clear" w:color="auto" w:fill="FFFFFF"/>
        </w:rPr>
        <w:t xml:space="preserve"> </w:t>
      </w:r>
      <w:r w:rsidR="00A52E88" w:rsidRPr="00A52E88">
        <w:rPr>
          <w:color w:val="000000" w:themeColor="text1"/>
          <w:spacing w:val="-2"/>
          <w:shd w:val="clear" w:color="auto" w:fill="FFFFFF"/>
        </w:rPr>
        <w:t>(1612), he writes</w:t>
      </w:r>
      <w:r w:rsidR="00A52E88" w:rsidRPr="00A52E88">
        <w:rPr>
          <w:i/>
          <w:iCs/>
          <w:color w:val="000000" w:themeColor="text1"/>
          <w:spacing w:val="-2"/>
          <w:shd w:val="clear" w:color="auto" w:fill="FFFFFF"/>
        </w:rPr>
        <w:t>:</w:t>
      </w:r>
    </w:p>
    <w:p w14:paraId="13F5EA43" w14:textId="77777777" w:rsidR="00A52E88" w:rsidRPr="00A52E88" w:rsidRDefault="00A52E88" w:rsidP="00A52E88">
      <w:pPr>
        <w:spacing w:line="480" w:lineRule="auto"/>
        <w:rPr>
          <w:color w:val="000000" w:themeColor="text1"/>
          <w:spacing w:val="-2"/>
          <w:shd w:val="clear" w:color="auto" w:fill="FFFFFF"/>
        </w:rPr>
      </w:pPr>
    </w:p>
    <w:p w14:paraId="3A054213" w14:textId="51BCFF01" w:rsidR="0009250B" w:rsidRDefault="00A52E88" w:rsidP="00A52E88">
      <w:pPr>
        <w:tabs>
          <w:tab w:val="left" w:pos="993"/>
        </w:tabs>
        <w:spacing w:line="480" w:lineRule="auto"/>
        <w:ind w:left="720"/>
        <w:rPr>
          <w:color w:val="000000" w:themeColor="text1"/>
          <w:spacing w:val="-2"/>
          <w:shd w:val="clear" w:color="auto" w:fill="FFFFFF"/>
        </w:rPr>
      </w:pPr>
      <w:proofErr w:type="gramStart"/>
      <w:r w:rsidRPr="00A52E88">
        <w:rPr>
          <w:color w:val="000000" w:themeColor="text1"/>
          <w:spacing w:val="-2"/>
          <w:shd w:val="clear" w:color="auto" w:fill="FFFFFF"/>
        </w:rPr>
        <w:t>Therefore</w:t>
      </w:r>
      <w:proofErr w:type="gramEnd"/>
      <w:r w:rsidRPr="00A52E88">
        <w:rPr>
          <w:color w:val="000000" w:themeColor="text1"/>
          <w:spacing w:val="-2"/>
          <w:shd w:val="clear" w:color="auto" w:fill="FFFFFF"/>
        </w:rPr>
        <w:t xml:space="preserve"> natural history deals with either the </w:t>
      </w:r>
      <w:r w:rsidRPr="00A52E88">
        <w:rPr>
          <w:i/>
          <w:iCs/>
          <w:color w:val="000000" w:themeColor="text1"/>
          <w:spacing w:val="-2"/>
          <w:shd w:val="clear" w:color="auto" w:fill="FFFFFF"/>
        </w:rPr>
        <w:t>liberty</w:t>
      </w:r>
      <w:r w:rsidRPr="00A52E88">
        <w:rPr>
          <w:color w:val="000000" w:themeColor="text1"/>
          <w:spacing w:val="-2"/>
          <w:shd w:val="clear" w:color="auto" w:fill="FFFFFF"/>
        </w:rPr>
        <w:t> of nature, or its </w:t>
      </w:r>
      <w:r w:rsidRPr="00A52E88">
        <w:rPr>
          <w:i/>
          <w:iCs/>
          <w:color w:val="000000" w:themeColor="text1"/>
          <w:spacing w:val="-2"/>
          <w:shd w:val="clear" w:color="auto" w:fill="FFFFFF"/>
        </w:rPr>
        <w:t>errors</w:t>
      </w:r>
      <w:r w:rsidRPr="00A52E88">
        <w:rPr>
          <w:color w:val="000000" w:themeColor="text1"/>
          <w:spacing w:val="-2"/>
          <w:shd w:val="clear" w:color="auto" w:fill="FFFFFF"/>
        </w:rPr>
        <w:t> or </w:t>
      </w:r>
      <w:r w:rsidRPr="00A52E88">
        <w:rPr>
          <w:i/>
          <w:iCs/>
          <w:color w:val="000000" w:themeColor="text1"/>
          <w:spacing w:val="-2"/>
          <w:shd w:val="clear" w:color="auto" w:fill="FFFFFF"/>
        </w:rPr>
        <w:t>bonds</w:t>
      </w:r>
      <w:r w:rsidRPr="00A52E88">
        <w:rPr>
          <w:color w:val="000000" w:themeColor="text1"/>
          <w:spacing w:val="-2"/>
          <w:shd w:val="clear" w:color="auto" w:fill="FFFFFF"/>
        </w:rPr>
        <w:t xml:space="preserve">. But if anyone gets annoyed because I call the arts the bonds of nature when they ought rather to be considered its liberators and champions in that in some cases they allow nature to achieve its ends by reducing obstacles </w:t>
      </w:r>
      <w:r w:rsidRPr="00A52E88">
        <w:rPr>
          <w:color w:val="000000" w:themeColor="text1"/>
          <w:spacing w:val="-2"/>
          <w:shd w:val="clear" w:color="auto" w:fill="FFFFFF"/>
        </w:rPr>
        <w:lastRenderedPageBreak/>
        <w:t>to order, then I reply that I do not much care for such fancy ideas and pretty words; I intend and mean only that nature, like </w:t>
      </w:r>
      <w:r w:rsidRPr="00A52E88">
        <w:rPr>
          <w:i/>
          <w:iCs/>
          <w:color w:val="000000" w:themeColor="text1"/>
          <w:spacing w:val="-2"/>
          <w:shd w:val="clear" w:color="auto" w:fill="FFFFFF"/>
        </w:rPr>
        <w:t>Proteus</w:t>
      </w:r>
      <w:r w:rsidRPr="00A52E88">
        <w:rPr>
          <w:color w:val="000000" w:themeColor="text1"/>
          <w:spacing w:val="-2"/>
          <w:shd w:val="clear" w:color="auto" w:fill="FFFFFF"/>
        </w:rPr>
        <w:t>, is forced by art to do what would not have been done without it: and it does not matter whether you call this forcing and enchaining, or assisting and perfecting [</w:t>
      </w:r>
      <w:proofErr w:type="spellStart"/>
      <w:r w:rsidRPr="00A52E88">
        <w:rPr>
          <w:i/>
          <w:iCs/>
          <w:color w:val="000000" w:themeColor="text1"/>
          <w:spacing w:val="-2"/>
          <w:shd w:val="clear" w:color="auto" w:fill="FFFFFF"/>
        </w:rPr>
        <w:t>sive</w:t>
      </w:r>
      <w:proofErr w:type="spellEnd"/>
      <w:r w:rsidRPr="00A52E88">
        <w:rPr>
          <w:i/>
          <w:iCs/>
          <w:color w:val="000000" w:themeColor="text1"/>
          <w:spacing w:val="-2"/>
          <w:shd w:val="clear" w:color="auto" w:fill="FFFFFF"/>
        </w:rPr>
        <w:t xml:space="preserve"> </w:t>
      </w:r>
      <w:proofErr w:type="spellStart"/>
      <w:r w:rsidRPr="00A52E88">
        <w:rPr>
          <w:i/>
          <w:iCs/>
          <w:color w:val="000000" w:themeColor="text1"/>
          <w:spacing w:val="-2"/>
          <w:shd w:val="clear" w:color="auto" w:fill="FFFFFF"/>
        </w:rPr>
        <w:t>illud</w:t>
      </w:r>
      <w:proofErr w:type="spellEnd"/>
      <w:r w:rsidRPr="00A52E88">
        <w:rPr>
          <w:i/>
          <w:iCs/>
          <w:color w:val="000000" w:themeColor="text1"/>
          <w:spacing w:val="-2"/>
          <w:shd w:val="clear" w:color="auto" w:fill="FFFFFF"/>
        </w:rPr>
        <w:t xml:space="preserve"> vis </w:t>
      </w:r>
      <w:proofErr w:type="spellStart"/>
      <w:r w:rsidRPr="00A52E88">
        <w:rPr>
          <w:i/>
          <w:iCs/>
          <w:color w:val="000000" w:themeColor="text1"/>
          <w:spacing w:val="-2"/>
          <w:shd w:val="clear" w:color="auto" w:fill="FFFFFF"/>
        </w:rPr>
        <w:t>vocetur</w:t>
      </w:r>
      <w:proofErr w:type="spellEnd"/>
      <w:r w:rsidRPr="00A52E88">
        <w:rPr>
          <w:i/>
          <w:iCs/>
          <w:color w:val="000000" w:themeColor="text1"/>
          <w:spacing w:val="-2"/>
          <w:shd w:val="clear" w:color="auto" w:fill="FFFFFF"/>
        </w:rPr>
        <w:t xml:space="preserve"> &amp; vincula, </w:t>
      </w:r>
      <w:proofErr w:type="spellStart"/>
      <w:r w:rsidRPr="00A52E88">
        <w:rPr>
          <w:i/>
          <w:iCs/>
          <w:color w:val="000000" w:themeColor="text1"/>
          <w:spacing w:val="-2"/>
          <w:shd w:val="clear" w:color="auto" w:fill="FFFFFF"/>
        </w:rPr>
        <w:t>sive</w:t>
      </w:r>
      <w:proofErr w:type="spellEnd"/>
      <w:r w:rsidRPr="00A52E88">
        <w:rPr>
          <w:i/>
          <w:iCs/>
          <w:color w:val="000000" w:themeColor="text1"/>
          <w:spacing w:val="-2"/>
          <w:shd w:val="clear" w:color="auto" w:fill="FFFFFF"/>
        </w:rPr>
        <w:t xml:space="preserve"> Auxilium &amp; </w:t>
      </w:r>
      <w:proofErr w:type="spellStart"/>
      <w:r w:rsidRPr="00A52E88">
        <w:rPr>
          <w:i/>
          <w:iCs/>
          <w:color w:val="000000" w:themeColor="text1"/>
          <w:spacing w:val="-2"/>
          <w:shd w:val="clear" w:color="auto" w:fill="FFFFFF"/>
        </w:rPr>
        <w:t>perfectio</w:t>
      </w:r>
      <w:proofErr w:type="spellEnd"/>
      <w:r w:rsidRPr="00A52E88">
        <w:rPr>
          <w:color w:val="000000" w:themeColor="text1"/>
          <w:spacing w:val="-2"/>
          <w:shd w:val="clear" w:color="auto" w:fill="FFFFFF"/>
        </w:rPr>
        <w:t>]</w:t>
      </w:r>
      <w:r>
        <w:rPr>
          <w:color w:val="000000" w:themeColor="text1"/>
          <w:spacing w:val="-2"/>
          <w:shd w:val="clear" w:color="auto" w:fill="FFFFFF"/>
        </w:rPr>
        <w:t>.</w:t>
      </w:r>
      <w:r>
        <w:rPr>
          <w:rStyle w:val="EndnoteReference"/>
          <w:color w:val="000000" w:themeColor="text1"/>
          <w:spacing w:val="-2"/>
          <w:shd w:val="clear" w:color="auto" w:fill="FFFFFF"/>
        </w:rPr>
        <w:endnoteReference w:id="19"/>
      </w:r>
    </w:p>
    <w:p w14:paraId="583CC3AA" w14:textId="77777777" w:rsidR="00A52E88" w:rsidRDefault="00A52E88" w:rsidP="00A52E88">
      <w:pPr>
        <w:tabs>
          <w:tab w:val="left" w:pos="993"/>
        </w:tabs>
        <w:spacing w:line="480" w:lineRule="auto"/>
        <w:ind w:left="720"/>
        <w:rPr>
          <w:color w:val="000000" w:themeColor="text1"/>
          <w:spacing w:val="-2"/>
          <w:shd w:val="clear" w:color="auto" w:fill="FFFFFF"/>
        </w:rPr>
      </w:pPr>
    </w:p>
    <w:p w14:paraId="2CD9982C" w14:textId="05C0CDD3" w:rsidR="002E218F" w:rsidRDefault="00A52E88" w:rsidP="002E218F">
      <w:pPr>
        <w:tabs>
          <w:tab w:val="left" w:pos="993"/>
        </w:tabs>
        <w:spacing w:line="480" w:lineRule="auto"/>
        <w:rPr>
          <w:color w:val="000000" w:themeColor="text1"/>
          <w:spacing w:val="-2"/>
          <w:shd w:val="clear" w:color="auto" w:fill="FFFFFF"/>
        </w:rPr>
      </w:pPr>
      <w:r>
        <w:rPr>
          <w:color w:val="000000" w:themeColor="text1"/>
          <w:spacing w:val="-2"/>
          <w:shd w:val="clear" w:color="auto" w:fill="FFFFFF"/>
        </w:rPr>
        <w:t xml:space="preserve">Bacon’s blunt admission declares the general irrelevance of competing characterisations of the techniques of natural philosophy; art may be the champion of nature or her chains, so long as we accept that it works actively on the world. It must, that is, intervene. His repeated claims that </w:t>
      </w:r>
      <w:r>
        <w:rPr>
          <w:color w:val="000000" w:themeColor="text1"/>
          <w:spacing w:val="-2"/>
          <w:shd w:val="clear" w:color="auto" w:fill="FFFFFF"/>
          <w:lang w:val="en-US"/>
        </w:rPr>
        <w:t>“n</w:t>
      </w:r>
      <w:r w:rsidRPr="004E53FE">
        <w:rPr>
          <w:color w:val="000000" w:themeColor="text1"/>
          <w:spacing w:val="-2"/>
          <w:shd w:val="clear" w:color="auto" w:fill="FFFFFF"/>
          <w:lang w:val="en-US"/>
        </w:rPr>
        <w:t>ature</w:t>
      </w:r>
      <w:r>
        <w:rPr>
          <w:color w:val="000000" w:themeColor="text1"/>
          <w:spacing w:val="-2"/>
          <w:shd w:val="clear" w:color="auto" w:fill="FFFFFF"/>
          <w:lang w:val="en-US"/>
        </w:rPr>
        <w:t>’</w:t>
      </w:r>
      <w:r w:rsidRPr="004E53FE">
        <w:rPr>
          <w:color w:val="000000" w:themeColor="text1"/>
          <w:spacing w:val="-2"/>
          <w:shd w:val="clear" w:color="auto" w:fill="FFFFFF"/>
          <w:lang w:val="en-US"/>
        </w:rPr>
        <w:t>s secrets betray themselves more through the vexations of art</w:t>
      </w:r>
      <w:r>
        <w:rPr>
          <w:color w:val="000000" w:themeColor="text1"/>
          <w:spacing w:val="-2"/>
          <w:shd w:val="clear" w:color="auto" w:fill="FFFFFF"/>
          <w:lang w:val="en-US"/>
        </w:rPr>
        <w:t xml:space="preserve"> [</w:t>
      </w:r>
      <w:proofErr w:type="spellStart"/>
      <w:r w:rsidRPr="004E53FE">
        <w:rPr>
          <w:i/>
          <w:iCs/>
          <w:color w:val="000000" w:themeColor="text1"/>
          <w:spacing w:val="-2"/>
          <w:shd w:val="clear" w:color="auto" w:fill="FFFFFF"/>
          <w:lang w:val="en-US"/>
        </w:rPr>
        <w:t>vexation</w:t>
      </w:r>
      <w:r>
        <w:rPr>
          <w:i/>
          <w:iCs/>
          <w:color w:val="000000" w:themeColor="text1"/>
          <w:spacing w:val="-2"/>
          <w:shd w:val="clear" w:color="auto" w:fill="FFFFFF"/>
          <w:lang w:val="en-US"/>
        </w:rPr>
        <w:t>e</w:t>
      </w:r>
      <w:r w:rsidRPr="004E53FE">
        <w:rPr>
          <w:i/>
          <w:iCs/>
          <w:color w:val="000000" w:themeColor="text1"/>
          <w:spacing w:val="-2"/>
          <w:shd w:val="clear" w:color="auto" w:fill="FFFFFF"/>
          <w:lang w:val="en-US"/>
        </w:rPr>
        <w:t>s</w:t>
      </w:r>
      <w:proofErr w:type="spellEnd"/>
      <w:r w:rsidRPr="004E53FE">
        <w:rPr>
          <w:i/>
          <w:iCs/>
          <w:color w:val="000000" w:themeColor="text1"/>
          <w:spacing w:val="-2"/>
          <w:shd w:val="clear" w:color="auto" w:fill="FFFFFF"/>
          <w:lang w:val="en-US"/>
        </w:rPr>
        <w:t xml:space="preserve"> </w:t>
      </w:r>
      <w:r w:rsidR="00397FD7">
        <w:rPr>
          <w:i/>
          <w:iCs/>
          <w:color w:val="000000" w:themeColor="text1"/>
          <w:spacing w:val="-2"/>
          <w:shd w:val="clear" w:color="auto" w:fill="FFFFFF"/>
          <w:lang w:val="en-US"/>
        </w:rPr>
        <w:t>A</w:t>
      </w:r>
      <w:r w:rsidRPr="004E53FE">
        <w:rPr>
          <w:i/>
          <w:iCs/>
          <w:color w:val="000000" w:themeColor="text1"/>
          <w:spacing w:val="-2"/>
          <w:shd w:val="clear" w:color="auto" w:fill="FFFFFF"/>
          <w:lang w:val="en-US"/>
        </w:rPr>
        <w:t>rtium</w:t>
      </w:r>
      <w:r>
        <w:rPr>
          <w:color w:val="000000" w:themeColor="text1"/>
          <w:spacing w:val="-2"/>
          <w:shd w:val="clear" w:color="auto" w:fill="FFFFFF"/>
          <w:lang w:val="en-US"/>
        </w:rPr>
        <w:t>]</w:t>
      </w:r>
      <w:r w:rsidRPr="004E53FE">
        <w:rPr>
          <w:i/>
          <w:iCs/>
          <w:color w:val="000000" w:themeColor="text1"/>
          <w:spacing w:val="-2"/>
          <w:shd w:val="clear" w:color="auto" w:fill="FFFFFF"/>
          <w:lang w:val="en-US"/>
        </w:rPr>
        <w:t xml:space="preserve"> </w:t>
      </w:r>
      <w:r w:rsidRPr="004E53FE">
        <w:rPr>
          <w:color w:val="000000" w:themeColor="text1"/>
          <w:spacing w:val="-2"/>
          <w:shd w:val="clear" w:color="auto" w:fill="FFFFFF"/>
          <w:lang w:val="en-US"/>
        </w:rPr>
        <w:t>than they do in their usual course</w:t>
      </w:r>
      <w:r>
        <w:rPr>
          <w:color w:val="000000" w:themeColor="text1"/>
          <w:spacing w:val="-2"/>
          <w:shd w:val="clear" w:color="auto" w:fill="FFFFFF"/>
        </w:rPr>
        <w:t xml:space="preserve">” have raised critical debates, led by feminist historians of science, about an experimental method that appears to promote the torture, and even rape, of nature. </w:t>
      </w:r>
      <w:r w:rsidRPr="004C6BD5">
        <w:rPr>
          <w:color w:val="000000" w:themeColor="text1"/>
          <w:spacing w:val="-2"/>
          <w:shd w:val="clear" w:color="auto" w:fill="FFFFFF"/>
        </w:rPr>
        <w:t xml:space="preserve">Carolyn Merchant argues that Bacon’s </w:t>
      </w:r>
      <w:r>
        <w:rPr>
          <w:color w:val="000000" w:themeColor="text1"/>
          <w:spacing w:val="-2"/>
          <w:shd w:val="clear" w:color="auto" w:fill="FFFFFF"/>
        </w:rPr>
        <w:t>“</w:t>
      </w:r>
      <w:proofErr w:type="spellStart"/>
      <w:r w:rsidRPr="004C6BD5">
        <w:rPr>
          <w:i/>
          <w:iCs/>
          <w:color w:val="000000" w:themeColor="text1"/>
          <w:spacing w:val="-2"/>
          <w:shd w:val="clear" w:color="auto" w:fill="FFFFFF"/>
        </w:rPr>
        <w:t>vexationes</w:t>
      </w:r>
      <w:proofErr w:type="spellEnd"/>
      <w:r w:rsidRPr="004C6BD5">
        <w:rPr>
          <w:i/>
          <w:iCs/>
          <w:color w:val="000000" w:themeColor="text1"/>
          <w:spacing w:val="-2"/>
          <w:shd w:val="clear" w:color="auto" w:fill="FFFFFF"/>
        </w:rPr>
        <w:t xml:space="preserve"> artium</w:t>
      </w:r>
      <w:r>
        <w:rPr>
          <w:color w:val="000000" w:themeColor="text1"/>
          <w:spacing w:val="-2"/>
          <w:shd w:val="clear" w:color="auto" w:fill="FFFFFF"/>
        </w:rPr>
        <w:t>”</w:t>
      </w:r>
      <w:r w:rsidRPr="004C6BD5">
        <w:rPr>
          <w:color w:val="000000" w:themeColor="text1"/>
          <w:spacing w:val="-2"/>
          <w:shd w:val="clear" w:color="auto" w:fill="FFFFFF"/>
        </w:rPr>
        <w:t xml:space="preserve"> have often since the seventeenth century been understood, and should be understood, with greater violence as the </w:t>
      </w:r>
      <w:r>
        <w:rPr>
          <w:color w:val="000000" w:themeColor="text1"/>
          <w:spacing w:val="-2"/>
          <w:shd w:val="clear" w:color="auto" w:fill="FFFFFF"/>
        </w:rPr>
        <w:t>“</w:t>
      </w:r>
      <w:r w:rsidRPr="004C6BD5">
        <w:rPr>
          <w:color w:val="000000" w:themeColor="text1"/>
          <w:spacing w:val="-2"/>
          <w:shd w:val="clear" w:color="auto" w:fill="FFFFFF"/>
        </w:rPr>
        <w:t>torments</w:t>
      </w:r>
      <w:r>
        <w:rPr>
          <w:color w:val="000000" w:themeColor="text1"/>
          <w:spacing w:val="-2"/>
          <w:shd w:val="clear" w:color="auto" w:fill="FFFFFF"/>
        </w:rPr>
        <w:t>”</w:t>
      </w:r>
      <w:r w:rsidRPr="004C6BD5">
        <w:rPr>
          <w:color w:val="000000" w:themeColor="text1"/>
          <w:spacing w:val="-2"/>
          <w:shd w:val="clear" w:color="auto" w:fill="FFFFFF"/>
        </w:rPr>
        <w:t xml:space="preserve"> of art</w:t>
      </w:r>
      <w:r>
        <w:rPr>
          <w:color w:val="000000" w:themeColor="text1"/>
          <w:spacing w:val="-2"/>
          <w:shd w:val="clear" w:color="auto" w:fill="FFFFFF"/>
        </w:rPr>
        <w:t>.</w:t>
      </w:r>
      <w:r>
        <w:rPr>
          <w:rStyle w:val="EndnoteReference"/>
          <w:color w:val="000000" w:themeColor="text1"/>
          <w:spacing w:val="-2"/>
          <w:shd w:val="clear" w:color="auto" w:fill="FFFFFF"/>
        </w:rPr>
        <w:endnoteReference w:id="20"/>
      </w:r>
      <w:r>
        <w:rPr>
          <w:color w:val="000000" w:themeColor="text1"/>
          <w:spacing w:val="-2"/>
          <w:shd w:val="clear" w:color="auto" w:fill="FFFFFF"/>
        </w:rPr>
        <w:t xml:space="preserve"> Gendered rhetoric of this kind evidently records and reproduces unjust social hierarchies and is, moreover, typical of early modern natural philosophical writing which frequently posits a coercive relationship between masculine inquirer and feminine object.</w:t>
      </w:r>
      <w:r>
        <w:rPr>
          <w:rStyle w:val="EndnoteReference"/>
          <w:color w:val="000000" w:themeColor="text1"/>
          <w:spacing w:val="-2"/>
          <w:shd w:val="clear" w:color="auto" w:fill="FFFFFF"/>
        </w:rPr>
        <w:endnoteReference w:id="21"/>
      </w:r>
      <w:r w:rsidR="002E218F">
        <w:rPr>
          <w:color w:val="000000" w:themeColor="text1"/>
          <w:spacing w:val="-2"/>
          <w:shd w:val="clear" w:color="auto" w:fill="FFFFFF"/>
        </w:rPr>
        <w:t xml:space="preserve"> </w:t>
      </w:r>
      <w:r w:rsidR="002E218F" w:rsidRPr="002E218F">
        <w:rPr>
          <w:color w:val="000000" w:themeColor="text1"/>
          <w:spacing w:val="-2"/>
          <w:shd w:val="clear" w:color="auto" w:fill="FFFFFF"/>
        </w:rPr>
        <w:t xml:space="preserve">And yet, </w:t>
      </w:r>
      <w:r w:rsidR="00143888">
        <w:rPr>
          <w:color w:val="000000" w:themeColor="text1"/>
          <w:spacing w:val="-2"/>
          <w:shd w:val="clear" w:color="auto" w:fill="FFFFFF"/>
        </w:rPr>
        <w:t>shows</w:t>
      </w:r>
      <w:r w:rsidR="002E218F">
        <w:rPr>
          <w:color w:val="000000" w:themeColor="text1"/>
          <w:spacing w:val="-2"/>
          <w:shd w:val="clear" w:color="auto" w:fill="FFFFFF"/>
        </w:rPr>
        <w:t xml:space="preserve"> </w:t>
      </w:r>
      <w:r w:rsidR="002E218F" w:rsidRPr="002E218F">
        <w:rPr>
          <w:color w:val="000000" w:themeColor="text1"/>
          <w:spacing w:val="-2"/>
          <w:shd w:val="clear" w:color="auto" w:fill="FFFFFF"/>
        </w:rPr>
        <w:t xml:space="preserve">Jenny Mann, disputes over the character of the naturalist’s disposition tend to disregard the doubleness inherent in the figure of Proteus.  </w:t>
      </w:r>
    </w:p>
    <w:p w14:paraId="1FAA6BAD" w14:textId="77777777" w:rsidR="00820304" w:rsidRDefault="00820304" w:rsidP="002E218F">
      <w:pPr>
        <w:tabs>
          <w:tab w:val="left" w:pos="993"/>
        </w:tabs>
        <w:spacing w:line="480" w:lineRule="auto"/>
        <w:rPr>
          <w:color w:val="000000" w:themeColor="text1"/>
          <w:spacing w:val="-2"/>
          <w:shd w:val="clear" w:color="auto" w:fill="FFFFFF"/>
        </w:rPr>
      </w:pPr>
    </w:p>
    <w:p w14:paraId="08D6D3BF" w14:textId="518F30AE" w:rsidR="003572D2" w:rsidRDefault="00820304" w:rsidP="003572D2">
      <w:pPr>
        <w:tabs>
          <w:tab w:val="left" w:pos="993"/>
        </w:tabs>
        <w:spacing w:line="480" w:lineRule="auto"/>
        <w:rPr>
          <w:color w:val="000000" w:themeColor="text1"/>
          <w:spacing w:val="-2"/>
          <w:shd w:val="clear" w:color="auto" w:fill="FFFFFF"/>
        </w:rPr>
      </w:pPr>
      <w:r>
        <w:rPr>
          <w:color w:val="000000" w:themeColor="text1"/>
          <w:spacing w:val="-2"/>
          <w:shd w:val="clear" w:color="auto" w:fill="FFFFFF"/>
        </w:rPr>
        <w:t>T</w:t>
      </w:r>
      <w:r w:rsidRPr="00E046AD">
        <w:rPr>
          <w:color w:val="000000" w:themeColor="text1"/>
          <w:spacing w:val="-2"/>
          <w:shd w:val="clear" w:color="auto" w:fill="FFFFFF"/>
        </w:rPr>
        <w:t xml:space="preserve">o </w:t>
      </w:r>
      <w:r>
        <w:rPr>
          <w:color w:val="000000" w:themeColor="text1"/>
          <w:spacing w:val="-2"/>
          <w:shd w:val="clear" w:color="auto" w:fill="FFFFFF"/>
        </w:rPr>
        <w:t>align Proteus straightforwardly with nature is to neglect the ways in which Bacon’s depictions of the operations of myth “</w:t>
      </w:r>
      <w:r w:rsidRPr="0085264E">
        <w:rPr>
          <w:color w:val="000000" w:themeColor="text1"/>
          <w:spacing w:val="-2"/>
          <w:shd w:val="clear" w:color="auto" w:fill="FFFFFF"/>
        </w:rPr>
        <w:t>give</w:t>
      </w:r>
      <w:r>
        <w:rPr>
          <w:color w:val="000000" w:themeColor="text1"/>
          <w:spacing w:val="-2"/>
          <w:shd w:val="clear" w:color="auto" w:fill="FFFFFF"/>
        </w:rPr>
        <w:t xml:space="preserve"> </w:t>
      </w:r>
      <w:r w:rsidRPr="0085264E">
        <w:rPr>
          <w:color w:val="000000" w:themeColor="text1"/>
          <w:spacing w:val="-2"/>
          <w:shd w:val="clear" w:color="auto" w:fill="FFFFFF"/>
        </w:rPr>
        <w:t>us cause to think of Proteus not only as a figure for nature but also as</w:t>
      </w:r>
      <w:r>
        <w:rPr>
          <w:color w:val="000000" w:themeColor="text1"/>
          <w:spacing w:val="-2"/>
          <w:shd w:val="clear" w:color="auto" w:fill="FFFFFF"/>
        </w:rPr>
        <w:t xml:space="preserve"> </w:t>
      </w:r>
      <w:r w:rsidRPr="0085264E">
        <w:rPr>
          <w:color w:val="000000" w:themeColor="text1"/>
          <w:spacing w:val="-2"/>
          <w:shd w:val="clear" w:color="auto" w:fill="FFFFFF"/>
        </w:rPr>
        <w:t>a self</w:t>
      </w:r>
      <w:r>
        <w:rPr>
          <w:color w:val="000000" w:themeColor="text1"/>
          <w:spacing w:val="-2"/>
          <w:shd w:val="clear" w:color="auto" w:fill="FFFFFF"/>
        </w:rPr>
        <w:t>-</w:t>
      </w:r>
      <w:r w:rsidRPr="0085264E">
        <w:rPr>
          <w:color w:val="000000" w:themeColor="text1"/>
          <w:spacing w:val="-2"/>
          <w:shd w:val="clear" w:color="auto" w:fill="FFFFFF"/>
        </w:rPr>
        <w:t>reflexive figure for myth itself</w:t>
      </w:r>
      <w:r>
        <w:rPr>
          <w:color w:val="000000" w:themeColor="text1"/>
          <w:spacing w:val="-2"/>
          <w:shd w:val="clear" w:color="auto" w:fill="FFFFFF"/>
        </w:rPr>
        <w:t xml:space="preserve">… </w:t>
      </w:r>
      <w:r w:rsidRPr="0085264E">
        <w:rPr>
          <w:color w:val="000000" w:themeColor="text1"/>
          <w:spacing w:val="-2"/>
          <w:shd w:val="clear" w:color="auto" w:fill="FFFFFF"/>
        </w:rPr>
        <w:t>bound and interrogated</w:t>
      </w:r>
      <w:r>
        <w:rPr>
          <w:color w:val="000000" w:themeColor="text1"/>
          <w:spacing w:val="-2"/>
          <w:shd w:val="clear" w:color="auto" w:fill="FFFFFF"/>
        </w:rPr>
        <w:t xml:space="preserve"> </w:t>
      </w:r>
      <w:r w:rsidRPr="0085264E">
        <w:rPr>
          <w:color w:val="000000" w:themeColor="text1"/>
          <w:spacing w:val="-2"/>
          <w:shd w:val="clear" w:color="auto" w:fill="FFFFFF"/>
        </w:rPr>
        <w:t>by succeeding generations of mythographers</w:t>
      </w:r>
      <w:r>
        <w:rPr>
          <w:color w:val="000000" w:themeColor="text1"/>
          <w:spacing w:val="-2"/>
          <w:shd w:val="clear" w:color="auto" w:fill="FFFFFF"/>
        </w:rPr>
        <w:t xml:space="preserve">.” Put differently, the figure of </w:t>
      </w:r>
      <w:r>
        <w:rPr>
          <w:color w:val="000000" w:themeColor="text1"/>
          <w:spacing w:val="-2"/>
          <w:shd w:val="clear" w:color="auto" w:fill="FFFFFF"/>
        </w:rPr>
        <w:lastRenderedPageBreak/>
        <w:t xml:space="preserve">Proteus, and fable more broadly, is for Bacon both an instrument and object of inquiry. As Mann points out, the enchaining of Proteus in Virgil’s </w:t>
      </w:r>
      <w:r w:rsidRPr="00962912">
        <w:rPr>
          <w:i/>
          <w:iCs/>
          <w:color w:val="000000" w:themeColor="text1"/>
          <w:spacing w:val="-2"/>
          <w:shd w:val="clear" w:color="auto" w:fill="FFFFFF"/>
        </w:rPr>
        <w:t>Georgics</w:t>
      </w:r>
      <w:r>
        <w:rPr>
          <w:color w:val="000000" w:themeColor="text1"/>
          <w:spacing w:val="-2"/>
          <w:shd w:val="clear" w:color="auto" w:fill="FFFFFF"/>
        </w:rPr>
        <w:t xml:space="preserve"> IV reveals to Aristaeus the myth of Orpheus.</w:t>
      </w:r>
      <w:r>
        <w:rPr>
          <w:rStyle w:val="EndnoteReference"/>
          <w:color w:val="000000" w:themeColor="text1"/>
          <w:spacing w:val="-2"/>
          <w:shd w:val="clear" w:color="auto" w:fill="FFFFFF"/>
        </w:rPr>
        <w:endnoteReference w:id="22"/>
      </w:r>
      <w:r w:rsidR="00011EC2">
        <w:rPr>
          <w:color w:val="000000" w:themeColor="text1"/>
          <w:spacing w:val="-2"/>
          <w:shd w:val="clear" w:color="auto" w:fill="FFFFFF"/>
        </w:rPr>
        <w:t xml:space="preserve"> To this we might add, following Erasmus, a construal of the transformations of Proteus as a figure for the variousness of figuration itself.</w:t>
      </w:r>
      <w:r w:rsidR="00011EC2">
        <w:rPr>
          <w:rStyle w:val="EndnoteReference"/>
          <w:color w:val="000000" w:themeColor="text1"/>
          <w:spacing w:val="-2"/>
          <w:shd w:val="clear" w:color="auto" w:fill="FFFFFF"/>
        </w:rPr>
        <w:endnoteReference w:id="23"/>
      </w:r>
      <w:r w:rsidR="003A3FD9">
        <w:rPr>
          <w:color w:val="000000" w:themeColor="text1"/>
          <w:spacing w:val="-2"/>
          <w:shd w:val="clear" w:color="auto" w:fill="FFFFFF"/>
        </w:rPr>
        <w:t xml:space="preserve"> </w:t>
      </w:r>
      <w:r w:rsidR="0028249B">
        <w:rPr>
          <w:color w:val="000000" w:themeColor="text1"/>
          <w:spacing w:val="-2"/>
          <w:shd w:val="clear" w:color="auto" w:fill="FFFFFF"/>
        </w:rPr>
        <w:t xml:space="preserve">Indeed, </w:t>
      </w:r>
      <w:r w:rsidR="003A3FD9">
        <w:rPr>
          <w:color w:val="000000" w:themeColor="text1"/>
          <w:spacing w:val="-2"/>
          <w:shd w:val="clear" w:color="auto" w:fill="FFFFFF"/>
        </w:rPr>
        <w:t xml:space="preserve">Bacon’s procedure in </w:t>
      </w:r>
      <w:r w:rsidR="003A3FD9">
        <w:rPr>
          <w:i/>
          <w:iCs/>
          <w:color w:val="000000" w:themeColor="text1"/>
          <w:spacing w:val="-2"/>
          <w:shd w:val="clear" w:color="auto" w:fill="FFFFFF"/>
        </w:rPr>
        <w:t xml:space="preserve">De </w:t>
      </w:r>
      <w:proofErr w:type="spellStart"/>
      <w:r w:rsidR="003A3FD9">
        <w:rPr>
          <w:i/>
          <w:iCs/>
          <w:color w:val="000000" w:themeColor="text1"/>
          <w:spacing w:val="-2"/>
          <w:shd w:val="clear" w:color="auto" w:fill="FFFFFF"/>
        </w:rPr>
        <w:t>Sapientia</w:t>
      </w:r>
      <w:proofErr w:type="spellEnd"/>
      <w:r w:rsidR="003A3FD9">
        <w:rPr>
          <w:color w:val="000000" w:themeColor="text1"/>
          <w:spacing w:val="-2"/>
          <w:shd w:val="clear" w:color="auto" w:fill="FFFFFF"/>
        </w:rPr>
        <w:t xml:space="preserve"> is the </w:t>
      </w:r>
      <w:proofErr w:type="spellStart"/>
      <w:r w:rsidR="003A3FD9">
        <w:rPr>
          <w:color w:val="000000" w:themeColor="text1"/>
          <w:spacing w:val="-2"/>
          <w:shd w:val="clear" w:color="auto" w:fill="FFFFFF"/>
        </w:rPr>
        <w:t>troping</w:t>
      </w:r>
      <w:proofErr w:type="spellEnd"/>
      <w:r w:rsidR="003A3FD9">
        <w:rPr>
          <w:color w:val="000000" w:themeColor="text1"/>
          <w:spacing w:val="-2"/>
          <w:shd w:val="clear" w:color="auto" w:fill="FFFFFF"/>
        </w:rPr>
        <w:t>, or twisting, and fixing of myth, and the case of Proteus is</w:t>
      </w:r>
      <w:r w:rsidR="004E083B">
        <w:rPr>
          <w:color w:val="000000" w:themeColor="text1"/>
          <w:spacing w:val="-2"/>
          <w:shd w:val="clear" w:color="auto" w:fill="FFFFFF"/>
        </w:rPr>
        <w:t xml:space="preserve"> vitally, though not singularly, </w:t>
      </w:r>
      <w:r w:rsidR="003A3FD9">
        <w:rPr>
          <w:color w:val="000000" w:themeColor="text1"/>
          <w:spacing w:val="-2"/>
          <w:shd w:val="clear" w:color="auto" w:fill="FFFFFF"/>
        </w:rPr>
        <w:t xml:space="preserve">self-reflexive. This quality surfaces, too, in the discussion of </w:t>
      </w:r>
      <w:r w:rsidR="003572D2">
        <w:rPr>
          <w:color w:val="000000" w:themeColor="text1"/>
          <w:spacing w:val="-2"/>
          <w:shd w:val="clear" w:color="auto" w:fill="FFFFFF"/>
        </w:rPr>
        <w:t>“</w:t>
      </w:r>
      <w:r w:rsidR="003A3FD9">
        <w:rPr>
          <w:color w:val="000000" w:themeColor="text1"/>
          <w:spacing w:val="-2"/>
          <w:shd w:val="clear" w:color="auto" w:fill="FFFFFF"/>
        </w:rPr>
        <w:t>Pan, or Nature,</w:t>
      </w:r>
      <w:r w:rsidR="003572D2">
        <w:rPr>
          <w:color w:val="000000" w:themeColor="text1"/>
          <w:spacing w:val="-2"/>
          <w:shd w:val="clear" w:color="auto" w:fill="FFFFFF"/>
        </w:rPr>
        <w:t>”</w:t>
      </w:r>
      <w:r w:rsidR="003A3FD9">
        <w:rPr>
          <w:color w:val="000000" w:themeColor="text1"/>
          <w:spacing w:val="-2"/>
          <w:shd w:val="clear" w:color="auto" w:fill="FFFFFF"/>
        </w:rPr>
        <w:t xml:space="preserve"> as nature is conceived as quelling her own insurrections.</w:t>
      </w:r>
      <w:r w:rsidR="00D8653A">
        <w:rPr>
          <w:rStyle w:val="EndnoteReference"/>
          <w:color w:val="000000" w:themeColor="text1"/>
          <w:spacing w:val="-2"/>
          <w:shd w:val="clear" w:color="auto" w:fill="FFFFFF"/>
        </w:rPr>
        <w:endnoteReference w:id="24"/>
      </w:r>
      <w:r w:rsidR="003572D2">
        <w:rPr>
          <w:color w:val="000000" w:themeColor="text1"/>
          <w:spacing w:val="-2"/>
          <w:shd w:val="clear" w:color="auto" w:fill="FFFFFF"/>
        </w:rPr>
        <w:t xml:space="preserve"> </w:t>
      </w:r>
      <w:r w:rsidR="003572D2" w:rsidRPr="003572D2">
        <w:rPr>
          <w:color w:val="000000" w:themeColor="text1"/>
          <w:spacing w:val="-2"/>
          <w:shd w:val="clear" w:color="auto" w:fill="FFFFFF"/>
        </w:rPr>
        <w:t xml:space="preserve">The point here is that Bacon’s returns to the twofold image of Proteus index—as shown earlier by Aristotle—the tension within a subject’s attempt to know. The binding constraint required to produce a judgement, a universal, must be repeated time and again, precisely because the universal that is formed fails to be adequate to the particulars of nature at which it aims. In recognition of this inadequacy, the act of binding becomes self-reflective, and art turns its chains not only on nature but also upon itself. </w:t>
      </w:r>
    </w:p>
    <w:p w14:paraId="1BBF49ED" w14:textId="77777777" w:rsidR="003572D2" w:rsidRDefault="003572D2" w:rsidP="003572D2">
      <w:pPr>
        <w:tabs>
          <w:tab w:val="left" w:pos="993"/>
        </w:tabs>
        <w:spacing w:line="480" w:lineRule="auto"/>
        <w:rPr>
          <w:color w:val="000000" w:themeColor="text1"/>
          <w:spacing w:val="-2"/>
          <w:shd w:val="clear" w:color="auto" w:fill="FFFFFF"/>
        </w:rPr>
      </w:pPr>
    </w:p>
    <w:p w14:paraId="7FC8D816" w14:textId="75963A3C" w:rsidR="003572D2" w:rsidRDefault="003572D2" w:rsidP="003572D2">
      <w:pPr>
        <w:tabs>
          <w:tab w:val="left" w:pos="993"/>
        </w:tabs>
        <w:spacing w:line="480" w:lineRule="auto"/>
        <w:rPr>
          <w:color w:val="000000" w:themeColor="text1"/>
          <w:spacing w:val="-2"/>
          <w:shd w:val="clear" w:color="auto" w:fill="FFFFFF"/>
        </w:rPr>
      </w:pPr>
      <w:r>
        <w:rPr>
          <w:color w:val="000000" w:themeColor="text1"/>
          <w:spacing w:val="-2"/>
          <w:shd w:val="clear" w:color="auto" w:fill="FFFFFF"/>
        </w:rPr>
        <w:t xml:space="preserve">Two things stand out. First, that the mutual enchainment of art and nature is made most palpable through figuration (here, personification); and second, that the double bind which Bacon discerns signals the shifting arrangements between the particular and universal under the exacting pressure not merely of observation, but also of experiment. Although this is a problem intrinsic to the activity of natural philosophy as Bacon implies, it is one keenly felt in the craft of </w:t>
      </w:r>
      <w:proofErr w:type="spellStart"/>
      <w:r w:rsidRPr="00B453B2">
        <w:rPr>
          <w:i/>
          <w:iCs/>
          <w:color w:val="000000" w:themeColor="text1"/>
          <w:spacing w:val="-2"/>
          <w:shd w:val="clear" w:color="auto" w:fill="FFFFFF"/>
        </w:rPr>
        <w:t>poiesis</w:t>
      </w:r>
      <w:proofErr w:type="spellEnd"/>
      <w:r>
        <w:rPr>
          <w:color w:val="000000" w:themeColor="text1"/>
          <w:spacing w:val="-2"/>
          <w:shd w:val="clear" w:color="auto" w:fill="FFFFFF"/>
        </w:rPr>
        <w:t xml:space="preserve">, through figures that catch its disturbances and enfold its agitations. Poetic and rhetorical forms, this is to say, can suffer, enact, and test out that question so fundamental to the </w:t>
      </w:r>
      <w:r>
        <w:rPr>
          <w:i/>
          <w:iCs/>
          <w:color w:val="000000" w:themeColor="text1"/>
          <w:spacing w:val="-2"/>
          <w:shd w:val="clear" w:color="auto" w:fill="FFFFFF"/>
        </w:rPr>
        <w:t>Metaphysics</w:t>
      </w:r>
      <w:r>
        <w:rPr>
          <w:color w:val="000000" w:themeColor="text1"/>
          <w:spacing w:val="-2"/>
          <w:shd w:val="clear" w:color="auto" w:fill="FFFFFF"/>
        </w:rPr>
        <w:t>: ‘</w:t>
      </w:r>
      <w:r w:rsidRPr="00D330A5">
        <w:rPr>
          <w:color w:val="000000" w:themeColor="text1"/>
          <w:spacing w:val="-2"/>
          <w:shd w:val="clear" w:color="auto" w:fill="FFFFFF"/>
        </w:rPr>
        <w:t>If nothing exists apart from individual things, and these are infinite in number, how is it possible to obtain knowledge of the numerically infinite</w:t>
      </w:r>
      <w:r>
        <w:rPr>
          <w:color w:val="000000" w:themeColor="text1"/>
          <w:spacing w:val="-2"/>
          <w:shd w:val="clear" w:color="auto" w:fill="FFFFFF"/>
        </w:rPr>
        <w:t>’?</w:t>
      </w:r>
      <w:r>
        <w:rPr>
          <w:rStyle w:val="EndnoteReference"/>
          <w:color w:val="000000" w:themeColor="text1"/>
          <w:spacing w:val="-2"/>
          <w:shd w:val="clear" w:color="auto" w:fill="FFFFFF"/>
        </w:rPr>
        <w:endnoteReference w:id="25"/>
      </w:r>
      <w:r>
        <w:rPr>
          <w:color w:val="000000" w:themeColor="text1"/>
          <w:spacing w:val="-2"/>
          <w:shd w:val="clear" w:color="auto" w:fill="FFFFFF"/>
        </w:rPr>
        <w:t xml:space="preserve"> </w:t>
      </w:r>
      <w:r w:rsidRPr="003572D2">
        <w:rPr>
          <w:color w:val="000000" w:themeColor="text1"/>
          <w:spacing w:val="-2"/>
          <w:shd w:val="clear" w:color="auto" w:fill="FFFFFF"/>
        </w:rPr>
        <w:t xml:space="preserve">Ayesha Ramachandran has charted </w:t>
      </w:r>
      <w:r w:rsidRPr="003572D2">
        <w:rPr>
          <w:color w:val="000000" w:themeColor="text1"/>
          <w:spacing w:val="-2"/>
          <w:shd w:val="clear" w:color="auto" w:fill="FFFFFF"/>
        </w:rPr>
        <w:lastRenderedPageBreak/>
        <w:t xml:space="preserve">an enduring tradition of philosophical poetry on the continent which, if dazzlingly  various in genre and subject—traversing cosmological, hermetic, alchemical, medical and mathematical works—is united by attempts to wrestle with that central dilemma of the relationship between the particular and universal, and the attendant crisis of individual and cosmos long seen to pervade the Renaissance. </w:t>
      </w:r>
      <w:r w:rsidRPr="008364FB">
        <w:rPr>
          <w:color w:val="000000" w:themeColor="text1"/>
          <w:spacing w:val="-2"/>
          <w:shd w:val="clear" w:color="auto" w:fill="FFFFFF"/>
        </w:rPr>
        <w:t xml:space="preserve">Such experiments in philosophical poetry grew increasingly popular in late-Elizabethan and seventeenth-century England, with an emphasis on desire as a mode of or metaphor for </w:t>
      </w:r>
      <w:r w:rsidR="00064516" w:rsidRPr="008364FB">
        <w:rPr>
          <w:color w:val="000000" w:themeColor="text1"/>
          <w:spacing w:val="-2"/>
          <w:shd w:val="clear" w:color="auto" w:fill="FFFFFF"/>
        </w:rPr>
        <w:t>thinking</w:t>
      </w:r>
      <w:r w:rsidRPr="008364FB">
        <w:rPr>
          <w:color w:val="000000" w:themeColor="text1"/>
          <w:spacing w:val="-2"/>
          <w:shd w:val="clear" w:color="auto" w:fill="FFFFFF"/>
        </w:rPr>
        <w:t>, and it is partly along these lines that I situate the poems of Marvell and Cavendish</w:t>
      </w:r>
      <w:r w:rsidR="00397FD7" w:rsidRPr="008364FB">
        <w:rPr>
          <w:color w:val="000000" w:themeColor="text1"/>
          <w:spacing w:val="-2"/>
          <w:shd w:val="clear" w:color="auto" w:fill="FFFFFF"/>
        </w:rPr>
        <w:t>, in which nature ambivalently assumes the role of the beloved</w:t>
      </w:r>
      <w:r w:rsidRPr="003572D2">
        <w:rPr>
          <w:color w:val="000000" w:themeColor="text1"/>
          <w:spacing w:val="-2"/>
          <w:shd w:val="clear" w:color="auto" w:fill="FFFFFF"/>
        </w:rPr>
        <w:t>.</w:t>
      </w:r>
      <w:r>
        <w:rPr>
          <w:rStyle w:val="EndnoteReference"/>
          <w:color w:val="000000" w:themeColor="text1"/>
          <w:spacing w:val="-2"/>
          <w:shd w:val="clear" w:color="auto" w:fill="FFFFFF"/>
        </w:rPr>
        <w:endnoteReference w:id="26"/>
      </w:r>
    </w:p>
    <w:p w14:paraId="4115E93E" w14:textId="77777777" w:rsidR="003A5540" w:rsidRDefault="003A5540" w:rsidP="003572D2">
      <w:pPr>
        <w:tabs>
          <w:tab w:val="left" w:pos="993"/>
        </w:tabs>
        <w:spacing w:line="480" w:lineRule="auto"/>
        <w:rPr>
          <w:color w:val="000000" w:themeColor="text1"/>
          <w:spacing w:val="-2"/>
          <w:shd w:val="clear" w:color="auto" w:fill="FFFFFF"/>
        </w:rPr>
      </w:pPr>
    </w:p>
    <w:p w14:paraId="59522AFB" w14:textId="2EF0FA88" w:rsidR="003A5540" w:rsidRDefault="003A5540" w:rsidP="003A5540">
      <w:pPr>
        <w:tabs>
          <w:tab w:val="left" w:pos="993"/>
        </w:tabs>
        <w:spacing w:line="480" w:lineRule="auto"/>
        <w:jc w:val="center"/>
        <w:rPr>
          <w:color w:val="000000" w:themeColor="text1"/>
          <w:spacing w:val="-2"/>
          <w:shd w:val="clear" w:color="auto" w:fill="FFFFFF"/>
        </w:rPr>
      </w:pPr>
      <w:r>
        <w:rPr>
          <w:color w:val="000000" w:themeColor="text1"/>
          <w:spacing w:val="-2"/>
          <w:shd w:val="clear" w:color="auto" w:fill="FFFFFF"/>
        </w:rPr>
        <w:t>III.  A GREEN THOUGHT</w:t>
      </w:r>
    </w:p>
    <w:p w14:paraId="71EE6B59" w14:textId="30EA4E16" w:rsidR="00D8653A" w:rsidRPr="008D61C3" w:rsidRDefault="00D8653A" w:rsidP="008D61C3">
      <w:pPr>
        <w:spacing w:line="480" w:lineRule="auto"/>
      </w:pPr>
      <w:r>
        <w:rPr>
          <w:lang w:val="en-US"/>
        </w:rPr>
        <w:t xml:space="preserve">Once assigned to Marvell’s period of retirement at Nun Appleton in the early 1650s, </w:t>
      </w:r>
      <w:r w:rsidR="00EB0199">
        <w:rPr>
          <w:lang w:val="en-US"/>
        </w:rPr>
        <w:t>“</w:t>
      </w:r>
      <w:r>
        <w:rPr>
          <w:lang w:val="en-US"/>
        </w:rPr>
        <w:t>The Garden</w:t>
      </w:r>
      <w:r w:rsidR="00EB0199">
        <w:rPr>
          <w:lang w:val="en-US"/>
        </w:rPr>
        <w:t>”</w:t>
      </w:r>
      <w:r>
        <w:rPr>
          <w:lang w:val="en-US"/>
        </w:rPr>
        <w:t xml:space="preserve"> has since been dated to the Restoration (c.1668).</w:t>
      </w:r>
      <w:r>
        <w:rPr>
          <w:rStyle w:val="EndnoteReference"/>
          <w:lang w:val="en-US"/>
        </w:rPr>
        <w:endnoteReference w:id="27"/>
      </w:r>
      <w:r w:rsidR="00EB0199">
        <w:rPr>
          <w:lang w:val="en-US"/>
        </w:rPr>
        <w:t xml:space="preserve"> Barbara Everett drily observed that this “most abstractly discussed” of all Marvell’s works makes one wonder “if </w:t>
      </w:r>
      <w:r w:rsidR="00EB0199">
        <w:rPr>
          <w:i/>
          <w:iCs/>
          <w:lang w:val="en-US"/>
        </w:rPr>
        <w:t>the</w:t>
      </w:r>
      <w:r w:rsidR="00EB0199">
        <w:rPr>
          <w:lang w:val="en-US"/>
        </w:rPr>
        <w:t xml:space="preserve"> garden ever existed”; fitting, perhaps, for a poem preoccupied with how we might know the world in full—</w:t>
      </w:r>
      <w:r w:rsidR="00D372F1">
        <w:rPr>
          <w:lang w:val="en-US"/>
        </w:rPr>
        <w:t>“</w:t>
      </w:r>
      <w:r w:rsidR="00EB0199">
        <w:rPr>
          <w:lang w:val="en-US"/>
        </w:rPr>
        <w:t>all that’s made” (47)—and with the relationship between flights of thought and the rootedness of nature’s particulars, both of which have their place in the production of knowledge.</w:t>
      </w:r>
      <w:r w:rsidR="00EB0199">
        <w:rPr>
          <w:rStyle w:val="EndnoteReference"/>
          <w:lang w:val="en-US"/>
        </w:rPr>
        <w:endnoteReference w:id="28"/>
      </w:r>
      <w:r w:rsidR="00D372F1">
        <w:rPr>
          <w:lang w:val="en-US"/>
        </w:rPr>
        <w:t xml:space="preserve"> Recalling George Puttenham’s evaluation of geometrical figures in poesy, “The Garden’s” broader structures evoke the constitutive alterity of thought and</w:t>
      </w:r>
      <w:r w:rsidR="00A550B5">
        <w:rPr>
          <w:lang w:val="en-US"/>
        </w:rPr>
        <w:t xml:space="preserve"> the</w:t>
      </w:r>
      <w:r w:rsidR="00D372F1">
        <w:rPr>
          <w:lang w:val="en-US"/>
        </w:rPr>
        <w:t xml:space="preserve"> dialectic between ends and endlessness. If its eight-line stanzas of octosyllabic couplets construct a series of squares, the solid shape “most likened to the earth,” its internal, medial movement from body to mind to soul (33-56) suggests the fiery ascendance of the spire, which neither escapes its stanzaic enclosures, nor the boughs on which the soul eventually lights. Meanwhile, circular figures emerge throughout—not least those concluding </w:t>
      </w:r>
      <w:r w:rsidR="00D372F1">
        <w:lastRenderedPageBreak/>
        <w:t>“</w:t>
      </w:r>
      <w:r w:rsidR="00D372F1" w:rsidRPr="00554397">
        <w:t>herbs and flowers… flowers and herbs</w:t>
      </w:r>
      <w:r w:rsidR="00D372F1">
        <w:t>” by which we “</w:t>
      </w:r>
      <w:proofErr w:type="spellStart"/>
      <w:r w:rsidR="00D372F1">
        <w:t>recko</w:t>
      </w:r>
      <w:proofErr w:type="spellEnd"/>
      <w:r w:rsidR="00D372F1">
        <w:t>[n]” or while away the hours—and glancingly bequeath the “many perfections” of the sphere; amplitude, continuity, and the “indefiniteness” that “</w:t>
      </w:r>
      <w:proofErr w:type="spellStart"/>
      <w:r w:rsidR="00D372F1">
        <w:t>beareth</w:t>
      </w:r>
      <w:proofErr w:type="spellEnd"/>
      <w:r w:rsidR="00D372F1">
        <w:t xml:space="preserve"> a similitude with God.”</w:t>
      </w:r>
      <w:r w:rsidR="008D61C3">
        <w:t xml:space="preserve"> </w:t>
      </w:r>
      <w:r w:rsidR="008D61C3">
        <w:rPr>
          <w:rStyle w:val="EndnoteReference"/>
          <w:color w:val="000000" w:themeColor="text1"/>
          <w:spacing w:val="-2"/>
          <w:shd w:val="clear" w:color="auto" w:fill="FFFFFF"/>
        </w:rPr>
        <w:endnoteReference w:id="29"/>
      </w:r>
      <w:r w:rsidR="00D372F1">
        <w:t xml:space="preserve"> These hints of spire and circle form one way in which the poem generates figures of endlessness within and across the strictures of its quadrate stanzas.</w:t>
      </w:r>
    </w:p>
    <w:p w14:paraId="2D2CED05" w14:textId="77777777" w:rsidR="003A5540" w:rsidRDefault="003A5540" w:rsidP="00D372F1">
      <w:pPr>
        <w:tabs>
          <w:tab w:val="left" w:pos="993"/>
        </w:tabs>
        <w:spacing w:line="480" w:lineRule="auto"/>
        <w:rPr>
          <w:color w:val="000000" w:themeColor="text1"/>
          <w:spacing w:val="-2"/>
          <w:shd w:val="clear" w:color="auto" w:fill="FFFFFF"/>
        </w:rPr>
      </w:pPr>
    </w:p>
    <w:p w14:paraId="788BE5E9" w14:textId="65F7209E" w:rsidR="006A0F13" w:rsidRDefault="006A0F13" w:rsidP="00D372F1">
      <w:pPr>
        <w:tabs>
          <w:tab w:val="left" w:pos="993"/>
        </w:tabs>
        <w:spacing w:line="480" w:lineRule="auto"/>
      </w:pPr>
      <w:r>
        <w:t xml:space="preserve">Though evidently preoccupied with the tension native to metaphysics and, as scholars </w:t>
      </w:r>
      <w:r w:rsidR="00A550B5">
        <w:t xml:space="preserve">more </w:t>
      </w:r>
      <w:r>
        <w:t xml:space="preserve">often show, the process of sense-perception—chiefly the contested perception of </w:t>
      </w:r>
      <w:proofErr w:type="spellStart"/>
      <w:r>
        <w:t>color</w:t>
      </w:r>
      <w:proofErr w:type="spellEnd"/>
      <w:r>
        <w:t xml:space="preserve">—the poem seems partly resistant to the formal quality which came to define </w:t>
      </w:r>
      <w:r w:rsidR="00A550B5">
        <w:t>“</w:t>
      </w:r>
      <w:r>
        <w:t>metaphysical</w:t>
      </w:r>
      <w:r w:rsidR="00A550B5">
        <w:t>”</w:t>
      </w:r>
      <w:r>
        <w:t xml:space="preserve"> poetry in the history of literary studies, customarily recovered from a combination of criticism by Samuel Johnson and T. S. Eliot.</w:t>
      </w:r>
      <w:r w:rsidR="00324283">
        <w:rPr>
          <w:rStyle w:val="EndnoteReference"/>
        </w:rPr>
        <w:endnoteReference w:id="30"/>
      </w:r>
      <w:r w:rsidR="002A325D">
        <w:t xml:space="preserve"> Johnson memorably objected to the promotion of ingenuity, above all else, by way of </w:t>
      </w:r>
      <w:r w:rsidR="002A325D" w:rsidRPr="00122C84">
        <w:rPr>
          <w:i/>
          <w:iCs/>
        </w:rPr>
        <w:t>catachresis</w:t>
      </w:r>
      <w:r w:rsidR="002A325D">
        <w:t>—how “[t]</w:t>
      </w:r>
      <w:r w:rsidR="002A325D" w:rsidRPr="00250A47">
        <w:t>he most heterogeneous ideas are yoked by violence</w:t>
      </w:r>
      <w:r w:rsidR="002A325D">
        <w:t xml:space="preserve"> </w:t>
      </w:r>
      <w:r w:rsidR="002A325D" w:rsidRPr="00250A47">
        <w:t>together</w:t>
      </w:r>
      <w:r w:rsidR="002A325D">
        <w:t>”—while Eliot described a formidable impression of “the sensuous apprehension of thought, or a recreation of thought into feeling”.</w:t>
      </w:r>
      <w:r w:rsidR="002A325D">
        <w:rPr>
          <w:rStyle w:val="EndnoteReference"/>
        </w:rPr>
        <w:endnoteReference w:id="31"/>
      </w:r>
      <w:r w:rsidR="00291D41">
        <w:t xml:space="preserve"> Writing a century and a half apart, the one exasperated and the other approving, both get at a similar effect: that of metaphor being stretched to its utmost limit, compelled to forget its comparative transference and fuse, as it were, a new whole</w:t>
      </w:r>
      <w:r w:rsidR="00291D41" w:rsidRPr="00F51E9E">
        <w:t>.</w:t>
      </w:r>
      <w:r w:rsidR="00291D41">
        <w:t xml:space="preserve"> </w:t>
      </w:r>
      <w:r w:rsidR="00291D41" w:rsidRPr="005A4626">
        <w:t>Yet</w:t>
      </w:r>
      <w:r w:rsidR="007208C6">
        <w:t xml:space="preserve">, </w:t>
      </w:r>
      <w:r w:rsidR="00291D41" w:rsidRPr="005A4626">
        <w:t xml:space="preserve">as Marshall Grossman once argued writing of Donne, </w:t>
      </w:r>
      <w:r w:rsidR="007208C6">
        <w:t>we should</w:t>
      </w:r>
      <w:r w:rsidR="00291D41" w:rsidRPr="005A4626">
        <w:t xml:space="preserve"> understand by the well-worn epithet </w:t>
      </w:r>
      <w:r w:rsidR="0024618B">
        <w:t>“</w:t>
      </w:r>
      <w:r w:rsidR="00291D41" w:rsidRPr="005A4626">
        <w:t>metaphysical</w:t>
      </w:r>
      <w:r w:rsidR="0024618B">
        <w:t>”</w:t>
      </w:r>
      <w:r w:rsidR="00291D41" w:rsidRPr="005A4626">
        <w:t xml:space="preserve"> not only a specific set of stylistic affections, or an interest in Scholastic questions and vocabularies, but also the genuinely philosophical significance of style, or the use of style as a </w:t>
      </w:r>
      <w:r w:rsidR="0024618B">
        <w:t>“</w:t>
      </w:r>
      <w:r w:rsidR="00291D41" w:rsidRPr="005A4626">
        <w:t>primary mode of philosophical elaboration.</w:t>
      </w:r>
      <w:r w:rsidR="0024618B">
        <w:t>”</w:t>
      </w:r>
      <w:r w:rsidR="00291D41">
        <w:rPr>
          <w:rStyle w:val="EndnoteReference"/>
        </w:rPr>
        <w:endnoteReference w:id="32"/>
      </w:r>
      <w:r w:rsidR="00291D41">
        <w:t xml:space="preserve"> </w:t>
      </w:r>
      <w:r w:rsidR="00291D41" w:rsidRPr="005A4626">
        <w:t xml:space="preserve">What, then, to make of the poem’s </w:t>
      </w:r>
      <w:r w:rsidR="00291D41">
        <w:t xml:space="preserve">apparent </w:t>
      </w:r>
      <w:r w:rsidR="00291D41" w:rsidRPr="005A4626">
        <w:t>attachment to the literal?</w:t>
      </w:r>
      <w:r w:rsidR="00291D41">
        <w:t xml:space="preserve"> </w:t>
      </w:r>
      <w:r w:rsidR="00291D41" w:rsidRPr="00F51E9E">
        <w:t xml:space="preserve">If, as some grant, </w:t>
      </w:r>
      <w:r w:rsidR="00291D41">
        <w:t>“</w:t>
      </w:r>
      <w:r w:rsidR="00291D41" w:rsidRPr="00F51E9E">
        <w:t>The Garden</w:t>
      </w:r>
      <w:r w:rsidR="00291D41">
        <w:t>”</w:t>
      </w:r>
      <w:r w:rsidR="00291D41" w:rsidRPr="00F51E9E">
        <w:t xml:space="preserve"> turns against </w:t>
      </w:r>
      <w:r w:rsidR="00291D41">
        <w:t>what we expect of metaphysical</w:t>
      </w:r>
      <w:r w:rsidR="00291D41" w:rsidRPr="00F51E9E">
        <w:t xml:space="preserve"> conceit, exhibiting instead a tendency to what Rosalie Colie called </w:t>
      </w:r>
      <w:r w:rsidR="00291D41">
        <w:t>“</w:t>
      </w:r>
      <w:proofErr w:type="spellStart"/>
      <w:r w:rsidR="00291D41" w:rsidRPr="00F51E9E">
        <w:t>unmetaphor</w:t>
      </w:r>
      <w:proofErr w:type="spellEnd"/>
      <w:r w:rsidR="00291D41" w:rsidRPr="00F51E9E">
        <w:t>,</w:t>
      </w:r>
      <w:r w:rsidR="00291D41">
        <w:t>”</w:t>
      </w:r>
      <w:r w:rsidR="00291D41" w:rsidRPr="00F51E9E">
        <w:t xml:space="preserve"> or the reduction of images to literalness, its </w:t>
      </w:r>
      <w:r w:rsidR="00291D41" w:rsidRPr="00F51E9E">
        <w:lastRenderedPageBreak/>
        <w:t>procedures partake</w:t>
      </w:r>
      <w:r w:rsidR="00291D41">
        <w:t xml:space="preserve"> nonetheless</w:t>
      </w:r>
      <w:r w:rsidR="00291D41" w:rsidRPr="00F51E9E">
        <w:t xml:space="preserve"> </w:t>
      </w:r>
      <w:r w:rsidR="00291D41">
        <w:t>of that urge to press—more so by condensation than elaboration—a figure of speech to its furthest extent. Such a practice, noticed Colie, accentuates the “intellectual” function of figures, forced to reflect on their syntheses of difference.</w:t>
      </w:r>
      <w:r w:rsidR="00291D41">
        <w:rPr>
          <w:rStyle w:val="EndnoteReference"/>
        </w:rPr>
        <w:endnoteReference w:id="33"/>
      </w:r>
      <w:r w:rsidR="00291D41">
        <w:t xml:space="preserve"> </w:t>
      </w:r>
      <w:r w:rsidR="00B43FD9">
        <w:t xml:space="preserve">Related is </w:t>
      </w:r>
      <w:r w:rsidR="00291D41">
        <w:t>Christ</w:t>
      </w:r>
      <w:r w:rsidR="00B43FD9">
        <w:t>op</w:t>
      </w:r>
      <w:r w:rsidR="00291D41">
        <w:t xml:space="preserve">her </w:t>
      </w:r>
      <w:proofErr w:type="spellStart"/>
      <w:r w:rsidR="00291D41">
        <w:t>Ricks</w:t>
      </w:r>
      <w:r w:rsidR="00B43FD9">
        <w:t>’s</w:t>
      </w:r>
      <w:proofErr w:type="spellEnd"/>
      <w:r w:rsidR="00B43FD9">
        <w:t xml:space="preserve"> account</w:t>
      </w:r>
      <w:r w:rsidR="00291D41">
        <w:t xml:space="preserve"> </w:t>
      </w:r>
      <w:r w:rsidR="003B4ACE">
        <w:t xml:space="preserve">of the </w:t>
      </w:r>
      <w:r w:rsidR="00291D41">
        <w:t>“self-inwoven</w:t>
      </w:r>
      <w:r w:rsidR="003B4ACE">
        <w:t>”</w:t>
      </w:r>
      <w:r w:rsidR="00291D41">
        <w:t xml:space="preserve"> similes</w:t>
      </w:r>
      <w:r w:rsidR="003B4ACE">
        <w:t xml:space="preserve"> of Marvell</w:t>
      </w:r>
      <w:r w:rsidR="0015608C">
        <w:t xml:space="preserve"> and his contemporarie</w:t>
      </w:r>
      <w:r w:rsidR="007208C6">
        <w:t xml:space="preserve">s </w:t>
      </w:r>
      <w:r w:rsidR="00B43FD9">
        <w:t xml:space="preserve">by which something is said to be </w:t>
      </w:r>
      <w:r w:rsidR="006C0EBD">
        <w:t>“</w:t>
      </w:r>
      <w:r w:rsidR="00B43FD9">
        <w:t>its own resemblance</w:t>
      </w:r>
      <w:r w:rsidR="00015514">
        <w:t>.</w:t>
      </w:r>
      <w:r w:rsidR="006C0EBD">
        <w:t>”</w:t>
      </w:r>
      <w:r w:rsidR="00B43FD9">
        <w:t xml:space="preserve"> </w:t>
      </w:r>
      <w:r w:rsidR="00B43FD9" w:rsidRPr="003B4ACE">
        <w:t xml:space="preserve">In making </w:t>
      </w:r>
      <w:r w:rsidR="003B4ACE" w:rsidRPr="003B4ACE">
        <w:t>some</w:t>
      </w:r>
      <w:r w:rsidR="003B4ACE">
        <w:t>t</w:t>
      </w:r>
      <w:r w:rsidR="003B4ACE" w:rsidRPr="003B4ACE">
        <w:t>hing</w:t>
      </w:r>
      <w:r w:rsidR="00015514">
        <w:t xml:space="preserve"> (</w:t>
      </w:r>
      <w:r w:rsidR="00015514" w:rsidRPr="00015514">
        <w:t>say, a drop of dew that “Shines with a mournful Light; / Like its own Tear”)</w:t>
      </w:r>
      <w:r w:rsidR="00B43FD9" w:rsidRPr="003B4ACE">
        <w:t xml:space="preserve"> occupy both terms of a comparison, at once itself and not itself, this figure </w:t>
      </w:r>
      <w:r w:rsidR="00730AB5">
        <w:t xml:space="preserve">simultaneously </w:t>
      </w:r>
      <w:r w:rsidR="003B4ACE">
        <w:t xml:space="preserve">“reconciles and opposes”, </w:t>
      </w:r>
      <w:r w:rsidR="00F35496">
        <w:t>streaking</w:t>
      </w:r>
      <w:r w:rsidR="003B4ACE">
        <w:t xml:space="preserve"> the composure of paradox with the </w:t>
      </w:r>
      <w:r w:rsidR="00CB5EEE">
        <w:t>clash</w:t>
      </w:r>
      <w:r w:rsidR="003B4ACE">
        <w:t xml:space="preserve"> of antithesis.</w:t>
      </w:r>
      <w:r w:rsidR="00D854C9">
        <w:t xml:space="preserve"> </w:t>
      </w:r>
      <w:r w:rsidR="00D77F05">
        <w:t>Marvell’s</w:t>
      </w:r>
      <w:r w:rsidR="00D854C9" w:rsidRPr="00D854C9">
        <w:t xml:space="preserve"> reflexive </w:t>
      </w:r>
      <w:r w:rsidR="00D77F05">
        <w:t>images</w:t>
      </w:r>
      <w:r w:rsidR="00D854C9" w:rsidRPr="00D854C9">
        <w:t xml:space="preserve"> infold political and cognitive suggestion, </w:t>
      </w:r>
      <w:r w:rsidR="00D854C9">
        <w:t>being “apt”</w:t>
      </w:r>
      <w:r w:rsidR="00D854C9" w:rsidRPr="00D854C9">
        <w:t xml:space="preserve"> in </w:t>
      </w:r>
      <w:r w:rsidR="00D77F05">
        <w:t>their</w:t>
      </w:r>
      <w:r w:rsidR="00D854C9" w:rsidRPr="00D854C9">
        <w:t xml:space="preserve"> self-conflict “to civil war” through which </w:t>
      </w:r>
      <w:r w:rsidR="00D77F05">
        <w:t xml:space="preserve">he </w:t>
      </w:r>
      <w:r w:rsidR="00D854C9" w:rsidRPr="00D854C9">
        <w:t>lived and wrote, while also drawing attention to the division intrinsic to the act of imagining.</w:t>
      </w:r>
      <w:r w:rsidR="00DD7737">
        <w:t xml:space="preserve"> </w:t>
      </w:r>
      <w:r w:rsidR="002235F9">
        <w:t>Yet, s</w:t>
      </w:r>
      <w:r w:rsidR="00DD7737">
        <w:t>ignificant</w:t>
      </w:r>
      <w:r w:rsidR="002235F9">
        <w:t xml:space="preserve"> </w:t>
      </w:r>
      <w:r w:rsidR="00DD7737">
        <w:t>for Ricks</w:t>
      </w:r>
      <w:r w:rsidR="006C0EBD">
        <w:t xml:space="preserve"> </w:t>
      </w:r>
      <w:r w:rsidR="00DD7737">
        <w:t xml:space="preserve">is the </w:t>
      </w:r>
      <w:r w:rsidR="00D854C9">
        <w:t>figure</w:t>
      </w:r>
      <w:r w:rsidR="00DD7737">
        <w:t>’s special</w:t>
      </w:r>
      <w:r w:rsidR="001767AD">
        <w:t>, even heroic</w:t>
      </w:r>
      <w:r w:rsidR="00DD7737">
        <w:t xml:space="preserve"> equilibrium</w:t>
      </w:r>
      <w:r w:rsidR="001767AD">
        <w:t xml:space="preserve"> in how its acknowledgement of warring forces is met with the yearning for peace between them.</w:t>
      </w:r>
      <w:r w:rsidR="00D77F05">
        <w:t xml:space="preserve"> </w:t>
      </w:r>
      <w:r w:rsidR="002235F9">
        <w:t xml:space="preserve">If </w:t>
      </w:r>
      <w:r w:rsidR="00D77F05">
        <w:t>the self-divided image</w:t>
      </w:r>
      <w:r w:rsidR="007208C6">
        <w:t>s</w:t>
      </w:r>
      <w:r w:rsidR="00D77F05">
        <w:t xml:space="preserve"> of Marvell </w:t>
      </w:r>
      <w:r w:rsidR="002278AF">
        <w:t>fall</w:t>
      </w:r>
      <w:r w:rsidR="00D77F05">
        <w:t xml:space="preserve"> eventually</w:t>
      </w:r>
      <w:r w:rsidR="002235F9">
        <w:t>, then,</w:t>
      </w:r>
      <w:r w:rsidR="00D77F05">
        <w:t xml:space="preserve"> under the </w:t>
      </w:r>
      <w:r w:rsidR="002235F9">
        <w:t>steady</w:t>
      </w:r>
      <w:r w:rsidR="00D77F05">
        <w:t xml:space="preserve"> aegis of “all paradoxes”</w:t>
      </w:r>
      <w:r w:rsidR="002235F9">
        <w:t xml:space="preserve">, “The Garden” </w:t>
      </w:r>
      <w:r w:rsidR="00C1385B">
        <w:t>undermines</w:t>
      </w:r>
      <w:r w:rsidR="002278AF">
        <w:t xml:space="preserve"> as it unfolds</w:t>
      </w:r>
      <w:r w:rsidR="002235F9">
        <w:t xml:space="preserve"> this </w:t>
      </w:r>
      <w:r w:rsidR="00F35496">
        <w:t>movement</w:t>
      </w:r>
      <w:r w:rsidR="002235F9">
        <w:t>.</w:t>
      </w:r>
      <w:r w:rsidR="003B4ACE">
        <w:rPr>
          <w:rStyle w:val="EndnoteReference"/>
        </w:rPr>
        <w:endnoteReference w:id="34"/>
      </w:r>
      <w:r w:rsidR="003B4ACE">
        <w:t xml:space="preserve"> </w:t>
      </w:r>
    </w:p>
    <w:p w14:paraId="7063C2B0" w14:textId="77777777" w:rsidR="00C1385B" w:rsidRDefault="00C1385B" w:rsidP="00D372F1">
      <w:pPr>
        <w:tabs>
          <w:tab w:val="left" w:pos="993"/>
        </w:tabs>
        <w:spacing w:line="480" w:lineRule="auto"/>
      </w:pPr>
    </w:p>
    <w:p w14:paraId="06F36E9B" w14:textId="77777777" w:rsidR="00C1385B" w:rsidRDefault="00C1385B" w:rsidP="00C1385B">
      <w:pPr>
        <w:spacing w:line="480" w:lineRule="auto"/>
      </w:pPr>
      <w:r>
        <w:t>Take the poem’s first stanza:</w:t>
      </w:r>
    </w:p>
    <w:p w14:paraId="43E6D2B3" w14:textId="77777777" w:rsidR="00C1385B" w:rsidRDefault="00C1385B" w:rsidP="00C1385B">
      <w:pPr>
        <w:spacing w:line="480" w:lineRule="auto"/>
        <w:ind w:firstLine="720"/>
        <w:rPr>
          <w:color w:val="141413"/>
          <w:sz w:val="22"/>
          <w:szCs w:val="22"/>
        </w:rPr>
      </w:pPr>
    </w:p>
    <w:p w14:paraId="092E052E" w14:textId="77777777" w:rsidR="00C1385B" w:rsidRPr="00C1385B" w:rsidRDefault="00C1385B" w:rsidP="00C1385B">
      <w:pPr>
        <w:spacing w:line="480" w:lineRule="auto"/>
        <w:ind w:firstLine="720"/>
        <w:rPr>
          <w:color w:val="141413"/>
        </w:rPr>
      </w:pPr>
      <w:r w:rsidRPr="00C1385B">
        <w:rPr>
          <w:color w:val="141413"/>
        </w:rPr>
        <w:t>How vainly men themselves amaze</w:t>
      </w:r>
    </w:p>
    <w:p w14:paraId="45897B9E" w14:textId="77777777" w:rsidR="00C1385B" w:rsidRPr="00C1385B" w:rsidRDefault="00C1385B" w:rsidP="00C1385B">
      <w:pPr>
        <w:spacing w:line="480" w:lineRule="auto"/>
        <w:ind w:firstLine="720"/>
        <w:rPr>
          <w:color w:val="141413"/>
        </w:rPr>
      </w:pPr>
      <w:r w:rsidRPr="00C1385B">
        <w:rPr>
          <w:color w:val="141413"/>
        </w:rPr>
        <w:t xml:space="preserve">To win the palm, the oak, or </w:t>
      </w:r>
      <w:proofErr w:type="gramStart"/>
      <w:r w:rsidRPr="00C1385B">
        <w:rPr>
          <w:color w:val="141413"/>
        </w:rPr>
        <w:t>bays;</w:t>
      </w:r>
      <w:proofErr w:type="gramEnd"/>
    </w:p>
    <w:p w14:paraId="4658484C" w14:textId="77777777" w:rsidR="00C1385B" w:rsidRPr="00C1385B" w:rsidRDefault="00C1385B" w:rsidP="00C1385B">
      <w:pPr>
        <w:spacing w:line="480" w:lineRule="auto"/>
        <w:ind w:firstLine="720"/>
        <w:rPr>
          <w:color w:val="141413"/>
        </w:rPr>
      </w:pPr>
      <w:r w:rsidRPr="00C1385B">
        <w:rPr>
          <w:color w:val="141413"/>
        </w:rPr>
        <w:t xml:space="preserve">And their </w:t>
      </w:r>
      <w:proofErr w:type="spellStart"/>
      <w:r w:rsidRPr="00C1385B">
        <w:rPr>
          <w:color w:val="141413"/>
        </w:rPr>
        <w:t>uncessant</w:t>
      </w:r>
      <w:proofErr w:type="spellEnd"/>
      <w:r w:rsidRPr="00C1385B">
        <w:rPr>
          <w:color w:val="141413"/>
        </w:rPr>
        <w:t xml:space="preserve"> labours see</w:t>
      </w:r>
    </w:p>
    <w:p w14:paraId="43DA54AA" w14:textId="77777777" w:rsidR="00C1385B" w:rsidRPr="00C1385B" w:rsidRDefault="00C1385B" w:rsidP="00C1385B">
      <w:pPr>
        <w:spacing w:line="480" w:lineRule="auto"/>
        <w:ind w:firstLine="720"/>
        <w:rPr>
          <w:color w:val="141413"/>
        </w:rPr>
      </w:pPr>
      <w:r w:rsidRPr="00C1385B">
        <w:rPr>
          <w:color w:val="141413"/>
        </w:rPr>
        <w:t>Crowned from some single herb or tree,</w:t>
      </w:r>
    </w:p>
    <w:p w14:paraId="29EEDB6B" w14:textId="77777777" w:rsidR="00C1385B" w:rsidRPr="00C1385B" w:rsidRDefault="00C1385B" w:rsidP="00C1385B">
      <w:pPr>
        <w:spacing w:line="480" w:lineRule="auto"/>
        <w:ind w:firstLine="720"/>
        <w:rPr>
          <w:color w:val="141413"/>
        </w:rPr>
      </w:pPr>
      <w:r w:rsidRPr="00C1385B">
        <w:rPr>
          <w:color w:val="141413"/>
        </w:rPr>
        <w:t xml:space="preserve">Whose short and narrow </w:t>
      </w:r>
      <w:proofErr w:type="spellStart"/>
      <w:r w:rsidRPr="00C1385B">
        <w:rPr>
          <w:color w:val="141413"/>
        </w:rPr>
        <w:t>vergèd</w:t>
      </w:r>
      <w:proofErr w:type="spellEnd"/>
      <w:r w:rsidRPr="00C1385B">
        <w:rPr>
          <w:color w:val="141413"/>
        </w:rPr>
        <w:t xml:space="preserve"> shade</w:t>
      </w:r>
    </w:p>
    <w:p w14:paraId="4B6473A8" w14:textId="77777777" w:rsidR="00C1385B" w:rsidRPr="00C1385B" w:rsidRDefault="00C1385B" w:rsidP="00C1385B">
      <w:pPr>
        <w:spacing w:line="480" w:lineRule="auto"/>
        <w:ind w:firstLine="720"/>
        <w:rPr>
          <w:color w:val="141413"/>
        </w:rPr>
      </w:pPr>
      <w:r w:rsidRPr="00C1385B">
        <w:rPr>
          <w:color w:val="141413"/>
        </w:rPr>
        <w:t xml:space="preserve">Does prudently their toils </w:t>
      </w:r>
      <w:proofErr w:type="gramStart"/>
      <w:r w:rsidRPr="00C1385B">
        <w:rPr>
          <w:color w:val="141413"/>
        </w:rPr>
        <w:t>upbraid;</w:t>
      </w:r>
      <w:proofErr w:type="gramEnd"/>
    </w:p>
    <w:p w14:paraId="67B5E16D" w14:textId="77777777" w:rsidR="00C1385B" w:rsidRPr="00C1385B" w:rsidRDefault="00C1385B" w:rsidP="00C1385B">
      <w:pPr>
        <w:spacing w:line="480" w:lineRule="auto"/>
        <w:ind w:firstLine="720"/>
        <w:rPr>
          <w:color w:val="141413"/>
        </w:rPr>
      </w:pPr>
      <w:r w:rsidRPr="00C1385B">
        <w:rPr>
          <w:color w:val="141413"/>
        </w:rPr>
        <w:lastRenderedPageBreak/>
        <w:t xml:space="preserve">While all </w:t>
      </w:r>
      <w:proofErr w:type="spellStart"/>
      <w:r w:rsidRPr="00C1385B">
        <w:rPr>
          <w:color w:val="141413"/>
        </w:rPr>
        <w:t>flow’rs</w:t>
      </w:r>
      <w:proofErr w:type="spellEnd"/>
      <w:r w:rsidRPr="00C1385B">
        <w:rPr>
          <w:color w:val="141413"/>
        </w:rPr>
        <w:t xml:space="preserve"> and all trees do close</w:t>
      </w:r>
    </w:p>
    <w:p w14:paraId="4795F3EE" w14:textId="77777777" w:rsidR="00C1385B" w:rsidRPr="00C1385B" w:rsidRDefault="00C1385B" w:rsidP="00C1385B">
      <w:pPr>
        <w:spacing w:line="480" w:lineRule="auto"/>
        <w:ind w:firstLine="720"/>
        <w:rPr>
          <w:color w:val="141413"/>
        </w:rPr>
      </w:pPr>
      <w:r w:rsidRPr="00C1385B">
        <w:rPr>
          <w:color w:val="141413"/>
        </w:rPr>
        <w:t>To weave the garlands of repose.</w:t>
      </w:r>
    </w:p>
    <w:p w14:paraId="5EBBC96D" w14:textId="77777777" w:rsidR="00C1385B" w:rsidRDefault="00C1385B" w:rsidP="00C1385B">
      <w:pPr>
        <w:spacing w:line="480" w:lineRule="auto"/>
      </w:pPr>
    </w:p>
    <w:p w14:paraId="71FCB688" w14:textId="275B82C2" w:rsidR="00C1385B" w:rsidRDefault="00C1385B" w:rsidP="00E42074">
      <w:pPr>
        <w:tabs>
          <w:tab w:val="left" w:pos="993"/>
        </w:tabs>
        <w:spacing w:line="480" w:lineRule="auto"/>
      </w:pPr>
      <w:r>
        <w:t xml:space="preserve">Conventionally understood to introduce the </w:t>
      </w:r>
      <w:r w:rsidRPr="00BC396E">
        <w:t>commonplace</w:t>
      </w:r>
      <w:r>
        <w:t xml:space="preserve"> of the superiority of leisurely retirement from the world, it initiates, more crucially, the discontent with metaphoric relation which would discover the disparity between men and nature, that the speaker goes on to amplify.</w:t>
      </w:r>
      <w:r w:rsidR="00F35496">
        <w:rPr>
          <w:rStyle w:val="EndnoteReference"/>
        </w:rPr>
        <w:endnoteReference w:id="35"/>
      </w:r>
      <w:r w:rsidR="00F35496">
        <w:t xml:space="preserve"> The empty, worldly labours of men, he tells us, are suitably emptily rewarded with scanty crowns of leaves from individual trees. And yet these crowns are</w:t>
      </w:r>
      <w:r w:rsidR="0040442A">
        <w:t xml:space="preserve"> articulate </w:t>
      </w:r>
      <w:r w:rsidR="00F35496">
        <w:t xml:space="preserve">in their lack and </w:t>
      </w:r>
      <w:proofErr w:type="spellStart"/>
      <w:r w:rsidR="00F35496">
        <w:t>punningly</w:t>
      </w:r>
      <w:proofErr w:type="spellEnd"/>
      <w:r w:rsidR="00F35496">
        <w:t xml:space="preserve"> </w:t>
      </w:r>
      <w:r w:rsidR="00F35496">
        <w:rPr>
          <w:i/>
          <w:iCs/>
        </w:rPr>
        <w:t>upbraid</w:t>
      </w:r>
      <w:r w:rsidR="00F35496">
        <w:t xml:space="preserve"> their bearers, chiding them, through their sparing interlacement, by failing to afford sufficient shade.</w:t>
      </w:r>
      <w:r w:rsidR="00F35496">
        <w:rPr>
          <w:rStyle w:val="EndnoteReference"/>
        </w:rPr>
        <w:endnoteReference w:id="36"/>
      </w:r>
      <w:r w:rsidR="00F35496">
        <w:t xml:space="preserve"> By contrast, the subordinate clause of the final couplet commends nature or </w:t>
      </w:r>
      <w:r w:rsidR="0040442A">
        <w:t>“</w:t>
      </w:r>
      <w:r w:rsidR="00F35496">
        <w:t>The Garden</w:t>
      </w:r>
      <w:r w:rsidR="0040442A">
        <w:t>”</w:t>
      </w:r>
      <w:proofErr w:type="gramStart"/>
      <w:r w:rsidR="00F35496">
        <w:t>—</w:t>
      </w:r>
      <w:r w:rsidR="0040442A">
        <w:t>“</w:t>
      </w:r>
      <w:proofErr w:type="gramEnd"/>
      <w:r w:rsidR="00F35496">
        <w:t xml:space="preserve">all </w:t>
      </w:r>
      <w:proofErr w:type="spellStart"/>
      <w:r w:rsidR="00F35496">
        <w:t>flow’rs</w:t>
      </w:r>
      <w:proofErr w:type="spellEnd"/>
      <w:r w:rsidR="00F35496">
        <w:t xml:space="preserve"> and all trees</w:t>
      </w:r>
      <w:r w:rsidR="0040442A">
        <w:t>”</w:t>
      </w:r>
      <w:r w:rsidR="00F35496">
        <w:t xml:space="preserve">—over the wreaths wrested from single plants. The joke, at once self-mocking and serious, lies in the speaker’s denial of or disregard for the emblematic relation between verdant crowns and mortal glory. The crowns are literally vain, </w:t>
      </w:r>
      <w:proofErr w:type="spellStart"/>
      <w:r w:rsidR="00F35496">
        <w:rPr>
          <w:i/>
          <w:iCs/>
        </w:rPr>
        <w:t>vanus</w:t>
      </w:r>
      <w:proofErr w:type="spellEnd"/>
      <w:r w:rsidR="00F35496">
        <w:t>, in being hollow, assessed not for their representative potential to bestow praise, but their material capacity to provide shade.</w:t>
      </w:r>
    </w:p>
    <w:p w14:paraId="72CBD40C" w14:textId="77777777" w:rsidR="00E42074" w:rsidRDefault="00E42074" w:rsidP="00E42074">
      <w:pPr>
        <w:tabs>
          <w:tab w:val="left" w:pos="993"/>
        </w:tabs>
        <w:spacing w:line="480" w:lineRule="auto"/>
      </w:pPr>
    </w:p>
    <w:p w14:paraId="2EAA4C3E" w14:textId="4E1B13C8" w:rsidR="00E42074" w:rsidRDefault="00E42074" w:rsidP="00E42074">
      <w:pPr>
        <w:tabs>
          <w:tab w:val="left" w:pos="993"/>
        </w:tabs>
        <w:spacing w:line="480" w:lineRule="auto"/>
      </w:pPr>
      <w:r w:rsidRPr="0002726F">
        <w:rPr>
          <w:lang w:val="en-US"/>
        </w:rPr>
        <w:t xml:space="preserve">Here, in different form, return the fetters or </w:t>
      </w:r>
      <w:r w:rsidRPr="0002726F">
        <w:rPr>
          <w:i/>
          <w:iCs/>
          <w:lang w:val="en-US"/>
        </w:rPr>
        <w:t>vincula</w:t>
      </w:r>
      <w:r w:rsidRPr="0002726F">
        <w:rPr>
          <w:lang w:val="en-US"/>
        </w:rPr>
        <w:t xml:space="preserve"> of art. </w:t>
      </w:r>
      <w:r w:rsidRPr="008E4865">
        <w:rPr>
          <w:lang w:val="en-US"/>
        </w:rPr>
        <w:t>Barred from figuring either the bond</w:t>
      </w:r>
      <w:r>
        <w:rPr>
          <w:lang w:val="en-US"/>
        </w:rPr>
        <w:t>s</w:t>
      </w:r>
      <w:r w:rsidRPr="008E4865">
        <w:rPr>
          <w:lang w:val="en-US"/>
        </w:rPr>
        <w:t xml:space="preserve"> of the art of philosophy which enchain nature (as in Bacon) or the triumph of human accomplishment (whether military, civic</w:t>
      </w:r>
      <w:r>
        <w:rPr>
          <w:lang w:val="en-US"/>
        </w:rPr>
        <w:t>,</w:t>
      </w:r>
      <w:r w:rsidRPr="008E4865">
        <w:rPr>
          <w:lang w:val="en-US"/>
        </w:rPr>
        <w:t xml:space="preserve"> or poetic), the image of nature in chains declines</w:t>
      </w:r>
      <w:r w:rsidR="009B66C7">
        <w:rPr>
          <w:lang w:val="en-US"/>
        </w:rPr>
        <w:t xml:space="preserve"> </w:t>
      </w:r>
      <w:r w:rsidRPr="008E4865">
        <w:rPr>
          <w:lang w:val="en-US"/>
        </w:rPr>
        <w:t>into</w:t>
      </w:r>
      <w:r>
        <w:rPr>
          <w:lang w:val="en-US"/>
        </w:rPr>
        <w:t xml:space="preserve"> </w:t>
      </w:r>
      <w:r w:rsidR="009B66C7">
        <w:rPr>
          <w:lang w:val="en-US"/>
        </w:rPr>
        <w:t>trifling little</w:t>
      </w:r>
      <w:r w:rsidRPr="008E4865">
        <w:rPr>
          <w:lang w:val="en-US"/>
        </w:rPr>
        <w:t xml:space="preserve"> wreaths.</w:t>
      </w:r>
      <w:r w:rsidRPr="003D01DA">
        <w:rPr>
          <w:lang w:val="en-US"/>
        </w:rPr>
        <w:t xml:space="preserve"> Metaphor settles into weak synecdoche as </w:t>
      </w:r>
      <w:r>
        <w:rPr>
          <w:lang w:val="en-US"/>
        </w:rPr>
        <w:t xml:space="preserve">the </w:t>
      </w:r>
      <w:r w:rsidRPr="003D01DA">
        <w:rPr>
          <w:lang w:val="en-US"/>
        </w:rPr>
        <w:t>crowns fail to connote victory and</w:t>
      </w:r>
      <w:r>
        <w:rPr>
          <w:lang w:val="en-US"/>
        </w:rPr>
        <w:t xml:space="preserve"> </w:t>
      </w:r>
      <w:r w:rsidRPr="003D01DA">
        <w:rPr>
          <w:lang w:val="en-US"/>
        </w:rPr>
        <w:t>merely denot</w:t>
      </w:r>
      <w:r>
        <w:rPr>
          <w:lang w:val="en-US"/>
        </w:rPr>
        <w:t xml:space="preserve">e </w:t>
      </w:r>
      <w:r w:rsidRPr="003D01DA">
        <w:rPr>
          <w:lang w:val="en-US"/>
        </w:rPr>
        <w:t xml:space="preserve">the tree from which they </w:t>
      </w:r>
      <w:r>
        <w:rPr>
          <w:lang w:val="en-US"/>
        </w:rPr>
        <w:t>came</w:t>
      </w:r>
      <w:r w:rsidRPr="003D01DA">
        <w:rPr>
          <w:lang w:val="en-US"/>
        </w:rPr>
        <w:t xml:space="preserve">; </w:t>
      </w:r>
      <w:r>
        <w:rPr>
          <w:lang w:val="en-US"/>
        </w:rPr>
        <w:t xml:space="preserve">and </w:t>
      </w:r>
      <w:r w:rsidRPr="003D01DA">
        <w:rPr>
          <w:lang w:val="en-US"/>
        </w:rPr>
        <w:t xml:space="preserve">even </w:t>
      </w:r>
      <w:r>
        <w:rPr>
          <w:lang w:val="en-US"/>
        </w:rPr>
        <w:t>so</w:t>
      </w:r>
      <w:r w:rsidRPr="003D01DA">
        <w:rPr>
          <w:lang w:val="en-US"/>
        </w:rPr>
        <w:t xml:space="preserve">, they cannot quite stand in for their </w:t>
      </w:r>
      <w:r>
        <w:rPr>
          <w:lang w:val="en-US"/>
        </w:rPr>
        <w:t>originals</w:t>
      </w:r>
      <w:r w:rsidRPr="003D01DA">
        <w:rPr>
          <w:lang w:val="en-US"/>
        </w:rPr>
        <w:t xml:space="preserve">, </w:t>
      </w:r>
      <w:r>
        <w:rPr>
          <w:lang w:val="en-US"/>
        </w:rPr>
        <w:t xml:space="preserve">materially </w:t>
      </w:r>
      <w:r w:rsidRPr="003D01DA">
        <w:rPr>
          <w:lang w:val="en-US"/>
        </w:rPr>
        <w:t>incapable of realizing the rewards of the whole.</w:t>
      </w:r>
      <w:r>
        <w:rPr>
          <w:lang w:val="en-US"/>
        </w:rPr>
        <w:t xml:space="preserve"> These crowns confirm only the ways in which parts of nature might be used to manufacture new, but impoverished, and so </w:t>
      </w:r>
      <w:r>
        <w:rPr>
          <w:lang w:val="en-US"/>
        </w:rPr>
        <w:lastRenderedPageBreak/>
        <w:t xml:space="preserve">duplicitous wholes, stripped of nature’s teeming multiplicity. </w:t>
      </w:r>
      <w:r w:rsidRPr="003D01DA">
        <w:rPr>
          <w:lang w:val="en-US"/>
        </w:rPr>
        <w:t xml:space="preserve">Perhaps unexpectedly, then, the </w:t>
      </w:r>
      <w:r>
        <w:rPr>
          <w:lang w:val="en-US"/>
        </w:rPr>
        <w:t>image</w:t>
      </w:r>
      <w:r w:rsidRPr="003D01DA">
        <w:rPr>
          <w:lang w:val="en-US"/>
        </w:rPr>
        <w:t xml:space="preserve"> of the chain recurs—now</w:t>
      </w:r>
      <w:r>
        <w:rPr>
          <w:lang w:val="en-US"/>
        </w:rPr>
        <w:t xml:space="preserve"> </w:t>
      </w:r>
      <w:r w:rsidRPr="003D01DA">
        <w:rPr>
          <w:lang w:val="en-US"/>
        </w:rPr>
        <w:t>more successfully—in th</w:t>
      </w:r>
      <w:r>
        <w:rPr>
          <w:lang w:val="en-US"/>
        </w:rPr>
        <w:t>e</w:t>
      </w:r>
      <w:r w:rsidRPr="003D01DA">
        <w:rPr>
          <w:lang w:val="en-US"/>
        </w:rPr>
        <w:t xml:space="preserve"> </w:t>
      </w:r>
      <w:r>
        <w:rPr>
          <w:lang w:val="en-US"/>
        </w:rPr>
        <w:t xml:space="preserve">stanza’s </w:t>
      </w:r>
      <w:r w:rsidRPr="003D01DA">
        <w:rPr>
          <w:lang w:val="en-US"/>
        </w:rPr>
        <w:t xml:space="preserve">closing couplet: ‘While all </w:t>
      </w:r>
      <w:proofErr w:type="spellStart"/>
      <w:r w:rsidRPr="003D01DA">
        <w:rPr>
          <w:lang w:val="en-US"/>
        </w:rPr>
        <w:t>flow’rs</w:t>
      </w:r>
      <w:proofErr w:type="spellEnd"/>
      <w:r w:rsidRPr="003D01DA">
        <w:rPr>
          <w:lang w:val="en-US"/>
        </w:rPr>
        <w:t xml:space="preserve"> and all trees do close/ To weave the garlands of repose’. </w:t>
      </w:r>
      <w:r>
        <w:rPr>
          <w:lang w:val="en-US"/>
        </w:rPr>
        <w:t>‘</w:t>
      </w:r>
      <w:r w:rsidRPr="003D01DA">
        <w:rPr>
          <w:lang w:val="en-US"/>
        </w:rPr>
        <w:t>Garlands</w:t>
      </w:r>
      <w:r>
        <w:rPr>
          <w:lang w:val="en-US"/>
        </w:rPr>
        <w:t>’</w:t>
      </w:r>
      <w:r w:rsidRPr="003D01DA">
        <w:rPr>
          <w:lang w:val="en-US"/>
        </w:rPr>
        <w:t xml:space="preserve"> </w:t>
      </w:r>
      <w:r>
        <w:rPr>
          <w:lang w:val="en-US"/>
        </w:rPr>
        <w:t xml:space="preserve">could </w:t>
      </w:r>
      <w:r w:rsidRPr="003D01DA">
        <w:rPr>
          <w:lang w:val="en-US"/>
        </w:rPr>
        <w:t>of course be synonymous with crowns, and are equally products of human artifice,</w:t>
      </w:r>
      <w:r>
        <w:rPr>
          <w:lang w:val="en-US"/>
        </w:rPr>
        <w:t xml:space="preserve"> but</w:t>
      </w:r>
      <w:r w:rsidRPr="003D01DA">
        <w:rPr>
          <w:lang w:val="en-US"/>
        </w:rPr>
        <w:t xml:space="preserve"> in this instance, nature itself is said to weave them. The image is one</w:t>
      </w:r>
      <w:r>
        <w:rPr>
          <w:lang w:val="en-US"/>
        </w:rPr>
        <w:t xml:space="preserve"> that is</w:t>
      </w:r>
      <w:r w:rsidRPr="003D01DA">
        <w:rPr>
          <w:lang w:val="en-US"/>
        </w:rPr>
        <w:t xml:space="preserve"> impossible to imagine, viewed as if from outside the world. In </w:t>
      </w:r>
      <w:r w:rsidRPr="003D01DA">
        <w:rPr>
          <w:i/>
          <w:iCs/>
          <w:lang w:val="en-US"/>
        </w:rPr>
        <w:t xml:space="preserve">Metaphysics </w:t>
      </w:r>
      <w:r w:rsidRPr="003D01DA">
        <w:rPr>
          <w:lang w:val="en-US"/>
        </w:rPr>
        <w:t xml:space="preserve">B, Aristotle specifically discusses the impossibility of obtaining knowledge of all things, or the numerically infinite; universals are necessitated precisely because they are distinguished from sense-perception and </w:t>
      </w:r>
      <w:r w:rsidRPr="00196563">
        <w:rPr>
          <w:lang w:val="en-US"/>
        </w:rPr>
        <w:t>not</w:t>
      </w:r>
      <w:r w:rsidRPr="003D01DA">
        <w:rPr>
          <w:lang w:val="en-US"/>
        </w:rPr>
        <w:t xml:space="preserve"> identical to the collection of particulars they claim to cover.</w:t>
      </w:r>
      <w:r>
        <w:rPr>
          <w:rStyle w:val="EndnoteReference"/>
          <w:lang w:val="en-US"/>
        </w:rPr>
        <w:endnoteReference w:id="37"/>
      </w:r>
      <w:r>
        <w:rPr>
          <w:lang w:val="en-US"/>
        </w:rPr>
        <w:t xml:space="preserve"> </w:t>
      </w:r>
      <w:r w:rsidRPr="00E42074">
        <w:rPr>
          <w:lang w:val="en-US"/>
        </w:rPr>
        <w:t xml:space="preserve">Similar considerations of necessity mark rhetorical treatises reflecting on the </w:t>
      </w:r>
      <w:r w:rsidR="009E7C93">
        <w:rPr>
          <w:lang w:val="en-US"/>
        </w:rPr>
        <w:t>“</w:t>
      </w:r>
      <w:r w:rsidRPr="00E42074">
        <w:rPr>
          <w:lang w:val="en-US"/>
        </w:rPr>
        <w:t>causes of tropes;</w:t>
      </w:r>
      <w:r w:rsidR="009E7C93">
        <w:rPr>
          <w:lang w:val="en-US"/>
        </w:rPr>
        <w:t>”</w:t>
      </w:r>
      <w:r w:rsidRPr="00E42074">
        <w:rPr>
          <w:lang w:val="en-US"/>
        </w:rPr>
        <w:t xml:space="preserve"> Henry Peacham explained that </w:t>
      </w:r>
      <w:r w:rsidR="009E7C93">
        <w:rPr>
          <w:lang w:val="en-US"/>
        </w:rPr>
        <w:t>“</w:t>
      </w:r>
      <w:r w:rsidRPr="00E42074">
        <w:t xml:space="preserve">where there wanted words to </w:t>
      </w:r>
      <w:proofErr w:type="spellStart"/>
      <w:r w:rsidRPr="00E42074">
        <w:t>expresse</w:t>
      </w:r>
      <w:proofErr w:type="spellEnd"/>
      <w:r w:rsidRPr="00E42074">
        <w:t xml:space="preserve"> the nature and </w:t>
      </w:r>
      <w:proofErr w:type="spellStart"/>
      <w:r w:rsidRPr="00E42074">
        <w:t>propertie</w:t>
      </w:r>
      <w:proofErr w:type="spellEnd"/>
      <w:r w:rsidRPr="00E42074">
        <w:t xml:space="preserve"> of diverse things, men were… constrained to </w:t>
      </w:r>
      <w:proofErr w:type="spellStart"/>
      <w:r w:rsidRPr="00E42074">
        <w:t>seeke</w:t>
      </w:r>
      <w:proofErr w:type="spellEnd"/>
      <w:r w:rsidRPr="00E42074">
        <w:t xml:space="preserve"> </w:t>
      </w:r>
      <w:proofErr w:type="spellStart"/>
      <w:r w:rsidRPr="00E42074">
        <w:t>remedie</w:t>
      </w:r>
      <w:proofErr w:type="spellEnd"/>
      <w:r w:rsidRPr="00E42074">
        <w:t xml:space="preserve"> for the supply of so great a want, whereupon… calling to remembrance that many things were </w:t>
      </w:r>
      <w:proofErr w:type="spellStart"/>
      <w:r w:rsidRPr="00E42074">
        <w:t>verie</w:t>
      </w:r>
      <w:proofErr w:type="spellEnd"/>
      <w:r w:rsidRPr="00E42074">
        <w:t xml:space="preserve"> like one to another in some respect of nature thought it good to </w:t>
      </w:r>
      <w:proofErr w:type="spellStart"/>
      <w:r w:rsidRPr="00E42074">
        <w:t>borow</w:t>
      </w:r>
      <w:proofErr w:type="spellEnd"/>
      <w:r w:rsidRPr="00E42074">
        <w:t xml:space="preserve"> ye name of one thing, to </w:t>
      </w:r>
      <w:proofErr w:type="spellStart"/>
      <w:r w:rsidRPr="00E42074">
        <w:t>signifie</w:t>
      </w:r>
      <w:proofErr w:type="spellEnd"/>
      <w:r w:rsidRPr="00E42074">
        <w:t xml:space="preserve"> another, which did in some part or property of nature resemble it, &amp; thus began they to use translated speech.</w:t>
      </w:r>
      <w:r w:rsidR="009E7C93">
        <w:t>”</w:t>
      </w:r>
      <w:r>
        <w:rPr>
          <w:rStyle w:val="EndnoteReference"/>
        </w:rPr>
        <w:endnoteReference w:id="38"/>
      </w:r>
      <w:r w:rsidRPr="00E42074">
        <w:t xml:space="preserve"> The invention of metaphor responds not only to an analytic need, </w:t>
      </w:r>
      <w:r w:rsidR="00D07263">
        <w:t>“</w:t>
      </w:r>
      <w:r w:rsidRPr="00E42074">
        <w:t>the scarcity of words for new objects,</w:t>
      </w:r>
      <w:r w:rsidR="00D07263">
        <w:t>”</w:t>
      </w:r>
      <w:r w:rsidRPr="00E42074">
        <w:t xml:space="preserve"> as Dominic Gavin puts it, but also to a synthetic one, the formation of concepts required to know, conveying properties common to diverse objects.</w:t>
      </w:r>
      <w:r>
        <w:rPr>
          <w:rStyle w:val="EndnoteReference"/>
        </w:rPr>
        <w:endnoteReference w:id="39"/>
      </w:r>
    </w:p>
    <w:p w14:paraId="7CEE5866" w14:textId="77777777" w:rsidR="00A56D08" w:rsidRDefault="00A56D08" w:rsidP="00E42074">
      <w:pPr>
        <w:tabs>
          <w:tab w:val="left" w:pos="993"/>
        </w:tabs>
        <w:spacing w:line="480" w:lineRule="auto"/>
      </w:pPr>
    </w:p>
    <w:p w14:paraId="32C1CAE4" w14:textId="2DB728AB" w:rsidR="00A56D08" w:rsidRDefault="00A56D08" w:rsidP="00A56D08">
      <w:pPr>
        <w:tabs>
          <w:tab w:val="left" w:pos="993"/>
        </w:tabs>
        <w:spacing w:line="480" w:lineRule="auto"/>
        <w:rPr>
          <w:color w:val="000000"/>
        </w:rPr>
      </w:pPr>
      <w:r>
        <w:rPr>
          <w:color w:val="000000"/>
        </w:rPr>
        <w:t xml:space="preserve">Despite the first stanza’s inaugural suspicion of symbolic relation, it closes with the remarkable figure of garlands naturally constructed by countless particulars (“all” and “all”). These are “garlands of repose” because of the abundant shade they grant in reward for retirement, </w:t>
      </w:r>
      <w:r w:rsidR="009A4C15">
        <w:rPr>
          <w:color w:val="000000"/>
        </w:rPr>
        <w:t>and</w:t>
      </w:r>
      <w:r>
        <w:rPr>
          <w:color w:val="000000"/>
        </w:rPr>
        <w:t xml:space="preserve"> also because they are at rest. The old dilemma between the </w:t>
      </w:r>
      <w:r>
        <w:rPr>
          <w:color w:val="000000"/>
        </w:rPr>
        <w:lastRenderedPageBreak/>
        <w:t xml:space="preserve">particular and universal has concluded in these garlands, which arrive as wholes that both account for and are fashioned from all of nature’s particulars. In other words, the final couplet affords a glimpse of infinity and totality in astonishing agreement. </w:t>
      </w:r>
      <w:r w:rsidRPr="00A56D08">
        <w:rPr>
          <w:color w:val="000000"/>
        </w:rPr>
        <w:t>A utopian image, though indicatively expressed, it is charged with longing for a way of knowing and being in the world that is perfectly suited to the world.</w:t>
      </w:r>
      <w:r>
        <w:rPr>
          <w:color w:val="000000"/>
        </w:rPr>
        <w:t xml:space="preserve"> And yet, recalling those spurned crowns, the final couplet is also “short,” grammatically subordinate and precariously perched, occupying a good deal less stanzaic space than those wreaths it claims to eclipse. Moreover, the unstressed fall of the second “all”</w:t>
      </w:r>
      <w:proofErr w:type="gramStart"/>
      <w:r>
        <w:rPr>
          <w:color w:val="000000"/>
        </w:rPr>
        <w:t>—</w:t>
      </w:r>
      <w:r>
        <w:t>“</w:t>
      </w:r>
      <w:proofErr w:type="gramEnd"/>
      <w:r w:rsidRPr="005E24ED">
        <w:rPr>
          <w:color w:val="000000"/>
        </w:rPr>
        <w:t xml:space="preserve">While all </w:t>
      </w:r>
      <w:proofErr w:type="spellStart"/>
      <w:r w:rsidRPr="005E24ED">
        <w:rPr>
          <w:color w:val="000000"/>
        </w:rPr>
        <w:t>flow’rs</w:t>
      </w:r>
      <w:proofErr w:type="spellEnd"/>
      <w:r w:rsidRPr="005E24ED">
        <w:rPr>
          <w:color w:val="000000"/>
        </w:rPr>
        <w:t xml:space="preserve"> and all trees do close</w:t>
      </w:r>
      <w:r>
        <w:rPr>
          <w:color w:val="000000"/>
        </w:rPr>
        <w:t xml:space="preserve">”—briefly unsettles the finely tuned verse, a reminder of its own sleight of hand in how it designates a class without specifying its members. If hopeful, the poem’s opening is also self-undoing in its arrangements of structure and sound. The “wondrous life” of the fifth stanza reprises this mixture of jubilant assurance and susceptibility (33). Essential to its effects is how we wait beside the speaker as he </w:t>
      </w:r>
      <w:r w:rsidRPr="00635243">
        <w:rPr>
          <w:color w:val="000000"/>
        </w:rPr>
        <w:t>imagines</w:t>
      </w:r>
      <w:r>
        <w:rPr>
          <w:color w:val="000000"/>
        </w:rPr>
        <w:t xml:space="preserve"> clutches of fruit pressing on him their gifts.</w:t>
      </w:r>
      <w:r>
        <w:rPr>
          <w:rStyle w:val="EndnoteReference"/>
          <w:color w:val="000000"/>
        </w:rPr>
        <w:endnoteReference w:id="40"/>
      </w:r>
      <w:r>
        <w:rPr>
          <w:color w:val="000000"/>
        </w:rPr>
        <w:t xml:space="preserve"> </w:t>
      </w:r>
      <w:r w:rsidRPr="00A56D08">
        <w:rPr>
          <w:color w:val="000000"/>
        </w:rPr>
        <w:t>Some readers, Leah Marcus being a recent example, view in this luxuriant prospect of vegetable love intimations of vitalist philosophies of nature, whether Edenic symbiosis, or varieties of hermetic revelation.</w:t>
      </w:r>
      <w:r>
        <w:rPr>
          <w:rStyle w:val="EndnoteReference"/>
          <w:color w:val="000000"/>
        </w:rPr>
        <w:endnoteReference w:id="41"/>
      </w:r>
      <w:r w:rsidRPr="00A56D08">
        <w:rPr>
          <w:color w:val="000000"/>
        </w:rPr>
        <w:t xml:space="preserve"> </w:t>
      </w:r>
      <w:r w:rsidR="008239EB">
        <w:rPr>
          <w:color w:val="000000"/>
        </w:rPr>
        <w:t>Yet</w:t>
      </w:r>
      <w:r w:rsidRPr="00A56D08">
        <w:rPr>
          <w:color w:val="000000"/>
        </w:rPr>
        <w:t xml:space="preserve"> the animated fruit assume not only an alarming reciprocity, but also the process of human intervention—the vine’s </w:t>
      </w:r>
      <w:r w:rsidR="00F67EC9">
        <w:rPr>
          <w:color w:val="000000"/>
        </w:rPr>
        <w:t>“</w:t>
      </w:r>
      <w:r w:rsidRPr="00A56D08">
        <w:rPr>
          <w:color w:val="000000"/>
        </w:rPr>
        <w:t>luscious clusters</w:t>
      </w:r>
      <w:r w:rsidR="00F67EC9">
        <w:rPr>
          <w:color w:val="000000"/>
        </w:rPr>
        <w:t>”</w:t>
      </w:r>
      <w:r w:rsidRPr="00A56D08">
        <w:rPr>
          <w:color w:val="000000"/>
        </w:rPr>
        <w:t xml:space="preserve"> arrive on the speaker’s lips as </w:t>
      </w:r>
      <w:r w:rsidR="00F67EC9">
        <w:rPr>
          <w:color w:val="000000"/>
        </w:rPr>
        <w:t>“</w:t>
      </w:r>
      <w:r w:rsidRPr="00A56D08">
        <w:rPr>
          <w:color w:val="000000"/>
        </w:rPr>
        <w:t>wine</w:t>
      </w:r>
      <w:r w:rsidR="00F67EC9">
        <w:rPr>
          <w:color w:val="000000"/>
        </w:rPr>
        <w:t>”</w:t>
      </w:r>
      <w:r w:rsidRPr="00A56D08">
        <w:rPr>
          <w:color w:val="000000"/>
        </w:rPr>
        <w:t xml:space="preserve"> (35-6). The exchange of vegetal and human positions resolves into a recumbent speaker, </w:t>
      </w:r>
      <w:r w:rsidR="00F67EC9">
        <w:rPr>
          <w:color w:val="000000"/>
        </w:rPr>
        <w:t>“</w:t>
      </w:r>
      <w:r w:rsidRPr="00A56D08">
        <w:rPr>
          <w:color w:val="000000"/>
        </w:rPr>
        <w:t xml:space="preserve">Insnared with </w:t>
      </w:r>
      <w:proofErr w:type="spellStart"/>
      <w:r w:rsidRPr="00A56D08">
        <w:rPr>
          <w:color w:val="000000"/>
        </w:rPr>
        <w:t>flow’rs</w:t>
      </w:r>
      <w:proofErr w:type="spellEnd"/>
      <w:r w:rsidR="00F67EC9">
        <w:rPr>
          <w:color w:val="000000"/>
        </w:rPr>
        <w:t xml:space="preserve">” </w:t>
      </w:r>
      <w:r w:rsidRPr="00A56D08">
        <w:rPr>
          <w:color w:val="000000"/>
        </w:rPr>
        <w:t xml:space="preserve">and </w:t>
      </w:r>
      <w:r w:rsidR="00F67EC9">
        <w:rPr>
          <w:color w:val="000000"/>
        </w:rPr>
        <w:t>“</w:t>
      </w:r>
      <w:r w:rsidRPr="00A56D08">
        <w:rPr>
          <w:color w:val="000000"/>
        </w:rPr>
        <w:t>fall[</w:t>
      </w:r>
      <w:proofErr w:type="spellStart"/>
      <w:r w:rsidRPr="00A56D08">
        <w:rPr>
          <w:color w:val="000000"/>
        </w:rPr>
        <w:t>en</w:t>
      </w:r>
      <w:proofErr w:type="spellEnd"/>
      <w:r w:rsidRPr="00A56D08">
        <w:rPr>
          <w:color w:val="000000"/>
        </w:rPr>
        <w:t>] on grass</w:t>
      </w:r>
      <w:r w:rsidR="00F67EC9">
        <w:rPr>
          <w:color w:val="000000"/>
        </w:rPr>
        <w:t>”</w:t>
      </w:r>
      <w:r w:rsidRPr="00A56D08">
        <w:rPr>
          <w:color w:val="000000"/>
        </w:rPr>
        <w:t xml:space="preserve"> (40). With heavy-handed allusions to</w:t>
      </w:r>
      <w:r w:rsidR="00911D77">
        <w:rPr>
          <w:color w:val="000000"/>
        </w:rPr>
        <w:t xml:space="preserve"> mortality and</w:t>
      </w:r>
      <w:r w:rsidRPr="00A56D08">
        <w:rPr>
          <w:color w:val="000000"/>
        </w:rPr>
        <w:t xml:space="preserve"> the loss of innocence (Isa. 40:6), the poet’s </w:t>
      </w:r>
      <w:r w:rsidR="00F67EC9">
        <w:rPr>
          <w:color w:val="000000"/>
        </w:rPr>
        <w:t>“</w:t>
      </w:r>
      <w:r w:rsidRPr="00A56D08">
        <w:rPr>
          <w:color w:val="000000"/>
        </w:rPr>
        <w:t>garlands of repose</w:t>
      </w:r>
      <w:r w:rsidR="00F67EC9">
        <w:rPr>
          <w:color w:val="000000"/>
        </w:rPr>
        <w:t>”</w:t>
      </w:r>
      <w:r w:rsidRPr="00A56D08">
        <w:rPr>
          <w:color w:val="000000"/>
        </w:rPr>
        <w:t xml:space="preserve"> recoil into a flowered snare, his wished-for ends of endlessness collapsed into comically sinister self-dissolution.</w:t>
      </w:r>
    </w:p>
    <w:p w14:paraId="1F264D11" w14:textId="77777777" w:rsidR="008239EB" w:rsidRDefault="008239EB" w:rsidP="008239EB">
      <w:pPr>
        <w:spacing w:line="360" w:lineRule="auto"/>
        <w:rPr>
          <w:lang w:val="en-US"/>
        </w:rPr>
      </w:pPr>
    </w:p>
    <w:p w14:paraId="42181C02" w14:textId="15600180" w:rsidR="008239EB" w:rsidRDefault="008239EB" w:rsidP="008239EB">
      <w:pPr>
        <w:spacing w:line="480" w:lineRule="auto"/>
        <w:rPr>
          <w:lang w:val="en-US"/>
        </w:rPr>
      </w:pPr>
      <w:r>
        <w:rPr>
          <w:lang w:val="en-US"/>
        </w:rPr>
        <w:lastRenderedPageBreak/>
        <w:t xml:space="preserve">If the subject’s dissolution in sensuous passivity offers one possibility of integration with nature, another is its seeming obliteration by absolute intellectual activity. According to the enigmatic sixth stanza, the two seem to happen at once: </w:t>
      </w:r>
    </w:p>
    <w:p w14:paraId="31F74E98" w14:textId="77777777" w:rsidR="008239EB" w:rsidRDefault="008239EB" w:rsidP="008239EB">
      <w:pPr>
        <w:spacing w:line="480" w:lineRule="auto"/>
        <w:rPr>
          <w:sz w:val="22"/>
          <w:szCs w:val="22"/>
          <w:lang w:val="en-US"/>
        </w:rPr>
      </w:pPr>
    </w:p>
    <w:p w14:paraId="778EFD33" w14:textId="77777777" w:rsidR="008239EB" w:rsidRPr="008239EB" w:rsidRDefault="008239EB" w:rsidP="008239EB">
      <w:pPr>
        <w:spacing w:line="480" w:lineRule="auto"/>
        <w:ind w:left="720"/>
        <w:rPr>
          <w:lang w:val="en-US"/>
        </w:rPr>
      </w:pPr>
      <w:r w:rsidRPr="008239EB">
        <w:rPr>
          <w:lang w:val="en-US"/>
        </w:rPr>
        <w:t>Meanwhile the mind, from pleasures less,</w:t>
      </w:r>
    </w:p>
    <w:p w14:paraId="43948184" w14:textId="77777777" w:rsidR="008239EB" w:rsidRPr="008239EB" w:rsidRDefault="008239EB" w:rsidP="008239EB">
      <w:pPr>
        <w:spacing w:line="480" w:lineRule="auto"/>
        <w:ind w:left="720"/>
        <w:rPr>
          <w:lang w:val="en-US"/>
        </w:rPr>
      </w:pPr>
      <w:r w:rsidRPr="008239EB">
        <w:rPr>
          <w:lang w:val="en-US"/>
        </w:rPr>
        <w:t>Withdraws into its happiness:</w:t>
      </w:r>
    </w:p>
    <w:p w14:paraId="333985B0" w14:textId="77777777" w:rsidR="008239EB" w:rsidRPr="008239EB" w:rsidRDefault="008239EB" w:rsidP="008239EB">
      <w:pPr>
        <w:spacing w:line="480" w:lineRule="auto"/>
        <w:ind w:left="720"/>
        <w:rPr>
          <w:lang w:val="en-US"/>
        </w:rPr>
      </w:pPr>
      <w:r w:rsidRPr="008239EB">
        <w:rPr>
          <w:lang w:val="en-US"/>
        </w:rPr>
        <w:t>The mind, that ocean where each kind</w:t>
      </w:r>
    </w:p>
    <w:p w14:paraId="40CA7785" w14:textId="77777777" w:rsidR="008239EB" w:rsidRPr="008239EB" w:rsidRDefault="008239EB" w:rsidP="008239EB">
      <w:pPr>
        <w:spacing w:line="480" w:lineRule="auto"/>
        <w:ind w:left="720"/>
        <w:rPr>
          <w:lang w:val="en-US"/>
        </w:rPr>
      </w:pPr>
      <w:r w:rsidRPr="008239EB">
        <w:rPr>
          <w:lang w:val="en-US"/>
        </w:rPr>
        <w:t>Does straight its own resemblance find; (41-4)</w:t>
      </w:r>
    </w:p>
    <w:p w14:paraId="32580734" w14:textId="77777777" w:rsidR="008239EB" w:rsidRDefault="008239EB" w:rsidP="008239EB">
      <w:pPr>
        <w:spacing w:line="480" w:lineRule="auto"/>
        <w:rPr>
          <w:lang w:val="en-US"/>
        </w:rPr>
      </w:pPr>
    </w:p>
    <w:p w14:paraId="4B74488E" w14:textId="58F8F76E" w:rsidR="008239EB" w:rsidRDefault="008239EB" w:rsidP="008239EB">
      <w:pPr>
        <w:spacing w:line="480" w:lineRule="auto"/>
      </w:pPr>
      <w:r>
        <w:rPr>
          <w:lang w:val="en-US"/>
        </w:rPr>
        <w:t>The speaker’s vegetative state in the preceding stanza might mock, through literalization, the Aristotelian principle that sense-perception is a form of being acted upon and made “like,” in some manner, the object perceived. The second couplet above more neatly supplies the usual Scholastic account, in which the faculty of perception “</w:t>
      </w:r>
      <w:r w:rsidRPr="00F237D4">
        <w:t>receptive of the form of sensible objects without the matter</w:t>
      </w:r>
      <w:r>
        <w:t>” becomes like those objects.</w:t>
      </w:r>
      <w:r>
        <w:rPr>
          <w:rStyle w:val="EndnoteReference"/>
        </w:rPr>
        <w:endnoteReference w:id="42"/>
      </w:r>
      <w:r>
        <w:t xml:space="preserve"> But this model of perception and intellection founded on resemblance is notoriously upended, a turn anticipated in the detachment conferred by the definite article denoting “the mind”: </w:t>
      </w:r>
    </w:p>
    <w:p w14:paraId="471053B1" w14:textId="77777777" w:rsidR="008239EB" w:rsidRDefault="008239EB" w:rsidP="008239EB">
      <w:pPr>
        <w:spacing w:line="480" w:lineRule="auto"/>
      </w:pPr>
    </w:p>
    <w:p w14:paraId="58677A8D" w14:textId="77777777" w:rsidR="008239EB" w:rsidRPr="008239EB" w:rsidRDefault="008239EB" w:rsidP="008239EB">
      <w:pPr>
        <w:spacing w:line="480" w:lineRule="auto"/>
        <w:ind w:firstLine="720"/>
        <w:rPr>
          <w:lang w:val="en-US"/>
        </w:rPr>
      </w:pPr>
      <w:r w:rsidRPr="008239EB">
        <w:rPr>
          <w:lang w:val="en-US"/>
        </w:rPr>
        <w:t>Yet it creates, transcending these,</w:t>
      </w:r>
    </w:p>
    <w:p w14:paraId="14D5577B" w14:textId="77777777" w:rsidR="008239EB" w:rsidRPr="008239EB" w:rsidRDefault="008239EB" w:rsidP="008239EB">
      <w:pPr>
        <w:spacing w:line="480" w:lineRule="auto"/>
        <w:ind w:left="720"/>
        <w:rPr>
          <w:lang w:val="en-US"/>
        </w:rPr>
      </w:pPr>
      <w:r w:rsidRPr="008239EB">
        <w:rPr>
          <w:lang w:val="en-US"/>
        </w:rPr>
        <w:t xml:space="preserve">Far other worlds, and other </w:t>
      </w:r>
      <w:proofErr w:type="gramStart"/>
      <w:r w:rsidRPr="008239EB">
        <w:rPr>
          <w:lang w:val="en-US"/>
        </w:rPr>
        <w:t>seas;</w:t>
      </w:r>
      <w:proofErr w:type="gramEnd"/>
    </w:p>
    <w:p w14:paraId="5789BE82" w14:textId="77777777" w:rsidR="008239EB" w:rsidRPr="008239EB" w:rsidRDefault="008239EB" w:rsidP="008239EB">
      <w:pPr>
        <w:spacing w:line="480" w:lineRule="auto"/>
        <w:ind w:left="720"/>
      </w:pPr>
      <w:r w:rsidRPr="008239EB">
        <w:t>Annihilating all that’s made</w:t>
      </w:r>
    </w:p>
    <w:p w14:paraId="5A5E5D3D" w14:textId="77777777" w:rsidR="008239EB" w:rsidRPr="008239EB" w:rsidRDefault="008239EB" w:rsidP="008239EB">
      <w:pPr>
        <w:spacing w:line="480" w:lineRule="auto"/>
        <w:ind w:left="720"/>
      </w:pPr>
      <w:r w:rsidRPr="008239EB">
        <w:t>To a green thought in a green shade. (45-8)</w:t>
      </w:r>
    </w:p>
    <w:p w14:paraId="712BC918" w14:textId="77777777" w:rsidR="008239EB" w:rsidRPr="008239EB" w:rsidRDefault="008239EB" w:rsidP="008239EB">
      <w:pPr>
        <w:spacing w:line="480" w:lineRule="auto"/>
        <w:ind w:left="720"/>
      </w:pPr>
    </w:p>
    <w:p w14:paraId="37CE990D" w14:textId="77777777" w:rsidR="008239EB" w:rsidRPr="008239EB" w:rsidRDefault="008239EB" w:rsidP="008239EB">
      <w:pPr>
        <w:spacing w:line="480" w:lineRule="auto"/>
      </w:pPr>
    </w:p>
    <w:p w14:paraId="268AD62E" w14:textId="5B331FCD" w:rsidR="00137889" w:rsidRDefault="008239EB" w:rsidP="007F661B">
      <w:pPr>
        <w:tabs>
          <w:tab w:val="left" w:pos="993"/>
        </w:tabs>
        <w:spacing w:line="480" w:lineRule="auto"/>
      </w:pPr>
      <w:r>
        <w:lastRenderedPageBreak/>
        <w:t xml:space="preserve">The mind not only creates independently of the </w:t>
      </w:r>
      <w:proofErr w:type="gramStart"/>
      <w:r>
        <w:t>world, but</w:t>
      </w:r>
      <w:proofErr w:type="gramEnd"/>
      <w:r>
        <w:t xml:space="preserve"> also goes on ambivalently to “</w:t>
      </w:r>
      <w:proofErr w:type="spellStart"/>
      <w:r>
        <w:t>annihilat</w:t>
      </w:r>
      <w:proofErr w:type="spellEnd"/>
      <w:r>
        <w:t>[e]”, wherein the objects of annihilation</w:t>
      </w:r>
      <w:r w:rsidR="00B54134">
        <w:t xml:space="preserve"> (</w:t>
      </w:r>
      <w:r>
        <w:t>“all that’s made”</w:t>
      </w:r>
      <w:r w:rsidR="00B54134">
        <w:t xml:space="preserve">) </w:t>
      </w:r>
      <w:r>
        <w:t xml:space="preserve">may be both the phenomenal world and the “other worlds” of thought. The sequence of creation and destruction yields another universal, not a quantitative chain of particulars, but a solitary, more qualitative “green thought in a green shade.” </w:t>
      </w:r>
      <w:r w:rsidR="00D66E11">
        <w:t>Striking</w:t>
      </w:r>
      <w:r>
        <w:t xml:space="preserve"> is the notion of “annihilating to,” a reduction to nothing aimed instead at </w:t>
      </w:r>
      <w:proofErr w:type="spellStart"/>
      <w:r>
        <w:t>some thing</w:t>
      </w:r>
      <w:proofErr w:type="spellEnd"/>
      <w:r>
        <w:t xml:space="preserve">. </w:t>
      </w:r>
      <w:r w:rsidRPr="00B54134">
        <w:t xml:space="preserve">Lending annihilation direction, Ryan Netzley proposes, safeguards the poet’s imperative to </w:t>
      </w:r>
      <w:r w:rsidR="00B54134">
        <w:t>“</w:t>
      </w:r>
      <w:r w:rsidRPr="00B54134">
        <w:t>subtract</w:t>
      </w:r>
      <w:r w:rsidR="00B54134">
        <w:t>”—</w:t>
      </w:r>
      <w:r w:rsidRPr="00B54134">
        <w:t xml:space="preserve">or </w:t>
      </w:r>
      <w:r w:rsidR="00B54134">
        <w:t xml:space="preserve">rather, </w:t>
      </w:r>
      <w:r w:rsidRPr="00B54134">
        <w:t>sublate,</w:t>
      </w:r>
      <w:r w:rsidR="00B54134">
        <w:t xml:space="preserve"> which meant “to remove” or “take away” in the seventeenth century, but came to mean a kind of simultaneous negation and preservation in the nineteenth, via Hegel.</w:t>
      </w:r>
      <w:r w:rsidR="00B54134">
        <w:rPr>
          <w:rStyle w:val="EndnoteReference"/>
        </w:rPr>
        <w:endnoteReference w:id="43"/>
      </w:r>
      <w:r w:rsidR="00B54134">
        <w:t xml:space="preserve"> T</w:t>
      </w:r>
      <w:r w:rsidRPr="00B54134">
        <w:t xml:space="preserve">he </w:t>
      </w:r>
      <w:r w:rsidR="00B54134">
        <w:t>end</w:t>
      </w:r>
      <w:r w:rsidRPr="00B54134">
        <w:t xml:space="preserve"> at which the mind arrives is less arithmetical than metaphysical in kind</w:t>
      </w:r>
      <w:r w:rsidR="00B54134">
        <w:t>.</w:t>
      </w:r>
      <w:r w:rsidR="007F661B">
        <w:t xml:space="preserve"> </w:t>
      </w:r>
      <w:r w:rsidR="00EB0A2D" w:rsidRPr="00EB0A2D">
        <w:t xml:space="preserve">Bacon’s account of </w:t>
      </w:r>
      <w:r w:rsidR="007F661B">
        <w:t>“</w:t>
      </w:r>
      <w:r w:rsidR="00EB0A2D" w:rsidRPr="00EB0A2D">
        <w:t>Proteus, or Matter</w:t>
      </w:r>
      <w:r w:rsidR="007F661B">
        <w:t>”</w:t>
      </w:r>
      <w:r w:rsidR="00EB0A2D" w:rsidRPr="00EB0A2D">
        <w:t xml:space="preserve"> </w:t>
      </w:r>
      <w:r w:rsidR="007F661B">
        <w:t xml:space="preserve">more specifically </w:t>
      </w:r>
      <w:r w:rsidR="00EB0A2D" w:rsidRPr="00EB0A2D">
        <w:t>outlines the utility of annihilation in natural philosophical inquiry:</w:t>
      </w:r>
    </w:p>
    <w:p w14:paraId="02E14F6D" w14:textId="77777777" w:rsidR="00137889" w:rsidRDefault="00137889" w:rsidP="00137889">
      <w:pPr>
        <w:tabs>
          <w:tab w:val="left" w:pos="993"/>
        </w:tabs>
        <w:spacing w:line="480" w:lineRule="auto"/>
        <w:ind w:left="720"/>
      </w:pPr>
    </w:p>
    <w:p w14:paraId="14982931" w14:textId="7265B149" w:rsidR="00137889" w:rsidRDefault="00137889" w:rsidP="00176C50">
      <w:pPr>
        <w:tabs>
          <w:tab w:val="left" w:pos="993"/>
        </w:tabs>
        <w:spacing w:line="480" w:lineRule="auto"/>
        <w:ind w:left="720"/>
      </w:pPr>
      <w:r>
        <w:t>[I]</w:t>
      </w:r>
      <w:r w:rsidR="00EB0A2D" w:rsidRPr="00EB0A2D">
        <w:t xml:space="preserve">f any skilful Servant of Nature shall bring force to bear on matter, and… drive it to extremities </w:t>
      </w:r>
      <w:r w:rsidR="00EB0A2D" w:rsidRPr="00EB0A2D">
        <w:rPr>
          <w:i/>
          <w:iCs/>
        </w:rPr>
        <w:t>as if with the purpose of reducing it to nothing</w:t>
      </w:r>
      <w:r w:rsidR="00EB0A2D" w:rsidRPr="00EB0A2D">
        <w:t>, then will matter (</w:t>
      </w:r>
      <w:r w:rsidR="00EB0A2D" w:rsidRPr="00EB0A2D">
        <w:rPr>
          <w:i/>
          <w:iCs/>
        </w:rPr>
        <w:t>since annihilation… is not possible except by the omnipotence of God</w:t>
      </w:r>
      <w:r w:rsidR="00EB0A2D" w:rsidRPr="00EB0A2D">
        <w:t>)… transform itself into strange shapes, passing from one change to another till it has gone through the whole circle and finished the period; when, if the force be continued, it returns at last to itself.</w:t>
      </w:r>
      <w:r w:rsidR="00176C50">
        <w:rPr>
          <w:rStyle w:val="EndnoteReference"/>
        </w:rPr>
        <w:endnoteReference w:id="44"/>
      </w:r>
    </w:p>
    <w:p w14:paraId="2F8059B2" w14:textId="77777777" w:rsidR="00176C50" w:rsidRDefault="00176C50" w:rsidP="00176C50">
      <w:pPr>
        <w:tabs>
          <w:tab w:val="left" w:pos="993"/>
        </w:tabs>
        <w:spacing w:line="480" w:lineRule="auto"/>
        <w:ind w:left="720"/>
      </w:pPr>
    </w:p>
    <w:p w14:paraId="31F99A67" w14:textId="5AACB588" w:rsidR="00176C50" w:rsidRDefault="00EB0A2D" w:rsidP="00176C50">
      <w:pPr>
        <w:tabs>
          <w:tab w:val="left" w:pos="993"/>
        </w:tabs>
        <w:spacing w:line="480" w:lineRule="auto"/>
      </w:pPr>
      <w:r w:rsidRPr="00EB0A2D">
        <w:t xml:space="preserve">On this account, </w:t>
      </w:r>
      <w:r w:rsidR="00176C50">
        <w:t>“</w:t>
      </w:r>
      <w:r w:rsidRPr="00EB0A2D">
        <w:t>annihilating to</w:t>
      </w:r>
      <w:r w:rsidR="00176C50">
        <w:t>”</w:t>
      </w:r>
      <w:r w:rsidRPr="00EB0A2D">
        <w:t xml:space="preserve"> entails acting with the intent of </w:t>
      </w:r>
      <w:r w:rsidR="00176C50">
        <w:t>total obliteration</w:t>
      </w:r>
      <w:r w:rsidRPr="00EB0A2D">
        <w:t>, secure in the knowledge tha</w:t>
      </w:r>
      <w:r w:rsidR="00176C50">
        <w:t>t it</w:t>
      </w:r>
      <w:r w:rsidRPr="00EB0A2D">
        <w:t xml:space="preserve"> is not possible. In consequence, one may authentically reduce to truth, or pure essence, </w:t>
      </w:r>
      <w:r w:rsidR="00176C50">
        <w:t>“</w:t>
      </w:r>
      <w:r w:rsidRPr="00EB0A2D">
        <w:t>the whole circle</w:t>
      </w:r>
      <w:r w:rsidR="00176C50">
        <w:t>”</w:t>
      </w:r>
      <w:r w:rsidRPr="00EB0A2D">
        <w:t xml:space="preserve"> or infinitude of difference.</w:t>
      </w:r>
      <w:r w:rsidR="00176C50">
        <w:t xml:space="preserve"> </w:t>
      </w:r>
      <w:r w:rsidR="00176C50" w:rsidRPr="00176C50">
        <w:rPr>
          <w:lang w:val="en-US"/>
        </w:rPr>
        <w:t xml:space="preserve">And yet, the sixth stanza’s ecstatic distillation—or production—of </w:t>
      </w:r>
      <w:r w:rsidR="00176C50">
        <w:rPr>
          <w:lang w:val="en-US"/>
        </w:rPr>
        <w:t>“</w:t>
      </w:r>
      <w:r w:rsidR="00176C50" w:rsidRPr="00176C50">
        <w:t>a green thought in a green shade</w:t>
      </w:r>
      <w:r w:rsidR="00176C50">
        <w:t>”</w:t>
      </w:r>
      <w:r w:rsidR="00176C50" w:rsidRPr="00176C50">
        <w:t xml:space="preserve"> assaults, by that contaminating pun on </w:t>
      </w:r>
      <w:r w:rsidR="00176C50">
        <w:t>“</w:t>
      </w:r>
      <w:r w:rsidR="00176C50" w:rsidRPr="00176C50">
        <w:t>shade,</w:t>
      </w:r>
      <w:r w:rsidR="00176C50">
        <w:t>”</w:t>
      </w:r>
      <w:r w:rsidR="00176C50" w:rsidRPr="00176C50">
        <w:t xml:space="preserve"> the identity between </w:t>
      </w:r>
      <w:r w:rsidR="00176C50" w:rsidRPr="00176C50">
        <w:lastRenderedPageBreak/>
        <w:t xml:space="preserve">mind and nature it aims to secure. Marvell’s construction might be an affirmation of symmetry, a green thought in idyllic correspondence with the place, or green shade, which forms its basis. Or it might present an assertion of circularity, </w:t>
      </w:r>
      <w:r w:rsidR="00176C50">
        <w:t xml:space="preserve">a </w:t>
      </w:r>
      <w:r w:rsidR="00176C50" w:rsidRPr="00176C50">
        <w:t>green thought that is green in hue, which confirms the self-enclosure of thought without clarifying its relationship to creation. The difficulty of this paradox is dramatized in criticism as some find in</w:t>
      </w:r>
      <w:r w:rsidR="00CE26E5">
        <w:t xml:space="preserve"> </w:t>
      </w:r>
      <w:r w:rsidR="00176C50">
        <w:t>“</w:t>
      </w:r>
      <w:r w:rsidR="00176C50" w:rsidRPr="00176C50">
        <w:t>green thought</w:t>
      </w:r>
      <w:r w:rsidR="00176C50">
        <w:t>”</w:t>
      </w:r>
      <w:r w:rsidR="00176C50" w:rsidRPr="00176C50">
        <w:t xml:space="preserve"> a distinctly </w:t>
      </w:r>
      <w:r w:rsidR="00176C50">
        <w:t>“</w:t>
      </w:r>
      <w:r w:rsidR="00176C50" w:rsidRPr="00176C50">
        <w:t>non-rational,</w:t>
      </w:r>
      <w:r w:rsidR="00176C50">
        <w:t>”</w:t>
      </w:r>
      <w:r w:rsidR="00176C50" w:rsidRPr="00176C50">
        <w:t xml:space="preserve"> </w:t>
      </w:r>
      <w:r w:rsidR="00176C50">
        <w:t>“</w:t>
      </w:r>
      <w:r w:rsidR="00176C50" w:rsidRPr="00176C50">
        <w:t>supernatural</w:t>
      </w:r>
      <w:r w:rsidR="00176C50">
        <w:t>”</w:t>
      </w:r>
      <w:r w:rsidR="00176C50" w:rsidRPr="00176C50">
        <w:t xml:space="preserve"> union of mind and reality, while others privilege thought </w:t>
      </w:r>
      <w:r w:rsidR="00176C50">
        <w:t>“</w:t>
      </w:r>
      <w:r w:rsidR="00176C50" w:rsidRPr="00176C50">
        <w:t>detached</w:t>
      </w:r>
      <w:r w:rsidR="00176C50">
        <w:t>”</w:t>
      </w:r>
      <w:r w:rsidR="00176C50" w:rsidRPr="00176C50">
        <w:t xml:space="preserve"> from reality.</w:t>
      </w:r>
      <w:r w:rsidR="00176C50">
        <w:rPr>
          <w:rStyle w:val="EndnoteReference"/>
        </w:rPr>
        <w:endnoteReference w:id="45"/>
      </w:r>
      <w:r w:rsidR="00176C50" w:rsidRPr="00176C50">
        <w:t xml:space="preserve"> Is thinking, </w:t>
      </w:r>
      <w:r w:rsidR="00DB79AD">
        <w:t>in other words</w:t>
      </w:r>
      <w:r w:rsidR="00176C50" w:rsidRPr="00176C50">
        <w:t xml:space="preserve">, in concert with or in place of nature? The risk is that annihilation has worked more effectively and blasphemously than anticipated, leaving one with nothing but the slimmest projection of thought.  </w:t>
      </w:r>
    </w:p>
    <w:p w14:paraId="74310A23" w14:textId="77777777" w:rsidR="00BB144A" w:rsidRDefault="00BB144A" w:rsidP="00176C50">
      <w:pPr>
        <w:tabs>
          <w:tab w:val="left" w:pos="993"/>
        </w:tabs>
        <w:spacing w:line="480" w:lineRule="auto"/>
      </w:pPr>
    </w:p>
    <w:p w14:paraId="424F438D" w14:textId="68ED94B5" w:rsidR="00BB144A" w:rsidRPr="00BB144A" w:rsidRDefault="00BB144A" w:rsidP="00BB144A">
      <w:pPr>
        <w:tabs>
          <w:tab w:val="left" w:pos="993"/>
        </w:tabs>
        <w:spacing w:line="480" w:lineRule="auto"/>
      </w:pPr>
      <w:r w:rsidRPr="00BB144A">
        <w:t xml:space="preserve">Neither lapsing into grass nor vanishing into thought, the succeeding stanza provides a third attempt at reconciling the subject with the </w:t>
      </w:r>
      <w:r w:rsidR="00F40914">
        <w:t>sum</w:t>
      </w:r>
      <w:r w:rsidRPr="00BB144A">
        <w:t xml:space="preserve"> of nature’s infinite variety. As if in recognition of the dangers of the mind’s activity and its uncertain accomplishment, the speaker attempts to resituate himself and his listeners in the garden</w:t>
      </w:r>
      <w:proofErr w:type="gramStart"/>
      <w:r w:rsidRPr="00BB144A">
        <w:t>—</w:t>
      </w:r>
      <w:r>
        <w:t>“</w:t>
      </w:r>
      <w:proofErr w:type="gramEnd"/>
      <w:r w:rsidRPr="00BB144A">
        <w:t xml:space="preserve">Here at the fountain’s sliding foot/ Or at some fruit-tree’s mossy </w:t>
      </w:r>
      <w:proofErr w:type="gramStart"/>
      <w:r w:rsidRPr="00BB144A">
        <w:t>root</w:t>
      </w:r>
      <w:r>
        <w:t>”</w:t>
      </w:r>
      <w:r w:rsidRPr="00BB144A">
        <w:t>(</w:t>
      </w:r>
      <w:proofErr w:type="gramEnd"/>
      <w:r w:rsidRPr="00BB144A">
        <w:t xml:space="preserve">49-50)—reintroducing the possessive article: </w:t>
      </w:r>
    </w:p>
    <w:p w14:paraId="75DF5189" w14:textId="77777777" w:rsidR="00BB144A" w:rsidRPr="00BB144A" w:rsidRDefault="00BB144A" w:rsidP="00BB144A">
      <w:pPr>
        <w:tabs>
          <w:tab w:val="left" w:pos="993"/>
        </w:tabs>
        <w:spacing w:line="480" w:lineRule="auto"/>
      </w:pPr>
    </w:p>
    <w:p w14:paraId="1347E265" w14:textId="77777777" w:rsidR="00BB144A" w:rsidRPr="00BB144A" w:rsidRDefault="00BB144A" w:rsidP="00BB144A">
      <w:pPr>
        <w:tabs>
          <w:tab w:val="left" w:pos="993"/>
        </w:tabs>
        <w:spacing w:line="480" w:lineRule="auto"/>
      </w:pPr>
      <w:r w:rsidRPr="00BB144A">
        <w:t>Casting the body’s vest aside,</w:t>
      </w:r>
    </w:p>
    <w:p w14:paraId="47C4E647" w14:textId="77777777" w:rsidR="00BB144A" w:rsidRPr="00BB144A" w:rsidRDefault="00BB144A" w:rsidP="00BB144A">
      <w:pPr>
        <w:tabs>
          <w:tab w:val="left" w:pos="993"/>
        </w:tabs>
        <w:spacing w:line="480" w:lineRule="auto"/>
      </w:pPr>
      <w:r w:rsidRPr="00BB144A">
        <w:t>My soul into the boughs does glide:</w:t>
      </w:r>
    </w:p>
    <w:p w14:paraId="67C3045D" w14:textId="77777777" w:rsidR="00BB144A" w:rsidRPr="00BB144A" w:rsidRDefault="00BB144A" w:rsidP="00BB144A">
      <w:pPr>
        <w:tabs>
          <w:tab w:val="left" w:pos="993"/>
        </w:tabs>
        <w:spacing w:line="480" w:lineRule="auto"/>
      </w:pPr>
      <w:r w:rsidRPr="00BB144A">
        <w:t>There like a bird it sits, and sings,</w:t>
      </w:r>
    </w:p>
    <w:p w14:paraId="3F8B4412" w14:textId="77777777" w:rsidR="00BB144A" w:rsidRPr="00BB144A" w:rsidRDefault="00BB144A" w:rsidP="00BB144A">
      <w:pPr>
        <w:tabs>
          <w:tab w:val="left" w:pos="993"/>
        </w:tabs>
        <w:spacing w:line="480" w:lineRule="auto"/>
      </w:pPr>
      <w:r w:rsidRPr="00BB144A">
        <w:t xml:space="preserve">Then whets, and combs its silver </w:t>
      </w:r>
      <w:proofErr w:type="gramStart"/>
      <w:r w:rsidRPr="00BB144A">
        <w:t>wings;</w:t>
      </w:r>
      <w:proofErr w:type="gramEnd"/>
    </w:p>
    <w:p w14:paraId="5CBF29AC" w14:textId="77777777" w:rsidR="00BB144A" w:rsidRPr="00BB144A" w:rsidRDefault="00BB144A" w:rsidP="00BB144A">
      <w:pPr>
        <w:tabs>
          <w:tab w:val="left" w:pos="993"/>
        </w:tabs>
        <w:spacing w:line="480" w:lineRule="auto"/>
      </w:pPr>
      <w:r w:rsidRPr="00BB144A">
        <w:t>And, till prepared for longer flight,</w:t>
      </w:r>
    </w:p>
    <w:p w14:paraId="2CAEA219" w14:textId="77777777" w:rsidR="00BB144A" w:rsidRPr="00BB144A" w:rsidRDefault="00BB144A" w:rsidP="00BB144A">
      <w:pPr>
        <w:tabs>
          <w:tab w:val="left" w:pos="993"/>
        </w:tabs>
        <w:spacing w:line="480" w:lineRule="auto"/>
      </w:pPr>
      <w:r w:rsidRPr="00BB144A">
        <w:t>Waves in its plumes the various light. (51-6)</w:t>
      </w:r>
    </w:p>
    <w:p w14:paraId="428D612A" w14:textId="77777777" w:rsidR="00BB144A" w:rsidRPr="00BB144A" w:rsidRDefault="00BB144A" w:rsidP="00BB144A">
      <w:pPr>
        <w:tabs>
          <w:tab w:val="left" w:pos="993"/>
        </w:tabs>
        <w:spacing w:line="480" w:lineRule="auto"/>
      </w:pPr>
    </w:p>
    <w:p w14:paraId="44D5580E" w14:textId="77777777" w:rsidR="00BB144A" w:rsidRPr="00BB144A" w:rsidRDefault="00BB144A" w:rsidP="00BB144A">
      <w:pPr>
        <w:tabs>
          <w:tab w:val="left" w:pos="993"/>
        </w:tabs>
        <w:spacing w:line="480" w:lineRule="auto"/>
      </w:pPr>
    </w:p>
    <w:p w14:paraId="479FFC15" w14:textId="7D38D669" w:rsidR="00BB144A" w:rsidRDefault="00BB144A" w:rsidP="00BB144A">
      <w:pPr>
        <w:tabs>
          <w:tab w:val="left" w:pos="993"/>
        </w:tabs>
        <w:spacing w:line="480" w:lineRule="auto"/>
      </w:pPr>
      <w:r w:rsidRPr="00BB144A">
        <w:t xml:space="preserve">Arresting in this stanza is its play with creation’s difference, showing neither the passivity nor purposiveness of </w:t>
      </w:r>
      <w:r w:rsidR="0073597C">
        <w:t>foregoing</w:t>
      </w:r>
      <w:r w:rsidRPr="00BB144A">
        <w:t xml:space="preserve"> verses, but distractedly pleasurable anticipation. </w:t>
      </w:r>
      <w:r w:rsidR="00043E93">
        <w:t>Too</w:t>
      </w:r>
      <w:r w:rsidRPr="00BB144A">
        <w:t xml:space="preserve"> </w:t>
      </w:r>
      <w:r>
        <w:t>“</w:t>
      </w:r>
      <w:r w:rsidRPr="00BB144A">
        <w:t>like a bird</w:t>
      </w:r>
      <w:r>
        <w:t>”</w:t>
      </w:r>
      <w:r w:rsidRPr="00BB144A">
        <w:t xml:space="preserve">—somewhat oblivious to the distance of simile—the soul’s whetting and combing </w:t>
      </w:r>
      <w:r>
        <w:t>permits</w:t>
      </w:r>
      <w:r w:rsidRPr="00BB144A">
        <w:t xml:space="preserve"> a touch of narcissism even as it catches the garden’s </w:t>
      </w:r>
      <w:r>
        <w:t>“</w:t>
      </w:r>
      <w:r w:rsidRPr="00BB144A">
        <w:t>various light</w:t>
      </w:r>
      <w:r>
        <w:t>.”</w:t>
      </w:r>
      <w:r w:rsidRPr="00BB144A">
        <w:t xml:space="preserve"> Unlike body and mind, it does not insist on identity with nature, reified as if one substance, but gathers </w:t>
      </w:r>
      <w:r>
        <w:t>nature’s</w:t>
      </w:r>
      <w:r w:rsidRPr="00BB144A">
        <w:t xml:space="preserve"> variousness—conceived now in terms of matter </w:t>
      </w:r>
      <w:r w:rsidRPr="00BB144A">
        <w:rPr>
          <w:i/>
          <w:iCs/>
        </w:rPr>
        <w:t>and</w:t>
      </w:r>
      <w:r w:rsidRPr="00BB144A">
        <w:t xml:space="preserve"> time—contingently, on occasion of its preening. The dance of light in those iridescent wings might at times be green, or it might not. The expectant, singing soul, yet unprepared for its </w:t>
      </w:r>
      <w:r>
        <w:t>“</w:t>
      </w:r>
      <w:r w:rsidRPr="00BB144A">
        <w:t>longer flight</w:t>
      </w:r>
      <w:r>
        <w:t>”</w:t>
      </w:r>
      <w:r w:rsidRPr="00BB144A">
        <w:t xml:space="preserve"> from the world, affords a concrete and dynamic image of nature’s endlessness bound together without the need to isolate any abstract part. To borrow Ernst Cassirer’s Hegelian distinction between the thing-like logic of the generic universal and the functional logic of the formula, the speaker’s soul unites various particulars through a functional </w:t>
      </w:r>
      <w:r>
        <w:t>form</w:t>
      </w:r>
      <w:r w:rsidRPr="00BB144A">
        <w:t xml:space="preserve"> of relation—via its plumes—rather than the extraction of a fixed property</w:t>
      </w:r>
      <w:r>
        <w:t>.</w:t>
      </w:r>
      <w:r>
        <w:rPr>
          <w:rStyle w:val="EndnoteReference"/>
        </w:rPr>
        <w:endnoteReference w:id="46"/>
      </w:r>
    </w:p>
    <w:p w14:paraId="4D73668B" w14:textId="77777777" w:rsidR="007E5770" w:rsidRDefault="007E5770" w:rsidP="00BB144A">
      <w:pPr>
        <w:tabs>
          <w:tab w:val="left" w:pos="993"/>
        </w:tabs>
        <w:spacing w:line="480" w:lineRule="auto"/>
      </w:pPr>
    </w:p>
    <w:p w14:paraId="6F5E9EA0" w14:textId="1D225A24" w:rsidR="007E5770" w:rsidRDefault="007E5770" w:rsidP="007E5770">
      <w:pPr>
        <w:tabs>
          <w:tab w:val="left" w:pos="993"/>
        </w:tabs>
        <w:spacing w:line="480" w:lineRule="auto"/>
        <w:rPr>
          <w:lang w:val="en-US"/>
        </w:rPr>
      </w:pPr>
      <w:r w:rsidRPr="007E5770">
        <w:t xml:space="preserve">Appealing though it may be to view the </w:t>
      </w:r>
      <w:r>
        <w:t>movement</w:t>
      </w:r>
      <w:r w:rsidRPr="007E5770">
        <w:t xml:space="preserve"> from body-to-mind-to-soul as one which refines and supersedes</w:t>
      </w:r>
      <w:r w:rsidR="00B21B07">
        <w:t xml:space="preserve">, </w:t>
      </w:r>
      <w:r w:rsidRPr="007E5770">
        <w:t xml:space="preserve">Marvell’s figures seem to offer instead a </w:t>
      </w:r>
      <w:r w:rsidR="00E73C4B">
        <w:t>string</w:t>
      </w:r>
      <w:r w:rsidRPr="007E5770">
        <w:t xml:space="preserve"> of experiments by which the finite subject seeks to be reconciled with nature.</w:t>
      </w:r>
      <w:r w:rsidR="005E30AF">
        <w:rPr>
          <w:rStyle w:val="EndnoteReference"/>
        </w:rPr>
        <w:endnoteReference w:id="47"/>
      </w:r>
      <w:r w:rsidRPr="007E5770">
        <w:t xml:space="preserve"> In so doing, </w:t>
      </w:r>
      <w:r w:rsidR="005E30AF">
        <w:t>his speaker</w:t>
      </w:r>
      <w:r w:rsidRPr="007E5770">
        <w:t xml:space="preserve"> reveals the potential variousness of the subject—plant, ocean, creator, destroyer, bird, gardener, bee and so on—which evokes, if unwittingly, </w:t>
      </w:r>
      <w:r w:rsidR="005E30AF">
        <w:t>that</w:t>
      </w:r>
      <w:r w:rsidRPr="007E5770">
        <w:t xml:space="preserve"> infinitude it longs</w:t>
      </w:r>
      <w:r w:rsidR="005E30AF">
        <w:t xml:space="preserve"> to contain</w:t>
      </w:r>
      <w:r w:rsidRPr="007E5770">
        <w:t>.</w:t>
      </w:r>
      <w:r w:rsidR="005E30AF">
        <w:t xml:space="preserve"> As if the reverse of Bacon’s explanation in “Proteus,</w:t>
      </w:r>
      <w:r w:rsidR="005E30AF" w:rsidRPr="005E30AF">
        <w:t xml:space="preserve"> </w:t>
      </w:r>
      <w:r w:rsidR="005E30AF" w:rsidRPr="00EB0A2D">
        <w:t>or Matter</w:t>
      </w:r>
      <w:r w:rsidR="00B21B07">
        <w:t>,</w:t>
      </w:r>
      <w:r w:rsidR="005E30AF">
        <w:t>”</w:t>
      </w:r>
      <w:r w:rsidR="005E30AF" w:rsidRPr="00EB0A2D">
        <w:t xml:space="preserve"> </w:t>
      </w:r>
      <w:r w:rsidR="005E30AF">
        <w:t>it is not nature but her “servant” who is seen to “</w:t>
      </w:r>
      <w:r w:rsidR="005E30AF" w:rsidRPr="00EB0A2D">
        <w:t xml:space="preserve">transform </w:t>
      </w:r>
      <w:r w:rsidR="005E30AF">
        <w:t>[him]</w:t>
      </w:r>
      <w:r w:rsidR="005E30AF" w:rsidRPr="00EB0A2D">
        <w:t>self into strange shapes, passing from one change to another</w:t>
      </w:r>
      <w:r w:rsidR="00B21B07">
        <w:t>.</w:t>
      </w:r>
      <w:r w:rsidR="005E30AF">
        <w:t>”</w:t>
      </w:r>
      <w:r w:rsidR="002A5418">
        <w:rPr>
          <w:rStyle w:val="EndnoteReference"/>
        </w:rPr>
        <w:endnoteReference w:id="48"/>
      </w:r>
      <w:r w:rsidR="005E30AF">
        <w:t xml:space="preserve"> </w:t>
      </w:r>
      <w:r w:rsidRPr="007E5770">
        <w:t xml:space="preserve">Not simply </w:t>
      </w:r>
      <w:r>
        <w:t>“</w:t>
      </w:r>
      <w:r w:rsidRPr="007E5770">
        <w:t>an observer of the process of thought,</w:t>
      </w:r>
      <w:r w:rsidR="005E30AF">
        <w:t>”</w:t>
      </w:r>
      <w:r w:rsidRPr="007E5770">
        <w:t xml:space="preserve"> </w:t>
      </w:r>
      <w:r w:rsidR="00F36B20">
        <w:t>Marvell</w:t>
      </w:r>
      <w:r w:rsidRPr="007E5770">
        <w:t xml:space="preserve"> tests a range of possibilities, each of which threaten to </w:t>
      </w:r>
      <w:r w:rsidRPr="007E5770">
        <w:lastRenderedPageBreak/>
        <w:t>fold in, or fly off by their own irony.</w:t>
      </w:r>
      <w:r w:rsidR="005E30AF">
        <w:rPr>
          <w:rStyle w:val="EndnoteReference"/>
        </w:rPr>
        <w:endnoteReference w:id="49"/>
      </w:r>
      <w:r w:rsidR="005E30AF" w:rsidRPr="007E5770">
        <w:t xml:space="preserve"> </w:t>
      </w:r>
      <w:r w:rsidRPr="007E5770">
        <w:t xml:space="preserve">The soul’s success relies, after all, on its forgetting that it is not a bird but like one. Less a clarification than a reambiguation of confrontations with </w:t>
      </w:r>
      <w:r w:rsidR="002A5418">
        <w:t xml:space="preserve">immeasurable </w:t>
      </w:r>
      <w:r w:rsidRPr="007E5770">
        <w:t xml:space="preserve">difference, </w:t>
      </w:r>
      <w:r w:rsidR="00F36B20" w:rsidRPr="007E5770">
        <w:t xml:space="preserve">a persistent tinge of unease </w:t>
      </w:r>
      <w:r w:rsidR="00F36B20">
        <w:t xml:space="preserve">clings </w:t>
      </w:r>
      <w:r w:rsidRPr="007E5770">
        <w:t xml:space="preserve">to Marvell’s attempts to proceed through </w:t>
      </w:r>
      <w:proofErr w:type="spellStart"/>
      <w:r w:rsidRPr="007E5770">
        <w:t>unfiguring</w:t>
      </w:r>
      <w:proofErr w:type="spellEnd"/>
      <w:r w:rsidRPr="007E5770">
        <w:t xml:space="preserve">. </w:t>
      </w:r>
      <w:r w:rsidRPr="007E5770">
        <w:rPr>
          <w:lang w:val="en-US"/>
        </w:rPr>
        <w:t xml:space="preserve">In stanza three, the speaker distinguishes himself from </w:t>
      </w:r>
      <w:r w:rsidR="0076075C">
        <w:rPr>
          <w:lang w:val="en-US"/>
        </w:rPr>
        <w:t>“</w:t>
      </w:r>
      <w:r w:rsidRPr="007E5770">
        <w:rPr>
          <w:lang w:val="en-US"/>
        </w:rPr>
        <w:t>fond lovers, cruel</w:t>
      </w:r>
      <w:r w:rsidR="0076075C">
        <w:rPr>
          <w:lang w:val="en-US"/>
        </w:rPr>
        <w:t>”</w:t>
      </w:r>
      <w:r w:rsidRPr="007E5770">
        <w:rPr>
          <w:lang w:val="en-US"/>
        </w:rPr>
        <w:t xml:space="preserve"> who carve into tree-barks the names of their mistresses (19-20). But when he claims, by contrast, that all he will find in trees are their own names, he cannot accomplish this discovery without also </w:t>
      </w:r>
      <w:r w:rsidR="0076075C">
        <w:rPr>
          <w:lang w:val="en-US"/>
        </w:rPr>
        <w:t>“</w:t>
      </w:r>
      <w:r w:rsidRPr="007E5770">
        <w:rPr>
          <w:lang w:val="en-US"/>
        </w:rPr>
        <w:t>wound[</w:t>
      </w:r>
      <w:proofErr w:type="spellStart"/>
      <w:r w:rsidRPr="007E5770">
        <w:rPr>
          <w:lang w:val="en-US"/>
        </w:rPr>
        <w:t>ing</w:t>
      </w:r>
      <w:proofErr w:type="spellEnd"/>
      <w:r w:rsidRPr="007E5770">
        <w:rPr>
          <w:lang w:val="en-US"/>
        </w:rPr>
        <w:t>]</w:t>
      </w:r>
      <w:r w:rsidR="0076075C">
        <w:rPr>
          <w:lang w:val="en-US"/>
        </w:rPr>
        <w:t>”</w:t>
      </w:r>
      <w:r w:rsidRPr="007E5770">
        <w:rPr>
          <w:lang w:val="en-US"/>
        </w:rPr>
        <w:t xml:space="preserve"> them (23-4). The amorous ritual is not supplanted</w:t>
      </w:r>
      <w:r w:rsidR="008E19B0">
        <w:rPr>
          <w:lang w:val="en-US"/>
        </w:rPr>
        <w:t xml:space="preserve"> by</w:t>
      </w:r>
      <w:r w:rsidRPr="007E5770">
        <w:rPr>
          <w:lang w:val="en-US"/>
        </w:rPr>
        <w:t xml:space="preserve"> but conflated with the hermetic doctrine of signatures</w:t>
      </w:r>
      <w:r w:rsidR="001C3256">
        <w:rPr>
          <w:lang w:val="en-US"/>
        </w:rPr>
        <w:t xml:space="preserve">, just as </w:t>
      </w:r>
      <w:r w:rsidR="008E19B0">
        <w:rPr>
          <w:lang w:val="en-US"/>
        </w:rPr>
        <w:t xml:space="preserve">sexual desire </w:t>
      </w:r>
      <w:r w:rsidR="00DC107E">
        <w:rPr>
          <w:lang w:val="en-US"/>
        </w:rPr>
        <w:t>turns to</w:t>
      </w:r>
      <w:r w:rsidR="008E19B0">
        <w:rPr>
          <w:lang w:val="en-US"/>
        </w:rPr>
        <w:t xml:space="preserve"> </w:t>
      </w:r>
      <w:r w:rsidR="00DC107E">
        <w:rPr>
          <w:lang w:val="en-US"/>
        </w:rPr>
        <w:t>a</w:t>
      </w:r>
      <w:r w:rsidR="008E19B0">
        <w:rPr>
          <w:lang w:val="en-US"/>
        </w:rPr>
        <w:t xml:space="preserve"> desire for </w:t>
      </w:r>
      <w:r w:rsidR="00D4447F">
        <w:rPr>
          <w:lang w:val="en-US"/>
        </w:rPr>
        <w:t>c</w:t>
      </w:r>
      <w:r w:rsidR="008E19B0">
        <w:rPr>
          <w:lang w:val="en-US"/>
        </w:rPr>
        <w:t>reation</w:t>
      </w:r>
      <w:r w:rsidR="003F3AFC">
        <w:rPr>
          <w:lang w:val="en-US"/>
        </w:rPr>
        <w:t xml:space="preserve">; </w:t>
      </w:r>
      <w:r w:rsidRPr="007E5770">
        <w:rPr>
          <w:lang w:val="en-US"/>
        </w:rPr>
        <w:t xml:space="preserve">the speaker cannot imagine the recovery of Adamic knowledge without also imagining nature damaged in the process. </w:t>
      </w:r>
    </w:p>
    <w:p w14:paraId="02FDE44B" w14:textId="77777777" w:rsidR="007E24D7" w:rsidRDefault="007E24D7" w:rsidP="007E5770">
      <w:pPr>
        <w:tabs>
          <w:tab w:val="left" w:pos="993"/>
        </w:tabs>
        <w:spacing w:line="480" w:lineRule="auto"/>
        <w:rPr>
          <w:lang w:val="en-US"/>
        </w:rPr>
      </w:pPr>
    </w:p>
    <w:p w14:paraId="50632251" w14:textId="77777777" w:rsidR="008F2E4C" w:rsidRDefault="007E24D7" w:rsidP="007E24D7">
      <w:pPr>
        <w:tabs>
          <w:tab w:val="left" w:pos="993"/>
        </w:tabs>
        <w:spacing w:line="480" w:lineRule="auto"/>
        <w:rPr>
          <w:lang w:val="en-US"/>
        </w:rPr>
      </w:pPr>
      <w:r w:rsidRPr="007E24D7">
        <w:rPr>
          <w:lang w:val="en-US"/>
        </w:rPr>
        <w:t>Exceptionally self-conscious about how the resemblance by which figures operate betrays our alienation from creation—for which such figures can afford but poor (if diverse) recompence</w:t>
      </w:r>
      <w:proofErr w:type="gramStart"/>
      <w:r w:rsidRPr="007E24D7">
        <w:rPr>
          <w:lang w:val="en-US"/>
        </w:rPr>
        <w:t>—</w:t>
      </w:r>
      <w:r w:rsidR="00D4447F">
        <w:rPr>
          <w:lang w:val="en-US"/>
        </w:rPr>
        <w:t>“</w:t>
      </w:r>
      <w:proofErr w:type="gramEnd"/>
      <w:r w:rsidR="00B21B07">
        <w:rPr>
          <w:lang w:val="en-US"/>
        </w:rPr>
        <w:t xml:space="preserve">The </w:t>
      </w:r>
      <w:r w:rsidRPr="007E24D7">
        <w:rPr>
          <w:lang w:val="en-US"/>
        </w:rPr>
        <w:t>Garden</w:t>
      </w:r>
      <w:r w:rsidR="00D4447F">
        <w:rPr>
          <w:lang w:val="en-US"/>
        </w:rPr>
        <w:t>”</w:t>
      </w:r>
      <w:r w:rsidRPr="007E24D7">
        <w:rPr>
          <w:lang w:val="en-US"/>
        </w:rPr>
        <w:t xml:space="preserve"> aims at absolute identity</w:t>
      </w:r>
      <w:r w:rsidR="00D4447F">
        <w:rPr>
          <w:lang w:val="en-US"/>
        </w:rPr>
        <w:t>,</w:t>
      </w:r>
      <w:r w:rsidRPr="007E24D7">
        <w:rPr>
          <w:lang w:val="en-US"/>
        </w:rPr>
        <w:t xml:space="preserve"> while preserving the suspicion that the sameness it claims is only really similarity. Significantly, the speaker develops through his trials of thought a peculiar form of misogyny. Importantly different from Bacon’s, Nature is not so much a woman to be vexed as matched, and it is as if the speaker’s resolve to be equal to nature makes him hostile to human difference, particularly women. </w:t>
      </w:r>
      <w:r w:rsidR="00D4447F">
        <w:rPr>
          <w:lang w:val="en-US"/>
        </w:rPr>
        <w:t>“</w:t>
      </w:r>
      <w:r w:rsidRPr="007E24D7">
        <w:rPr>
          <w:lang w:val="en-US"/>
        </w:rPr>
        <w:t>Two Paradises ’twere in one/ To live in Paradise alone</w:t>
      </w:r>
      <w:r w:rsidR="00D4447F">
        <w:rPr>
          <w:lang w:val="en-US"/>
        </w:rPr>
        <w:t>”</w:t>
      </w:r>
      <w:r w:rsidRPr="007E24D7">
        <w:rPr>
          <w:lang w:val="en-US"/>
        </w:rPr>
        <w:t xml:space="preserve"> he declares, avowing wittily that decrease would result in pleasure’s increase and, oddly literally, that inhabitant would be </w:t>
      </w:r>
      <w:r w:rsidRPr="007E24D7">
        <w:rPr>
          <w:i/>
          <w:iCs/>
          <w:lang w:val="en-US"/>
        </w:rPr>
        <w:t>adequate to</w:t>
      </w:r>
      <w:r w:rsidRPr="007E24D7">
        <w:rPr>
          <w:lang w:val="en-US"/>
        </w:rPr>
        <w:t xml:space="preserve">, or even indistinguishable from habitation, underscored by the recurrence of </w:t>
      </w:r>
      <w:r w:rsidR="00D4447F">
        <w:rPr>
          <w:lang w:val="en-US"/>
        </w:rPr>
        <w:t>“</w:t>
      </w:r>
      <w:r w:rsidRPr="007E24D7">
        <w:rPr>
          <w:lang w:val="en-US"/>
        </w:rPr>
        <w:t>one</w:t>
      </w:r>
      <w:r w:rsidR="00D4447F">
        <w:rPr>
          <w:lang w:val="en-US"/>
        </w:rPr>
        <w:t>”</w:t>
      </w:r>
      <w:r w:rsidRPr="007E24D7">
        <w:rPr>
          <w:lang w:val="en-US"/>
        </w:rPr>
        <w:t xml:space="preserve"> in the </w:t>
      </w:r>
      <w:r w:rsidR="00E91A47">
        <w:rPr>
          <w:lang w:val="en-US"/>
        </w:rPr>
        <w:t>couplet.</w:t>
      </w:r>
      <w:r w:rsidRPr="007E24D7">
        <w:rPr>
          <w:lang w:val="en-US"/>
        </w:rPr>
        <w:t xml:space="preserve"> </w:t>
      </w:r>
      <w:r w:rsidR="00CB6149" w:rsidRPr="00CB6149">
        <w:rPr>
          <w:i/>
          <w:iCs/>
          <w:lang w:val="en-US"/>
        </w:rPr>
        <w:t>Homoioteleuton</w:t>
      </w:r>
      <w:r w:rsidR="00CB6149" w:rsidRPr="00CB6149">
        <w:rPr>
          <w:lang w:val="en-US"/>
        </w:rPr>
        <w:t>, or concluding with</w:t>
      </w:r>
      <w:r w:rsidR="00E91A47" w:rsidRPr="00CB6149">
        <w:rPr>
          <w:lang w:val="en-US"/>
        </w:rPr>
        <w:t xml:space="preserve"> “one and the same </w:t>
      </w:r>
      <w:proofErr w:type="spellStart"/>
      <w:r w:rsidR="00E91A47" w:rsidRPr="00CB6149">
        <w:rPr>
          <w:lang w:val="en-US"/>
        </w:rPr>
        <w:t>terminant</w:t>
      </w:r>
      <w:proofErr w:type="spellEnd"/>
      <w:r w:rsidR="00E91A47" w:rsidRPr="00CB6149">
        <w:rPr>
          <w:lang w:val="en-US"/>
        </w:rPr>
        <w:t xml:space="preserve"> syllable”</w:t>
      </w:r>
      <w:r w:rsidR="0036192C">
        <w:rPr>
          <w:lang w:val="en-US"/>
        </w:rPr>
        <w:t>,</w:t>
      </w:r>
      <w:r w:rsidR="00CB6149" w:rsidRPr="00CB6149">
        <w:rPr>
          <w:lang w:val="en-US"/>
        </w:rPr>
        <w:t xml:space="preserve"> makes for no “rhyme of </w:t>
      </w:r>
      <w:r w:rsidR="00E91A47" w:rsidRPr="00CB6149">
        <w:rPr>
          <w:lang w:val="en-US"/>
        </w:rPr>
        <w:t>good symphony”</w:t>
      </w:r>
      <w:r w:rsidR="0027158B" w:rsidRPr="00CB6149">
        <w:rPr>
          <w:lang w:val="en-US"/>
        </w:rPr>
        <w:t xml:space="preserve"> according to Puttenha</w:t>
      </w:r>
      <w:r w:rsidR="00AA6738" w:rsidRPr="00CB6149">
        <w:rPr>
          <w:lang w:val="en-US"/>
        </w:rPr>
        <w:t>m</w:t>
      </w:r>
      <w:r w:rsidR="0027158B" w:rsidRPr="00CB6149">
        <w:rPr>
          <w:lang w:val="en-US"/>
        </w:rPr>
        <w:t xml:space="preserve">, precisely because </w:t>
      </w:r>
      <w:r w:rsidR="0027158B" w:rsidRPr="00CB6149">
        <w:rPr>
          <w:lang w:val="en-US"/>
        </w:rPr>
        <w:lastRenderedPageBreak/>
        <w:t>line ends should be “diverse and like”.</w:t>
      </w:r>
      <w:r w:rsidR="00AA6738" w:rsidRPr="00AA6738">
        <w:rPr>
          <w:rStyle w:val="EndnoteReference"/>
          <w:lang w:val="en-US"/>
        </w:rPr>
        <w:endnoteReference w:id="50"/>
      </w:r>
      <w:r w:rsidR="00AA6738">
        <w:rPr>
          <w:lang w:val="en-US"/>
        </w:rPr>
        <w:t xml:space="preserve"> As with his handling of figure, the speaker </w:t>
      </w:r>
      <w:r w:rsidR="00B20E08">
        <w:rPr>
          <w:lang w:val="en-US"/>
        </w:rPr>
        <w:t>wish</w:t>
      </w:r>
      <w:r w:rsidR="00CB6149">
        <w:rPr>
          <w:lang w:val="en-US"/>
        </w:rPr>
        <w:t>es</w:t>
      </w:r>
      <w:r w:rsidR="00B20E08">
        <w:rPr>
          <w:lang w:val="en-US"/>
        </w:rPr>
        <w:t xml:space="preserve"> </w:t>
      </w:r>
      <w:r w:rsidR="00AA6738">
        <w:rPr>
          <w:lang w:val="en-US"/>
        </w:rPr>
        <w:t>to compel to sameness the resemblance that constitutes the rhyming couplet</w:t>
      </w:r>
      <w:r w:rsidR="00B20E08">
        <w:rPr>
          <w:lang w:val="en-US"/>
        </w:rPr>
        <w:t>,</w:t>
      </w:r>
      <w:r w:rsidR="00AA6738">
        <w:rPr>
          <w:lang w:val="en-US"/>
        </w:rPr>
        <w:t xml:space="preserve"> and poem of which he’s a part.</w:t>
      </w:r>
      <w:r w:rsidR="0036192C">
        <w:rPr>
          <w:lang w:val="en-US"/>
        </w:rPr>
        <w:t xml:space="preserve"> His move is visual as well as aural, “alone” </w:t>
      </w:r>
      <w:r w:rsidR="00B42FBE">
        <w:rPr>
          <w:lang w:val="en-US"/>
        </w:rPr>
        <w:t xml:space="preserve">being the </w:t>
      </w:r>
      <w:r w:rsidR="0036192C">
        <w:rPr>
          <w:lang w:val="en-US"/>
        </w:rPr>
        <w:t>compound</w:t>
      </w:r>
      <w:r w:rsidR="00B42FBE">
        <w:rPr>
          <w:lang w:val="en-US"/>
        </w:rPr>
        <w:t xml:space="preserve"> of “all” and “one</w:t>
      </w:r>
      <w:r w:rsidR="0094594E">
        <w:rPr>
          <w:lang w:val="en-US"/>
        </w:rPr>
        <w:t>,</w:t>
      </w:r>
      <w:r w:rsidR="00B42FBE">
        <w:rPr>
          <w:lang w:val="en-US"/>
        </w:rPr>
        <w:t>” a universal in small.</w:t>
      </w:r>
      <w:r w:rsidR="0036192C">
        <w:rPr>
          <w:lang w:val="en-US"/>
        </w:rPr>
        <w:t xml:space="preserve"> </w:t>
      </w:r>
      <w:r w:rsidR="00AA6738">
        <w:rPr>
          <w:lang w:val="en-US"/>
        </w:rPr>
        <w:t xml:space="preserve"> His</w:t>
      </w:r>
      <w:r w:rsidRPr="007E24D7">
        <w:rPr>
          <w:lang w:val="en-US"/>
        </w:rPr>
        <w:t xml:space="preserve"> lines might riff on the sanctity of </w:t>
      </w:r>
      <w:proofErr w:type="spellStart"/>
      <w:r w:rsidRPr="007E24D7">
        <w:rPr>
          <w:lang w:val="en-US"/>
        </w:rPr>
        <w:t>Eveless</w:t>
      </w:r>
      <w:proofErr w:type="spellEnd"/>
      <w:r w:rsidRPr="007E24D7">
        <w:rPr>
          <w:lang w:val="en-US"/>
        </w:rPr>
        <w:t xml:space="preserve"> Adam and the contested tradition of the hermaphroditic Adam; in all cases, amorous, or </w:t>
      </w:r>
      <w:r w:rsidR="00B42FBE">
        <w:rPr>
          <w:lang w:val="en-US"/>
        </w:rPr>
        <w:t xml:space="preserve">indeed </w:t>
      </w:r>
      <w:r w:rsidRPr="007E24D7">
        <w:rPr>
          <w:lang w:val="en-US"/>
        </w:rPr>
        <w:t xml:space="preserve">any kind of relation is made inimical to the pursuit of the universal. </w:t>
      </w:r>
    </w:p>
    <w:p w14:paraId="5512F897" w14:textId="77777777" w:rsidR="008F2E4C" w:rsidRDefault="008F2E4C" w:rsidP="007E24D7">
      <w:pPr>
        <w:tabs>
          <w:tab w:val="left" w:pos="993"/>
        </w:tabs>
        <w:spacing w:line="480" w:lineRule="auto"/>
        <w:rPr>
          <w:lang w:val="en-US"/>
        </w:rPr>
      </w:pPr>
    </w:p>
    <w:p w14:paraId="0F81F8D0" w14:textId="2DD20B82" w:rsidR="007E24D7" w:rsidRDefault="007E24D7" w:rsidP="007E24D7">
      <w:pPr>
        <w:tabs>
          <w:tab w:val="left" w:pos="993"/>
        </w:tabs>
        <w:spacing w:line="480" w:lineRule="auto"/>
      </w:pPr>
      <w:r w:rsidRPr="007E24D7">
        <w:rPr>
          <w:lang w:val="en-US"/>
        </w:rPr>
        <w:t xml:space="preserve">The jaunty dénouement that follows restores, in some measure, ontological difference and companionability by assembling in one stanza creation and creator; </w:t>
      </w:r>
      <w:r w:rsidR="00960493">
        <w:rPr>
          <w:lang w:val="en-US"/>
        </w:rPr>
        <w:t>“</w:t>
      </w:r>
      <w:r w:rsidRPr="007E24D7">
        <w:rPr>
          <w:lang w:val="en-US"/>
        </w:rPr>
        <w:t xml:space="preserve">the </w:t>
      </w:r>
      <w:proofErr w:type="spellStart"/>
      <w:r w:rsidRPr="007E24D7">
        <w:rPr>
          <w:lang w:val="en-US"/>
        </w:rPr>
        <w:t>skilful</w:t>
      </w:r>
      <w:proofErr w:type="spellEnd"/>
      <w:r w:rsidRPr="007E24D7">
        <w:rPr>
          <w:lang w:val="en-US"/>
        </w:rPr>
        <w:t xml:space="preserve"> </w:t>
      </w:r>
      <w:proofErr w:type="spellStart"/>
      <w:r w:rsidRPr="007E24D7">
        <w:rPr>
          <w:lang w:val="en-US"/>
        </w:rPr>
        <w:t>gard’ner</w:t>
      </w:r>
      <w:proofErr w:type="spellEnd"/>
      <w:r w:rsidR="00960493">
        <w:rPr>
          <w:lang w:val="en-US"/>
        </w:rPr>
        <w:t>”</w:t>
      </w:r>
      <w:r w:rsidRPr="007E24D7">
        <w:rPr>
          <w:lang w:val="en-US"/>
        </w:rPr>
        <w:t>—who may or may not be God</w:t>
      </w:r>
      <w:proofErr w:type="gramStart"/>
      <w:r w:rsidRPr="007E24D7">
        <w:rPr>
          <w:lang w:val="en-US"/>
        </w:rPr>
        <w:t>—</w:t>
      </w:r>
      <w:r w:rsidR="00960493">
        <w:rPr>
          <w:lang w:val="en-US"/>
        </w:rPr>
        <w:t>“</w:t>
      </w:r>
      <w:proofErr w:type="spellStart"/>
      <w:proofErr w:type="gramEnd"/>
      <w:r w:rsidRPr="007E24D7">
        <w:rPr>
          <w:lang w:val="en-US"/>
        </w:rPr>
        <w:t>flow’rs</w:t>
      </w:r>
      <w:proofErr w:type="spellEnd"/>
      <w:r w:rsidRPr="007E24D7">
        <w:rPr>
          <w:lang w:val="en-US"/>
        </w:rPr>
        <w:t xml:space="preserve"> and herbs</w:t>
      </w:r>
      <w:r w:rsidR="00BD5CCC">
        <w:rPr>
          <w:lang w:val="en-US"/>
        </w:rPr>
        <w:t>,</w:t>
      </w:r>
      <w:r w:rsidR="00960493">
        <w:rPr>
          <w:lang w:val="en-US"/>
        </w:rPr>
        <w:t>”</w:t>
      </w:r>
      <w:r w:rsidRPr="007E24D7">
        <w:rPr>
          <w:lang w:val="en-US"/>
        </w:rPr>
        <w:t xml:space="preserve"> the sun, </w:t>
      </w:r>
      <w:r w:rsidR="00960493">
        <w:rPr>
          <w:lang w:val="en-US"/>
        </w:rPr>
        <w:t>“</w:t>
      </w:r>
      <w:proofErr w:type="spellStart"/>
      <w:r w:rsidRPr="007E24D7">
        <w:t>th’industrious</w:t>
      </w:r>
      <w:proofErr w:type="spellEnd"/>
      <w:r w:rsidRPr="007E24D7">
        <w:t xml:space="preserve"> bee</w:t>
      </w:r>
      <w:r w:rsidR="00960493">
        <w:t>”</w:t>
      </w:r>
      <w:r w:rsidRPr="007E24D7">
        <w:t xml:space="preserve"> and </w:t>
      </w:r>
      <w:r w:rsidR="00960493">
        <w:t>“</w:t>
      </w:r>
      <w:r w:rsidRPr="007E24D7">
        <w:t>we</w:t>
      </w:r>
      <w:r w:rsidR="00BD5CCC">
        <w:t>.</w:t>
      </w:r>
      <w:r w:rsidR="00960493">
        <w:t>”</w:t>
      </w:r>
      <w:r w:rsidRPr="007E24D7">
        <w:t xml:space="preserve"> But if the collective pronoun separates from the rest the speaker, and joins </w:t>
      </w:r>
      <w:r w:rsidR="00960493">
        <w:t xml:space="preserve">him </w:t>
      </w:r>
      <w:r w:rsidRPr="007E24D7">
        <w:t xml:space="preserve">to his listeners, these lines surely and playfully leave open the possibility for conflation too; that the gardener who </w:t>
      </w:r>
      <w:r w:rsidR="00960493">
        <w:t>“</w:t>
      </w:r>
      <w:r w:rsidRPr="007E24D7">
        <w:t>drew</w:t>
      </w:r>
      <w:r w:rsidR="00960493">
        <w:t>”</w:t>
      </w:r>
      <w:r w:rsidRPr="007E24D7">
        <w:t xml:space="preserve"> and the bee which </w:t>
      </w:r>
      <w:r w:rsidR="00960493">
        <w:t>“</w:t>
      </w:r>
      <w:r w:rsidRPr="007E24D7">
        <w:t>computes his time</w:t>
      </w:r>
      <w:r w:rsidR="00960493">
        <w:t>”</w:t>
      </w:r>
      <w:r w:rsidRPr="007E24D7">
        <w:t xml:space="preserve"> are, as convention would have it, also figures for the poet; that the </w:t>
      </w:r>
      <w:r w:rsidR="00960493">
        <w:t>“</w:t>
      </w:r>
      <w:r w:rsidRPr="007E24D7">
        <w:t xml:space="preserve">herbs and </w:t>
      </w:r>
      <w:proofErr w:type="spellStart"/>
      <w:r w:rsidRPr="007E24D7">
        <w:t>flow’rs</w:t>
      </w:r>
      <w:proofErr w:type="spellEnd"/>
      <w:r w:rsidR="00960493">
        <w:t>”</w:t>
      </w:r>
      <w:r w:rsidRPr="007E24D7">
        <w:t xml:space="preserve"> said to </w:t>
      </w:r>
      <w:r w:rsidR="00960493">
        <w:t>“</w:t>
      </w:r>
      <w:proofErr w:type="spellStart"/>
      <w:r w:rsidRPr="007E24D7">
        <w:t>recko</w:t>
      </w:r>
      <w:proofErr w:type="spellEnd"/>
      <w:r w:rsidRPr="007E24D7">
        <w:t>[n]</w:t>
      </w:r>
      <w:r w:rsidR="00960493">
        <w:t>”</w:t>
      </w:r>
      <w:r w:rsidRPr="007E24D7">
        <w:t xml:space="preserve"> rather than rot with time do so only by virtue of the poet’s </w:t>
      </w:r>
      <w:r w:rsidRPr="007E24D7">
        <w:rPr>
          <w:i/>
          <w:iCs/>
        </w:rPr>
        <w:t>hypallage</w:t>
      </w:r>
      <w:r w:rsidRPr="007E24D7">
        <w:t xml:space="preserve">, his contrivance of </w:t>
      </w:r>
      <w:r w:rsidR="00960493">
        <w:t>“</w:t>
      </w:r>
      <w:r w:rsidRPr="007E24D7">
        <w:t>sweet and wholesome hours</w:t>
      </w:r>
      <w:r w:rsidR="00960493">
        <w:t>”</w:t>
      </w:r>
      <w:r w:rsidRPr="007E24D7">
        <w:t xml:space="preserve"> (65-72).</w:t>
      </w:r>
      <w:r w:rsidR="00960493">
        <w:rPr>
          <w:rStyle w:val="EndnoteReference"/>
        </w:rPr>
        <w:endnoteReference w:id="51"/>
      </w:r>
      <w:r w:rsidR="00960493" w:rsidRPr="007E24D7">
        <w:t xml:space="preserve"> </w:t>
      </w:r>
      <w:r w:rsidRPr="007E24D7">
        <w:t>The poem’s fundamental unit—its square-like stanzas—confesses</w:t>
      </w:r>
      <w:r w:rsidR="00960493">
        <w:t xml:space="preserve"> </w:t>
      </w:r>
      <w:r w:rsidRPr="007E24D7">
        <w:t xml:space="preserve">its indebtedness to distinctly human </w:t>
      </w:r>
      <w:proofErr w:type="spellStart"/>
      <w:r w:rsidRPr="007E24D7">
        <w:rPr>
          <w:i/>
          <w:iCs/>
        </w:rPr>
        <w:t>poiesis</w:t>
      </w:r>
      <w:proofErr w:type="spellEnd"/>
      <w:r w:rsidRPr="007E24D7">
        <w:t xml:space="preserve"> even as its steadfast shape purportedly replicates the coherence of the earth. </w:t>
      </w:r>
      <w:r w:rsidR="00AF443C">
        <w:t>The</w:t>
      </w:r>
      <w:r w:rsidRPr="007E24D7">
        <w:t xml:space="preserve"> associations posited between geometrical figures and elements of nature remain themselves the products of poetic creativity. The search for ends and commitment to the universal that marks </w:t>
      </w:r>
      <w:r w:rsidR="0028533F">
        <w:t>“</w:t>
      </w:r>
      <w:r w:rsidRPr="007E24D7">
        <w:t>The Garden</w:t>
      </w:r>
      <w:r w:rsidR="0028533F">
        <w:t>”</w:t>
      </w:r>
      <w:r w:rsidRPr="007E24D7">
        <w:t xml:space="preserve"> uncovers continually, in shifting forms, the break between thought and nature. Yet the character of its oscillating negativity as an answer to nature’s endlessness </w:t>
      </w:r>
      <w:r w:rsidR="008660CF">
        <w:t>grows</w:t>
      </w:r>
      <w:r w:rsidRPr="007E24D7">
        <w:t xml:space="preserve"> </w:t>
      </w:r>
      <w:r w:rsidRPr="007E24D7">
        <w:lastRenderedPageBreak/>
        <w:t xml:space="preserve">clearer </w:t>
      </w:r>
      <w:proofErr w:type="gramStart"/>
      <w:r w:rsidRPr="007E24D7">
        <w:t>in light of</w:t>
      </w:r>
      <w:proofErr w:type="gramEnd"/>
      <w:r w:rsidRPr="007E24D7">
        <w:t xml:space="preserve"> </w:t>
      </w:r>
      <w:r w:rsidR="008660CF">
        <w:t>a</w:t>
      </w:r>
      <w:r w:rsidRPr="007E24D7">
        <w:t xml:space="preserve"> different, </w:t>
      </w:r>
      <w:r w:rsidR="0028533F">
        <w:t xml:space="preserve">far </w:t>
      </w:r>
      <w:r w:rsidRPr="007E24D7">
        <w:t xml:space="preserve">more optimistic approach pursued by Marvell’s contemporary, Margaret Cavendish. </w:t>
      </w:r>
    </w:p>
    <w:p w14:paraId="7B9B70E7" w14:textId="77777777" w:rsidR="00BE1881" w:rsidRDefault="00BE1881" w:rsidP="007E24D7">
      <w:pPr>
        <w:tabs>
          <w:tab w:val="left" w:pos="993"/>
        </w:tabs>
        <w:spacing w:line="480" w:lineRule="auto"/>
      </w:pPr>
    </w:p>
    <w:p w14:paraId="571F5945" w14:textId="0A154719" w:rsidR="004F4457" w:rsidRDefault="00BE1881" w:rsidP="004F4457">
      <w:pPr>
        <w:tabs>
          <w:tab w:val="left" w:pos="519"/>
        </w:tabs>
        <w:spacing w:line="480" w:lineRule="auto"/>
        <w:jc w:val="center"/>
      </w:pPr>
      <w:r>
        <w:t xml:space="preserve">IV. </w:t>
      </w:r>
      <w:r w:rsidR="00E41D02">
        <w:t>FANCYING NATURE, NATURING FANCY</w:t>
      </w:r>
    </w:p>
    <w:p w14:paraId="79747954" w14:textId="77CF6CC1" w:rsidR="004F4457" w:rsidRDefault="004F4457" w:rsidP="004F4457">
      <w:pPr>
        <w:tabs>
          <w:tab w:val="left" w:pos="993"/>
        </w:tabs>
        <w:spacing w:line="480" w:lineRule="auto"/>
      </w:pPr>
      <w:r w:rsidRPr="004F4457">
        <w:t xml:space="preserve">Famously critical of Aristotle’s denial of the genuine existence of infinity in the world, Cavendish asserts, in her </w:t>
      </w:r>
      <w:r w:rsidRPr="004F4457">
        <w:rPr>
          <w:i/>
          <w:iCs/>
        </w:rPr>
        <w:t>Observations upon Experimental Philosophy</w:t>
      </w:r>
      <w:r w:rsidRPr="004F4457">
        <w:t xml:space="preserve"> (1666), the dizzying actuality—as opposed to potentiality—of a host of infinities in nature, including those of variety, divisibility</w:t>
      </w:r>
      <w:r>
        <w:t>,</w:t>
      </w:r>
      <w:r w:rsidRPr="004F4457">
        <w:t xml:space="preserve"> and degree in quality and motion, as well as the unboundedness of nature in space and time.</w:t>
      </w:r>
      <w:r>
        <w:rPr>
          <w:rStyle w:val="EndnoteReference"/>
        </w:rPr>
        <w:endnoteReference w:id="52"/>
      </w:r>
      <w:r w:rsidRPr="004F4457">
        <w:t xml:space="preserve"> To </w:t>
      </w:r>
      <w:r w:rsidR="0042421D" w:rsidRPr="004F4457">
        <w:t>circumvent</w:t>
      </w:r>
      <w:r w:rsidRPr="004F4457">
        <w:t xml:space="preserve"> the glaring theological problem of insisting on an infinite and eternal nature, her </w:t>
      </w:r>
      <w:r w:rsidRPr="004F4457">
        <w:rPr>
          <w:i/>
          <w:iCs/>
        </w:rPr>
        <w:t>Philosophical Letters</w:t>
      </w:r>
      <w:r w:rsidRPr="004F4457">
        <w:t xml:space="preserve"> (1664), for instance, distinguish between </w:t>
      </w:r>
      <w:r w:rsidR="00BD3BEC">
        <w:t>“</w:t>
      </w:r>
      <w:r w:rsidRPr="004F4457">
        <w:t>Infinite Nature</w:t>
      </w:r>
      <w:r w:rsidR="00BD3BEC">
        <w:t>”</w:t>
      </w:r>
      <w:r w:rsidRPr="004F4457">
        <w:t xml:space="preserve"> and </w:t>
      </w:r>
      <w:r w:rsidR="00BD3BEC">
        <w:t>“</w:t>
      </w:r>
      <w:r w:rsidRPr="004F4457">
        <w:t>the Infinite Deity</w:t>
      </w:r>
      <w:r w:rsidR="00BD3BEC">
        <w:t>”</w:t>
      </w:r>
      <w:r w:rsidRPr="004F4457">
        <w:t xml:space="preserve"> as different in kind. Where the </w:t>
      </w:r>
      <w:r w:rsidR="00BD3BEC">
        <w:t>“</w:t>
      </w:r>
      <w:proofErr w:type="spellStart"/>
      <w:r w:rsidRPr="004F4457">
        <w:t>Deitical</w:t>
      </w:r>
      <w:proofErr w:type="spellEnd"/>
      <w:r w:rsidRPr="004F4457">
        <w:t xml:space="preserve"> or Divine Infinite</w:t>
      </w:r>
      <w:r w:rsidR="00BD3BEC">
        <w:t>”</w:t>
      </w:r>
      <w:r w:rsidRPr="004F4457">
        <w:t xml:space="preserve"> refers to spirit, the </w:t>
      </w:r>
      <w:r w:rsidR="00BD3BEC">
        <w:t>“</w:t>
      </w:r>
      <w:r w:rsidRPr="004F4457">
        <w:t>Natural Infinite</w:t>
      </w:r>
      <w:r w:rsidR="00BD3BEC">
        <w:t>”</w:t>
      </w:r>
      <w:r w:rsidRPr="004F4457">
        <w:t xml:space="preserve"> refers to an extension of body. </w:t>
      </w:r>
      <w:r w:rsidR="00B5372E">
        <w:t>More</w:t>
      </w:r>
      <w:r w:rsidRPr="004F4457">
        <w:t xml:space="preserve"> tautologously, to nature belongs </w:t>
      </w:r>
      <w:r w:rsidR="00BD3BEC">
        <w:t>“</w:t>
      </w:r>
      <w:r w:rsidRPr="004F4457">
        <w:t>a Natural Infinite Wisdom and Power… and not a supernatural, as is in god</w:t>
      </w:r>
      <w:r w:rsidR="00BD3BEC">
        <w:t xml:space="preserve">.” </w:t>
      </w:r>
      <w:r w:rsidRPr="004F4457">
        <w:t xml:space="preserve">Natural infinitude does not, in other words, obstruct the greater infinity of God, and Cavendish seems relatively unconcerned with how we might account for </w:t>
      </w:r>
      <w:r w:rsidR="00BD3BEC">
        <w:t>either</w:t>
      </w:r>
      <w:r w:rsidRPr="004F4457">
        <w:t>.</w:t>
      </w:r>
      <w:r w:rsidR="00BD3BEC">
        <w:rPr>
          <w:rStyle w:val="EndnoteReference"/>
        </w:rPr>
        <w:endnoteReference w:id="53"/>
      </w:r>
      <w:r w:rsidR="00BD3BEC" w:rsidRPr="004F4457">
        <w:t xml:space="preserve"> </w:t>
      </w:r>
      <w:r w:rsidRPr="004F4457">
        <w:t xml:space="preserve">Noting early on that the infinitely small—fairies being her example in </w:t>
      </w:r>
      <w:r w:rsidRPr="004F4457">
        <w:rPr>
          <w:i/>
          <w:iCs/>
        </w:rPr>
        <w:t>Poems and Fancies</w:t>
      </w:r>
      <w:r w:rsidRPr="004F4457">
        <w:t xml:space="preserve"> (165</w:t>
      </w:r>
      <w:r w:rsidR="00D06012">
        <w:t xml:space="preserve">3, </w:t>
      </w:r>
      <w:r w:rsidR="0042421D">
        <w:t>1664</w:t>
      </w:r>
      <w:r w:rsidR="00D06012">
        <w:t>, 1668</w:t>
      </w:r>
      <w:r w:rsidRPr="004F4457">
        <w:t xml:space="preserve">)—though </w:t>
      </w:r>
      <w:r w:rsidR="00BD3BEC">
        <w:t>“</w:t>
      </w:r>
      <w:r w:rsidRPr="004F4457">
        <w:t>not subject to our sense</w:t>
      </w:r>
      <w:r w:rsidR="00BD3BEC">
        <w:t>”</w:t>
      </w:r>
      <w:r w:rsidRPr="004F4457">
        <w:t xml:space="preserve"> should not be excluded from </w:t>
      </w:r>
      <w:r w:rsidR="00BD3BEC">
        <w:t>“</w:t>
      </w:r>
      <w:r w:rsidRPr="004F4457">
        <w:t>our reason,</w:t>
      </w:r>
      <w:r w:rsidR="00BD3BEC">
        <w:t>”</w:t>
      </w:r>
      <w:r w:rsidRPr="004F4457">
        <w:t xml:space="preserve"> she leaves open to question the precise relationship between human speculation and the presence of infinities in nature.</w:t>
      </w:r>
      <w:r w:rsidR="00BD3BEC">
        <w:rPr>
          <w:rStyle w:val="EndnoteReference"/>
        </w:rPr>
        <w:endnoteReference w:id="54"/>
      </w:r>
      <w:r w:rsidR="00BD3BEC" w:rsidRPr="004F4457">
        <w:t xml:space="preserve"> </w:t>
      </w:r>
      <w:r w:rsidRPr="004F4457">
        <w:t xml:space="preserve">Instead, Cavendish approaches one puzzle in light of the other, reiterating throughout her writings a likeness between mental and cosmological infinities: </w:t>
      </w:r>
      <w:r w:rsidR="00BD3BEC">
        <w:t>“</w:t>
      </w:r>
      <w:r w:rsidRPr="004F4457">
        <w:t>the Mind is like an Infinite Nature, having no Dimension or Extension, and the Thoughts are like Infinite Creatures therei</w:t>
      </w:r>
      <w:r w:rsidR="00BD3BEC">
        <w:t>n</w:t>
      </w:r>
      <w:r w:rsidRPr="004F4457">
        <w:t>.</w:t>
      </w:r>
      <w:r w:rsidR="00BD3BEC">
        <w:t>”</w:t>
      </w:r>
      <w:r w:rsidR="00BD3BEC">
        <w:rPr>
          <w:rStyle w:val="EndnoteReference"/>
        </w:rPr>
        <w:endnoteReference w:id="55"/>
      </w:r>
    </w:p>
    <w:p w14:paraId="52880664" w14:textId="77777777" w:rsidR="00142316" w:rsidRDefault="00142316" w:rsidP="004F4457">
      <w:pPr>
        <w:tabs>
          <w:tab w:val="left" w:pos="993"/>
        </w:tabs>
        <w:spacing w:line="480" w:lineRule="auto"/>
      </w:pPr>
    </w:p>
    <w:p w14:paraId="7DC97A28" w14:textId="05CB5E02" w:rsidR="00C207DE" w:rsidRDefault="0014184B" w:rsidP="00FB6E20">
      <w:pPr>
        <w:tabs>
          <w:tab w:val="left" w:pos="993"/>
        </w:tabs>
        <w:spacing w:line="480" w:lineRule="auto"/>
      </w:pPr>
      <w:r>
        <w:lastRenderedPageBreak/>
        <w:t>While</w:t>
      </w:r>
      <w:r w:rsidR="0042421D">
        <w:t xml:space="preserve"> </w:t>
      </w:r>
      <w:r w:rsidR="00142316">
        <w:t>Cavendish repeatedly states her unwillingness to discuss God</w:t>
      </w:r>
      <w:r w:rsidR="0042421D">
        <w:t xml:space="preserve">, </w:t>
      </w:r>
      <w:r w:rsidR="00142316">
        <w:t xml:space="preserve">who “is not </w:t>
      </w:r>
      <w:r w:rsidR="00142316" w:rsidRPr="00863E3D">
        <w:t>describable</w:t>
      </w:r>
      <w:r w:rsidR="00142316">
        <w:t>” and</w:t>
      </w:r>
      <w:r w:rsidR="00D42F7A">
        <w:t xml:space="preserve"> is</w:t>
      </w:r>
      <w:r w:rsidR="0042421D">
        <w:t xml:space="preserve"> </w:t>
      </w:r>
      <w:r w:rsidR="00142316">
        <w:t>therefore “</w:t>
      </w:r>
      <w:r w:rsidR="00142316" w:rsidRPr="00142316">
        <w:t xml:space="preserve">to be </w:t>
      </w:r>
      <w:r w:rsidR="00863E3D">
        <w:t>A</w:t>
      </w:r>
      <w:r w:rsidR="00142316" w:rsidRPr="00863E3D">
        <w:t xml:space="preserve">dmired, </w:t>
      </w:r>
      <w:proofErr w:type="spellStart"/>
      <w:r w:rsidR="00863E3D">
        <w:t>W</w:t>
      </w:r>
      <w:r w:rsidR="00142316" w:rsidRPr="00863E3D">
        <w:t>ondred</w:t>
      </w:r>
      <w:proofErr w:type="spellEnd"/>
      <w:r w:rsidR="009B68BE">
        <w:t xml:space="preserve">… </w:t>
      </w:r>
      <w:r w:rsidR="00142316" w:rsidRPr="00142316">
        <w:t>and</w:t>
      </w:r>
      <w:r w:rsidR="0042421D">
        <w:t xml:space="preserve"> </w:t>
      </w:r>
      <w:r w:rsidR="00142316" w:rsidRPr="00142316">
        <w:t xml:space="preserve">not </w:t>
      </w:r>
      <w:r w:rsidR="00863E3D">
        <w:t>D</w:t>
      </w:r>
      <w:r w:rsidR="00142316" w:rsidRPr="00863E3D">
        <w:t xml:space="preserve">isputed </w:t>
      </w:r>
      <w:r w:rsidR="00142316" w:rsidRPr="00142316">
        <w:t>on</w:t>
      </w:r>
      <w:r w:rsidR="0042421D">
        <w:t>,” Nature, by contrast, is partly within reach in the form of a personified female regent.</w:t>
      </w:r>
      <w:r w:rsidR="0042421D">
        <w:rPr>
          <w:rStyle w:val="EndnoteReference"/>
        </w:rPr>
        <w:endnoteReference w:id="56"/>
      </w:r>
      <w:r w:rsidR="0042421D">
        <w:t xml:space="preserve"> Although both “God the Author of Nature, and Nature the servant of God” </w:t>
      </w:r>
      <w:r w:rsidR="00445C9E">
        <w:t>appear regularly</w:t>
      </w:r>
      <w:r w:rsidR="0042421D">
        <w:t xml:space="preserve"> across her writings in </w:t>
      </w:r>
      <w:r w:rsidR="000E3085">
        <w:t>remarkably</w:t>
      </w:r>
      <w:r w:rsidR="0042421D">
        <w:t xml:space="preserve"> anthropomorphic and gendered terms, only the latter is “altogether Material” and active in the world, for God is immaterial, incomprehensible and uninvolved in the </w:t>
      </w:r>
      <w:r w:rsidR="00631FEB">
        <w:t xml:space="preserve">everyday </w:t>
      </w:r>
      <w:r w:rsidR="0044076B">
        <w:t>working</w:t>
      </w:r>
      <w:r w:rsidR="00631FEB">
        <w:t>s</w:t>
      </w:r>
      <w:r w:rsidR="0044076B">
        <w:t xml:space="preserve"> </w:t>
      </w:r>
      <w:r w:rsidR="0042421D">
        <w:t>of creation.</w:t>
      </w:r>
      <w:r w:rsidR="0042421D">
        <w:rPr>
          <w:rStyle w:val="EndnoteReference"/>
        </w:rPr>
        <w:endnoteReference w:id="57"/>
      </w:r>
      <w:r w:rsidR="0042421D">
        <w:t xml:space="preserve"> </w:t>
      </w:r>
      <w:r w:rsidR="00FC7534" w:rsidRPr="0042421D">
        <w:rPr>
          <w:color w:val="000000" w:themeColor="text1"/>
        </w:rPr>
        <w:t>Portrayed</w:t>
      </w:r>
      <w:r w:rsidR="0042421D" w:rsidRPr="0042421D">
        <w:rPr>
          <w:color w:val="000000" w:themeColor="text1"/>
        </w:rPr>
        <w:t xml:space="preserve"> as the “Mistress” of her </w:t>
      </w:r>
      <w:r w:rsidR="0042421D">
        <w:rPr>
          <w:color w:val="000000" w:themeColor="text1"/>
        </w:rPr>
        <w:t>“particular C</w:t>
      </w:r>
      <w:r w:rsidR="0042421D" w:rsidRPr="0042421D">
        <w:rPr>
          <w:color w:val="000000" w:themeColor="text1"/>
        </w:rPr>
        <w:t>reatures</w:t>
      </w:r>
      <w:r w:rsidR="0042421D">
        <w:rPr>
          <w:color w:val="000000" w:themeColor="text1"/>
        </w:rPr>
        <w:t>”</w:t>
      </w:r>
      <w:r w:rsidR="0042421D" w:rsidRPr="0042421D">
        <w:rPr>
          <w:color w:val="000000" w:themeColor="text1"/>
        </w:rPr>
        <w:t xml:space="preserve"> and “a grave, wise, methodical Matron</w:t>
      </w:r>
      <w:r w:rsidR="0042421D">
        <w:rPr>
          <w:color w:val="000000" w:themeColor="text1"/>
        </w:rPr>
        <w:t xml:space="preserve">,” Cavendish </w:t>
      </w:r>
      <w:r w:rsidR="0042421D">
        <w:t>attributes to Nature “</w:t>
      </w:r>
      <w:r w:rsidR="0042421D" w:rsidRPr="0042421D">
        <w:t>an Infinite Wisdom, Strength,</w:t>
      </w:r>
      <w:r w:rsidR="0042421D">
        <w:t xml:space="preserve"> </w:t>
      </w:r>
      <w:r w:rsidR="0042421D" w:rsidRPr="0042421D">
        <w:t>Power, Knowledge</w:t>
      </w:r>
      <w:r w:rsidR="0042421D">
        <w:t xml:space="preserve">,” </w:t>
      </w:r>
      <w:r w:rsidR="00FC7534">
        <w:t>maintaining</w:t>
      </w:r>
      <w:r w:rsidR="000B45D0">
        <w:t xml:space="preserve"> that “</w:t>
      </w:r>
      <w:r w:rsidR="000B45D0" w:rsidRPr="000B45D0">
        <w:t>it is probable, God has ordained Nature to work in herself by his Leave, Will, and Free Gift.</w:t>
      </w:r>
      <w:r w:rsidR="000B45D0">
        <w:t>”</w:t>
      </w:r>
      <w:r w:rsidR="0042421D">
        <w:rPr>
          <w:rStyle w:val="EndnoteReference"/>
        </w:rPr>
        <w:endnoteReference w:id="58"/>
      </w:r>
      <w:r w:rsidR="0042421D">
        <w:t xml:space="preserve"> </w:t>
      </w:r>
      <w:r w:rsidR="000B45D0">
        <w:t>Nature is subordinate to God and said to be capable of error, but is nonetheless allowed an extraordinary degree of rule.</w:t>
      </w:r>
      <w:r w:rsidR="00FC7534">
        <w:rPr>
          <w:rStyle w:val="EndnoteReference"/>
        </w:rPr>
        <w:endnoteReference w:id="59"/>
      </w:r>
      <w:r w:rsidR="00FB6E20">
        <w:t xml:space="preserve"> </w:t>
      </w:r>
      <w:r w:rsidR="00EA69A9">
        <w:t>Critics have long argued</w:t>
      </w:r>
      <w:r w:rsidR="00FB6E20">
        <w:t xml:space="preserve"> </w:t>
      </w:r>
      <w:r w:rsidR="00F223D6">
        <w:t xml:space="preserve">that </w:t>
      </w:r>
      <w:r w:rsidR="00756B00">
        <w:t>Nature’s femininity is not simply “metaphoric</w:t>
      </w:r>
      <w:r w:rsidR="00A168E9">
        <w:t>,</w:t>
      </w:r>
      <w:r w:rsidR="00756B00">
        <w:t>” but “an integral part of Cavendish’s cosmology,</w:t>
      </w:r>
      <w:r w:rsidR="00FB6E20">
        <w:t>” and that the “gendered elements of her natural philosophy</w:t>
      </w:r>
      <w:r w:rsidR="00DB79AD">
        <w:t>”</w:t>
      </w:r>
      <w:r w:rsidR="00FB6E20">
        <w:t xml:space="preserve"> </w:t>
      </w:r>
      <w:r w:rsidR="00DB79AD">
        <w:t xml:space="preserve">respond specifically </w:t>
      </w:r>
      <w:r w:rsidR="00A67CE7">
        <w:t xml:space="preserve">to the </w:t>
      </w:r>
      <w:r w:rsidR="00DB79AD">
        <w:t>subservient position</w:t>
      </w:r>
      <w:r w:rsidR="00A67CE7">
        <w:t xml:space="preserve"> of women in early modern Europe.</w:t>
      </w:r>
      <w:r w:rsidR="000E3085">
        <w:rPr>
          <w:rStyle w:val="EndnoteReference"/>
        </w:rPr>
        <w:endnoteReference w:id="60"/>
      </w:r>
      <w:r w:rsidR="000E3085">
        <w:t xml:space="preserve"> To the indispensability of Nature’s femininity we might add the </w:t>
      </w:r>
      <w:r w:rsidR="00BA1F9B">
        <w:t>authority, as well as</w:t>
      </w:r>
      <w:r w:rsidR="000E3085">
        <w:t xml:space="preserve"> moral, social and even spiritual rank conferred </w:t>
      </w:r>
      <w:r w:rsidR="00BA1F9B">
        <w:t>by titles such as “Matron” and “Mistress”.</w:t>
      </w:r>
      <w:r w:rsidR="00BA1F9B">
        <w:rPr>
          <w:rStyle w:val="EndnoteReference"/>
        </w:rPr>
        <w:endnoteReference w:id="61"/>
      </w:r>
      <w:r w:rsidR="000E1B23">
        <w:t xml:space="preserve"> If Nature </w:t>
      </w:r>
      <w:r w:rsidR="00D919A0">
        <w:t xml:space="preserve">has been studied </w:t>
      </w:r>
      <w:r w:rsidR="000E1B23">
        <w:t xml:space="preserve">according to Cavendish’s evident self-consciousness about her gender, </w:t>
      </w:r>
      <w:r w:rsidR="003A4787">
        <w:t>she</w:t>
      </w:r>
      <w:r w:rsidR="000E1B23">
        <w:t xml:space="preserve"> </w:t>
      </w:r>
      <w:r w:rsidR="009B68BE">
        <w:t>might</w:t>
      </w:r>
      <w:r w:rsidR="000E1B23">
        <w:t xml:space="preserve"> also be understood in relation to her concerns about </w:t>
      </w:r>
      <w:r w:rsidR="009066EC">
        <w:t xml:space="preserve">conserving and </w:t>
      </w:r>
      <w:r w:rsidR="000E1B23">
        <w:t>limiting aristocratic entitlement.</w:t>
      </w:r>
      <w:r w:rsidR="00863E3D">
        <w:rPr>
          <w:rStyle w:val="EndnoteReference"/>
        </w:rPr>
        <w:endnoteReference w:id="62"/>
      </w:r>
    </w:p>
    <w:p w14:paraId="4A0359AF" w14:textId="77777777" w:rsidR="00C207DE" w:rsidRDefault="00C207DE" w:rsidP="00FB6E20">
      <w:pPr>
        <w:tabs>
          <w:tab w:val="left" w:pos="993"/>
        </w:tabs>
        <w:spacing w:line="480" w:lineRule="auto"/>
      </w:pPr>
    </w:p>
    <w:p w14:paraId="57620B24" w14:textId="0B8B98FC" w:rsidR="00A70BB4" w:rsidRDefault="000E1B23" w:rsidP="00863E3D">
      <w:pPr>
        <w:tabs>
          <w:tab w:val="left" w:pos="993"/>
        </w:tabs>
        <w:spacing w:line="480" w:lineRule="auto"/>
      </w:pPr>
      <w:r w:rsidRPr="00863E3D">
        <w:rPr>
          <w:i/>
          <w:iCs/>
        </w:rPr>
        <w:t>Poems and Fancies</w:t>
      </w:r>
      <w:r w:rsidRPr="00863E3D">
        <w:t xml:space="preserve"> </w:t>
      </w:r>
      <w:proofErr w:type="gramStart"/>
      <w:r w:rsidRPr="00863E3D">
        <w:t>opens</w:t>
      </w:r>
      <w:proofErr w:type="gramEnd"/>
      <w:r w:rsidRPr="00863E3D">
        <w:t xml:space="preserve"> with </w:t>
      </w:r>
      <w:r w:rsidR="009066EC" w:rsidRPr="00863E3D">
        <w:t>“Nature Calls a Counsel</w:t>
      </w:r>
      <w:r w:rsidR="00EF68A9">
        <w:t>,</w:t>
      </w:r>
      <w:r w:rsidR="009066EC" w:rsidRPr="00863E3D">
        <w:t xml:space="preserve">” a cosmological poem in couplets in which </w:t>
      </w:r>
      <w:r w:rsidR="00C207DE" w:rsidRPr="00863E3D">
        <w:t xml:space="preserve">Nature calls on Motion, Figure, Matter, and Life to assist her in “Making the World.” In the 1664 volume, the poem begins “When Nature first the </w:t>
      </w:r>
      <w:r w:rsidR="00D06012" w:rsidRPr="00863E3D">
        <w:t>W</w:t>
      </w:r>
      <w:r w:rsidR="00C207DE" w:rsidRPr="00863E3D">
        <w:t xml:space="preserve">orld’s </w:t>
      </w:r>
      <w:r w:rsidR="00D06012" w:rsidRPr="00863E3D">
        <w:t>F</w:t>
      </w:r>
      <w:r w:rsidR="00C207DE" w:rsidRPr="00863E3D">
        <w:t>oundation laid</w:t>
      </w:r>
      <w:r w:rsidR="00EF68A9">
        <w:t>,</w:t>
      </w:r>
      <w:r w:rsidR="00C207DE" w:rsidRPr="00863E3D">
        <w:t>”</w:t>
      </w:r>
      <w:r w:rsidR="00EF68A9">
        <w:t xml:space="preserve"> </w:t>
      </w:r>
      <w:r w:rsidR="00C207DE" w:rsidRPr="00863E3D">
        <w:t>revised from the</w:t>
      </w:r>
      <w:r w:rsidR="00EF68A9">
        <w:t xml:space="preserve"> </w:t>
      </w:r>
      <w:r w:rsidR="00C207DE" w:rsidRPr="00863E3D">
        <w:t xml:space="preserve">edition in 1653 which </w:t>
      </w:r>
      <w:r w:rsidR="00EA69A9" w:rsidRPr="00863E3D">
        <w:t>gives</w:t>
      </w:r>
      <w:r w:rsidR="00C207DE" w:rsidRPr="00863E3D">
        <w:t xml:space="preserve">, “When </w:t>
      </w:r>
      <w:r w:rsidR="00C207DE" w:rsidRPr="00863E3D">
        <w:lastRenderedPageBreak/>
        <w:t>Nature first this World she did create” (1). The amendment is alert to the perilous weight of that final verb</w:t>
      </w:r>
      <w:r w:rsidR="00EF68A9">
        <w:t>,</w:t>
      </w:r>
      <w:r w:rsidR="00C207DE" w:rsidRPr="00863E3D">
        <w:t xml:space="preserve"> </w:t>
      </w:r>
      <w:r w:rsidR="00EF68A9">
        <w:t>by which</w:t>
      </w:r>
      <w:r w:rsidR="00C207DE" w:rsidRPr="00863E3D">
        <w:t xml:space="preserve"> </w:t>
      </w:r>
      <w:r w:rsidR="00C207DE" w:rsidRPr="00EF68A9">
        <w:t xml:space="preserve">Nature </w:t>
      </w:r>
      <w:r w:rsidR="00EF68A9">
        <w:t>usurps the role of</w:t>
      </w:r>
      <w:r w:rsidR="00C207DE" w:rsidRPr="00863E3D">
        <w:t xml:space="preserve"> Creator. To “lay” a foundation </w:t>
      </w:r>
      <w:r w:rsidR="00D06012" w:rsidRPr="00863E3D">
        <w:t>and</w:t>
      </w:r>
      <w:r w:rsidR="00C207DE" w:rsidRPr="00863E3D">
        <w:t xml:space="preserve"> even to “make”—the verb of the poem’s title—</w:t>
      </w:r>
      <w:r w:rsidR="00863E3D">
        <w:t>is</w:t>
      </w:r>
      <w:r w:rsidR="00C207DE" w:rsidRPr="00863E3D">
        <w:t xml:space="preserve"> more </w:t>
      </w:r>
      <w:r w:rsidR="003E0E4D">
        <w:t>securely</w:t>
      </w:r>
      <w:r w:rsidR="00C207DE" w:rsidRPr="00863E3D">
        <w:t xml:space="preserve"> artisanal and sufficiently different to divine fiat.</w:t>
      </w:r>
      <w:r w:rsidR="00EA69A9" w:rsidRPr="00863E3D">
        <w:t xml:space="preserve"> In spite of this change, the essence of Nature </w:t>
      </w:r>
      <w:r w:rsidR="00EC63E7" w:rsidRPr="00863E3D">
        <w:t>remains</w:t>
      </w:r>
      <w:r w:rsidR="00AE6D94">
        <w:t xml:space="preserve"> </w:t>
      </w:r>
      <w:r w:rsidR="00EA69A9" w:rsidRPr="00863E3D">
        <w:t xml:space="preserve">to </w:t>
      </w:r>
      <w:r w:rsidR="00D06012" w:rsidRPr="00863E3D">
        <w:t>command</w:t>
      </w:r>
      <w:r w:rsidR="00EA69A9" w:rsidRPr="00863E3D">
        <w:t>, while her principles</w:t>
      </w:r>
      <w:r w:rsidR="00D06012" w:rsidRPr="00863E3D">
        <w:t>, whom she calls “friends”,</w:t>
      </w:r>
      <w:r w:rsidR="00EA69A9" w:rsidRPr="00863E3D">
        <w:t xml:space="preserve"> must obey: “</w:t>
      </w:r>
      <w:r w:rsidRPr="00863E3D">
        <w:t xml:space="preserve">it is my </w:t>
      </w:r>
      <w:r w:rsidR="00863E3D" w:rsidRPr="00863E3D">
        <w:t>N</w:t>
      </w:r>
      <w:r w:rsidRPr="00863E3D">
        <w:t>ature things to make,</w:t>
      </w:r>
      <w:r w:rsidR="00EA69A9" w:rsidRPr="00863E3D">
        <w:t xml:space="preserve">/ </w:t>
      </w:r>
      <w:r w:rsidRPr="00863E3D">
        <w:t xml:space="preserve">To give out </w:t>
      </w:r>
      <w:r w:rsidR="00863E3D" w:rsidRPr="00863E3D">
        <w:t>W</w:t>
      </w:r>
      <w:r w:rsidRPr="00863E3D">
        <w:t xml:space="preserve">ork, </w:t>
      </w:r>
      <w:r w:rsidR="00863E3D" w:rsidRPr="00863E3D">
        <w:t>but</w:t>
      </w:r>
      <w:hyperlink r:id="rId6" w:anchor="easy-footnote-bottom-8-468" w:history="1"/>
      <w:r w:rsidRPr="00863E3D">
        <w:t xml:space="preserve"> you </w:t>
      </w:r>
      <w:r w:rsidR="00863E3D" w:rsidRPr="00863E3D">
        <w:t>D</w:t>
      </w:r>
      <w:r w:rsidRPr="00863E3D">
        <w:t>irections take</w:t>
      </w:r>
      <w:r w:rsidR="00EA69A9" w:rsidRPr="00863E3D">
        <w:t>” (</w:t>
      </w:r>
      <w:r w:rsidR="00EC63E7" w:rsidRPr="00863E3D">
        <w:t xml:space="preserve">5, </w:t>
      </w:r>
      <w:r w:rsidR="00EA69A9" w:rsidRPr="00863E3D">
        <w:t>9-10).</w:t>
      </w:r>
      <w:r w:rsidR="00EC63E7" w:rsidRPr="00863E3D">
        <w:t xml:space="preserve"> Nature is the first, notes Lisa T. Sarasohn, of many women in Cavendish’s writings who “give orders</w:t>
      </w:r>
      <w:r w:rsidR="00863E3D" w:rsidRPr="00863E3D">
        <w:t>”</w:t>
      </w:r>
      <w:r w:rsidR="00EC63E7" w:rsidRPr="00863E3D">
        <w:t xml:space="preserve"> and </w:t>
      </w:r>
      <w:r w:rsidR="00863E3D" w:rsidRPr="00863E3D">
        <w:t>“</w:t>
      </w:r>
      <w:r w:rsidR="00EC63E7" w:rsidRPr="00863E3D">
        <w:t>make order</w:t>
      </w:r>
      <w:r w:rsidR="00AE6D94">
        <w:t>,</w:t>
      </w:r>
      <w:r w:rsidR="00EC63E7" w:rsidRPr="00863E3D">
        <w:t>”</w:t>
      </w:r>
      <w:r w:rsidR="00AE6D94">
        <w:t xml:space="preserve"> </w:t>
      </w:r>
      <w:r w:rsidR="00EC63E7" w:rsidRPr="00863E3D">
        <w:t>and she does so to be worshipped</w:t>
      </w:r>
      <w:r w:rsidR="00863E3D" w:rsidRPr="00863E3D">
        <w:t>: “We can, and may do a fine Work, said she,</w:t>
      </w:r>
      <w:r w:rsidR="00863E3D">
        <w:t>/ And m</w:t>
      </w:r>
      <w:r w:rsidR="00863E3D" w:rsidRPr="00863E3D">
        <w:t xml:space="preserve">ake some things </w:t>
      </w:r>
      <w:r w:rsidR="00863E3D">
        <w:t>which us may W</w:t>
      </w:r>
      <w:r w:rsidR="00863E3D" w:rsidRPr="00863E3D">
        <w:t>orship give,</w:t>
      </w:r>
      <w:r w:rsidR="00863E3D">
        <w:t xml:space="preserve">/ </w:t>
      </w:r>
      <w:r w:rsidR="00863E3D" w:rsidRPr="00863E3D">
        <w:t>Wh</w:t>
      </w:r>
      <w:r w:rsidR="00863E3D">
        <w:t>ereas</w:t>
      </w:r>
      <w:r w:rsidR="00863E3D" w:rsidRPr="00863E3D">
        <w:t xml:space="preserve"> now we</w:t>
      </w:r>
      <w:r w:rsidR="00863E3D">
        <w:t xml:space="preserve"> but</w:t>
      </w:r>
      <w:r w:rsidR="00863E3D" w:rsidRPr="00863E3D">
        <w:t xml:space="preserve"> to </w:t>
      </w:r>
      <w:proofErr w:type="spellStart"/>
      <w:r w:rsidR="00863E3D" w:rsidRPr="00863E3D">
        <w:t>our selves</w:t>
      </w:r>
      <w:proofErr w:type="spellEnd"/>
      <w:r w:rsidR="00863E3D" w:rsidRPr="00863E3D">
        <w:t xml:space="preserve"> </w:t>
      </w:r>
      <w:r w:rsidR="00863E3D">
        <w:t>do</w:t>
      </w:r>
      <w:r w:rsidR="00863E3D" w:rsidRPr="00863E3D">
        <w:t xml:space="preserve"> </w:t>
      </w:r>
      <w:r w:rsidR="00863E3D">
        <w:t>L</w:t>
      </w:r>
      <w:r w:rsidR="00863E3D" w:rsidRPr="00863E3D">
        <w:t>ive</w:t>
      </w:r>
      <w:r w:rsidR="00863E3D">
        <w:t>” (6-8).</w:t>
      </w:r>
      <w:r w:rsidR="00EC63E7" w:rsidRPr="00863E3D">
        <w:rPr>
          <w:rStyle w:val="EndnoteReference"/>
        </w:rPr>
        <w:endnoteReference w:id="63"/>
      </w:r>
      <w:r w:rsidR="00EC63E7" w:rsidRPr="00863E3D">
        <w:t xml:space="preserve"> </w:t>
      </w:r>
      <w:r w:rsidR="00863E3D">
        <w:t xml:space="preserve">Nature is addressing her attending principles, Motion and Matter, etc., whom she </w:t>
      </w:r>
      <w:r w:rsidR="00AE6D94">
        <w:t>wishes</w:t>
      </w:r>
      <w:r w:rsidR="00863E3D">
        <w:t xml:space="preserve"> in addition to be revered. But her plural pronouns might also sound monarchic—that is, intended in the singular—reflecting the contrast she draws between her giving and their taking of direction. </w:t>
      </w:r>
      <w:r w:rsidR="00A70BB4">
        <w:t xml:space="preserve">Her words establish the rift in Cavendish’s concept of nature, the dynamic affiliation between Nature the personified quasi-deity and the material nature that constitutes creation. </w:t>
      </w:r>
    </w:p>
    <w:p w14:paraId="019DC78F" w14:textId="77777777" w:rsidR="00A70BB4" w:rsidRDefault="00A70BB4" w:rsidP="00863E3D">
      <w:pPr>
        <w:tabs>
          <w:tab w:val="left" w:pos="993"/>
        </w:tabs>
        <w:spacing w:line="480" w:lineRule="auto"/>
      </w:pPr>
    </w:p>
    <w:p w14:paraId="788BA054" w14:textId="77093EF3" w:rsidR="009451CB" w:rsidRDefault="00A70BB4" w:rsidP="00A70BB4">
      <w:pPr>
        <w:tabs>
          <w:tab w:val="left" w:pos="993"/>
        </w:tabs>
        <w:spacing w:line="480" w:lineRule="auto"/>
      </w:pPr>
      <w:r>
        <w:t xml:space="preserve">One poem that answers Nature’s </w:t>
      </w:r>
      <w:r w:rsidR="005A26B8">
        <w:t>desire</w:t>
      </w:r>
      <w:r>
        <w:t xml:space="preserve"> for adoration is the </w:t>
      </w:r>
      <w:r w:rsidR="00442FDD">
        <w:t>“fancy,” “Nature</w:t>
      </w:r>
      <w:r w:rsidR="005A2E09">
        <w:t>’</w:t>
      </w:r>
      <w:r w:rsidR="00442FDD">
        <w:t xml:space="preserve">s Dress,” </w:t>
      </w:r>
      <w:r>
        <w:t xml:space="preserve">which </w:t>
      </w:r>
      <w:r w:rsidR="00442FDD">
        <w:t>has nature stand in</w:t>
      </w:r>
      <w:r w:rsidR="005A26B8">
        <w:t xml:space="preserve"> </w:t>
      </w:r>
      <w:r w:rsidR="00442FDD">
        <w:t xml:space="preserve">for the beloved. Like Marvell, </w:t>
      </w:r>
      <w:r>
        <w:t>Cavendish</w:t>
      </w:r>
      <w:r w:rsidR="00442FDD">
        <w:t xml:space="preserve"> seeks to unite </w:t>
      </w:r>
      <w:r w:rsidR="00025E9B">
        <w:t>tenor and vehicle</w:t>
      </w:r>
      <w:r w:rsidR="005D646D">
        <w:t>,</w:t>
      </w:r>
      <w:r w:rsidR="00442FDD">
        <w:t xml:space="preserve"> and</w:t>
      </w:r>
      <w:r w:rsidR="00170FCE">
        <w:t xml:space="preserve"> </w:t>
      </w:r>
      <w:r w:rsidR="00442FDD">
        <w:t>Nature is festooned with her own parts</w:t>
      </w:r>
      <w:r w:rsidR="009451CB">
        <w:t xml:space="preserve">: </w:t>
      </w:r>
    </w:p>
    <w:p w14:paraId="7B2934DE" w14:textId="77777777" w:rsidR="009451CB" w:rsidRDefault="009451CB" w:rsidP="00A70BB4">
      <w:pPr>
        <w:tabs>
          <w:tab w:val="left" w:pos="993"/>
        </w:tabs>
        <w:spacing w:line="480" w:lineRule="auto"/>
      </w:pPr>
    </w:p>
    <w:p w14:paraId="1305C355" w14:textId="65BB870A" w:rsidR="009451CB" w:rsidRPr="009451CB" w:rsidRDefault="009451CB" w:rsidP="009451CB">
      <w:pPr>
        <w:tabs>
          <w:tab w:val="left" w:pos="993"/>
        </w:tabs>
        <w:spacing w:line="480" w:lineRule="auto"/>
      </w:pPr>
      <w:r w:rsidRPr="009451CB">
        <w:t xml:space="preserve">The </w:t>
      </w:r>
      <w:r>
        <w:t>S</w:t>
      </w:r>
      <w:r w:rsidRPr="009451CB">
        <w:t xml:space="preserve">un </w:t>
      </w:r>
      <w:r>
        <w:t>C</w:t>
      </w:r>
      <w:r w:rsidRPr="009451CB">
        <w:t xml:space="preserve">rowns Nature’s </w:t>
      </w:r>
      <w:r>
        <w:t>H</w:t>
      </w:r>
      <w:r w:rsidRPr="009451CB">
        <w:t xml:space="preserve">ead with </w:t>
      </w:r>
      <w:r w:rsidR="00EA5271">
        <w:t>B</w:t>
      </w:r>
      <w:r w:rsidRPr="009451CB">
        <w:t xml:space="preserve">eams so </w:t>
      </w:r>
      <w:proofErr w:type="gramStart"/>
      <w:r w:rsidRPr="009451CB">
        <w:t>fair;</w:t>
      </w:r>
      <w:proofErr w:type="gramEnd"/>
    </w:p>
    <w:p w14:paraId="5F23470E" w14:textId="065D1CD3" w:rsidR="009451CB" w:rsidRPr="009451CB" w:rsidRDefault="009451CB" w:rsidP="009451CB">
      <w:pPr>
        <w:tabs>
          <w:tab w:val="left" w:pos="993"/>
        </w:tabs>
        <w:spacing w:line="480" w:lineRule="auto"/>
      </w:pPr>
      <w:r w:rsidRPr="009451CB">
        <w:t xml:space="preserve">The </w:t>
      </w:r>
      <w:r w:rsidR="00126CD6">
        <w:t>S</w:t>
      </w:r>
      <w:r w:rsidRPr="009451CB">
        <w:t xml:space="preserve">tars do hang as </w:t>
      </w:r>
      <w:r w:rsidR="00126CD6">
        <w:t>J</w:t>
      </w:r>
      <w:r w:rsidRPr="009451CB">
        <w:t xml:space="preserve">ewels in her </w:t>
      </w:r>
      <w:r w:rsidR="00126CD6">
        <w:t>H</w:t>
      </w:r>
      <w:r w:rsidRPr="009451CB">
        <w:t>air.</w:t>
      </w:r>
    </w:p>
    <w:p w14:paraId="6769C03F" w14:textId="6DCCB893" w:rsidR="009451CB" w:rsidRPr="009451CB" w:rsidRDefault="009451CB" w:rsidP="009451CB">
      <w:pPr>
        <w:tabs>
          <w:tab w:val="left" w:pos="993"/>
        </w:tabs>
        <w:spacing w:line="480" w:lineRule="auto"/>
      </w:pPr>
      <w:r w:rsidRPr="009451CB">
        <w:t xml:space="preserve">Her </w:t>
      </w:r>
      <w:r w:rsidR="00126CD6">
        <w:t>G</w:t>
      </w:r>
      <w:r w:rsidRPr="009451CB">
        <w:t xml:space="preserve">arment’s made of pure </w:t>
      </w:r>
      <w:r w:rsidR="00126CD6">
        <w:t>B</w:t>
      </w:r>
      <w:r w:rsidRPr="009451CB">
        <w:t xml:space="preserve">right watchet </w:t>
      </w:r>
      <w:r w:rsidR="00126CD6">
        <w:t>S</w:t>
      </w:r>
      <w:r w:rsidRPr="009451CB">
        <w:t>ky,</w:t>
      </w:r>
    </w:p>
    <w:p w14:paraId="5F011AC2" w14:textId="6E9941E6" w:rsidR="009451CB" w:rsidRPr="009451CB" w:rsidRDefault="009451CB" w:rsidP="009451CB">
      <w:pPr>
        <w:tabs>
          <w:tab w:val="left" w:pos="993"/>
        </w:tabs>
        <w:spacing w:line="480" w:lineRule="auto"/>
      </w:pPr>
      <w:r w:rsidRPr="009451CB">
        <w:t xml:space="preserve">Which round her </w:t>
      </w:r>
      <w:r w:rsidR="00126CD6">
        <w:t>Waste</w:t>
      </w:r>
      <w:r w:rsidRPr="009451CB">
        <w:t xml:space="preserve"> the </w:t>
      </w:r>
      <w:proofErr w:type="spellStart"/>
      <w:r w:rsidR="00126CD6">
        <w:t>Z</w:t>
      </w:r>
      <w:r w:rsidRPr="009451CB">
        <w:t>odiac</w:t>
      </w:r>
      <w:r w:rsidR="00126CD6">
        <w:t>k</w:t>
      </w:r>
      <w:proofErr w:type="spellEnd"/>
      <w:r w:rsidRPr="009451CB">
        <w:t xml:space="preserve"> doth </w:t>
      </w:r>
      <w:proofErr w:type="spellStart"/>
      <w:r w:rsidRPr="009451CB">
        <w:t>t</w:t>
      </w:r>
      <w:r w:rsidR="00126CD6">
        <w:t>y</w:t>
      </w:r>
      <w:r w:rsidRPr="009451CB">
        <w:t>e</w:t>
      </w:r>
      <w:proofErr w:type="spellEnd"/>
      <w:r w:rsidRPr="009451CB">
        <w:t>.</w:t>
      </w:r>
    </w:p>
    <w:p w14:paraId="486C7791" w14:textId="236C775C" w:rsidR="009451CB" w:rsidRPr="009451CB" w:rsidRDefault="009451CB" w:rsidP="009451CB">
      <w:pPr>
        <w:tabs>
          <w:tab w:val="left" w:pos="993"/>
        </w:tabs>
        <w:spacing w:line="480" w:lineRule="auto"/>
      </w:pPr>
      <w:r w:rsidRPr="009451CB">
        <w:lastRenderedPageBreak/>
        <w:t xml:space="preserve">The </w:t>
      </w:r>
      <w:r w:rsidR="00126CD6">
        <w:t>P</w:t>
      </w:r>
      <w:r w:rsidRPr="009451CB">
        <w:t xml:space="preserve">olar </w:t>
      </w:r>
      <w:r w:rsidR="00126CD6">
        <w:t>C</w:t>
      </w:r>
      <w:r w:rsidRPr="009451CB">
        <w:t>ircles</w:t>
      </w:r>
      <w:r w:rsidR="00126CD6">
        <w:t>, B</w:t>
      </w:r>
      <w:r w:rsidRPr="009451CB">
        <w:t xml:space="preserve">racelets for each </w:t>
      </w:r>
      <w:proofErr w:type="gramStart"/>
      <w:r w:rsidR="00126CD6">
        <w:t>W</w:t>
      </w:r>
      <w:r w:rsidRPr="009451CB">
        <w:t>rist;</w:t>
      </w:r>
      <w:proofErr w:type="gramEnd"/>
      <w:r w:rsidRPr="009451CB">
        <w:t xml:space="preserve">      </w:t>
      </w:r>
    </w:p>
    <w:p w14:paraId="0433CF85" w14:textId="3D47425B" w:rsidR="009451CB" w:rsidRPr="009451CB" w:rsidRDefault="009451CB" w:rsidP="009451CB">
      <w:pPr>
        <w:tabs>
          <w:tab w:val="left" w:pos="993"/>
        </w:tabs>
        <w:spacing w:line="480" w:lineRule="auto"/>
      </w:pPr>
      <w:r w:rsidRPr="009451CB">
        <w:t xml:space="preserve">The </w:t>
      </w:r>
      <w:r w:rsidR="00126CD6">
        <w:t>P</w:t>
      </w:r>
      <w:r w:rsidRPr="009451CB">
        <w:t xml:space="preserve">lanets round about her </w:t>
      </w:r>
      <w:r w:rsidR="00126CD6">
        <w:t>N</w:t>
      </w:r>
      <w:r w:rsidRPr="009451CB">
        <w:t>eck do twist.</w:t>
      </w:r>
    </w:p>
    <w:p w14:paraId="52ACCCA0" w14:textId="4B08C127" w:rsidR="009451CB" w:rsidRPr="009451CB" w:rsidRDefault="009451CB" w:rsidP="009451CB">
      <w:pPr>
        <w:tabs>
          <w:tab w:val="left" w:pos="993"/>
        </w:tabs>
        <w:spacing w:line="480" w:lineRule="auto"/>
      </w:pPr>
      <w:r w:rsidRPr="009451CB">
        <w:t xml:space="preserve">The </w:t>
      </w:r>
      <w:r w:rsidR="00126CD6">
        <w:t>G</w:t>
      </w:r>
      <w:r w:rsidRPr="009451CB">
        <w:t xml:space="preserve">old and </w:t>
      </w:r>
      <w:r w:rsidR="00126CD6">
        <w:t>S</w:t>
      </w:r>
      <w:r w:rsidRPr="009451CB">
        <w:t>ilver</w:t>
      </w:r>
      <w:r w:rsidR="00126CD6">
        <w:t>-</w:t>
      </w:r>
      <w:r w:rsidRPr="009451CB">
        <w:t xml:space="preserve">mines, </w:t>
      </w:r>
      <w:r w:rsidR="00126CD6">
        <w:t>S</w:t>
      </w:r>
      <w:r w:rsidRPr="009451CB">
        <w:t xml:space="preserve">hoes for her </w:t>
      </w:r>
      <w:r w:rsidR="00126CD6">
        <w:t>F</w:t>
      </w:r>
      <w:r w:rsidRPr="009451CB">
        <w:t>eet,</w:t>
      </w:r>
    </w:p>
    <w:p w14:paraId="4A32EF84" w14:textId="086A80E1" w:rsidR="009451CB" w:rsidRPr="009451CB" w:rsidRDefault="009451CB" w:rsidP="009451CB">
      <w:pPr>
        <w:tabs>
          <w:tab w:val="left" w:pos="993"/>
        </w:tabs>
        <w:spacing w:line="480" w:lineRule="auto"/>
      </w:pPr>
      <w:r w:rsidRPr="009451CB">
        <w:t xml:space="preserve">And for her </w:t>
      </w:r>
      <w:r w:rsidR="00126CD6">
        <w:t>G</w:t>
      </w:r>
      <w:r w:rsidRPr="009451CB">
        <w:t xml:space="preserve">arters are </w:t>
      </w:r>
      <w:r w:rsidR="00126CD6">
        <w:t>the</w:t>
      </w:r>
      <w:r w:rsidRPr="009451CB">
        <w:t xml:space="preserve"> </w:t>
      </w:r>
      <w:r w:rsidR="00126CD6">
        <w:t>F</w:t>
      </w:r>
      <w:r w:rsidRPr="009451CB">
        <w:t>lowers sweet.</w:t>
      </w:r>
    </w:p>
    <w:p w14:paraId="1F1B692E" w14:textId="13C307A9" w:rsidR="009451CB" w:rsidRPr="009451CB" w:rsidRDefault="009451CB" w:rsidP="009451CB">
      <w:pPr>
        <w:tabs>
          <w:tab w:val="left" w:pos="993"/>
        </w:tabs>
        <w:spacing w:line="480" w:lineRule="auto"/>
      </w:pPr>
      <w:r w:rsidRPr="009451CB">
        <w:t xml:space="preserve">Her </w:t>
      </w:r>
      <w:r w:rsidR="00126CD6">
        <w:t>S</w:t>
      </w:r>
      <w:r w:rsidRPr="009451CB">
        <w:t xml:space="preserve">tockings are of </w:t>
      </w:r>
      <w:r w:rsidR="00126CD6">
        <w:t>G</w:t>
      </w:r>
      <w:r w:rsidRPr="009451CB">
        <w:t xml:space="preserve">rass that’s fresh and </w:t>
      </w:r>
      <w:proofErr w:type="gramStart"/>
      <w:r w:rsidRPr="009451CB">
        <w:t>green;</w:t>
      </w:r>
      <w:proofErr w:type="gramEnd"/>
    </w:p>
    <w:p w14:paraId="799ED576" w14:textId="04210E08" w:rsidR="009451CB" w:rsidRPr="009451CB" w:rsidRDefault="009451CB" w:rsidP="009451CB">
      <w:pPr>
        <w:tabs>
          <w:tab w:val="left" w:pos="993"/>
        </w:tabs>
        <w:spacing w:line="480" w:lineRule="auto"/>
      </w:pPr>
      <w:r w:rsidRPr="009451CB">
        <w:t xml:space="preserve">The </w:t>
      </w:r>
      <w:r w:rsidR="00126CD6">
        <w:t>R</w:t>
      </w:r>
      <w:r w:rsidRPr="009451CB">
        <w:t xml:space="preserve">ainbow is like </w:t>
      </w:r>
      <w:proofErr w:type="spellStart"/>
      <w:r w:rsidR="00126CD6">
        <w:t>C</w:t>
      </w:r>
      <w:r w:rsidRPr="009451CB">
        <w:t>olo</w:t>
      </w:r>
      <w:r w:rsidR="00126CD6">
        <w:t>u</w:t>
      </w:r>
      <w:r w:rsidRPr="009451CB">
        <w:t>r</w:t>
      </w:r>
      <w:r w:rsidR="00126CD6">
        <w:t>’</w:t>
      </w:r>
      <w:r w:rsidRPr="009451CB">
        <w:t>d</w:t>
      </w:r>
      <w:proofErr w:type="spellEnd"/>
      <w:r w:rsidRPr="009451CB">
        <w:t xml:space="preserve"> </w:t>
      </w:r>
      <w:proofErr w:type="spellStart"/>
      <w:r w:rsidR="00126CD6">
        <w:t>R</w:t>
      </w:r>
      <w:r w:rsidRPr="009451CB">
        <w:t>ibbon</w:t>
      </w:r>
      <w:r w:rsidR="00126CD6">
        <w:t>d</w:t>
      </w:r>
      <w:r w:rsidRPr="009451CB">
        <w:t>s</w:t>
      </w:r>
      <w:proofErr w:type="spellEnd"/>
      <w:r w:rsidRPr="009451CB">
        <w:t xml:space="preserve"> seen.                </w:t>
      </w:r>
    </w:p>
    <w:p w14:paraId="5D700235" w14:textId="025CFAC7" w:rsidR="009451CB" w:rsidRPr="009451CB" w:rsidRDefault="009451CB" w:rsidP="009451CB">
      <w:pPr>
        <w:tabs>
          <w:tab w:val="left" w:pos="993"/>
        </w:tabs>
        <w:spacing w:line="480" w:lineRule="auto"/>
      </w:pPr>
      <w:r w:rsidRPr="009451CB">
        <w:t xml:space="preserve">The </w:t>
      </w:r>
      <w:r w:rsidR="00126CD6">
        <w:t>P</w:t>
      </w:r>
      <w:r w:rsidRPr="009451CB">
        <w:t xml:space="preserve">owder for her </w:t>
      </w:r>
      <w:r w:rsidR="00126CD6">
        <w:t>H</w:t>
      </w:r>
      <w:r w:rsidRPr="009451CB">
        <w:t xml:space="preserve">air is </w:t>
      </w:r>
      <w:r w:rsidR="00126CD6">
        <w:t>M</w:t>
      </w:r>
      <w:r w:rsidRPr="009451CB">
        <w:t xml:space="preserve">ilk-white </w:t>
      </w:r>
      <w:r w:rsidR="00126CD6">
        <w:t>S</w:t>
      </w:r>
      <w:r w:rsidRPr="009451CB">
        <w:t>now,</w:t>
      </w:r>
    </w:p>
    <w:p w14:paraId="2D118C23" w14:textId="5210ECED" w:rsidR="009451CB" w:rsidRPr="009451CB" w:rsidRDefault="009451CB" w:rsidP="009451CB">
      <w:pPr>
        <w:tabs>
          <w:tab w:val="left" w:pos="993"/>
        </w:tabs>
        <w:spacing w:line="480" w:lineRule="auto"/>
      </w:pPr>
      <w:r w:rsidRPr="009451CB">
        <w:t xml:space="preserve">And when she comes her </w:t>
      </w:r>
      <w:proofErr w:type="gramStart"/>
      <w:r w:rsidR="00126CD6">
        <w:t>L</w:t>
      </w:r>
      <w:r w:rsidRPr="009451CB">
        <w:t>ocks</w:t>
      </w:r>
      <w:proofErr w:type="gramEnd"/>
      <w:r w:rsidRPr="009451CB">
        <w:t xml:space="preserve"> the </w:t>
      </w:r>
      <w:r w:rsidR="00126CD6">
        <w:t>W</w:t>
      </w:r>
      <w:r w:rsidRPr="009451CB">
        <w:t>inds do blow.</w:t>
      </w:r>
    </w:p>
    <w:p w14:paraId="1539EF3D" w14:textId="3D8290F1" w:rsidR="009451CB" w:rsidRPr="009451CB" w:rsidRDefault="009451CB" w:rsidP="009451CB">
      <w:pPr>
        <w:tabs>
          <w:tab w:val="left" w:pos="993"/>
        </w:tabs>
        <w:spacing w:line="480" w:lineRule="auto"/>
      </w:pPr>
      <w:r w:rsidRPr="009451CB">
        <w:t xml:space="preserve">Light, a thin </w:t>
      </w:r>
      <w:r w:rsidR="00126CD6">
        <w:t>V</w:t>
      </w:r>
      <w:r w:rsidRPr="009451CB">
        <w:t xml:space="preserve">eil, doth </w:t>
      </w:r>
      <w:r w:rsidR="00126CD6">
        <w:t>H</w:t>
      </w:r>
      <w:r w:rsidRPr="009451CB">
        <w:t xml:space="preserve">ang upon her </w:t>
      </w:r>
      <w:r w:rsidR="00126CD6">
        <w:t>F</w:t>
      </w:r>
      <w:r w:rsidRPr="009451CB">
        <w:t>ace,</w:t>
      </w:r>
    </w:p>
    <w:p w14:paraId="6A9BA670" w14:textId="37378855" w:rsidR="009451CB" w:rsidRPr="009451CB" w:rsidRDefault="009451CB" w:rsidP="009451CB">
      <w:pPr>
        <w:tabs>
          <w:tab w:val="left" w:pos="993"/>
        </w:tabs>
        <w:spacing w:line="480" w:lineRule="auto"/>
      </w:pPr>
      <w:r w:rsidRPr="009451CB">
        <w:t xml:space="preserve">Through which her </w:t>
      </w:r>
      <w:r w:rsidR="00126CD6">
        <w:t>C</w:t>
      </w:r>
      <w:r w:rsidRPr="009451CB">
        <w:t>reatures see in every place.</w:t>
      </w:r>
      <w:r w:rsidR="00AD6787">
        <w:t xml:space="preserve"> (1-14)</w:t>
      </w:r>
    </w:p>
    <w:p w14:paraId="5B41B989" w14:textId="77777777" w:rsidR="009451CB" w:rsidRDefault="009451CB" w:rsidP="00A70BB4">
      <w:pPr>
        <w:tabs>
          <w:tab w:val="left" w:pos="993"/>
        </w:tabs>
        <w:spacing w:line="480" w:lineRule="auto"/>
      </w:pPr>
    </w:p>
    <w:p w14:paraId="03F16241" w14:textId="3DDE87EF" w:rsidR="008F6C00" w:rsidRDefault="00B30262" w:rsidP="008F6C00">
      <w:pPr>
        <w:tabs>
          <w:tab w:val="left" w:pos="993"/>
        </w:tabs>
        <w:spacing w:line="480" w:lineRule="auto"/>
      </w:pPr>
      <w:r w:rsidRPr="0044076B">
        <w:t xml:space="preserve">Its fourteen lines invoke the </w:t>
      </w:r>
      <w:r w:rsidR="00170FCE" w:rsidRPr="0044076B">
        <w:t>sonnet,</w:t>
      </w:r>
      <w:r w:rsidRPr="0044076B">
        <w:t xml:space="preserve"> </w:t>
      </w:r>
      <w:r w:rsidR="0077139E" w:rsidRPr="0044076B">
        <w:t>and</w:t>
      </w:r>
      <w:r w:rsidRPr="0044076B">
        <w:t xml:space="preserve"> nature provides for this poem </w:t>
      </w:r>
      <w:r w:rsidR="00170FCE" w:rsidRPr="0044076B">
        <w:t>both subject and objects</w:t>
      </w:r>
      <w:r w:rsidRPr="0044076B">
        <w:t>.</w:t>
      </w:r>
      <w:r w:rsidR="0077139E">
        <w:t xml:space="preserve"> For Elizabeth Scott-Baumann, Cavendish’s portrayal of Nature here and across her oeuvre presents a vital and “self-recreating power” which proves antithetical to the century’s prevailing vision of nature as a female figure to observe, exploit and on which to experiment (a paradigm Marvell’s speaker tries and fails, at 23-4, to escape).</w:t>
      </w:r>
      <w:r w:rsidR="0077139E">
        <w:rPr>
          <w:rStyle w:val="EndnoteReference"/>
        </w:rPr>
        <w:endnoteReference w:id="64"/>
      </w:r>
      <w:r w:rsidR="0077139E">
        <w:t xml:space="preserve"> Cavendish’s reappropriation of the blazon undermines Petrarchan convention in its comic displacement of the beloved, and her tone, both whimsical and impersonal, burlesques the dissecting scrutiny of masculine experiment. Yet her articulation of Nature which facilitates, at the same time, its disarticulation, also affords</w:t>
      </w:r>
      <w:r w:rsidR="008F6C00">
        <w:t xml:space="preserve"> a way to reconcile those two natures—the one, in all her particularity that is everywhere, and the other, the universal that loves to hide. </w:t>
      </w:r>
      <w:r w:rsidR="008F6C00" w:rsidRPr="008F6C00">
        <w:t xml:space="preserve">Or, to borrow the language of </w:t>
      </w:r>
      <w:r w:rsidR="008F6C00">
        <w:t xml:space="preserve">her </w:t>
      </w:r>
      <w:r w:rsidR="008F6C00" w:rsidRPr="008F6C00">
        <w:rPr>
          <w:i/>
          <w:iCs/>
        </w:rPr>
        <w:t>Philosophical Letters</w:t>
      </w:r>
      <w:r w:rsidR="008F6C00" w:rsidRPr="008F6C00">
        <w:t xml:space="preserve">, to depict nature as </w:t>
      </w:r>
      <w:r w:rsidR="008F6C00">
        <w:t>both</w:t>
      </w:r>
      <w:r w:rsidR="008F6C00" w:rsidRPr="008F6C00">
        <w:t xml:space="preserve"> one and many </w:t>
      </w:r>
      <w:r w:rsidR="008F6C00">
        <w:t>lets</w:t>
      </w:r>
      <w:r w:rsidR="008F6C00" w:rsidRPr="008F6C00">
        <w:t xml:space="preserve"> Cavendish bring together her </w:t>
      </w:r>
      <w:r w:rsidR="008F6C00">
        <w:t>“</w:t>
      </w:r>
      <w:r w:rsidR="008F6C00" w:rsidRPr="008F6C00">
        <w:t xml:space="preserve">several </w:t>
      </w:r>
      <w:proofErr w:type="spellStart"/>
      <w:r w:rsidR="008F6C00" w:rsidRPr="008F6C00">
        <w:t>kindes</w:t>
      </w:r>
      <w:proofErr w:type="spellEnd"/>
      <w:r w:rsidR="008F6C00" w:rsidRPr="008F6C00">
        <w:t xml:space="preserve"> of Infinites</w:t>
      </w:r>
      <w:r w:rsidR="008F6C00">
        <w:t>”</w:t>
      </w:r>
      <w:r w:rsidR="008F6C00" w:rsidRPr="008F6C00">
        <w:t xml:space="preserve">, including the </w:t>
      </w:r>
      <w:r w:rsidR="008F6C00">
        <w:t>“</w:t>
      </w:r>
      <w:r w:rsidR="008F6C00" w:rsidRPr="008F6C00">
        <w:t>Infinite in Magnitude</w:t>
      </w:r>
      <w:r w:rsidR="008F6C00">
        <w:t>”</w:t>
      </w:r>
      <w:r w:rsidR="008F6C00" w:rsidRPr="008F6C00">
        <w:t xml:space="preserve"> or bulk, and the </w:t>
      </w:r>
      <w:r w:rsidR="008F6C00">
        <w:t>“</w:t>
      </w:r>
      <w:r w:rsidR="008F6C00" w:rsidRPr="008F6C00">
        <w:t>Infinite in Multitude</w:t>
      </w:r>
      <w:r w:rsidR="008F6C00">
        <w:t>”</w:t>
      </w:r>
      <w:r w:rsidR="008F6C00" w:rsidRPr="008F6C00">
        <w:t xml:space="preserve"> or number.</w:t>
      </w:r>
      <w:r w:rsidR="008F6C00">
        <w:rPr>
          <w:rStyle w:val="EndnoteReference"/>
        </w:rPr>
        <w:endnoteReference w:id="65"/>
      </w:r>
      <w:r w:rsidR="008F6C00" w:rsidRPr="008F6C00">
        <w:t xml:space="preserve"> The unity she achieves takes the </w:t>
      </w:r>
      <w:r w:rsidR="008F6C00" w:rsidRPr="008F6C00">
        <w:lastRenderedPageBreak/>
        <w:t>form of a</w:t>
      </w:r>
      <w:r w:rsidR="00956513">
        <w:t xml:space="preserve"> seemingly</w:t>
      </w:r>
      <w:r w:rsidR="008F6C00" w:rsidRPr="008F6C00">
        <w:t xml:space="preserve"> </w:t>
      </w:r>
      <w:r w:rsidR="00AD6787">
        <w:t xml:space="preserve">protracted </w:t>
      </w:r>
      <w:r w:rsidR="008F6C00" w:rsidRPr="00956513">
        <w:t xml:space="preserve">personification which, in converting natural phenomena to elements of dress, </w:t>
      </w:r>
      <w:r w:rsidR="00956513">
        <w:t xml:space="preserve">leaves </w:t>
      </w:r>
      <w:r w:rsidR="008F6C00" w:rsidRPr="00956513">
        <w:t>Nature’s person</w:t>
      </w:r>
      <w:r w:rsidR="00956513">
        <w:t xml:space="preserve"> </w:t>
      </w:r>
      <w:r w:rsidR="008F6C00" w:rsidRPr="00956513">
        <w:t>impli</w:t>
      </w:r>
      <w:r w:rsidR="00956513">
        <w:t>cit</w:t>
      </w:r>
      <w:r w:rsidR="008F6C00" w:rsidRPr="00956513">
        <w:t xml:space="preserve"> and indistinct.</w:t>
      </w:r>
      <w:r w:rsidR="008F6C00" w:rsidRPr="008F6C00">
        <w:t xml:space="preserve"> </w:t>
      </w:r>
      <w:r w:rsidR="00956513">
        <w:t>Nature’s hair, for example, though mentioned on three occasions—</w:t>
      </w:r>
      <w:r w:rsidR="00AD6787">
        <w:t>star-</w:t>
      </w:r>
      <w:r w:rsidR="00956513">
        <w:t>studde</w:t>
      </w:r>
      <w:r w:rsidR="00AD6787">
        <w:t>d, snow-powdered,</w:t>
      </w:r>
      <w:r w:rsidR="00956513">
        <w:t xml:space="preserve"> and combed</w:t>
      </w:r>
      <w:r w:rsidR="00AD6787">
        <w:t xml:space="preserve"> (2;11-12)</w:t>
      </w:r>
      <w:r w:rsidR="00956513">
        <w:t xml:space="preserve">—is yet </w:t>
      </w:r>
      <w:r w:rsidR="00AD6787">
        <w:t>unelaborated</w:t>
      </w:r>
      <w:r w:rsidR="00956513">
        <w:t xml:space="preserve">. </w:t>
      </w:r>
      <w:r w:rsidR="00AD6787">
        <w:t xml:space="preserve">The fine “Veil” of light by which “her Creatures see” also obscures her face (13-14). </w:t>
      </w:r>
      <w:r w:rsidR="008F6C00" w:rsidRPr="008F6C00">
        <w:t xml:space="preserve">As with Marvell’s </w:t>
      </w:r>
      <w:r w:rsidR="008F6C00">
        <w:t>“</w:t>
      </w:r>
      <w:r w:rsidR="008F6C00" w:rsidRPr="008F6C00">
        <w:t>green though</w:t>
      </w:r>
      <w:r w:rsidR="008F6C00">
        <w:t>t</w:t>
      </w:r>
      <w:r w:rsidR="008F6C00" w:rsidRPr="008F6C00">
        <w:t>,</w:t>
      </w:r>
      <w:r w:rsidR="008F6C00">
        <w:t>”</w:t>
      </w:r>
      <w:r w:rsidR="008F6C00" w:rsidRPr="008F6C00">
        <w:t xml:space="preserve"> her universal preserves a fundamental mysteriousness</w:t>
      </w:r>
      <w:r w:rsidR="008F6C00">
        <w:t xml:space="preserve">; </w:t>
      </w:r>
      <w:r w:rsidR="008F6C00" w:rsidRPr="008F6C00">
        <w:t xml:space="preserve">but against the former, </w:t>
      </w:r>
      <w:r w:rsidR="008F6C00">
        <w:t>it proclaims</w:t>
      </w:r>
      <w:r w:rsidR="008F6C00" w:rsidRPr="008F6C00">
        <w:t xml:space="preserve"> itself </w:t>
      </w:r>
      <w:r w:rsidR="008F6C00">
        <w:t>the product of</w:t>
      </w:r>
      <w:r w:rsidR="008F6C00" w:rsidRPr="008F6C00">
        <w:t xml:space="preserve"> </w:t>
      </w:r>
      <w:r w:rsidR="008F6C00">
        <w:t>“</w:t>
      </w:r>
      <w:r w:rsidR="008F6C00" w:rsidRPr="008F6C00">
        <w:t>fancy,</w:t>
      </w:r>
      <w:r w:rsidR="008F6C00">
        <w:t>”</w:t>
      </w:r>
      <w:r w:rsidR="008F6C00" w:rsidRPr="008F6C00">
        <w:t xml:space="preserve"> whose </w:t>
      </w:r>
      <w:r w:rsidR="008F6C00">
        <w:t>“</w:t>
      </w:r>
      <w:r w:rsidR="008F6C00" w:rsidRPr="008F6C00">
        <w:t>end,</w:t>
      </w:r>
      <w:r w:rsidR="008F6C00">
        <w:t>”</w:t>
      </w:r>
      <w:r w:rsidR="008F6C00" w:rsidRPr="008F6C00">
        <w:t xml:space="preserve"> as Cavendish would explain in her prefatory letter to </w:t>
      </w:r>
      <w:r w:rsidR="008F6C00" w:rsidRPr="008F6C00">
        <w:rPr>
          <w:i/>
          <w:iCs/>
        </w:rPr>
        <w:t>The Blazing World,</w:t>
      </w:r>
      <w:r w:rsidR="008F6C00" w:rsidRPr="008F6C00">
        <w:t xml:space="preserve"> is not truth but </w:t>
      </w:r>
      <w:r w:rsidR="008F6C00">
        <w:t>“</w:t>
      </w:r>
      <w:r w:rsidR="008F6C00" w:rsidRPr="008F6C00">
        <w:t>fiction.</w:t>
      </w:r>
      <w:r w:rsidR="008F6C00">
        <w:t>”</w:t>
      </w:r>
      <w:r w:rsidR="008F6C00" w:rsidRPr="008F6C00">
        <w:t xml:space="preserve"> </w:t>
      </w:r>
      <w:r w:rsidR="00596197">
        <w:t>Our</w:t>
      </w:r>
      <w:r w:rsidR="00480C69">
        <w:t xml:space="preserve"> </w:t>
      </w:r>
      <w:r w:rsidR="008F6C00">
        <w:t>“F</w:t>
      </w:r>
      <w:r w:rsidR="008F6C00" w:rsidRPr="008F6C00">
        <w:t>ancy</w:t>
      </w:r>
      <w:r w:rsidR="008F6C00">
        <w:t>”</w:t>
      </w:r>
      <w:r w:rsidR="008F6C00" w:rsidRPr="008F6C00">
        <w:t xml:space="preserve"> </w:t>
      </w:r>
      <w:r w:rsidR="00480C69">
        <w:t>is</w:t>
      </w:r>
      <w:r w:rsidR="008F6C00">
        <w:t xml:space="preserve"> </w:t>
      </w:r>
      <w:r w:rsidR="008F6C00" w:rsidRPr="008F6C00">
        <w:t xml:space="preserve">not, she clarifies, irrational, being </w:t>
      </w:r>
      <w:r w:rsidR="00480C69">
        <w:t>“</w:t>
      </w:r>
      <w:r w:rsidR="008F6C00" w:rsidRPr="008F6C00">
        <w:t>made by the Rational parts of Matter</w:t>
      </w:r>
      <w:r w:rsidR="0096742B">
        <w:t>.</w:t>
      </w:r>
      <w:r w:rsidR="00480C69">
        <w:t>”</w:t>
      </w:r>
      <w:r w:rsidR="008F6C00" w:rsidRPr="008F6C00">
        <w:t xml:space="preserve"> </w:t>
      </w:r>
      <w:r w:rsidR="0096742B">
        <w:t>B</w:t>
      </w:r>
      <w:r w:rsidR="008F6C00" w:rsidRPr="008F6C00">
        <w:t>ut</w:t>
      </w:r>
      <w:r w:rsidR="0096742B">
        <w:t xml:space="preserve"> it is,</w:t>
      </w:r>
      <w:r w:rsidR="008F6C00" w:rsidRPr="008F6C00">
        <w:t xml:space="preserve"> </w:t>
      </w:r>
      <w:r w:rsidR="00480C69" w:rsidRPr="008F6C00">
        <w:t xml:space="preserve">as </w:t>
      </w:r>
      <w:r w:rsidR="00480C69">
        <w:t>“</w:t>
      </w:r>
      <w:r w:rsidR="00480C69" w:rsidRPr="008F6C00">
        <w:t>a voluntary creation or production of the Mind</w:t>
      </w:r>
      <w:r w:rsidR="0096742B">
        <w:t>,</w:t>
      </w:r>
      <w:r w:rsidR="00480C69">
        <w:t>”</w:t>
      </w:r>
      <w:r w:rsidR="0096742B">
        <w:t xml:space="preserve"> </w:t>
      </w:r>
      <w:r w:rsidR="008F6C00" w:rsidRPr="008F6C00">
        <w:t>more on the side of invention</w:t>
      </w:r>
      <w:r w:rsidR="00480C69">
        <w:t xml:space="preserve"> </w:t>
      </w:r>
      <w:r w:rsidR="008F6C00" w:rsidRPr="008F6C00">
        <w:t>than the enquiry into the causes of things associated with</w:t>
      </w:r>
      <w:r w:rsidR="0096742B">
        <w:t xml:space="preserve"> </w:t>
      </w:r>
      <w:r w:rsidR="00480C69">
        <w:t>“</w:t>
      </w:r>
      <w:r w:rsidR="008F6C00" w:rsidRPr="008F6C00">
        <w:t>Reason</w:t>
      </w:r>
      <w:r w:rsidR="008F6C00">
        <w:t>.</w:t>
      </w:r>
      <w:r w:rsidR="00480C69">
        <w:t>”</w:t>
      </w:r>
      <w:r w:rsidR="008F6C00">
        <w:rPr>
          <w:rStyle w:val="EndnoteReference"/>
        </w:rPr>
        <w:endnoteReference w:id="66"/>
      </w:r>
    </w:p>
    <w:p w14:paraId="7CB841C7" w14:textId="77777777" w:rsidR="005A2E09" w:rsidRDefault="005A2E09" w:rsidP="008F6C00">
      <w:pPr>
        <w:tabs>
          <w:tab w:val="left" w:pos="993"/>
        </w:tabs>
        <w:spacing w:line="480" w:lineRule="auto"/>
      </w:pPr>
    </w:p>
    <w:p w14:paraId="2D62257F" w14:textId="25FC4894" w:rsidR="005A2E09" w:rsidRDefault="005A2E09" w:rsidP="005A2E09">
      <w:pPr>
        <w:tabs>
          <w:tab w:val="left" w:pos="993"/>
        </w:tabs>
        <w:spacing w:line="480" w:lineRule="auto"/>
      </w:pPr>
      <w:r w:rsidRPr="005A2E09">
        <w:t xml:space="preserve">The ease with which </w:t>
      </w:r>
      <w:r>
        <w:t>“</w:t>
      </w:r>
      <w:r w:rsidRPr="005A2E09">
        <w:t>Nature’s Dress</w:t>
      </w:r>
      <w:r>
        <w:t>”</w:t>
      </w:r>
      <w:r w:rsidRPr="005A2E09">
        <w:t xml:space="preserve"> announces its fictiveness, one among other fancies, is essential to the open and aggregable quality of its depiction. The poet implies what she later inferred in </w:t>
      </w:r>
      <w:r w:rsidR="00F120C1">
        <w:t>the</w:t>
      </w:r>
      <w:r w:rsidRPr="005A2E09">
        <w:t xml:space="preserve"> </w:t>
      </w:r>
      <w:r w:rsidRPr="005A2E09">
        <w:rPr>
          <w:i/>
          <w:iCs/>
        </w:rPr>
        <w:t>Observations</w:t>
      </w:r>
      <w:r w:rsidRPr="005A2E09">
        <w:t xml:space="preserve"> (published together with her </w:t>
      </w:r>
      <w:r w:rsidRPr="005A2E09">
        <w:rPr>
          <w:i/>
          <w:iCs/>
        </w:rPr>
        <w:t>Blazing World</w:t>
      </w:r>
      <w:r w:rsidRPr="005A2E09">
        <w:t xml:space="preserve">); </w:t>
      </w:r>
      <w:r>
        <w:t>“</w:t>
      </w:r>
      <w:r w:rsidRPr="005A2E09">
        <w:t xml:space="preserve">that Experimental and </w:t>
      </w:r>
      <w:proofErr w:type="spellStart"/>
      <w:r w:rsidRPr="005A2E09">
        <w:t>Mechanick</w:t>
      </w:r>
      <w:proofErr w:type="spellEnd"/>
      <w:r w:rsidRPr="005A2E09">
        <w:t xml:space="preserve"> Philosophy cannot be above the Speculative part, by reason most Experiments have their rise from the Speculative.</w:t>
      </w:r>
      <w:r>
        <w:t>”</w:t>
      </w:r>
      <w:r>
        <w:rPr>
          <w:rStyle w:val="EndnoteReference"/>
        </w:rPr>
        <w:endnoteReference w:id="67"/>
      </w:r>
      <w:r w:rsidRPr="005A2E09">
        <w:t xml:space="preserve"> In certain respects, Cavendish manages, then, what Marvell could or </w:t>
      </w:r>
      <w:r>
        <w:t>would</w:t>
      </w:r>
      <w:r w:rsidRPr="005A2E09">
        <w:t xml:space="preserve"> not</w:t>
      </w:r>
      <w:r w:rsidR="00745829">
        <w:t>. S</w:t>
      </w:r>
      <w:r>
        <w:t xml:space="preserve">he </w:t>
      </w:r>
      <w:r w:rsidRPr="005A2E09">
        <w:t>mak</w:t>
      </w:r>
      <w:r>
        <w:t>es</w:t>
      </w:r>
      <w:r w:rsidRPr="005A2E09">
        <w:t xml:space="preserve"> </w:t>
      </w:r>
      <w:r>
        <w:t xml:space="preserve">a </w:t>
      </w:r>
      <w:r w:rsidRPr="005A2E09">
        <w:t>flexible universal with room for</w:t>
      </w:r>
      <w:r>
        <w:t xml:space="preserve"> change and f</w:t>
      </w:r>
      <w:r w:rsidR="00745829">
        <w:t xml:space="preserve">or </w:t>
      </w:r>
      <w:r w:rsidRPr="005A2E09">
        <w:t xml:space="preserve">other </w:t>
      </w:r>
      <w:r>
        <w:t>“</w:t>
      </w:r>
      <w:r w:rsidR="00745829">
        <w:t>C</w:t>
      </w:r>
      <w:r w:rsidRPr="005A2E09">
        <w:t>reatures</w:t>
      </w:r>
      <w:r w:rsidR="00F120C1">
        <w:t>,</w:t>
      </w:r>
      <w:r>
        <w:t>”</w:t>
      </w:r>
      <w:r w:rsidRPr="005A2E09">
        <w:t xml:space="preserve"> </w:t>
      </w:r>
      <w:r w:rsidR="00745829">
        <w:t xml:space="preserve">which </w:t>
      </w:r>
      <w:r w:rsidRPr="005A2E09">
        <w:t xml:space="preserve">arrive as if by surprise in the poem’s concluding line. Capaciously unspecific and unenumerated, </w:t>
      </w:r>
      <w:r w:rsidR="00745829">
        <w:t>Nature’s “Creatures”</w:t>
      </w:r>
      <w:r w:rsidRPr="005A2E09">
        <w:t xml:space="preserve"> include without being limited to humankind.</w:t>
      </w:r>
      <w:r w:rsidR="00F120C1">
        <w:rPr>
          <w:rStyle w:val="EndnoteReference"/>
        </w:rPr>
        <w:endnoteReference w:id="68"/>
      </w:r>
      <w:r w:rsidRPr="005A2E09">
        <w:t xml:space="preserve"> </w:t>
      </w:r>
      <w:r w:rsidR="00F120C1">
        <w:t>Crucially</w:t>
      </w:r>
      <w:r w:rsidRPr="005A2E09">
        <w:t xml:space="preserve">, they are not </w:t>
      </w:r>
      <w:proofErr w:type="spellStart"/>
      <w:r w:rsidRPr="005A2E09">
        <w:t>similized</w:t>
      </w:r>
      <w:proofErr w:type="spellEnd"/>
      <w:r w:rsidRPr="005A2E09">
        <w:t xml:space="preserve"> to an item of dress</w:t>
      </w:r>
      <w:r w:rsidR="00745829">
        <w:t>,</w:t>
      </w:r>
      <w:r w:rsidRPr="005A2E09">
        <w:t xml:space="preserve"> or ornament</w:t>
      </w:r>
      <w:r w:rsidR="00745829">
        <w:t>,</w:t>
      </w:r>
      <w:r w:rsidRPr="005A2E09">
        <w:t xml:space="preserve"> but perform instead an action—they </w:t>
      </w:r>
      <w:r w:rsidR="00745829">
        <w:t>“</w:t>
      </w:r>
      <w:r w:rsidRPr="005A2E09">
        <w:t>see in every place</w:t>
      </w:r>
      <w:r w:rsidR="00745829">
        <w:t>” (14).</w:t>
      </w:r>
      <w:r w:rsidRPr="005A2E09">
        <w:t xml:space="preserve"> Perhaps it is </w:t>
      </w:r>
      <w:r w:rsidR="0080391B">
        <w:t>some</w:t>
      </w:r>
      <w:r w:rsidRPr="005A2E09">
        <w:t xml:space="preserve"> of them by whom </w:t>
      </w:r>
      <w:r w:rsidR="00745829">
        <w:t>“</w:t>
      </w:r>
      <w:r w:rsidRPr="005A2E09">
        <w:t xml:space="preserve">the rainbow is like </w:t>
      </w:r>
      <w:proofErr w:type="spellStart"/>
      <w:r w:rsidRPr="005A2E09">
        <w:t>colo</w:t>
      </w:r>
      <w:r w:rsidR="00745829">
        <w:t>u</w:t>
      </w:r>
      <w:r w:rsidRPr="005A2E09">
        <w:t>r</w:t>
      </w:r>
      <w:r w:rsidR="00745829">
        <w:t>’</w:t>
      </w:r>
      <w:r w:rsidRPr="005A2E09">
        <w:t>d</w:t>
      </w:r>
      <w:proofErr w:type="spellEnd"/>
      <w:r w:rsidRPr="005A2E09">
        <w:t xml:space="preserve"> ribbons seen</w:t>
      </w:r>
      <w:r w:rsidR="00745829">
        <w:t>” (10).</w:t>
      </w:r>
      <w:r w:rsidR="00CD7AF0">
        <w:t xml:space="preserve"> But </w:t>
      </w:r>
      <w:r w:rsidR="00D075FE">
        <w:t>Cavendish’s introduction of these</w:t>
      </w:r>
      <w:r w:rsidRPr="005A2E09">
        <w:t xml:space="preserve"> </w:t>
      </w:r>
      <w:r w:rsidRPr="005A2E09">
        <w:lastRenderedPageBreak/>
        <w:t>creatures on their own</w:t>
      </w:r>
      <w:r w:rsidR="00D075FE">
        <w:t xml:space="preserve"> </w:t>
      </w:r>
      <w:r w:rsidRPr="005A2E09">
        <w:t xml:space="preserve">risks ruining </w:t>
      </w:r>
      <w:r w:rsidR="0073597C">
        <w:t>the</w:t>
      </w:r>
      <w:r w:rsidRPr="005A2E09">
        <w:t xml:space="preserve"> </w:t>
      </w:r>
      <w:r w:rsidR="0073597C">
        <w:t xml:space="preserve">poem’s </w:t>
      </w:r>
      <w:r w:rsidRPr="005A2E09">
        <w:t xml:space="preserve">conceit. The creatures bristle against the </w:t>
      </w:r>
      <w:r w:rsidR="00CD7AF0">
        <w:t>unity</w:t>
      </w:r>
      <w:r w:rsidRPr="005A2E09">
        <w:t xml:space="preserve"> of Nature’s form, and yet are said to belong to her, included among her parts as wholes. </w:t>
      </w:r>
      <w:r w:rsidR="00CD7AF0">
        <w:t>As a result</w:t>
      </w:r>
      <w:r w:rsidRPr="005A2E09">
        <w:t xml:space="preserve">, these seeing creatures both end and unravel the poem, acting at once as pieces and producers of a universal Nature which may, they suggest, continue and change. </w:t>
      </w:r>
      <w:r w:rsidR="00CD7AF0">
        <w:t>Indeed, t</w:t>
      </w:r>
      <w:r w:rsidRPr="005A2E09">
        <w:t>h</w:t>
      </w:r>
      <w:r w:rsidR="00FA764A">
        <w:t>e</w:t>
      </w:r>
      <w:r w:rsidRPr="005A2E09">
        <w:t xml:space="preserve"> form</w:t>
      </w:r>
      <w:r w:rsidR="00FA764A">
        <w:t xml:space="preserve"> of this “fancy”</w:t>
      </w:r>
      <w:r w:rsidRPr="005A2E09">
        <w:t xml:space="preserve">—a sequence of seven couplets, undisposed into stanzas, each of which is also a period— offers little incentive to stop. </w:t>
      </w:r>
    </w:p>
    <w:p w14:paraId="377F21F3" w14:textId="77777777" w:rsidR="00FA764A" w:rsidRDefault="00FA764A" w:rsidP="005A2E09">
      <w:pPr>
        <w:tabs>
          <w:tab w:val="left" w:pos="993"/>
        </w:tabs>
        <w:spacing w:line="480" w:lineRule="auto"/>
      </w:pPr>
    </w:p>
    <w:p w14:paraId="404C63AF" w14:textId="7041B8C8" w:rsidR="00FA764A" w:rsidRDefault="00FA764A" w:rsidP="00FA764A">
      <w:pPr>
        <w:tabs>
          <w:tab w:val="left" w:pos="993"/>
        </w:tabs>
        <w:spacing w:line="480" w:lineRule="auto"/>
      </w:pPr>
      <w:r w:rsidRPr="00FA764A">
        <w:t>Against the reductive propensity of Marvell’s speaker who finds, in his paradise, no place for human difference precisely for how it baffles the accomplishment of the universal, Cavendish p</w:t>
      </w:r>
      <w:r w:rsidR="00F66DB3">
        <w:t>osits</w:t>
      </w:r>
      <w:r w:rsidRPr="00FA764A">
        <w:t xml:space="preserve"> a sprawling</w:t>
      </w:r>
      <w:r w:rsidR="00F66DB3">
        <w:t>,</w:t>
      </w:r>
      <w:r w:rsidRPr="00FA764A">
        <w:t xml:space="preserve"> speculative account, accommodating nature’s creatures even as she fails to </w:t>
      </w:r>
      <w:r w:rsidR="00F66DB3">
        <w:t>too-</w:t>
      </w:r>
      <w:r w:rsidRPr="00FA764A">
        <w:t xml:space="preserve">thoroughly subsume them into her personification. In this early poem, what she describes elsewhere as </w:t>
      </w:r>
      <w:r w:rsidR="00F66DB3">
        <w:t>“</w:t>
      </w:r>
      <w:r w:rsidRPr="00FA764A">
        <w:t>Infinite Creatures</w:t>
      </w:r>
      <w:r w:rsidR="00F66DB3">
        <w:t>”</w:t>
      </w:r>
      <w:r w:rsidRPr="00FA764A">
        <w:t xml:space="preserve">—compared to individual thoughts—have yet to be reconciled </w:t>
      </w:r>
      <w:r w:rsidR="00F66DB3">
        <w:t>with</w:t>
      </w:r>
      <w:r w:rsidRPr="00FA764A">
        <w:t xml:space="preserve"> Nature as a whole, but remain as parts and participants, reaching toward futures in which they might be. Put this way, it may be tempting to privilege Cavendish’s model</w:t>
      </w:r>
      <w:r w:rsidR="00F66DB3">
        <w:t>,</w:t>
      </w:r>
      <w:r w:rsidRPr="00FA764A">
        <w:t xml:space="preserve"> which would enshrine proliferation</w:t>
      </w:r>
      <w:r w:rsidR="00F66DB3">
        <w:t>,</w:t>
      </w:r>
      <w:r w:rsidRPr="00FA764A">
        <w:t xml:space="preserve"> over Marvell’s which craves its resolution, retrieving that question about the ethical import of endlessness, and the violence of ends, with which we began. But it is worth asking whether such an emphasis on fancy’s radical independence, by which </w:t>
      </w:r>
      <w:r w:rsidR="00F66DB3">
        <w:t>“</w:t>
      </w:r>
      <w:r w:rsidRPr="00FA764A">
        <w:t>man… in his own Mind</w:t>
      </w:r>
      <w:r w:rsidR="00F66DB3">
        <w:t>”</w:t>
      </w:r>
      <w:r w:rsidRPr="00FA764A">
        <w:t xml:space="preserve"> may frame ideas </w:t>
      </w:r>
      <w:r w:rsidR="00F66DB3">
        <w:t>“</w:t>
      </w:r>
      <w:r w:rsidRPr="00FA764A">
        <w:t>according as he pleases, without regard whether the thing he fancies be really existent without his own mind or not,</w:t>
      </w:r>
      <w:r w:rsidR="00F66DB3">
        <w:t xml:space="preserve">” </w:t>
      </w:r>
      <w:r w:rsidRPr="00FA764A">
        <w:t xml:space="preserve">is necessarily liberatory; whether </w:t>
      </w:r>
      <w:r w:rsidR="001166AF">
        <w:t>a</w:t>
      </w:r>
      <w:r w:rsidRPr="00FA764A">
        <w:t xml:space="preserve"> just response to nature’s infinities is one that is broadly additive, an assertion of the corresponding imaginative capacities of individual minds.</w:t>
      </w:r>
      <w:r w:rsidR="00F66DB3">
        <w:rPr>
          <w:rStyle w:val="EndnoteReference"/>
        </w:rPr>
        <w:endnoteReference w:id="69"/>
      </w:r>
      <w:r w:rsidRPr="00FA764A">
        <w:t xml:space="preserve"> Reassessing </w:t>
      </w:r>
      <w:r w:rsidRPr="00FA764A">
        <w:rPr>
          <w:i/>
          <w:iCs/>
        </w:rPr>
        <w:t>The Blazing World,</w:t>
      </w:r>
      <w:r w:rsidRPr="00FA764A">
        <w:t xml:space="preserve"> Tessie </w:t>
      </w:r>
      <w:proofErr w:type="spellStart"/>
      <w:r w:rsidRPr="00FA764A">
        <w:t>Prakas</w:t>
      </w:r>
      <w:proofErr w:type="spellEnd"/>
      <w:r w:rsidRPr="00FA764A">
        <w:t xml:space="preserve"> demonstrates how its avowal of fancy’s unqualified innovation is not only slickly assimilable to conceptions of absolute authority, but also sustained</w:t>
      </w:r>
      <w:r w:rsidR="00596197">
        <w:t xml:space="preserve"> </w:t>
      </w:r>
      <w:r w:rsidRPr="00FA764A">
        <w:t xml:space="preserve">by </w:t>
      </w:r>
      <w:r w:rsidR="00A97373">
        <w:t xml:space="preserve">worldly </w:t>
      </w:r>
      <w:r w:rsidRPr="00FA764A">
        <w:t>subjugation, for instance</w:t>
      </w:r>
      <w:r w:rsidR="00596197">
        <w:t>,</w:t>
      </w:r>
      <w:r w:rsidRPr="00FA764A">
        <w:t xml:space="preserve"> the </w:t>
      </w:r>
      <w:r w:rsidRPr="00FA764A">
        <w:lastRenderedPageBreak/>
        <w:t xml:space="preserve">Emperess’s military assault on </w:t>
      </w:r>
      <w:r w:rsidR="00596197">
        <w:t>“</w:t>
      </w:r>
      <w:r w:rsidRPr="00FA764A">
        <w:t>smaller towns</w:t>
      </w:r>
      <w:r w:rsidR="00A53BC9">
        <w:t>,</w:t>
      </w:r>
      <w:r w:rsidR="00596197">
        <w:t>”</w:t>
      </w:r>
      <w:r w:rsidRPr="00FA764A">
        <w:t xml:space="preserve"> which produces widespread </w:t>
      </w:r>
      <w:r w:rsidR="00596197">
        <w:t>“</w:t>
      </w:r>
      <w:r w:rsidRPr="00FA764A">
        <w:t>Terror</w:t>
      </w:r>
      <w:r w:rsidR="00596197">
        <w:t>”</w:t>
      </w:r>
      <w:r w:rsidRPr="00FA764A">
        <w:t xml:space="preserve"> and eventual compliance with her desires.</w:t>
      </w:r>
      <w:r w:rsidR="00596197">
        <w:rPr>
          <w:rStyle w:val="EndnoteReference"/>
        </w:rPr>
        <w:endnoteReference w:id="70"/>
      </w:r>
    </w:p>
    <w:p w14:paraId="44055328" w14:textId="77777777" w:rsidR="00F33923" w:rsidRDefault="00F33923" w:rsidP="00FA764A">
      <w:pPr>
        <w:tabs>
          <w:tab w:val="left" w:pos="993"/>
        </w:tabs>
        <w:spacing w:line="480" w:lineRule="auto"/>
      </w:pPr>
    </w:p>
    <w:p w14:paraId="70569BCA" w14:textId="3E5B0AD6" w:rsidR="004C6809" w:rsidRPr="00A459BF" w:rsidRDefault="00F33923" w:rsidP="004C6809">
      <w:pPr>
        <w:tabs>
          <w:tab w:val="left" w:pos="993"/>
        </w:tabs>
        <w:spacing w:line="480" w:lineRule="auto"/>
      </w:pPr>
      <w:r w:rsidRPr="00F33923">
        <w:t xml:space="preserve">The worldmaking of </w:t>
      </w:r>
      <w:r>
        <w:t>“</w:t>
      </w:r>
      <w:r w:rsidRPr="00F33923">
        <w:t>Nature’s Dress</w:t>
      </w:r>
      <w:r>
        <w:t>”</w:t>
      </w:r>
      <w:r w:rsidRPr="00F33923">
        <w:t xml:space="preserve"> is plainly different in </w:t>
      </w:r>
      <w:r w:rsidR="00502332">
        <w:t>genre and scale</w:t>
      </w:r>
      <w:r w:rsidRPr="00F33923">
        <w:t xml:space="preserve">, and we might miss, in </w:t>
      </w:r>
      <w:r w:rsidR="0080391B">
        <w:t>its</w:t>
      </w:r>
      <w:r w:rsidRPr="00F33923">
        <w:t xml:space="preserve"> catalogue of natural entities in iterative couplets, the strange intrusion of </w:t>
      </w:r>
      <w:r w:rsidR="002548E1">
        <w:t>“G</w:t>
      </w:r>
      <w:r w:rsidRPr="00F33923">
        <w:t xml:space="preserve">old and </w:t>
      </w:r>
      <w:r w:rsidR="002548E1">
        <w:t>S</w:t>
      </w:r>
      <w:r w:rsidRPr="00F33923">
        <w:t>ilver</w:t>
      </w:r>
      <w:r w:rsidR="002548E1">
        <w:t>-</w:t>
      </w:r>
      <w:r w:rsidRPr="00F33923">
        <w:t xml:space="preserve">mines, </w:t>
      </w:r>
      <w:r w:rsidR="002548E1">
        <w:t>S</w:t>
      </w:r>
      <w:r w:rsidRPr="00F33923">
        <w:t xml:space="preserve">hoes for her </w:t>
      </w:r>
      <w:r w:rsidR="002548E1">
        <w:t>F</w:t>
      </w:r>
      <w:r w:rsidRPr="00F33923">
        <w:t>eet</w:t>
      </w:r>
      <w:r w:rsidR="002548E1">
        <w:t>”</w:t>
      </w:r>
      <w:r w:rsidR="00A97373">
        <w:t xml:space="preserve"> (7)</w:t>
      </w:r>
      <w:r w:rsidRPr="00F33923">
        <w:t xml:space="preserve">. Brief though it may be, the line reveals how Cavendish’s fancy does not </w:t>
      </w:r>
      <w:r w:rsidR="002548E1" w:rsidRPr="00F33923">
        <w:t>elude</w:t>
      </w:r>
      <w:r w:rsidR="002548E1">
        <w:t xml:space="preserve"> but upholds</w:t>
      </w:r>
      <w:r w:rsidRPr="00F33923">
        <w:t xml:space="preserve"> specific constraints of the given. Naturalized is the colonial mining of precious metals, and the conquest of the Americas and enslaved and drafted labour of African and Native American populations on which it rest</w:t>
      </w:r>
      <w:r w:rsidR="00A97373">
        <w:t>s</w:t>
      </w:r>
      <w:r w:rsidRPr="00F33923">
        <w:t>.</w:t>
      </w:r>
      <w:r w:rsidR="002548E1">
        <w:rPr>
          <w:rStyle w:val="EndnoteReference"/>
        </w:rPr>
        <w:endnoteReference w:id="71"/>
      </w:r>
      <w:r w:rsidR="00A97373">
        <w:t xml:space="preserve"> Appearing mid-way through the poem, imperial activity is both central to Nature’s picture and that on which </w:t>
      </w:r>
      <w:r w:rsidR="003C32EB">
        <w:t>it</w:t>
      </w:r>
      <w:r w:rsidR="00A97373">
        <w:t xml:space="preserve"> stands. </w:t>
      </w:r>
      <w:r w:rsidR="003C32EB">
        <w:t>More obviously, it is</w:t>
      </w:r>
      <w:r w:rsidR="00A97373">
        <w:t xml:space="preserve"> </w:t>
      </w:r>
      <w:r w:rsidR="002C5F23">
        <w:t>difficult</w:t>
      </w:r>
      <w:r w:rsidR="00072BAF">
        <w:t xml:space="preserve"> </w:t>
      </w:r>
      <w:r w:rsidR="00A97373">
        <w:t>not to view the lavish articles of “Nature’s Dress”—</w:t>
      </w:r>
      <w:r w:rsidR="003C32EB">
        <w:t>her</w:t>
      </w:r>
      <w:r w:rsidR="00A97373">
        <w:t xml:space="preserve"> </w:t>
      </w:r>
      <w:r w:rsidR="003C32EB">
        <w:t>luminous</w:t>
      </w:r>
      <w:r w:rsidR="00A97373">
        <w:t xml:space="preserve"> crown, </w:t>
      </w:r>
      <w:r w:rsidR="00502332">
        <w:t>her</w:t>
      </w:r>
      <w:r w:rsidR="003C32EB">
        <w:t xml:space="preserve"> </w:t>
      </w:r>
      <w:r w:rsidR="00A97373">
        <w:t>glittering bracelets—in connection with Cavendish’s</w:t>
      </w:r>
      <w:r w:rsidR="00072BAF">
        <w:t xml:space="preserve"> </w:t>
      </w:r>
      <w:r w:rsidR="00A773E5">
        <w:t>avowed</w:t>
      </w:r>
      <w:r w:rsidR="003C32EB">
        <w:t xml:space="preserve"> “delight</w:t>
      </w:r>
      <w:r w:rsidR="00471FE7">
        <w:t xml:space="preserve"> in</w:t>
      </w:r>
      <w:r w:rsidR="003C32EB">
        <w:t>…</w:t>
      </w:r>
      <w:r w:rsidR="00471FE7">
        <w:t xml:space="preserve">the variety of fine clothes” and “such toys as only were to adorn [her] person.” </w:t>
      </w:r>
      <w:r w:rsidR="005F4216">
        <w:t>Being</w:t>
      </w:r>
      <w:r w:rsidR="00471FE7">
        <w:t xml:space="preserve"> bedecked with herself, Nature evokes the “singularity” so carefully cultivated by </w:t>
      </w:r>
      <w:r w:rsidR="005F4216">
        <w:t>the Duchess</w:t>
      </w:r>
      <w:r w:rsidR="00EE7F94">
        <w:t xml:space="preserve"> of Newcastle</w:t>
      </w:r>
      <w:r w:rsidR="00324F82">
        <w:t xml:space="preserve"> and</w:t>
      </w:r>
      <w:r w:rsidR="00471FE7">
        <w:t xml:space="preserve"> cited by her admirers and detractors alike.</w:t>
      </w:r>
      <w:r w:rsidR="00471FE7">
        <w:rPr>
          <w:rStyle w:val="EndnoteReference"/>
        </w:rPr>
        <w:endnoteReference w:id="72"/>
      </w:r>
      <w:r w:rsidR="00471FE7">
        <w:t xml:space="preserve"> Katharine Landers has shown how Cavendish</w:t>
      </w:r>
      <w:r w:rsidR="002C5F23">
        <w:t xml:space="preserve"> hardens the link between singularity and the nobility in dramatic characters </w:t>
      </w:r>
      <w:r w:rsidR="00A15A35">
        <w:t>(</w:t>
      </w:r>
      <w:r w:rsidR="002C5F23">
        <w:t xml:space="preserve">Lady </w:t>
      </w:r>
      <w:proofErr w:type="spellStart"/>
      <w:r w:rsidR="002C5F23">
        <w:t>Sanpareille</w:t>
      </w:r>
      <w:proofErr w:type="spellEnd"/>
      <w:r w:rsidR="00A15A35">
        <w:t>)</w:t>
      </w:r>
      <w:r w:rsidR="002C5F23">
        <w:t>, and how her</w:t>
      </w:r>
      <w:r w:rsidR="00A15A35">
        <w:t xml:space="preserve"> </w:t>
      </w:r>
      <w:r w:rsidR="00072BAF">
        <w:t>sartorial performance</w:t>
      </w:r>
      <w:r w:rsidR="002C5F23">
        <w:t xml:space="preserve"> </w:t>
      </w:r>
      <w:r w:rsidR="00471FE7">
        <w:t xml:space="preserve">both </w:t>
      </w:r>
      <w:r w:rsidR="002C5F23">
        <w:t>parade</w:t>
      </w:r>
      <w:r w:rsidR="00324F82">
        <w:t>s</w:t>
      </w:r>
      <w:r w:rsidR="00471FE7">
        <w:t xml:space="preserve"> and seek</w:t>
      </w:r>
      <w:r w:rsidR="00324F82">
        <w:t>s</w:t>
      </w:r>
      <w:r w:rsidR="00471FE7">
        <w:t xml:space="preserve"> to restrict aristocratic privilege based in lineal descent.</w:t>
      </w:r>
      <w:r w:rsidR="002C5F23">
        <w:rPr>
          <w:rStyle w:val="EndnoteReference"/>
        </w:rPr>
        <w:endnoteReference w:id="73"/>
      </w:r>
      <w:r w:rsidR="00DF5451">
        <w:t xml:space="preserve"> </w:t>
      </w:r>
      <w:r w:rsidR="002C5F23">
        <w:t xml:space="preserve">In this light, the relationship between Nature and </w:t>
      </w:r>
      <w:r w:rsidR="00D919A0">
        <w:t xml:space="preserve">“her Creatures” </w:t>
      </w:r>
      <w:r w:rsidR="00BE2CE9">
        <w:t>seems</w:t>
      </w:r>
      <w:r w:rsidR="00D919A0">
        <w:t xml:space="preserve"> less potentially reciprocal and more like </w:t>
      </w:r>
      <w:r w:rsidR="00EB0483">
        <w:t xml:space="preserve">that of the </w:t>
      </w:r>
      <w:r w:rsidR="00EB0483">
        <w:rPr>
          <w:i/>
          <w:iCs/>
        </w:rPr>
        <w:t>Philosophical Letters</w:t>
      </w:r>
      <w:r w:rsidR="00B02A08">
        <w:t xml:space="preserve">, where </w:t>
      </w:r>
      <w:r w:rsidR="00EB0483">
        <w:t xml:space="preserve">Nature is “the </w:t>
      </w:r>
      <w:proofErr w:type="spellStart"/>
      <w:r w:rsidR="00EB0483">
        <w:t>onely</w:t>
      </w:r>
      <w:proofErr w:type="spellEnd"/>
      <w:r w:rsidR="00EB0483">
        <w:t xml:space="preserve"> Mistress” engaged in “ordering her Infinite family…or particular Creatures” with “ease and facility</w:t>
      </w:r>
      <w:r w:rsidR="00B02A08">
        <w:t>.</w:t>
      </w:r>
      <w:r w:rsidR="00EB0483">
        <w:t>”</w:t>
      </w:r>
      <w:r w:rsidR="00B02A08">
        <w:t xml:space="preserve"> </w:t>
      </w:r>
      <w:r w:rsidR="00B02A08">
        <w:rPr>
          <w:rStyle w:val="EndnoteReference"/>
        </w:rPr>
        <w:endnoteReference w:id="74"/>
      </w:r>
      <w:r w:rsidR="00B02A08">
        <w:t xml:space="preserve"> </w:t>
      </w:r>
      <w:r w:rsidR="00ED377F">
        <w:t xml:space="preserve"> </w:t>
      </w:r>
      <w:r w:rsidR="00B02A08">
        <w:t>The</w:t>
      </w:r>
      <w:r w:rsidR="00EB0483">
        <w:t xml:space="preserve"> pun on “ordering”</w:t>
      </w:r>
      <w:r w:rsidR="002C7076">
        <w:t xml:space="preserve"> insists on </w:t>
      </w:r>
      <w:r w:rsidR="0094488B">
        <w:t xml:space="preserve">the </w:t>
      </w:r>
      <w:r w:rsidR="002C7076">
        <w:t xml:space="preserve">identity between </w:t>
      </w:r>
      <w:r w:rsidR="00955499">
        <w:t xml:space="preserve">the Mistress’s </w:t>
      </w:r>
      <w:r w:rsidR="004C6809">
        <w:t xml:space="preserve">command </w:t>
      </w:r>
      <w:r w:rsidR="002C7076">
        <w:t xml:space="preserve">and </w:t>
      </w:r>
      <w:r w:rsidR="00B02A08">
        <w:t>the</w:t>
      </w:r>
      <w:r w:rsidR="004C6809">
        <w:t xml:space="preserve"> arrangement</w:t>
      </w:r>
      <w:r w:rsidR="00B02A08">
        <w:t>s of the whole</w:t>
      </w:r>
      <w:r w:rsidR="004C6809">
        <w:t xml:space="preserve">. </w:t>
      </w:r>
      <w:r w:rsidR="00626244">
        <w:t>Such a view corresponds</w:t>
      </w:r>
      <w:r w:rsidR="00D04775">
        <w:t xml:space="preserve"> to</w:t>
      </w:r>
      <w:r w:rsidR="00626244">
        <w:t xml:space="preserve"> Marcy P. Lascano’s account of Cavendish’s “priority monism</w:t>
      </w:r>
      <w:r w:rsidR="00C77C22">
        <w:t>,</w:t>
      </w:r>
      <w:r w:rsidR="00626244">
        <w:t xml:space="preserve">” </w:t>
      </w:r>
      <w:r w:rsidR="00D04775">
        <w:lastRenderedPageBreak/>
        <w:t xml:space="preserve">wherein nature is an integrated system in which the whole is prior to its parts, </w:t>
      </w:r>
      <w:r w:rsidR="00C77C22">
        <w:t>and</w:t>
      </w:r>
      <w:r w:rsidR="00D04775">
        <w:t xml:space="preserve"> those parts are dependent on the whole.</w:t>
      </w:r>
      <w:r w:rsidR="00C77C22">
        <w:rPr>
          <w:rStyle w:val="EndnoteReference"/>
        </w:rPr>
        <w:endnoteReference w:id="75"/>
      </w:r>
      <w:r w:rsidR="00D04775">
        <w:t xml:space="preserve"> In both “Nature Calls a Counsel” and “Nature’s Dress”, the </w:t>
      </w:r>
      <w:r w:rsidR="0066137D">
        <w:t xml:space="preserve">unified </w:t>
      </w:r>
      <w:r w:rsidR="00D04775">
        <w:t>figure of Nature precedes</w:t>
      </w:r>
      <w:r w:rsidR="0073597C">
        <w:t xml:space="preserve"> and conditions</w:t>
      </w:r>
      <w:r w:rsidR="00D04775">
        <w:t xml:space="preserve"> the </w:t>
      </w:r>
      <w:r w:rsidR="00612A0D">
        <w:t>world</w:t>
      </w:r>
      <w:r w:rsidR="00D04775">
        <w:t xml:space="preserve"> to be made and the </w:t>
      </w:r>
      <w:r w:rsidR="00612A0D">
        <w:t>world</w:t>
      </w:r>
      <w:r w:rsidR="00D04775" w:rsidRPr="00612A0D">
        <w:t xml:space="preserve"> with which she is adorned.</w:t>
      </w:r>
      <w:r w:rsidR="00A459BF" w:rsidRPr="00612A0D">
        <w:t xml:space="preserve"> </w:t>
      </w:r>
      <w:r w:rsidR="00296636" w:rsidRPr="00612A0D">
        <w:t>Cavendish’s</w:t>
      </w:r>
      <w:r w:rsidR="00A459BF" w:rsidRPr="00612A0D">
        <w:t xml:space="preserve"> </w:t>
      </w:r>
      <w:r w:rsidR="00A459BF" w:rsidRPr="00612A0D">
        <w:rPr>
          <w:i/>
          <w:iCs/>
        </w:rPr>
        <w:t>Grounds of Natural Philosophy</w:t>
      </w:r>
      <w:r w:rsidR="00A459BF" w:rsidRPr="00612A0D">
        <w:t xml:space="preserve"> (1668)</w:t>
      </w:r>
      <w:r w:rsidR="00296636" w:rsidRPr="00612A0D">
        <w:t xml:space="preserve"> records a professed change of mind about the character of nature</w:t>
      </w:r>
      <w:r w:rsidR="009D5A0C">
        <w:t>. O</w:t>
      </w:r>
      <w:r w:rsidR="008B664C" w:rsidRPr="00612A0D">
        <w:t>nce of the opinion that</w:t>
      </w:r>
      <w:r w:rsidR="00AC49D0">
        <w:t xml:space="preserve"> “</w:t>
      </w:r>
      <w:r w:rsidR="00AC49D0" w:rsidRPr="00AC49D0">
        <w:t>Nature, because I</w:t>
      </w:r>
      <w:r w:rsidR="00AC49D0">
        <w:t>n</w:t>
      </w:r>
      <w:r w:rsidR="00AC49D0" w:rsidRPr="00AC49D0">
        <w:t>finite, could not know her Self</w:t>
      </w:r>
      <w:r w:rsidR="00AC49D0">
        <w:t>” and “could not have an Absolute Power over her own Parts</w:t>
      </w:r>
      <w:r w:rsidR="009D5A0C">
        <w:t>,</w:t>
      </w:r>
      <w:r w:rsidR="00AC49D0">
        <w:t>”</w:t>
      </w:r>
      <w:r w:rsidR="009D5A0C">
        <w:t xml:space="preserve"> because the infinite has no limit and hinders absoluteness, she has since reconsidered: </w:t>
      </w:r>
      <w:r w:rsidR="00AE4929">
        <w:t>as</w:t>
      </w:r>
      <w:r w:rsidR="009D5A0C">
        <w:t xml:space="preserve"> </w:t>
      </w:r>
      <w:r w:rsidR="00AE4929">
        <w:t>the</w:t>
      </w:r>
      <w:r w:rsidR="009D5A0C">
        <w:t xml:space="preserve"> “Infinite Parts must </w:t>
      </w:r>
      <w:r w:rsidR="002B7216" w:rsidRPr="002B7216">
        <w:t>of necessity be Self-knowing</w:t>
      </w:r>
      <w:r w:rsidR="002B7216">
        <w:t xml:space="preserve">” </w:t>
      </w:r>
      <w:r w:rsidR="002B7216" w:rsidRPr="002B7216">
        <w:t xml:space="preserve">and </w:t>
      </w:r>
      <w:r w:rsidR="002B7216">
        <w:t>“</w:t>
      </w:r>
      <w:r w:rsidR="002B7216" w:rsidRPr="002B7216">
        <w:t>are united in one Infinite Body</w:t>
      </w:r>
      <w:r w:rsidR="002B7216">
        <w:t>” (i.e. Nature</w:t>
      </w:r>
      <w:r w:rsidR="00AE4929">
        <w:t>’s</w:t>
      </w:r>
      <w:r w:rsidR="002B7216">
        <w:t>), “</w:t>
      </w:r>
      <w:r w:rsidR="002B7216" w:rsidRPr="002B7216">
        <w:t xml:space="preserve">Nature must have both an United </w:t>
      </w:r>
      <w:proofErr w:type="spellStart"/>
      <w:r w:rsidR="002B7216" w:rsidRPr="002B7216">
        <w:t>Knowledg</w:t>
      </w:r>
      <w:proofErr w:type="spellEnd"/>
      <w:r w:rsidR="002B7216" w:rsidRPr="002B7216">
        <w:t>, and an United Power</w:t>
      </w:r>
      <w:r w:rsidR="002B7216">
        <w:t>.”</w:t>
      </w:r>
      <w:r w:rsidR="002B7216">
        <w:rPr>
          <w:rStyle w:val="EndnoteReference"/>
        </w:rPr>
        <w:endnoteReference w:id="76"/>
      </w:r>
      <w:r w:rsidR="004C70EF">
        <w:t xml:space="preserve"> This late passage</w:t>
      </w:r>
      <w:r w:rsidR="00CE3111">
        <w:t xml:space="preserve"> relates the author’s eventual conclusion that unity resolves multiplicity</w:t>
      </w:r>
      <w:r w:rsidR="00143888">
        <w:t xml:space="preserve"> (without showing how), </w:t>
      </w:r>
      <w:r w:rsidR="00CE3111">
        <w:t>though it is complicated, as Liza Blak</w:t>
      </w:r>
      <w:r w:rsidR="00C75F91">
        <w:t xml:space="preserve">e </w:t>
      </w:r>
      <w:r w:rsidR="00143888">
        <w:t>writes</w:t>
      </w:r>
      <w:r w:rsidR="00CE3111">
        <w:t xml:space="preserve">, by the very </w:t>
      </w:r>
      <w:r w:rsidR="007C324D">
        <w:t>shift in knowledge it exhibits.</w:t>
      </w:r>
      <w:r w:rsidR="00A53F3C">
        <w:rPr>
          <w:rStyle w:val="EndnoteReference"/>
        </w:rPr>
        <w:endnoteReference w:id="77"/>
      </w:r>
      <w:r w:rsidR="007C324D">
        <w:t xml:space="preserve"> One the one hand,</w:t>
      </w:r>
      <w:r w:rsidR="002B08EF">
        <w:t xml:space="preserve"> the change of belief it </w:t>
      </w:r>
      <w:r w:rsidR="005A26B8">
        <w:t>chronicles</w:t>
      </w:r>
      <w:r w:rsidR="0094488B">
        <w:t xml:space="preserve"> </w:t>
      </w:r>
      <w:r w:rsidR="002B08EF">
        <w:t>interrogate</w:t>
      </w:r>
      <w:r w:rsidR="0094488B">
        <w:t>s</w:t>
      </w:r>
      <w:r w:rsidR="002B08EF">
        <w:t xml:space="preserve"> the notion </w:t>
      </w:r>
      <w:r w:rsidR="0094488B">
        <w:t xml:space="preserve">of </w:t>
      </w:r>
      <w:r w:rsidR="00A15A35">
        <w:t>unity</w:t>
      </w:r>
      <w:r w:rsidR="0094488B">
        <w:t xml:space="preserve"> </w:t>
      </w:r>
      <w:r w:rsidR="002B08EF">
        <w:t>at which it arrives</w:t>
      </w:r>
      <w:r w:rsidR="005A26B8">
        <w:t xml:space="preserve">; on the other, </w:t>
      </w:r>
      <w:r w:rsidR="0094488B">
        <w:t xml:space="preserve">it cunningly enacts, via rhetoric rather than logic, a model of united knowledge and power that can accommodate change. </w:t>
      </w:r>
      <w:r w:rsidR="00883EA7">
        <w:t>T</w:t>
      </w:r>
      <w:r w:rsidR="005A26B8">
        <w:t xml:space="preserve">he </w:t>
      </w:r>
      <w:r w:rsidR="0066137D">
        <w:t>implication</w:t>
      </w:r>
      <w:r w:rsidR="00883EA7">
        <w:t>, moreover,</w:t>
      </w:r>
      <w:r w:rsidR="005A26B8">
        <w:t xml:space="preserve"> that </w:t>
      </w:r>
      <w:r w:rsidR="0094488B">
        <w:t>Cavendish</w:t>
      </w:r>
      <w:r w:rsidR="005A26B8">
        <w:t xml:space="preserve"> ha</w:t>
      </w:r>
      <w:r w:rsidR="00955499">
        <w:t>s</w:t>
      </w:r>
      <w:r w:rsidR="0066137D">
        <w:t xml:space="preserve"> </w:t>
      </w:r>
      <w:r w:rsidR="005D7717">
        <w:t xml:space="preserve">only </w:t>
      </w:r>
      <w:r w:rsidR="0066137D">
        <w:t xml:space="preserve">recently </w:t>
      </w:r>
      <w:r w:rsidR="005A26B8">
        <w:t>settled on a model of Nature</w:t>
      </w:r>
      <w:r w:rsidR="005D7717">
        <w:t xml:space="preserve"> that privileges unity is </w:t>
      </w:r>
      <w:r w:rsidR="0066137D">
        <w:t xml:space="preserve">somewhat </w:t>
      </w:r>
      <w:r w:rsidR="005D7717">
        <w:t>undercut</w:t>
      </w:r>
      <w:r w:rsidR="00713410">
        <w:t xml:space="preserve"> by </w:t>
      </w:r>
      <w:r w:rsidR="0066137D">
        <w:t xml:space="preserve">that </w:t>
      </w:r>
      <w:r w:rsidR="00713410">
        <w:t>personified</w:t>
      </w:r>
      <w:r w:rsidR="0066137D">
        <w:t xml:space="preserve"> figure of her early poetry, which tends to be prior to her parts. </w:t>
      </w:r>
    </w:p>
    <w:p w14:paraId="6F81C2D8" w14:textId="77777777" w:rsidR="004C6809" w:rsidRPr="00F33923" w:rsidRDefault="004C6809" w:rsidP="004C6809">
      <w:pPr>
        <w:tabs>
          <w:tab w:val="left" w:pos="993"/>
        </w:tabs>
        <w:spacing w:line="480" w:lineRule="auto"/>
      </w:pPr>
    </w:p>
    <w:p w14:paraId="355DAFB5" w14:textId="75D61F07" w:rsidR="00F33923" w:rsidRPr="00F33923" w:rsidRDefault="00005D52" w:rsidP="00F33923">
      <w:pPr>
        <w:tabs>
          <w:tab w:val="left" w:pos="993"/>
        </w:tabs>
        <w:spacing w:line="480" w:lineRule="auto"/>
      </w:pPr>
      <w:r>
        <w:t xml:space="preserve">If the closing couplet of “Nature’s Dress” </w:t>
      </w:r>
      <w:r w:rsidR="00FB20C4">
        <w:t xml:space="preserve">offers </w:t>
      </w:r>
      <w:r>
        <w:t>some suggestion of</w:t>
      </w:r>
      <w:r w:rsidR="00CE3111">
        <w:t xml:space="preserve"> c</w:t>
      </w:r>
      <w:r>
        <w:t xml:space="preserve">reatures free to conceive of their own worlds and </w:t>
      </w:r>
      <w:r w:rsidR="00F33923" w:rsidRPr="00F33923">
        <w:t>contribute</w:t>
      </w:r>
      <w:r w:rsidR="00FB20C4">
        <w:t xml:space="preserve"> </w:t>
      </w:r>
      <w:r w:rsidR="00F33923" w:rsidRPr="00F33923">
        <w:t xml:space="preserve">to </w:t>
      </w:r>
      <w:r w:rsidR="0080391B">
        <w:t>nature’s</w:t>
      </w:r>
      <w:r w:rsidR="00F33923" w:rsidRPr="00F33923">
        <w:t xml:space="preserve"> infinite productions, </w:t>
      </w:r>
      <w:r w:rsidR="0080391B">
        <w:t>it is</w:t>
      </w:r>
      <w:r w:rsidR="00FB20C4">
        <w:t>, then,</w:t>
      </w:r>
      <w:r w:rsidR="0080391B">
        <w:t xml:space="preserve"> qualified by the impression of the whole. The generic “Creatures” are </w:t>
      </w:r>
      <w:r w:rsidR="00F16157">
        <w:t xml:space="preserve">patently different to singular “Nature”, to whom they belong. More importantly, Cavendish’s poem </w:t>
      </w:r>
      <w:r w:rsidR="00F33923" w:rsidRPr="00F33923">
        <w:t xml:space="preserve">equally </w:t>
      </w:r>
      <w:r w:rsidR="00F16157">
        <w:t>reveals</w:t>
      </w:r>
      <w:r w:rsidR="00F33923" w:rsidRPr="00F33923">
        <w:t xml:space="preserve"> how such individual imagining can be deployed to enforce existing structures of subjection. Indeed, the commemoration of human minds, each </w:t>
      </w:r>
      <w:r w:rsidR="00CD368D">
        <w:lastRenderedPageBreak/>
        <w:t>“</w:t>
      </w:r>
      <w:r w:rsidR="00F33923" w:rsidRPr="00F33923">
        <w:t>like an infinite Nature,</w:t>
      </w:r>
      <w:r w:rsidR="00CD368D">
        <w:t>”</w:t>
      </w:r>
      <w:r w:rsidR="00F33923" w:rsidRPr="00F33923">
        <w:t xml:space="preserve"> somewhat impedes the possibility of mutual endeavour, just as the </w:t>
      </w:r>
      <w:r w:rsidR="00FE5976">
        <w:t>(alleged)</w:t>
      </w:r>
      <w:r w:rsidR="00F33923" w:rsidRPr="00F33923">
        <w:t xml:space="preserve"> detachment of fancy from actuality </w:t>
      </w:r>
      <w:r w:rsidR="00FE5976">
        <w:t xml:space="preserve">would </w:t>
      </w:r>
      <w:r w:rsidR="00F33923" w:rsidRPr="00F33923">
        <w:t xml:space="preserve">prohibit it from achieving any effect in the world. </w:t>
      </w:r>
      <w:r w:rsidR="00FE5976">
        <w:t xml:space="preserve">By contrast, </w:t>
      </w:r>
      <w:r w:rsidR="00F33923" w:rsidRPr="00F33923">
        <w:t xml:space="preserve">Marvell’s preoccupation in </w:t>
      </w:r>
      <w:r w:rsidR="00FE5976">
        <w:t>“</w:t>
      </w:r>
      <w:r w:rsidR="00F33923" w:rsidRPr="00F33923">
        <w:t>The Garden,</w:t>
      </w:r>
      <w:r w:rsidR="00FE5976">
        <w:t>”</w:t>
      </w:r>
      <w:r w:rsidR="00F33923" w:rsidRPr="00F33923">
        <w:t xml:space="preserve"> with ends, even </w:t>
      </w:r>
      <w:r w:rsidR="00FE5976">
        <w:t xml:space="preserve">or </w:t>
      </w:r>
      <w:r w:rsidR="00F33923" w:rsidRPr="00F33923">
        <w:t xml:space="preserve">especially as he fails to establish them, discloses a deeper obligation to nature’s endlessness. The </w:t>
      </w:r>
      <w:r w:rsidR="00FE5976">
        <w:t>“</w:t>
      </w:r>
      <w:r w:rsidR="00F33923" w:rsidRPr="00F33923">
        <w:t>tacit self-judgment and self-mockery,</w:t>
      </w:r>
      <w:r w:rsidR="00FE5976">
        <w:t>”</w:t>
      </w:r>
      <w:r w:rsidR="00F33923" w:rsidRPr="00F33923">
        <w:t xml:space="preserve"> </w:t>
      </w:r>
      <w:r w:rsidR="00FB20C4">
        <w:t xml:space="preserve">saw </w:t>
      </w:r>
      <w:r w:rsidR="00F33923" w:rsidRPr="00F33923">
        <w:t xml:space="preserve">Everett, which </w:t>
      </w:r>
      <w:r w:rsidR="00FE5976">
        <w:t>undoes</w:t>
      </w:r>
      <w:r w:rsidR="00F33923" w:rsidRPr="00F33923">
        <w:t xml:space="preserve"> the garlands and abandons the songbird, </w:t>
      </w:r>
      <w:r w:rsidR="00FE5976">
        <w:t>“</w:t>
      </w:r>
      <w:r w:rsidR="00F33923" w:rsidRPr="00F33923">
        <w:t>forbidding an over-valuing of what [he] has made,</w:t>
      </w:r>
      <w:r w:rsidR="00FE5976">
        <w:t>”</w:t>
      </w:r>
      <w:r w:rsidR="00F33923" w:rsidRPr="00F33923">
        <w:t xml:space="preserve"> returns the poet and his readers</w:t>
      </w:r>
      <w:r w:rsidR="00FE5976">
        <w:t xml:space="preserve"> </w:t>
      </w:r>
      <w:r w:rsidR="00F33923" w:rsidRPr="00F33923">
        <w:t>to the world and the problem of how we relate to it.</w:t>
      </w:r>
      <w:r w:rsidR="00EA0D23">
        <w:rPr>
          <w:rStyle w:val="EndnoteReference"/>
        </w:rPr>
        <w:endnoteReference w:id="78"/>
      </w:r>
      <w:r w:rsidR="00EA0D23" w:rsidRPr="00F33923">
        <w:t xml:space="preserve"> </w:t>
      </w:r>
      <w:r w:rsidR="00F33923" w:rsidRPr="00F33923">
        <w:t xml:space="preserve">If  </w:t>
      </w:r>
      <w:r w:rsidR="00AA43F8">
        <w:t>“</w:t>
      </w:r>
      <w:r w:rsidR="00F33923" w:rsidRPr="00F33923">
        <w:t>a green thought</w:t>
      </w:r>
      <w:r w:rsidR="00AA43F8">
        <w:t xml:space="preserve">” </w:t>
      </w:r>
      <w:r w:rsidR="00F33923" w:rsidRPr="00F33923">
        <w:t xml:space="preserve">comes as some uniform product of </w:t>
      </w:r>
      <w:r w:rsidR="00AA43F8">
        <w:t>near-</w:t>
      </w:r>
      <w:r w:rsidR="00F33923" w:rsidRPr="00F33923">
        <w:t xml:space="preserve">annihilation, the essence or adversary of the wearying variety of </w:t>
      </w:r>
      <w:r w:rsidR="00DF25EA">
        <w:t>“</w:t>
      </w:r>
      <w:r w:rsidR="00F33923" w:rsidRPr="00F33923">
        <w:t>all that’s made,</w:t>
      </w:r>
      <w:r w:rsidR="00DF25EA">
        <w:t>”</w:t>
      </w:r>
      <w:r w:rsidR="00F33923" w:rsidRPr="00F33923">
        <w:t xml:space="preserve"> it invites nonetheless, through the shock of conjunction, a mutual experience of disjunction and, perhaps, a collective desire to reconcile its terms. </w:t>
      </w:r>
    </w:p>
    <w:p w14:paraId="7DFA8DE4" w14:textId="77777777" w:rsidR="00F33923" w:rsidRPr="00FA764A" w:rsidRDefault="00F33923" w:rsidP="00FA764A">
      <w:pPr>
        <w:tabs>
          <w:tab w:val="left" w:pos="993"/>
        </w:tabs>
        <w:spacing w:line="480" w:lineRule="auto"/>
      </w:pPr>
    </w:p>
    <w:p w14:paraId="4D9917FA" w14:textId="77777777" w:rsidR="00FA764A" w:rsidRPr="00FA764A" w:rsidRDefault="00FA764A" w:rsidP="00FA764A">
      <w:pPr>
        <w:tabs>
          <w:tab w:val="left" w:pos="993"/>
        </w:tabs>
        <w:spacing w:line="480" w:lineRule="auto"/>
      </w:pPr>
    </w:p>
    <w:p w14:paraId="5956CC68" w14:textId="77777777" w:rsidR="00FA764A" w:rsidRPr="005A2E09" w:rsidRDefault="00FA764A" w:rsidP="005A2E09">
      <w:pPr>
        <w:tabs>
          <w:tab w:val="left" w:pos="993"/>
        </w:tabs>
        <w:spacing w:line="480" w:lineRule="auto"/>
      </w:pPr>
    </w:p>
    <w:p w14:paraId="47CFF4E7" w14:textId="77777777" w:rsidR="005A2E09" w:rsidRPr="008F6C00" w:rsidRDefault="005A2E09" w:rsidP="008F6C00">
      <w:pPr>
        <w:tabs>
          <w:tab w:val="left" w:pos="993"/>
        </w:tabs>
        <w:spacing w:line="480" w:lineRule="auto"/>
      </w:pPr>
    </w:p>
    <w:p w14:paraId="2207B250" w14:textId="5E531A26" w:rsidR="00B30262" w:rsidRDefault="008F6C00" w:rsidP="008F6C00">
      <w:pPr>
        <w:tabs>
          <w:tab w:val="left" w:pos="993"/>
        </w:tabs>
        <w:spacing w:line="480" w:lineRule="auto"/>
      </w:pPr>
      <w:r>
        <w:t xml:space="preserve"> </w:t>
      </w:r>
    </w:p>
    <w:p w14:paraId="15B56C4C" w14:textId="08182FFE" w:rsidR="00442FDD" w:rsidRDefault="00442FDD" w:rsidP="008F6C00">
      <w:pPr>
        <w:tabs>
          <w:tab w:val="left" w:pos="993"/>
        </w:tabs>
        <w:spacing w:line="480" w:lineRule="auto"/>
      </w:pPr>
    </w:p>
    <w:p w14:paraId="1416BF3F" w14:textId="362DF9A7" w:rsidR="00B9363B" w:rsidRPr="00A52E88" w:rsidRDefault="00B9363B" w:rsidP="004F4457">
      <w:pPr>
        <w:spacing w:line="480" w:lineRule="auto"/>
      </w:pPr>
    </w:p>
    <w:sectPr w:rsidR="00B9363B" w:rsidRPr="00A52E88" w:rsidSect="00E60682">
      <w:footerReference w:type="even" r:id="rId7"/>
      <w:footerReference w:type="default" r:id="rId8"/>
      <w:endnotePr>
        <w:numFmt w:val="decimal"/>
      </w:endnotePr>
      <w:pgSz w:w="11906" w:h="16838"/>
      <w:pgMar w:top="1440" w:right="180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A8EB9" w14:textId="77777777" w:rsidR="008465BA" w:rsidRDefault="008465BA" w:rsidP="0018385F">
      <w:r>
        <w:separator/>
      </w:r>
    </w:p>
  </w:endnote>
  <w:endnote w:type="continuationSeparator" w:id="0">
    <w:p w14:paraId="40F86B2E" w14:textId="77777777" w:rsidR="008465BA" w:rsidRDefault="008465BA" w:rsidP="0018385F">
      <w:r>
        <w:continuationSeparator/>
      </w:r>
    </w:p>
  </w:endnote>
  <w:endnote w:id="1">
    <w:p w14:paraId="033171B4" w14:textId="784C8241" w:rsidR="00FC76A4" w:rsidRDefault="00FC76A4" w:rsidP="00EC63E7">
      <w:pPr>
        <w:pStyle w:val="EndnoteText"/>
        <w:spacing w:line="480" w:lineRule="auto"/>
        <w:rPr>
          <w:sz w:val="24"/>
          <w:szCs w:val="24"/>
        </w:rPr>
      </w:pPr>
      <w:r>
        <w:rPr>
          <w:sz w:val="24"/>
          <w:szCs w:val="24"/>
        </w:rPr>
        <w:t>I am grateful to Charlotte Newcombe</w:t>
      </w:r>
      <w:r w:rsidR="00E64BEC">
        <w:rPr>
          <w:sz w:val="24"/>
          <w:szCs w:val="24"/>
        </w:rPr>
        <w:t xml:space="preserve">, </w:t>
      </w:r>
      <w:r>
        <w:rPr>
          <w:sz w:val="24"/>
          <w:szCs w:val="24"/>
        </w:rPr>
        <w:t>Benjamin Parris</w:t>
      </w:r>
      <w:r w:rsidR="00E64BEC">
        <w:rPr>
          <w:sz w:val="24"/>
          <w:szCs w:val="24"/>
        </w:rPr>
        <w:t>, and the journal’s readers</w:t>
      </w:r>
      <w:r>
        <w:rPr>
          <w:sz w:val="24"/>
          <w:szCs w:val="24"/>
        </w:rPr>
        <w:t xml:space="preserve"> for their generous feedback on earlier versions of this essay. </w:t>
      </w:r>
    </w:p>
    <w:p w14:paraId="07C793E7" w14:textId="7389A951" w:rsidR="00842554" w:rsidRPr="0018385F" w:rsidRDefault="0018385F" w:rsidP="00EC63E7">
      <w:pPr>
        <w:pStyle w:val="EndnoteText"/>
        <w:spacing w:line="480" w:lineRule="auto"/>
        <w:rPr>
          <w:sz w:val="24"/>
          <w:szCs w:val="24"/>
        </w:rPr>
      </w:pPr>
      <w:r w:rsidRPr="0018385F">
        <w:rPr>
          <w:rStyle w:val="EndnoteReference"/>
          <w:sz w:val="24"/>
          <w:szCs w:val="24"/>
        </w:rPr>
        <w:endnoteRef/>
      </w:r>
      <w:r w:rsidRPr="0018385F">
        <w:rPr>
          <w:sz w:val="24"/>
          <w:szCs w:val="24"/>
        </w:rPr>
        <w:t xml:space="preserve"> Blaise Pascal, </w:t>
      </w:r>
      <w:r w:rsidRPr="0018385F">
        <w:rPr>
          <w:i/>
          <w:iCs/>
          <w:sz w:val="24"/>
          <w:szCs w:val="24"/>
        </w:rPr>
        <w:t>Pensées</w:t>
      </w:r>
      <w:r>
        <w:rPr>
          <w:sz w:val="24"/>
          <w:szCs w:val="24"/>
        </w:rPr>
        <w:t>,</w:t>
      </w:r>
      <w:r w:rsidRPr="0018385F">
        <w:rPr>
          <w:i/>
          <w:iCs/>
          <w:sz w:val="24"/>
          <w:szCs w:val="24"/>
        </w:rPr>
        <w:t xml:space="preserve"> </w:t>
      </w:r>
      <w:r w:rsidRPr="0018385F">
        <w:rPr>
          <w:sz w:val="24"/>
          <w:szCs w:val="24"/>
        </w:rPr>
        <w:t xml:space="preserve">in </w:t>
      </w:r>
      <w:r w:rsidRPr="0018385F">
        <w:rPr>
          <w:i/>
          <w:iCs/>
          <w:sz w:val="24"/>
          <w:szCs w:val="24"/>
        </w:rPr>
        <w:t>Pensées and Other Writings</w:t>
      </w:r>
      <w:r w:rsidRPr="0018385F">
        <w:rPr>
          <w:sz w:val="24"/>
          <w:szCs w:val="24"/>
        </w:rPr>
        <w:t>, tr. Honor Levi (Oxford University Press, 1995), 66-7, Sellier 230.</w:t>
      </w:r>
    </w:p>
  </w:endnote>
  <w:endnote w:id="2">
    <w:p w14:paraId="2718CD09" w14:textId="0D271BA3" w:rsidR="0018385F" w:rsidRPr="0018385F" w:rsidRDefault="0018385F" w:rsidP="00EC63E7">
      <w:pPr>
        <w:pStyle w:val="EndnoteText"/>
        <w:spacing w:line="480" w:lineRule="auto"/>
        <w:rPr>
          <w:sz w:val="24"/>
          <w:szCs w:val="24"/>
          <w:lang w:val="en-US"/>
        </w:rPr>
      </w:pPr>
      <w:r w:rsidRPr="0018385F">
        <w:rPr>
          <w:rStyle w:val="EndnoteReference"/>
          <w:sz w:val="24"/>
          <w:szCs w:val="24"/>
        </w:rPr>
        <w:endnoteRef/>
      </w:r>
      <w:r w:rsidRPr="0018385F">
        <w:rPr>
          <w:sz w:val="24"/>
          <w:szCs w:val="24"/>
        </w:rPr>
        <w:t xml:space="preserve"> Louis Marin “On the Sublime, Infinity, Je Ne Sais Quoi,” in </w:t>
      </w:r>
      <w:r w:rsidRPr="0018385F">
        <w:rPr>
          <w:i/>
          <w:iCs/>
          <w:sz w:val="24"/>
          <w:szCs w:val="24"/>
        </w:rPr>
        <w:t>A New History of French Literature</w:t>
      </w:r>
      <w:r w:rsidRPr="0018385F">
        <w:rPr>
          <w:sz w:val="24"/>
          <w:szCs w:val="24"/>
        </w:rPr>
        <w:t>, ed. Denis Holier (Harvard University Press, 1989), 340-45, 344-5.</w:t>
      </w:r>
    </w:p>
  </w:endnote>
  <w:endnote w:id="3">
    <w:p w14:paraId="35E94F32" w14:textId="54DF48EC" w:rsidR="0018385F" w:rsidRPr="0018385F" w:rsidRDefault="0018385F" w:rsidP="00EC63E7">
      <w:pPr>
        <w:pStyle w:val="EndnoteText"/>
        <w:spacing w:line="480" w:lineRule="auto"/>
        <w:rPr>
          <w:sz w:val="24"/>
          <w:szCs w:val="24"/>
          <w:lang w:val="en-US"/>
        </w:rPr>
      </w:pPr>
      <w:r w:rsidRPr="0018385F">
        <w:rPr>
          <w:rStyle w:val="EndnoteReference"/>
          <w:sz w:val="24"/>
          <w:szCs w:val="24"/>
        </w:rPr>
        <w:endnoteRef/>
      </w:r>
      <w:r w:rsidRPr="0018385F">
        <w:rPr>
          <w:sz w:val="24"/>
          <w:szCs w:val="24"/>
        </w:rPr>
        <w:t xml:space="preserve"> Pascal, </w:t>
      </w:r>
      <w:r w:rsidRPr="0018385F">
        <w:rPr>
          <w:i/>
          <w:iCs/>
          <w:sz w:val="24"/>
          <w:szCs w:val="24"/>
        </w:rPr>
        <w:t>Pensées</w:t>
      </w:r>
      <w:r w:rsidRPr="0018385F">
        <w:rPr>
          <w:sz w:val="24"/>
          <w:szCs w:val="24"/>
        </w:rPr>
        <w:t xml:space="preserve">, 68, Sellier 230. </w:t>
      </w:r>
    </w:p>
  </w:endnote>
  <w:endnote w:id="4">
    <w:p w14:paraId="3F7642BC" w14:textId="2857C701" w:rsidR="0018385F" w:rsidRPr="003C2A3E" w:rsidRDefault="0018385F" w:rsidP="00EC63E7">
      <w:pPr>
        <w:pStyle w:val="EndnoteText"/>
        <w:spacing w:line="480" w:lineRule="auto"/>
        <w:rPr>
          <w:sz w:val="24"/>
          <w:szCs w:val="24"/>
          <w:lang w:val="en-US"/>
        </w:rPr>
      </w:pPr>
      <w:r w:rsidRPr="0018385F">
        <w:rPr>
          <w:rStyle w:val="EndnoteReference"/>
          <w:sz w:val="24"/>
          <w:szCs w:val="24"/>
        </w:rPr>
        <w:endnoteRef/>
      </w:r>
      <w:r w:rsidRPr="0018385F">
        <w:rPr>
          <w:sz w:val="24"/>
          <w:szCs w:val="24"/>
        </w:rPr>
        <w:t xml:space="preserve"> Aristotle, </w:t>
      </w:r>
      <w:r w:rsidRPr="0018385F">
        <w:rPr>
          <w:i/>
          <w:iCs/>
          <w:sz w:val="24"/>
          <w:szCs w:val="24"/>
        </w:rPr>
        <w:t>Physics</w:t>
      </w:r>
      <w:r w:rsidRPr="0018385F">
        <w:rPr>
          <w:sz w:val="24"/>
          <w:szCs w:val="24"/>
        </w:rPr>
        <w:t xml:space="preserve">, ed. Jonathan Barnes, tr. R. P. Hardie and R. K. Gaye (Princeton University Press, 1991), III, 202b30-37: </w:t>
      </w:r>
      <w:r>
        <w:rPr>
          <w:sz w:val="24"/>
          <w:szCs w:val="24"/>
        </w:rPr>
        <w:t>“</w:t>
      </w:r>
      <w:r w:rsidRPr="0018385F">
        <w:rPr>
          <w:sz w:val="24"/>
          <w:szCs w:val="24"/>
        </w:rPr>
        <w:t>The science of nature is concerned with magnitudes and motion and time, and each of these is necessarily infinite or finite, even if some things are not, e.g. a quality or a point—it is not necessary perhaps that such things should be put under either head.</w:t>
      </w:r>
      <w:r>
        <w:rPr>
          <w:sz w:val="24"/>
          <w:szCs w:val="24"/>
        </w:rPr>
        <w:t>”</w:t>
      </w:r>
      <w:r w:rsidRPr="0018385F">
        <w:rPr>
          <w:sz w:val="24"/>
          <w:szCs w:val="24"/>
        </w:rPr>
        <w:t xml:space="preserve"> Of course, Aristotle goes on to assert </w:t>
      </w:r>
      <w:r w:rsidRPr="003C2A3E">
        <w:rPr>
          <w:sz w:val="24"/>
          <w:szCs w:val="24"/>
        </w:rPr>
        <w:t>that infinity has only “potential” rather than “actual” existence, but he nonetheless maintains that the concept’s proper domain is that of quantity. See 206a18-25.</w:t>
      </w:r>
    </w:p>
  </w:endnote>
  <w:endnote w:id="5">
    <w:p w14:paraId="298F11EB" w14:textId="69354C7B" w:rsidR="003C2A3E" w:rsidRPr="003C2A3E" w:rsidRDefault="003C2A3E" w:rsidP="00EC63E7">
      <w:pPr>
        <w:pStyle w:val="EndnoteText"/>
        <w:spacing w:line="480" w:lineRule="auto"/>
        <w:rPr>
          <w:sz w:val="24"/>
          <w:szCs w:val="24"/>
        </w:rPr>
      </w:pPr>
      <w:r w:rsidRPr="003C2A3E">
        <w:rPr>
          <w:rStyle w:val="EndnoteReference"/>
          <w:sz w:val="24"/>
          <w:szCs w:val="24"/>
        </w:rPr>
        <w:endnoteRef/>
      </w:r>
      <w:r w:rsidRPr="003C2A3E">
        <w:rPr>
          <w:sz w:val="24"/>
          <w:szCs w:val="24"/>
        </w:rPr>
        <w:t xml:space="preserve"> René Descartes, </w:t>
      </w:r>
      <w:r w:rsidRPr="003C2A3E">
        <w:rPr>
          <w:i/>
          <w:iCs/>
          <w:sz w:val="24"/>
          <w:szCs w:val="24"/>
        </w:rPr>
        <w:t>The Philosophical Writings of Descartes</w:t>
      </w:r>
      <w:r w:rsidRPr="003C2A3E">
        <w:rPr>
          <w:sz w:val="24"/>
          <w:szCs w:val="24"/>
        </w:rPr>
        <w:t xml:space="preserve">, tr. John Cottingham et al., 3 vols (Cambridge University Press, 1985), I:201. </w:t>
      </w:r>
    </w:p>
  </w:endnote>
  <w:endnote w:id="6">
    <w:p w14:paraId="7460129B" w14:textId="790B3F31" w:rsidR="003C2A3E" w:rsidRPr="009E21A4" w:rsidRDefault="003C2A3E" w:rsidP="00EC63E7">
      <w:pPr>
        <w:pStyle w:val="EndnoteText"/>
        <w:spacing w:line="480" w:lineRule="auto"/>
        <w:rPr>
          <w:sz w:val="24"/>
          <w:szCs w:val="24"/>
          <w:lang w:val="en-US"/>
        </w:rPr>
      </w:pPr>
      <w:r w:rsidRPr="003C2A3E">
        <w:rPr>
          <w:rStyle w:val="EndnoteReference"/>
          <w:sz w:val="24"/>
          <w:szCs w:val="24"/>
        </w:rPr>
        <w:endnoteRef/>
      </w:r>
      <w:r w:rsidRPr="003C2A3E">
        <w:rPr>
          <w:sz w:val="24"/>
          <w:szCs w:val="24"/>
        </w:rPr>
        <w:t xml:space="preserve"> Anat Schechtman</w:t>
      </w:r>
      <w:r>
        <w:rPr>
          <w:sz w:val="24"/>
          <w:szCs w:val="24"/>
        </w:rPr>
        <w:t>, “</w:t>
      </w:r>
      <w:r w:rsidRPr="003C2A3E">
        <w:rPr>
          <w:sz w:val="24"/>
          <w:szCs w:val="24"/>
        </w:rPr>
        <w:t>Three Infinities in Early Modern Philosophy,</w:t>
      </w:r>
      <w:r>
        <w:rPr>
          <w:sz w:val="24"/>
          <w:szCs w:val="24"/>
        </w:rPr>
        <w:t>”</w:t>
      </w:r>
      <w:r w:rsidRPr="003C2A3E">
        <w:rPr>
          <w:sz w:val="24"/>
          <w:szCs w:val="24"/>
        </w:rPr>
        <w:t xml:space="preserve"> </w:t>
      </w:r>
      <w:r w:rsidRPr="003C2A3E">
        <w:rPr>
          <w:i/>
          <w:iCs/>
          <w:sz w:val="24"/>
          <w:szCs w:val="24"/>
        </w:rPr>
        <w:t>Mind</w:t>
      </w:r>
      <w:r w:rsidRPr="003C2A3E">
        <w:rPr>
          <w:sz w:val="24"/>
          <w:szCs w:val="24"/>
        </w:rPr>
        <w:t xml:space="preserve"> 128</w:t>
      </w:r>
      <w:r>
        <w:rPr>
          <w:sz w:val="24"/>
          <w:szCs w:val="24"/>
        </w:rPr>
        <w:t xml:space="preserve">, no. </w:t>
      </w:r>
      <w:r w:rsidRPr="003C2A3E">
        <w:rPr>
          <w:sz w:val="24"/>
          <w:szCs w:val="24"/>
        </w:rPr>
        <w:t xml:space="preserve">512 (2019): 1117-47, esp. 1132. </w:t>
      </w:r>
      <w:r w:rsidR="00813921">
        <w:rPr>
          <w:sz w:val="24"/>
          <w:szCs w:val="24"/>
        </w:rPr>
        <w:t xml:space="preserve">The term is </w:t>
      </w:r>
      <w:r w:rsidRPr="003C2A3E">
        <w:rPr>
          <w:sz w:val="24"/>
          <w:szCs w:val="24"/>
        </w:rPr>
        <w:t>Schechtman</w:t>
      </w:r>
      <w:r w:rsidR="00813921">
        <w:rPr>
          <w:sz w:val="24"/>
          <w:szCs w:val="24"/>
        </w:rPr>
        <w:t>’s, who</w:t>
      </w:r>
      <w:r w:rsidRPr="003C2A3E">
        <w:rPr>
          <w:sz w:val="24"/>
          <w:szCs w:val="24"/>
        </w:rPr>
        <w:t xml:space="preserve"> usefully </w:t>
      </w:r>
      <w:r w:rsidR="00813921">
        <w:rPr>
          <w:sz w:val="24"/>
          <w:szCs w:val="24"/>
        </w:rPr>
        <w:t xml:space="preserve">compares </w:t>
      </w:r>
      <w:r w:rsidRPr="003C2A3E">
        <w:rPr>
          <w:sz w:val="24"/>
          <w:szCs w:val="24"/>
        </w:rPr>
        <w:t xml:space="preserve">Locke’s familiar quantitative account of infinity with what she </w:t>
      </w:r>
      <w:r w:rsidR="00813921">
        <w:rPr>
          <w:sz w:val="24"/>
          <w:szCs w:val="24"/>
        </w:rPr>
        <w:t>names</w:t>
      </w:r>
      <w:r w:rsidRPr="003C2A3E">
        <w:rPr>
          <w:sz w:val="24"/>
          <w:szCs w:val="24"/>
        </w:rPr>
        <w:t xml:space="preserve"> the </w:t>
      </w:r>
      <w:r>
        <w:rPr>
          <w:sz w:val="24"/>
          <w:szCs w:val="24"/>
        </w:rPr>
        <w:t>“</w:t>
      </w:r>
      <w:r w:rsidRPr="003C2A3E">
        <w:rPr>
          <w:sz w:val="24"/>
          <w:szCs w:val="24"/>
        </w:rPr>
        <w:t>ontic</w:t>
      </w:r>
      <w:r>
        <w:rPr>
          <w:sz w:val="24"/>
          <w:szCs w:val="24"/>
        </w:rPr>
        <w:t>”</w:t>
      </w:r>
      <w:r w:rsidRPr="003C2A3E">
        <w:rPr>
          <w:sz w:val="24"/>
          <w:szCs w:val="24"/>
        </w:rPr>
        <w:t xml:space="preserve"> infinity of Descartes, and the </w:t>
      </w:r>
      <w:r>
        <w:rPr>
          <w:sz w:val="24"/>
          <w:szCs w:val="24"/>
        </w:rPr>
        <w:t>“</w:t>
      </w:r>
      <w:r w:rsidRPr="003C2A3E">
        <w:rPr>
          <w:sz w:val="24"/>
          <w:szCs w:val="24"/>
        </w:rPr>
        <w:t>iterative</w:t>
      </w:r>
      <w:r>
        <w:rPr>
          <w:sz w:val="24"/>
          <w:szCs w:val="24"/>
        </w:rPr>
        <w:t>”</w:t>
      </w:r>
      <w:r w:rsidRPr="003C2A3E">
        <w:rPr>
          <w:sz w:val="24"/>
          <w:szCs w:val="24"/>
        </w:rPr>
        <w:t xml:space="preserve"> infinity of Leibniz, the latter both being qualitive notions of the concept.  </w:t>
      </w:r>
    </w:p>
  </w:endnote>
  <w:endnote w:id="7">
    <w:p w14:paraId="556B3364" w14:textId="58046F85" w:rsidR="009E21A4" w:rsidRPr="0024698F" w:rsidRDefault="009E21A4" w:rsidP="00EC63E7">
      <w:pPr>
        <w:pStyle w:val="FootnoteText"/>
        <w:spacing w:line="480" w:lineRule="auto"/>
        <w:rPr>
          <w:sz w:val="24"/>
          <w:szCs w:val="24"/>
          <w:lang w:val="en-US"/>
        </w:rPr>
      </w:pPr>
      <w:r w:rsidRPr="00D6152C">
        <w:rPr>
          <w:rStyle w:val="EndnoteReference"/>
          <w:sz w:val="24"/>
          <w:szCs w:val="24"/>
        </w:rPr>
        <w:endnoteRef/>
      </w:r>
      <w:r w:rsidRPr="00D6152C">
        <w:rPr>
          <w:sz w:val="24"/>
          <w:szCs w:val="24"/>
        </w:rPr>
        <w:t xml:space="preserve"> Pascal, </w:t>
      </w:r>
      <w:r w:rsidRPr="00D6152C">
        <w:rPr>
          <w:i/>
          <w:iCs/>
          <w:sz w:val="24"/>
          <w:szCs w:val="24"/>
        </w:rPr>
        <w:t>Pensées</w:t>
      </w:r>
      <w:r w:rsidRPr="00D6152C">
        <w:rPr>
          <w:sz w:val="24"/>
          <w:szCs w:val="24"/>
        </w:rPr>
        <w:t>, 69, Sellier 230; 73, Sellier 232.</w:t>
      </w:r>
    </w:p>
  </w:endnote>
  <w:endnote w:id="8">
    <w:p w14:paraId="7FE20500" w14:textId="3D3720ED" w:rsidR="0024698F" w:rsidRPr="00556698" w:rsidRDefault="00D6152C" w:rsidP="00EC63E7">
      <w:pPr>
        <w:pStyle w:val="FootnoteText"/>
        <w:spacing w:line="480" w:lineRule="auto"/>
        <w:rPr>
          <w:sz w:val="24"/>
          <w:szCs w:val="24"/>
        </w:rPr>
      </w:pPr>
      <w:r w:rsidRPr="0024698F">
        <w:rPr>
          <w:rStyle w:val="EndnoteReference"/>
          <w:sz w:val="24"/>
          <w:szCs w:val="24"/>
        </w:rPr>
        <w:endnoteRef/>
      </w:r>
      <w:r w:rsidRPr="0024698F">
        <w:rPr>
          <w:sz w:val="24"/>
          <w:szCs w:val="24"/>
        </w:rPr>
        <w:t xml:space="preserve"> </w:t>
      </w:r>
      <w:r w:rsidRPr="00556698">
        <w:rPr>
          <w:sz w:val="24"/>
          <w:szCs w:val="24"/>
        </w:rPr>
        <w:t xml:space="preserve">See Aristotle, </w:t>
      </w:r>
      <w:r w:rsidRPr="00556698">
        <w:rPr>
          <w:i/>
          <w:iCs/>
          <w:sz w:val="24"/>
          <w:szCs w:val="24"/>
        </w:rPr>
        <w:t>Physics</w:t>
      </w:r>
      <w:r w:rsidRPr="00556698">
        <w:rPr>
          <w:sz w:val="24"/>
          <w:szCs w:val="24"/>
        </w:rPr>
        <w:t xml:space="preserve">, 207b1-15. </w:t>
      </w:r>
    </w:p>
  </w:endnote>
  <w:endnote w:id="9">
    <w:p w14:paraId="34EE8276" w14:textId="647252D9" w:rsidR="00D6152C" w:rsidRPr="00556698" w:rsidRDefault="00D6152C" w:rsidP="00EC63E7">
      <w:pPr>
        <w:pStyle w:val="FootnoteText"/>
        <w:spacing w:line="480" w:lineRule="auto"/>
        <w:rPr>
          <w:sz w:val="24"/>
          <w:szCs w:val="24"/>
        </w:rPr>
      </w:pPr>
      <w:r w:rsidRPr="00556698">
        <w:rPr>
          <w:rStyle w:val="EndnoteReference"/>
          <w:sz w:val="24"/>
          <w:szCs w:val="24"/>
        </w:rPr>
        <w:endnoteRef/>
      </w:r>
      <w:r w:rsidRPr="00556698">
        <w:rPr>
          <w:sz w:val="24"/>
          <w:szCs w:val="24"/>
        </w:rPr>
        <w:t xml:space="preserve"> T. S. Eliot, </w:t>
      </w:r>
      <w:r w:rsidRPr="00556698">
        <w:rPr>
          <w:i/>
          <w:iCs/>
          <w:sz w:val="24"/>
          <w:szCs w:val="24"/>
        </w:rPr>
        <w:t>Selected Essays, 1917–1932</w:t>
      </w:r>
      <w:r w:rsidRPr="00556698">
        <w:rPr>
          <w:sz w:val="24"/>
          <w:szCs w:val="24"/>
        </w:rPr>
        <w:t xml:space="preserve"> (Faber &amp; Faber, 1932), 296. </w:t>
      </w:r>
    </w:p>
  </w:endnote>
  <w:endnote w:id="10">
    <w:p w14:paraId="5D9A8498" w14:textId="548C4CEC" w:rsidR="0024698F" w:rsidRPr="00404BB4" w:rsidRDefault="0024698F" w:rsidP="00EC63E7">
      <w:pPr>
        <w:pStyle w:val="EndnoteText"/>
        <w:spacing w:line="480" w:lineRule="auto"/>
        <w:rPr>
          <w:sz w:val="24"/>
          <w:szCs w:val="24"/>
          <w:lang w:val="en-US"/>
        </w:rPr>
      </w:pPr>
      <w:r w:rsidRPr="00556698">
        <w:rPr>
          <w:rStyle w:val="EndnoteReference"/>
          <w:sz w:val="24"/>
          <w:szCs w:val="24"/>
        </w:rPr>
        <w:endnoteRef/>
      </w:r>
      <w:r w:rsidRPr="00556698">
        <w:rPr>
          <w:sz w:val="24"/>
          <w:szCs w:val="24"/>
        </w:rPr>
        <w:t xml:space="preserve"> David Carroll </w:t>
      </w:r>
      <w:r w:rsidRPr="00404BB4">
        <w:rPr>
          <w:sz w:val="24"/>
          <w:szCs w:val="24"/>
        </w:rPr>
        <w:t xml:space="preserve">Simon, </w:t>
      </w:r>
      <w:r w:rsidRPr="00404BB4">
        <w:rPr>
          <w:i/>
          <w:iCs/>
          <w:sz w:val="24"/>
          <w:szCs w:val="24"/>
        </w:rPr>
        <w:t>Light Without Heat: The Observational Mood from Bacon to Milton</w:t>
      </w:r>
      <w:r w:rsidRPr="00404BB4">
        <w:rPr>
          <w:sz w:val="24"/>
          <w:szCs w:val="24"/>
        </w:rPr>
        <w:t xml:space="preserve"> (Cornell University Press, 2018), 204.</w:t>
      </w:r>
    </w:p>
  </w:endnote>
  <w:endnote w:id="11">
    <w:p w14:paraId="36205BB3" w14:textId="739060DA" w:rsidR="00556698" w:rsidRPr="00404BB4" w:rsidRDefault="00556698" w:rsidP="00EC63E7">
      <w:pPr>
        <w:pStyle w:val="EndnoteText"/>
        <w:spacing w:line="480" w:lineRule="auto"/>
        <w:rPr>
          <w:sz w:val="24"/>
          <w:szCs w:val="24"/>
          <w:lang w:val="en-US"/>
        </w:rPr>
      </w:pPr>
      <w:r w:rsidRPr="00404BB4">
        <w:rPr>
          <w:rStyle w:val="EndnoteReference"/>
          <w:sz w:val="24"/>
          <w:szCs w:val="24"/>
        </w:rPr>
        <w:endnoteRef/>
      </w:r>
      <w:r w:rsidRPr="00404BB4">
        <w:rPr>
          <w:sz w:val="24"/>
          <w:szCs w:val="24"/>
        </w:rPr>
        <w:t xml:space="preserve"> Debapriya Sarkar</w:t>
      </w:r>
      <w:r w:rsidRPr="00404BB4">
        <w:rPr>
          <w:i/>
          <w:iCs/>
          <w:sz w:val="24"/>
          <w:szCs w:val="24"/>
        </w:rPr>
        <w:t>, Possible Knowledge: The Literary Forms of Early Modern Science</w:t>
      </w:r>
      <w:r w:rsidRPr="00404BB4">
        <w:rPr>
          <w:sz w:val="24"/>
          <w:szCs w:val="24"/>
        </w:rPr>
        <w:t xml:space="preserve"> (University of Pennsylvania Press, 2023), 2.</w:t>
      </w:r>
    </w:p>
  </w:endnote>
  <w:endnote w:id="12">
    <w:p w14:paraId="6556613E" w14:textId="4C1DF982" w:rsidR="00404BB4" w:rsidRPr="007B65C3" w:rsidRDefault="00404BB4" w:rsidP="00EC63E7">
      <w:pPr>
        <w:pStyle w:val="EndnoteText"/>
        <w:spacing w:line="480" w:lineRule="auto"/>
        <w:rPr>
          <w:sz w:val="24"/>
          <w:szCs w:val="24"/>
        </w:rPr>
      </w:pPr>
      <w:r w:rsidRPr="00404BB4">
        <w:rPr>
          <w:rStyle w:val="EndnoteReference"/>
          <w:sz w:val="24"/>
          <w:szCs w:val="24"/>
        </w:rPr>
        <w:endnoteRef/>
      </w:r>
      <w:r w:rsidRPr="00404BB4">
        <w:rPr>
          <w:sz w:val="24"/>
          <w:szCs w:val="24"/>
        </w:rPr>
        <w:t xml:space="preserve"> On the development</w:t>
      </w:r>
      <w:r>
        <w:rPr>
          <w:sz w:val="24"/>
          <w:szCs w:val="24"/>
        </w:rPr>
        <w:t xml:space="preserve"> </w:t>
      </w:r>
      <w:r w:rsidRPr="00404BB4">
        <w:rPr>
          <w:sz w:val="24"/>
          <w:szCs w:val="24"/>
        </w:rPr>
        <w:t>of the epistemic foundations of modern colonial racism</w:t>
      </w:r>
      <w:r>
        <w:rPr>
          <w:sz w:val="24"/>
          <w:szCs w:val="24"/>
        </w:rPr>
        <w:t xml:space="preserve"> in the Renaissance</w:t>
      </w:r>
      <w:r w:rsidRPr="00404BB4">
        <w:rPr>
          <w:sz w:val="24"/>
          <w:szCs w:val="24"/>
        </w:rPr>
        <w:t xml:space="preserve">, see, for example, Sylvia Wynter, </w:t>
      </w:r>
      <w:r>
        <w:rPr>
          <w:sz w:val="24"/>
          <w:szCs w:val="24"/>
        </w:rPr>
        <w:t>“</w:t>
      </w:r>
      <w:r w:rsidRPr="00404BB4">
        <w:rPr>
          <w:sz w:val="24"/>
          <w:szCs w:val="24"/>
        </w:rPr>
        <w:t xml:space="preserve">Unsettling the Coloniality of </w:t>
      </w:r>
      <w:r w:rsidRPr="007B65C3">
        <w:rPr>
          <w:sz w:val="24"/>
          <w:szCs w:val="24"/>
        </w:rPr>
        <w:t xml:space="preserve">Being/Power/Truth/Freedom: Towards the Human, After Man, Its Overrepresentation—An Argument”, </w:t>
      </w:r>
      <w:r w:rsidRPr="007B65C3">
        <w:rPr>
          <w:i/>
          <w:iCs/>
          <w:sz w:val="24"/>
          <w:szCs w:val="24"/>
        </w:rPr>
        <w:t>CR</w:t>
      </w:r>
      <w:r w:rsidRPr="007B65C3">
        <w:rPr>
          <w:sz w:val="24"/>
          <w:szCs w:val="24"/>
        </w:rPr>
        <w:t xml:space="preserve"> 3, no.3 (2003): 257-337; the “Introduction”, in </w:t>
      </w:r>
      <w:r w:rsidRPr="007B65C3">
        <w:rPr>
          <w:i/>
          <w:iCs/>
          <w:sz w:val="24"/>
          <w:szCs w:val="24"/>
        </w:rPr>
        <w:t>Rereading the Black Legend: The Discourses of Religious and Racial Difference in the Renaissance Empires</w:t>
      </w:r>
      <w:r w:rsidRPr="007B65C3">
        <w:rPr>
          <w:sz w:val="24"/>
          <w:szCs w:val="24"/>
        </w:rPr>
        <w:t xml:space="preserve">, ed. Margaret R. Greer, Walter D. Mignolo and Maureen Quilligan (University of Chicago Press, 2007), 1-24 and </w:t>
      </w:r>
      <w:r w:rsidRPr="007B65C3">
        <w:rPr>
          <w:i/>
          <w:iCs/>
          <w:sz w:val="24"/>
          <w:szCs w:val="24"/>
        </w:rPr>
        <w:t>passim</w:t>
      </w:r>
      <w:r w:rsidRPr="007B65C3">
        <w:rPr>
          <w:sz w:val="24"/>
          <w:szCs w:val="24"/>
        </w:rPr>
        <w:t>.</w:t>
      </w:r>
    </w:p>
  </w:endnote>
  <w:endnote w:id="13">
    <w:p w14:paraId="4546AB92" w14:textId="47338F13" w:rsidR="007B65C3" w:rsidRPr="00C501AF" w:rsidRDefault="007B65C3" w:rsidP="00EC63E7">
      <w:pPr>
        <w:pStyle w:val="EndnoteText"/>
        <w:spacing w:line="480" w:lineRule="auto"/>
        <w:rPr>
          <w:sz w:val="24"/>
          <w:szCs w:val="24"/>
          <w:lang w:val="en-US"/>
        </w:rPr>
      </w:pPr>
      <w:r w:rsidRPr="007B65C3">
        <w:rPr>
          <w:rStyle w:val="EndnoteReference"/>
          <w:sz w:val="24"/>
          <w:szCs w:val="24"/>
        </w:rPr>
        <w:endnoteRef/>
      </w:r>
      <w:r w:rsidRPr="007B65C3">
        <w:rPr>
          <w:sz w:val="24"/>
          <w:szCs w:val="24"/>
        </w:rPr>
        <w:t xml:space="preserve"> Aristotle, </w:t>
      </w:r>
      <w:r w:rsidRPr="007B65C3">
        <w:rPr>
          <w:i/>
          <w:iCs/>
          <w:sz w:val="24"/>
          <w:szCs w:val="24"/>
        </w:rPr>
        <w:t>On Interpretation</w:t>
      </w:r>
      <w:r>
        <w:rPr>
          <w:sz w:val="24"/>
          <w:szCs w:val="24"/>
        </w:rPr>
        <w:t>,</w:t>
      </w:r>
      <w:r w:rsidRPr="007B65C3">
        <w:rPr>
          <w:sz w:val="24"/>
          <w:szCs w:val="24"/>
        </w:rPr>
        <w:t xml:space="preserve"> in </w:t>
      </w:r>
      <w:r w:rsidRPr="007B65C3">
        <w:rPr>
          <w:i/>
          <w:iCs/>
          <w:sz w:val="24"/>
          <w:szCs w:val="24"/>
        </w:rPr>
        <w:t>Categories; On Interpretation; Prior Analytics</w:t>
      </w:r>
      <w:r w:rsidRPr="007B65C3">
        <w:rPr>
          <w:sz w:val="24"/>
          <w:szCs w:val="24"/>
        </w:rPr>
        <w:t xml:space="preserve">, tr. H.P. Cooke and Hugh Tredennick (Harvard University Press, 1938), VII, 17a35-8. Unless otherwise specified, citations to Aristotle refer to the Loeb Classical Library </w:t>
      </w:r>
      <w:r w:rsidRPr="00C501AF">
        <w:rPr>
          <w:sz w:val="24"/>
          <w:szCs w:val="24"/>
        </w:rPr>
        <w:t xml:space="preserve">editions of his works. </w:t>
      </w:r>
      <w:r w:rsidRPr="00C501AF">
        <w:rPr>
          <w:i/>
          <w:iCs/>
          <w:sz w:val="24"/>
          <w:szCs w:val="24"/>
        </w:rPr>
        <w:t>Poetics</w:t>
      </w:r>
      <w:r w:rsidRPr="00C501AF">
        <w:rPr>
          <w:sz w:val="24"/>
          <w:szCs w:val="24"/>
        </w:rPr>
        <w:t xml:space="preserve">, IX, 1451b5-9. </w:t>
      </w:r>
    </w:p>
  </w:endnote>
  <w:endnote w:id="14">
    <w:p w14:paraId="129E6F03" w14:textId="18B6E56B" w:rsidR="00D508A0" w:rsidRPr="00C501AF" w:rsidRDefault="00D508A0" w:rsidP="00EC63E7">
      <w:pPr>
        <w:pStyle w:val="FootnoteText"/>
        <w:spacing w:line="480" w:lineRule="auto"/>
        <w:rPr>
          <w:sz w:val="24"/>
          <w:szCs w:val="24"/>
          <w:lang w:val="en-US"/>
        </w:rPr>
      </w:pPr>
      <w:r w:rsidRPr="00C501AF">
        <w:rPr>
          <w:rStyle w:val="EndnoteReference"/>
          <w:sz w:val="24"/>
          <w:szCs w:val="24"/>
        </w:rPr>
        <w:endnoteRef/>
      </w:r>
      <w:r w:rsidRPr="00C501AF">
        <w:rPr>
          <w:sz w:val="24"/>
          <w:szCs w:val="24"/>
        </w:rPr>
        <w:t xml:space="preserve"> </w:t>
      </w:r>
      <w:r w:rsidRPr="00C501AF">
        <w:rPr>
          <w:i/>
          <w:iCs/>
          <w:sz w:val="24"/>
          <w:szCs w:val="24"/>
        </w:rPr>
        <w:t>Metaphysics</w:t>
      </w:r>
      <w:r w:rsidRPr="00C501AF">
        <w:rPr>
          <w:sz w:val="24"/>
          <w:szCs w:val="24"/>
        </w:rPr>
        <w:t>, A, 981a</w:t>
      </w:r>
      <w:r w:rsidR="00176C50">
        <w:rPr>
          <w:sz w:val="24"/>
          <w:szCs w:val="24"/>
        </w:rPr>
        <w:t xml:space="preserve">; </w:t>
      </w:r>
      <w:r w:rsidRPr="00C501AF">
        <w:rPr>
          <w:sz w:val="24"/>
          <w:szCs w:val="24"/>
        </w:rPr>
        <w:t>emphasis added.</w:t>
      </w:r>
    </w:p>
  </w:endnote>
  <w:endnote w:id="15">
    <w:p w14:paraId="49D36CAB" w14:textId="55779946" w:rsidR="00C501AF" w:rsidRPr="00C501AF" w:rsidRDefault="00C501AF" w:rsidP="00EC63E7">
      <w:pPr>
        <w:pStyle w:val="EndnoteText"/>
        <w:spacing w:line="480" w:lineRule="auto"/>
        <w:rPr>
          <w:sz w:val="24"/>
          <w:szCs w:val="24"/>
          <w:lang w:val="en-US"/>
        </w:rPr>
      </w:pPr>
      <w:r w:rsidRPr="00C501AF">
        <w:rPr>
          <w:rStyle w:val="EndnoteReference"/>
          <w:sz w:val="24"/>
          <w:szCs w:val="24"/>
        </w:rPr>
        <w:endnoteRef/>
      </w:r>
      <w:r w:rsidRPr="00C501AF">
        <w:rPr>
          <w:sz w:val="24"/>
          <w:szCs w:val="24"/>
        </w:rPr>
        <w:t xml:space="preserve"> </w:t>
      </w:r>
      <w:r w:rsidRPr="00C501AF">
        <w:rPr>
          <w:i/>
          <w:iCs/>
          <w:sz w:val="24"/>
          <w:szCs w:val="24"/>
        </w:rPr>
        <w:t>Metaphysics</w:t>
      </w:r>
      <w:r w:rsidRPr="00C501AF">
        <w:rPr>
          <w:sz w:val="24"/>
          <w:szCs w:val="24"/>
        </w:rPr>
        <w:t>, A, 981a.</w:t>
      </w:r>
    </w:p>
  </w:endnote>
  <w:endnote w:id="16">
    <w:p w14:paraId="7EB143C2" w14:textId="36BBEA6E" w:rsidR="00C501AF" w:rsidRPr="00C501AF" w:rsidRDefault="00C501AF" w:rsidP="00EC63E7">
      <w:pPr>
        <w:pStyle w:val="FootnoteText"/>
        <w:spacing w:line="480" w:lineRule="auto"/>
        <w:rPr>
          <w:sz w:val="24"/>
          <w:szCs w:val="24"/>
          <w:lang w:val="en-US"/>
        </w:rPr>
      </w:pPr>
      <w:r w:rsidRPr="00C501AF">
        <w:rPr>
          <w:rStyle w:val="EndnoteReference"/>
          <w:sz w:val="24"/>
          <w:szCs w:val="24"/>
        </w:rPr>
        <w:endnoteRef/>
      </w:r>
      <w:r w:rsidRPr="00C501AF">
        <w:rPr>
          <w:sz w:val="24"/>
          <w:szCs w:val="24"/>
        </w:rPr>
        <w:t xml:space="preserve"> </w:t>
      </w:r>
      <w:r w:rsidRPr="00C501AF">
        <w:rPr>
          <w:i/>
          <w:iCs/>
          <w:sz w:val="24"/>
          <w:szCs w:val="24"/>
        </w:rPr>
        <w:t>Metaphysics</w:t>
      </w:r>
      <w:r w:rsidRPr="00C501AF">
        <w:rPr>
          <w:sz w:val="24"/>
          <w:szCs w:val="24"/>
        </w:rPr>
        <w:t xml:space="preserve">, B, 999a26-b3. </w:t>
      </w:r>
    </w:p>
  </w:endnote>
  <w:endnote w:id="17">
    <w:p w14:paraId="41031AD6" w14:textId="4D083823" w:rsidR="00C501AF" w:rsidRPr="00A52E88" w:rsidRDefault="00C501AF" w:rsidP="00EC63E7">
      <w:pPr>
        <w:pStyle w:val="EndnoteText"/>
        <w:spacing w:line="480" w:lineRule="auto"/>
        <w:rPr>
          <w:sz w:val="24"/>
          <w:szCs w:val="24"/>
          <w:lang w:val="en-US"/>
        </w:rPr>
      </w:pPr>
      <w:r w:rsidRPr="00C501AF">
        <w:rPr>
          <w:rStyle w:val="EndnoteReference"/>
          <w:sz w:val="24"/>
          <w:szCs w:val="24"/>
        </w:rPr>
        <w:endnoteRef/>
      </w:r>
      <w:r w:rsidRPr="00C501AF">
        <w:rPr>
          <w:sz w:val="24"/>
          <w:szCs w:val="24"/>
        </w:rPr>
        <w:t xml:space="preserve"> On the centrality of this problem to the history of Western metaphysical thought </w:t>
      </w:r>
      <w:r w:rsidRPr="00A52E88">
        <w:rPr>
          <w:sz w:val="24"/>
          <w:szCs w:val="24"/>
        </w:rPr>
        <w:t xml:space="preserve">since Aristotle, via questions raised by Parmenides and Plato, see Jean Grondin, </w:t>
      </w:r>
      <w:r w:rsidRPr="00A52E88">
        <w:rPr>
          <w:i/>
          <w:iCs/>
          <w:sz w:val="24"/>
          <w:szCs w:val="24"/>
        </w:rPr>
        <w:t>Introduction to Metaphysics: From Parmenides to Levinas</w:t>
      </w:r>
      <w:r w:rsidRPr="00A52E88">
        <w:rPr>
          <w:sz w:val="24"/>
          <w:szCs w:val="24"/>
        </w:rPr>
        <w:t xml:space="preserve"> (Columbia University Press, 2012).</w:t>
      </w:r>
    </w:p>
  </w:endnote>
  <w:endnote w:id="18">
    <w:p w14:paraId="6B000B91" w14:textId="649AE463" w:rsidR="00F105AC" w:rsidRPr="00A52E88" w:rsidRDefault="00F105AC" w:rsidP="00EC63E7">
      <w:pPr>
        <w:pStyle w:val="EndnoteText"/>
        <w:spacing w:line="480" w:lineRule="auto"/>
        <w:rPr>
          <w:sz w:val="24"/>
          <w:szCs w:val="24"/>
        </w:rPr>
      </w:pPr>
      <w:r w:rsidRPr="00A52E88">
        <w:rPr>
          <w:rStyle w:val="EndnoteReference"/>
          <w:sz w:val="24"/>
          <w:szCs w:val="24"/>
        </w:rPr>
        <w:endnoteRef/>
      </w:r>
      <w:r w:rsidRPr="00A52E88">
        <w:rPr>
          <w:sz w:val="24"/>
          <w:szCs w:val="24"/>
        </w:rPr>
        <w:t xml:space="preserve"> See </w:t>
      </w:r>
      <w:r w:rsidRPr="00A52E88">
        <w:rPr>
          <w:i/>
          <w:iCs/>
          <w:sz w:val="24"/>
          <w:szCs w:val="24"/>
        </w:rPr>
        <w:t>De sapienta veterum</w:t>
      </w:r>
      <w:r w:rsidRPr="00A52E88">
        <w:rPr>
          <w:sz w:val="24"/>
          <w:szCs w:val="24"/>
        </w:rPr>
        <w:t xml:space="preserve">, in </w:t>
      </w:r>
      <w:r w:rsidRPr="00A52E88">
        <w:rPr>
          <w:i/>
          <w:iCs/>
          <w:sz w:val="24"/>
          <w:szCs w:val="24"/>
        </w:rPr>
        <w:t>The Works of Francis Bacon</w:t>
      </w:r>
      <w:r w:rsidRPr="00A52E88">
        <w:rPr>
          <w:sz w:val="24"/>
          <w:szCs w:val="24"/>
        </w:rPr>
        <w:t xml:space="preserve">, ed. James Spedding, Robert Leslie Ellis, and Douglas Denon Heath, 15 vols (Longman, 1861–1879), 13:17-19; </w:t>
      </w:r>
      <w:r w:rsidR="005025EF" w:rsidRPr="00A52E88">
        <w:rPr>
          <w:sz w:val="24"/>
          <w:szCs w:val="24"/>
        </w:rPr>
        <w:t xml:space="preserve">and </w:t>
      </w:r>
      <w:r w:rsidRPr="00A52E88">
        <w:rPr>
          <w:i/>
          <w:iCs/>
          <w:sz w:val="24"/>
          <w:szCs w:val="24"/>
        </w:rPr>
        <w:t>The Wisdom of the Ancients</w:t>
      </w:r>
      <w:r w:rsidRPr="00A52E88">
        <w:rPr>
          <w:sz w:val="24"/>
          <w:szCs w:val="24"/>
        </w:rPr>
        <w:t xml:space="preserve"> 13:117-18.</w:t>
      </w:r>
    </w:p>
  </w:endnote>
  <w:endnote w:id="19">
    <w:p w14:paraId="5A8FB0FD" w14:textId="2D0DB000" w:rsidR="00A52E88" w:rsidRPr="00A52E88" w:rsidRDefault="00A52E88" w:rsidP="00EC63E7">
      <w:pPr>
        <w:pStyle w:val="EndnoteText"/>
        <w:spacing w:line="480" w:lineRule="auto"/>
        <w:rPr>
          <w:sz w:val="24"/>
          <w:szCs w:val="24"/>
          <w:lang w:val="en-US"/>
        </w:rPr>
      </w:pPr>
      <w:r w:rsidRPr="00A52E88">
        <w:rPr>
          <w:rStyle w:val="EndnoteReference"/>
          <w:sz w:val="24"/>
          <w:szCs w:val="24"/>
        </w:rPr>
        <w:endnoteRef/>
      </w:r>
      <w:r w:rsidRPr="00A52E88">
        <w:rPr>
          <w:sz w:val="24"/>
          <w:szCs w:val="24"/>
        </w:rPr>
        <w:t xml:space="preserve"> </w:t>
      </w:r>
      <w:r w:rsidRPr="00A52E88">
        <w:rPr>
          <w:i/>
          <w:iCs/>
          <w:sz w:val="24"/>
          <w:szCs w:val="24"/>
        </w:rPr>
        <w:t>The Oxford Francis Bacon</w:t>
      </w:r>
      <w:r w:rsidRPr="00A52E88">
        <w:rPr>
          <w:sz w:val="24"/>
          <w:szCs w:val="24"/>
        </w:rPr>
        <w:t xml:space="preserve">, ed. Graham Rees, 15 vols (Oxford University Press, 1996), 6:100-101. </w:t>
      </w:r>
    </w:p>
  </w:endnote>
  <w:endnote w:id="20">
    <w:p w14:paraId="26DC309D" w14:textId="4B0E8DEA" w:rsidR="00A52E88" w:rsidRPr="00A52E88" w:rsidRDefault="00A52E88" w:rsidP="00EC63E7">
      <w:pPr>
        <w:pStyle w:val="EndnoteText"/>
        <w:spacing w:line="480" w:lineRule="auto"/>
        <w:rPr>
          <w:sz w:val="24"/>
          <w:szCs w:val="24"/>
          <w:lang w:val="en-US"/>
        </w:rPr>
      </w:pPr>
      <w:r w:rsidRPr="00A52E88">
        <w:rPr>
          <w:rStyle w:val="EndnoteReference"/>
          <w:sz w:val="24"/>
          <w:szCs w:val="24"/>
        </w:rPr>
        <w:endnoteRef/>
      </w:r>
      <w:r w:rsidRPr="00A52E88">
        <w:rPr>
          <w:sz w:val="24"/>
          <w:szCs w:val="24"/>
        </w:rPr>
        <w:t xml:space="preserve"> See Carolyn Merchant, </w:t>
      </w:r>
      <w:r>
        <w:rPr>
          <w:sz w:val="24"/>
          <w:szCs w:val="24"/>
        </w:rPr>
        <w:t>“</w:t>
      </w:r>
      <w:r w:rsidRPr="00A52E88">
        <w:rPr>
          <w:sz w:val="24"/>
          <w:szCs w:val="24"/>
        </w:rPr>
        <w:t xml:space="preserve">Francis Bacon and the ‘Vexations of Art’: Experimentation as Intervention,” </w:t>
      </w:r>
      <w:r w:rsidRPr="00A52E88">
        <w:rPr>
          <w:i/>
          <w:iCs/>
          <w:sz w:val="24"/>
          <w:szCs w:val="24"/>
        </w:rPr>
        <w:t>The British Journal for the History of Science</w:t>
      </w:r>
      <w:r w:rsidRPr="00A52E88">
        <w:rPr>
          <w:sz w:val="24"/>
          <w:szCs w:val="24"/>
        </w:rPr>
        <w:t xml:space="preserve"> 46, no. 4 (2013): 551–99. </w:t>
      </w:r>
      <w:r w:rsidRPr="00A52E88">
        <w:rPr>
          <w:i/>
          <w:iCs/>
          <w:sz w:val="24"/>
          <w:szCs w:val="24"/>
        </w:rPr>
        <w:t>The Oxford Francis Bacon</w:t>
      </w:r>
      <w:r w:rsidRPr="00A52E88">
        <w:rPr>
          <w:sz w:val="24"/>
          <w:szCs w:val="24"/>
        </w:rPr>
        <w:t>, 11:156-7.</w:t>
      </w:r>
    </w:p>
  </w:endnote>
  <w:endnote w:id="21">
    <w:p w14:paraId="716D1949" w14:textId="30445C71" w:rsidR="00A52E88" w:rsidRPr="00820304" w:rsidRDefault="00A52E88" w:rsidP="00EC63E7">
      <w:pPr>
        <w:pStyle w:val="EndnoteText"/>
        <w:spacing w:line="480" w:lineRule="auto"/>
        <w:rPr>
          <w:sz w:val="24"/>
          <w:szCs w:val="24"/>
          <w:lang w:val="en-US"/>
        </w:rPr>
      </w:pPr>
      <w:r w:rsidRPr="00A52E88">
        <w:rPr>
          <w:rStyle w:val="EndnoteReference"/>
          <w:sz w:val="24"/>
          <w:szCs w:val="24"/>
        </w:rPr>
        <w:endnoteRef/>
      </w:r>
      <w:r w:rsidRPr="00A52E88">
        <w:rPr>
          <w:sz w:val="24"/>
          <w:szCs w:val="24"/>
        </w:rPr>
        <w:t xml:space="preserve"> See Katharine Park, </w:t>
      </w:r>
      <w:r>
        <w:rPr>
          <w:sz w:val="24"/>
          <w:szCs w:val="24"/>
        </w:rPr>
        <w:t>“</w:t>
      </w:r>
      <w:r w:rsidRPr="00A52E88">
        <w:rPr>
          <w:sz w:val="24"/>
          <w:szCs w:val="24"/>
        </w:rPr>
        <w:t xml:space="preserve">Women, Gender, and Utopia: </w:t>
      </w:r>
      <w:r w:rsidRPr="00A52E88">
        <w:rPr>
          <w:i/>
          <w:iCs/>
          <w:sz w:val="24"/>
          <w:szCs w:val="24"/>
        </w:rPr>
        <w:t>The Death of Nature</w:t>
      </w:r>
      <w:r w:rsidRPr="00A52E88">
        <w:rPr>
          <w:sz w:val="24"/>
          <w:szCs w:val="24"/>
        </w:rPr>
        <w:t xml:space="preserve"> and the Early Modern Historiography of Science,</w:t>
      </w:r>
      <w:r>
        <w:rPr>
          <w:sz w:val="24"/>
          <w:szCs w:val="24"/>
        </w:rPr>
        <w:t>”</w:t>
      </w:r>
      <w:r w:rsidRPr="00A52E88">
        <w:rPr>
          <w:sz w:val="24"/>
          <w:szCs w:val="24"/>
        </w:rPr>
        <w:t xml:space="preserve"> </w:t>
      </w:r>
      <w:r w:rsidRPr="00A52E88">
        <w:rPr>
          <w:i/>
          <w:iCs/>
          <w:sz w:val="24"/>
          <w:szCs w:val="24"/>
        </w:rPr>
        <w:t>Isis</w:t>
      </w:r>
      <w:r w:rsidRPr="00A52E88">
        <w:rPr>
          <w:sz w:val="24"/>
          <w:szCs w:val="24"/>
        </w:rPr>
        <w:t xml:space="preserve"> 97</w:t>
      </w:r>
      <w:r>
        <w:rPr>
          <w:sz w:val="24"/>
          <w:szCs w:val="24"/>
        </w:rPr>
        <w:t xml:space="preserve">, no. </w:t>
      </w:r>
      <w:r w:rsidRPr="00A52E88">
        <w:rPr>
          <w:sz w:val="24"/>
          <w:szCs w:val="24"/>
        </w:rPr>
        <w:t xml:space="preserve">3 (2006): 487-95, 488. For a critique of Merchant, see Alan Soble, see </w:t>
      </w:r>
      <w:r>
        <w:rPr>
          <w:sz w:val="24"/>
          <w:szCs w:val="24"/>
        </w:rPr>
        <w:t>“</w:t>
      </w:r>
      <w:r w:rsidRPr="00A52E88">
        <w:rPr>
          <w:sz w:val="24"/>
          <w:szCs w:val="24"/>
        </w:rPr>
        <w:t>In Defense of Bacon,</w:t>
      </w:r>
      <w:r>
        <w:rPr>
          <w:sz w:val="24"/>
          <w:szCs w:val="24"/>
        </w:rPr>
        <w:t>”</w:t>
      </w:r>
      <w:r w:rsidRPr="00A52E88">
        <w:rPr>
          <w:sz w:val="24"/>
          <w:szCs w:val="24"/>
        </w:rPr>
        <w:t xml:space="preserve"> </w:t>
      </w:r>
      <w:r w:rsidRPr="00A52E88">
        <w:rPr>
          <w:i/>
          <w:iCs/>
          <w:sz w:val="24"/>
          <w:szCs w:val="24"/>
        </w:rPr>
        <w:t xml:space="preserve">Philosophy of the </w:t>
      </w:r>
      <w:r w:rsidRPr="00820304">
        <w:rPr>
          <w:i/>
          <w:iCs/>
          <w:sz w:val="24"/>
          <w:szCs w:val="24"/>
        </w:rPr>
        <w:t>Social Sciences</w:t>
      </w:r>
      <w:r w:rsidRPr="00820304">
        <w:rPr>
          <w:sz w:val="24"/>
          <w:szCs w:val="24"/>
        </w:rPr>
        <w:t xml:space="preserve"> 25, no. 2 (1995): 192–215. </w:t>
      </w:r>
    </w:p>
  </w:endnote>
  <w:endnote w:id="22">
    <w:p w14:paraId="79CCCAFD" w14:textId="3F2D43B7" w:rsidR="00820304" w:rsidRPr="00011EC2" w:rsidRDefault="00820304" w:rsidP="00EC63E7">
      <w:pPr>
        <w:pStyle w:val="EndnoteText"/>
        <w:spacing w:line="480" w:lineRule="auto"/>
        <w:rPr>
          <w:sz w:val="24"/>
          <w:szCs w:val="24"/>
          <w:lang w:val="en-US"/>
        </w:rPr>
      </w:pPr>
      <w:r w:rsidRPr="00820304">
        <w:rPr>
          <w:rStyle w:val="EndnoteReference"/>
          <w:sz w:val="24"/>
          <w:szCs w:val="24"/>
        </w:rPr>
        <w:endnoteRef/>
      </w:r>
      <w:r w:rsidRPr="00820304">
        <w:rPr>
          <w:sz w:val="24"/>
          <w:szCs w:val="24"/>
        </w:rPr>
        <w:t xml:space="preserve"> Jenny Mann, </w:t>
      </w:r>
      <w:r w:rsidRPr="00820304">
        <w:rPr>
          <w:i/>
          <w:iCs/>
          <w:sz w:val="24"/>
          <w:szCs w:val="24"/>
        </w:rPr>
        <w:t>The Trials of Orpheus: Poetry, Science, and the Early Modern Sublime</w:t>
      </w:r>
      <w:r w:rsidRPr="00820304">
        <w:rPr>
          <w:sz w:val="24"/>
          <w:szCs w:val="24"/>
        </w:rPr>
        <w:t xml:space="preserve"> (Princeton University Press, 2021), 94, 92-3; Virgil,</w:t>
      </w:r>
      <w:r>
        <w:rPr>
          <w:sz w:val="24"/>
          <w:szCs w:val="24"/>
        </w:rPr>
        <w:t xml:space="preserve"> </w:t>
      </w:r>
      <w:r>
        <w:rPr>
          <w:i/>
          <w:iCs/>
          <w:sz w:val="24"/>
          <w:szCs w:val="24"/>
        </w:rPr>
        <w:t>Georgics</w:t>
      </w:r>
      <w:r>
        <w:rPr>
          <w:sz w:val="24"/>
          <w:szCs w:val="24"/>
        </w:rPr>
        <w:t>, in</w:t>
      </w:r>
      <w:r w:rsidRPr="00820304">
        <w:rPr>
          <w:sz w:val="24"/>
          <w:szCs w:val="24"/>
        </w:rPr>
        <w:t xml:space="preserve"> </w:t>
      </w:r>
      <w:r w:rsidRPr="00820304">
        <w:rPr>
          <w:i/>
          <w:iCs/>
          <w:sz w:val="24"/>
          <w:szCs w:val="24"/>
        </w:rPr>
        <w:t>Eclogues, Georgics, Aeneid I–</w:t>
      </w:r>
      <w:r w:rsidRPr="00820304">
        <w:rPr>
          <w:i/>
          <w:iCs/>
          <w:sz w:val="24"/>
          <w:szCs w:val="24"/>
        </w:rPr>
        <w:softHyphen/>
        <w:t xml:space="preserve"> VI</w:t>
      </w:r>
      <w:r w:rsidRPr="00820304">
        <w:rPr>
          <w:sz w:val="24"/>
          <w:szCs w:val="24"/>
        </w:rPr>
        <w:t xml:space="preserve">, tr. H. R. Fairclough, rev. G. P. Goold (Harvard University </w:t>
      </w:r>
      <w:r w:rsidRPr="00011EC2">
        <w:rPr>
          <w:sz w:val="24"/>
          <w:szCs w:val="24"/>
        </w:rPr>
        <w:t>Press 1999), IV.437-527.</w:t>
      </w:r>
    </w:p>
  </w:endnote>
  <w:endnote w:id="23">
    <w:p w14:paraId="4EA900CD" w14:textId="213121B9" w:rsidR="00011EC2" w:rsidRPr="003572D2" w:rsidRDefault="00011EC2" w:rsidP="00EC63E7">
      <w:pPr>
        <w:pStyle w:val="EndnoteText"/>
        <w:spacing w:line="480" w:lineRule="auto"/>
        <w:rPr>
          <w:sz w:val="24"/>
          <w:szCs w:val="24"/>
          <w:lang w:val="en-US"/>
        </w:rPr>
      </w:pPr>
      <w:r w:rsidRPr="00011EC2">
        <w:rPr>
          <w:rStyle w:val="EndnoteReference"/>
          <w:sz w:val="24"/>
          <w:szCs w:val="24"/>
        </w:rPr>
        <w:endnoteRef/>
      </w:r>
      <w:r w:rsidRPr="00011EC2">
        <w:rPr>
          <w:sz w:val="24"/>
          <w:szCs w:val="24"/>
        </w:rPr>
        <w:t xml:space="preserve"> Erasmus, </w:t>
      </w:r>
      <w:r w:rsidRPr="00011EC2">
        <w:rPr>
          <w:i/>
          <w:iCs/>
          <w:sz w:val="24"/>
          <w:szCs w:val="24"/>
        </w:rPr>
        <w:t>On Copia of Words and Ideas</w:t>
      </w:r>
      <w:r w:rsidRPr="00011EC2">
        <w:rPr>
          <w:sz w:val="24"/>
          <w:szCs w:val="24"/>
        </w:rPr>
        <w:t xml:space="preserve"> (</w:t>
      </w:r>
      <w:r w:rsidRPr="00011EC2">
        <w:rPr>
          <w:i/>
          <w:iCs/>
          <w:sz w:val="24"/>
          <w:szCs w:val="24"/>
        </w:rPr>
        <w:t>De utraque verborem ac rerum copia</w:t>
      </w:r>
      <w:r w:rsidRPr="00011EC2">
        <w:rPr>
          <w:sz w:val="24"/>
          <w:szCs w:val="24"/>
        </w:rPr>
        <w:t xml:space="preserve">), tr. </w:t>
      </w:r>
      <w:r w:rsidRPr="003572D2">
        <w:rPr>
          <w:sz w:val="24"/>
          <w:szCs w:val="24"/>
        </w:rPr>
        <w:t>Donald B. King and David H. Rix (Marquette</w:t>
      </w:r>
      <w:r w:rsidRPr="003572D2">
        <w:rPr>
          <w:i/>
          <w:iCs/>
          <w:sz w:val="24"/>
          <w:szCs w:val="24"/>
        </w:rPr>
        <w:t xml:space="preserve"> </w:t>
      </w:r>
      <w:r w:rsidRPr="003572D2">
        <w:rPr>
          <w:sz w:val="24"/>
          <w:szCs w:val="24"/>
        </w:rPr>
        <w:t xml:space="preserve">University Press, 1963), 16-17. </w:t>
      </w:r>
    </w:p>
  </w:endnote>
  <w:endnote w:id="24">
    <w:p w14:paraId="5BCDDAD5" w14:textId="5722FD57" w:rsidR="00D8653A" w:rsidRPr="00D8653A" w:rsidRDefault="00D8653A" w:rsidP="00EC63E7">
      <w:pPr>
        <w:pStyle w:val="EndnoteText"/>
        <w:spacing w:line="480" w:lineRule="auto"/>
        <w:rPr>
          <w:sz w:val="24"/>
          <w:szCs w:val="24"/>
          <w:lang w:val="en-US"/>
        </w:rPr>
      </w:pPr>
      <w:r w:rsidRPr="00D8653A">
        <w:rPr>
          <w:rStyle w:val="EndnoteReference"/>
          <w:sz w:val="24"/>
          <w:szCs w:val="24"/>
        </w:rPr>
        <w:endnoteRef/>
      </w:r>
      <w:r w:rsidRPr="00D8653A">
        <w:rPr>
          <w:sz w:val="24"/>
          <w:szCs w:val="24"/>
        </w:rPr>
        <w:t xml:space="preserve"> </w:t>
      </w:r>
      <w:r w:rsidRPr="00D8653A">
        <w:rPr>
          <w:i/>
          <w:iCs/>
          <w:sz w:val="24"/>
          <w:szCs w:val="24"/>
        </w:rPr>
        <w:t>The Works of Francis Bacon</w:t>
      </w:r>
      <w:r w:rsidRPr="00D8653A">
        <w:rPr>
          <w:sz w:val="24"/>
          <w:szCs w:val="24"/>
        </w:rPr>
        <w:t xml:space="preserve">, 12:447-48; 13:99-100. </w:t>
      </w:r>
    </w:p>
  </w:endnote>
  <w:endnote w:id="25">
    <w:p w14:paraId="37A45EB1" w14:textId="10C0173F" w:rsidR="003572D2" w:rsidRPr="003572D2" w:rsidRDefault="003572D2" w:rsidP="00EC63E7">
      <w:pPr>
        <w:pStyle w:val="EndnoteText"/>
        <w:spacing w:line="480" w:lineRule="auto"/>
        <w:rPr>
          <w:sz w:val="24"/>
          <w:szCs w:val="24"/>
          <w:lang w:val="en-US"/>
        </w:rPr>
      </w:pPr>
      <w:r w:rsidRPr="00D8653A">
        <w:rPr>
          <w:rStyle w:val="EndnoteReference"/>
          <w:sz w:val="24"/>
          <w:szCs w:val="24"/>
        </w:rPr>
        <w:endnoteRef/>
      </w:r>
      <w:r w:rsidRPr="00D8653A">
        <w:rPr>
          <w:sz w:val="24"/>
          <w:szCs w:val="24"/>
        </w:rPr>
        <w:t xml:space="preserve"> </w:t>
      </w:r>
      <w:r w:rsidRPr="00D8653A">
        <w:rPr>
          <w:i/>
          <w:iCs/>
          <w:sz w:val="24"/>
          <w:szCs w:val="24"/>
        </w:rPr>
        <w:t>Metaphysics</w:t>
      </w:r>
      <w:r w:rsidRPr="003572D2">
        <w:rPr>
          <w:sz w:val="24"/>
          <w:szCs w:val="24"/>
        </w:rPr>
        <w:t>, B, 999a27-9.</w:t>
      </w:r>
    </w:p>
  </w:endnote>
  <w:endnote w:id="26">
    <w:p w14:paraId="4E29FAC3" w14:textId="5262B2C6" w:rsidR="003572D2" w:rsidRPr="00EB0199" w:rsidRDefault="003572D2" w:rsidP="00EC63E7">
      <w:pPr>
        <w:pStyle w:val="FootnoteText"/>
        <w:spacing w:line="480" w:lineRule="auto"/>
        <w:rPr>
          <w:sz w:val="24"/>
          <w:szCs w:val="24"/>
        </w:rPr>
      </w:pPr>
      <w:r w:rsidRPr="003572D2">
        <w:rPr>
          <w:rStyle w:val="EndnoteReference"/>
          <w:sz w:val="24"/>
          <w:szCs w:val="24"/>
        </w:rPr>
        <w:endnoteRef/>
      </w:r>
      <w:r w:rsidRPr="003572D2">
        <w:rPr>
          <w:sz w:val="24"/>
          <w:szCs w:val="24"/>
        </w:rPr>
        <w:t xml:space="preserve"> Ayesha Ramachandran, </w:t>
      </w:r>
      <w:r>
        <w:rPr>
          <w:sz w:val="24"/>
          <w:szCs w:val="24"/>
        </w:rPr>
        <w:t>“</w:t>
      </w:r>
      <w:r w:rsidRPr="003572D2">
        <w:rPr>
          <w:sz w:val="24"/>
          <w:szCs w:val="24"/>
        </w:rPr>
        <w:t>Cosmic matters: Spenser, Donne and the philosophic poem</w:t>
      </w:r>
      <w:r>
        <w:rPr>
          <w:sz w:val="24"/>
          <w:szCs w:val="24"/>
        </w:rPr>
        <w:t>,”</w:t>
      </w:r>
      <w:r w:rsidRPr="003572D2">
        <w:rPr>
          <w:sz w:val="24"/>
          <w:szCs w:val="24"/>
        </w:rPr>
        <w:t xml:space="preserve"> in </w:t>
      </w:r>
      <w:r w:rsidRPr="003572D2">
        <w:rPr>
          <w:i/>
          <w:iCs/>
          <w:sz w:val="24"/>
          <w:szCs w:val="24"/>
        </w:rPr>
        <w:t>Spenser and Donne: Thinking Poets</w:t>
      </w:r>
      <w:r w:rsidRPr="003572D2">
        <w:rPr>
          <w:sz w:val="24"/>
          <w:szCs w:val="24"/>
        </w:rPr>
        <w:t xml:space="preserve">, ed. Yulia Ryzhik (Manchester University Press, 2019), 137-56, esp. 143-5. Ramachandran takes her cue from Ernst Cassirer’s classic account of the emergence of modern subjectivity, </w:t>
      </w:r>
      <w:r w:rsidRPr="003572D2">
        <w:rPr>
          <w:i/>
          <w:iCs/>
          <w:sz w:val="24"/>
          <w:szCs w:val="24"/>
        </w:rPr>
        <w:t>The Individual and the Cosmos in Renaissance Philosophy</w:t>
      </w:r>
      <w:r w:rsidRPr="003572D2">
        <w:rPr>
          <w:sz w:val="24"/>
          <w:szCs w:val="24"/>
        </w:rPr>
        <w:t xml:space="preserve">, tr. Mario Domandi (Harper &amp; Row, 1964). On how Shakespeare’s contribution to </w:t>
      </w:r>
      <w:r w:rsidRPr="003572D2">
        <w:rPr>
          <w:i/>
          <w:iCs/>
          <w:sz w:val="24"/>
          <w:szCs w:val="24"/>
        </w:rPr>
        <w:t>Love’s Martyr</w:t>
      </w:r>
      <w:r w:rsidRPr="003572D2">
        <w:rPr>
          <w:sz w:val="24"/>
          <w:szCs w:val="24"/>
        </w:rPr>
        <w:t xml:space="preserve"> (1601) </w:t>
      </w:r>
      <w:r>
        <w:rPr>
          <w:sz w:val="24"/>
          <w:szCs w:val="24"/>
        </w:rPr>
        <w:t>stages</w:t>
      </w:r>
      <w:r w:rsidRPr="003572D2">
        <w:rPr>
          <w:sz w:val="24"/>
          <w:szCs w:val="24"/>
        </w:rPr>
        <w:t xml:space="preserve"> </w:t>
      </w:r>
      <w:r w:rsidR="002A14E6">
        <w:rPr>
          <w:sz w:val="24"/>
          <w:szCs w:val="24"/>
        </w:rPr>
        <w:t xml:space="preserve">an </w:t>
      </w:r>
      <w:r w:rsidRPr="003572D2">
        <w:rPr>
          <w:sz w:val="24"/>
          <w:szCs w:val="24"/>
        </w:rPr>
        <w:t xml:space="preserve">unresolved relationship between the particular and universal, see Ted </w:t>
      </w:r>
      <w:r w:rsidR="00D8653A" w:rsidRPr="003572D2">
        <w:rPr>
          <w:sz w:val="24"/>
          <w:szCs w:val="24"/>
        </w:rPr>
        <w:t>Tr</w:t>
      </w:r>
      <w:r w:rsidR="00D8653A">
        <w:rPr>
          <w:sz w:val="24"/>
          <w:szCs w:val="24"/>
        </w:rPr>
        <w:t>egea</w:t>
      </w:r>
      <w:r w:rsidR="00D8653A" w:rsidRPr="003572D2">
        <w:rPr>
          <w:sz w:val="24"/>
          <w:szCs w:val="24"/>
        </w:rPr>
        <w:t>r</w:t>
      </w:r>
      <w:r w:rsidRPr="003572D2">
        <w:rPr>
          <w:sz w:val="24"/>
          <w:szCs w:val="24"/>
        </w:rPr>
        <w:t xml:space="preserve">, </w:t>
      </w:r>
      <w:r w:rsidRPr="009E32A9">
        <w:rPr>
          <w:sz w:val="24"/>
          <w:szCs w:val="24"/>
        </w:rPr>
        <w:t xml:space="preserve">“Shakespeare’s Metaphysical Poem: Allegory, Metaphysics, and Aesthetics in ‘The </w:t>
      </w:r>
      <w:r w:rsidRPr="00EB0199">
        <w:rPr>
          <w:sz w:val="24"/>
          <w:szCs w:val="24"/>
        </w:rPr>
        <w:t>Phoenix and Turtle’”, </w:t>
      </w:r>
      <w:r w:rsidRPr="00EB0199">
        <w:rPr>
          <w:i/>
          <w:iCs/>
          <w:sz w:val="24"/>
          <w:szCs w:val="24"/>
        </w:rPr>
        <w:t>RES</w:t>
      </w:r>
      <w:r w:rsidRPr="00EB0199">
        <w:rPr>
          <w:sz w:val="24"/>
          <w:szCs w:val="24"/>
        </w:rPr>
        <w:t xml:space="preserve"> 74, no. 316 (2023): 635–651.</w:t>
      </w:r>
    </w:p>
  </w:endnote>
  <w:endnote w:id="27">
    <w:p w14:paraId="2AD99829" w14:textId="284B9825" w:rsidR="00D8653A" w:rsidRPr="00EB0199" w:rsidRDefault="00D8653A" w:rsidP="00EC63E7">
      <w:pPr>
        <w:pStyle w:val="EndnoteText"/>
        <w:spacing w:line="480" w:lineRule="auto"/>
        <w:rPr>
          <w:sz w:val="24"/>
          <w:szCs w:val="24"/>
          <w:lang w:val="en-US"/>
        </w:rPr>
      </w:pPr>
      <w:r w:rsidRPr="00EB0199">
        <w:rPr>
          <w:rStyle w:val="EndnoteReference"/>
          <w:sz w:val="24"/>
          <w:szCs w:val="24"/>
        </w:rPr>
        <w:endnoteRef/>
      </w:r>
      <w:r w:rsidRPr="00EB0199">
        <w:rPr>
          <w:sz w:val="24"/>
          <w:szCs w:val="24"/>
        </w:rPr>
        <w:t xml:space="preserve"> </w:t>
      </w:r>
      <w:r w:rsidR="009E32A9" w:rsidRPr="00EB0199">
        <w:rPr>
          <w:sz w:val="24"/>
          <w:szCs w:val="24"/>
        </w:rPr>
        <w:t xml:space="preserve">See the headnote to “The Garden” in </w:t>
      </w:r>
      <w:r w:rsidR="009E32A9" w:rsidRPr="00EB0199">
        <w:rPr>
          <w:i/>
          <w:iCs/>
          <w:sz w:val="24"/>
          <w:szCs w:val="24"/>
        </w:rPr>
        <w:t xml:space="preserve">The Poems of Andrew Marvell, </w:t>
      </w:r>
      <w:r w:rsidR="009E32A9" w:rsidRPr="00EB0199">
        <w:rPr>
          <w:sz w:val="24"/>
          <w:szCs w:val="24"/>
        </w:rPr>
        <w:t>ed. Nigel Smith (Longman, 2007). Quotations from the poetry of Marvell, given by line, refer to this edition.</w:t>
      </w:r>
    </w:p>
  </w:endnote>
  <w:endnote w:id="28">
    <w:p w14:paraId="68330B01" w14:textId="2C0C6167" w:rsidR="00EB0199" w:rsidRPr="00D372F1" w:rsidRDefault="00EB0199" w:rsidP="00EC63E7">
      <w:pPr>
        <w:pStyle w:val="FootnoteText"/>
        <w:spacing w:line="480" w:lineRule="auto"/>
        <w:rPr>
          <w:i/>
          <w:iCs/>
          <w:sz w:val="24"/>
          <w:szCs w:val="24"/>
        </w:rPr>
      </w:pPr>
      <w:r w:rsidRPr="00EB0199">
        <w:rPr>
          <w:rStyle w:val="EndnoteReference"/>
          <w:sz w:val="24"/>
          <w:szCs w:val="24"/>
        </w:rPr>
        <w:endnoteRef/>
      </w:r>
      <w:r w:rsidRPr="00EB0199">
        <w:rPr>
          <w:sz w:val="24"/>
          <w:szCs w:val="24"/>
        </w:rPr>
        <w:t xml:space="preserve"> Barbara Everrett, </w:t>
      </w:r>
      <w:r w:rsidRPr="00EB0199">
        <w:rPr>
          <w:i/>
          <w:iCs/>
          <w:sz w:val="24"/>
          <w:szCs w:val="24"/>
        </w:rPr>
        <w:t xml:space="preserve">Poets in Their Time: Essays on English Poetry from Donne to </w:t>
      </w:r>
      <w:r w:rsidRPr="00D372F1">
        <w:rPr>
          <w:i/>
          <w:iCs/>
          <w:sz w:val="24"/>
          <w:szCs w:val="24"/>
        </w:rPr>
        <w:t xml:space="preserve">Larkin </w:t>
      </w:r>
      <w:r w:rsidRPr="00D372F1">
        <w:rPr>
          <w:sz w:val="24"/>
          <w:szCs w:val="24"/>
        </w:rPr>
        <w:t>(Faber &amp; Faber, 1986), 40.</w:t>
      </w:r>
    </w:p>
  </w:endnote>
  <w:endnote w:id="29">
    <w:p w14:paraId="656F863B" w14:textId="6E65B1AC" w:rsidR="008D61C3" w:rsidRPr="00842554" w:rsidRDefault="008D61C3" w:rsidP="00EC63E7">
      <w:pPr>
        <w:pStyle w:val="FootnoteText"/>
        <w:spacing w:line="480" w:lineRule="auto"/>
        <w:rPr>
          <w:sz w:val="24"/>
          <w:szCs w:val="24"/>
          <w:lang w:val="en-US"/>
        </w:rPr>
      </w:pPr>
      <w:r w:rsidRPr="00D372F1">
        <w:rPr>
          <w:rStyle w:val="EndnoteReference"/>
          <w:sz w:val="24"/>
          <w:szCs w:val="24"/>
        </w:rPr>
        <w:endnoteRef/>
      </w:r>
      <w:r w:rsidRPr="00D372F1">
        <w:rPr>
          <w:sz w:val="24"/>
          <w:szCs w:val="24"/>
        </w:rPr>
        <w:t xml:space="preserve"> </w:t>
      </w:r>
      <w:r w:rsidRPr="00D372F1">
        <w:rPr>
          <w:sz w:val="24"/>
          <w:szCs w:val="24"/>
          <w:lang w:val="en-US"/>
        </w:rPr>
        <w:t xml:space="preserve">George Puttenham, </w:t>
      </w:r>
      <w:r w:rsidRPr="00D372F1">
        <w:rPr>
          <w:i/>
          <w:iCs/>
          <w:sz w:val="24"/>
          <w:szCs w:val="24"/>
          <w:lang w:val="en-US"/>
        </w:rPr>
        <w:t>The Art of English Poesy</w:t>
      </w:r>
      <w:r w:rsidRPr="00D372F1">
        <w:rPr>
          <w:sz w:val="24"/>
          <w:szCs w:val="24"/>
          <w:lang w:val="en-US"/>
        </w:rPr>
        <w:t xml:space="preserve">, ed. Frank Whigham and Wayne A. Rebhorn (Cornell University Press, 2007), 189, 187. </w:t>
      </w:r>
    </w:p>
  </w:endnote>
  <w:endnote w:id="30">
    <w:p w14:paraId="77D76356" w14:textId="7CFAA3E3" w:rsidR="00324283" w:rsidRPr="00324283" w:rsidRDefault="00324283" w:rsidP="00EC63E7">
      <w:pPr>
        <w:pStyle w:val="EndnoteText"/>
        <w:spacing w:line="480" w:lineRule="auto"/>
        <w:rPr>
          <w:lang w:val="en-US"/>
        </w:rPr>
      </w:pPr>
      <w:r>
        <w:rPr>
          <w:rStyle w:val="EndnoteReference"/>
        </w:rPr>
        <w:endnoteRef/>
      </w:r>
      <w:r>
        <w:t xml:space="preserve"> </w:t>
      </w:r>
      <w:r w:rsidR="00842554" w:rsidRPr="00842554">
        <w:rPr>
          <w:sz w:val="24"/>
          <w:szCs w:val="24"/>
        </w:rPr>
        <w:t xml:space="preserve">Discussions that connect </w:t>
      </w:r>
      <w:r w:rsidR="00842554">
        <w:rPr>
          <w:sz w:val="24"/>
          <w:szCs w:val="24"/>
        </w:rPr>
        <w:t>“</w:t>
      </w:r>
      <w:r w:rsidR="00842554" w:rsidRPr="00842554">
        <w:rPr>
          <w:sz w:val="24"/>
          <w:szCs w:val="24"/>
        </w:rPr>
        <w:t>The Garden</w:t>
      </w:r>
      <w:r w:rsidR="00842554">
        <w:rPr>
          <w:sz w:val="24"/>
          <w:szCs w:val="24"/>
        </w:rPr>
        <w:t>”</w:t>
      </w:r>
      <w:r w:rsidR="00842554" w:rsidRPr="00842554">
        <w:rPr>
          <w:sz w:val="24"/>
          <w:szCs w:val="24"/>
        </w:rPr>
        <w:t xml:space="preserve"> to </w:t>
      </w:r>
      <w:r w:rsidR="00842554" w:rsidRPr="00842554">
        <w:rPr>
          <w:sz w:val="24"/>
          <w:szCs w:val="24"/>
          <w:lang w:val="en-US"/>
        </w:rPr>
        <w:t xml:space="preserve">seventeenth-century debates about the ontology of color and how we perceive it include </w:t>
      </w:r>
      <w:r w:rsidR="00842554" w:rsidRPr="00842554">
        <w:rPr>
          <w:sz w:val="24"/>
          <w:szCs w:val="24"/>
        </w:rPr>
        <w:t xml:space="preserve">Robert N. Watson, </w:t>
      </w:r>
      <w:r w:rsidR="00842554" w:rsidRPr="00842554">
        <w:rPr>
          <w:i/>
          <w:iCs/>
          <w:sz w:val="24"/>
          <w:szCs w:val="24"/>
        </w:rPr>
        <w:t>Back to Nature: The Green and the Real in the Late Renaissance</w:t>
      </w:r>
      <w:r w:rsidR="00842554" w:rsidRPr="00842554">
        <w:rPr>
          <w:sz w:val="24"/>
          <w:szCs w:val="24"/>
        </w:rPr>
        <w:t xml:space="preserve"> (University of Pennsylvania Press, 2006), 111-14;</w:t>
      </w:r>
      <w:r w:rsidR="00842554">
        <w:rPr>
          <w:sz w:val="24"/>
          <w:szCs w:val="24"/>
        </w:rPr>
        <w:t xml:space="preserve"> and</w:t>
      </w:r>
      <w:r w:rsidR="00842554" w:rsidRPr="00842554">
        <w:rPr>
          <w:sz w:val="24"/>
          <w:szCs w:val="24"/>
        </w:rPr>
        <w:t xml:space="preserve"> </w:t>
      </w:r>
      <w:r w:rsidR="00842554" w:rsidRPr="00842554">
        <w:rPr>
          <w:sz w:val="24"/>
          <w:szCs w:val="24"/>
          <w:lang w:val="en-US"/>
        </w:rPr>
        <w:t>Bruce</w:t>
      </w:r>
      <w:r w:rsidR="00842554" w:rsidRPr="00842554">
        <w:rPr>
          <w:sz w:val="24"/>
          <w:szCs w:val="24"/>
        </w:rPr>
        <w:t xml:space="preserve"> R. Smith, </w:t>
      </w:r>
      <w:r w:rsidR="00842554" w:rsidRPr="00842554">
        <w:rPr>
          <w:i/>
          <w:iCs/>
          <w:sz w:val="24"/>
          <w:szCs w:val="24"/>
        </w:rPr>
        <w:t>The Key of Green: Passion and Perception in Renaissance Culture</w:t>
      </w:r>
      <w:r w:rsidR="00842554" w:rsidRPr="00842554">
        <w:rPr>
          <w:sz w:val="24"/>
          <w:szCs w:val="24"/>
        </w:rPr>
        <w:t xml:space="preserve"> (University of Chicago Press, 2008), 29–43.</w:t>
      </w:r>
    </w:p>
  </w:endnote>
  <w:endnote w:id="31">
    <w:p w14:paraId="2322A45E" w14:textId="13011A4B" w:rsidR="002A325D" w:rsidRPr="00291D41" w:rsidRDefault="002A325D" w:rsidP="00EC63E7">
      <w:pPr>
        <w:pStyle w:val="EndnoteText"/>
        <w:spacing w:line="480" w:lineRule="auto"/>
        <w:rPr>
          <w:sz w:val="24"/>
          <w:szCs w:val="24"/>
          <w:lang w:val="en-US"/>
        </w:rPr>
      </w:pPr>
      <w:r w:rsidRPr="00291D41">
        <w:rPr>
          <w:rStyle w:val="EndnoteReference"/>
          <w:sz w:val="24"/>
          <w:szCs w:val="24"/>
        </w:rPr>
        <w:endnoteRef/>
      </w:r>
      <w:r w:rsidRPr="00291D41">
        <w:rPr>
          <w:sz w:val="24"/>
          <w:szCs w:val="24"/>
        </w:rPr>
        <w:t xml:space="preserve"> Samuel Johnson, </w:t>
      </w:r>
      <w:r w:rsidRPr="00291D41">
        <w:rPr>
          <w:i/>
          <w:iCs/>
          <w:sz w:val="24"/>
          <w:szCs w:val="24"/>
        </w:rPr>
        <w:t>The Lives of the Most Eminent English Poets</w:t>
      </w:r>
      <w:r w:rsidRPr="00291D41">
        <w:rPr>
          <w:sz w:val="24"/>
          <w:szCs w:val="24"/>
        </w:rPr>
        <w:t xml:space="preserve">, ed. Roger Lonsdale, 4 vols (Clarendon Press, 2006), 1:200; Eliot, </w:t>
      </w:r>
      <w:r w:rsidRPr="00291D41">
        <w:rPr>
          <w:i/>
          <w:iCs/>
          <w:sz w:val="24"/>
          <w:szCs w:val="24"/>
        </w:rPr>
        <w:t>Selected Essays</w:t>
      </w:r>
      <w:r w:rsidRPr="00291D41">
        <w:rPr>
          <w:sz w:val="24"/>
          <w:szCs w:val="24"/>
        </w:rPr>
        <w:t>, 286.</w:t>
      </w:r>
    </w:p>
  </w:endnote>
  <w:endnote w:id="32">
    <w:p w14:paraId="0660814D" w14:textId="510BE725" w:rsidR="00291D41" w:rsidRPr="00291D41" w:rsidRDefault="00291D41" w:rsidP="00EC63E7">
      <w:pPr>
        <w:pStyle w:val="EndnoteText"/>
        <w:spacing w:line="480" w:lineRule="auto"/>
        <w:rPr>
          <w:i/>
          <w:iCs/>
          <w:sz w:val="24"/>
          <w:szCs w:val="24"/>
        </w:rPr>
      </w:pPr>
      <w:r w:rsidRPr="00291D41">
        <w:rPr>
          <w:rStyle w:val="EndnoteReference"/>
          <w:sz w:val="24"/>
          <w:szCs w:val="24"/>
        </w:rPr>
        <w:endnoteRef/>
      </w:r>
      <w:r w:rsidRPr="00291D41">
        <w:rPr>
          <w:sz w:val="24"/>
          <w:szCs w:val="24"/>
        </w:rPr>
        <w:t xml:space="preserve"> Marshall Grossman, </w:t>
      </w:r>
      <w:r w:rsidRPr="00291D41">
        <w:rPr>
          <w:i/>
          <w:iCs/>
          <w:sz w:val="24"/>
          <w:szCs w:val="24"/>
        </w:rPr>
        <w:t>The Story of All Things: Writing the Self in English</w:t>
      </w:r>
      <w:r>
        <w:rPr>
          <w:i/>
          <w:iCs/>
          <w:sz w:val="24"/>
          <w:szCs w:val="24"/>
        </w:rPr>
        <w:t xml:space="preserve"> </w:t>
      </w:r>
      <w:r w:rsidRPr="00291D41">
        <w:rPr>
          <w:i/>
          <w:iCs/>
          <w:sz w:val="24"/>
          <w:szCs w:val="24"/>
        </w:rPr>
        <w:t xml:space="preserve">Renaissance Narrative Poetry </w:t>
      </w:r>
      <w:r w:rsidRPr="00291D41">
        <w:rPr>
          <w:sz w:val="24"/>
          <w:szCs w:val="24"/>
        </w:rPr>
        <w:t>(Duke University Press, 1998), 165.</w:t>
      </w:r>
    </w:p>
  </w:endnote>
  <w:endnote w:id="33">
    <w:p w14:paraId="21385B7E" w14:textId="19DBB56E" w:rsidR="00291D41" w:rsidRPr="003B4ACE" w:rsidRDefault="00291D41" w:rsidP="00EC63E7">
      <w:pPr>
        <w:pStyle w:val="EndnoteText"/>
        <w:spacing w:line="480" w:lineRule="auto"/>
        <w:rPr>
          <w:sz w:val="24"/>
          <w:szCs w:val="24"/>
        </w:rPr>
      </w:pPr>
      <w:r w:rsidRPr="00291D41">
        <w:rPr>
          <w:rStyle w:val="EndnoteReference"/>
          <w:sz w:val="24"/>
          <w:szCs w:val="24"/>
        </w:rPr>
        <w:endnoteRef/>
      </w:r>
      <w:r w:rsidRPr="00291D41">
        <w:rPr>
          <w:sz w:val="24"/>
          <w:szCs w:val="24"/>
        </w:rPr>
        <w:t xml:space="preserve"> Rosalie L. Colie, </w:t>
      </w:r>
      <w:r w:rsidRPr="00291D41">
        <w:rPr>
          <w:i/>
          <w:iCs/>
          <w:sz w:val="24"/>
          <w:szCs w:val="24"/>
        </w:rPr>
        <w:t>My Echoing Song: Andrew Marvell’s Poetry of Criticism</w:t>
      </w:r>
      <w:r w:rsidRPr="00291D41">
        <w:rPr>
          <w:sz w:val="24"/>
          <w:szCs w:val="24"/>
        </w:rPr>
        <w:t xml:space="preserve"> (Princeton University Press, 1970), 79. On </w:t>
      </w:r>
      <w:r>
        <w:rPr>
          <w:sz w:val="24"/>
          <w:szCs w:val="24"/>
        </w:rPr>
        <w:t>“</w:t>
      </w:r>
      <w:r w:rsidRPr="00291D41">
        <w:rPr>
          <w:sz w:val="24"/>
          <w:szCs w:val="24"/>
        </w:rPr>
        <w:t>The Garden</w:t>
      </w:r>
      <w:r>
        <w:rPr>
          <w:sz w:val="24"/>
          <w:szCs w:val="24"/>
        </w:rPr>
        <w:t>”</w:t>
      </w:r>
      <w:r w:rsidRPr="00291D41">
        <w:rPr>
          <w:sz w:val="24"/>
          <w:szCs w:val="24"/>
        </w:rPr>
        <w:t xml:space="preserve"> as an attempt to imagine a sameness free from metaphoric relation, see Ryan Netzley, </w:t>
      </w:r>
      <w:r>
        <w:rPr>
          <w:sz w:val="24"/>
          <w:szCs w:val="24"/>
        </w:rPr>
        <w:t>“</w:t>
      </w:r>
      <w:r w:rsidRPr="00291D41">
        <w:rPr>
          <w:sz w:val="24"/>
          <w:szCs w:val="24"/>
        </w:rPr>
        <w:t xml:space="preserve">Sameness and the Poetics of Nonrelation: Andrew Marvell’s </w:t>
      </w:r>
      <w:r>
        <w:rPr>
          <w:sz w:val="24"/>
          <w:szCs w:val="24"/>
        </w:rPr>
        <w:t>‘</w:t>
      </w:r>
      <w:r w:rsidRPr="00291D41">
        <w:rPr>
          <w:sz w:val="24"/>
          <w:szCs w:val="24"/>
        </w:rPr>
        <w:t>The Garden</w:t>
      </w:r>
      <w:r>
        <w:rPr>
          <w:sz w:val="24"/>
          <w:szCs w:val="24"/>
        </w:rPr>
        <w:t>’”</w:t>
      </w:r>
      <w:r w:rsidRPr="00291D41">
        <w:rPr>
          <w:sz w:val="24"/>
          <w:szCs w:val="24"/>
        </w:rPr>
        <w:t xml:space="preserve">, </w:t>
      </w:r>
      <w:r w:rsidRPr="00291D41">
        <w:rPr>
          <w:i/>
          <w:iCs/>
          <w:sz w:val="24"/>
          <w:szCs w:val="24"/>
        </w:rPr>
        <w:t>PMLA</w:t>
      </w:r>
      <w:r w:rsidRPr="00291D41">
        <w:rPr>
          <w:sz w:val="24"/>
          <w:szCs w:val="24"/>
        </w:rPr>
        <w:t xml:space="preserve"> 132</w:t>
      </w:r>
      <w:r>
        <w:rPr>
          <w:sz w:val="24"/>
          <w:szCs w:val="24"/>
        </w:rPr>
        <w:t xml:space="preserve">, no. </w:t>
      </w:r>
      <w:r w:rsidRPr="00291D41">
        <w:rPr>
          <w:sz w:val="24"/>
          <w:szCs w:val="24"/>
        </w:rPr>
        <w:t xml:space="preserve">3 (2017): 580-95. </w:t>
      </w:r>
    </w:p>
  </w:endnote>
  <w:endnote w:id="34">
    <w:p w14:paraId="0DD164CC" w14:textId="751EF985" w:rsidR="003B4ACE" w:rsidRPr="00F35496" w:rsidRDefault="003B4ACE" w:rsidP="00EC63E7">
      <w:pPr>
        <w:pStyle w:val="EndnoteText"/>
        <w:spacing w:line="480" w:lineRule="auto"/>
        <w:rPr>
          <w:sz w:val="24"/>
          <w:szCs w:val="24"/>
          <w:lang w:val="en-US"/>
        </w:rPr>
      </w:pPr>
      <w:r w:rsidRPr="003B4ACE">
        <w:rPr>
          <w:rStyle w:val="EndnoteReference"/>
          <w:sz w:val="24"/>
          <w:szCs w:val="24"/>
        </w:rPr>
        <w:endnoteRef/>
      </w:r>
      <w:r w:rsidRPr="003B4ACE">
        <w:rPr>
          <w:sz w:val="24"/>
          <w:szCs w:val="24"/>
        </w:rPr>
        <w:t xml:space="preserve"> </w:t>
      </w:r>
      <w:r>
        <w:rPr>
          <w:sz w:val="24"/>
          <w:szCs w:val="24"/>
        </w:rPr>
        <w:t xml:space="preserve">Christopher Ricks, </w:t>
      </w:r>
      <w:r>
        <w:rPr>
          <w:i/>
          <w:iCs/>
          <w:sz w:val="24"/>
          <w:szCs w:val="24"/>
        </w:rPr>
        <w:t>The Force of Poetry</w:t>
      </w:r>
      <w:r>
        <w:rPr>
          <w:sz w:val="24"/>
          <w:szCs w:val="24"/>
        </w:rPr>
        <w:t xml:space="preserve"> (Clarendon Press, 1995), 34</w:t>
      </w:r>
      <w:r w:rsidR="002235F9">
        <w:rPr>
          <w:sz w:val="24"/>
          <w:szCs w:val="24"/>
        </w:rPr>
        <w:t>; 55</w:t>
      </w:r>
      <w:r>
        <w:rPr>
          <w:sz w:val="24"/>
          <w:szCs w:val="24"/>
        </w:rPr>
        <w:t xml:space="preserve">. </w:t>
      </w:r>
      <w:r w:rsidR="0024618B">
        <w:rPr>
          <w:sz w:val="24"/>
          <w:szCs w:val="24"/>
        </w:rPr>
        <w:t>The term is borrowed from</w:t>
      </w:r>
      <w:r>
        <w:rPr>
          <w:sz w:val="24"/>
          <w:szCs w:val="24"/>
        </w:rPr>
        <w:t xml:space="preserve"> </w:t>
      </w:r>
      <w:r w:rsidRPr="00F35496">
        <w:rPr>
          <w:sz w:val="24"/>
          <w:szCs w:val="24"/>
        </w:rPr>
        <w:t xml:space="preserve">William Empson, </w:t>
      </w:r>
      <w:r w:rsidRPr="00F35496">
        <w:rPr>
          <w:i/>
          <w:iCs/>
          <w:sz w:val="24"/>
          <w:szCs w:val="24"/>
        </w:rPr>
        <w:t>Seven Types of Ambiguity</w:t>
      </w:r>
      <w:r w:rsidRPr="00F35496">
        <w:rPr>
          <w:sz w:val="24"/>
          <w:szCs w:val="24"/>
        </w:rPr>
        <w:t xml:space="preserve"> (Chatto and Windus, 1949), 160. </w:t>
      </w:r>
      <w:r w:rsidR="0024618B">
        <w:rPr>
          <w:sz w:val="24"/>
          <w:szCs w:val="24"/>
        </w:rPr>
        <w:t xml:space="preserve">The phrase </w:t>
      </w:r>
      <w:r w:rsidRPr="00F35496">
        <w:rPr>
          <w:sz w:val="24"/>
          <w:szCs w:val="24"/>
        </w:rPr>
        <w:t>“</w:t>
      </w:r>
      <w:r w:rsidR="0024618B">
        <w:rPr>
          <w:sz w:val="24"/>
          <w:szCs w:val="24"/>
        </w:rPr>
        <w:t>i</w:t>
      </w:r>
      <w:r w:rsidRPr="00F35496">
        <w:rPr>
          <w:sz w:val="24"/>
          <w:szCs w:val="24"/>
        </w:rPr>
        <w:t xml:space="preserve">ts own resemblance” is from </w:t>
      </w:r>
      <w:r w:rsidR="0024618B">
        <w:rPr>
          <w:sz w:val="24"/>
          <w:szCs w:val="24"/>
        </w:rPr>
        <w:t>“</w:t>
      </w:r>
      <w:r w:rsidRPr="00F35496">
        <w:rPr>
          <w:sz w:val="24"/>
          <w:szCs w:val="24"/>
        </w:rPr>
        <w:t>The Garden</w:t>
      </w:r>
      <w:r w:rsidR="0024618B">
        <w:rPr>
          <w:sz w:val="24"/>
          <w:szCs w:val="24"/>
        </w:rPr>
        <w:t>”</w:t>
      </w:r>
      <w:r w:rsidRPr="00F35496">
        <w:rPr>
          <w:sz w:val="24"/>
          <w:szCs w:val="24"/>
        </w:rPr>
        <w:t xml:space="preserve"> </w:t>
      </w:r>
      <w:r w:rsidR="0024618B">
        <w:rPr>
          <w:sz w:val="24"/>
          <w:szCs w:val="24"/>
        </w:rPr>
        <w:t>(</w:t>
      </w:r>
      <w:r w:rsidRPr="00F35496">
        <w:rPr>
          <w:sz w:val="24"/>
          <w:szCs w:val="24"/>
        </w:rPr>
        <w:t>44</w:t>
      </w:r>
      <w:r w:rsidR="0024618B">
        <w:rPr>
          <w:sz w:val="24"/>
          <w:szCs w:val="24"/>
        </w:rPr>
        <w:t>)</w:t>
      </w:r>
      <w:r w:rsidRPr="00F35496">
        <w:rPr>
          <w:sz w:val="24"/>
          <w:szCs w:val="24"/>
        </w:rPr>
        <w:t>.</w:t>
      </w:r>
    </w:p>
  </w:endnote>
  <w:endnote w:id="35">
    <w:p w14:paraId="2B5AEC36" w14:textId="61E4594B" w:rsidR="00F35496" w:rsidRPr="00E42074" w:rsidRDefault="00F35496" w:rsidP="00EC63E7">
      <w:pPr>
        <w:pStyle w:val="FootnoteText"/>
        <w:spacing w:line="480" w:lineRule="auto"/>
        <w:rPr>
          <w:sz w:val="24"/>
          <w:szCs w:val="24"/>
        </w:rPr>
      </w:pPr>
      <w:r w:rsidRPr="00F35496">
        <w:rPr>
          <w:rStyle w:val="EndnoteReference"/>
          <w:sz w:val="24"/>
          <w:szCs w:val="24"/>
        </w:rPr>
        <w:endnoteRef/>
      </w:r>
      <w:r w:rsidRPr="00F35496">
        <w:rPr>
          <w:sz w:val="24"/>
          <w:szCs w:val="24"/>
        </w:rPr>
        <w:t xml:space="preserve"> On retirement, see Gordon Teskey, </w:t>
      </w:r>
      <w:r>
        <w:rPr>
          <w:sz w:val="24"/>
          <w:szCs w:val="24"/>
        </w:rPr>
        <w:t>“</w:t>
      </w:r>
      <w:r w:rsidRPr="00F35496">
        <w:rPr>
          <w:sz w:val="24"/>
          <w:szCs w:val="24"/>
        </w:rPr>
        <w:t>Greenland: Marvell’s ‘The Garden</w:t>
      </w:r>
      <w:r>
        <w:rPr>
          <w:sz w:val="24"/>
          <w:szCs w:val="24"/>
        </w:rPr>
        <w:t>,’”</w:t>
      </w:r>
      <w:r w:rsidRPr="00F35496">
        <w:rPr>
          <w:sz w:val="24"/>
          <w:szCs w:val="24"/>
        </w:rPr>
        <w:t xml:space="preserve"> in </w:t>
      </w:r>
      <w:r w:rsidRPr="00F35496">
        <w:rPr>
          <w:i/>
          <w:iCs/>
          <w:sz w:val="24"/>
          <w:szCs w:val="24"/>
        </w:rPr>
        <w:t xml:space="preserve">The Oxford </w:t>
      </w:r>
      <w:r w:rsidRPr="00E42074">
        <w:rPr>
          <w:i/>
          <w:iCs/>
          <w:sz w:val="24"/>
          <w:szCs w:val="24"/>
        </w:rPr>
        <w:t>Handbook of Andrew Marvell</w:t>
      </w:r>
      <w:r w:rsidRPr="00E42074">
        <w:rPr>
          <w:sz w:val="24"/>
          <w:szCs w:val="24"/>
        </w:rPr>
        <w:t xml:space="preserve">, ed. Martin Dzelzainis and Edward Holberton (Oxford University Press, 2019), 359-60. </w:t>
      </w:r>
    </w:p>
  </w:endnote>
  <w:endnote w:id="36">
    <w:p w14:paraId="1219A678" w14:textId="5597D057" w:rsidR="00F35496" w:rsidRPr="00E42074" w:rsidRDefault="00F35496" w:rsidP="00EC63E7">
      <w:pPr>
        <w:pStyle w:val="EndnoteText"/>
        <w:spacing w:line="480" w:lineRule="auto"/>
        <w:rPr>
          <w:sz w:val="24"/>
          <w:szCs w:val="24"/>
          <w:lang w:val="en-US"/>
        </w:rPr>
      </w:pPr>
      <w:r w:rsidRPr="00E42074">
        <w:rPr>
          <w:rStyle w:val="EndnoteReference"/>
          <w:sz w:val="24"/>
          <w:szCs w:val="24"/>
        </w:rPr>
        <w:endnoteRef/>
      </w:r>
      <w:r w:rsidRPr="00E42074">
        <w:rPr>
          <w:sz w:val="24"/>
          <w:szCs w:val="24"/>
        </w:rPr>
        <w:t xml:space="preserve"> Teskey, “Greenland,” 359.</w:t>
      </w:r>
    </w:p>
  </w:endnote>
  <w:endnote w:id="37">
    <w:p w14:paraId="4752557A" w14:textId="03D3F48A" w:rsidR="00E42074" w:rsidRPr="00E42074" w:rsidRDefault="00E42074" w:rsidP="00EC63E7">
      <w:pPr>
        <w:pStyle w:val="EndnoteText"/>
        <w:spacing w:line="480" w:lineRule="auto"/>
        <w:rPr>
          <w:sz w:val="24"/>
          <w:szCs w:val="24"/>
          <w:lang w:val="en-US"/>
        </w:rPr>
      </w:pPr>
      <w:r w:rsidRPr="00E42074">
        <w:rPr>
          <w:rStyle w:val="EndnoteReference"/>
          <w:sz w:val="24"/>
          <w:szCs w:val="24"/>
        </w:rPr>
        <w:endnoteRef/>
      </w:r>
      <w:r w:rsidRPr="00E42074">
        <w:rPr>
          <w:sz w:val="24"/>
          <w:szCs w:val="24"/>
        </w:rPr>
        <w:t xml:space="preserve"> </w:t>
      </w:r>
      <w:r w:rsidRPr="00E42074">
        <w:rPr>
          <w:i/>
          <w:iCs/>
          <w:sz w:val="24"/>
          <w:szCs w:val="24"/>
        </w:rPr>
        <w:t>Metaphysics</w:t>
      </w:r>
      <w:r w:rsidRPr="00E42074">
        <w:rPr>
          <w:sz w:val="24"/>
          <w:szCs w:val="24"/>
        </w:rPr>
        <w:t>, B, 999a26-b3.</w:t>
      </w:r>
    </w:p>
  </w:endnote>
  <w:endnote w:id="38">
    <w:p w14:paraId="1D6FD1B6" w14:textId="5C7B2E85" w:rsidR="00E42074" w:rsidRPr="00E42074" w:rsidRDefault="00E42074" w:rsidP="00EC63E7">
      <w:pPr>
        <w:pStyle w:val="EndnoteText"/>
        <w:spacing w:line="480" w:lineRule="auto"/>
        <w:rPr>
          <w:sz w:val="24"/>
          <w:szCs w:val="24"/>
          <w:lang w:val="en-US"/>
        </w:rPr>
      </w:pPr>
      <w:r w:rsidRPr="00E42074">
        <w:rPr>
          <w:rStyle w:val="EndnoteReference"/>
          <w:sz w:val="24"/>
          <w:szCs w:val="24"/>
        </w:rPr>
        <w:endnoteRef/>
      </w:r>
      <w:r w:rsidRPr="00E42074">
        <w:rPr>
          <w:sz w:val="24"/>
          <w:szCs w:val="24"/>
        </w:rPr>
        <w:t xml:space="preserve"> Henry Peacham, </w:t>
      </w:r>
      <w:r w:rsidRPr="00E42074">
        <w:rPr>
          <w:i/>
          <w:iCs/>
          <w:sz w:val="24"/>
          <w:szCs w:val="24"/>
        </w:rPr>
        <w:t>The Garden of Eloquence</w:t>
      </w:r>
      <w:r w:rsidRPr="00E42074">
        <w:rPr>
          <w:sz w:val="24"/>
          <w:szCs w:val="24"/>
        </w:rPr>
        <w:t xml:space="preserve"> (London, 1593), 1–2.</w:t>
      </w:r>
    </w:p>
  </w:endnote>
  <w:endnote w:id="39">
    <w:p w14:paraId="55C29551" w14:textId="611C48D9" w:rsidR="00E42074" w:rsidRPr="00A56D08" w:rsidRDefault="00E42074" w:rsidP="00EC63E7">
      <w:pPr>
        <w:pStyle w:val="EndnoteText"/>
        <w:spacing w:line="480" w:lineRule="auto"/>
        <w:rPr>
          <w:sz w:val="24"/>
          <w:szCs w:val="24"/>
          <w:lang w:val="en-US"/>
        </w:rPr>
      </w:pPr>
      <w:r w:rsidRPr="00E42074">
        <w:rPr>
          <w:rStyle w:val="EndnoteReference"/>
          <w:sz w:val="24"/>
          <w:szCs w:val="24"/>
        </w:rPr>
        <w:endnoteRef/>
      </w:r>
      <w:r w:rsidRPr="00E42074">
        <w:rPr>
          <w:sz w:val="24"/>
          <w:szCs w:val="24"/>
        </w:rPr>
        <w:t xml:space="preserve"> Dominic Hubert Gavin, </w:t>
      </w:r>
      <w:r>
        <w:rPr>
          <w:sz w:val="24"/>
          <w:szCs w:val="24"/>
        </w:rPr>
        <w:t>“</w:t>
      </w:r>
      <w:r w:rsidRPr="00E42074">
        <w:rPr>
          <w:sz w:val="24"/>
          <w:szCs w:val="24"/>
        </w:rPr>
        <w:t>The Referential and the Fictional in the Nature Poetry of Andrew Marvell,</w:t>
      </w:r>
      <w:r>
        <w:rPr>
          <w:sz w:val="24"/>
          <w:szCs w:val="24"/>
        </w:rPr>
        <w:t>”</w:t>
      </w:r>
      <w:r w:rsidRPr="00E42074">
        <w:rPr>
          <w:sz w:val="24"/>
          <w:szCs w:val="24"/>
        </w:rPr>
        <w:t xml:space="preserve"> </w:t>
      </w:r>
      <w:r w:rsidRPr="00E42074">
        <w:rPr>
          <w:i/>
          <w:iCs/>
          <w:sz w:val="24"/>
          <w:szCs w:val="24"/>
        </w:rPr>
        <w:t>RES</w:t>
      </w:r>
      <w:r>
        <w:rPr>
          <w:sz w:val="24"/>
          <w:szCs w:val="24"/>
        </w:rPr>
        <w:t xml:space="preserve"> 76, no. 327</w:t>
      </w:r>
      <w:r w:rsidRPr="00E42074">
        <w:rPr>
          <w:sz w:val="24"/>
          <w:szCs w:val="24"/>
        </w:rPr>
        <w:t xml:space="preserve"> (2025):</w:t>
      </w:r>
      <w:r>
        <w:rPr>
          <w:sz w:val="24"/>
          <w:szCs w:val="24"/>
        </w:rPr>
        <w:t xml:space="preserve"> 526-44,</w:t>
      </w:r>
      <w:r w:rsidRPr="00E42074">
        <w:rPr>
          <w:sz w:val="24"/>
          <w:szCs w:val="24"/>
        </w:rPr>
        <w:t xml:space="preserve"> </w:t>
      </w:r>
      <w:r>
        <w:rPr>
          <w:sz w:val="24"/>
          <w:szCs w:val="24"/>
        </w:rPr>
        <w:t>533</w:t>
      </w:r>
      <w:r w:rsidRPr="00E42074">
        <w:rPr>
          <w:sz w:val="24"/>
          <w:szCs w:val="24"/>
        </w:rPr>
        <w:t xml:space="preserve">. On the origins of metaphor </w:t>
      </w:r>
      <w:r w:rsidRPr="00A56D08">
        <w:rPr>
          <w:sz w:val="24"/>
          <w:szCs w:val="24"/>
        </w:rPr>
        <w:t>in the shortage of proper names, Gavin cites Cicero, Quintilian and Peacham.</w:t>
      </w:r>
    </w:p>
  </w:endnote>
  <w:endnote w:id="40">
    <w:p w14:paraId="03007FCA" w14:textId="4D5D74C5" w:rsidR="00A56D08" w:rsidRPr="00A56D08" w:rsidRDefault="00A56D08" w:rsidP="00EC63E7">
      <w:pPr>
        <w:pStyle w:val="FootnoteText"/>
        <w:spacing w:line="480" w:lineRule="auto"/>
        <w:rPr>
          <w:sz w:val="24"/>
          <w:szCs w:val="24"/>
          <w:lang w:val="en-US"/>
        </w:rPr>
      </w:pPr>
      <w:r w:rsidRPr="00A56D08">
        <w:rPr>
          <w:rStyle w:val="EndnoteReference"/>
          <w:sz w:val="24"/>
          <w:szCs w:val="24"/>
        </w:rPr>
        <w:endnoteRef/>
      </w:r>
      <w:r w:rsidRPr="00A56D08">
        <w:rPr>
          <w:sz w:val="24"/>
          <w:szCs w:val="24"/>
        </w:rPr>
        <w:t xml:space="preserve"> Harry Berger, jr., </w:t>
      </w:r>
      <w:r w:rsidRPr="00A56D08">
        <w:rPr>
          <w:i/>
          <w:iCs/>
          <w:sz w:val="24"/>
          <w:szCs w:val="24"/>
        </w:rPr>
        <w:t>Second World and Green World</w:t>
      </w:r>
      <w:r w:rsidRPr="00A56D08">
        <w:rPr>
          <w:sz w:val="24"/>
          <w:szCs w:val="24"/>
        </w:rPr>
        <w:t xml:space="preserve"> (</w:t>
      </w:r>
      <w:r w:rsidR="008239EB">
        <w:rPr>
          <w:sz w:val="24"/>
          <w:szCs w:val="24"/>
        </w:rPr>
        <w:t>U</w:t>
      </w:r>
      <w:r w:rsidRPr="00A56D08">
        <w:rPr>
          <w:sz w:val="24"/>
          <w:szCs w:val="24"/>
        </w:rPr>
        <w:t xml:space="preserve">niversity of California Press, 1988), 278. </w:t>
      </w:r>
    </w:p>
  </w:endnote>
  <w:endnote w:id="41">
    <w:p w14:paraId="3735206C" w14:textId="2C3C4631" w:rsidR="00A56D08" w:rsidRPr="00A56D08" w:rsidRDefault="00A56D08" w:rsidP="00EC63E7">
      <w:pPr>
        <w:pStyle w:val="EndnoteText"/>
        <w:spacing w:line="480" w:lineRule="auto"/>
        <w:rPr>
          <w:lang w:val="en-US"/>
        </w:rPr>
      </w:pPr>
      <w:r w:rsidRPr="00A56D08">
        <w:rPr>
          <w:rStyle w:val="EndnoteReference"/>
          <w:sz w:val="24"/>
          <w:szCs w:val="24"/>
        </w:rPr>
        <w:endnoteRef/>
      </w:r>
      <w:r w:rsidRPr="00A56D08">
        <w:rPr>
          <w:sz w:val="24"/>
          <w:szCs w:val="24"/>
        </w:rPr>
        <w:t xml:space="preserve"> Leah Marcus, </w:t>
      </w:r>
      <w:r>
        <w:rPr>
          <w:sz w:val="24"/>
          <w:szCs w:val="24"/>
        </w:rPr>
        <w:t>“</w:t>
      </w:r>
      <w:r w:rsidRPr="00A56D08">
        <w:rPr>
          <w:sz w:val="24"/>
          <w:szCs w:val="24"/>
        </w:rPr>
        <w:t xml:space="preserve">Marvell’s </w:t>
      </w:r>
      <w:r>
        <w:rPr>
          <w:sz w:val="24"/>
          <w:szCs w:val="24"/>
        </w:rPr>
        <w:t>‘</w:t>
      </w:r>
      <w:r w:rsidRPr="00A56D08">
        <w:rPr>
          <w:sz w:val="24"/>
          <w:szCs w:val="24"/>
        </w:rPr>
        <w:t>Nymph Complaining</w:t>
      </w:r>
      <w:r>
        <w:rPr>
          <w:sz w:val="24"/>
          <w:szCs w:val="24"/>
        </w:rPr>
        <w:t>’</w:t>
      </w:r>
      <w:r w:rsidRPr="00A56D08">
        <w:rPr>
          <w:sz w:val="24"/>
          <w:szCs w:val="24"/>
        </w:rPr>
        <w:t xml:space="preserve"> and the Erotics of Vitalism</w:t>
      </w:r>
      <w:r>
        <w:rPr>
          <w:sz w:val="24"/>
          <w:szCs w:val="24"/>
        </w:rPr>
        <w:t>,” in</w:t>
      </w:r>
      <w:r w:rsidRPr="00A56D08">
        <w:rPr>
          <w:sz w:val="24"/>
          <w:szCs w:val="24"/>
        </w:rPr>
        <w:t xml:space="preserve"> </w:t>
      </w:r>
      <w:r w:rsidRPr="00A56D08">
        <w:rPr>
          <w:i/>
          <w:iCs/>
          <w:sz w:val="24"/>
          <w:szCs w:val="24"/>
        </w:rPr>
        <w:t>The Oxford Handbook</w:t>
      </w:r>
      <w:r w:rsidRPr="00A56D08">
        <w:rPr>
          <w:sz w:val="24"/>
          <w:szCs w:val="24"/>
        </w:rPr>
        <w:t xml:space="preserve">, 378. On hermeticism, see Matthew C. Augustine, </w:t>
      </w:r>
      <w:r w:rsidRPr="00A56D08">
        <w:rPr>
          <w:i/>
          <w:iCs/>
          <w:sz w:val="24"/>
          <w:szCs w:val="24"/>
        </w:rPr>
        <w:t>Andrew Marvell: A Literary Life</w:t>
      </w:r>
      <w:r w:rsidRPr="00A56D08">
        <w:rPr>
          <w:sz w:val="24"/>
          <w:szCs w:val="24"/>
        </w:rPr>
        <w:t xml:space="preserve"> (Palgrave, 2021), 121-5. On </w:t>
      </w:r>
      <w:r>
        <w:rPr>
          <w:sz w:val="24"/>
          <w:szCs w:val="24"/>
        </w:rPr>
        <w:t>the idea</w:t>
      </w:r>
      <w:r w:rsidRPr="00A56D08">
        <w:rPr>
          <w:sz w:val="24"/>
          <w:szCs w:val="24"/>
        </w:rPr>
        <w:t xml:space="preserve"> that </w:t>
      </w:r>
      <w:r>
        <w:rPr>
          <w:sz w:val="24"/>
          <w:szCs w:val="24"/>
        </w:rPr>
        <w:t>“</w:t>
      </w:r>
      <w:r w:rsidRPr="00A56D08">
        <w:rPr>
          <w:sz w:val="24"/>
          <w:szCs w:val="24"/>
        </w:rPr>
        <w:t>the dissolution of the self… facilitates a mystical union</w:t>
      </w:r>
      <w:r>
        <w:rPr>
          <w:sz w:val="24"/>
          <w:szCs w:val="24"/>
        </w:rPr>
        <w:t>”</w:t>
      </w:r>
      <w:r w:rsidRPr="00A56D08">
        <w:rPr>
          <w:sz w:val="24"/>
          <w:szCs w:val="24"/>
        </w:rPr>
        <w:t xml:space="preserve"> with nature, see N. K. Sugimura</w:t>
      </w:r>
      <w:r w:rsidR="00660A10">
        <w:rPr>
          <w:sz w:val="24"/>
          <w:szCs w:val="24"/>
        </w:rPr>
        <w:t xml:space="preserve">, </w:t>
      </w:r>
      <w:r>
        <w:rPr>
          <w:sz w:val="24"/>
          <w:szCs w:val="24"/>
        </w:rPr>
        <w:t>“</w:t>
      </w:r>
      <w:r w:rsidRPr="00A56D08">
        <w:rPr>
          <w:sz w:val="24"/>
          <w:szCs w:val="24"/>
        </w:rPr>
        <w:t>Marvell’s Mind and the Glow-worms of Extinction</w:t>
      </w:r>
      <w:r>
        <w:rPr>
          <w:sz w:val="24"/>
          <w:szCs w:val="24"/>
        </w:rPr>
        <w:t>,”</w:t>
      </w:r>
      <w:r w:rsidRPr="00A56D08">
        <w:rPr>
          <w:sz w:val="24"/>
          <w:szCs w:val="24"/>
        </w:rPr>
        <w:t xml:space="preserve"> </w:t>
      </w:r>
      <w:r w:rsidRPr="00A56D08">
        <w:rPr>
          <w:i/>
          <w:iCs/>
          <w:sz w:val="24"/>
          <w:szCs w:val="24"/>
        </w:rPr>
        <w:t>RES</w:t>
      </w:r>
      <w:r w:rsidRPr="00A56D08">
        <w:rPr>
          <w:sz w:val="24"/>
          <w:szCs w:val="24"/>
        </w:rPr>
        <w:t xml:space="preserve"> 62</w:t>
      </w:r>
      <w:r>
        <w:rPr>
          <w:sz w:val="24"/>
          <w:szCs w:val="24"/>
        </w:rPr>
        <w:t xml:space="preserve">, no. </w:t>
      </w:r>
      <w:r w:rsidRPr="00A56D08">
        <w:rPr>
          <w:sz w:val="24"/>
          <w:szCs w:val="24"/>
        </w:rPr>
        <w:t>254 (2010): 245-7.</w:t>
      </w:r>
    </w:p>
  </w:endnote>
  <w:endnote w:id="42">
    <w:p w14:paraId="02BE7F25" w14:textId="6F80E9C7" w:rsidR="008239EB" w:rsidRPr="00B54134" w:rsidRDefault="008239EB" w:rsidP="00EC63E7">
      <w:pPr>
        <w:pStyle w:val="EndnoteText"/>
        <w:spacing w:line="480" w:lineRule="auto"/>
        <w:rPr>
          <w:sz w:val="24"/>
          <w:szCs w:val="24"/>
        </w:rPr>
      </w:pPr>
      <w:r w:rsidRPr="008239EB">
        <w:rPr>
          <w:rStyle w:val="EndnoteReference"/>
          <w:sz w:val="24"/>
          <w:szCs w:val="24"/>
        </w:rPr>
        <w:endnoteRef/>
      </w:r>
      <w:r w:rsidRPr="008239EB">
        <w:rPr>
          <w:sz w:val="24"/>
          <w:szCs w:val="24"/>
        </w:rPr>
        <w:t xml:space="preserve"> Aristotle, </w:t>
      </w:r>
      <w:r w:rsidRPr="008239EB">
        <w:rPr>
          <w:i/>
          <w:iCs/>
          <w:sz w:val="24"/>
          <w:szCs w:val="24"/>
        </w:rPr>
        <w:t>On the Soul</w:t>
      </w:r>
      <w:r w:rsidRPr="008239EB">
        <w:rPr>
          <w:sz w:val="24"/>
          <w:szCs w:val="24"/>
        </w:rPr>
        <w:t>, II.11, 424a1-3; 12, 424a17-20. On Marvell’s engagement with Renaissance Aristotelian</w:t>
      </w:r>
      <w:r w:rsidR="00EC63E7">
        <w:rPr>
          <w:sz w:val="24"/>
          <w:szCs w:val="24"/>
        </w:rPr>
        <w:t>ism</w:t>
      </w:r>
      <w:r w:rsidRPr="008239EB">
        <w:rPr>
          <w:sz w:val="24"/>
          <w:szCs w:val="24"/>
        </w:rPr>
        <w:t xml:space="preserve">, see Sugimura, </w:t>
      </w:r>
      <w:r>
        <w:rPr>
          <w:sz w:val="24"/>
          <w:szCs w:val="24"/>
        </w:rPr>
        <w:t>“</w:t>
      </w:r>
      <w:r w:rsidRPr="008239EB">
        <w:rPr>
          <w:sz w:val="24"/>
          <w:szCs w:val="24"/>
        </w:rPr>
        <w:t>‘The World Excluding Round:</w:t>
      </w:r>
      <w:r>
        <w:rPr>
          <w:sz w:val="24"/>
          <w:szCs w:val="24"/>
        </w:rPr>
        <w:t>’</w:t>
      </w:r>
      <w:r w:rsidRPr="008239EB">
        <w:rPr>
          <w:sz w:val="24"/>
          <w:szCs w:val="24"/>
        </w:rPr>
        <w:t xml:space="preserve"> Suspended Passions and Alienated Affects in Marvell’s </w:t>
      </w:r>
      <w:r w:rsidRPr="00B54134">
        <w:rPr>
          <w:sz w:val="24"/>
          <w:szCs w:val="24"/>
        </w:rPr>
        <w:t xml:space="preserve">Lyric Poetry,” in </w:t>
      </w:r>
      <w:r w:rsidRPr="00B54134">
        <w:rPr>
          <w:i/>
          <w:iCs/>
          <w:sz w:val="24"/>
          <w:szCs w:val="24"/>
        </w:rPr>
        <w:t>Imagining Marvell at 400</w:t>
      </w:r>
      <w:r w:rsidRPr="00B54134">
        <w:rPr>
          <w:sz w:val="24"/>
          <w:szCs w:val="24"/>
        </w:rPr>
        <w:t>, ed. Matthew C. Augustine, Giulio J. Pertile and Steven N. Zwicker (Oxford University Press, 2022) 193–216.</w:t>
      </w:r>
    </w:p>
  </w:endnote>
  <w:endnote w:id="43">
    <w:p w14:paraId="40C8972C" w14:textId="60F5D19C" w:rsidR="00B54134" w:rsidRPr="00176C50" w:rsidRDefault="00B54134" w:rsidP="00EC63E7">
      <w:pPr>
        <w:pStyle w:val="FootnoteText"/>
        <w:spacing w:line="480" w:lineRule="auto"/>
        <w:rPr>
          <w:sz w:val="24"/>
          <w:szCs w:val="24"/>
          <w:lang w:val="en-US"/>
        </w:rPr>
      </w:pPr>
      <w:r w:rsidRPr="00B54134">
        <w:rPr>
          <w:rStyle w:val="EndnoteReference"/>
          <w:sz w:val="24"/>
          <w:szCs w:val="24"/>
        </w:rPr>
        <w:endnoteRef/>
      </w:r>
      <w:r w:rsidRPr="00B54134">
        <w:rPr>
          <w:sz w:val="24"/>
          <w:szCs w:val="24"/>
        </w:rPr>
        <w:t xml:space="preserve"> </w:t>
      </w:r>
      <w:r w:rsidRPr="00B54134">
        <w:rPr>
          <w:sz w:val="24"/>
          <w:szCs w:val="24"/>
          <w:lang w:val="en-US"/>
        </w:rPr>
        <w:t xml:space="preserve">Netzley, </w:t>
      </w:r>
      <w:r>
        <w:rPr>
          <w:sz w:val="24"/>
          <w:szCs w:val="24"/>
          <w:lang w:val="en-US"/>
        </w:rPr>
        <w:t>“</w:t>
      </w:r>
      <w:r w:rsidRPr="00B54134">
        <w:rPr>
          <w:sz w:val="24"/>
          <w:szCs w:val="24"/>
          <w:lang w:val="en-US"/>
        </w:rPr>
        <w:t>Poetics of Nonrel</w:t>
      </w:r>
      <w:r w:rsidR="00176C50">
        <w:rPr>
          <w:sz w:val="24"/>
          <w:szCs w:val="24"/>
          <w:lang w:val="en-US"/>
        </w:rPr>
        <w:t>a</w:t>
      </w:r>
      <w:r w:rsidRPr="00B54134">
        <w:rPr>
          <w:sz w:val="24"/>
          <w:szCs w:val="24"/>
          <w:lang w:val="en-US"/>
        </w:rPr>
        <w:t>tion</w:t>
      </w:r>
      <w:r>
        <w:rPr>
          <w:sz w:val="24"/>
          <w:szCs w:val="24"/>
          <w:lang w:val="en-US"/>
        </w:rPr>
        <w:t>,”</w:t>
      </w:r>
      <w:r w:rsidRPr="00B54134">
        <w:rPr>
          <w:sz w:val="24"/>
          <w:szCs w:val="24"/>
          <w:lang w:val="en-US"/>
        </w:rPr>
        <w:t xml:space="preserve"> 582. </w:t>
      </w:r>
      <w:r>
        <w:rPr>
          <w:sz w:val="24"/>
          <w:szCs w:val="24"/>
          <w:lang w:val="en-US"/>
        </w:rPr>
        <w:t xml:space="preserve">See </w:t>
      </w:r>
      <w:r>
        <w:rPr>
          <w:i/>
          <w:iCs/>
          <w:sz w:val="24"/>
          <w:szCs w:val="24"/>
          <w:lang w:val="en-US"/>
        </w:rPr>
        <w:t>OED</w:t>
      </w:r>
      <w:r>
        <w:rPr>
          <w:sz w:val="24"/>
          <w:szCs w:val="24"/>
          <w:lang w:val="en-US"/>
        </w:rPr>
        <w:t xml:space="preserve">, “sublate, v.”, s.1 and 3. </w:t>
      </w:r>
    </w:p>
  </w:endnote>
  <w:endnote w:id="44">
    <w:p w14:paraId="424F2C0A" w14:textId="4DAE17DA" w:rsidR="00176C50" w:rsidRPr="00176C50" w:rsidRDefault="00176C50" w:rsidP="00EC63E7">
      <w:pPr>
        <w:pStyle w:val="EndnoteText"/>
        <w:spacing w:line="480" w:lineRule="auto"/>
        <w:rPr>
          <w:sz w:val="24"/>
          <w:szCs w:val="24"/>
          <w:lang w:val="en-US"/>
        </w:rPr>
      </w:pPr>
      <w:r w:rsidRPr="00176C50">
        <w:rPr>
          <w:rStyle w:val="EndnoteReference"/>
          <w:sz w:val="24"/>
          <w:szCs w:val="24"/>
        </w:rPr>
        <w:endnoteRef/>
      </w:r>
      <w:r w:rsidRPr="00176C50">
        <w:rPr>
          <w:sz w:val="24"/>
          <w:szCs w:val="24"/>
        </w:rPr>
        <w:t xml:space="preserve"> Bacon, </w:t>
      </w:r>
      <w:r w:rsidRPr="00176C50">
        <w:rPr>
          <w:i/>
          <w:iCs/>
          <w:sz w:val="24"/>
          <w:szCs w:val="24"/>
        </w:rPr>
        <w:t>The Works of Francis Bacon</w:t>
      </w:r>
      <w:r w:rsidRPr="00176C50">
        <w:rPr>
          <w:sz w:val="24"/>
          <w:szCs w:val="24"/>
        </w:rPr>
        <w:t>, 13:118; emphasis added.</w:t>
      </w:r>
    </w:p>
  </w:endnote>
  <w:endnote w:id="45">
    <w:p w14:paraId="00001EE5" w14:textId="3183BE5E" w:rsidR="00176C50" w:rsidRPr="00BB144A" w:rsidRDefault="00176C50" w:rsidP="00EC63E7">
      <w:pPr>
        <w:pStyle w:val="EndnoteText"/>
        <w:spacing w:line="480" w:lineRule="auto"/>
        <w:rPr>
          <w:sz w:val="24"/>
          <w:szCs w:val="24"/>
        </w:rPr>
      </w:pPr>
      <w:r w:rsidRPr="00176C50">
        <w:rPr>
          <w:rStyle w:val="EndnoteReference"/>
          <w:sz w:val="24"/>
          <w:szCs w:val="24"/>
        </w:rPr>
        <w:endnoteRef/>
      </w:r>
      <w:r w:rsidRPr="00176C50">
        <w:rPr>
          <w:sz w:val="24"/>
          <w:szCs w:val="24"/>
        </w:rPr>
        <w:t xml:space="preserve"> On </w:t>
      </w:r>
      <w:r>
        <w:rPr>
          <w:sz w:val="24"/>
          <w:szCs w:val="24"/>
        </w:rPr>
        <w:t>“</w:t>
      </w:r>
      <w:r w:rsidRPr="00176C50">
        <w:rPr>
          <w:sz w:val="24"/>
          <w:szCs w:val="24"/>
        </w:rPr>
        <w:t>supernatural oneness</w:t>
      </w:r>
      <w:r>
        <w:rPr>
          <w:sz w:val="24"/>
          <w:szCs w:val="24"/>
        </w:rPr>
        <w:t>”</w:t>
      </w:r>
      <w:r w:rsidRPr="00176C50">
        <w:rPr>
          <w:sz w:val="24"/>
          <w:szCs w:val="24"/>
        </w:rPr>
        <w:t xml:space="preserve">, see Sugimura, </w:t>
      </w:r>
      <w:r w:rsidR="00955848">
        <w:rPr>
          <w:sz w:val="24"/>
          <w:szCs w:val="24"/>
        </w:rPr>
        <w:t>“</w:t>
      </w:r>
      <w:r w:rsidRPr="00176C50">
        <w:rPr>
          <w:sz w:val="24"/>
          <w:szCs w:val="24"/>
        </w:rPr>
        <w:t>Glow-worms of Extinction,</w:t>
      </w:r>
      <w:r w:rsidR="00955848">
        <w:rPr>
          <w:sz w:val="24"/>
          <w:szCs w:val="24"/>
        </w:rPr>
        <w:t>”</w:t>
      </w:r>
      <w:r w:rsidRPr="00176C50">
        <w:rPr>
          <w:sz w:val="24"/>
          <w:szCs w:val="24"/>
        </w:rPr>
        <w:t xml:space="preserve"> 249-5</w:t>
      </w:r>
      <w:r>
        <w:rPr>
          <w:sz w:val="24"/>
          <w:szCs w:val="24"/>
        </w:rPr>
        <w:t xml:space="preserve">0, and Empson’s account of Marvell’s reconciliation of conscious and unconscious states in </w:t>
      </w:r>
      <w:r>
        <w:rPr>
          <w:i/>
          <w:iCs/>
          <w:sz w:val="24"/>
          <w:szCs w:val="24"/>
        </w:rPr>
        <w:t>Some Versions of Pastoral</w:t>
      </w:r>
      <w:r>
        <w:rPr>
          <w:sz w:val="24"/>
          <w:szCs w:val="24"/>
        </w:rPr>
        <w:t xml:space="preserve"> (Chatto and Windus, 1935), 119-45</w:t>
      </w:r>
      <w:r w:rsidRPr="00176C50">
        <w:rPr>
          <w:sz w:val="24"/>
          <w:szCs w:val="24"/>
        </w:rPr>
        <w:t xml:space="preserve">; on detachment, see Gavin, </w:t>
      </w:r>
      <w:r w:rsidR="00955848">
        <w:rPr>
          <w:sz w:val="24"/>
          <w:szCs w:val="24"/>
        </w:rPr>
        <w:t>“</w:t>
      </w:r>
      <w:r w:rsidRPr="00176C50">
        <w:rPr>
          <w:sz w:val="24"/>
          <w:szCs w:val="24"/>
        </w:rPr>
        <w:t>Referential and Fictional,</w:t>
      </w:r>
      <w:r w:rsidR="00955848">
        <w:rPr>
          <w:sz w:val="24"/>
          <w:szCs w:val="24"/>
        </w:rPr>
        <w:t>”</w:t>
      </w:r>
      <w:r w:rsidRPr="00176C50">
        <w:rPr>
          <w:sz w:val="24"/>
          <w:szCs w:val="24"/>
        </w:rPr>
        <w:t xml:space="preserve"> 14. For a Cartesian account of </w:t>
      </w:r>
      <w:r w:rsidR="00955848">
        <w:rPr>
          <w:sz w:val="24"/>
          <w:szCs w:val="24"/>
        </w:rPr>
        <w:t>“</w:t>
      </w:r>
      <w:r w:rsidRPr="00176C50">
        <w:rPr>
          <w:sz w:val="24"/>
          <w:szCs w:val="24"/>
        </w:rPr>
        <w:t>annihilation</w:t>
      </w:r>
      <w:r w:rsidR="00955848">
        <w:rPr>
          <w:sz w:val="24"/>
          <w:szCs w:val="24"/>
        </w:rPr>
        <w:t>”</w:t>
      </w:r>
      <w:r w:rsidRPr="00176C50">
        <w:rPr>
          <w:sz w:val="24"/>
          <w:szCs w:val="24"/>
        </w:rPr>
        <w:t xml:space="preserve"> which yields pure thought, see Daniel Stempel, </w:t>
      </w:r>
      <w:r w:rsidR="00955848">
        <w:rPr>
          <w:sz w:val="24"/>
          <w:szCs w:val="24"/>
        </w:rPr>
        <w:t>“</w:t>
      </w:r>
      <w:r w:rsidRPr="00176C50">
        <w:rPr>
          <w:sz w:val="24"/>
          <w:szCs w:val="24"/>
        </w:rPr>
        <w:t>The Garden: Marvell’s Cartesian Ecstasy,</w:t>
      </w:r>
      <w:r w:rsidR="00955848">
        <w:rPr>
          <w:sz w:val="24"/>
          <w:szCs w:val="24"/>
        </w:rPr>
        <w:t>”</w:t>
      </w:r>
      <w:r w:rsidRPr="00176C50">
        <w:rPr>
          <w:sz w:val="24"/>
          <w:szCs w:val="24"/>
        </w:rPr>
        <w:t xml:space="preserve"> </w:t>
      </w:r>
      <w:r w:rsidRPr="00176C50">
        <w:rPr>
          <w:i/>
          <w:iCs/>
          <w:sz w:val="24"/>
          <w:szCs w:val="24"/>
        </w:rPr>
        <w:t>Journal of the History of Ideas</w:t>
      </w:r>
      <w:r w:rsidRPr="00176C50">
        <w:rPr>
          <w:sz w:val="24"/>
          <w:szCs w:val="24"/>
        </w:rPr>
        <w:t xml:space="preserve">, 28 (1967): 99–114. By contrast, for a Hobbesian reading of </w:t>
      </w:r>
      <w:r w:rsidR="00955848">
        <w:rPr>
          <w:sz w:val="24"/>
          <w:szCs w:val="24"/>
        </w:rPr>
        <w:t>“</w:t>
      </w:r>
      <w:r w:rsidRPr="00176C50">
        <w:rPr>
          <w:sz w:val="24"/>
          <w:szCs w:val="24"/>
        </w:rPr>
        <w:t>annihilation</w:t>
      </w:r>
      <w:r w:rsidR="00955848">
        <w:rPr>
          <w:sz w:val="24"/>
          <w:szCs w:val="24"/>
        </w:rPr>
        <w:t>”</w:t>
      </w:r>
      <w:r w:rsidRPr="00176C50">
        <w:rPr>
          <w:sz w:val="24"/>
          <w:szCs w:val="24"/>
        </w:rPr>
        <w:t xml:space="preserve"> which confirms the material grounds of consciousness, see Martin Dzelzainis, </w:t>
      </w:r>
      <w:r w:rsidR="00955848">
        <w:rPr>
          <w:sz w:val="24"/>
          <w:szCs w:val="24"/>
        </w:rPr>
        <w:t>“</w:t>
      </w:r>
      <w:r w:rsidRPr="00176C50">
        <w:rPr>
          <w:sz w:val="24"/>
          <w:szCs w:val="24"/>
        </w:rPr>
        <w:t>A Greater Errour in Chronology,</w:t>
      </w:r>
      <w:r w:rsidR="00955848">
        <w:rPr>
          <w:sz w:val="24"/>
          <w:szCs w:val="24"/>
        </w:rPr>
        <w:t>”</w:t>
      </w:r>
      <w:r w:rsidRPr="00176C50">
        <w:rPr>
          <w:sz w:val="24"/>
          <w:szCs w:val="24"/>
        </w:rPr>
        <w:t xml:space="preserve"> in </w:t>
      </w:r>
      <w:r w:rsidRPr="00BB144A">
        <w:rPr>
          <w:i/>
          <w:iCs/>
          <w:sz w:val="24"/>
          <w:szCs w:val="24"/>
        </w:rPr>
        <w:t>The Oxford Handbook</w:t>
      </w:r>
      <w:r w:rsidRPr="00BB144A">
        <w:rPr>
          <w:sz w:val="24"/>
          <w:szCs w:val="24"/>
        </w:rPr>
        <w:t xml:space="preserve">, 325–29. </w:t>
      </w:r>
    </w:p>
  </w:endnote>
  <w:endnote w:id="46">
    <w:p w14:paraId="2F19956C" w14:textId="064EBFE7" w:rsidR="00BB144A" w:rsidRPr="005E30AF" w:rsidRDefault="00BB144A" w:rsidP="00EC63E7">
      <w:pPr>
        <w:pStyle w:val="EndnoteText"/>
        <w:spacing w:line="480" w:lineRule="auto"/>
        <w:rPr>
          <w:sz w:val="24"/>
          <w:szCs w:val="24"/>
          <w:lang w:val="en-US"/>
        </w:rPr>
      </w:pPr>
      <w:r w:rsidRPr="005E30AF">
        <w:rPr>
          <w:rStyle w:val="EndnoteReference"/>
          <w:sz w:val="24"/>
          <w:szCs w:val="24"/>
        </w:rPr>
        <w:endnoteRef/>
      </w:r>
      <w:r w:rsidRPr="005E30AF">
        <w:rPr>
          <w:sz w:val="24"/>
          <w:szCs w:val="24"/>
        </w:rPr>
        <w:t xml:space="preserve"> See Ernst Cassirer, </w:t>
      </w:r>
      <w:r w:rsidRPr="005E30AF">
        <w:rPr>
          <w:i/>
          <w:iCs/>
          <w:sz w:val="24"/>
          <w:szCs w:val="24"/>
        </w:rPr>
        <w:t>Substance and Function</w:t>
      </w:r>
      <w:r w:rsidRPr="005E30AF">
        <w:rPr>
          <w:sz w:val="24"/>
          <w:szCs w:val="24"/>
        </w:rPr>
        <w:t>, tr. W.C. Swabey and M.C. Swabey (Dover Publications, 1953), 20-3.</w:t>
      </w:r>
    </w:p>
  </w:endnote>
  <w:endnote w:id="47">
    <w:p w14:paraId="5A99E34D" w14:textId="5E3A4CA3" w:rsidR="005E30AF" w:rsidRPr="002A5418" w:rsidRDefault="005E30AF" w:rsidP="00EC63E7">
      <w:pPr>
        <w:pStyle w:val="EndnoteText"/>
        <w:spacing w:line="480" w:lineRule="auto"/>
        <w:rPr>
          <w:sz w:val="24"/>
          <w:szCs w:val="24"/>
          <w:lang w:val="en-US"/>
        </w:rPr>
      </w:pPr>
      <w:r w:rsidRPr="002A5418">
        <w:rPr>
          <w:rStyle w:val="EndnoteReference"/>
          <w:sz w:val="24"/>
          <w:szCs w:val="24"/>
        </w:rPr>
        <w:endnoteRef/>
      </w:r>
      <w:r w:rsidRPr="002A5418">
        <w:rPr>
          <w:sz w:val="24"/>
          <w:szCs w:val="24"/>
        </w:rPr>
        <w:t xml:space="preserve"> </w:t>
      </w:r>
      <w:r w:rsidR="00B21B07">
        <w:rPr>
          <w:sz w:val="24"/>
          <w:szCs w:val="24"/>
        </w:rPr>
        <w:t xml:space="preserve">See, for example, </w:t>
      </w:r>
      <w:r w:rsidRPr="002A5418">
        <w:rPr>
          <w:sz w:val="24"/>
          <w:szCs w:val="24"/>
        </w:rPr>
        <w:t xml:space="preserve">Empson, </w:t>
      </w:r>
      <w:r w:rsidRPr="002A5418">
        <w:rPr>
          <w:i/>
          <w:iCs/>
          <w:sz w:val="24"/>
          <w:szCs w:val="24"/>
        </w:rPr>
        <w:t>Some Versions</w:t>
      </w:r>
      <w:r w:rsidRPr="002A5418">
        <w:rPr>
          <w:sz w:val="24"/>
          <w:szCs w:val="24"/>
        </w:rPr>
        <w:t>, 145.</w:t>
      </w:r>
    </w:p>
  </w:endnote>
  <w:endnote w:id="48">
    <w:p w14:paraId="5BC4B46E" w14:textId="2A95C028" w:rsidR="002A5418" w:rsidRPr="002A5418" w:rsidRDefault="002A5418" w:rsidP="00EC63E7">
      <w:pPr>
        <w:pStyle w:val="EndnoteText"/>
        <w:spacing w:line="480" w:lineRule="auto"/>
        <w:rPr>
          <w:sz w:val="24"/>
          <w:szCs w:val="24"/>
          <w:lang w:val="en-US"/>
        </w:rPr>
      </w:pPr>
      <w:r w:rsidRPr="002A5418">
        <w:rPr>
          <w:rStyle w:val="EndnoteReference"/>
          <w:sz w:val="24"/>
          <w:szCs w:val="24"/>
        </w:rPr>
        <w:endnoteRef/>
      </w:r>
      <w:r w:rsidRPr="002A5418">
        <w:rPr>
          <w:sz w:val="24"/>
          <w:szCs w:val="24"/>
        </w:rPr>
        <w:t xml:space="preserve"> </w:t>
      </w:r>
      <w:r w:rsidRPr="00176C50">
        <w:rPr>
          <w:sz w:val="24"/>
          <w:szCs w:val="24"/>
        </w:rPr>
        <w:t xml:space="preserve">Bacon, </w:t>
      </w:r>
      <w:r w:rsidRPr="00176C50">
        <w:rPr>
          <w:i/>
          <w:iCs/>
          <w:sz w:val="24"/>
          <w:szCs w:val="24"/>
        </w:rPr>
        <w:t>The Works of Francis Bacon</w:t>
      </w:r>
      <w:r w:rsidRPr="00176C50">
        <w:rPr>
          <w:sz w:val="24"/>
          <w:szCs w:val="24"/>
        </w:rPr>
        <w:t>, 13:118</w:t>
      </w:r>
      <w:r>
        <w:rPr>
          <w:sz w:val="24"/>
          <w:szCs w:val="24"/>
        </w:rPr>
        <w:t>.</w:t>
      </w:r>
    </w:p>
  </w:endnote>
  <w:endnote w:id="49">
    <w:p w14:paraId="128318F6" w14:textId="784A44E9" w:rsidR="005E30AF" w:rsidRPr="00AA6738" w:rsidRDefault="005E30AF" w:rsidP="00EC63E7">
      <w:pPr>
        <w:pStyle w:val="EndnoteText"/>
        <w:spacing w:line="480" w:lineRule="auto"/>
        <w:rPr>
          <w:sz w:val="24"/>
          <w:szCs w:val="24"/>
          <w:lang w:val="en-US"/>
        </w:rPr>
      </w:pPr>
      <w:r w:rsidRPr="002A5418">
        <w:rPr>
          <w:rStyle w:val="EndnoteReference"/>
          <w:sz w:val="24"/>
          <w:szCs w:val="24"/>
        </w:rPr>
        <w:endnoteRef/>
      </w:r>
      <w:r w:rsidRPr="002A5418">
        <w:rPr>
          <w:sz w:val="24"/>
          <w:szCs w:val="24"/>
        </w:rPr>
        <w:t xml:space="preserve"> Donald Freidman, “Andrew Marvell,” in </w:t>
      </w:r>
      <w:r w:rsidRPr="002A5418">
        <w:rPr>
          <w:i/>
          <w:iCs/>
          <w:sz w:val="24"/>
          <w:szCs w:val="24"/>
        </w:rPr>
        <w:t>The Cambridge Companion to English Poetry, Donne to Marvell</w:t>
      </w:r>
      <w:r w:rsidRPr="002A5418">
        <w:rPr>
          <w:sz w:val="24"/>
          <w:szCs w:val="24"/>
        </w:rPr>
        <w:t xml:space="preserve">, ed. Thomas N. Corns (Cambridge University Press, 2006), </w:t>
      </w:r>
      <w:r w:rsidRPr="00AA6738">
        <w:rPr>
          <w:sz w:val="24"/>
          <w:szCs w:val="24"/>
        </w:rPr>
        <w:t>278.</w:t>
      </w:r>
    </w:p>
  </w:endnote>
  <w:endnote w:id="50">
    <w:p w14:paraId="473A13B2" w14:textId="0DE0FAB6" w:rsidR="00AA6738" w:rsidRPr="00AA6738" w:rsidRDefault="00AA6738" w:rsidP="00EC63E7">
      <w:pPr>
        <w:pStyle w:val="EndnoteText"/>
        <w:spacing w:line="480" w:lineRule="auto"/>
        <w:rPr>
          <w:sz w:val="24"/>
          <w:szCs w:val="24"/>
          <w:lang w:val="en-US"/>
        </w:rPr>
      </w:pPr>
      <w:r w:rsidRPr="00AA6738">
        <w:rPr>
          <w:rStyle w:val="EndnoteReference"/>
          <w:sz w:val="24"/>
          <w:szCs w:val="24"/>
        </w:rPr>
        <w:endnoteRef/>
      </w:r>
      <w:r w:rsidRPr="00AA6738">
        <w:rPr>
          <w:sz w:val="24"/>
          <w:szCs w:val="24"/>
        </w:rPr>
        <w:t xml:space="preserve"> Puttenham, </w:t>
      </w:r>
      <w:r w:rsidRPr="00AA6738">
        <w:rPr>
          <w:i/>
          <w:iCs/>
          <w:sz w:val="24"/>
          <w:szCs w:val="24"/>
        </w:rPr>
        <w:t xml:space="preserve">The Art of English Poesy, </w:t>
      </w:r>
      <w:r w:rsidRPr="00AA6738">
        <w:rPr>
          <w:sz w:val="24"/>
          <w:szCs w:val="24"/>
        </w:rPr>
        <w:t>258.</w:t>
      </w:r>
    </w:p>
  </w:endnote>
  <w:endnote w:id="51">
    <w:p w14:paraId="3229625D" w14:textId="193ABCAD" w:rsidR="00960493" w:rsidRPr="00960493" w:rsidRDefault="00960493" w:rsidP="00EC63E7">
      <w:pPr>
        <w:pStyle w:val="EndnoteText"/>
        <w:spacing w:line="480" w:lineRule="auto"/>
        <w:rPr>
          <w:sz w:val="24"/>
          <w:szCs w:val="24"/>
          <w:lang w:val="en-US"/>
        </w:rPr>
      </w:pPr>
      <w:r w:rsidRPr="00960493">
        <w:rPr>
          <w:rStyle w:val="EndnoteReference"/>
          <w:sz w:val="24"/>
          <w:szCs w:val="24"/>
        </w:rPr>
        <w:endnoteRef/>
      </w:r>
      <w:r w:rsidRPr="00960493">
        <w:rPr>
          <w:sz w:val="24"/>
          <w:szCs w:val="24"/>
        </w:rPr>
        <w:t xml:space="preserve"> Plato compared the poet—that </w:t>
      </w:r>
      <w:r>
        <w:rPr>
          <w:sz w:val="24"/>
          <w:szCs w:val="24"/>
        </w:rPr>
        <w:t>“</w:t>
      </w:r>
      <w:r w:rsidRPr="00960493">
        <w:rPr>
          <w:sz w:val="24"/>
          <w:szCs w:val="24"/>
        </w:rPr>
        <w:t>light and winge</w:t>
      </w:r>
      <w:r>
        <w:rPr>
          <w:sz w:val="24"/>
          <w:szCs w:val="24"/>
        </w:rPr>
        <w:t>d”</w:t>
      </w:r>
      <w:r w:rsidRPr="00960493">
        <w:rPr>
          <w:sz w:val="24"/>
          <w:szCs w:val="24"/>
        </w:rPr>
        <w:t xml:space="preserve"> thing—to a bee, and the songs they bring to the honey of the gardens of the Muses. See </w:t>
      </w:r>
      <w:r w:rsidRPr="00960493">
        <w:rPr>
          <w:i/>
          <w:iCs/>
          <w:sz w:val="24"/>
          <w:szCs w:val="24"/>
        </w:rPr>
        <w:t>Ion</w:t>
      </w:r>
      <w:r w:rsidRPr="00960493">
        <w:rPr>
          <w:sz w:val="24"/>
          <w:szCs w:val="24"/>
        </w:rPr>
        <w:t xml:space="preserve">, tr. W.R.M. Lamb (Harvard University Press, 1990), 534b. On </w:t>
      </w:r>
      <w:r w:rsidRPr="00960493">
        <w:rPr>
          <w:i/>
          <w:iCs/>
          <w:sz w:val="24"/>
          <w:szCs w:val="24"/>
        </w:rPr>
        <w:t>poiesis</w:t>
      </w:r>
      <w:r w:rsidRPr="00960493">
        <w:rPr>
          <w:sz w:val="24"/>
          <w:szCs w:val="24"/>
        </w:rPr>
        <w:t xml:space="preserve"> as gardening in Sidney and</w:t>
      </w:r>
      <w:r w:rsidR="00863E3D">
        <w:rPr>
          <w:sz w:val="24"/>
          <w:szCs w:val="24"/>
        </w:rPr>
        <w:t xml:space="preserve"> </w:t>
      </w:r>
      <w:r w:rsidRPr="00960493">
        <w:rPr>
          <w:sz w:val="24"/>
          <w:szCs w:val="24"/>
        </w:rPr>
        <w:t xml:space="preserve">Tasso, see Namratha Rao, </w:t>
      </w:r>
      <w:r>
        <w:rPr>
          <w:sz w:val="24"/>
          <w:szCs w:val="24"/>
        </w:rPr>
        <w:t>“</w:t>
      </w:r>
      <w:r w:rsidRPr="00960493">
        <w:rPr>
          <w:sz w:val="24"/>
          <w:szCs w:val="24"/>
        </w:rPr>
        <w:t>Ground-plots</w:t>
      </w:r>
      <w:r>
        <w:rPr>
          <w:sz w:val="24"/>
          <w:szCs w:val="24"/>
        </w:rPr>
        <w:t xml:space="preserve"> of Invention: Poetics of the Material and Difficult Thinking in </w:t>
      </w:r>
      <w:r>
        <w:rPr>
          <w:i/>
          <w:iCs/>
          <w:sz w:val="24"/>
          <w:szCs w:val="24"/>
        </w:rPr>
        <w:t>The Faerie Queene</w:t>
      </w:r>
      <w:r>
        <w:rPr>
          <w:sz w:val="24"/>
          <w:szCs w:val="24"/>
        </w:rPr>
        <w:t xml:space="preserve">,” </w:t>
      </w:r>
      <w:r>
        <w:rPr>
          <w:i/>
          <w:iCs/>
          <w:sz w:val="24"/>
          <w:szCs w:val="24"/>
        </w:rPr>
        <w:t>English Literary Renaissance</w:t>
      </w:r>
      <w:r>
        <w:rPr>
          <w:sz w:val="24"/>
          <w:szCs w:val="24"/>
        </w:rPr>
        <w:t xml:space="preserve"> 53, no. 2 (2023): 218-49.</w:t>
      </w:r>
    </w:p>
  </w:endnote>
  <w:endnote w:id="52">
    <w:p w14:paraId="32EF5CC8" w14:textId="73385C98" w:rsidR="004F4457" w:rsidRPr="00BD3BEC" w:rsidRDefault="004F4457" w:rsidP="00EC63E7">
      <w:pPr>
        <w:pStyle w:val="EndnoteText"/>
        <w:spacing w:line="480" w:lineRule="auto"/>
        <w:rPr>
          <w:sz w:val="24"/>
          <w:szCs w:val="24"/>
          <w:lang w:val="en-US"/>
        </w:rPr>
      </w:pPr>
      <w:r w:rsidRPr="00BD3BEC">
        <w:rPr>
          <w:rStyle w:val="EndnoteReference"/>
          <w:sz w:val="24"/>
          <w:szCs w:val="24"/>
        </w:rPr>
        <w:endnoteRef/>
      </w:r>
      <w:r w:rsidRPr="00BD3BEC">
        <w:rPr>
          <w:sz w:val="24"/>
          <w:szCs w:val="24"/>
        </w:rPr>
        <w:t xml:space="preserve"> Margaret Cavendish, ‘On Aristotle’s </w:t>
      </w:r>
      <w:r w:rsidRPr="00BD3BEC">
        <w:rPr>
          <w:i/>
          <w:iCs/>
          <w:sz w:val="24"/>
          <w:szCs w:val="24"/>
        </w:rPr>
        <w:t>Philosophical Principles</w:t>
      </w:r>
      <w:r w:rsidRPr="00BD3BEC">
        <w:rPr>
          <w:sz w:val="24"/>
          <w:szCs w:val="24"/>
        </w:rPr>
        <w:t xml:space="preserve">’ in </w:t>
      </w:r>
      <w:r w:rsidRPr="00BD3BEC">
        <w:rPr>
          <w:i/>
          <w:iCs/>
          <w:sz w:val="24"/>
          <w:szCs w:val="24"/>
        </w:rPr>
        <w:t>Observations upon Experimental Philosophy</w:t>
      </w:r>
      <w:r w:rsidRPr="00BD3BEC">
        <w:rPr>
          <w:sz w:val="24"/>
          <w:szCs w:val="24"/>
        </w:rPr>
        <w:t xml:space="preserve"> (London, 1666), 32-40. On Cavendish’s catalogue of infinities and her concept of the plurality of worlds, see Sara Mendelson, “Margaret Cavendish and the Nature of Infinity,” in </w:t>
      </w:r>
      <w:r w:rsidRPr="00BD3BEC">
        <w:rPr>
          <w:i/>
          <w:iCs/>
          <w:sz w:val="24"/>
          <w:szCs w:val="24"/>
        </w:rPr>
        <w:t>Margaret Cavendish: An Interdisciplinary Perspective</w:t>
      </w:r>
      <w:r w:rsidRPr="00BD3BEC">
        <w:rPr>
          <w:sz w:val="24"/>
          <w:szCs w:val="24"/>
        </w:rPr>
        <w:t>, ed. Lisa Walters and Brandie R. Siegfried (Cambridge University Press, 2022), 69–80.</w:t>
      </w:r>
    </w:p>
  </w:endnote>
  <w:endnote w:id="53">
    <w:p w14:paraId="6909251D" w14:textId="1C87D930" w:rsidR="00BD3BEC" w:rsidRPr="00BD3BEC" w:rsidRDefault="00BD3BEC" w:rsidP="00EC63E7">
      <w:pPr>
        <w:pStyle w:val="EndnoteText"/>
        <w:spacing w:line="480" w:lineRule="auto"/>
        <w:rPr>
          <w:sz w:val="24"/>
          <w:szCs w:val="24"/>
          <w:lang w:val="en-US"/>
        </w:rPr>
      </w:pPr>
      <w:r w:rsidRPr="00BD3BEC">
        <w:rPr>
          <w:rStyle w:val="EndnoteReference"/>
          <w:sz w:val="24"/>
          <w:szCs w:val="24"/>
        </w:rPr>
        <w:endnoteRef/>
      </w:r>
      <w:r w:rsidRPr="00BD3BEC">
        <w:rPr>
          <w:sz w:val="24"/>
          <w:szCs w:val="24"/>
        </w:rPr>
        <w:t xml:space="preserve"> Cavendish, </w:t>
      </w:r>
      <w:r w:rsidRPr="00BD3BEC">
        <w:rPr>
          <w:i/>
          <w:iCs/>
          <w:sz w:val="24"/>
          <w:szCs w:val="24"/>
        </w:rPr>
        <w:t>Philosophical Letters</w:t>
      </w:r>
      <w:r w:rsidRPr="00BD3BEC">
        <w:rPr>
          <w:sz w:val="24"/>
          <w:szCs w:val="24"/>
        </w:rPr>
        <w:t xml:space="preserve"> (London, 1664), 8-10. </w:t>
      </w:r>
    </w:p>
  </w:endnote>
  <w:endnote w:id="54">
    <w:p w14:paraId="55DF69C2" w14:textId="357C5A01" w:rsidR="00BD3BEC" w:rsidRPr="0042421D" w:rsidRDefault="00BD3BEC" w:rsidP="00EC63E7">
      <w:pPr>
        <w:pStyle w:val="EndnoteText"/>
        <w:spacing w:line="480" w:lineRule="auto"/>
        <w:rPr>
          <w:i/>
          <w:iCs/>
          <w:sz w:val="24"/>
          <w:szCs w:val="24"/>
          <w:lang w:val="en-US"/>
        </w:rPr>
      </w:pPr>
      <w:r w:rsidRPr="00BD3BEC">
        <w:rPr>
          <w:rStyle w:val="EndnoteReference"/>
          <w:sz w:val="24"/>
          <w:szCs w:val="24"/>
        </w:rPr>
        <w:endnoteRef/>
      </w:r>
      <w:r w:rsidRPr="00BD3BEC">
        <w:rPr>
          <w:sz w:val="24"/>
          <w:szCs w:val="24"/>
        </w:rPr>
        <w:t xml:space="preserve"> </w:t>
      </w:r>
      <w:r w:rsidR="00863E3D">
        <w:rPr>
          <w:sz w:val="24"/>
          <w:szCs w:val="24"/>
        </w:rPr>
        <w:t xml:space="preserve">Cavendish, </w:t>
      </w:r>
      <w:r w:rsidR="00863E3D">
        <w:rPr>
          <w:i/>
          <w:iCs/>
          <w:sz w:val="24"/>
          <w:szCs w:val="24"/>
        </w:rPr>
        <w:t xml:space="preserve">Poems and </w:t>
      </w:r>
      <w:r w:rsidR="00863E3D" w:rsidRPr="00863E3D">
        <w:rPr>
          <w:i/>
          <w:iCs/>
          <w:sz w:val="24"/>
          <w:szCs w:val="24"/>
        </w:rPr>
        <w:t>Fancies</w:t>
      </w:r>
      <w:r w:rsidR="00863E3D">
        <w:rPr>
          <w:sz w:val="24"/>
          <w:szCs w:val="24"/>
        </w:rPr>
        <w:t xml:space="preserve"> (London, 1653), unnumbered page; </w:t>
      </w:r>
      <w:r w:rsidR="00863E3D">
        <w:rPr>
          <w:i/>
          <w:iCs/>
          <w:sz w:val="24"/>
          <w:szCs w:val="24"/>
        </w:rPr>
        <w:t>Poems and phancies</w:t>
      </w:r>
      <w:r w:rsidR="00863E3D">
        <w:rPr>
          <w:sz w:val="24"/>
          <w:szCs w:val="24"/>
        </w:rPr>
        <w:t xml:space="preserve"> (London, 1664), 199. </w:t>
      </w:r>
      <w:r w:rsidR="0042421D" w:rsidRPr="00863E3D">
        <w:rPr>
          <w:sz w:val="24"/>
          <w:szCs w:val="24"/>
        </w:rPr>
        <w:t>Quotations</w:t>
      </w:r>
      <w:r w:rsidR="0042421D">
        <w:rPr>
          <w:sz w:val="24"/>
          <w:szCs w:val="24"/>
        </w:rPr>
        <w:t xml:space="preserve"> from </w:t>
      </w:r>
      <w:r w:rsidR="0042421D">
        <w:rPr>
          <w:i/>
          <w:iCs/>
          <w:sz w:val="24"/>
          <w:szCs w:val="24"/>
        </w:rPr>
        <w:t xml:space="preserve">Poems and Fancies </w:t>
      </w:r>
      <w:r w:rsidR="0042421D" w:rsidRPr="0042421D">
        <w:rPr>
          <w:sz w:val="24"/>
          <w:szCs w:val="24"/>
        </w:rPr>
        <w:t>refer to</w:t>
      </w:r>
      <w:r w:rsidR="00863E3D">
        <w:rPr>
          <w:sz w:val="24"/>
          <w:szCs w:val="24"/>
        </w:rPr>
        <w:t xml:space="preserve"> the 1664 edition unless otherwise noted</w:t>
      </w:r>
      <w:r w:rsidR="0042421D" w:rsidRPr="0042421D">
        <w:rPr>
          <w:sz w:val="24"/>
          <w:szCs w:val="24"/>
        </w:rPr>
        <w:t xml:space="preserve">. </w:t>
      </w:r>
    </w:p>
  </w:endnote>
  <w:endnote w:id="55">
    <w:p w14:paraId="0CFB1FA7" w14:textId="769ADEB7" w:rsidR="00BD3BEC" w:rsidRPr="0042421D" w:rsidRDefault="00BD3BEC" w:rsidP="00EC63E7">
      <w:pPr>
        <w:pStyle w:val="EndnoteText"/>
        <w:spacing w:line="480" w:lineRule="auto"/>
        <w:rPr>
          <w:sz w:val="24"/>
          <w:szCs w:val="24"/>
          <w:lang w:val="en-US"/>
        </w:rPr>
      </w:pPr>
      <w:r w:rsidRPr="0042421D">
        <w:rPr>
          <w:rStyle w:val="EndnoteReference"/>
          <w:sz w:val="24"/>
          <w:szCs w:val="24"/>
        </w:rPr>
        <w:endnoteRef/>
      </w:r>
      <w:r w:rsidRPr="0042421D">
        <w:rPr>
          <w:sz w:val="24"/>
          <w:szCs w:val="24"/>
        </w:rPr>
        <w:t xml:space="preserve"> Cavendish, </w:t>
      </w:r>
      <w:r w:rsidRPr="0042421D">
        <w:rPr>
          <w:i/>
          <w:iCs/>
          <w:sz w:val="24"/>
          <w:szCs w:val="24"/>
        </w:rPr>
        <w:t>The Worlds Olio</w:t>
      </w:r>
      <w:r w:rsidRPr="0042421D">
        <w:rPr>
          <w:sz w:val="24"/>
          <w:szCs w:val="24"/>
        </w:rPr>
        <w:t xml:space="preserve"> (London, 1655), 103. For a later, similar formulation, see </w:t>
      </w:r>
      <w:r w:rsidRPr="0042421D">
        <w:rPr>
          <w:i/>
          <w:iCs/>
          <w:sz w:val="24"/>
          <w:szCs w:val="24"/>
        </w:rPr>
        <w:t>Youths Glory and Deaths Banquet</w:t>
      </w:r>
      <w:r w:rsidRPr="0042421D">
        <w:rPr>
          <w:sz w:val="24"/>
          <w:szCs w:val="24"/>
        </w:rPr>
        <w:t xml:space="preserve"> in </w:t>
      </w:r>
      <w:r w:rsidRPr="0042421D">
        <w:rPr>
          <w:i/>
          <w:iCs/>
          <w:sz w:val="24"/>
          <w:szCs w:val="24"/>
        </w:rPr>
        <w:t>Playes</w:t>
      </w:r>
      <w:r w:rsidRPr="0042421D">
        <w:rPr>
          <w:sz w:val="24"/>
          <w:szCs w:val="24"/>
        </w:rPr>
        <w:t xml:space="preserve"> (London, 1662), 138.</w:t>
      </w:r>
    </w:p>
  </w:endnote>
  <w:endnote w:id="56">
    <w:p w14:paraId="0344F4CD" w14:textId="3F7946F5" w:rsidR="0042421D" w:rsidRPr="0042421D" w:rsidRDefault="0042421D" w:rsidP="00EC63E7">
      <w:pPr>
        <w:pStyle w:val="EndnoteText"/>
        <w:spacing w:line="480" w:lineRule="auto"/>
        <w:rPr>
          <w:sz w:val="24"/>
          <w:szCs w:val="24"/>
          <w:lang w:val="en-US"/>
        </w:rPr>
      </w:pPr>
      <w:r w:rsidRPr="0042421D">
        <w:rPr>
          <w:rStyle w:val="EndnoteReference"/>
          <w:sz w:val="24"/>
          <w:szCs w:val="24"/>
        </w:rPr>
        <w:endnoteRef/>
      </w:r>
      <w:r w:rsidRPr="0042421D">
        <w:rPr>
          <w:sz w:val="24"/>
          <w:szCs w:val="24"/>
        </w:rPr>
        <w:t xml:space="preserve"> </w:t>
      </w:r>
      <w:r w:rsidRPr="0042421D">
        <w:rPr>
          <w:sz w:val="24"/>
          <w:szCs w:val="24"/>
          <w:lang w:val="en-US"/>
        </w:rPr>
        <w:t xml:space="preserve">Cavendish, “To the Reader,” in </w:t>
      </w:r>
      <w:r w:rsidRPr="0042421D">
        <w:rPr>
          <w:i/>
          <w:iCs/>
          <w:sz w:val="24"/>
          <w:szCs w:val="24"/>
          <w:lang w:val="en-US"/>
        </w:rPr>
        <w:t>P</w:t>
      </w:r>
      <w:r>
        <w:rPr>
          <w:i/>
          <w:iCs/>
          <w:sz w:val="24"/>
          <w:szCs w:val="24"/>
          <w:lang w:val="en-US"/>
        </w:rPr>
        <w:t xml:space="preserve">oems and </w:t>
      </w:r>
      <w:r w:rsidRPr="0042421D">
        <w:rPr>
          <w:i/>
          <w:iCs/>
          <w:sz w:val="24"/>
          <w:szCs w:val="24"/>
          <w:lang w:val="en-US"/>
        </w:rPr>
        <w:t>F</w:t>
      </w:r>
      <w:r>
        <w:rPr>
          <w:i/>
          <w:iCs/>
          <w:sz w:val="24"/>
          <w:szCs w:val="24"/>
          <w:lang w:val="en-US"/>
        </w:rPr>
        <w:t>ancies</w:t>
      </w:r>
      <w:r w:rsidR="00863E3D">
        <w:rPr>
          <w:sz w:val="24"/>
          <w:szCs w:val="24"/>
          <w:lang w:val="en-US"/>
        </w:rPr>
        <w:t>, unnumbered page</w:t>
      </w:r>
      <w:r w:rsidRPr="0042421D">
        <w:rPr>
          <w:sz w:val="24"/>
          <w:szCs w:val="24"/>
          <w:lang w:val="en-US"/>
        </w:rPr>
        <w:t xml:space="preserve">. </w:t>
      </w:r>
    </w:p>
  </w:endnote>
  <w:endnote w:id="57">
    <w:p w14:paraId="38AEDA56" w14:textId="2C975FB0" w:rsidR="0042421D" w:rsidRPr="000B45D0" w:rsidRDefault="0042421D" w:rsidP="00EC63E7">
      <w:pPr>
        <w:pStyle w:val="EndnoteText"/>
        <w:spacing w:line="480" w:lineRule="auto"/>
        <w:rPr>
          <w:sz w:val="24"/>
          <w:szCs w:val="24"/>
          <w:lang w:val="en-US"/>
        </w:rPr>
      </w:pPr>
      <w:r w:rsidRPr="0042421D">
        <w:rPr>
          <w:rStyle w:val="EndnoteReference"/>
          <w:sz w:val="24"/>
          <w:szCs w:val="24"/>
        </w:rPr>
        <w:endnoteRef/>
      </w:r>
      <w:r w:rsidRPr="0042421D">
        <w:rPr>
          <w:sz w:val="24"/>
          <w:szCs w:val="24"/>
        </w:rPr>
        <w:t xml:space="preserve"> </w:t>
      </w:r>
      <w:r>
        <w:rPr>
          <w:sz w:val="24"/>
          <w:szCs w:val="24"/>
        </w:rPr>
        <w:t xml:space="preserve">Cavendish, </w:t>
      </w:r>
      <w:r>
        <w:rPr>
          <w:i/>
          <w:iCs/>
          <w:sz w:val="24"/>
          <w:szCs w:val="24"/>
        </w:rPr>
        <w:t>Observations</w:t>
      </w:r>
      <w:r>
        <w:rPr>
          <w:sz w:val="24"/>
          <w:szCs w:val="24"/>
        </w:rPr>
        <w:t xml:space="preserve">, 25; </w:t>
      </w:r>
      <w:r>
        <w:rPr>
          <w:i/>
          <w:iCs/>
          <w:sz w:val="24"/>
          <w:szCs w:val="24"/>
        </w:rPr>
        <w:t>Philosophical Letters</w:t>
      </w:r>
      <w:r>
        <w:rPr>
          <w:sz w:val="24"/>
          <w:szCs w:val="24"/>
        </w:rPr>
        <w:t xml:space="preserve">, 12. On </w:t>
      </w:r>
      <w:r w:rsidR="000B45D0">
        <w:rPr>
          <w:sz w:val="24"/>
          <w:szCs w:val="24"/>
        </w:rPr>
        <w:t xml:space="preserve">the </w:t>
      </w:r>
      <w:r>
        <w:rPr>
          <w:sz w:val="24"/>
          <w:szCs w:val="24"/>
        </w:rPr>
        <w:t xml:space="preserve">relationship between God the Father and Nature in Cavendish’s writings, see Sara Mendelson, “The God of Nature and the Nature of God,” in </w:t>
      </w:r>
      <w:r w:rsidR="000B45D0">
        <w:rPr>
          <w:i/>
          <w:iCs/>
          <w:sz w:val="24"/>
          <w:szCs w:val="24"/>
        </w:rPr>
        <w:t>God and Nature in the Thought of Margaret Cavendish</w:t>
      </w:r>
      <w:r w:rsidR="000B45D0">
        <w:rPr>
          <w:sz w:val="24"/>
          <w:szCs w:val="24"/>
        </w:rPr>
        <w:t xml:space="preserve">, ed. </w:t>
      </w:r>
      <w:r w:rsidR="000B45D0" w:rsidRPr="000B45D0">
        <w:rPr>
          <w:sz w:val="24"/>
          <w:szCs w:val="24"/>
        </w:rPr>
        <w:t>Brandie R. Siegfried and Lisa T. Sarasohn</w:t>
      </w:r>
      <w:r w:rsidR="000B45D0">
        <w:rPr>
          <w:sz w:val="24"/>
          <w:szCs w:val="24"/>
        </w:rPr>
        <w:t xml:space="preserve"> (Routledge, 2014), 27-41. Mendelson, 29 points to “striking parallels” between Cavendish’s God and Nature on the one hand, and her autobiographical recollections of her own parents, on the other. </w:t>
      </w:r>
    </w:p>
  </w:endnote>
  <w:endnote w:id="58">
    <w:p w14:paraId="4D92BD72" w14:textId="4D763D37" w:rsidR="0042421D" w:rsidRPr="0042421D" w:rsidRDefault="0042421D" w:rsidP="00EC63E7">
      <w:pPr>
        <w:pStyle w:val="EndnoteText"/>
        <w:spacing w:line="480" w:lineRule="auto"/>
        <w:rPr>
          <w:sz w:val="24"/>
          <w:szCs w:val="24"/>
          <w:lang w:val="en-US"/>
        </w:rPr>
      </w:pPr>
      <w:r w:rsidRPr="0042421D">
        <w:rPr>
          <w:rStyle w:val="EndnoteReference"/>
          <w:sz w:val="24"/>
          <w:szCs w:val="24"/>
        </w:rPr>
        <w:endnoteRef/>
      </w:r>
      <w:r w:rsidRPr="0042421D">
        <w:rPr>
          <w:sz w:val="24"/>
          <w:szCs w:val="24"/>
        </w:rPr>
        <w:t xml:space="preserve"> </w:t>
      </w:r>
      <w:r w:rsidRPr="00BD3BEC">
        <w:rPr>
          <w:sz w:val="24"/>
          <w:szCs w:val="24"/>
        </w:rPr>
        <w:t xml:space="preserve">Cavendish, </w:t>
      </w:r>
      <w:r w:rsidRPr="00BD3BEC">
        <w:rPr>
          <w:i/>
          <w:iCs/>
          <w:sz w:val="24"/>
          <w:szCs w:val="24"/>
        </w:rPr>
        <w:t>Philosophical Letters</w:t>
      </w:r>
      <w:r>
        <w:rPr>
          <w:sz w:val="24"/>
          <w:szCs w:val="24"/>
        </w:rPr>
        <w:t>, 302, 8</w:t>
      </w:r>
      <w:r w:rsidR="000B45D0">
        <w:rPr>
          <w:sz w:val="24"/>
          <w:szCs w:val="24"/>
        </w:rPr>
        <w:t>, 11</w:t>
      </w:r>
      <w:r w:rsidRPr="00BD3BEC">
        <w:rPr>
          <w:sz w:val="24"/>
          <w:szCs w:val="24"/>
        </w:rPr>
        <w:t xml:space="preserve">. </w:t>
      </w:r>
    </w:p>
  </w:endnote>
  <w:endnote w:id="59">
    <w:p w14:paraId="42632391" w14:textId="463EB7E8" w:rsidR="00FC7534" w:rsidRPr="00FC7534" w:rsidRDefault="00FC7534" w:rsidP="00EC63E7">
      <w:pPr>
        <w:pStyle w:val="EndnoteText"/>
        <w:spacing w:line="480" w:lineRule="auto"/>
        <w:rPr>
          <w:sz w:val="24"/>
          <w:szCs w:val="24"/>
        </w:rPr>
      </w:pPr>
      <w:r w:rsidRPr="00FC7534">
        <w:rPr>
          <w:rStyle w:val="EndnoteReference"/>
          <w:sz w:val="24"/>
          <w:szCs w:val="24"/>
        </w:rPr>
        <w:endnoteRef/>
      </w:r>
      <w:r w:rsidRPr="00FC7534">
        <w:rPr>
          <w:sz w:val="24"/>
          <w:szCs w:val="24"/>
        </w:rPr>
        <w:t xml:space="preserve"> </w:t>
      </w:r>
      <w:r>
        <w:rPr>
          <w:sz w:val="24"/>
          <w:szCs w:val="24"/>
        </w:rPr>
        <w:t xml:space="preserve">See Cavendish, “Further Observations Upon Experimental Philosophy,” in </w:t>
      </w:r>
      <w:r>
        <w:rPr>
          <w:i/>
          <w:iCs/>
          <w:sz w:val="24"/>
          <w:szCs w:val="24"/>
        </w:rPr>
        <w:t>Observations</w:t>
      </w:r>
      <w:r>
        <w:rPr>
          <w:sz w:val="24"/>
          <w:szCs w:val="24"/>
        </w:rPr>
        <w:t xml:space="preserve">, 1-2. </w:t>
      </w:r>
    </w:p>
  </w:endnote>
  <w:endnote w:id="60">
    <w:p w14:paraId="52ED9328" w14:textId="5954BDBC" w:rsidR="000E3085" w:rsidRPr="00BA1F9B" w:rsidRDefault="000E3085" w:rsidP="00EC63E7">
      <w:pPr>
        <w:pStyle w:val="EndnoteText"/>
        <w:spacing w:line="480" w:lineRule="auto"/>
        <w:rPr>
          <w:sz w:val="24"/>
          <w:szCs w:val="24"/>
          <w:lang w:val="en-US"/>
        </w:rPr>
      </w:pPr>
      <w:r w:rsidRPr="000E3085">
        <w:rPr>
          <w:rStyle w:val="EndnoteReference"/>
          <w:sz w:val="24"/>
          <w:szCs w:val="24"/>
        </w:rPr>
        <w:endnoteRef/>
      </w:r>
      <w:r w:rsidRPr="000E3085">
        <w:rPr>
          <w:sz w:val="24"/>
          <w:szCs w:val="24"/>
        </w:rPr>
        <w:t xml:space="preserve"> </w:t>
      </w:r>
      <w:r>
        <w:rPr>
          <w:sz w:val="24"/>
          <w:szCs w:val="24"/>
        </w:rPr>
        <w:t xml:space="preserve">Lisa Walters, </w:t>
      </w:r>
      <w:r w:rsidRPr="000E3085">
        <w:rPr>
          <w:i/>
          <w:iCs/>
          <w:sz w:val="24"/>
          <w:szCs w:val="24"/>
        </w:rPr>
        <w:t>Maragret Cavendish: Gender, Science and Politics</w:t>
      </w:r>
      <w:r>
        <w:rPr>
          <w:sz w:val="24"/>
          <w:szCs w:val="24"/>
        </w:rPr>
        <w:t xml:space="preserve"> (Cambridge University Press, 2014), 42; Sarasohn, </w:t>
      </w:r>
      <w:r>
        <w:rPr>
          <w:i/>
          <w:iCs/>
          <w:sz w:val="24"/>
          <w:szCs w:val="24"/>
        </w:rPr>
        <w:t xml:space="preserve">The Natural Philosophy of Margaret </w:t>
      </w:r>
      <w:r w:rsidRPr="00BA1F9B">
        <w:rPr>
          <w:i/>
          <w:iCs/>
          <w:sz w:val="24"/>
          <w:szCs w:val="24"/>
        </w:rPr>
        <w:t>Cavendish: Reason and Fancy During the Scientific Revolution</w:t>
      </w:r>
      <w:r w:rsidRPr="00BA1F9B">
        <w:rPr>
          <w:sz w:val="24"/>
          <w:szCs w:val="24"/>
        </w:rPr>
        <w:t xml:space="preserve"> (Johns Hopkins University Press, 2010), 175. </w:t>
      </w:r>
    </w:p>
  </w:endnote>
  <w:endnote w:id="61">
    <w:p w14:paraId="01F36FBF" w14:textId="32384047" w:rsidR="00BA1F9B" w:rsidRPr="00EC63E7" w:rsidRDefault="00BA1F9B" w:rsidP="00863E3D">
      <w:pPr>
        <w:pStyle w:val="EndnoteText"/>
        <w:spacing w:line="480" w:lineRule="auto"/>
        <w:rPr>
          <w:sz w:val="24"/>
          <w:szCs w:val="24"/>
          <w:lang w:val="en-US"/>
        </w:rPr>
      </w:pPr>
      <w:r w:rsidRPr="00EC63E7">
        <w:rPr>
          <w:rStyle w:val="EndnoteReference"/>
          <w:sz w:val="24"/>
          <w:szCs w:val="24"/>
        </w:rPr>
        <w:endnoteRef/>
      </w:r>
      <w:r w:rsidRPr="00EC63E7">
        <w:rPr>
          <w:sz w:val="24"/>
          <w:szCs w:val="24"/>
        </w:rPr>
        <w:t xml:space="preserve"> </w:t>
      </w:r>
      <w:r w:rsidR="00A168E9" w:rsidRPr="00EC63E7">
        <w:rPr>
          <w:sz w:val="24"/>
          <w:szCs w:val="24"/>
        </w:rPr>
        <w:t xml:space="preserve">See </w:t>
      </w:r>
      <w:r w:rsidRPr="00EC63E7">
        <w:rPr>
          <w:i/>
          <w:iCs/>
          <w:sz w:val="24"/>
          <w:szCs w:val="24"/>
        </w:rPr>
        <w:t>OED</w:t>
      </w:r>
      <w:r w:rsidRPr="00EC63E7">
        <w:rPr>
          <w:sz w:val="24"/>
          <w:szCs w:val="24"/>
        </w:rPr>
        <w:t>, “matron, n.”, senses 1.a and 1.b;</w:t>
      </w:r>
      <w:r w:rsidR="00A168E9" w:rsidRPr="00EC63E7">
        <w:rPr>
          <w:sz w:val="24"/>
          <w:szCs w:val="24"/>
        </w:rPr>
        <w:t xml:space="preserve"> and</w:t>
      </w:r>
      <w:r w:rsidRPr="00EC63E7">
        <w:rPr>
          <w:sz w:val="24"/>
          <w:szCs w:val="24"/>
        </w:rPr>
        <w:t xml:space="preserve"> “mistress, n.”, senses I.2.a and I.2b. </w:t>
      </w:r>
    </w:p>
  </w:endnote>
  <w:endnote w:id="62">
    <w:p w14:paraId="3E3F28DD" w14:textId="3191FDC6" w:rsidR="00863E3D" w:rsidRPr="00C36C14" w:rsidRDefault="00863E3D" w:rsidP="00863E3D">
      <w:pPr>
        <w:pStyle w:val="EndnoteText"/>
        <w:spacing w:line="480" w:lineRule="auto"/>
        <w:rPr>
          <w:sz w:val="24"/>
          <w:szCs w:val="24"/>
        </w:rPr>
      </w:pPr>
      <w:r w:rsidRPr="00C36C14">
        <w:rPr>
          <w:rStyle w:val="EndnoteReference"/>
          <w:sz w:val="24"/>
          <w:szCs w:val="24"/>
        </w:rPr>
        <w:endnoteRef/>
      </w:r>
      <w:r w:rsidRPr="00C36C14">
        <w:rPr>
          <w:sz w:val="24"/>
          <w:szCs w:val="24"/>
        </w:rPr>
        <w:t xml:space="preserve"> </w:t>
      </w:r>
      <w:r w:rsidR="00C36C14">
        <w:rPr>
          <w:sz w:val="24"/>
          <w:szCs w:val="24"/>
        </w:rPr>
        <w:t xml:space="preserve">On </w:t>
      </w:r>
      <w:r w:rsidR="0015318F">
        <w:rPr>
          <w:sz w:val="24"/>
          <w:szCs w:val="24"/>
        </w:rPr>
        <w:t xml:space="preserve">Cavendish’s advocacy for aristocratic privilege, see </w:t>
      </w:r>
      <w:r w:rsidR="0015318F" w:rsidRPr="00C36C14">
        <w:rPr>
          <w:sz w:val="24"/>
          <w:szCs w:val="24"/>
        </w:rPr>
        <w:t>Julie Crawford,</w:t>
      </w:r>
      <w:r w:rsidR="0015318F">
        <w:rPr>
          <w:sz w:val="24"/>
          <w:szCs w:val="24"/>
        </w:rPr>
        <w:t xml:space="preserve"> </w:t>
      </w:r>
      <w:r w:rsidR="0015318F" w:rsidRPr="00C36C14">
        <w:rPr>
          <w:sz w:val="24"/>
          <w:szCs w:val="24"/>
        </w:rPr>
        <w:t xml:space="preserve">“Cavendish, Margaret,” in </w:t>
      </w:r>
      <w:r w:rsidR="0015318F" w:rsidRPr="00C36C14">
        <w:rPr>
          <w:i/>
          <w:iCs/>
          <w:sz w:val="24"/>
          <w:szCs w:val="24"/>
        </w:rPr>
        <w:t xml:space="preserve">The </w:t>
      </w:r>
      <w:r w:rsidR="0015318F" w:rsidRPr="00C36C14">
        <w:rPr>
          <w:i/>
          <w:iCs/>
          <w:sz w:val="24"/>
          <w:szCs w:val="24"/>
        </w:rPr>
        <w:t>Encyclopedia of English Renaissance Literature</w:t>
      </w:r>
      <w:r w:rsidR="0015318F" w:rsidRPr="00C36C14">
        <w:rPr>
          <w:sz w:val="24"/>
          <w:szCs w:val="24"/>
        </w:rPr>
        <w:t>, ed. Garrett A. Sullivan, Jr. and Alan Stewart (Wiley-Blackwell, 2012), 161–69, 163.</w:t>
      </w:r>
      <w:r w:rsidR="0015318F">
        <w:rPr>
          <w:sz w:val="24"/>
          <w:szCs w:val="24"/>
        </w:rPr>
        <w:t xml:space="preserve"> O</w:t>
      </w:r>
      <w:r w:rsidRPr="00C36C14">
        <w:rPr>
          <w:sz w:val="24"/>
          <w:szCs w:val="24"/>
        </w:rPr>
        <w:t>n</w:t>
      </w:r>
      <w:r w:rsidR="00C36C14">
        <w:rPr>
          <w:sz w:val="24"/>
          <w:szCs w:val="24"/>
        </w:rPr>
        <w:t xml:space="preserve"> her</w:t>
      </w:r>
      <w:r w:rsidR="00C36C14" w:rsidRPr="00C36C14">
        <w:rPr>
          <w:sz w:val="24"/>
          <w:szCs w:val="24"/>
        </w:rPr>
        <w:t xml:space="preserve"> “aristocratic anti-monarchism,” see Mihoko Suzuki, </w:t>
      </w:r>
      <w:r w:rsidR="00C36C14" w:rsidRPr="00C36C14">
        <w:rPr>
          <w:i/>
          <w:iCs/>
          <w:sz w:val="24"/>
          <w:szCs w:val="24"/>
        </w:rPr>
        <w:t>Antigone’s Example: Early Modern Women's Political Writing in Times of Civil War from Christine De Pizan to Helen Maria Williams</w:t>
      </w:r>
      <w:r w:rsidR="00C36C14">
        <w:rPr>
          <w:sz w:val="24"/>
          <w:szCs w:val="24"/>
        </w:rPr>
        <w:t xml:space="preserve"> (Palgrave, 2022), 241-96</w:t>
      </w:r>
      <w:r w:rsidR="0015318F">
        <w:rPr>
          <w:sz w:val="24"/>
          <w:szCs w:val="24"/>
        </w:rPr>
        <w:t>.</w:t>
      </w:r>
    </w:p>
  </w:endnote>
  <w:endnote w:id="63">
    <w:p w14:paraId="11BB3D3A" w14:textId="1A0565DC" w:rsidR="00EC63E7" w:rsidRPr="0077139E" w:rsidRDefault="00EC63E7" w:rsidP="008F6C00">
      <w:pPr>
        <w:pStyle w:val="EndnoteText"/>
        <w:spacing w:line="480" w:lineRule="auto"/>
        <w:rPr>
          <w:sz w:val="24"/>
          <w:szCs w:val="24"/>
          <w:lang w:val="en-US"/>
        </w:rPr>
      </w:pPr>
      <w:r w:rsidRPr="0077139E">
        <w:rPr>
          <w:rStyle w:val="EndnoteReference"/>
          <w:sz w:val="24"/>
          <w:szCs w:val="24"/>
        </w:rPr>
        <w:endnoteRef/>
      </w:r>
      <w:r w:rsidRPr="0077139E">
        <w:rPr>
          <w:sz w:val="24"/>
          <w:szCs w:val="24"/>
        </w:rPr>
        <w:t xml:space="preserve"> Sarasohn, </w:t>
      </w:r>
      <w:r w:rsidRPr="0077139E">
        <w:rPr>
          <w:i/>
          <w:iCs/>
          <w:sz w:val="24"/>
          <w:szCs w:val="24"/>
        </w:rPr>
        <w:t xml:space="preserve">The Natural Philosophy of Margaret Cavendish, </w:t>
      </w:r>
      <w:r w:rsidRPr="0077139E">
        <w:rPr>
          <w:sz w:val="24"/>
          <w:szCs w:val="24"/>
        </w:rPr>
        <w:t xml:space="preserve">39. </w:t>
      </w:r>
    </w:p>
  </w:endnote>
  <w:endnote w:id="64">
    <w:p w14:paraId="7A7A280A" w14:textId="630E4030" w:rsidR="0077139E" w:rsidRPr="008F6C00" w:rsidRDefault="0077139E" w:rsidP="008F6C00">
      <w:pPr>
        <w:pStyle w:val="EndnoteText"/>
        <w:spacing w:line="480" w:lineRule="auto"/>
        <w:rPr>
          <w:sz w:val="24"/>
          <w:szCs w:val="24"/>
          <w:lang w:val="en-US"/>
        </w:rPr>
      </w:pPr>
      <w:r w:rsidRPr="008F6C00">
        <w:rPr>
          <w:rStyle w:val="EndnoteReference"/>
          <w:sz w:val="24"/>
          <w:szCs w:val="24"/>
        </w:rPr>
        <w:endnoteRef/>
      </w:r>
      <w:r w:rsidRPr="008F6C00">
        <w:rPr>
          <w:sz w:val="24"/>
          <w:szCs w:val="24"/>
        </w:rPr>
        <w:t xml:space="preserve"> Elizabeth Scott-Baumann, </w:t>
      </w:r>
      <w:r w:rsidRPr="008F6C00">
        <w:rPr>
          <w:i/>
          <w:iCs/>
          <w:sz w:val="24"/>
          <w:szCs w:val="24"/>
        </w:rPr>
        <w:t>Forms of Engagement: Women, Poetry and Culture 1640-1680</w:t>
      </w:r>
      <w:r w:rsidRPr="008F6C00">
        <w:rPr>
          <w:sz w:val="24"/>
          <w:szCs w:val="24"/>
        </w:rPr>
        <w:t xml:space="preserve"> (Oxford, 2013), 52.</w:t>
      </w:r>
    </w:p>
  </w:endnote>
  <w:endnote w:id="65">
    <w:p w14:paraId="6ECDBC19" w14:textId="6934D804" w:rsidR="008F6C00" w:rsidRPr="008F6C00" w:rsidRDefault="008F6C00" w:rsidP="008F6C00">
      <w:pPr>
        <w:pStyle w:val="EndnoteText"/>
        <w:spacing w:line="480" w:lineRule="auto"/>
        <w:rPr>
          <w:sz w:val="24"/>
          <w:szCs w:val="24"/>
          <w:lang w:val="en-US"/>
        </w:rPr>
      </w:pPr>
      <w:r w:rsidRPr="008F6C00">
        <w:rPr>
          <w:rStyle w:val="EndnoteReference"/>
          <w:sz w:val="24"/>
          <w:szCs w:val="24"/>
        </w:rPr>
        <w:endnoteRef/>
      </w:r>
      <w:r w:rsidRPr="008F6C00">
        <w:rPr>
          <w:sz w:val="24"/>
          <w:szCs w:val="24"/>
        </w:rPr>
        <w:t xml:space="preserve"> Cavendish, </w:t>
      </w:r>
      <w:r w:rsidRPr="008F6C00">
        <w:rPr>
          <w:i/>
          <w:iCs/>
          <w:sz w:val="24"/>
          <w:szCs w:val="24"/>
        </w:rPr>
        <w:t>Philosophical Letters</w:t>
      </w:r>
      <w:r w:rsidRPr="008F6C00">
        <w:rPr>
          <w:sz w:val="24"/>
          <w:szCs w:val="24"/>
        </w:rPr>
        <w:t>, 5-6.</w:t>
      </w:r>
    </w:p>
  </w:endnote>
  <w:endnote w:id="66">
    <w:p w14:paraId="7999A696" w14:textId="61557F53" w:rsidR="008F6C00" w:rsidRPr="005A2E09" w:rsidRDefault="008F6C00" w:rsidP="005A2E09">
      <w:pPr>
        <w:pStyle w:val="EndnoteText"/>
        <w:spacing w:line="480" w:lineRule="auto"/>
        <w:rPr>
          <w:sz w:val="24"/>
          <w:szCs w:val="24"/>
        </w:rPr>
      </w:pPr>
      <w:r w:rsidRPr="008F6C00">
        <w:rPr>
          <w:rStyle w:val="EndnoteReference"/>
          <w:sz w:val="24"/>
          <w:szCs w:val="24"/>
        </w:rPr>
        <w:endnoteRef/>
      </w:r>
      <w:r w:rsidRPr="008F6C00">
        <w:rPr>
          <w:sz w:val="24"/>
          <w:szCs w:val="24"/>
        </w:rPr>
        <w:t xml:space="preserve"> Cavendish, </w:t>
      </w:r>
      <w:r>
        <w:rPr>
          <w:sz w:val="24"/>
          <w:szCs w:val="24"/>
        </w:rPr>
        <w:t xml:space="preserve">“To the Reader,” </w:t>
      </w:r>
      <w:r w:rsidRPr="008F6C00">
        <w:rPr>
          <w:i/>
          <w:iCs/>
          <w:sz w:val="24"/>
          <w:szCs w:val="24"/>
        </w:rPr>
        <w:t>The Description of a New World, Called The Blazing World</w:t>
      </w:r>
      <w:r w:rsidRPr="008F6C00">
        <w:rPr>
          <w:sz w:val="24"/>
          <w:szCs w:val="24"/>
        </w:rPr>
        <w:t xml:space="preserve"> (London, 1666)</w:t>
      </w:r>
      <w:r>
        <w:rPr>
          <w:sz w:val="24"/>
          <w:szCs w:val="24"/>
        </w:rPr>
        <w:t>, [4]</w:t>
      </w:r>
      <w:r w:rsidRPr="008F6C00">
        <w:rPr>
          <w:sz w:val="24"/>
          <w:szCs w:val="24"/>
        </w:rPr>
        <w:t xml:space="preserve">. On the relationship between reason and fancy in Cavendish’s thought, </w:t>
      </w:r>
      <w:r w:rsidRPr="005A2E09">
        <w:rPr>
          <w:sz w:val="24"/>
          <w:szCs w:val="24"/>
        </w:rPr>
        <w:t xml:space="preserve">see Sarasohn, </w:t>
      </w:r>
      <w:r w:rsidRPr="005A2E09">
        <w:rPr>
          <w:i/>
          <w:iCs/>
          <w:sz w:val="24"/>
          <w:szCs w:val="24"/>
        </w:rPr>
        <w:t>The Natural Philosophy of Margaret Cavendish</w:t>
      </w:r>
      <w:r w:rsidRPr="005A2E09">
        <w:rPr>
          <w:sz w:val="24"/>
          <w:szCs w:val="24"/>
        </w:rPr>
        <w:t>, 17-18. On fancy’s relation to Lucretian scepticism, see Jessie Hock, “Fanciful Poetics and Skeptical Epistemology in Margaret Cavendish’s </w:t>
      </w:r>
      <w:r w:rsidRPr="005A2E09">
        <w:rPr>
          <w:i/>
          <w:iCs/>
          <w:sz w:val="24"/>
          <w:szCs w:val="24"/>
        </w:rPr>
        <w:t>Poems and Fancies,</w:t>
      </w:r>
      <w:r w:rsidRPr="005A2E09">
        <w:rPr>
          <w:sz w:val="24"/>
          <w:szCs w:val="24"/>
        </w:rPr>
        <w:t xml:space="preserve">” </w:t>
      </w:r>
      <w:r w:rsidRPr="005A2E09">
        <w:rPr>
          <w:i/>
          <w:iCs/>
          <w:sz w:val="24"/>
          <w:szCs w:val="24"/>
        </w:rPr>
        <w:t>Studies in Philology</w:t>
      </w:r>
      <w:r w:rsidRPr="005A2E09">
        <w:rPr>
          <w:sz w:val="24"/>
          <w:szCs w:val="24"/>
        </w:rPr>
        <w:t xml:space="preserve"> 115, no. 4 (2018): 766-802. </w:t>
      </w:r>
    </w:p>
  </w:endnote>
  <w:endnote w:id="67">
    <w:p w14:paraId="39A060A1" w14:textId="11FD26C8" w:rsidR="005A2E09" w:rsidRPr="00F66DB3" w:rsidRDefault="005A2E09" w:rsidP="00F120C1">
      <w:pPr>
        <w:pStyle w:val="EndnoteText"/>
        <w:spacing w:line="480" w:lineRule="auto"/>
        <w:rPr>
          <w:sz w:val="24"/>
          <w:szCs w:val="24"/>
          <w:lang w:val="en-US"/>
        </w:rPr>
      </w:pPr>
      <w:r w:rsidRPr="00F66DB3">
        <w:rPr>
          <w:rStyle w:val="EndnoteReference"/>
          <w:sz w:val="24"/>
          <w:szCs w:val="24"/>
        </w:rPr>
        <w:endnoteRef/>
      </w:r>
      <w:r w:rsidRPr="00F66DB3">
        <w:rPr>
          <w:sz w:val="24"/>
          <w:szCs w:val="24"/>
        </w:rPr>
        <w:t xml:space="preserve"> Cavendish, </w:t>
      </w:r>
      <w:r w:rsidRPr="00F66DB3">
        <w:rPr>
          <w:i/>
          <w:iCs/>
          <w:sz w:val="24"/>
          <w:szCs w:val="24"/>
        </w:rPr>
        <w:t>Observations</w:t>
      </w:r>
      <w:r w:rsidRPr="00F66DB3">
        <w:rPr>
          <w:sz w:val="24"/>
          <w:szCs w:val="24"/>
        </w:rPr>
        <w:t>, 7.</w:t>
      </w:r>
    </w:p>
  </w:endnote>
  <w:endnote w:id="68">
    <w:p w14:paraId="5F1561DE" w14:textId="33FE26D5" w:rsidR="00F120C1" w:rsidRPr="001872A2" w:rsidRDefault="00F120C1" w:rsidP="00F120C1">
      <w:pPr>
        <w:pStyle w:val="EndnoteText"/>
        <w:spacing w:line="480" w:lineRule="auto"/>
        <w:rPr>
          <w:sz w:val="24"/>
          <w:szCs w:val="24"/>
          <w:lang w:val="en-US"/>
        </w:rPr>
      </w:pPr>
      <w:r w:rsidRPr="00F120C1">
        <w:rPr>
          <w:rStyle w:val="EndnoteReference"/>
          <w:sz w:val="24"/>
          <w:szCs w:val="24"/>
        </w:rPr>
        <w:endnoteRef/>
      </w:r>
      <w:r w:rsidRPr="00F120C1">
        <w:rPr>
          <w:sz w:val="24"/>
          <w:szCs w:val="24"/>
        </w:rPr>
        <w:t xml:space="preserve"> </w:t>
      </w:r>
      <w:r>
        <w:rPr>
          <w:sz w:val="24"/>
          <w:szCs w:val="24"/>
        </w:rPr>
        <w:t>Liza Blake, “</w:t>
      </w:r>
      <w:r w:rsidRPr="00F120C1">
        <w:rPr>
          <w:sz w:val="24"/>
          <w:szCs w:val="24"/>
        </w:rPr>
        <w:t>The Grounds of Literature and Science: Margaret Cavendish’s Creature Manifesto</w:t>
      </w:r>
      <w:r>
        <w:rPr>
          <w:sz w:val="24"/>
          <w:szCs w:val="24"/>
        </w:rPr>
        <w:t>,</w:t>
      </w:r>
      <w:r w:rsidRPr="00F120C1">
        <w:rPr>
          <w:sz w:val="24"/>
          <w:szCs w:val="24"/>
        </w:rPr>
        <w:t>”</w:t>
      </w:r>
      <w:r>
        <w:rPr>
          <w:sz w:val="24"/>
          <w:szCs w:val="24"/>
        </w:rPr>
        <w:t xml:space="preserve"> in </w:t>
      </w:r>
      <w:r w:rsidRPr="00F120C1">
        <w:rPr>
          <w:i/>
          <w:iCs/>
          <w:sz w:val="24"/>
          <w:szCs w:val="24"/>
        </w:rPr>
        <w:t>Palgrave Handbook of Early Modern Literature, Science, and Cultur</w:t>
      </w:r>
      <w:r>
        <w:rPr>
          <w:i/>
          <w:iCs/>
          <w:sz w:val="24"/>
          <w:szCs w:val="24"/>
        </w:rPr>
        <w:t xml:space="preserve">e, </w:t>
      </w:r>
      <w:r>
        <w:rPr>
          <w:sz w:val="24"/>
          <w:szCs w:val="24"/>
        </w:rPr>
        <w:t xml:space="preserve">ed. </w:t>
      </w:r>
      <w:r w:rsidRPr="00F120C1">
        <w:rPr>
          <w:sz w:val="24"/>
          <w:szCs w:val="24"/>
        </w:rPr>
        <w:t>Evelyn Tribble and Howard Marchitello</w:t>
      </w:r>
      <w:r>
        <w:rPr>
          <w:sz w:val="24"/>
          <w:szCs w:val="24"/>
        </w:rPr>
        <w:t xml:space="preserve"> (</w:t>
      </w:r>
      <w:r w:rsidRPr="00F120C1">
        <w:rPr>
          <w:sz w:val="24"/>
          <w:szCs w:val="24"/>
        </w:rPr>
        <w:t>Palgrave, 2017</w:t>
      </w:r>
      <w:r>
        <w:rPr>
          <w:sz w:val="24"/>
          <w:szCs w:val="24"/>
        </w:rPr>
        <w:t>),</w:t>
      </w:r>
      <w:r w:rsidRPr="00F120C1">
        <w:rPr>
          <w:sz w:val="24"/>
          <w:szCs w:val="24"/>
        </w:rPr>
        <w:t xml:space="preserve"> 3–26</w:t>
      </w:r>
      <w:r>
        <w:rPr>
          <w:sz w:val="24"/>
          <w:szCs w:val="24"/>
        </w:rPr>
        <w:t xml:space="preserve"> argues</w:t>
      </w:r>
      <w:r w:rsidR="001872A2">
        <w:rPr>
          <w:sz w:val="24"/>
          <w:szCs w:val="24"/>
        </w:rPr>
        <w:t xml:space="preserve"> that Cavendish’s later use of the term “Creature</w:t>
      </w:r>
      <w:r w:rsidR="002B7216">
        <w:rPr>
          <w:sz w:val="24"/>
          <w:szCs w:val="24"/>
        </w:rPr>
        <w:t>”</w:t>
      </w:r>
      <w:r w:rsidR="001872A2">
        <w:rPr>
          <w:sz w:val="24"/>
          <w:szCs w:val="24"/>
        </w:rPr>
        <w:t xml:space="preserve"> refers to “any composite body” (13). </w:t>
      </w:r>
    </w:p>
  </w:endnote>
  <w:endnote w:id="69">
    <w:p w14:paraId="5C1B408A" w14:textId="0C593B8B" w:rsidR="00F66DB3" w:rsidRPr="00F66DB3" w:rsidRDefault="00F66DB3" w:rsidP="00F120C1">
      <w:pPr>
        <w:pStyle w:val="FootnoteText"/>
        <w:spacing w:line="480" w:lineRule="auto"/>
        <w:rPr>
          <w:sz w:val="24"/>
          <w:szCs w:val="24"/>
          <w:lang w:val="en-US"/>
        </w:rPr>
      </w:pPr>
      <w:r w:rsidRPr="00F120C1">
        <w:rPr>
          <w:rStyle w:val="EndnoteReference"/>
          <w:sz w:val="24"/>
          <w:szCs w:val="24"/>
        </w:rPr>
        <w:endnoteRef/>
      </w:r>
      <w:r w:rsidRPr="00F120C1">
        <w:rPr>
          <w:sz w:val="24"/>
          <w:szCs w:val="24"/>
        </w:rPr>
        <w:t xml:space="preserve"> Cavendish, </w:t>
      </w:r>
      <w:r w:rsidRPr="00F120C1">
        <w:rPr>
          <w:i/>
          <w:iCs/>
          <w:sz w:val="24"/>
          <w:szCs w:val="24"/>
        </w:rPr>
        <w:t>Blazing World</w:t>
      </w:r>
      <w:r w:rsidRPr="00F120C1">
        <w:rPr>
          <w:sz w:val="24"/>
          <w:szCs w:val="24"/>
        </w:rPr>
        <w:t>, [4]. On the creative power of fancy as a part of nature, see Susan James</w:t>
      </w:r>
      <w:r w:rsidRPr="00F66DB3">
        <w:rPr>
          <w:sz w:val="24"/>
          <w:szCs w:val="24"/>
        </w:rPr>
        <w:t xml:space="preserve">, </w:t>
      </w:r>
      <w:r>
        <w:rPr>
          <w:sz w:val="24"/>
          <w:szCs w:val="24"/>
        </w:rPr>
        <w:t>“‘</w:t>
      </w:r>
      <w:r w:rsidRPr="00F66DB3">
        <w:rPr>
          <w:sz w:val="24"/>
          <w:szCs w:val="24"/>
        </w:rPr>
        <w:t>Hermaphroditical Mixtures</w:t>
      </w:r>
      <w:r>
        <w:rPr>
          <w:sz w:val="24"/>
          <w:szCs w:val="24"/>
        </w:rPr>
        <w:t>’</w:t>
      </w:r>
      <w:r w:rsidRPr="00F66DB3">
        <w:rPr>
          <w:sz w:val="24"/>
          <w:szCs w:val="24"/>
        </w:rPr>
        <w:t>: Margaret Cavendish on Nature and Art,</w:t>
      </w:r>
      <w:r>
        <w:rPr>
          <w:sz w:val="24"/>
          <w:szCs w:val="24"/>
        </w:rPr>
        <w:t>” in</w:t>
      </w:r>
      <w:r w:rsidRPr="00F66DB3">
        <w:rPr>
          <w:sz w:val="24"/>
          <w:szCs w:val="24"/>
        </w:rPr>
        <w:t xml:space="preserve"> </w:t>
      </w:r>
      <w:r w:rsidRPr="00F66DB3">
        <w:rPr>
          <w:i/>
          <w:iCs/>
          <w:sz w:val="24"/>
          <w:szCs w:val="24"/>
        </w:rPr>
        <w:t>Early Modern Women on Metaphysics</w:t>
      </w:r>
      <w:r w:rsidRPr="00F66DB3">
        <w:rPr>
          <w:sz w:val="24"/>
          <w:szCs w:val="24"/>
        </w:rPr>
        <w:t xml:space="preserve">, ed. Emily Thomas (Cambridge, 2018), 31-48. </w:t>
      </w:r>
    </w:p>
  </w:endnote>
  <w:endnote w:id="70">
    <w:p w14:paraId="3C4E3029" w14:textId="6872208E" w:rsidR="00596197" w:rsidRPr="002548E1" w:rsidRDefault="00596197" w:rsidP="002548E1">
      <w:pPr>
        <w:pStyle w:val="EndnoteText"/>
        <w:spacing w:line="480" w:lineRule="auto"/>
        <w:rPr>
          <w:sz w:val="24"/>
          <w:szCs w:val="24"/>
          <w:lang w:val="en-US"/>
        </w:rPr>
      </w:pPr>
      <w:r w:rsidRPr="00596197">
        <w:rPr>
          <w:rStyle w:val="EndnoteReference"/>
          <w:sz w:val="24"/>
          <w:szCs w:val="24"/>
        </w:rPr>
        <w:endnoteRef/>
      </w:r>
      <w:r w:rsidRPr="00596197">
        <w:rPr>
          <w:sz w:val="24"/>
          <w:szCs w:val="24"/>
        </w:rPr>
        <w:t xml:space="preserve"> Cavendish, </w:t>
      </w:r>
      <w:r>
        <w:rPr>
          <w:sz w:val="24"/>
          <w:szCs w:val="24"/>
        </w:rPr>
        <w:t>“</w:t>
      </w:r>
      <w:r w:rsidRPr="00596197">
        <w:rPr>
          <w:sz w:val="24"/>
          <w:szCs w:val="24"/>
        </w:rPr>
        <w:t>The Second Part</w:t>
      </w:r>
      <w:r>
        <w:rPr>
          <w:sz w:val="24"/>
          <w:szCs w:val="24"/>
        </w:rPr>
        <w:t>”</w:t>
      </w:r>
      <w:r w:rsidRPr="00596197">
        <w:rPr>
          <w:sz w:val="24"/>
          <w:szCs w:val="24"/>
        </w:rPr>
        <w:t xml:space="preserve"> in </w:t>
      </w:r>
      <w:r w:rsidRPr="00596197">
        <w:rPr>
          <w:i/>
          <w:iCs/>
          <w:sz w:val="24"/>
          <w:szCs w:val="24"/>
        </w:rPr>
        <w:t>Blazing World</w:t>
      </w:r>
      <w:r w:rsidRPr="00596197">
        <w:rPr>
          <w:sz w:val="24"/>
          <w:szCs w:val="24"/>
        </w:rPr>
        <w:t xml:space="preserve">, 17-19. Tessie Prakas, </w:t>
      </w:r>
      <w:r>
        <w:rPr>
          <w:sz w:val="24"/>
          <w:szCs w:val="24"/>
        </w:rPr>
        <w:t>“‘</w:t>
      </w:r>
      <w:r w:rsidRPr="00596197">
        <w:rPr>
          <w:sz w:val="24"/>
          <w:szCs w:val="24"/>
        </w:rPr>
        <w:t>A World of her own Invention</w:t>
      </w:r>
      <w:r>
        <w:rPr>
          <w:sz w:val="24"/>
          <w:szCs w:val="24"/>
        </w:rPr>
        <w:t>’</w:t>
      </w:r>
      <w:r w:rsidRPr="00596197">
        <w:rPr>
          <w:sz w:val="24"/>
          <w:szCs w:val="24"/>
        </w:rPr>
        <w:t xml:space="preserve">: The Realm of Fancy in Margaret Cavendish’s </w:t>
      </w:r>
      <w:r w:rsidRPr="00596197">
        <w:rPr>
          <w:i/>
          <w:iCs/>
          <w:sz w:val="24"/>
          <w:szCs w:val="24"/>
        </w:rPr>
        <w:t>The Description of a New World, Called the Blazing World</w:t>
      </w:r>
      <w:r>
        <w:rPr>
          <w:sz w:val="24"/>
          <w:szCs w:val="24"/>
        </w:rPr>
        <w:t>”</w:t>
      </w:r>
      <w:r w:rsidRPr="00596197">
        <w:rPr>
          <w:sz w:val="24"/>
          <w:szCs w:val="24"/>
        </w:rPr>
        <w:t>,</w:t>
      </w:r>
      <w:r w:rsidRPr="00596197">
        <w:rPr>
          <w:i/>
          <w:iCs/>
          <w:sz w:val="24"/>
          <w:szCs w:val="24"/>
        </w:rPr>
        <w:t xml:space="preserve"> Journal for Early Modern Cultural </w:t>
      </w:r>
      <w:r w:rsidRPr="002548E1">
        <w:rPr>
          <w:i/>
          <w:iCs/>
          <w:sz w:val="24"/>
          <w:szCs w:val="24"/>
        </w:rPr>
        <w:t>Studies</w:t>
      </w:r>
      <w:r w:rsidRPr="002548E1">
        <w:rPr>
          <w:sz w:val="24"/>
          <w:szCs w:val="24"/>
        </w:rPr>
        <w:t xml:space="preserve"> 16.1 (2016): 127, 133-8.</w:t>
      </w:r>
    </w:p>
  </w:endnote>
  <w:endnote w:id="71">
    <w:p w14:paraId="75757D69" w14:textId="1E804F6F" w:rsidR="002548E1" w:rsidRPr="002C5F23" w:rsidRDefault="002548E1" w:rsidP="002548E1">
      <w:pPr>
        <w:pStyle w:val="EndnoteText"/>
        <w:spacing w:line="480" w:lineRule="auto"/>
        <w:rPr>
          <w:sz w:val="24"/>
          <w:szCs w:val="24"/>
          <w:lang w:val="en-US"/>
        </w:rPr>
      </w:pPr>
      <w:r w:rsidRPr="002C5F23">
        <w:rPr>
          <w:rStyle w:val="EndnoteReference"/>
          <w:sz w:val="24"/>
          <w:szCs w:val="24"/>
        </w:rPr>
        <w:endnoteRef/>
      </w:r>
      <w:r w:rsidRPr="002C5F23">
        <w:rPr>
          <w:sz w:val="24"/>
          <w:szCs w:val="24"/>
        </w:rPr>
        <w:t xml:space="preserve"> See Peter J. Bakewell, ‘Mining’ in </w:t>
      </w:r>
      <w:r w:rsidRPr="002C5F23">
        <w:rPr>
          <w:i/>
          <w:iCs/>
          <w:sz w:val="24"/>
          <w:szCs w:val="24"/>
        </w:rPr>
        <w:t>Colonial Spanish America</w:t>
      </w:r>
      <w:r w:rsidRPr="002C5F23">
        <w:rPr>
          <w:sz w:val="24"/>
          <w:szCs w:val="24"/>
        </w:rPr>
        <w:t>, ed. Leslie Bethell (Cambridge, 1987), 203-49.</w:t>
      </w:r>
    </w:p>
  </w:endnote>
  <w:endnote w:id="72">
    <w:p w14:paraId="2A169715" w14:textId="6A375225" w:rsidR="00471FE7" w:rsidRPr="004C6809" w:rsidRDefault="00471FE7" w:rsidP="004C6809">
      <w:pPr>
        <w:pStyle w:val="EndnoteText"/>
        <w:spacing w:line="480" w:lineRule="auto"/>
        <w:rPr>
          <w:sz w:val="24"/>
          <w:szCs w:val="24"/>
        </w:rPr>
      </w:pPr>
      <w:r w:rsidRPr="002C5F23">
        <w:rPr>
          <w:rStyle w:val="EndnoteReference"/>
          <w:sz w:val="24"/>
          <w:szCs w:val="24"/>
        </w:rPr>
        <w:endnoteRef/>
      </w:r>
      <w:r w:rsidRPr="002C5F23">
        <w:rPr>
          <w:sz w:val="24"/>
          <w:szCs w:val="24"/>
        </w:rPr>
        <w:t xml:space="preserve"> Cavendish, </w:t>
      </w:r>
      <w:r w:rsidRPr="002C5F23">
        <w:rPr>
          <w:i/>
          <w:iCs/>
          <w:sz w:val="24"/>
          <w:szCs w:val="24"/>
        </w:rPr>
        <w:t xml:space="preserve">The life of William Cavendish: Duke of Newcastle to which is added the </w:t>
      </w:r>
      <w:r w:rsidRPr="004C6809">
        <w:rPr>
          <w:i/>
          <w:iCs/>
          <w:sz w:val="24"/>
          <w:szCs w:val="24"/>
        </w:rPr>
        <w:t>true relation of my birth, breeding and life</w:t>
      </w:r>
      <w:r w:rsidRPr="004C6809">
        <w:rPr>
          <w:sz w:val="24"/>
          <w:szCs w:val="24"/>
        </w:rPr>
        <w:t xml:space="preserve"> (London, [189?]), 174-5. </w:t>
      </w:r>
    </w:p>
  </w:endnote>
  <w:endnote w:id="73">
    <w:p w14:paraId="23158DA1" w14:textId="3AA1C5C5" w:rsidR="002C5F23" w:rsidRPr="00C77C22" w:rsidRDefault="002C5F23" w:rsidP="004C6809">
      <w:pPr>
        <w:pStyle w:val="EndnoteText"/>
        <w:spacing w:line="480" w:lineRule="auto"/>
        <w:rPr>
          <w:sz w:val="24"/>
          <w:szCs w:val="24"/>
          <w:lang w:val="en-US"/>
        </w:rPr>
      </w:pPr>
      <w:r w:rsidRPr="004C6809">
        <w:rPr>
          <w:rStyle w:val="EndnoteReference"/>
          <w:sz w:val="24"/>
          <w:szCs w:val="24"/>
        </w:rPr>
        <w:endnoteRef/>
      </w:r>
      <w:r w:rsidRPr="004C6809">
        <w:rPr>
          <w:sz w:val="24"/>
          <w:szCs w:val="24"/>
        </w:rPr>
        <w:t xml:space="preserve"> </w:t>
      </w:r>
      <w:r w:rsidR="00C36C14">
        <w:rPr>
          <w:sz w:val="24"/>
          <w:szCs w:val="24"/>
        </w:rPr>
        <w:t xml:space="preserve">Katharine </w:t>
      </w:r>
      <w:r w:rsidRPr="004C6809">
        <w:rPr>
          <w:sz w:val="24"/>
          <w:szCs w:val="24"/>
        </w:rPr>
        <w:t xml:space="preserve">Landers, </w:t>
      </w:r>
      <w:r w:rsidR="00C36C14" w:rsidRPr="00863E3D">
        <w:rPr>
          <w:sz w:val="24"/>
          <w:szCs w:val="24"/>
        </w:rPr>
        <w:t xml:space="preserve">“Singular Modes: The Politics of Dress in Cavendish, Evelyn, and </w:t>
      </w:r>
      <w:r w:rsidR="00C36C14" w:rsidRPr="00C77C22">
        <w:rPr>
          <w:sz w:val="24"/>
          <w:szCs w:val="24"/>
        </w:rPr>
        <w:t xml:space="preserve">Hutchinson,” </w:t>
      </w:r>
      <w:r w:rsidR="00C36C14" w:rsidRPr="00C77C22">
        <w:rPr>
          <w:i/>
          <w:iCs/>
          <w:sz w:val="24"/>
          <w:szCs w:val="24"/>
        </w:rPr>
        <w:t>English Literary Renaissance</w:t>
      </w:r>
      <w:r w:rsidR="00C36C14" w:rsidRPr="00C77C22">
        <w:rPr>
          <w:sz w:val="24"/>
          <w:szCs w:val="24"/>
        </w:rPr>
        <w:t xml:space="preserve"> 53, no. 3 (2023): 351-75, </w:t>
      </w:r>
      <w:r w:rsidRPr="00C77C22">
        <w:rPr>
          <w:sz w:val="24"/>
          <w:szCs w:val="24"/>
        </w:rPr>
        <w:t xml:space="preserve">353-66. </w:t>
      </w:r>
    </w:p>
  </w:endnote>
  <w:endnote w:id="74">
    <w:p w14:paraId="76FE87AC" w14:textId="77777777" w:rsidR="00B02A08" w:rsidRPr="00C77C22" w:rsidRDefault="00B02A08" w:rsidP="00C77C22">
      <w:pPr>
        <w:pStyle w:val="EndnoteText"/>
        <w:spacing w:line="480" w:lineRule="auto"/>
        <w:rPr>
          <w:sz w:val="24"/>
          <w:szCs w:val="24"/>
          <w:lang w:val="en-US"/>
        </w:rPr>
      </w:pPr>
      <w:r w:rsidRPr="00C77C22">
        <w:rPr>
          <w:rStyle w:val="EndnoteReference"/>
          <w:sz w:val="24"/>
          <w:szCs w:val="24"/>
        </w:rPr>
        <w:endnoteRef/>
      </w:r>
      <w:r w:rsidRPr="00C77C22">
        <w:rPr>
          <w:sz w:val="24"/>
          <w:szCs w:val="24"/>
        </w:rPr>
        <w:t xml:space="preserve"> Cavendish, </w:t>
      </w:r>
      <w:r w:rsidRPr="00C77C22">
        <w:rPr>
          <w:i/>
          <w:iCs/>
          <w:sz w:val="24"/>
          <w:szCs w:val="24"/>
          <w:lang w:val="en-US"/>
        </w:rPr>
        <w:t>Philosophical Letters</w:t>
      </w:r>
      <w:r w:rsidRPr="00C77C22">
        <w:rPr>
          <w:sz w:val="24"/>
          <w:szCs w:val="24"/>
          <w:lang w:val="en-US"/>
        </w:rPr>
        <w:t>, 284, 302.</w:t>
      </w:r>
    </w:p>
  </w:endnote>
  <w:endnote w:id="75">
    <w:p w14:paraId="0300FDA7" w14:textId="1A84CB4F" w:rsidR="00C77C22" w:rsidRPr="00C77C22" w:rsidRDefault="00C77C22" w:rsidP="00C77C22">
      <w:pPr>
        <w:pStyle w:val="EndnoteText"/>
        <w:spacing w:line="480" w:lineRule="auto"/>
        <w:rPr>
          <w:sz w:val="24"/>
          <w:szCs w:val="24"/>
          <w:lang w:val="en-US"/>
        </w:rPr>
      </w:pPr>
      <w:r w:rsidRPr="00C77C22">
        <w:rPr>
          <w:rStyle w:val="EndnoteReference"/>
          <w:sz w:val="24"/>
          <w:szCs w:val="24"/>
        </w:rPr>
        <w:endnoteRef/>
      </w:r>
      <w:r w:rsidRPr="00C77C22">
        <w:rPr>
          <w:sz w:val="24"/>
          <w:szCs w:val="24"/>
        </w:rPr>
        <w:t xml:space="preserve"> Marcy P. Lascano, </w:t>
      </w:r>
      <w:r w:rsidRPr="00C77C22">
        <w:rPr>
          <w:i/>
          <w:iCs/>
          <w:sz w:val="24"/>
          <w:szCs w:val="24"/>
        </w:rPr>
        <w:t>The Metaphysics of Margaret Cavendish and Anne Conway: Monism, Vitalism, and Self-Motion</w:t>
      </w:r>
      <w:r>
        <w:rPr>
          <w:sz w:val="24"/>
          <w:szCs w:val="24"/>
        </w:rPr>
        <w:t xml:space="preserve"> (Oxford University Press, 2023), 32-45.</w:t>
      </w:r>
    </w:p>
  </w:endnote>
  <w:endnote w:id="76">
    <w:p w14:paraId="2443DFE6" w14:textId="308C0E47" w:rsidR="002B7216" w:rsidRPr="002B7216" w:rsidRDefault="002B7216" w:rsidP="002B7216">
      <w:pPr>
        <w:pStyle w:val="EndnoteText"/>
        <w:spacing w:line="480" w:lineRule="auto"/>
        <w:rPr>
          <w:sz w:val="24"/>
          <w:szCs w:val="24"/>
        </w:rPr>
      </w:pPr>
      <w:r w:rsidRPr="002B7216">
        <w:rPr>
          <w:rStyle w:val="EndnoteReference"/>
          <w:sz w:val="24"/>
          <w:szCs w:val="24"/>
        </w:rPr>
        <w:endnoteRef/>
      </w:r>
      <w:r w:rsidRPr="002B7216">
        <w:rPr>
          <w:sz w:val="24"/>
          <w:szCs w:val="24"/>
        </w:rPr>
        <w:t xml:space="preserve"> </w:t>
      </w:r>
      <w:r>
        <w:rPr>
          <w:sz w:val="24"/>
          <w:szCs w:val="24"/>
        </w:rPr>
        <w:t xml:space="preserve">Cavendish, </w:t>
      </w:r>
      <w:r>
        <w:rPr>
          <w:i/>
          <w:iCs/>
          <w:sz w:val="24"/>
          <w:szCs w:val="24"/>
        </w:rPr>
        <w:t>Ground of Natural Philosophy</w:t>
      </w:r>
      <w:r>
        <w:rPr>
          <w:sz w:val="24"/>
          <w:szCs w:val="24"/>
        </w:rPr>
        <w:t xml:space="preserve"> (London, 1668), 11. </w:t>
      </w:r>
    </w:p>
  </w:endnote>
  <w:endnote w:id="77">
    <w:p w14:paraId="206798AD" w14:textId="03F31FF8" w:rsidR="00A53F3C" w:rsidRPr="00A53F3C" w:rsidRDefault="00A53F3C" w:rsidP="00A53F3C">
      <w:pPr>
        <w:pStyle w:val="EndnoteText"/>
        <w:spacing w:line="480" w:lineRule="auto"/>
        <w:rPr>
          <w:sz w:val="24"/>
          <w:szCs w:val="24"/>
          <w:lang w:val="en-US"/>
        </w:rPr>
      </w:pPr>
      <w:r w:rsidRPr="00A53F3C">
        <w:rPr>
          <w:rStyle w:val="EndnoteReference"/>
          <w:sz w:val="24"/>
          <w:szCs w:val="24"/>
        </w:rPr>
        <w:endnoteRef/>
      </w:r>
      <w:r w:rsidRPr="00A53F3C">
        <w:rPr>
          <w:sz w:val="24"/>
          <w:szCs w:val="24"/>
        </w:rPr>
        <w:t xml:space="preserve"> </w:t>
      </w:r>
      <w:r>
        <w:rPr>
          <w:sz w:val="24"/>
          <w:szCs w:val="24"/>
        </w:rPr>
        <w:t>Blake, “Creature Manifesto,”, 12-13.</w:t>
      </w:r>
    </w:p>
  </w:endnote>
  <w:endnote w:id="78">
    <w:p w14:paraId="243F3D14" w14:textId="348B097B" w:rsidR="00EA0D23" w:rsidRPr="00A53F3C" w:rsidRDefault="00EA0D23" w:rsidP="00A53F3C">
      <w:pPr>
        <w:pStyle w:val="EndnoteText"/>
        <w:spacing w:line="480" w:lineRule="auto"/>
        <w:rPr>
          <w:sz w:val="24"/>
          <w:szCs w:val="24"/>
          <w:lang w:val="en-US"/>
        </w:rPr>
      </w:pPr>
      <w:r w:rsidRPr="00A53F3C">
        <w:rPr>
          <w:rStyle w:val="EndnoteReference"/>
          <w:sz w:val="24"/>
          <w:szCs w:val="24"/>
        </w:rPr>
        <w:endnoteRef/>
      </w:r>
      <w:r w:rsidRPr="00A53F3C">
        <w:rPr>
          <w:sz w:val="24"/>
          <w:szCs w:val="24"/>
        </w:rPr>
        <w:t xml:space="preserve"> Everett, </w:t>
      </w:r>
      <w:r w:rsidRPr="00A53F3C">
        <w:rPr>
          <w:i/>
          <w:iCs/>
          <w:sz w:val="24"/>
          <w:szCs w:val="24"/>
        </w:rPr>
        <w:t>Poets in Their Time</w:t>
      </w:r>
      <w:r w:rsidRPr="00A53F3C">
        <w:rPr>
          <w:sz w:val="24"/>
          <w:szCs w:val="24"/>
        </w:rPr>
        <w:t>, 38.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43911522"/>
      <w:docPartObj>
        <w:docPartGallery w:val="Page Numbers (Bottom of Page)"/>
        <w:docPartUnique/>
      </w:docPartObj>
    </w:sdtPr>
    <w:sdtContent>
      <w:p w14:paraId="1C4C1089" w14:textId="37C61B47" w:rsidR="0018385F" w:rsidRDefault="0018385F" w:rsidP="00E34D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9A14E77" w14:textId="77777777" w:rsidR="0018385F" w:rsidRDefault="0018385F" w:rsidP="001838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70270996"/>
      <w:docPartObj>
        <w:docPartGallery w:val="Page Numbers (Bottom of Page)"/>
        <w:docPartUnique/>
      </w:docPartObj>
    </w:sdtPr>
    <w:sdtContent>
      <w:p w14:paraId="691B7F1D" w14:textId="3AAB3671" w:rsidR="0018385F" w:rsidRDefault="0018385F" w:rsidP="00E34D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D1EFEA3" w14:textId="77777777" w:rsidR="0018385F" w:rsidRDefault="0018385F" w:rsidP="0018385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3F17E" w14:textId="77777777" w:rsidR="008465BA" w:rsidRDefault="008465BA" w:rsidP="0018385F">
      <w:r>
        <w:separator/>
      </w:r>
    </w:p>
  </w:footnote>
  <w:footnote w:type="continuationSeparator" w:id="0">
    <w:p w14:paraId="6AFBC20E" w14:textId="77777777" w:rsidR="008465BA" w:rsidRDefault="008465BA" w:rsidP="001838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682"/>
    <w:rsid w:val="00005D52"/>
    <w:rsid w:val="00011EC2"/>
    <w:rsid w:val="0001407E"/>
    <w:rsid w:val="00015514"/>
    <w:rsid w:val="00025E9B"/>
    <w:rsid w:val="00036588"/>
    <w:rsid w:val="00043E93"/>
    <w:rsid w:val="00060D4D"/>
    <w:rsid w:val="00064516"/>
    <w:rsid w:val="000723EC"/>
    <w:rsid w:val="00072BAF"/>
    <w:rsid w:val="0009250B"/>
    <w:rsid w:val="000A4488"/>
    <w:rsid w:val="000B0A10"/>
    <w:rsid w:val="000B45D0"/>
    <w:rsid w:val="000E1B23"/>
    <w:rsid w:val="000E3085"/>
    <w:rsid w:val="000E74B1"/>
    <w:rsid w:val="000F1DA7"/>
    <w:rsid w:val="000F2B3D"/>
    <w:rsid w:val="001166AF"/>
    <w:rsid w:val="00123337"/>
    <w:rsid w:val="00126CD6"/>
    <w:rsid w:val="0012705E"/>
    <w:rsid w:val="0013285E"/>
    <w:rsid w:val="00137889"/>
    <w:rsid w:val="0014184B"/>
    <w:rsid w:val="00142316"/>
    <w:rsid w:val="00143888"/>
    <w:rsid w:val="0015318F"/>
    <w:rsid w:val="0015608C"/>
    <w:rsid w:val="00170FCE"/>
    <w:rsid w:val="00174724"/>
    <w:rsid w:val="001767AD"/>
    <w:rsid w:val="00176C50"/>
    <w:rsid w:val="0018385F"/>
    <w:rsid w:val="001872A2"/>
    <w:rsid w:val="00196563"/>
    <w:rsid w:val="001C3256"/>
    <w:rsid w:val="001F7F49"/>
    <w:rsid w:val="00201EBA"/>
    <w:rsid w:val="00212936"/>
    <w:rsid w:val="002235F9"/>
    <w:rsid w:val="002278AF"/>
    <w:rsid w:val="00245B6C"/>
    <w:rsid w:val="0024618B"/>
    <w:rsid w:val="0024698F"/>
    <w:rsid w:val="0025098D"/>
    <w:rsid w:val="002548E1"/>
    <w:rsid w:val="002650AD"/>
    <w:rsid w:val="00270666"/>
    <w:rsid w:val="0027158B"/>
    <w:rsid w:val="00276F93"/>
    <w:rsid w:val="0028249B"/>
    <w:rsid w:val="0028533F"/>
    <w:rsid w:val="00291D41"/>
    <w:rsid w:val="00295FD3"/>
    <w:rsid w:val="00296636"/>
    <w:rsid w:val="002A14E6"/>
    <w:rsid w:val="002A325D"/>
    <w:rsid w:val="002A51F2"/>
    <w:rsid w:val="002A5418"/>
    <w:rsid w:val="002B08EF"/>
    <w:rsid w:val="002B7216"/>
    <w:rsid w:val="002C5F23"/>
    <w:rsid w:val="002C7076"/>
    <w:rsid w:val="002C7A13"/>
    <w:rsid w:val="002D3AC4"/>
    <w:rsid w:val="002D49AD"/>
    <w:rsid w:val="002E0DC0"/>
    <w:rsid w:val="002E218F"/>
    <w:rsid w:val="00305830"/>
    <w:rsid w:val="00324283"/>
    <w:rsid w:val="00324F82"/>
    <w:rsid w:val="0035420A"/>
    <w:rsid w:val="00355EED"/>
    <w:rsid w:val="003572D2"/>
    <w:rsid w:val="0036192C"/>
    <w:rsid w:val="00386A0C"/>
    <w:rsid w:val="003935BA"/>
    <w:rsid w:val="00397FD7"/>
    <w:rsid w:val="003A3FD9"/>
    <w:rsid w:val="003A4787"/>
    <w:rsid w:val="003A5540"/>
    <w:rsid w:val="003A5C8D"/>
    <w:rsid w:val="003B2710"/>
    <w:rsid w:val="003B337D"/>
    <w:rsid w:val="003B3404"/>
    <w:rsid w:val="003B4ACE"/>
    <w:rsid w:val="003C2A3E"/>
    <w:rsid w:val="003C32EB"/>
    <w:rsid w:val="003E0E4D"/>
    <w:rsid w:val="003E36B3"/>
    <w:rsid w:val="003F3AFC"/>
    <w:rsid w:val="0040442A"/>
    <w:rsid w:val="00404BB4"/>
    <w:rsid w:val="004060DE"/>
    <w:rsid w:val="0042421D"/>
    <w:rsid w:val="0044076B"/>
    <w:rsid w:val="00442FDD"/>
    <w:rsid w:val="00445C9E"/>
    <w:rsid w:val="004518CE"/>
    <w:rsid w:val="00471FE7"/>
    <w:rsid w:val="00480C69"/>
    <w:rsid w:val="00484109"/>
    <w:rsid w:val="00487E1F"/>
    <w:rsid w:val="00490B04"/>
    <w:rsid w:val="00492025"/>
    <w:rsid w:val="004B7B44"/>
    <w:rsid w:val="004C08D4"/>
    <w:rsid w:val="004C6809"/>
    <w:rsid w:val="004C70EF"/>
    <w:rsid w:val="004E083B"/>
    <w:rsid w:val="004F4457"/>
    <w:rsid w:val="00502332"/>
    <w:rsid w:val="005025EF"/>
    <w:rsid w:val="00534151"/>
    <w:rsid w:val="005354A4"/>
    <w:rsid w:val="00556019"/>
    <w:rsid w:val="00556698"/>
    <w:rsid w:val="005739F4"/>
    <w:rsid w:val="0059496E"/>
    <w:rsid w:val="00596197"/>
    <w:rsid w:val="005A0D37"/>
    <w:rsid w:val="005A26B8"/>
    <w:rsid w:val="005A2E09"/>
    <w:rsid w:val="005B2091"/>
    <w:rsid w:val="005D646D"/>
    <w:rsid w:val="005D7717"/>
    <w:rsid w:val="005E30AF"/>
    <w:rsid w:val="005F4216"/>
    <w:rsid w:val="005F5CE4"/>
    <w:rsid w:val="00605009"/>
    <w:rsid w:val="00606CEF"/>
    <w:rsid w:val="00612A0D"/>
    <w:rsid w:val="0061769A"/>
    <w:rsid w:val="00626244"/>
    <w:rsid w:val="006267B8"/>
    <w:rsid w:val="00631FEB"/>
    <w:rsid w:val="00654E56"/>
    <w:rsid w:val="00660A10"/>
    <w:rsid w:val="0066137D"/>
    <w:rsid w:val="00677F26"/>
    <w:rsid w:val="00692110"/>
    <w:rsid w:val="006A0F13"/>
    <w:rsid w:val="006C0EBD"/>
    <w:rsid w:val="006C7DCA"/>
    <w:rsid w:val="006E188D"/>
    <w:rsid w:val="006F0E23"/>
    <w:rsid w:val="006F3D84"/>
    <w:rsid w:val="006F6D57"/>
    <w:rsid w:val="006F77D8"/>
    <w:rsid w:val="00713410"/>
    <w:rsid w:val="007208C6"/>
    <w:rsid w:val="007243A1"/>
    <w:rsid w:val="00730AB5"/>
    <w:rsid w:val="00730B38"/>
    <w:rsid w:val="0073597C"/>
    <w:rsid w:val="00745829"/>
    <w:rsid w:val="00756B00"/>
    <w:rsid w:val="0076075C"/>
    <w:rsid w:val="0077139E"/>
    <w:rsid w:val="00774C2C"/>
    <w:rsid w:val="007773B8"/>
    <w:rsid w:val="00790CE3"/>
    <w:rsid w:val="007B4B2A"/>
    <w:rsid w:val="007B65C3"/>
    <w:rsid w:val="007C324D"/>
    <w:rsid w:val="007E24D7"/>
    <w:rsid w:val="007E5770"/>
    <w:rsid w:val="007F2469"/>
    <w:rsid w:val="007F661B"/>
    <w:rsid w:val="0080391B"/>
    <w:rsid w:val="00813921"/>
    <w:rsid w:val="00820304"/>
    <w:rsid w:val="00822223"/>
    <w:rsid w:val="008239EB"/>
    <w:rsid w:val="00824E3F"/>
    <w:rsid w:val="008364FB"/>
    <w:rsid w:val="00842554"/>
    <w:rsid w:val="008465BA"/>
    <w:rsid w:val="00863E3D"/>
    <w:rsid w:val="008660CF"/>
    <w:rsid w:val="008804E8"/>
    <w:rsid w:val="00883EA7"/>
    <w:rsid w:val="008B5822"/>
    <w:rsid w:val="008B664C"/>
    <w:rsid w:val="008C4E51"/>
    <w:rsid w:val="008D61C3"/>
    <w:rsid w:val="008E19B0"/>
    <w:rsid w:val="008F2E4C"/>
    <w:rsid w:val="008F2F67"/>
    <w:rsid w:val="008F6C00"/>
    <w:rsid w:val="009066EC"/>
    <w:rsid w:val="00911D77"/>
    <w:rsid w:val="00915FE5"/>
    <w:rsid w:val="009307B1"/>
    <w:rsid w:val="00942EA4"/>
    <w:rsid w:val="0094488B"/>
    <w:rsid w:val="009451CB"/>
    <w:rsid w:val="0094594E"/>
    <w:rsid w:val="00955499"/>
    <w:rsid w:val="00955848"/>
    <w:rsid w:val="00956513"/>
    <w:rsid w:val="00960493"/>
    <w:rsid w:val="009627A5"/>
    <w:rsid w:val="0096742B"/>
    <w:rsid w:val="009A4C15"/>
    <w:rsid w:val="009B322E"/>
    <w:rsid w:val="009B66C7"/>
    <w:rsid w:val="009B68BE"/>
    <w:rsid w:val="009D5A0C"/>
    <w:rsid w:val="009E21A4"/>
    <w:rsid w:val="009E32A9"/>
    <w:rsid w:val="009E7C93"/>
    <w:rsid w:val="009F7FBD"/>
    <w:rsid w:val="00A11D54"/>
    <w:rsid w:val="00A15A35"/>
    <w:rsid w:val="00A168E9"/>
    <w:rsid w:val="00A459BF"/>
    <w:rsid w:val="00A45B90"/>
    <w:rsid w:val="00A52E88"/>
    <w:rsid w:val="00A53203"/>
    <w:rsid w:val="00A53BC9"/>
    <w:rsid w:val="00A53F3C"/>
    <w:rsid w:val="00A550B5"/>
    <w:rsid w:val="00A55AEE"/>
    <w:rsid w:val="00A56D08"/>
    <w:rsid w:val="00A67CE7"/>
    <w:rsid w:val="00A70BB4"/>
    <w:rsid w:val="00A773E5"/>
    <w:rsid w:val="00A97373"/>
    <w:rsid w:val="00AA43F8"/>
    <w:rsid w:val="00AA6738"/>
    <w:rsid w:val="00AB298B"/>
    <w:rsid w:val="00AC49D0"/>
    <w:rsid w:val="00AD6787"/>
    <w:rsid w:val="00AE4929"/>
    <w:rsid w:val="00AE6D94"/>
    <w:rsid w:val="00AF443C"/>
    <w:rsid w:val="00B02A08"/>
    <w:rsid w:val="00B134F8"/>
    <w:rsid w:val="00B20E08"/>
    <w:rsid w:val="00B21B07"/>
    <w:rsid w:val="00B24292"/>
    <w:rsid w:val="00B30262"/>
    <w:rsid w:val="00B33353"/>
    <w:rsid w:val="00B41E6D"/>
    <w:rsid w:val="00B42FBE"/>
    <w:rsid w:val="00B43FD9"/>
    <w:rsid w:val="00B5372E"/>
    <w:rsid w:val="00B54134"/>
    <w:rsid w:val="00B80EE1"/>
    <w:rsid w:val="00B82B10"/>
    <w:rsid w:val="00B92361"/>
    <w:rsid w:val="00B9363B"/>
    <w:rsid w:val="00BA1F9B"/>
    <w:rsid w:val="00BB144A"/>
    <w:rsid w:val="00BD3BEC"/>
    <w:rsid w:val="00BD5CCC"/>
    <w:rsid w:val="00BE1881"/>
    <w:rsid w:val="00BE2CE9"/>
    <w:rsid w:val="00C1385B"/>
    <w:rsid w:val="00C207DE"/>
    <w:rsid w:val="00C36C14"/>
    <w:rsid w:val="00C501AF"/>
    <w:rsid w:val="00C5581A"/>
    <w:rsid w:val="00C75F91"/>
    <w:rsid w:val="00C77C22"/>
    <w:rsid w:val="00C94354"/>
    <w:rsid w:val="00CB5EEE"/>
    <w:rsid w:val="00CB6149"/>
    <w:rsid w:val="00CC409B"/>
    <w:rsid w:val="00CD368D"/>
    <w:rsid w:val="00CD7AF0"/>
    <w:rsid w:val="00CE26E5"/>
    <w:rsid w:val="00CE3111"/>
    <w:rsid w:val="00D04775"/>
    <w:rsid w:val="00D06012"/>
    <w:rsid w:val="00D07263"/>
    <w:rsid w:val="00D075FE"/>
    <w:rsid w:val="00D12EC7"/>
    <w:rsid w:val="00D227CE"/>
    <w:rsid w:val="00D33052"/>
    <w:rsid w:val="00D372F1"/>
    <w:rsid w:val="00D37DB6"/>
    <w:rsid w:val="00D42F7A"/>
    <w:rsid w:val="00D4447F"/>
    <w:rsid w:val="00D508A0"/>
    <w:rsid w:val="00D56300"/>
    <w:rsid w:val="00D6152C"/>
    <w:rsid w:val="00D66E11"/>
    <w:rsid w:val="00D73FF6"/>
    <w:rsid w:val="00D77F05"/>
    <w:rsid w:val="00D854C9"/>
    <w:rsid w:val="00D8653A"/>
    <w:rsid w:val="00D919A0"/>
    <w:rsid w:val="00DA76F5"/>
    <w:rsid w:val="00DB79AD"/>
    <w:rsid w:val="00DC107E"/>
    <w:rsid w:val="00DD76AF"/>
    <w:rsid w:val="00DD7737"/>
    <w:rsid w:val="00DE691A"/>
    <w:rsid w:val="00DF1938"/>
    <w:rsid w:val="00DF1EA2"/>
    <w:rsid w:val="00DF25EA"/>
    <w:rsid w:val="00DF5451"/>
    <w:rsid w:val="00DF5A28"/>
    <w:rsid w:val="00E33C38"/>
    <w:rsid w:val="00E41D02"/>
    <w:rsid w:val="00E42074"/>
    <w:rsid w:val="00E51574"/>
    <w:rsid w:val="00E60682"/>
    <w:rsid w:val="00E64BEC"/>
    <w:rsid w:val="00E7047D"/>
    <w:rsid w:val="00E73C4B"/>
    <w:rsid w:val="00E73ECB"/>
    <w:rsid w:val="00E91A47"/>
    <w:rsid w:val="00EA0D23"/>
    <w:rsid w:val="00EA5094"/>
    <w:rsid w:val="00EA5271"/>
    <w:rsid w:val="00EA69A9"/>
    <w:rsid w:val="00EB0199"/>
    <w:rsid w:val="00EB0483"/>
    <w:rsid w:val="00EB0A2D"/>
    <w:rsid w:val="00EC63E7"/>
    <w:rsid w:val="00ED377F"/>
    <w:rsid w:val="00EE7F94"/>
    <w:rsid w:val="00EF68A9"/>
    <w:rsid w:val="00F0691C"/>
    <w:rsid w:val="00F105AC"/>
    <w:rsid w:val="00F120C1"/>
    <w:rsid w:val="00F16157"/>
    <w:rsid w:val="00F223D6"/>
    <w:rsid w:val="00F33923"/>
    <w:rsid w:val="00F35496"/>
    <w:rsid w:val="00F3584A"/>
    <w:rsid w:val="00F36B20"/>
    <w:rsid w:val="00F40914"/>
    <w:rsid w:val="00F50D74"/>
    <w:rsid w:val="00F66DB3"/>
    <w:rsid w:val="00F6711C"/>
    <w:rsid w:val="00F67EC9"/>
    <w:rsid w:val="00F8096C"/>
    <w:rsid w:val="00FA764A"/>
    <w:rsid w:val="00FB20C4"/>
    <w:rsid w:val="00FB6E20"/>
    <w:rsid w:val="00FC7534"/>
    <w:rsid w:val="00FC76A4"/>
    <w:rsid w:val="00FE59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322CE6"/>
  <w15:chartTrackingRefBased/>
  <w15:docId w15:val="{0988EF79-2974-814A-9E66-C931F92BC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682"/>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E606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06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06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06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06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068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068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068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068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6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06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06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06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06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06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06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06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0682"/>
    <w:rPr>
      <w:rFonts w:eastAsiaTheme="majorEastAsia" w:cstheme="majorBidi"/>
      <w:color w:val="272727" w:themeColor="text1" w:themeTint="D8"/>
    </w:rPr>
  </w:style>
  <w:style w:type="paragraph" w:styleId="Title">
    <w:name w:val="Title"/>
    <w:basedOn w:val="Normal"/>
    <w:next w:val="Normal"/>
    <w:link w:val="TitleChar"/>
    <w:uiPriority w:val="10"/>
    <w:qFormat/>
    <w:rsid w:val="00E606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06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068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06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068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60682"/>
    <w:rPr>
      <w:i/>
      <w:iCs/>
      <w:color w:val="404040" w:themeColor="text1" w:themeTint="BF"/>
    </w:rPr>
  </w:style>
  <w:style w:type="paragraph" w:styleId="ListParagraph">
    <w:name w:val="List Paragraph"/>
    <w:basedOn w:val="Normal"/>
    <w:uiPriority w:val="34"/>
    <w:qFormat/>
    <w:rsid w:val="00E60682"/>
    <w:pPr>
      <w:ind w:left="720"/>
      <w:contextualSpacing/>
    </w:pPr>
  </w:style>
  <w:style w:type="character" w:styleId="IntenseEmphasis">
    <w:name w:val="Intense Emphasis"/>
    <w:basedOn w:val="DefaultParagraphFont"/>
    <w:uiPriority w:val="21"/>
    <w:qFormat/>
    <w:rsid w:val="00E60682"/>
    <w:rPr>
      <w:i/>
      <w:iCs/>
      <w:color w:val="0F4761" w:themeColor="accent1" w:themeShade="BF"/>
    </w:rPr>
  </w:style>
  <w:style w:type="paragraph" w:styleId="IntenseQuote">
    <w:name w:val="Intense Quote"/>
    <w:basedOn w:val="Normal"/>
    <w:next w:val="Normal"/>
    <w:link w:val="IntenseQuoteChar"/>
    <w:uiPriority w:val="30"/>
    <w:qFormat/>
    <w:rsid w:val="00E606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0682"/>
    <w:rPr>
      <w:i/>
      <w:iCs/>
      <w:color w:val="0F4761" w:themeColor="accent1" w:themeShade="BF"/>
    </w:rPr>
  </w:style>
  <w:style w:type="character" w:styleId="IntenseReference">
    <w:name w:val="Intense Reference"/>
    <w:basedOn w:val="DefaultParagraphFont"/>
    <w:uiPriority w:val="32"/>
    <w:qFormat/>
    <w:rsid w:val="00E60682"/>
    <w:rPr>
      <w:b/>
      <w:bCs/>
      <w:smallCaps/>
      <w:color w:val="0F4761" w:themeColor="accent1" w:themeShade="BF"/>
      <w:spacing w:val="5"/>
    </w:rPr>
  </w:style>
  <w:style w:type="paragraph" w:styleId="EndnoteText">
    <w:name w:val="endnote text"/>
    <w:basedOn w:val="Normal"/>
    <w:link w:val="EndnoteTextChar"/>
    <w:uiPriority w:val="99"/>
    <w:semiHidden/>
    <w:unhideWhenUsed/>
    <w:rsid w:val="0018385F"/>
    <w:rPr>
      <w:sz w:val="20"/>
      <w:szCs w:val="20"/>
    </w:rPr>
  </w:style>
  <w:style w:type="character" w:customStyle="1" w:styleId="EndnoteTextChar">
    <w:name w:val="Endnote Text Char"/>
    <w:basedOn w:val="DefaultParagraphFont"/>
    <w:link w:val="EndnoteText"/>
    <w:uiPriority w:val="99"/>
    <w:semiHidden/>
    <w:rsid w:val="0018385F"/>
    <w:rPr>
      <w:rFonts w:ascii="Times New Roman" w:eastAsia="Times New Roman" w:hAnsi="Times New Roman" w:cs="Times New Roman"/>
      <w:kern w:val="0"/>
      <w:sz w:val="20"/>
      <w:szCs w:val="20"/>
      <w:lang w:eastAsia="en-GB"/>
      <w14:ligatures w14:val="none"/>
    </w:rPr>
  </w:style>
  <w:style w:type="character" w:styleId="EndnoteReference">
    <w:name w:val="endnote reference"/>
    <w:basedOn w:val="DefaultParagraphFont"/>
    <w:uiPriority w:val="99"/>
    <w:semiHidden/>
    <w:unhideWhenUsed/>
    <w:rsid w:val="0018385F"/>
    <w:rPr>
      <w:vertAlign w:val="superscript"/>
    </w:rPr>
  </w:style>
  <w:style w:type="paragraph" w:styleId="FootnoteText">
    <w:name w:val="footnote text"/>
    <w:basedOn w:val="Normal"/>
    <w:link w:val="FootnoteTextChar"/>
    <w:uiPriority w:val="99"/>
    <w:unhideWhenUsed/>
    <w:rsid w:val="0018385F"/>
    <w:rPr>
      <w:sz w:val="20"/>
      <w:szCs w:val="20"/>
    </w:rPr>
  </w:style>
  <w:style w:type="character" w:customStyle="1" w:styleId="FootnoteTextChar">
    <w:name w:val="Footnote Text Char"/>
    <w:basedOn w:val="DefaultParagraphFont"/>
    <w:link w:val="FootnoteText"/>
    <w:uiPriority w:val="99"/>
    <w:rsid w:val="0018385F"/>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18385F"/>
    <w:pPr>
      <w:tabs>
        <w:tab w:val="center" w:pos="4513"/>
        <w:tab w:val="right" w:pos="9026"/>
      </w:tabs>
    </w:pPr>
  </w:style>
  <w:style w:type="character" w:customStyle="1" w:styleId="FooterChar">
    <w:name w:val="Footer Char"/>
    <w:basedOn w:val="DefaultParagraphFont"/>
    <w:link w:val="Footer"/>
    <w:uiPriority w:val="99"/>
    <w:rsid w:val="0018385F"/>
    <w:rPr>
      <w:rFonts w:ascii="Times New Roman" w:eastAsia="Times New Roman" w:hAnsi="Times New Roman" w:cs="Times New Roman"/>
      <w:kern w:val="0"/>
      <w:lang w:eastAsia="en-GB"/>
      <w14:ligatures w14:val="none"/>
    </w:rPr>
  </w:style>
  <w:style w:type="character" w:styleId="PageNumber">
    <w:name w:val="page number"/>
    <w:basedOn w:val="DefaultParagraphFont"/>
    <w:uiPriority w:val="99"/>
    <w:semiHidden/>
    <w:unhideWhenUsed/>
    <w:rsid w:val="0018385F"/>
  </w:style>
  <w:style w:type="paragraph" w:styleId="Header">
    <w:name w:val="header"/>
    <w:basedOn w:val="Normal"/>
    <w:link w:val="HeaderChar"/>
    <w:uiPriority w:val="99"/>
    <w:unhideWhenUsed/>
    <w:rsid w:val="0018385F"/>
    <w:pPr>
      <w:tabs>
        <w:tab w:val="center" w:pos="4513"/>
        <w:tab w:val="right" w:pos="9026"/>
      </w:tabs>
    </w:pPr>
  </w:style>
  <w:style w:type="character" w:customStyle="1" w:styleId="HeaderChar">
    <w:name w:val="Header Char"/>
    <w:basedOn w:val="DefaultParagraphFont"/>
    <w:link w:val="Header"/>
    <w:uiPriority w:val="99"/>
    <w:rsid w:val="0018385F"/>
    <w:rPr>
      <w:rFonts w:ascii="Times New Roman" w:eastAsia="Times New Roman" w:hAnsi="Times New Roman" w:cs="Times New Roman"/>
      <w:kern w:val="0"/>
      <w:lang w:eastAsia="en-GB"/>
      <w14:ligatures w14:val="none"/>
    </w:rPr>
  </w:style>
  <w:style w:type="character" w:styleId="CommentReference">
    <w:name w:val="annotation reference"/>
    <w:basedOn w:val="DefaultParagraphFont"/>
    <w:uiPriority w:val="99"/>
    <w:semiHidden/>
    <w:unhideWhenUsed/>
    <w:rsid w:val="00404BB4"/>
    <w:rPr>
      <w:sz w:val="16"/>
      <w:szCs w:val="16"/>
    </w:rPr>
  </w:style>
  <w:style w:type="paragraph" w:styleId="CommentText">
    <w:name w:val="annotation text"/>
    <w:basedOn w:val="Normal"/>
    <w:link w:val="CommentTextChar"/>
    <w:uiPriority w:val="99"/>
    <w:semiHidden/>
    <w:unhideWhenUsed/>
    <w:rsid w:val="00A52E88"/>
    <w:rPr>
      <w:sz w:val="20"/>
      <w:szCs w:val="20"/>
    </w:rPr>
  </w:style>
  <w:style w:type="character" w:customStyle="1" w:styleId="CommentTextChar">
    <w:name w:val="Comment Text Char"/>
    <w:basedOn w:val="DefaultParagraphFont"/>
    <w:link w:val="CommentText"/>
    <w:uiPriority w:val="99"/>
    <w:semiHidden/>
    <w:rsid w:val="00A52E88"/>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A52E88"/>
    <w:rPr>
      <w:b/>
      <w:bCs/>
    </w:rPr>
  </w:style>
  <w:style w:type="character" w:customStyle="1" w:styleId="CommentSubjectChar">
    <w:name w:val="Comment Subject Char"/>
    <w:basedOn w:val="CommentTextChar"/>
    <w:link w:val="CommentSubject"/>
    <w:uiPriority w:val="99"/>
    <w:semiHidden/>
    <w:rsid w:val="00A52E88"/>
    <w:rPr>
      <w:rFonts w:ascii="Times New Roman" w:eastAsia="Times New Roman" w:hAnsi="Times New Roman" w:cs="Times New Roman"/>
      <w:b/>
      <w:bCs/>
      <w:kern w:val="0"/>
      <w:sz w:val="20"/>
      <w:szCs w:val="20"/>
      <w:lang w:eastAsia="en-GB"/>
      <w14:ligatures w14:val="none"/>
    </w:rPr>
  </w:style>
  <w:style w:type="character" w:styleId="FootnoteReference">
    <w:name w:val="footnote reference"/>
    <w:basedOn w:val="DefaultParagraphFont"/>
    <w:uiPriority w:val="99"/>
    <w:semiHidden/>
    <w:unhideWhenUsed/>
    <w:rsid w:val="003572D2"/>
    <w:rPr>
      <w:vertAlign w:val="superscript"/>
    </w:rPr>
  </w:style>
  <w:style w:type="character" w:styleId="Hyperlink">
    <w:name w:val="Hyperlink"/>
    <w:basedOn w:val="DefaultParagraphFont"/>
    <w:uiPriority w:val="99"/>
    <w:unhideWhenUsed/>
    <w:rsid w:val="000E1B23"/>
    <w:rPr>
      <w:color w:val="467886" w:themeColor="hyperlink"/>
      <w:u w:val="single"/>
    </w:rPr>
  </w:style>
  <w:style w:type="character" w:styleId="UnresolvedMention">
    <w:name w:val="Unresolved Mention"/>
    <w:basedOn w:val="DefaultParagraphFont"/>
    <w:uiPriority w:val="99"/>
    <w:semiHidden/>
    <w:unhideWhenUsed/>
    <w:rsid w:val="000E1B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brary2.utm.utoronto.ca/poemsandfancies/?p=468"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1444</TotalTime>
  <Pages>38</Pages>
  <Words>8274</Words>
  <Characters>44184</Characters>
  <Application>Microsoft Office Word</Application>
  <DocSecurity>0</DocSecurity>
  <Lines>690</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Namratha Rao</dc:creator>
  <cp:keywords/>
  <dc:description/>
  <cp:lastModifiedBy>Namratha Rao</cp:lastModifiedBy>
  <cp:revision>397</cp:revision>
  <dcterms:created xsi:type="dcterms:W3CDTF">2026-02-19T10:03:00Z</dcterms:created>
  <dcterms:modified xsi:type="dcterms:W3CDTF">2026-04-10T15:31:00Z</dcterms:modified>
</cp:coreProperties>
</file>