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054F0" w14:textId="77777777" w:rsidR="00C24C01" w:rsidRPr="00E634F4" w:rsidRDefault="00C24C01" w:rsidP="00C24C01">
      <w:pPr>
        <w:rPr>
          <w:b/>
          <w:bCs/>
        </w:rPr>
      </w:pPr>
      <w:r w:rsidRPr="00E634F4">
        <w:rPr>
          <w:b/>
          <w:bCs/>
        </w:rPr>
        <w:t xml:space="preserve">Title: </w:t>
      </w:r>
    </w:p>
    <w:p w14:paraId="50E2B440" w14:textId="77777777" w:rsidR="00627E10" w:rsidRPr="00627E10" w:rsidRDefault="00627E10" w:rsidP="00627E10">
      <w:bookmarkStart w:id="0" w:name="_Hlk213931073"/>
      <w:r w:rsidRPr="00627E10">
        <w:t>When Exploitation Becomes Local: County Lines, Policing and Criminal Exploitation in the UK</w:t>
      </w:r>
    </w:p>
    <w:p w14:paraId="4C73C931" w14:textId="2D849947" w:rsidR="00D82D60" w:rsidRDefault="00D82D60" w:rsidP="00C24C01">
      <w:pPr>
        <w:rPr>
          <w:b/>
          <w:bCs/>
        </w:rPr>
      </w:pPr>
    </w:p>
    <w:p w14:paraId="46D15699" w14:textId="77777777" w:rsidR="0019203A" w:rsidRPr="00AC4080" w:rsidRDefault="0019203A" w:rsidP="0019203A">
      <w:r w:rsidRPr="00D82D60">
        <w:rPr>
          <w:b/>
          <w:bCs/>
        </w:rPr>
        <w:t xml:space="preserve">Authors: </w:t>
      </w:r>
      <w:r w:rsidRPr="00AC4080">
        <w:t>Chris Devany¹, Tobias Kammersgaard², Laura Bainbridge³, Kate Brown¹, Ross Coomber⁴, Charlie Lloyd¹</w:t>
      </w:r>
    </w:p>
    <w:p w14:paraId="67F4135B" w14:textId="77777777" w:rsidR="0019203A" w:rsidRPr="00AC4080" w:rsidRDefault="0019203A" w:rsidP="0019203A">
      <w:r w:rsidRPr="00AC4080">
        <w:t>¹ Vulnerability and Policing Futures Research Centre, University of York, York, United Kingdom</w:t>
      </w:r>
      <w:r w:rsidRPr="00AC4080">
        <w:br/>
        <w:t>² Centre for Alcohol and Drug Research, Aarhus University, Aarhus, Denmark</w:t>
      </w:r>
      <w:r w:rsidRPr="00AC4080">
        <w:br/>
        <w:t>³ School of Law, University of Leeds, Leeds, United Kingdom</w:t>
      </w:r>
      <w:r w:rsidRPr="00AC4080">
        <w:br/>
        <w:t>⁴ Department of Sociology, Social Policy and Criminology, University of Liverpool, Liverpool, United Kingdom</w:t>
      </w:r>
    </w:p>
    <w:p w14:paraId="199779DB" w14:textId="77777777" w:rsidR="0019203A" w:rsidRPr="00AC4080" w:rsidRDefault="0019203A" w:rsidP="0019203A">
      <w:r w:rsidRPr="00AC4080">
        <w:rPr>
          <w:b/>
          <w:bCs/>
        </w:rPr>
        <w:t>Corresponding author:</w:t>
      </w:r>
      <w:r w:rsidRPr="00AC4080">
        <w:br/>
        <w:t>Chris Devany (Vulnerability and Policing Futures Research Centre, University of York, York, United Kingdom)</w:t>
      </w:r>
      <w:r w:rsidRPr="00AC4080">
        <w:br/>
        <w:t>Email: chris.devany@york.ac.uk</w:t>
      </w:r>
    </w:p>
    <w:p w14:paraId="14CD44D9" w14:textId="77777777" w:rsidR="0019203A" w:rsidRDefault="0019203A" w:rsidP="00C24C01">
      <w:pPr>
        <w:rPr>
          <w:b/>
          <w:bCs/>
        </w:rPr>
      </w:pPr>
    </w:p>
    <w:p w14:paraId="31E310CC" w14:textId="77777777" w:rsidR="0019203A" w:rsidRDefault="0019203A" w:rsidP="00C24C01">
      <w:pPr>
        <w:rPr>
          <w:b/>
          <w:bCs/>
        </w:rPr>
      </w:pPr>
    </w:p>
    <w:bookmarkEnd w:id="0"/>
    <w:p w14:paraId="1997CC3F" w14:textId="18B0A850" w:rsidR="00C24C01" w:rsidRPr="00E634F4" w:rsidRDefault="00C24C01" w:rsidP="00C24C01">
      <w:r w:rsidRPr="00E634F4">
        <w:rPr>
          <w:b/>
          <w:bCs/>
        </w:rPr>
        <w:t>Abstract</w:t>
      </w:r>
      <w:r w:rsidRPr="00E634F4">
        <w:t>:</w:t>
      </w:r>
    </w:p>
    <w:p w14:paraId="4A96E5DF" w14:textId="490FF601" w:rsidR="00895503" w:rsidRDefault="00895503" w:rsidP="00895503">
      <w:r w:rsidRPr="00E634F4">
        <w:t>The term ‘</w:t>
      </w:r>
      <w:r w:rsidR="00DD783A" w:rsidRPr="00E634F4">
        <w:t>county lines</w:t>
      </w:r>
      <w:r w:rsidRPr="00E634F4">
        <w:t>’ was coined in the U</w:t>
      </w:r>
      <w:r w:rsidR="00705A23" w:rsidRPr="00E634F4">
        <w:t xml:space="preserve">nited Kingdom </w:t>
      </w:r>
      <w:r w:rsidRPr="00E634F4">
        <w:t xml:space="preserve">to describe the transportation and distribution of drugs from large cities into non-urban </w:t>
      </w:r>
      <w:r w:rsidR="00020CFA" w:rsidRPr="00E634F4">
        <w:t>areas and</w:t>
      </w:r>
      <w:r w:rsidRPr="00E634F4">
        <w:t xml:space="preserve"> has been closely associated with violence and the coercion and exploitation of vulnerable people. </w:t>
      </w:r>
      <w:r w:rsidR="00815C0C">
        <w:t xml:space="preserve">While </w:t>
      </w:r>
      <w:r w:rsidR="00144506">
        <w:t xml:space="preserve">exploitation is recognised as a key feature of </w:t>
      </w:r>
      <w:r w:rsidR="00A14EB1">
        <w:t>county lines policing</w:t>
      </w:r>
      <w:r w:rsidR="00427426">
        <w:t xml:space="preserve"> and policy discourse, </w:t>
      </w:r>
      <w:r w:rsidR="00B955E3" w:rsidRPr="00B955E3">
        <w:t>definitions have largely focus</w:t>
      </w:r>
      <w:r w:rsidR="002C0478">
        <w:t>ed</w:t>
      </w:r>
      <w:r w:rsidR="00B955E3" w:rsidRPr="00B955E3">
        <w:t xml:space="preserve"> on the cross-borde</w:t>
      </w:r>
      <w:r w:rsidR="0061463A">
        <w:t>r</w:t>
      </w:r>
      <w:r w:rsidR="00880E55">
        <w:t xml:space="preserve"> transportation of drugs</w:t>
      </w:r>
      <w:r w:rsidR="00914CFF">
        <w:t xml:space="preserve"> across urban-rural supply routes. </w:t>
      </w:r>
      <w:r w:rsidR="00705A23" w:rsidRPr="00E634F4">
        <w:t>R</w:t>
      </w:r>
      <w:r w:rsidRPr="00E634F4">
        <w:t xml:space="preserve">esearch from the first national study of </w:t>
      </w:r>
      <w:r w:rsidR="00DD783A" w:rsidRPr="00E634F4">
        <w:t>county lines</w:t>
      </w:r>
      <w:r w:rsidRPr="00E634F4">
        <w:t xml:space="preserve"> </w:t>
      </w:r>
      <w:r w:rsidR="00124B76">
        <w:t>indicates</w:t>
      </w:r>
      <w:r w:rsidR="00124B76" w:rsidRPr="00E634F4">
        <w:t xml:space="preserve"> </w:t>
      </w:r>
      <w:r w:rsidRPr="00E634F4">
        <w:t>that</w:t>
      </w:r>
      <w:r w:rsidR="0083749B" w:rsidRPr="00E634F4">
        <w:t xml:space="preserve"> exploitation </w:t>
      </w:r>
      <w:r w:rsidR="004216FC" w:rsidRPr="00E634F4">
        <w:t>occurs within</w:t>
      </w:r>
      <w:r w:rsidR="0051488E" w:rsidRPr="00E634F4">
        <w:t>,</w:t>
      </w:r>
      <w:r w:rsidR="004216FC" w:rsidRPr="00E634F4">
        <w:t xml:space="preserve"> and between </w:t>
      </w:r>
      <w:r w:rsidR="004E1A7C" w:rsidRPr="00E634F4">
        <w:t xml:space="preserve">local areas, </w:t>
      </w:r>
      <w:r w:rsidR="00230B70">
        <w:t>rather tha</w:t>
      </w:r>
      <w:r w:rsidR="009C7CF3">
        <w:t>n</w:t>
      </w:r>
      <w:r w:rsidR="00230B70">
        <w:t xml:space="preserve"> solely</w:t>
      </w:r>
      <w:r w:rsidR="00AE5408" w:rsidRPr="00E634F4">
        <w:t xml:space="preserve"> through urban-to-rural supply routes.</w:t>
      </w:r>
      <w:r w:rsidRPr="00E634F4">
        <w:t xml:space="preserve"> This study employs a </w:t>
      </w:r>
      <w:r w:rsidR="00C15C98" w:rsidRPr="00E634F4">
        <w:t>qualitative</w:t>
      </w:r>
      <w:r w:rsidRPr="00E634F4">
        <w:t xml:space="preserve"> approach, including interview data from 44 UK police forces alongside in-depth qualitative fieldwork, to reveal how the </w:t>
      </w:r>
      <w:r w:rsidR="00CA510B">
        <w:t>diffuse</w:t>
      </w:r>
      <w:r w:rsidR="00CA510B" w:rsidRPr="00E634F4">
        <w:t xml:space="preserve"> </w:t>
      </w:r>
      <w:r w:rsidRPr="00E634F4">
        <w:t xml:space="preserve">nature of exploitation challenges the geographic focus implied by the term </w:t>
      </w:r>
      <w:r w:rsidR="00D10C9B">
        <w:t>‘</w:t>
      </w:r>
      <w:r w:rsidR="00DD783A" w:rsidRPr="00E634F4">
        <w:t>county lines</w:t>
      </w:r>
      <w:r w:rsidR="00D10C9B">
        <w:t>’</w:t>
      </w:r>
      <w:r w:rsidRPr="00E634F4">
        <w:t xml:space="preserve">. Widespread exploitation in drug markets </w:t>
      </w:r>
      <w:r w:rsidR="009C7CF3">
        <w:t>raises</w:t>
      </w:r>
      <w:r w:rsidR="00857B73">
        <w:t xml:space="preserve"> </w:t>
      </w:r>
      <w:r w:rsidR="00B60705">
        <w:t>questions</w:t>
      </w:r>
      <w:r w:rsidR="00F774C2">
        <w:t xml:space="preserve"> </w:t>
      </w:r>
      <w:r w:rsidR="00F00C65">
        <w:t>about</w:t>
      </w:r>
      <w:r w:rsidR="00196297">
        <w:t xml:space="preserve"> </w:t>
      </w:r>
      <w:r w:rsidR="00F774C2">
        <w:t xml:space="preserve">the </w:t>
      </w:r>
      <w:r w:rsidR="004375EB">
        <w:t>utility</w:t>
      </w:r>
      <w:r w:rsidR="00F774C2">
        <w:t xml:space="preserve"> of </w:t>
      </w:r>
      <w:r w:rsidR="004375EB">
        <w:t>the</w:t>
      </w:r>
      <w:r w:rsidR="00107578" w:rsidRPr="00E634F4">
        <w:t xml:space="preserve"> </w:t>
      </w:r>
      <w:r w:rsidR="004375EB">
        <w:t>‘</w:t>
      </w:r>
      <w:r w:rsidR="00DD783A" w:rsidRPr="00E634F4">
        <w:t>county lines</w:t>
      </w:r>
      <w:r w:rsidR="004375EB">
        <w:t>’</w:t>
      </w:r>
      <w:r w:rsidR="00107578" w:rsidRPr="00E634F4">
        <w:t xml:space="preserve"> </w:t>
      </w:r>
      <w:r w:rsidR="001F5BA5">
        <w:t xml:space="preserve">label </w:t>
      </w:r>
      <w:r w:rsidR="00107578" w:rsidRPr="00E634F4">
        <w:t xml:space="preserve">and </w:t>
      </w:r>
      <w:r w:rsidR="006960C8">
        <w:t xml:space="preserve">calls for </w:t>
      </w:r>
      <w:r w:rsidR="00107578" w:rsidRPr="00E634F4">
        <w:t xml:space="preserve">greater </w:t>
      </w:r>
      <w:r w:rsidR="000F0AD8">
        <w:t>attention</w:t>
      </w:r>
      <w:r w:rsidR="006960C8">
        <w:t xml:space="preserve"> on</w:t>
      </w:r>
      <w:r w:rsidR="00107578" w:rsidRPr="00E634F4">
        <w:t xml:space="preserve"> the harm</w:t>
      </w:r>
      <w:r w:rsidR="006E304C">
        <w:t>s</w:t>
      </w:r>
      <w:r w:rsidR="00107578" w:rsidRPr="00E634F4">
        <w:t xml:space="preserve"> of criminal exploitation rather than the movement of drugs.</w:t>
      </w:r>
    </w:p>
    <w:p w14:paraId="19FD7421" w14:textId="46840A2A" w:rsidR="00895503" w:rsidRPr="00E634F4" w:rsidRDefault="006557C7" w:rsidP="00D86F20">
      <w:r w:rsidRPr="00005AF7">
        <w:t xml:space="preserve">This article utilises Public Health Criminology (PHC) as a conceptual </w:t>
      </w:r>
      <w:r w:rsidR="00372B9D">
        <w:t>and int</w:t>
      </w:r>
      <w:r w:rsidR="00CF3D00">
        <w:t xml:space="preserve">erpretive </w:t>
      </w:r>
      <w:r w:rsidRPr="00005AF7">
        <w:t xml:space="preserve">lens to </w:t>
      </w:r>
      <w:r w:rsidR="005743ED">
        <w:t>examine</w:t>
      </w:r>
      <w:r w:rsidR="005743ED" w:rsidRPr="00005AF7">
        <w:t xml:space="preserve"> </w:t>
      </w:r>
      <w:r w:rsidR="00D70594" w:rsidRPr="00005AF7">
        <w:t xml:space="preserve">how </w:t>
      </w:r>
      <w:r w:rsidR="00474CEA">
        <w:t xml:space="preserve">the </w:t>
      </w:r>
      <w:r w:rsidR="00C92534">
        <w:t xml:space="preserve">police and safeguarding practitioners </w:t>
      </w:r>
      <w:r w:rsidR="001850BD">
        <w:t>understand</w:t>
      </w:r>
      <w:r w:rsidR="00424E90">
        <w:t xml:space="preserve"> </w:t>
      </w:r>
      <w:r w:rsidR="00437FC5">
        <w:t>relationship</w:t>
      </w:r>
      <w:r w:rsidR="00A3425C">
        <w:t>s</w:t>
      </w:r>
      <w:r w:rsidR="00C80600">
        <w:t xml:space="preserve"> between </w:t>
      </w:r>
      <w:r w:rsidR="00D70594" w:rsidRPr="00005AF7">
        <w:t>socioeconomic vulnerabilities</w:t>
      </w:r>
      <w:r w:rsidR="00C80600">
        <w:t xml:space="preserve">, </w:t>
      </w:r>
      <w:r w:rsidR="00CD25D7">
        <w:t>inequalities</w:t>
      </w:r>
      <w:r w:rsidR="003A191A">
        <w:t xml:space="preserve">, </w:t>
      </w:r>
      <w:r w:rsidR="001E7FDB">
        <w:t>reduce</w:t>
      </w:r>
      <w:r w:rsidR="005C2FEF">
        <w:t>d</w:t>
      </w:r>
      <w:r w:rsidR="001E7FDB">
        <w:t xml:space="preserve"> access to services and </w:t>
      </w:r>
      <w:r w:rsidR="00D86F20" w:rsidRPr="00005AF7">
        <w:t xml:space="preserve">criminal exploitation </w:t>
      </w:r>
      <w:r w:rsidR="00EF1BF6">
        <w:t xml:space="preserve">occur </w:t>
      </w:r>
      <w:r w:rsidR="00D86F20" w:rsidRPr="00005AF7">
        <w:t>in</w:t>
      </w:r>
      <w:r w:rsidR="00F17869" w:rsidRPr="00005AF7">
        <w:t xml:space="preserve"> urban, rural and coastal contexts.</w:t>
      </w:r>
      <w:r w:rsidR="008D1FAC" w:rsidRPr="00005AF7">
        <w:t xml:space="preserve"> The </w:t>
      </w:r>
      <w:r w:rsidR="00F4059F">
        <w:t xml:space="preserve">findings suggest </w:t>
      </w:r>
      <w:r w:rsidR="00D54FB2">
        <w:t xml:space="preserve">that </w:t>
      </w:r>
      <w:r w:rsidR="000E6E8B" w:rsidRPr="00005AF7">
        <w:t xml:space="preserve">funding </w:t>
      </w:r>
      <w:r w:rsidR="003F49A6" w:rsidRPr="00005AF7">
        <w:t>distribution models</w:t>
      </w:r>
      <w:r w:rsidR="002F0E06">
        <w:t xml:space="preserve"> limit the capacity of </w:t>
      </w:r>
      <w:r w:rsidR="00F17869" w:rsidRPr="00005AF7">
        <w:t>smaller and non-urban police forces to identify and safeguard victims.</w:t>
      </w:r>
    </w:p>
    <w:p w14:paraId="4C4903F9" w14:textId="77777777" w:rsidR="00EC141D" w:rsidRPr="00E634F4" w:rsidRDefault="00724C2B" w:rsidP="003756F4">
      <w:pPr>
        <w:rPr>
          <w:b/>
          <w:bCs/>
        </w:rPr>
      </w:pPr>
      <w:r w:rsidRPr="00E634F4">
        <w:rPr>
          <w:b/>
          <w:bCs/>
        </w:rPr>
        <w:t>Key</w:t>
      </w:r>
      <w:r w:rsidR="0013173B" w:rsidRPr="00E634F4">
        <w:rPr>
          <w:b/>
          <w:bCs/>
        </w:rPr>
        <w:t>w</w:t>
      </w:r>
      <w:r w:rsidRPr="00E634F4">
        <w:rPr>
          <w:b/>
          <w:bCs/>
        </w:rPr>
        <w:t>ords:</w:t>
      </w:r>
      <w:r w:rsidR="00550E6C" w:rsidRPr="00E634F4">
        <w:rPr>
          <w:b/>
          <w:bCs/>
        </w:rPr>
        <w:t xml:space="preserve"> </w:t>
      </w:r>
    </w:p>
    <w:p w14:paraId="18795DB1" w14:textId="4582F6F6" w:rsidR="003756F4" w:rsidRPr="003756F4" w:rsidRDefault="003756F4" w:rsidP="003756F4">
      <w:r w:rsidRPr="00E634F4">
        <w:t xml:space="preserve">County lines; </w:t>
      </w:r>
      <w:r w:rsidRPr="003756F4">
        <w:t>Criminal exploitation</w:t>
      </w:r>
      <w:r w:rsidRPr="00E634F4">
        <w:t>;</w:t>
      </w:r>
      <w:r w:rsidRPr="003756F4">
        <w:t xml:space="preserve"> Public Health Criminology</w:t>
      </w:r>
      <w:r w:rsidRPr="00E634F4">
        <w:t>; S</w:t>
      </w:r>
      <w:r w:rsidRPr="003756F4">
        <w:t>afeguarding</w:t>
      </w:r>
    </w:p>
    <w:p w14:paraId="2099C0B7" w14:textId="77777777" w:rsidR="00EC141D" w:rsidRPr="00E634F4" w:rsidRDefault="00EC141D" w:rsidP="005269B0">
      <w:pPr>
        <w:rPr>
          <w:b/>
          <w:bCs/>
        </w:rPr>
      </w:pPr>
    </w:p>
    <w:p w14:paraId="49BC10C2" w14:textId="4E4DFAC2" w:rsidR="005269B0" w:rsidRPr="00E634F4" w:rsidRDefault="005269B0" w:rsidP="005269B0">
      <w:pPr>
        <w:rPr>
          <w:b/>
          <w:bCs/>
        </w:rPr>
      </w:pPr>
      <w:r w:rsidRPr="00E634F4">
        <w:rPr>
          <w:b/>
          <w:bCs/>
        </w:rPr>
        <w:t xml:space="preserve">Introduction: </w:t>
      </w:r>
    </w:p>
    <w:p w14:paraId="11330B9D" w14:textId="103B99E9" w:rsidR="00407E36" w:rsidRDefault="00705A23" w:rsidP="00407E36">
      <w:r w:rsidRPr="00E634F4">
        <w:lastRenderedPageBreak/>
        <w:t>T</w:t>
      </w:r>
      <w:r w:rsidR="0082545E" w:rsidRPr="00E634F4">
        <w:t xml:space="preserve">he </w:t>
      </w:r>
      <w:r w:rsidR="00DD783A" w:rsidRPr="00E634F4">
        <w:t>county lines</w:t>
      </w:r>
      <w:r w:rsidR="0082545E" w:rsidRPr="00E634F4">
        <w:t xml:space="preserve"> methodology has become a key feature of the UK drugs markets and a prominent concern for national and local policing strategies. </w:t>
      </w:r>
      <w:r w:rsidR="004608D1" w:rsidRPr="00E634F4">
        <w:t>Similar concerns have emerged across Europe, where recent EU analyses highlight rising drug-market-related violence and significant social harms linked to increasingly adaptable criminal networks</w:t>
      </w:r>
      <w:r w:rsidR="008A212E" w:rsidRPr="00E634F4">
        <w:t xml:space="preserve"> (EU Drugs Agency &amp; Europol 2024)</w:t>
      </w:r>
      <w:r w:rsidR="004608D1" w:rsidRPr="00E634F4">
        <w:t>.</w:t>
      </w:r>
      <w:r w:rsidR="004608D1" w:rsidRPr="00E634F4">
        <w:rPr>
          <w:b/>
          <w:bCs/>
        </w:rPr>
        <w:t xml:space="preserve"> </w:t>
      </w:r>
      <w:r w:rsidR="00853E43">
        <w:t xml:space="preserve">County lines networks were initially presented as </w:t>
      </w:r>
      <w:r w:rsidR="00462609">
        <w:t>a</w:t>
      </w:r>
      <w:r w:rsidR="00C32A2E">
        <w:t>n</w:t>
      </w:r>
      <w:r w:rsidR="00462609">
        <w:t xml:space="preserve"> expansion of urban drug supply chains into non-</w:t>
      </w:r>
      <w:r w:rsidR="00EE7AAB">
        <w:t xml:space="preserve">urban </w:t>
      </w:r>
      <w:r w:rsidR="00462609" w:rsidRPr="00F2417D">
        <w:t>areas</w:t>
      </w:r>
      <w:r w:rsidR="00C32A2E" w:rsidRPr="00F2417D">
        <w:t>, often utilising exploitation and coercion to recruit young and vulnerable workers into the network</w:t>
      </w:r>
      <w:r w:rsidR="00F2417D" w:rsidRPr="00F2417D">
        <w:t xml:space="preserve">, </w:t>
      </w:r>
      <w:r w:rsidR="00CC4ADD" w:rsidRPr="00F2417D">
        <w:t>as well as the use of cuckooed properties as local drug distribution hubs</w:t>
      </w:r>
      <w:r w:rsidR="00A15F81" w:rsidRPr="00F2417D">
        <w:t xml:space="preserve"> (</w:t>
      </w:r>
      <w:r w:rsidR="00DC0C19" w:rsidRPr="00F2417D">
        <w:t>C</w:t>
      </w:r>
      <w:r w:rsidR="00A15F81" w:rsidRPr="00F2417D">
        <w:t xml:space="preserve">oomber and </w:t>
      </w:r>
      <w:r w:rsidR="00DC0C19" w:rsidRPr="00F2417D">
        <w:t>M</w:t>
      </w:r>
      <w:r w:rsidR="00A15F81" w:rsidRPr="00F2417D">
        <w:t>oyle 2018</w:t>
      </w:r>
      <w:r w:rsidR="009B280C">
        <w:t>;</w:t>
      </w:r>
      <w:r w:rsidR="00A15F81" w:rsidRPr="00F2417D">
        <w:t xml:space="preserve"> </w:t>
      </w:r>
      <w:r w:rsidR="009B280C" w:rsidRPr="009B280C">
        <w:t xml:space="preserve">National County Lines Coordination Centre </w:t>
      </w:r>
      <w:r w:rsidR="00A15F81" w:rsidRPr="00F2417D">
        <w:t>2019</w:t>
      </w:r>
      <w:r w:rsidR="009B280C">
        <w:t>;</w:t>
      </w:r>
      <w:r w:rsidR="00C6139C" w:rsidRPr="00F2417D">
        <w:t xml:space="preserve"> </w:t>
      </w:r>
      <w:r w:rsidR="00F311F1" w:rsidRPr="00F2417D">
        <w:t>Bainbridge &amp; Lo</w:t>
      </w:r>
      <w:r w:rsidR="00E04344" w:rsidRPr="00F2417D">
        <w:t>ughery 2025</w:t>
      </w:r>
      <w:r w:rsidR="009B280C">
        <w:t>;</w:t>
      </w:r>
      <w:r w:rsidR="00E04344" w:rsidRPr="00F2417D">
        <w:t xml:space="preserve"> </w:t>
      </w:r>
      <w:r w:rsidR="00C6139C" w:rsidRPr="00F2417D">
        <w:t>Koch 202</w:t>
      </w:r>
      <w:r w:rsidR="00411546">
        <w:t>6</w:t>
      </w:r>
      <w:r w:rsidR="00D253D2">
        <w:t>b</w:t>
      </w:r>
      <w:r w:rsidR="00A15F81" w:rsidRPr="00F2417D">
        <w:t xml:space="preserve">). </w:t>
      </w:r>
    </w:p>
    <w:p w14:paraId="50A7752F" w14:textId="43B99F4C" w:rsidR="00526FE4" w:rsidRPr="0099555B" w:rsidRDefault="00D9406A" w:rsidP="009D361F">
      <w:pPr>
        <w:rPr>
          <w:i/>
          <w:iCs/>
        </w:rPr>
      </w:pPr>
      <w:r>
        <w:t xml:space="preserve">Recently, the </w:t>
      </w:r>
      <w:r w:rsidRPr="0067214D">
        <w:t>National County Lines Coordination Centre</w:t>
      </w:r>
      <w:r w:rsidR="00BB4972">
        <w:t xml:space="preserve"> found that county lines are becoming </w:t>
      </w:r>
      <w:r w:rsidR="000B5CF3">
        <w:t>more</w:t>
      </w:r>
      <w:r w:rsidR="00BB4972">
        <w:t xml:space="preserve"> localised</w:t>
      </w:r>
      <w:r w:rsidR="00D8484E">
        <w:t xml:space="preserve">, </w:t>
      </w:r>
      <w:r w:rsidR="001A60EB">
        <w:t xml:space="preserve">with fewer </w:t>
      </w:r>
      <w:r w:rsidR="00F94367">
        <w:t xml:space="preserve">lines crossing the borders of police force areas. This suggests that </w:t>
      </w:r>
      <w:r w:rsidR="00F62267">
        <w:t>child</w:t>
      </w:r>
      <w:r w:rsidR="00497926">
        <w:t xml:space="preserve">ren </w:t>
      </w:r>
      <w:r w:rsidR="0010085A">
        <w:t xml:space="preserve">may </w:t>
      </w:r>
      <w:r w:rsidR="00955D95">
        <w:t xml:space="preserve">increasingly </w:t>
      </w:r>
      <w:r w:rsidR="0010085A">
        <w:t>be</w:t>
      </w:r>
      <w:r w:rsidR="0048481C">
        <w:t xml:space="preserve"> </w:t>
      </w:r>
      <w:r w:rsidR="001A6E50">
        <w:t xml:space="preserve">recruited and exploited closer to </w:t>
      </w:r>
      <w:r w:rsidR="006647BB">
        <w:t>locations of drug distribution</w:t>
      </w:r>
      <w:r w:rsidR="000F3922">
        <w:t xml:space="preserve"> </w:t>
      </w:r>
      <w:r w:rsidR="0067214D" w:rsidRPr="0067214D">
        <w:t>(National County Lines Coordination Centre 2024).</w:t>
      </w:r>
      <w:r w:rsidR="0067214D">
        <w:t xml:space="preserve"> </w:t>
      </w:r>
      <w:r w:rsidR="00C53573">
        <w:t xml:space="preserve">Despite this, exploitation </w:t>
      </w:r>
      <w:r w:rsidR="00DE168D">
        <w:t xml:space="preserve">within county lines continues to be framed </w:t>
      </w:r>
      <w:r w:rsidR="00A31ABF">
        <w:t>around cross-boundary movement and urban-to-rural supply structures</w:t>
      </w:r>
      <w:r w:rsidR="00843C14">
        <w:t>.</w:t>
      </w:r>
      <w:r w:rsidR="00791C9E">
        <w:t xml:space="preserve"> </w:t>
      </w:r>
      <w:r w:rsidR="00843C14">
        <w:t>T</w:t>
      </w:r>
      <w:r w:rsidR="00791C9E">
        <w:t xml:space="preserve">his </w:t>
      </w:r>
      <w:r w:rsidR="00E74900">
        <w:t xml:space="preserve">residual understanding of county lines methodologies </w:t>
      </w:r>
      <w:r w:rsidR="004B636F">
        <w:t>can</w:t>
      </w:r>
      <w:r w:rsidR="00E74900">
        <w:t xml:space="preserve"> </w:t>
      </w:r>
      <w:r w:rsidR="004B636F">
        <w:t>obscure</w:t>
      </w:r>
      <w:r w:rsidR="006602F7">
        <w:t xml:space="preserve"> forms of localised child criminal exploitation </w:t>
      </w:r>
      <w:r w:rsidR="00723D67">
        <w:t xml:space="preserve">that </w:t>
      </w:r>
      <w:r w:rsidR="006602F7">
        <w:t>operate within, as well as between, local areas.</w:t>
      </w:r>
      <w:r w:rsidR="007E1AA4">
        <w:t xml:space="preserve"> </w:t>
      </w:r>
      <w:r w:rsidR="00007051" w:rsidRPr="00046145">
        <w:t>P</w:t>
      </w:r>
      <w:r w:rsidR="0082545E" w:rsidRPr="00046145">
        <w:t xml:space="preserve">olicing accounts describe localised drug market exploitation as an emerging </w:t>
      </w:r>
      <w:proofErr w:type="gramStart"/>
      <w:r w:rsidR="0026231F" w:rsidRPr="00046145">
        <w:t>phenomenon</w:t>
      </w:r>
      <w:r w:rsidR="0026231F">
        <w:t>,</w:t>
      </w:r>
      <w:proofErr w:type="gramEnd"/>
      <w:r w:rsidR="00007051" w:rsidRPr="00046145">
        <w:t xml:space="preserve"> however,</w:t>
      </w:r>
      <w:r w:rsidR="0082545E" w:rsidRPr="00046145">
        <w:t xml:space="preserve"> it is important to recognise exploitation may have </w:t>
      </w:r>
      <w:r w:rsidR="00046145">
        <w:t xml:space="preserve">simply </w:t>
      </w:r>
      <w:r w:rsidR="0082545E" w:rsidRPr="00046145">
        <w:t xml:space="preserve">remained </w:t>
      </w:r>
      <w:r w:rsidR="008D06E8" w:rsidRPr="00046145">
        <w:t>under</w:t>
      </w:r>
      <w:r w:rsidR="00127BFE">
        <w:t xml:space="preserve"> </w:t>
      </w:r>
      <w:r w:rsidR="008D06E8" w:rsidRPr="00046145">
        <w:t>the</w:t>
      </w:r>
      <w:r w:rsidR="00127BFE">
        <w:t xml:space="preserve"> </w:t>
      </w:r>
      <w:r w:rsidR="008D06E8" w:rsidRPr="00046145">
        <w:t>radar of law enforcement</w:t>
      </w:r>
      <w:r w:rsidR="0082545E" w:rsidRPr="00046145">
        <w:t>.</w:t>
      </w:r>
      <w:r w:rsidR="0082545E" w:rsidRPr="00E634F4">
        <w:t xml:space="preserve"> Increased awareness and evolving definitions, alongside changing drug market dynamics, mean that what is often described as ‘new’ local exploitation may also reflect a growing institutional recognition of historically overlooked harms</w:t>
      </w:r>
      <w:r w:rsidR="00B53236" w:rsidRPr="00E634F4">
        <w:t xml:space="preserve"> (</w:t>
      </w:r>
      <w:r w:rsidR="00766266" w:rsidRPr="00E634F4">
        <w:t>Coomber and Moyle 2018</w:t>
      </w:r>
      <w:r w:rsidR="00766266">
        <w:t xml:space="preserve">, </w:t>
      </w:r>
      <w:r w:rsidR="00B53236" w:rsidRPr="00E634F4">
        <w:t>Devany and Kammersgaard 2025</w:t>
      </w:r>
      <w:r w:rsidR="009311C2" w:rsidRPr="00E634F4">
        <w:t>,</w:t>
      </w:r>
      <w:r w:rsidR="00B53236" w:rsidRPr="00E634F4">
        <w:t xml:space="preserve"> Harding 2020</w:t>
      </w:r>
      <w:r w:rsidR="009311C2" w:rsidRPr="00E634F4">
        <w:t>,</w:t>
      </w:r>
      <w:r w:rsidR="00B53236" w:rsidRPr="00E634F4">
        <w:t xml:space="preserve"> Lupton </w:t>
      </w:r>
      <w:r w:rsidR="00E634F4" w:rsidRPr="00E634F4">
        <w:rPr>
          <w:i/>
          <w:iCs/>
        </w:rPr>
        <w:t>et al</w:t>
      </w:r>
      <w:r w:rsidR="00B53236" w:rsidRPr="00E634F4">
        <w:t xml:space="preserve"> 2002).</w:t>
      </w:r>
      <w:r w:rsidR="0082545E" w:rsidRPr="00E634F4">
        <w:t xml:space="preserve"> </w:t>
      </w:r>
      <w:r w:rsidR="005C3D7C" w:rsidRPr="00E634F4">
        <w:t xml:space="preserve">Drawing upon data from the first </w:t>
      </w:r>
      <w:r w:rsidR="00D93A58" w:rsidRPr="00E634F4">
        <w:t>UK-wide qualitative</w:t>
      </w:r>
      <w:r w:rsidR="005C3D7C" w:rsidRPr="00E634F4">
        <w:t xml:space="preserve"> study on county lines </w:t>
      </w:r>
      <w:r w:rsidR="008E79A2" w:rsidRPr="00E634F4">
        <w:t>policing and safeguarding processes, this article examines</w:t>
      </w:r>
      <w:r w:rsidR="0098086E" w:rsidRPr="00E634F4">
        <w:t xml:space="preserve"> how criminal exploitation networks operate </w:t>
      </w:r>
      <w:r w:rsidR="00C35E7A" w:rsidRPr="00E634F4">
        <w:t>across the UK</w:t>
      </w:r>
      <w:r w:rsidR="00B17C4E" w:rsidRPr="00E634F4">
        <w:t xml:space="preserve"> and how policing and safeguarding responses are shaped by local</w:t>
      </w:r>
      <w:r w:rsidR="002079D5" w:rsidRPr="00E634F4">
        <w:t xml:space="preserve"> contexts, organisational constraints and socioeconomic conditions.</w:t>
      </w:r>
      <w:r w:rsidR="00281D1F" w:rsidRPr="00E634F4">
        <w:t xml:space="preserve"> </w:t>
      </w:r>
    </w:p>
    <w:p w14:paraId="3BE6B43F" w14:textId="5D5EB8C0" w:rsidR="004D5CCC" w:rsidRDefault="00DE00A4" w:rsidP="00C51779">
      <w:r>
        <w:t>T</w:t>
      </w:r>
      <w:r w:rsidR="003A6247" w:rsidRPr="00E634F4">
        <w:t>he</w:t>
      </w:r>
      <w:r w:rsidR="00525F4D" w:rsidRPr="00E634F4">
        <w:t xml:space="preserve"> methodological approach</w:t>
      </w:r>
      <w:r w:rsidR="00154E9F" w:rsidRPr="00E634F4">
        <w:t xml:space="preserve"> to the study of county lines provides </w:t>
      </w:r>
      <w:r w:rsidR="00C527F5" w:rsidRPr="00E634F4">
        <w:t xml:space="preserve">an </w:t>
      </w:r>
      <w:r w:rsidR="00154E9F" w:rsidRPr="00E634F4">
        <w:t xml:space="preserve">original empirical and conceptual </w:t>
      </w:r>
      <w:r w:rsidR="00C527F5" w:rsidRPr="00E634F4">
        <w:t xml:space="preserve">contribution to debates </w:t>
      </w:r>
      <w:r w:rsidR="00E02CD7" w:rsidRPr="00E634F4">
        <w:t xml:space="preserve">on county lines and criminal exploitation. Findings show that </w:t>
      </w:r>
      <w:r w:rsidR="00B504A6" w:rsidRPr="00E634F4">
        <w:t>exploitation operates within, as well as between</w:t>
      </w:r>
      <w:r w:rsidR="00386A01" w:rsidRPr="00E634F4">
        <w:t xml:space="preserve">, local areas, challenging the </w:t>
      </w:r>
      <w:r w:rsidR="00C10D9D" w:rsidRPr="00E634F4">
        <w:t>geographically anchored conceptualisation of ‘county lines’.</w:t>
      </w:r>
      <w:r w:rsidR="00434A58">
        <w:t xml:space="preserve"> </w:t>
      </w:r>
      <w:r w:rsidR="004D5CCC">
        <w:t xml:space="preserve">Whilst the movement of vulnerable young people and illicit drugs </w:t>
      </w:r>
      <w:r w:rsidR="00320CD2">
        <w:t>remains</w:t>
      </w:r>
      <w:r w:rsidR="00E50FAD">
        <w:t xml:space="preserve"> a</w:t>
      </w:r>
      <w:r w:rsidR="00057337">
        <w:t>n</w:t>
      </w:r>
      <w:r w:rsidR="00E50FAD">
        <w:t xml:space="preserve"> </w:t>
      </w:r>
      <w:r w:rsidR="00BB55FB">
        <w:t>operational focus</w:t>
      </w:r>
      <w:r w:rsidR="00E50FAD">
        <w:t xml:space="preserve"> of </w:t>
      </w:r>
      <w:r w:rsidR="00BF02A5">
        <w:t xml:space="preserve">policing </w:t>
      </w:r>
      <w:r w:rsidR="00E50FAD">
        <w:t>county lines</w:t>
      </w:r>
      <w:r w:rsidR="002A5084">
        <w:t>,</w:t>
      </w:r>
      <w:r w:rsidR="005E7927">
        <w:t xml:space="preserve"> </w:t>
      </w:r>
      <w:r w:rsidR="006D7987">
        <w:t xml:space="preserve">movement </w:t>
      </w:r>
      <w:r w:rsidR="00DB7E0C">
        <w:t xml:space="preserve">alone </w:t>
      </w:r>
      <w:r w:rsidR="00906247">
        <w:t xml:space="preserve">does not </w:t>
      </w:r>
      <w:r w:rsidR="0007603D">
        <w:t>capture</w:t>
      </w:r>
      <w:r w:rsidR="009A7DB4">
        <w:t xml:space="preserve"> the </w:t>
      </w:r>
      <w:r w:rsidR="00A7106D">
        <w:t xml:space="preserve">breadth of harms associated with exploitation in drug markets. This article </w:t>
      </w:r>
      <w:r w:rsidR="00567945">
        <w:t>argues that exploitation i</w:t>
      </w:r>
      <w:r w:rsidR="0032183C">
        <w:t>s</w:t>
      </w:r>
      <w:r w:rsidR="009933B3">
        <w:t xml:space="preserve"> a</w:t>
      </w:r>
      <w:r w:rsidR="00567945">
        <w:t xml:space="preserve"> more durable</w:t>
      </w:r>
      <w:r w:rsidR="00BE3DA9">
        <w:t xml:space="preserve"> form of harm</w:t>
      </w:r>
      <w:r w:rsidR="00F961DD">
        <w:t xml:space="preserve"> as </w:t>
      </w:r>
      <w:r w:rsidR="00BF02A5">
        <w:t>it</w:t>
      </w:r>
      <w:r w:rsidR="00F961DD">
        <w:t xml:space="preserve"> can occur within urban-to-rural supply </w:t>
      </w:r>
      <w:r w:rsidR="00C878A6">
        <w:t xml:space="preserve">networks, as well as </w:t>
      </w:r>
      <w:r w:rsidR="0032183C">
        <w:t>with</w:t>
      </w:r>
      <w:r w:rsidR="00DA7EB1">
        <w:t xml:space="preserve">in </w:t>
      </w:r>
      <w:r w:rsidR="00C878A6">
        <w:t>local drug markets.</w:t>
      </w:r>
      <w:r w:rsidR="005E61B2">
        <w:t xml:space="preserve"> Hence, the central contribution of the article is to show that </w:t>
      </w:r>
      <w:r w:rsidR="008B0FEA">
        <w:t xml:space="preserve">localised drug markets </w:t>
      </w:r>
      <w:r w:rsidR="00FF491A">
        <w:t xml:space="preserve">produce </w:t>
      </w:r>
      <w:r w:rsidR="00D629BE">
        <w:t xml:space="preserve">comparable </w:t>
      </w:r>
      <w:r w:rsidR="00B163CE">
        <w:t xml:space="preserve">harms to those </w:t>
      </w:r>
      <w:r w:rsidR="00627F00">
        <w:t>traditionally associated with</w:t>
      </w:r>
      <w:r w:rsidR="00B163CE">
        <w:t xml:space="preserve"> </w:t>
      </w:r>
      <w:r w:rsidR="00627F00">
        <w:t>county lines</w:t>
      </w:r>
      <w:r w:rsidR="003C16BB">
        <w:t xml:space="preserve">, whilst also posing significant challenges to smaller, often rural police forces with reduced </w:t>
      </w:r>
      <w:r w:rsidR="008833BF">
        <w:t>safeguarding</w:t>
      </w:r>
      <w:r w:rsidR="003C16BB">
        <w:t xml:space="preserve"> </w:t>
      </w:r>
      <w:r w:rsidR="008833BF">
        <w:t>capacity and investigative resources.</w:t>
      </w:r>
    </w:p>
    <w:p w14:paraId="164A4758" w14:textId="2104DDE4" w:rsidR="00CB0C5F" w:rsidRDefault="00233DF0" w:rsidP="00F4749E">
      <w:r w:rsidRPr="00E634F4">
        <w:t>T</w:t>
      </w:r>
      <w:r w:rsidR="0082545E" w:rsidRPr="00E634F4">
        <w:t>his article adopts a Public Health Criminology (PHC) framework to analyse and respond to the problem. PHC integrates public health principles with criminological insight, focusing on prevention, social determinants of crime, and multi-agency collaboration to address structural harms (</w:t>
      </w:r>
      <w:r w:rsidR="00766266">
        <w:t xml:space="preserve">Fraser </w:t>
      </w:r>
      <w:r w:rsidR="007E1643" w:rsidRPr="007E1643">
        <w:rPr>
          <w:i/>
          <w:iCs/>
        </w:rPr>
        <w:t>et al.</w:t>
      </w:r>
      <w:r w:rsidR="00766266" w:rsidRPr="00E634F4">
        <w:t xml:space="preserve"> 20</w:t>
      </w:r>
      <w:r w:rsidR="00766266">
        <w:t xml:space="preserve">26, </w:t>
      </w:r>
      <w:r w:rsidR="00356CF9" w:rsidRPr="00E634F4">
        <w:t>Scottish V</w:t>
      </w:r>
      <w:r w:rsidR="006050CB">
        <w:t>iolence Reduction Unit</w:t>
      </w:r>
      <w:r w:rsidR="00356CF9" w:rsidRPr="00E634F4">
        <w:t xml:space="preserve"> </w:t>
      </w:r>
      <w:r w:rsidR="00E42E0C">
        <w:t>2020</w:t>
      </w:r>
      <w:r w:rsidR="006050CB">
        <w:t xml:space="preserve">, </w:t>
      </w:r>
      <w:r w:rsidR="00A1034E" w:rsidRPr="00E634F4">
        <w:t xml:space="preserve">Welsh </w:t>
      </w:r>
      <w:r w:rsidR="007E1643" w:rsidRPr="007E1643">
        <w:rPr>
          <w:i/>
          <w:iCs/>
        </w:rPr>
        <w:t>et al.</w:t>
      </w:r>
      <w:r w:rsidR="00A1034E" w:rsidRPr="00E634F4">
        <w:t xml:space="preserve"> 2015</w:t>
      </w:r>
      <w:r w:rsidR="00F34D2C" w:rsidRPr="00E634F4">
        <w:t>,</w:t>
      </w:r>
      <w:r w:rsidR="00A1034E" w:rsidRPr="00E634F4">
        <w:t xml:space="preserve"> </w:t>
      </w:r>
      <w:r w:rsidR="0082545E" w:rsidRPr="00E634F4">
        <w:t>WHO</w:t>
      </w:r>
      <w:r w:rsidR="00A1034E" w:rsidRPr="00E634F4">
        <w:t xml:space="preserve"> 2019</w:t>
      </w:r>
      <w:r w:rsidR="0082545E" w:rsidRPr="00E634F4">
        <w:t xml:space="preserve">). </w:t>
      </w:r>
      <w:r w:rsidR="007E07C3">
        <w:t xml:space="preserve">Viewing </w:t>
      </w:r>
      <w:r w:rsidR="00480603">
        <w:t xml:space="preserve">county lines through a PHC lens reframes criminal exploitation </w:t>
      </w:r>
      <w:r w:rsidR="00EB4B9D">
        <w:t xml:space="preserve">as a primarily public health </w:t>
      </w:r>
      <w:r w:rsidR="00234405">
        <w:t xml:space="preserve">concern </w:t>
      </w:r>
      <w:r w:rsidR="004F46DB">
        <w:t xml:space="preserve">and focuses attention upon </w:t>
      </w:r>
      <w:r w:rsidR="0082545E" w:rsidRPr="00622FAB">
        <w:t>factors which make</w:t>
      </w:r>
      <w:r w:rsidR="00D1726B" w:rsidRPr="00622FAB">
        <w:t xml:space="preserve"> young people</w:t>
      </w:r>
      <w:r w:rsidR="0082545E" w:rsidRPr="00622FAB">
        <w:t xml:space="preserve"> increasingly susceptible to exploitation (</w:t>
      </w:r>
      <w:r w:rsidR="00766266" w:rsidRPr="00622FAB">
        <w:t>C</w:t>
      </w:r>
      <w:r w:rsidR="00766266">
        <w:t>DC</w:t>
      </w:r>
      <w:r w:rsidR="00766266" w:rsidRPr="00622FAB">
        <w:t xml:space="preserve"> 20</w:t>
      </w:r>
      <w:r w:rsidR="00766266">
        <w:t xml:space="preserve">24, </w:t>
      </w:r>
      <w:r w:rsidR="0082545E" w:rsidRPr="00622FAB">
        <w:t>H</w:t>
      </w:r>
      <w:r w:rsidR="00284D6D" w:rsidRPr="00622FAB">
        <w:t>ughes</w:t>
      </w:r>
      <w:r w:rsidR="0082545E" w:rsidRPr="00622FAB">
        <w:t xml:space="preserve"> </w:t>
      </w:r>
      <w:r w:rsidR="007E1643" w:rsidRPr="007E1643">
        <w:rPr>
          <w:i/>
          <w:iCs/>
        </w:rPr>
        <w:t>et al.</w:t>
      </w:r>
      <w:r w:rsidR="0082545E" w:rsidRPr="00622FAB">
        <w:t xml:space="preserve"> 201</w:t>
      </w:r>
      <w:r w:rsidR="008073D8">
        <w:t>7</w:t>
      </w:r>
      <w:r w:rsidR="0082545E" w:rsidRPr="00622FAB">
        <w:t xml:space="preserve">). </w:t>
      </w:r>
      <w:r w:rsidR="00D1726B" w:rsidRPr="00622FAB">
        <w:t xml:space="preserve">Thus, </w:t>
      </w:r>
      <w:r w:rsidR="00A10BC8">
        <w:t>this</w:t>
      </w:r>
      <w:r w:rsidR="00D1726B" w:rsidRPr="00622FAB">
        <w:t xml:space="preserve"> </w:t>
      </w:r>
      <w:r w:rsidR="00F4749E" w:rsidRPr="00622FAB">
        <w:t xml:space="preserve">emphasises the importance of </w:t>
      </w:r>
      <w:r w:rsidR="007B3334" w:rsidRPr="00622FAB">
        <w:t xml:space="preserve">prevention, early intervention and addressing socioeconomic inequalities </w:t>
      </w:r>
      <w:r w:rsidR="00622FAB" w:rsidRPr="00622FAB">
        <w:lastRenderedPageBreak/>
        <w:t>which</w:t>
      </w:r>
      <w:r w:rsidR="007B3334" w:rsidRPr="00622FAB">
        <w:t xml:space="preserve"> </w:t>
      </w:r>
      <w:r w:rsidR="00622FAB" w:rsidRPr="00622FAB">
        <w:t>intensify</w:t>
      </w:r>
      <w:r w:rsidR="000F56AA" w:rsidRPr="00622FAB">
        <w:t xml:space="preserve"> </w:t>
      </w:r>
      <w:r w:rsidR="00DA6EFC" w:rsidRPr="00622FAB">
        <w:t xml:space="preserve">vulnerabilities, while also focusing on the uneven operational capacity </w:t>
      </w:r>
      <w:r w:rsidR="00CB0C5F" w:rsidRPr="00622FAB">
        <w:t>of police force</w:t>
      </w:r>
      <w:r w:rsidR="00615458" w:rsidRPr="00622FAB">
        <w:t>s</w:t>
      </w:r>
      <w:r w:rsidR="00CB0C5F" w:rsidRPr="00622FAB">
        <w:t xml:space="preserve"> and partner agencies.</w:t>
      </w:r>
    </w:p>
    <w:p w14:paraId="1E0E72FA" w14:textId="07EDA945" w:rsidR="00FE4FA0" w:rsidRPr="00E634F4" w:rsidRDefault="00FE4FA0" w:rsidP="001B5B9D">
      <w:pPr>
        <w:tabs>
          <w:tab w:val="left" w:pos="4006"/>
        </w:tabs>
      </w:pPr>
      <w:r>
        <w:t xml:space="preserve">This article </w:t>
      </w:r>
      <w:r w:rsidR="00761D65">
        <w:t xml:space="preserve">places </w:t>
      </w:r>
      <w:r>
        <w:t xml:space="preserve">county lines </w:t>
      </w:r>
      <w:r w:rsidR="00761D65">
        <w:t>within the broader context</w:t>
      </w:r>
      <w:r w:rsidR="006E1723">
        <w:t xml:space="preserve"> of</w:t>
      </w:r>
      <w:r w:rsidR="00761D65">
        <w:t xml:space="preserve"> </w:t>
      </w:r>
      <w:r w:rsidR="009C383C">
        <w:t>drug market evolution in the UK</w:t>
      </w:r>
      <w:r w:rsidR="002506E5">
        <w:t xml:space="preserve"> before detailing the methodology of the study and the </w:t>
      </w:r>
      <w:r w:rsidR="00EC5564">
        <w:t>typology</w:t>
      </w:r>
      <w:r w:rsidR="002506E5">
        <w:t xml:space="preserve"> of police forces </w:t>
      </w:r>
      <w:r w:rsidR="00EC5564">
        <w:t>based on urban</w:t>
      </w:r>
      <w:r w:rsidR="003D787D">
        <w:t>-</w:t>
      </w:r>
      <w:r w:rsidR="00EC5564">
        <w:t>rural geographies and the number of officers.</w:t>
      </w:r>
      <w:r w:rsidR="005126B2">
        <w:t xml:space="preserve"> I</w:t>
      </w:r>
      <w:r w:rsidR="00EC5564">
        <w:t>t</w:t>
      </w:r>
      <w:r w:rsidR="005126B2">
        <w:t xml:space="preserve"> follows by </w:t>
      </w:r>
      <w:r w:rsidR="00B925E7">
        <w:t>present</w:t>
      </w:r>
      <w:r w:rsidR="005126B2">
        <w:t>ing</w:t>
      </w:r>
      <w:r w:rsidR="00B925E7">
        <w:t xml:space="preserve"> findings on the increasingly localised nature of county lines-related exploitation, </w:t>
      </w:r>
      <w:r w:rsidR="00A67B37">
        <w:t xml:space="preserve">limited policing capacities around </w:t>
      </w:r>
      <w:r w:rsidR="000C5D07">
        <w:t>safeguarding and conducting investigations before discussing the implications for policy and practice</w:t>
      </w:r>
      <w:r w:rsidR="005126B2">
        <w:t xml:space="preserve"> through the lens of Public Health Criminology</w:t>
      </w:r>
      <w:r w:rsidR="000C5D07">
        <w:t>.</w:t>
      </w:r>
    </w:p>
    <w:p w14:paraId="241A84E9" w14:textId="1D74708B" w:rsidR="00F55068" w:rsidRPr="00E634F4" w:rsidRDefault="00860D7D" w:rsidP="00F55068">
      <w:pPr>
        <w:rPr>
          <w:b/>
          <w:bCs/>
        </w:rPr>
      </w:pPr>
      <w:r>
        <w:rPr>
          <w:b/>
          <w:bCs/>
        </w:rPr>
        <w:t>Drug Markets, Exploitation and Policing</w:t>
      </w:r>
    </w:p>
    <w:p w14:paraId="1CA5049E" w14:textId="08DDEF3F" w:rsidR="000C7A09" w:rsidRPr="00860D7D" w:rsidRDefault="00F55068" w:rsidP="00F55068">
      <w:pPr>
        <w:rPr>
          <w:b/>
          <w:bCs/>
        </w:rPr>
      </w:pPr>
      <w:r w:rsidRPr="00860D7D">
        <w:rPr>
          <w:b/>
          <w:bCs/>
        </w:rPr>
        <w:t>From Traditional Drug Distribution Models to ‘</w:t>
      </w:r>
      <w:r w:rsidR="00DD783A" w:rsidRPr="00860D7D">
        <w:rPr>
          <w:b/>
          <w:bCs/>
        </w:rPr>
        <w:t>County lines</w:t>
      </w:r>
      <w:r w:rsidRPr="00860D7D">
        <w:rPr>
          <w:b/>
          <w:bCs/>
        </w:rPr>
        <w:t>’</w:t>
      </w:r>
    </w:p>
    <w:p w14:paraId="3772E260" w14:textId="06E81C6B" w:rsidR="003B4B27" w:rsidRDefault="00F17BE0" w:rsidP="007F64EF">
      <w:r w:rsidRPr="00F17BE0">
        <w:t>Traditionally, in the UK, the supply of drugs such as heroin and crack cocaine had been local with broader distribution going from major cities to smaller cities where </w:t>
      </w:r>
      <w:r w:rsidRPr="00F17BE0">
        <w:rPr>
          <w:i/>
          <w:iCs/>
        </w:rPr>
        <w:t>local</w:t>
      </w:r>
      <w:r w:rsidRPr="00F17BE0">
        <w:t xml:space="preserve"> suppliers would then control supply in-situ (Coomber &amp; Moyle 2018). However, this traditional model began to be disrupted from just before and around 2010 when a number of push and pull factors coalesced (Spicer et al </w:t>
      </w:r>
      <w:r w:rsidR="00BA0DC7">
        <w:t>2020</w:t>
      </w:r>
      <w:r w:rsidRPr="00F17BE0">
        <w:t>; Windle et al 2020) to produce a new supply model where sellers from hub cities travelled to new locales and sold directly.  Although market saturation has been listed as a primary push factor  (Windle et al. 20</w:t>
      </w:r>
      <w:r w:rsidR="002D6D00">
        <w:t>20</w:t>
      </w:r>
      <w:r w:rsidRPr="00F17BE0">
        <w:t xml:space="preserve">; Robinson et al., 2019) there is an absence of evidence to show that it has resulted in such specific transitions historically in the UK or internationally. </w:t>
      </w:r>
      <w:r w:rsidR="004E6F85" w:rsidRPr="004E6F85">
        <w:t xml:space="preserve">As such, the development of county lines in the UK appears to have been shaped by several overlapping factors. These included the movement of ‘gang’ members and others with links to drug supply into different towns and cities; policing activity that placed pressure on city markets while disrupting established local controls elsewhere; and the development of mobile phone technology, which enabled easier communication with both buyers and suppliers. Latterly, the model was also sustained by the imitation of a relatively simple and replicable practice, where city suppliers outside traditional supply routes could send their own members into other areas to sell drugs and expand the business (Spicer et al. </w:t>
      </w:r>
      <w:r w:rsidR="00BA0DC7">
        <w:t>2020</w:t>
      </w:r>
      <w:r w:rsidR="004E6F85" w:rsidRPr="004E6F85">
        <w:t>, Windle et al. 2020).</w:t>
      </w:r>
      <w:r w:rsidRPr="00F17BE0">
        <w:t xml:space="preserve"> This marked the development of </w:t>
      </w:r>
      <w:r w:rsidR="00F55068" w:rsidRPr="00E634F4">
        <w:t xml:space="preserve"> </w:t>
      </w:r>
      <w:r w:rsidR="00DD783A" w:rsidRPr="00E634F4">
        <w:t>county lines</w:t>
      </w:r>
      <w:r w:rsidR="00F55068" w:rsidRPr="00E634F4">
        <w:t xml:space="preserve"> networks, as criminal groups began establishing “commuting” models in which urban-based gang members temporarily embedded themselves in distant locations, often taking advantage of short-term rentals or vulnerable local residents’ homes (Coomber and Moyle 2018). </w:t>
      </w:r>
    </w:p>
    <w:p w14:paraId="126A3B7E" w14:textId="4B652429" w:rsidR="007F64EF" w:rsidRPr="00AF7610" w:rsidRDefault="00F55068" w:rsidP="00825723">
      <w:pPr>
        <w:rPr>
          <w:b/>
          <w:bCs/>
        </w:rPr>
      </w:pPr>
      <w:r w:rsidRPr="00E634F4">
        <w:t>Over time, many of these operations became more established as gangs and loose agglomerations of organised crime groups created semi-permanent operations once they acquired greater insight into their distribution localities</w:t>
      </w:r>
      <w:r w:rsidR="00B808EE" w:rsidRPr="00E634F4">
        <w:t xml:space="preserve"> (Harding 2020)</w:t>
      </w:r>
      <w:r w:rsidRPr="00E634F4">
        <w:t>. This evolution reflects operational adaptability and a better understanding of local vulnerabilities that gangs exploit through tactics such as “cuckooing,” coercively taking over the homes of vulnerable individuals as bases for their operations (</w:t>
      </w:r>
      <w:r w:rsidR="001D608C" w:rsidRPr="00E634F4">
        <w:t>Coomber and Moyle 2018</w:t>
      </w:r>
      <w:r w:rsidR="001D608C">
        <w:t xml:space="preserve">, </w:t>
      </w:r>
      <w:r w:rsidRPr="00E634F4">
        <w:t xml:space="preserve">Harding 2020). </w:t>
      </w:r>
      <w:r w:rsidR="00687D8C">
        <w:t xml:space="preserve">Spicer </w:t>
      </w:r>
      <w:r w:rsidR="007E1643" w:rsidRPr="007E1643">
        <w:rPr>
          <w:i/>
          <w:iCs/>
        </w:rPr>
        <w:t>et al.</w:t>
      </w:r>
      <w:r w:rsidR="00687D8C">
        <w:t xml:space="preserve"> (2020) </w:t>
      </w:r>
      <w:r w:rsidR="005637E3">
        <w:t xml:space="preserve">identify </w:t>
      </w:r>
      <w:r w:rsidR="00500348">
        <w:t xml:space="preserve">‘local’ models of cuckooing </w:t>
      </w:r>
      <w:r w:rsidR="00184286">
        <w:t>that</w:t>
      </w:r>
      <w:r w:rsidR="00A03B45">
        <w:t xml:space="preserve"> utilise existing relationships between customers and dealers</w:t>
      </w:r>
      <w:r w:rsidR="006F5D5C">
        <w:t xml:space="preserve">, showing how </w:t>
      </w:r>
      <w:r w:rsidR="00825723">
        <w:t>forms of exploitation within drug markets can adapt to become more localised</w:t>
      </w:r>
      <w:r w:rsidR="00B545F4">
        <w:t xml:space="preserve">. </w:t>
      </w:r>
      <w:r w:rsidRPr="00E634F4">
        <w:t xml:space="preserve">As the drug distribution operations mature, adapt and develop the gangs often utilise violence (and the threats thereof) to consolidate control over local drug markets to harmonise rural and urban drug economies (O’Hagan and </w:t>
      </w:r>
      <w:r w:rsidR="007A1DC1">
        <w:t>Edmundson</w:t>
      </w:r>
      <w:r w:rsidRPr="00E634F4">
        <w:t xml:space="preserve"> 20</w:t>
      </w:r>
      <w:r w:rsidR="007A1DC1">
        <w:t>21</w:t>
      </w:r>
      <w:r w:rsidRPr="00E634F4">
        <w:t>).</w:t>
      </w:r>
    </w:p>
    <w:p w14:paraId="1C5987A9" w14:textId="28A52A43" w:rsidR="00400B75" w:rsidRPr="00E634F4" w:rsidRDefault="00D00514" w:rsidP="00400B75">
      <w:r w:rsidRPr="00E634F4">
        <w:t xml:space="preserve">A recent policy strategy document released by the </w:t>
      </w:r>
      <w:r w:rsidR="00E634F4" w:rsidRPr="00E634F4">
        <w:t xml:space="preserve">National County Lines Coordination Centre </w:t>
      </w:r>
      <w:r w:rsidRPr="00E634F4">
        <w:t>(NCLCC) claims ‘the business model</w:t>
      </w:r>
      <w:r w:rsidR="00F335C6" w:rsidRPr="00E634F4">
        <w:t>…</w:t>
      </w:r>
      <w:r w:rsidRPr="00E634F4">
        <w:t xml:space="preserve"> has changed, becoming more localised’ (</w:t>
      </w:r>
      <w:r w:rsidR="00E634F4" w:rsidRPr="00E634F4">
        <w:t xml:space="preserve">National County Lines Coordination Centre </w:t>
      </w:r>
      <w:r w:rsidRPr="00E634F4">
        <w:t>2024</w:t>
      </w:r>
      <w:r w:rsidR="00F34D2C" w:rsidRPr="00E634F4">
        <w:t>, p.</w:t>
      </w:r>
      <w:r w:rsidR="000B0842" w:rsidRPr="00E634F4">
        <w:t xml:space="preserve"> </w:t>
      </w:r>
      <w:r w:rsidRPr="00E634F4">
        <w:t>8). A</w:t>
      </w:r>
      <w:r w:rsidR="00D47281" w:rsidRPr="00E634F4">
        <w:t>s</w:t>
      </w:r>
      <w:r w:rsidRPr="00E634F4">
        <w:t xml:space="preserve"> </w:t>
      </w:r>
      <w:r w:rsidR="00E0544B" w:rsidRPr="00E634F4">
        <w:t>t</w:t>
      </w:r>
      <w:r w:rsidRPr="00E634F4">
        <w:t xml:space="preserve">he NCLCC notes that the localisation of </w:t>
      </w:r>
      <w:r w:rsidR="00DD783A" w:rsidRPr="00E634F4">
        <w:lastRenderedPageBreak/>
        <w:t>county lines</w:t>
      </w:r>
      <w:r w:rsidRPr="00E634F4">
        <w:t xml:space="preserve"> has resulted in fewer instances of violence in major cities, but ‘it is likely that </w:t>
      </w:r>
      <w:r w:rsidR="00DD783A" w:rsidRPr="00E634F4">
        <w:t>county lines</w:t>
      </w:r>
      <w:r w:rsidRPr="00E634F4">
        <w:t xml:space="preserve"> gangs will target local children more,’ thus, pressures on comparatively poorly resourced police forces are increasing (</w:t>
      </w:r>
      <w:r w:rsidR="00E634F4" w:rsidRPr="00E634F4">
        <w:t xml:space="preserve">National County Lines Coordination Centre </w:t>
      </w:r>
      <w:r w:rsidRPr="00E634F4">
        <w:t>2024</w:t>
      </w:r>
      <w:r w:rsidR="000B0842" w:rsidRPr="00E634F4">
        <w:t xml:space="preserve">, p. </w:t>
      </w:r>
      <w:r w:rsidRPr="00E634F4">
        <w:t>20).</w:t>
      </w:r>
      <w:r w:rsidRPr="00E634F4">
        <w:rPr>
          <w:rFonts w:ascii="Times New Roman" w:eastAsia="Times New Roman" w:hAnsi="Times New Roman" w:cs="Times New Roman"/>
          <w:b/>
          <w:bCs/>
          <w:kern w:val="0"/>
          <w:sz w:val="24"/>
          <w:szCs w:val="24"/>
          <w:lang w:eastAsia="en-GB"/>
          <w14:ligatures w14:val="none"/>
        </w:rPr>
        <w:t xml:space="preserve"> </w:t>
      </w:r>
    </w:p>
    <w:p w14:paraId="3147D4D3" w14:textId="4541A3FF" w:rsidR="00944AFE" w:rsidRPr="00E634F4" w:rsidRDefault="002D436A" w:rsidP="00944AFE">
      <w:r w:rsidRPr="00E634F4">
        <w:t>Police resourcing inequities combined with socio-economic challenges form a set of compounding issues for more deprived areas of the UK. A fundamental feature of</w:t>
      </w:r>
      <w:r w:rsidR="007B765A" w:rsidRPr="00E634F4">
        <w:t xml:space="preserve"> the</w:t>
      </w:r>
      <w:r w:rsidRPr="00E634F4">
        <w:t xml:space="preserve"> UK government</w:t>
      </w:r>
      <w:r w:rsidR="00E0544B" w:rsidRPr="00E634F4">
        <w:t>’</w:t>
      </w:r>
      <w:r w:rsidRPr="00E634F4">
        <w:t xml:space="preserve">s </w:t>
      </w:r>
      <w:r w:rsidR="00DD783A" w:rsidRPr="00E634F4">
        <w:t xml:space="preserve">County </w:t>
      </w:r>
      <w:r w:rsidR="0050488E">
        <w:t>L</w:t>
      </w:r>
      <w:r w:rsidR="00DD783A" w:rsidRPr="00E634F4">
        <w:t>ines</w:t>
      </w:r>
      <w:r w:rsidRPr="00E634F4">
        <w:t xml:space="preserve"> Programme is the exporter/importer funding system which directs investment into </w:t>
      </w:r>
      <w:r w:rsidR="00EE7722" w:rsidRPr="00E634F4">
        <w:t xml:space="preserve">force </w:t>
      </w:r>
      <w:r w:rsidRPr="00E634F4">
        <w:t>areas identified as ‘exporters’</w:t>
      </w:r>
      <w:r w:rsidRPr="00622FAB">
        <w:t>. These are typically large urban centres such as the Metropolitan Police, West Midlands, Greater Manchester and Merseyside (Home Office 2024</w:t>
      </w:r>
      <w:r w:rsidRPr="00475F45">
        <w:t>).</w:t>
      </w:r>
      <w:r w:rsidR="005B66B6" w:rsidRPr="00475F45">
        <w:t xml:space="preserve"> </w:t>
      </w:r>
      <w:r w:rsidR="007B2567" w:rsidRPr="00475F45">
        <w:t>I</w:t>
      </w:r>
      <w:r w:rsidR="007174AD" w:rsidRPr="00475F45">
        <w:t xml:space="preserve">t is important to note that these funding streams are distributed through the </w:t>
      </w:r>
      <w:r w:rsidR="006A2E76" w:rsidRPr="00475F45">
        <w:t>H</w:t>
      </w:r>
      <w:r w:rsidR="007174AD" w:rsidRPr="00475F45">
        <w:t xml:space="preserve">ome </w:t>
      </w:r>
      <w:r w:rsidR="006A2E76" w:rsidRPr="00475F45">
        <w:t>O</w:t>
      </w:r>
      <w:r w:rsidR="007174AD" w:rsidRPr="00475F45">
        <w:t xml:space="preserve">ffice </w:t>
      </w:r>
      <w:r w:rsidR="005E48EA" w:rsidRPr="00475F45">
        <w:t>C</w:t>
      </w:r>
      <w:r w:rsidR="00DD783A" w:rsidRPr="00475F45">
        <w:t xml:space="preserve">ounty </w:t>
      </w:r>
      <w:r w:rsidR="005E48EA" w:rsidRPr="00475F45">
        <w:t>L</w:t>
      </w:r>
      <w:r w:rsidR="00DD783A" w:rsidRPr="00475F45">
        <w:t>ines</w:t>
      </w:r>
      <w:r w:rsidR="007174AD" w:rsidRPr="00475F45">
        <w:t xml:space="preserve"> </w:t>
      </w:r>
      <w:r w:rsidR="005E48EA" w:rsidRPr="00475F45">
        <w:t>P</w:t>
      </w:r>
      <w:r w:rsidR="007174AD" w:rsidRPr="00475F45">
        <w:t xml:space="preserve">rogramme, which funds police operations, the </w:t>
      </w:r>
      <w:r w:rsidR="00E634F4" w:rsidRPr="00475F45">
        <w:t xml:space="preserve">National County Lines Coordination Centre </w:t>
      </w:r>
      <w:r w:rsidR="007174AD" w:rsidRPr="00475F45">
        <w:t>(NCLCC), and specialist safeguarding units</w:t>
      </w:r>
      <w:r w:rsidR="0011235F" w:rsidRPr="00475F45">
        <w:t xml:space="preserve">. Fundamentally, </w:t>
      </w:r>
      <w:r w:rsidR="00475F45" w:rsidRPr="00475F45">
        <w:t xml:space="preserve">funding is not equally distributed </w:t>
      </w:r>
      <w:r w:rsidR="007174AD" w:rsidRPr="00475F45">
        <w:t>across all police forces.</w:t>
      </w:r>
    </w:p>
    <w:p w14:paraId="6C287E78" w14:textId="023D557E" w:rsidR="00944AFE" w:rsidRPr="00E634F4" w:rsidRDefault="00944AFE" w:rsidP="00944AFE">
      <w:r w:rsidRPr="00E634F4">
        <w:t xml:space="preserve">The </w:t>
      </w:r>
      <w:r w:rsidR="00AE36E4" w:rsidRPr="00E634F4">
        <w:t xml:space="preserve">funding and resourcing </w:t>
      </w:r>
      <w:r w:rsidRPr="00E634F4">
        <w:t>of policing in the UK also focuses on urban locations as they receive greater levels of funding, which in turn, enables them to develop greater expertise in shutting down drug networks and safeguarding vulnerable populations (</w:t>
      </w:r>
      <w:proofErr w:type="spellStart"/>
      <w:r w:rsidR="00775C66">
        <w:t>Gallent</w:t>
      </w:r>
      <w:proofErr w:type="spellEnd"/>
      <w:r w:rsidR="00775C66">
        <w:t xml:space="preserve"> </w:t>
      </w:r>
      <w:r w:rsidR="007E1643" w:rsidRPr="007E1643">
        <w:rPr>
          <w:i/>
          <w:iCs/>
        </w:rPr>
        <w:t>et al.</w:t>
      </w:r>
      <w:r w:rsidR="00775C66">
        <w:t xml:space="preserve"> 2024)</w:t>
      </w:r>
      <w:r w:rsidRPr="00E634F4">
        <w:t>. The comparative advantages afforded to urban areas ha</w:t>
      </w:r>
      <w:r w:rsidR="00DD6B1A" w:rsidRPr="00E634F4">
        <w:t>ve</w:t>
      </w:r>
      <w:r w:rsidRPr="00E634F4">
        <w:t xml:space="preserve"> been sharpened by policies of austerity, which have disproportionately impacted smaller and non-urban forces. Critiquing the dynamics of resource allocations </w:t>
      </w:r>
      <w:r w:rsidR="009C3DDD" w:rsidRPr="00E634F4">
        <w:t>is</w:t>
      </w:r>
      <w:r w:rsidRPr="00E634F4">
        <w:t xml:space="preserve"> key to determining why the policing responses to criminal exploitation vary so widely across force areas (Atkinson-Sheppard 202</w:t>
      </w:r>
      <w:r w:rsidR="00DD6C4D">
        <w:t>5</w:t>
      </w:r>
      <w:r w:rsidRPr="00E634F4">
        <w:t>).</w:t>
      </w:r>
      <w:r w:rsidR="007C7C80" w:rsidRPr="00E634F4">
        <w:t xml:space="preserve"> </w:t>
      </w:r>
      <w:r w:rsidR="0092774C" w:rsidRPr="00E634F4">
        <w:t xml:space="preserve">The </w:t>
      </w:r>
      <w:r w:rsidR="002B64A3" w:rsidRPr="00E634F4">
        <w:t>resource l</w:t>
      </w:r>
      <w:r w:rsidR="007C7C80" w:rsidRPr="00E634F4">
        <w:t xml:space="preserve">imitations </w:t>
      </w:r>
      <w:r w:rsidR="002B64A3" w:rsidRPr="00E634F4">
        <w:t xml:space="preserve">experienced </w:t>
      </w:r>
      <w:r w:rsidR="0033787D">
        <w:t>by</w:t>
      </w:r>
      <w:r w:rsidR="00D97673">
        <w:t xml:space="preserve"> police, part</w:t>
      </w:r>
      <w:r w:rsidR="00E2561A">
        <w:t>icularly</w:t>
      </w:r>
      <w:r w:rsidR="002B64A3" w:rsidRPr="00E634F4">
        <w:t xml:space="preserve"> </w:t>
      </w:r>
      <w:r w:rsidR="0092774C" w:rsidRPr="00E634F4">
        <w:t>smaller police</w:t>
      </w:r>
      <w:r w:rsidR="00440BDD" w:rsidRPr="00E634F4">
        <w:t xml:space="preserve"> forces</w:t>
      </w:r>
      <w:r w:rsidR="00D91F60">
        <w:t>,</w:t>
      </w:r>
      <w:r w:rsidR="002B64A3" w:rsidRPr="00E634F4">
        <w:t xml:space="preserve"> intersect </w:t>
      </w:r>
      <w:r w:rsidR="00A542A7" w:rsidRPr="00E634F4">
        <w:t xml:space="preserve">with socioeconomic conditions to shape vulnerabilities in </w:t>
      </w:r>
      <w:r w:rsidR="00EB5385" w:rsidRPr="00E634F4">
        <w:t>rural and semi-rural areas.</w:t>
      </w:r>
    </w:p>
    <w:p w14:paraId="0B33E20E" w14:textId="12DC239A" w:rsidR="000C7A09" w:rsidRDefault="00944AFE" w:rsidP="00F55068">
      <w:r w:rsidRPr="00E634F4">
        <w:t xml:space="preserve">As the </w:t>
      </w:r>
      <w:r w:rsidR="00DD783A" w:rsidRPr="00E634F4">
        <w:t>county lines</w:t>
      </w:r>
      <w:r w:rsidRPr="00E634F4">
        <w:t xml:space="preserve"> model developed, drug markets in unfamiliar locations became increasingly professionalised, posing significant challenges to non-metropolitan police forces with fewer resources to identify and combat </w:t>
      </w:r>
      <w:r w:rsidR="00DD783A" w:rsidRPr="00E634F4">
        <w:t>county lines</w:t>
      </w:r>
      <w:r w:rsidRPr="00E634F4">
        <w:t xml:space="preserve"> operations. In the absence of </w:t>
      </w:r>
      <w:r w:rsidR="00A84A9E" w:rsidRPr="00E634F4">
        <w:t>appropriate</w:t>
      </w:r>
      <w:r w:rsidRPr="00E634F4">
        <w:t xml:space="preserve"> police training, expertise and resources, studies show that smaller non-urban police forces have been unable to fully adapt to complex and novel drug distribution models (Spicer 202</w:t>
      </w:r>
      <w:r w:rsidR="00FF66C6" w:rsidRPr="00E634F4">
        <w:t>1</w:t>
      </w:r>
      <w:r w:rsidRPr="00E634F4">
        <w:t>).</w:t>
      </w:r>
      <w:r w:rsidR="00A84A9E" w:rsidRPr="00E634F4">
        <w:t xml:space="preserve"> </w:t>
      </w:r>
    </w:p>
    <w:p w14:paraId="2088A298" w14:textId="3D194DFC" w:rsidR="000C7A09" w:rsidRDefault="00184286" w:rsidP="002621D1">
      <w:r>
        <w:t xml:space="preserve">Research </w:t>
      </w:r>
      <w:r w:rsidR="00A358E5">
        <w:t xml:space="preserve">also notes how rural poverty in England </w:t>
      </w:r>
      <w:r w:rsidR="00B71242">
        <w:t>has increased due to austerity, welfare reforms and cuts to local authority budgets</w:t>
      </w:r>
      <w:r w:rsidR="00C95E6C">
        <w:t xml:space="preserve"> (Vera-Toscano </w:t>
      </w:r>
      <w:r w:rsidR="007E1643" w:rsidRPr="007E1643">
        <w:rPr>
          <w:i/>
          <w:iCs/>
        </w:rPr>
        <w:t>et al.</w:t>
      </w:r>
      <w:r w:rsidR="00C95E6C">
        <w:t xml:space="preserve"> 2024)</w:t>
      </w:r>
      <w:r w:rsidR="00B71242">
        <w:t xml:space="preserve">. </w:t>
      </w:r>
      <w:r w:rsidR="00DC7B8A">
        <w:t xml:space="preserve">Furthermore, </w:t>
      </w:r>
      <w:proofErr w:type="spellStart"/>
      <w:r w:rsidR="00DC7B8A">
        <w:t>Shucksmith</w:t>
      </w:r>
      <w:proofErr w:type="spellEnd"/>
      <w:r w:rsidR="00DC7B8A">
        <w:t xml:space="preserve"> </w:t>
      </w:r>
      <w:r w:rsidR="007E1643" w:rsidRPr="007E1643">
        <w:rPr>
          <w:i/>
          <w:iCs/>
        </w:rPr>
        <w:t>et al.</w:t>
      </w:r>
      <w:r w:rsidR="00DC7B8A">
        <w:t xml:space="preserve"> (2023) argue that </w:t>
      </w:r>
      <w:r w:rsidR="00CC4B47">
        <w:t xml:space="preserve">poverty is often framed as largely urban issue, </w:t>
      </w:r>
      <w:r w:rsidR="00D57332">
        <w:t xml:space="preserve">contributing to </w:t>
      </w:r>
      <w:r w:rsidR="008F2CF2">
        <w:t>rural</w:t>
      </w:r>
      <w:r w:rsidR="00D57332">
        <w:t xml:space="preserve"> poverty being overlooked.</w:t>
      </w:r>
      <w:r w:rsidR="00D57332" w:rsidRPr="00E634F4" w:rsidDel="00D57332">
        <w:t xml:space="preserve"> </w:t>
      </w:r>
      <w:r w:rsidR="0014110B" w:rsidRPr="00D43E00">
        <w:t>How</w:t>
      </w:r>
      <w:r w:rsidR="0014110B">
        <w:t>ev</w:t>
      </w:r>
      <w:r w:rsidR="0014110B" w:rsidRPr="00D43E00">
        <w:t>er</w:t>
      </w:r>
      <w:r w:rsidR="00A865FB" w:rsidRPr="00D43E00">
        <w:t>, research conducted on poverty has remained urban-centric</w:t>
      </w:r>
      <w:r w:rsidR="00F86912" w:rsidRPr="00D43E00">
        <w:t>,</w:t>
      </w:r>
      <w:r w:rsidR="00566BB2" w:rsidRPr="00D43E00">
        <w:t xml:space="preserve"> leaving evidence gaps around </w:t>
      </w:r>
      <w:r w:rsidR="00BA0152" w:rsidRPr="00D43E00">
        <w:t xml:space="preserve">the impact of austerity, Brexit, and covid-19 lockdowns on </w:t>
      </w:r>
      <w:r w:rsidR="00361913" w:rsidRPr="00D43E00">
        <w:t xml:space="preserve">more rural </w:t>
      </w:r>
      <w:r w:rsidR="002621D1" w:rsidRPr="00D43E00">
        <w:t>areas</w:t>
      </w:r>
      <w:r w:rsidR="00F86912" w:rsidRPr="00D43E00">
        <w:t xml:space="preserve"> </w:t>
      </w:r>
      <w:r w:rsidR="00361913" w:rsidRPr="00D43E00">
        <w:t>(</w:t>
      </w:r>
      <w:r w:rsidR="001D2F08" w:rsidRPr="00D43E00">
        <w:t>Atkinson-Sheppard 202</w:t>
      </w:r>
      <w:r w:rsidR="00DD6C4D">
        <w:t>5</w:t>
      </w:r>
      <w:r w:rsidR="00C22F07" w:rsidRPr="00D43E00">
        <w:t>,</w:t>
      </w:r>
      <w:r w:rsidR="001D2F08" w:rsidRPr="00D43E00">
        <w:t xml:space="preserve"> </w:t>
      </w:r>
      <w:r w:rsidR="00F55068" w:rsidRPr="00D43E00">
        <w:t>B</w:t>
      </w:r>
      <w:r w:rsidR="00201916" w:rsidRPr="00D43E00">
        <w:t>rown</w:t>
      </w:r>
      <w:r w:rsidR="00F55068" w:rsidRPr="00D43E00">
        <w:t xml:space="preserve"> </w:t>
      </w:r>
      <w:r w:rsidR="00201916" w:rsidRPr="00D43E00">
        <w:t>and</w:t>
      </w:r>
      <w:r w:rsidR="00F55068" w:rsidRPr="00D43E00">
        <w:t xml:space="preserve"> </w:t>
      </w:r>
      <w:proofErr w:type="spellStart"/>
      <w:r w:rsidR="00F55068" w:rsidRPr="00D43E00">
        <w:t>S</w:t>
      </w:r>
      <w:r w:rsidR="00201916" w:rsidRPr="00D43E00">
        <w:t>hucksmith</w:t>
      </w:r>
      <w:proofErr w:type="spellEnd"/>
      <w:r w:rsidR="00361913" w:rsidRPr="00D43E00">
        <w:t xml:space="preserve"> </w:t>
      </w:r>
      <w:r w:rsidR="00F55068" w:rsidRPr="00D43E00">
        <w:t>2024</w:t>
      </w:r>
      <w:r w:rsidR="00C22F07" w:rsidRPr="00D43E00">
        <w:t>,</w:t>
      </w:r>
      <w:r w:rsidR="001D2F08" w:rsidRPr="00D43E00">
        <w:t xml:space="preserve"> </w:t>
      </w:r>
      <w:proofErr w:type="spellStart"/>
      <w:r w:rsidR="00775C66">
        <w:t>Gallent</w:t>
      </w:r>
      <w:proofErr w:type="spellEnd"/>
      <w:r w:rsidR="00775C66">
        <w:t xml:space="preserve"> </w:t>
      </w:r>
      <w:r w:rsidR="007E1643" w:rsidRPr="007E1643">
        <w:rPr>
          <w:i/>
          <w:iCs/>
        </w:rPr>
        <w:t>et al.</w:t>
      </w:r>
      <w:r w:rsidR="00775C66">
        <w:t xml:space="preserve"> 2024</w:t>
      </w:r>
      <w:r w:rsidR="00F55068" w:rsidRPr="00D43E00">
        <w:t>)</w:t>
      </w:r>
      <w:r w:rsidR="005E0AF5" w:rsidRPr="00D43E00">
        <w:t>.</w:t>
      </w:r>
      <w:r w:rsidR="00B844FB" w:rsidRPr="00D43E00">
        <w:t xml:space="preserve"> </w:t>
      </w:r>
      <w:r w:rsidR="001E1811" w:rsidRPr="00D43E00">
        <w:t>C</w:t>
      </w:r>
      <w:r w:rsidR="00DD783A" w:rsidRPr="00D43E00">
        <w:t>ounty lines</w:t>
      </w:r>
      <w:r w:rsidR="00C108F6" w:rsidRPr="00D43E00">
        <w:t xml:space="preserve"> groups </w:t>
      </w:r>
      <w:r w:rsidR="00E430FF">
        <w:t xml:space="preserve">may </w:t>
      </w:r>
      <w:r w:rsidR="00C108F6" w:rsidRPr="00D43E00">
        <w:t xml:space="preserve">capitalise </w:t>
      </w:r>
      <w:r w:rsidR="0007108B" w:rsidRPr="00D43E00">
        <w:t xml:space="preserve">on these socioeconomic vulnerabilities </w:t>
      </w:r>
      <w:r w:rsidR="00C108F6" w:rsidRPr="00D43E00">
        <w:t xml:space="preserve">— not only in urban centres, but </w:t>
      </w:r>
      <w:r w:rsidR="00D43E00" w:rsidRPr="00D43E00">
        <w:t>also</w:t>
      </w:r>
      <w:r w:rsidR="00C108F6" w:rsidRPr="00D43E00">
        <w:t xml:space="preserve"> </w:t>
      </w:r>
      <w:r w:rsidR="00D43E00" w:rsidRPr="00D43E00">
        <w:t>in</w:t>
      </w:r>
      <w:r w:rsidR="00C108F6" w:rsidRPr="00D43E00">
        <w:t xml:space="preserve"> rural and semi-rural communities (Harding 2023</w:t>
      </w:r>
      <w:r w:rsidR="004D6D8F" w:rsidRPr="00D43E00">
        <w:t>,</w:t>
      </w:r>
      <w:r w:rsidR="00C108F6" w:rsidRPr="00D43E00">
        <w:t xml:space="preserve"> Brown </w:t>
      </w:r>
      <w:r w:rsidR="004D6D8F" w:rsidRPr="00D43E00">
        <w:t xml:space="preserve">and </w:t>
      </w:r>
      <w:proofErr w:type="spellStart"/>
      <w:r w:rsidR="00C108F6" w:rsidRPr="00D43E00">
        <w:t>Shucksmith</w:t>
      </w:r>
      <w:proofErr w:type="spellEnd"/>
      <w:r w:rsidR="00C108F6" w:rsidRPr="00D43E00">
        <w:t xml:space="preserve"> 2024).</w:t>
      </w:r>
    </w:p>
    <w:p w14:paraId="09F9536C" w14:textId="10498CD8" w:rsidR="00BE205C" w:rsidRPr="00E634F4" w:rsidRDefault="007A712E" w:rsidP="002621D1">
      <w:r>
        <w:t xml:space="preserve">Policing </w:t>
      </w:r>
      <w:r w:rsidR="009D2680">
        <w:t xml:space="preserve">and policy </w:t>
      </w:r>
      <w:r>
        <w:t xml:space="preserve">responses to county lines </w:t>
      </w:r>
      <w:r w:rsidR="003377FC">
        <w:t xml:space="preserve">have </w:t>
      </w:r>
      <w:r w:rsidR="00793A19">
        <w:t xml:space="preserve">increasingly recognised </w:t>
      </w:r>
      <w:r w:rsidR="003377FC">
        <w:t xml:space="preserve">young people, user-dealers and </w:t>
      </w:r>
      <w:r w:rsidR="005509F9">
        <w:t>cuckooed individuals as victims of exploitation as well as suspects</w:t>
      </w:r>
      <w:r w:rsidR="006A06A8">
        <w:t xml:space="preserve">. This was supported by the </w:t>
      </w:r>
      <w:r w:rsidR="00AE7E93">
        <w:t xml:space="preserve">Modern Slavery Act 2015 and the National Referral Mechanism which </w:t>
      </w:r>
      <w:r w:rsidR="00224121">
        <w:t xml:space="preserve">provide </w:t>
      </w:r>
      <w:r w:rsidR="003B7326">
        <w:t xml:space="preserve">the scope </w:t>
      </w:r>
      <w:r w:rsidR="003B2F12">
        <w:t xml:space="preserve">to identify individuals as </w:t>
      </w:r>
      <w:r w:rsidR="00C61D3B">
        <w:t xml:space="preserve">potential </w:t>
      </w:r>
      <w:r w:rsidR="003B2F12">
        <w:t xml:space="preserve">victims </w:t>
      </w:r>
      <w:r w:rsidR="00C61D3B">
        <w:t xml:space="preserve">of trafficking or exploitation. However, </w:t>
      </w:r>
      <w:r w:rsidR="009053C8">
        <w:t>their outcomes are often inconsistent, beset by delays</w:t>
      </w:r>
      <w:r w:rsidR="00517E37">
        <w:t xml:space="preserve">, and the coexistence of safeguarding and </w:t>
      </w:r>
      <w:r w:rsidR="00C32293">
        <w:t xml:space="preserve">prosecution pathways result in </w:t>
      </w:r>
      <w:r w:rsidR="00891FB2">
        <w:t>a lack of uniformity (Gadd and Broad 2024; Koch et al 2024)</w:t>
      </w:r>
      <w:r w:rsidR="004B2EB2">
        <w:t>.</w:t>
      </w:r>
    </w:p>
    <w:p w14:paraId="30B2B7FB" w14:textId="48D47F9F" w:rsidR="006E71D2" w:rsidRPr="008D636A" w:rsidRDefault="006E71D2" w:rsidP="006E71D2">
      <w:pPr>
        <w:rPr>
          <w:b/>
          <w:bCs/>
        </w:rPr>
      </w:pPr>
      <w:r w:rsidRPr="008D636A">
        <w:rPr>
          <w:b/>
          <w:bCs/>
        </w:rPr>
        <w:t xml:space="preserve">The Organisational Structure and Exploitative Practices of </w:t>
      </w:r>
      <w:r w:rsidR="00DD783A" w:rsidRPr="008D636A">
        <w:rPr>
          <w:b/>
          <w:bCs/>
        </w:rPr>
        <w:t xml:space="preserve">County </w:t>
      </w:r>
      <w:r w:rsidR="0050488E">
        <w:rPr>
          <w:b/>
          <w:bCs/>
        </w:rPr>
        <w:t>L</w:t>
      </w:r>
      <w:r w:rsidR="00DD783A" w:rsidRPr="008D636A">
        <w:rPr>
          <w:b/>
          <w:bCs/>
        </w:rPr>
        <w:t>ines</w:t>
      </w:r>
    </w:p>
    <w:p w14:paraId="0F9C8F79" w14:textId="1B912DF9" w:rsidR="00D70FF1" w:rsidRPr="00E634F4" w:rsidRDefault="00AD3322" w:rsidP="00D70FF1">
      <w:r w:rsidRPr="00E634F4">
        <w:t xml:space="preserve">The </w:t>
      </w:r>
      <w:r w:rsidR="00EE2669" w:rsidRPr="00E634F4">
        <w:t>rise</w:t>
      </w:r>
      <w:r w:rsidRPr="00E634F4">
        <w:t xml:space="preserve"> of the </w:t>
      </w:r>
      <w:r w:rsidR="00DD783A" w:rsidRPr="00E634F4">
        <w:t>county lines</w:t>
      </w:r>
      <w:r w:rsidR="00035EF1" w:rsidRPr="00E634F4">
        <w:t xml:space="preserve"> methodology</w:t>
      </w:r>
      <w:r w:rsidRPr="00E634F4">
        <w:t xml:space="preserve"> </w:t>
      </w:r>
      <w:r w:rsidR="00035EF1" w:rsidRPr="00E634F4">
        <w:t>indicates</w:t>
      </w:r>
      <w:r w:rsidRPr="00E634F4">
        <w:t xml:space="preserve"> </w:t>
      </w:r>
      <w:r w:rsidR="009D5F07" w:rsidRPr="00E634F4">
        <w:t xml:space="preserve">an increasingly </w:t>
      </w:r>
      <w:r w:rsidRPr="00E634F4">
        <w:t xml:space="preserve">professionalised drug distribution model. </w:t>
      </w:r>
      <w:r w:rsidR="00097F39" w:rsidRPr="00E634F4">
        <w:t xml:space="preserve">A central pillar of this model is the exploitation of vulnerable individuals as </w:t>
      </w:r>
      <w:r w:rsidR="00097F39" w:rsidRPr="00E634F4">
        <w:lastRenderedPageBreak/>
        <w:t>traffickers and dealers, and the use of their homes through “cuckooing”. Also</w:t>
      </w:r>
      <w:r w:rsidRPr="00E634F4">
        <w:t xml:space="preserve">, </w:t>
      </w:r>
      <w:r w:rsidR="00DD783A" w:rsidRPr="00E634F4">
        <w:t>county lines</w:t>
      </w:r>
      <w:r w:rsidRPr="00E634F4">
        <w:t xml:space="preserve"> merged into other areas of criminality, namely, the transportation of weapons and sexual abuse</w:t>
      </w:r>
      <w:r w:rsidRPr="00E634F4">
        <w:rPr>
          <w:b/>
          <w:bCs/>
        </w:rPr>
        <w:t xml:space="preserve"> </w:t>
      </w:r>
      <w:r w:rsidRPr="00E634F4">
        <w:t xml:space="preserve">(Coomber and Moyle 2018). Robinson </w:t>
      </w:r>
      <w:r w:rsidR="00E634F4" w:rsidRPr="00E634F4">
        <w:rPr>
          <w:i/>
          <w:iCs/>
        </w:rPr>
        <w:t>et al</w:t>
      </w:r>
      <w:r w:rsidRPr="00E634F4">
        <w:t xml:space="preserve"> (20</w:t>
      </w:r>
      <w:r w:rsidR="004C4769">
        <w:t>19</w:t>
      </w:r>
      <w:r w:rsidRPr="00E634F4">
        <w:t>) showed a variety of means of exploitative recruitment into these networks, including (but not limited to) debt bondage</w:t>
      </w:r>
      <w:r w:rsidR="00FB6EB2" w:rsidRPr="00E634F4">
        <w:t xml:space="preserve"> (enforced debt, usually </w:t>
      </w:r>
      <w:r w:rsidR="006B23EF" w:rsidRPr="00E634F4">
        <w:t xml:space="preserve">through </w:t>
      </w:r>
      <w:r w:rsidR="00FB6EB2" w:rsidRPr="00E634F4">
        <w:t>demanding of payment of drug debts)</w:t>
      </w:r>
      <w:r w:rsidRPr="00E634F4">
        <w:t xml:space="preserve">, intimidation and physical threats to operatives and their loved ones. </w:t>
      </w:r>
      <w:r w:rsidR="009D5F07" w:rsidRPr="00E634F4">
        <w:t xml:space="preserve">However, research also shows that not all involvement is entirely coerced; some young people are initially drawn in by perceived agency, the promise of income, status or consumer lifestyles, before becoming subject to control and exploitation (Windle </w:t>
      </w:r>
      <w:r w:rsidR="007E1643" w:rsidRPr="007E1643">
        <w:rPr>
          <w:i/>
          <w:iCs/>
        </w:rPr>
        <w:t>et al.</w:t>
      </w:r>
      <w:r w:rsidR="009D5F07" w:rsidRPr="00E634F4">
        <w:t xml:space="preserve"> 2020).</w:t>
      </w:r>
      <w:r w:rsidR="00D70FF1" w:rsidRPr="00E634F4">
        <w:rPr>
          <w:rFonts w:ascii="Times New Roman" w:eastAsia="Times New Roman" w:hAnsi="Times New Roman" w:cs="Times New Roman"/>
          <w:b/>
          <w:bCs/>
          <w:kern w:val="0"/>
          <w:sz w:val="24"/>
          <w:szCs w:val="24"/>
          <w:lang w:eastAsia="en-GB"/>
          <w14:ligatures w14:val="none"/>
        </w:rPr>
        <w:t xml:space="preserve"> </w:t>
      </w:r>
      <w:r w:rsidR="00D70FF1" w:rsidRPr="00E634F4">
        <w:t>This sits alongside evidence that some young people exercise a degree of agency in becoming involved, while others fall into the category of ‘alpha victims’, whose apparent autonomy masks deep vulnerability.</w:t>
      </w:r>
    </w:p>
    <w:p w14:paraId="5A18F98E" w14:textId="7CC3D14B" w:rsidR="00AD3322" w:rsidRPr="00E634F4" w:rsidRDefault="00860D9D" w:rsidP="00AD3322">
      <w:r w:rsidRPr="00E634F4">
        <w:t xml:space="preserve">In a policing context, this poses significant challenges to enforcement and safeguarding as individuals involved in </w:t>
      </w:r>
      <w:r w:rsidR="00DD783A" w:rsidRPr="00E634F4">
        <w:t>county lines</w:t>
      </w:r>
      <w:r w:rsidRPr="00E634F4">
        <w:t xml:space="preserve"> may exhibit signs of offending behaviour and victimisation. This is particularly evident in cases described by police as</w:t>
      </w:r>
      <w:r w:rsidR="00DB4431" w:rsidRPr="00E634F4">
        <w:t xml:space="preserve"> involving</w:t>
      </w:r>
      <w:r w:rsidRPr="00E634F4">
        <w:t xml:space="preserve"> ‘alpha victims’. These are young people who on the surface appear to be active, sometimes violent or entrepreneurial offenders, yet are themselves subject to grooming, debt, control or lack of alternatives. </w:t>
      </w:r>
    </w:p>
    <w:p w14:paraId="0B2AA4F7" w14:textId="52C77A69" w:rsidR="00AD3322" w:rsidRPr="00E634F4" w:rsidRDefault="00AD3322" w:rsidP="00AD3322">
      <w:r w:rsidRPr="00E634F4">
        <w:t xml:space="preserve">Harding (2020) details how these networks have adopted quasi-corporate structures to allow the ‘higher ups’ to distance themselves from the act of drug </w:t>
      </w:r>
      <w:r w:rsidR="00E443AA" w:rsidRPr="00E634F4">
        <w:t>supply</w:t>
      </w:r>
      <w:r w:rsidR="00051663" w:rsidRPr="00E634F4">
        <w:t>.</w:t>
      </w:r>
      <w:r w:rsidR="00051663" w:rsidRPr="00E634F4">
        <w:rPr>
          <w:rFonts w:ascii="Times New Roman" w:eastAsia="Times New Roman" w:hAnsi="Times New Roman" w:cs="Times New Roman"/>
          <w:kern w:val="0"/>
          <w:sz w:val="24"/>
          <w:szCs w:val="24"/>
          <w:lang w:eastAsia="en-GB"/>
          <w14:ligatures w14:val="none"/>
        </w:rPr>
        <w:t xml:space="preserve"> </w:t>
      </w:r>
      <w:r w:rsidR="00DB2CBB" w:rsidRPr="00E634F4">
        <w:t xml:space="preserve">The space between those who manage </w:t>
      </w:r>
      <w:r w:rsidR="00DD783A" w:rsidRPr="00E634F4">
        <w:t>county lines</w:t>
      </w:r>
      <w:r w:rsidR="00DB2CBB" w:rsidRPr="00E634F4">
        <w:t xml:space="preserve"> operations and street level operatives allows senior figures to remain hidden from law enforcement. In contrast to more traditional models of drug distribution, </w:t>
      </w:r>
      <w:r w:rsidR="00DD783A" w:rsidRPr="00E634F4">
        <w:t>county lines</w:t>
      </w:r>
      <w:r w:rsidR="00DB2CBB" w:rsidRPr="00E634F4">
        <w:t xml:space="preserve"> are notably different due to their utilisation of remote management and communications through mobile phones and the use of transient, often vulnerable, young people to carry out local distribution. These management structures ensure that the most visible and risky activities are commonly undertaken by vulnerable individuals. Moreover, the hierarchical and streamlined operations are highly efficient, adaptable and profitable for those in control. </w:t>
      </w:r>
      <w:r w:rsidR="00997877" w:rsidRPr="00E634F4">
        <w:t>A</w:t>
      </w:r>
      <w:r w:rsidRPr="00E634F4">
        <w:t>s the gangs move into new localities the competition for market share drives up levels of violence as their operations are consolidated</w:t>
      </w:r>
      <w:r w:rsidR="00E443AA" w:rsidRPr="00E634F4">
        <w:t xml:space="preserve"> (Harding 2023)</w:t>
      </w:r>
      <w:r w:rsidR="00997877" w:rsidRPr="00E634F4">
        <w:t>.</w:t>
      </w:r>
    </w:p>
    <w:p w14:paraId="62DA4ED8" w14:textId="50E8D8A4" w:rsidR="00624C5E" w:rsidRPr="00E634F4" w:rsidRDefault="00233428" w:rsidP="00624C5E">
      <w:r>
        <w:t>M</w:t>
      </w:r>
      <w:r w:rsidR="00624C5E" w:rsidRPr="00E634F4">
        <w:t xml:space="preserve">obile phones are key to the development and spread of </w:t>
      </w:r>
      <w:r w:rsidR="00DD783A" w:rsidRPr="00E634F4">
        <w:t>county lines</w:t>
      </w:r>
      <w:r w:rsidR="00624C5E" w:rsidRPr="00E634F4">
        <w:t xml:space="preserve"> across the UK. So called ‘deal lines’ (dedicated mobile phone lines) allow senior figures in the </w:t>
      </w:r>
      <w:r w:rsidR="00DD783A" w:rsidRPr="00E634F4">
        <w:t>county lines</w:t>
      </w:r>
      <w:r w:rsidR="00624C5E" w:rsidRPr="00E634F4">
        <w:t xml:space="preserve"> network to remotely coordinate supply, communicate with customers, and manage workforce compliance whilst maintaining anonymity (Spicer 2019). The larger police forces in the UK typically have specialist teams with the capability to decrypt the phones and download evidence of drug sales and signs of exploitation</w:t>
      </w:r>
      <w:r w:rsidR="00564CDA" w:rsidRPr="00E634F4">
        <w:t xml:space="preserve"> (Barbin </w:t>
      </w:r>
      <w:r w:rsidR="007E1643" w:rsidRPr="007E1643">
        <w:rPr>
          <w:i/>
          <w:iCs/>
        </w:rPr>
        <w:t>et al.</w:t>
      </w:r>
      <w:r w:rsidR="00564CDA" w:rsidRPr="00E634F4">
        <w:t xml:space="preserve"> 2025)</w:t>
      </w:r>
      <w:r w:rsidR="00624C5E" w:rsidRPr="00E634F4">
        <w:t xml:space="preserve">. </w:t>
      </w:r>
    </w:p>
    <w:p w14:paraId="199965D5" w14:textId="0FCBDF0D" w:rsidR="000A1900" w:rsidRPr="00E634F4" w:rsidRDefault="000A1900" w:rsidP="000A1900">
      <w:r w:rsidRPr="00E634F4">
        <w:t xml:space="preserve">To date, research on </w:t>
      </w:r>
      <w:r w:rsidR="00161595" w:rsidRPr="00E634F4">
        <w:t>c</w:t>
      </w:r>
      <w:r w:rsidR="00DD783A" w:rsidRPr="00E634F4">
        <w:t>ounty lines</w:t>
      </w:r>
      <w:r w:rsidRPr="00E634F4">
        <w:t xml:space="preserve"> has been concentrated on responses to networks located in urban areas, where links between poverty, criminalisation and victimhood are well established (</w:t>
      </w:r>
      <w:r w:rsidR="00B12123" w:rsidRPr="00E634F4">
        <w:t>Coomber and Moyle 2018</w:t>
      </w:r>
      <w:r w:rsidR="00B12123">
        <w:t xml:space="preserve">, </w:t>
      </w:r>
      <w:r w:rsidRPr="00E634F4">
        <w:t>Harding 2023). In contrast,</w:t>
      </w:r>
      <w:r w:rsidR="00B667EB" w:rsidRPr="00E634F4">
        <w:t xml:space="preserve"> rural, semi-rural and small-town contexts have received far less attention</w:t>
      </w:r>
      <w:r w:rsidRPr="00E634F4">
        <w:t>, despite evidence that they can present similar structural risk factors (</w:t>
      </w:r>
      <w:proofErr w:type="spellStart"/>
      <w:r w:rsidRPr="00E634F4">
        <w:t>Shucksmith</w:t>
      </w:r>
      <w:proofErr w:type="spellEnd"/>
      <w:r w:rsidRPr="00E634F4">
        <w:t xml:space="preserve"> </w:t>
      </w:r>
      <w:r w:rsidR="008A6787">
        <w:t xml:space="preserve"> </w:t>
      </w:r>
      <w:r w:rsidR="007E1643" w:rsidRPr="007E1643">
        <w:rPr>
          <w:i/>
          <w:iCs/>
        </w:rPr>
        <w:t>et al.</w:t>
      </w:r>
      <w:r w:rsidR="008A6787">
        <w:t xml:space="preserve"> </w:t>
      </w:r>
      <w:r w:rsidRPr="00E634F4">
        <w:t>20</w:t>
      </w:r>
      <w:r w:rsidR="003907BF" w:rsidRPr="00E634F4">
        <w:t>2</w:t>
      </w:r>
      <w:r w:rsidR="008A6787">
        <w:t>3</w:t>
      </w:r>
      <w:r w:rsidRPr="00E634F4">
        <w:t>).</w:t>
      </w:r>
      <w:r w:rsidR="00B667EB" w:rsidRPr="00E634F4">
        <w:t xml:space="preserve"> It is important to note that </w:t>
      </w:r>
      <w:r w:rsidR="00DD783A" w:rsidRPr="00E634F4">
        <w:t>county lines</w:t>
      </w:r>
      <w:r w:rsidR="00B667EB" w:rsidRPr="00E634F4">
        <w:t xml:space="preserve"> activity in such areas does not always involve permanent or ‘resident’ dealers; in some deeply rural places, drug supply may still require travel to nearby urban centres or be serviced through periodic visits, temporary ‘pop-up’ markets or monthly runs rather than continuous local presence.</w:t>
      </w:r>
    </w:p>
    <w:p w14:paraId="56C3EAFE" w14:textId="69BF842D" w:rsidR="001F602E" w:rsidRPr="000523CB" w:rsidRDefault="00E62446" w:rsidP="001F602E">
      <w:r w:rsidRPr="00E634F4">
        <w:t xml:space="preserve">Fawell </w:t>
      </w:r>
      <w:r w:rsidR="007E1643" w:rsidRPr="007E1643">
        <w:rPr>
          <w:i/>
          <w:iCs/>
        </w:rPr>
        <w:t>et al.</w:t>
      </w:r>
      <w:r w:rsidRPr="00E634F4">
        <w:t xml:space="preserve"> (2024</w:t>
      </w:r>
      <w:r w:rsidR="001270B9" w:rsidRPr="00E634F4">
        <w:t xml:space="preserve">, </w:t>
      </w:r>
      <w:r w:rsidR="00640880" w:rsidRPr="00E634F4">
        <w:t>p.</w:t>
      </w:r>
      <w:r w:rsidRPr="00E634F4">
        <w:t xml:space="preserve"> 286) argue, “the lack of investigation of the impact that rural resident location</w:t>
      </w:r>
      <w:r w:rsidR="000A41F8">
        <w:t>s</w:t>
      </w:r>
      <w:r w:rsidRPr="00E634F4">
        <w:t xml:space="preserve"> can have on county lines victimisation warrants further research.” By foregrounding the perspectives of practitioners working in contrasting policing environments, the paper offers </w:t>
      </w:r>
      <w:r w:rsidRPr="00E634F4">
        <w:lastRenderedPageBreak/>
        <w:t xml:space="preserve">new empirical insight into the diversification of the UK drug market and the implications for enforcement, safeguarding, and multi-agency practice. </w:t>
      </w:r>
      <w:r w:rsidR="001F602E" w:rsidRPr="000523CB">
        <w:t xml:space="preserve">Coomber </w:t>
      </w:r>
      <w:r w:rsidR="007E1643" w:rsidRPr="007E1643">
        <w:rPr>
          <w:i/>
          <w:iCs/>
        </w:rPr>
        <w:t>et al.</w:t>
      </w:r>
      <w:r w:rsidR="001F602E" w:rsidRPr="000523CB">
        <w:t xml:space="preserve"> (2019) </w:t>
      </w:r>
      <w:r w:rsidR="00741E75" w:rsidRPr="00AF7610">
        <w:t>argue that drug-market policing can be largely symbolic, particularly where time-limited ‘crackdowns’ generate visible enforcement outcomes while failing to disrupt higher-level actors and the wider conditions that sustain drug-market activity.</w:t>
      </w:r>
      <w:r w:rsidR="000B71D6" w:rsidRPr="00AF7610">
        <w:t xml:space="preserve"> In the context of county lines, they appear</w:t>
      </w:r>
      <w:r w:rsidR="00B478F6" w:rsidRPr="00AF7610">
        <w:t xml:space="preserve"> to disrupt the networks but </w:t>
      </w:r>
      <w:r w:rsidR="000523CB" w:rsidRPr="00AF7610">
        <w:t>do not address the exploitation, coercion and local conditions that sustain drug markets.</w:t>
      </w:r>
    </w:p>
    <w:p w14:paraId="00D89223" w14:textId="77777777" w:rsidR="00D150E0" w:rsidRPr="00E634F4" w:rsidRDefault="00D150E0" w:rsidP="00E62446"/>
    <w:p w14:paraId="4852B148" w14:textId="3BA20CEE" w:rsidR="005269B0" w:rsidRPr="008D636A" w:rsidRDefault="0068248B" w:rsidP="005269B0">
      <w:pPr>
        <w:rPr>
          <w:b/>
          <w:bCs/>
        </w:rPr>
      </w:pPr>
      <w:r w:rsidRPr="008D636A">
        <w:rPr>
          <w:b/>
          <w:bCs/>
        </w:rPr>
        <w:t xml:space="preserve">Reframing </w:t>
      </w:r>
      <w:r w:rsidR="005269B0" w:rsidRPr="008D636A">
        <w:rPr>
          <w:b/>
          <w:bCs/>
        </w:rPr>
        <w:t>‘</w:t>
      </w:r>
      <w:r w:rsidR="00DD783A" w:rsidRPr="008D636A">
        <w:rPr>
          <w:b/>
          <w:bCs/>
        </w:rPr>
        <w:t xml:space="preserve">County </w:t>
      </w:r>
      <w:r w:rsidR="0050488E">
        <w:rPr>
          <w:b/>
          <w:bCs/>
        </w:rPr>
        <w:t>L</w:t>
      </w:r>
      <w:r w:rsidR="00DD783A" w:rsidRPr="008D636A">
        <w:rPr>
          <w:b/>
          <w:bCs/>
        </w:rPr>
        <w:t>ines</w:t>
      </w:r>
      <w:r w:rsidR="00593A9D" w:rsidRPr="008D636A">
        <w:rPr>
          <w:b/>
          <w:bCs/>
        </w:rPr>
        <w:t>’</w:t>
      </w:r>
      <w:r w:rsidR="005269B0" w:rsidRPr="008D636A">
        <w:rPr>
          <w:b/>
          <w:bCs/>
        </w:rPr>
        <w:t xml:space="preserve"> through P</w:t>
      </w:r>
      <w:r w:rsidR="00401B08" w:rsidRPr="008D636A">
        <w:rPr>
          <w:b/>
          <w:bCs/>
        </w:rPr>
        <w:t xml:space="preserve">ublic Health </w:t>
      </w:r>
      <w:r w:rsidR="005269B0" w:rsidRPr="008D636A">
        <w:rPr>
          <w:b/>
          <w:bCs/>
        </w:rPr>
        <w:t>C</w:t>
      </w:r>
      <w:r w:rsidR="00401B08" w:rsidRPr="008D636A">
        <w:rPr>
          <w:b/>
          <w:bCs/>
        </w:rPr>
        <w:t>riminology</w:t>
      </w:r>
    </w:p>
    <w:p w14:paraId="1BEE82CD" w14:textId="733EAD74" w:rsidR="000A1900" w:rsidRDefault="003A6288" w:rsidP="00F57161">
      <w:r w:rsidRPr="00E634F4">
        <w:t xml:space="preserve">Public Health Criminology (PHC) is an interdisciplinary approach which utilises the underlying doctrines of public health alongside criminology to study social harms and crime. This article utilises this approach to </w:t>
      </w:r>
      <w:r w:rsidR="0056355B">
        <w:t>interpret</w:t>
      </w:r>
      <w:r w:rsidR="00CA29CE" w:rsidRPr="00E634F4">
        <w:t xml:space="preserve"> </w:t>
      </w:r>
      <w:r w:rsidR="00DD783A" w:rsidRPr="00E634F4">
        <w:t>county lines</w:t>
      </w:r>
      <w:r w:rsidRPr="00E634F4">
        <w:t xml:space="preserve"> and the associated issues of exploitation </w:t>
      </w:r>
      <w:r w:rsidR="00B11B3E">
        <w:t xml:space="preserve">in relation to </w:t>
      </w:r>
      <w:r w:rsidRPr="00E634F4">
        <w:t>structural inequalities</w:t>
      </w:r>
      <w:r w:rsidR="00BA0BD0">
        <w:t>,</w:t>
      </w:r>
      <w:r w:rsidRPr="00E634F4">
        <w:t xml:space="preserve"> increasing levels of poverty</w:t>
      </w:r>
      <w:r w:rsidR="00BA0BD0">
        <w:t xml:space="preserve"> and uneven institutional capacity</w:t>
      </w:r>
      <w:r w:rsidRPr="00E634F4">
        <w:t xml:space="preserve">. In doing so, it moves away from the dominant lens of criminal justice and advocates </w:t>
      </w:r>
      <w:r w:rsidR="0019561C" w:rsidRPr="00E634F4">
        <w:t>for greater scrutiny of structural determinants</w:t>
      </w:r>
      <w:r w:rsidR="002B143B" w:rsidRPr="00E634F4">
        <w:t>,</w:t>
      </w:r>
      <w:r w:rsidR="005862C6" w:rsidRPr="00E634F4">
        <w:t xml:space="preserve"> the development of </w:t>
      </w:r>
      <w:r w:rsidR="002B143B" w:rsidRPr="00E634F4">
        <w:t xml:space="preserve">trauma-informed </w:t>
      </w:r>
      <w:r w:rsidR="0098391F" w:rsidRPr="00E634F4">
        <w:t xml:space="preserve">practices, and increased recognition of exploitation </w:t>
      </w:r>
      <w:r w:rsidR="00962257" w:rsidRPr="00E634F4">
        <w:t xml:space="preserve">rather than </w:t>
      </w:r>
      <w:r w:rsidR="00A22DF3" w:rsidRPr="00E634F4">
        <w:t>solely downstream enforcement</w:t>
      </w:r>
      <w:r w:rsidR="00962257" w:rsidRPr="00E634F4">
        <w:t>.</w:t>
      </w:r>
      <w:r w:rsidR="000A1900" w:rsidRPr="00E634F4">
        <w:t xml:space="preserve"> </w:t>
      </w:r>
    </w:p>
    <w:p w14:paraId="7B270EBB" w14:textId="77DC524E" w:rsidR="006C45D4" w:rsidRDefault="00C1132A" w:rsidP="00BA58BA">
      <w:r>
        <w:t xml:space="preserve">This framing of </w:t>
      </w:r>
      <w:r w:rsidR="00F7237C">
        <w:t>county lines build</w:t>
      </w:r>
      <w:r w:rsidR="0024203A">
        <w:t>s</w:t>
      </w:r>
      <w:r w:rsidR="00F7237C">
        <w:t xml:space="preserve"> upon </w:t>
      </w:r>
      <w:r w:rsidR="003A0EC3">
        <w:t>established links between public health, crim</w:t>
      </w:r>
      <w:r w:rsidR="009108E7">
        <w:t>e</w:t>
      </w:r>
      <w:r w:rsidR="003A0EC3">
        <w:t xml:space="preserve"> and drug polic</w:t>
      </w:r>
      <w:r w:rsidR="003A1D7D">
        <w:t xml:space="preserve">y. Stevens (2011) </w:t>
      </w:r>
      <w:r w:rsidR="0031436C">
        <w:t xml:space="preserve">demonstrates that drug policy cannot </w:t>
      </w:r>
      <w:r w:rsidR="00E8188C">
        <w:t>solely</w:t>
      </w:r>
      <w:r w:rsidR="0031436C">
        <w:t xml:space="preserve"> be understood </w:t>
      </w:r>
      <w:r w:rsidR="002E05A7">
        <w:t xml:space="preserve">as a </w:t>
      </w:r>
      <w:r w:rsidR="00636D95">
        <w:t xml:space="preserve">criminal justice </w:t>
      </w:r>
      <w:r w:rsidR="00F362CC">
        <w:t>tool but</w:t>
      </w:r>
      <w:r w:rsidR="00636D95">
        <w:t xml:space="preserve"> should be integrated </w:t>
      </w:r>
      <w:r w:rsidR="00A5650D">
        <w:t xml:space="preserve">into the fields of </w:t>
      </w:r>
      <w:r w:rsidR="000C6B86">
        <w:t xml:space="preserve">political economy and public health. Furthermore, Spicer (2024) </w:t>
      </w:r>
      <w:r w:rsidR="00696B7F">
        <w:t>developed a</w:t>
      </w:r>
      <w:r w:rsidR="00E73307">
        <w:t xml:space="preserve"> framework on </w:t>
      </w:r>
      <w:r w:rsidR="003008A2">
        <w:t xml:space="preserve">‘cuckooing’ </w:t>
      </w:r>
      <w:r w:rsidR="00E73307">
        <w:t xml:space="preserve">which detailed how </w:t>
      </w:r>
      <w:r w:rsidR="00D9557D">
        <w:t xml:space="preserve">exploitation in drug markets </w:t>
      </w:r>
      <w:r w:rsidR="00EB12DF">
        <w:t xml:space="preserve">may be </w:t>
      </w:r>
      <w:r w:rsidR="0079409A">
        <w:t>shaped</w:t>
      </w:r>
      <w:r w:rsidR="00D9557D">
        <w:t xml:space="preserve"> and sustained through the interaction of housing policy, </w:t>
      </w:r>
      <w:r w:rsidR="001722FE">
        <w:t xml:space="preserve">drug policy and social exclusion. </w:t>
      </w:r>
      <w:r w:rsidR="008F3B5B" w:rsidRPr="008F3B5B">
        <w:t>This article builds upon existing contributions by using Public Health Criminology as an interpretive framework for understanding criminal exploitation as a form of drug market-related harm shaped by uneven policing and safeguarding capacity.</w:t>
      </w:r>
      <w:r w:rsidR="006E304C">
        <w:t xml:space="preserve"> </w:t>
      </w:r>
      <w:r w:rsidR="000A1900" w:rsidRPr="00E634F4">
        <w:t>PHC also underscores the importance of how problems are presented</w:t>
      </w:r>
      <w:r w:rsidR="004F7A99" w:rsidRPr="00E634F4">
        <w:t xml:space="preserve"> and </w:t>
      </w:r>
      <w:r w:rsidR="000A1900" w:rsidRPr="00E634F4">
        <w:t>asserts that the way an issue is presented shapes the policies formed to alleviate it</w:t>
      </w:r>
      <w:r w:rsidR="00D92BA7" w:rsidRPr="00E634F4">
        <w:t xml:space="preserve"> (Macassa </w:t>
      </w:r>
      <w:r w:rsidR="004142B0" w:rsidRPr="00E634F4">
        <w:t>and</w:t>
      </w:r>
      <w:r w:rsidR="00D92BA7" w:rsidRPr="00E634F4">
        <w:t xml:space="preserve"> </w:t>
      </w:r>
      <w:r w:rsidR="00F30E8F" w:rsidRPr="00E634F4">
        <w:t>McGrath</w:t>
      </w:r>
      <w:r w:rsidR="00D92BA7" w:rsidRPr="00E634F4">
        <w:t xml:space="preserve"> 2024)</w:t>
      </w:r>
      <w:r w:rsidR="000A1900" w:rsidRPr="00E634F4">
        <w:t xml:space="preserve">. </w:t>
      </w:r>
      <w:r w:rsidR="005F5BDE">
        <w:t>While exploitation</w:t>
      </w:r>
      <w:r w:rsidR="008D1061">
        <w:t xml:space="preserve"> is a</w:t>
      </w:r>
      <w:r w:rsidR="00881514">
        <w:t>t</w:t>
      </w:r>
      <w:r w:rsidR="008D1061">
        <w:t xml:space="preserve"> the core of policy concerns around county lines</w:t>
      </w:r>
      <w:r w:rsidR="00881514">
        <w:t>, the definitions of the phenomen</w:t>
      </w:r>
      <w:r w:rsidR="00B65147">
        <w:t>on</w:t>
      </w:r>
      <w:r w:rsidR="00881514">
        <w:t xml:space="preserve"> </w:t>
      </w:r>
      <w:r w:rsidR="00BA58BA">
        <w:t xml:space="preserve">coalesce around the </w:t>
      </w:r>
      <w:r w:rsidR="006C45D4">
        <w:t xml:space="preserve">presence of </w:t>
      </w:r>
      <w:r w:rsidR="00471CED" w:rsidRPr="00471CED">
        <w:t xml:space="preserve">exporting and importing areas, dedicated mobile phone or ‘deal’ lines, and the </w:t>
      </w:r>
      <w:r w:rsidR="006C45D4">
        <w:t xml:space="preserve">transportation </w:t>
      </w:r>
      <w:r w:rsidR="00471CED" w:rsidRPr="00471CED">
        <w:t>of drugs</w:t>
      </w:r>
      <w:r w:rsidR="006609E6" w:rsidRPr="006609E6">
        <w:t xml:space="preserve"> (National County Lines Coordination Centre 2019; 2024)</w:t>
      </w:r>
      <w:r w:rsidR="00471CED" w:rsidRPr="00471CED">
        <w:t xml:space="preserve">. </w:t>
      </w:r>
      <w:r w:rsidR="00A50F9B">
        <w:t xml:space="preserve">These elements of county lines are </w:t>
      </w:r>
      <w:r w:rsidR="00B87A0E">
        <w:t xml:space="preserve">important, </w:t>
      </w:r>
      <w:r w:rsidR="009433C3">
        <w:t xml:space="preserve">but </w:t>
      </w:r>
      <w:r w:rsidR="00B87A0E">
        <w:t xml:space="preserve">they </w:t>
      </w:r>
      <w:r w:rsidR="00834DB4">
        <w:t xml:space="preserve">may </w:t>
      </w:r>
      <w:r w:rsidR="00B87A0E">
        <w:t>obscure</w:t>
      </w:r>
      <w:r w:rsidR="000C72C3">
        <w:t xml:space="preserve"> </w:t>
      </w:r>
      <w:r w:rsidR="00B87A0E">
        <w:t>exploitation</w:t>
      </w:r>
      <w:r w:rsidR="003D35DD">
        <w:t xml:space="preserve"> </w:t>
      </w:r>
      <w:r w:rsidR="00B5454E">
        <w:t>where it occurs</w:t>
      </w:r>
      <w:r w:rsidR="00D21015">
        <w:t xml:space="preserve"> </w:t>
      </w:r>
      <w:r w:rsidR="003D35DD">
        <w:t xml:space="preserve">and </w:t>
      </w:r>
      <w:r w:rsidR="00BC03E9">
        <w:t>foreground</w:t>
      </w:r>
      <w:r w:rsidR="00D21015">
        <w:t>s</w:t>
      </w:r>
      <w:r w:rsidR="00BC03E9">
        <w:t xml:space="preserve"> the need for criminal justice responses</w:t>
      </w:r>
      <w:r w:rsidR="007629A5">
        <w:t xml:space="preserve"> </w:t>
      </w:r>
      <w:r w:rsidR="006E57FE">
        <w:t>to drug markets</w:t>
      </w:r>
      <w:r w:rsidR="00BC03E9">
        <w:t>.</w:t>
      </w:r>
      <w:r w:rsidR="00D27168">
        <w:t xml:space="preserve"> Utilising a PHC approach to county lines </w:t>
      </w:r>
      <w:r w:rsidR="005B6723">
        <w:t xml:space="preserve">can enable a shift </w:t>
      </w:r>
      <w:r w:rsidR="00C35730">
        <w:t xml:space="preserve">in framing from county lines being a </w:t>
      </w:r>
      <w:r w:rsidR="00382841">
        <w:t>model of drug distribution to a matter where exploitation is given greater recognition</w:t>
      </w:r>
      <w:r w:rsidR="00EC6E05">
        <w:t xml:space="preserve"> and analytical attention.</w:t>
      </w:r>
    </w:p>
    <w:p w14:paraId="1BF45C25" w14:textId="14F49DBE" w:rsidR="00FE1B2C" w:rsidRDefault="004406FC" w:rsidP="00BA58BA">
      <w:r>
        <w:t xml:space="preserve">The </w:t>
      </w:r>
      <w:r w:rsidR="00C142A1">
        <w:t>benefit</w:t>
      </w:r>
      <w:r>
        <w:t xml:space="preserve"> of utilising a PHC </w:t>
      </w:r>
      <w:r w:rsidR="00C142A1">
        <w:t>approach</w:t>
      </w:r>
      <w:r>
        <w:t xml:space="preserve"> to the study of county lines is that it links </w:t>
      </w:r>
      <w:r w:rsidR="0080756B">
        <w:t xml:space="preserve">the exploitation associated with drug-markets to upstream factors </w:t>
      </w:r>
      <w:r w:rsidR="00C142A1">
        <w:t xml:space="preserve">which </w:t>
      </w:r>
      <w:r w:rsidR="007168ED">
        <w:t xml:space="preserve">may </w:t>
      </w:r>
      <w:r w:rsidR="00C142A1">
        <w:t xml:space="preserve">exacerbate vulnerabilities </w:t>
      </w:r>
      <w:r w:rsidR="000D19E7">
        <w:t xml:space="preserve">and highlights the need to focus on prevention. However, PHC is not at odds with </w:t>
      </w:r>
      <w:r w:rsidR="00355099">
        <w:t>contemporary structures of criminal justice o</w:t>
      </w:r>
      <w:r w:rsidR="00760BDA">
        <w:t>r</w:t>
      </w:r>
      <w:r w:rsidR="00355099">
        <w:t xml:space="preserve"> safeguarding </w:t>
      </w:r>
      <w:r w:rsidR="00860860">
        <w:t xml:space="preserve">agency, as many </w:t>
      </w:r>
      <w:r w:rsidR="009B461A">
        <w:t xml:space="preserve">criminal justice processes incorporate </w:t>
      </w:r>
      <w:r w:rsidR="00827970">
        <w:t>elements of safeguarding</w:t>
      </w:r>
      <w:r w:rsidR="00A9420D">
        <w:t>, incl</w:t>
      </w:r>
      <w:r w:rsidR="00640783">
        <w:t>uding the National Referral Mechanism</w:t>
      </w:r>
      <w:r w:rsidR="00827970">
        <w:t xml:space="preserve">. Instead, </w:t>
      </w:r>
      <w:r w:rsidR="004244DC">
        <w:t xml:space="preserve">the contribution of PHC is to raise the question of whether </w:t>
      </w:r>
      <w:r w:rsidR="00041F6C">
        <w:t xml:space="preserve">safeguarding </w:t>
      </w:r>
      <w:r w:rsidR="00E50439">
        <w:t>a</w:t>
      </w:r>
      <w:r w:rsidR="00E50439" w:rsidRPr="00E50439">
        <w:t>pparatuses</w:t>
      </w:r>
      <w:r w:rsidR="00E50439">
        <w:t xml:space="preserve"> </w:t>
      </w:r>
      <w:r w:rsidR="00041F6C">
        <w:t xml:space="preserve">and processes are adequately </w:t>
      </w:r>
      <w:r w:rsidR="00166B48">
        <w:t xml:space="preserve">resourced to intervene </w:t>
      </w:r>
      <w:r w:rsidR="00BC56D2">
        <w:t>before exploitation reaches a point of crisis</w:t>
      </w:r>
      <w:r w:rsidR="00EE1DC9">
        <w:t xml:space="preserve">, </w:t>
      </w:r>
      <w:r w:rsidR="008937FF">
        <w:t xml:space="preserve">and to focus attention upon </w:t>
      </w:r>
      <w:r w:rsidR="00AB2F94">
        <w:t>prevention, harm-reduction and institutional capacity.</w:t>
      </w:r>
    </w:p>
    <w:p w14:paraId="27875DED" w14:textId="3D3B8EB1" w:rsidR="00791D8A" w:rsidRPr="000C72C3" w:rsidRDefault="00240155" w:rsidP="00791D8A">
      <w:r w:rsidRPr="00A8259F">
        <w:t xml:space="preserve">In this article, PHC is used as an interpretive framework for examining how practitioners and safeguarding professionals understand the relationships between exploitation, prevention, </w:t>
      </w:r>
      <w:r w:rsidRPr="00A8259F">
        <w:lastRenderedPageBreak/>
        <w:t>socioeconomic vulnerability, place-based inequality and institutional capacity.</w:t>
      </w:r>
      <w:r w:rsidR="00EB14AC" w:rsidRPr="000C72C3">
        <w:t xml:space="preserve"> </w:t>
      </w:r>
      <w:r w:rsidR="00825CB3" w:rsidRPr="000C72C3">
        <w:t>R</w:t>
      </w:r>
      <w:r w:rsidR="00EB14AC" w:rsidRPr="000C72C3">
        <w:t>ather than attributing causality to structural factors</w:t>
      </w:r>
      <w:r w:rsidR="00825CB3" w:rsidRPr="000C72C3">
        <w:t xml:space="preserve"> and the withdrawal of some public services, </w:t>
      </w:r>
      <w:r w:rsidR="000C5AFB" w:rsidRPr="000C72C3">
        <w:t xml:space="preserve">PHC highlights the role of </w:t>
      </w:r>
      <w:r w:rsidR="003447CC" w:rsidRPr="000C72C3">
        <w:t xml:space="preserve">structural factors, agency and coercion. </w:t>
      </w:r>
      <w:r w:rsidR="00EE6126" w:rsidRPr="00EE6126">
        <w:t xml:space="preserve">However, if PHC is applied uncritically, it can risk presenting exploitation </w:t>
      </w:r>
      <w:r w:rsidR="00A562D5">
        <w:t>simply as an outcome of structural factors</w:t>
      </w:r>
      <w:r w:rsidR="00EE6126" w:rsidRPr="00EE6126">
        <w:t>. Such a reading would understate how exploitative drug markets are actively organised through coercion, control, debt, violence, profit and constrained agency. We therefore use PHC not to replace criminal justice explanations with structural determinism, but to examine how harm is produced through the interaction of market practices, place-based inequality and uneven safeguarding capacity.</w:t>
      </w:r>
      <w:r w:rsidR="00744443">
        <w:t xml:space="preserve"> </w:t>
      </w:r>
      <w:r w:rsidR="00D47E53">
        <w:t xml:space="preserve">In the context of this research, we use the </w:t>
      </w:r>
      <w:r w:rsidR="00791D8A" w:rsidRPr="000C72C3">
        <w:t>term “criminal exploitation” to refer to the coercion, control or manipulation of individuals into participating in drug supply for the benefit of others.</w:t>
      </w:r>
    </w:p>
    <w:p w14:paraId="1BA7D22B" w14:textId="406D2853" w:rsidR="00DA1E24" w:rsidRPr="00E634F4" w:rsidRDefault="00DA1E24" w:rsidP="00DA1E24">
      <w:pPr>
        <w:rPr>
          <w:b/>
          <w:bCs/>
        </w:rPr>
      </w:pPr>
      <w:r w:rsidRPr="00E634F4">
        <w:rPr>
          <w:b/>
          <w:bCs/>
        </w:rPr>
        <w:t xml:space="preserve">Methodology – An Exploratory </w:t>
      </w:r>
      <w:r w:rsidR="00C15C98" w:rsidRPr="00E634F4">
        <w:rPr>
          <w:b/>
          <w:bCs/>
        </w:rPr>
        <w:t xml:space="preserve">Qualitative </w:t>
      </w:r>
      <w:r w:rsidRPr="00E634F4">
        <w:rPr>
          <w:b/>
          <w:bCs/>
        </w:rPr>
        <w:t xml:space="preserve">Approach to Understanding </w:t>
      </w:r>
      <w:r w:rsidR="00DD783A" w:rsidRPr="00E634F4">
        <w:rPr>
          <w:b/>
          <w:bCs/>
        </w:rPr>
        <w:t xml:space="preserve">County </w:t>
      </w:r>
      <w:r w:rsidR="0050488E">
        <w:rPr>
          <w:b/>
          <w:bCs/>
        </w:rPr>
        <w:t>L</w:t>
      </w:r>
      <w:r w:rsidR="00DD783A" w:rsidRPr="00E634F4">
        <w:rPr>
          <w:b/>
          <w:bCs/>
        </w:rPr>
        <w:t>ines</w:t>
      </w:r>
      <w:r w:rsidRPr="00E634F4">
        <w:rPr>
          <w:b/>
          <w:bCs/>
        </w:rPr>
        <w:t xml:space="preserve"> Policing and Safeguarding</w:t>
      </w:r>
    </w:p>
    <w:p w14:paraId="12F7AA8D" w14:textId="60F89C02" w:rsidR="00C363C2" w:rsidRDefault="00C363C2" w:rsidP="00DB29EF">
      <w:r w:rsidRPr="00C363C2">
        <w:t xml:space="preserve">The wider project </w:t>
      </w:r>
      <w:r w:rsidR="007E1AA4">
        <w:t>sought</w:t>
      </w:r>
      <w:r>
        <w:t xml:space="preserve"> to answer the research question: </w:t>
      </w:r>
      <w:r w:rsidRPr="00C363C2">
        <w:t xml:space="preserve">how are </w:t>
      </w:r>
      <w:r w:rsidR="00F628A5">
        <w:t xml:space="preserve">vulnerable people involved in county lines </w:t>
      </w:r>
      <w:r w:rsidRPr="00C363C2">
        <w:t>understood and responded to by police</w:t>
      </w:r>
      <w:r w:rsidR="00F628A5">
        <w:t xml:space="preserve"> and</w:t>
      </w:r>
      <w:r w:rsidRPr="00C363C2">
        <w:t xml:space="preserve"> partner agencies</w:t>
      </w:r>
      <w:r w:rsidR="00F628A5">
        <w:t>?</w:t>
      </w:r>
      <w:r w:rsidRPr="00C363C2">
        <w:t xml:space="preserve"> This article draws on the policing and professional data to examine how localised criminal exploitation within county lines and local drug markets is understood and responded to across different force areas.</w:t>
      </w:r>
    </w:p>
    <w:p w14:paraId="65F6BAB8" w14:textId="49862AB9" w:rsidR="007437B2" w:rsidRPr="00025385" w:rsidRDefault="00390F6A" w:rsidP="00DB29EF">
      <w:pPr>
        <w:rPr>
          <w:b/>
          <w:bCs/>
        </w:rPr>
      </w:pPr>
      <w:r w:rsidRPr="00E634F4">
        <w:t>Phase One</w:t>
      </w:r>
      <w:r w:rsidR="00D4639D" w:rsidRPr="00E634F4">
        <w:t xml:space="preserve"> </w:t>
      </w:r>
      <w:r w:rsidR="00A92988" w:rsidRPr="00E634F4">
        <w:t xml:space="preserve">of the study </w:t>
      </w:r>
      <w:r w:rsidR="00D4639D" w:rsidRPr="00E634F4">
        <w:t xml:space="preserve">consisted of semi-structured interviews with Senior Police Officers from 44 of the 45 territorial </w:t>
      </w:r>
      <w:r w:rsidR="008B0271">
        <w:t>p</w:t>
      </w:r>
      <w:r w:rsidR="00DB29EF" w:rsidRPr="00E634F4">
        <w:t xml:space="preserve">olice </w:t>
      </w:r>
      <w:r w:rsidR="008B0271">
        <w:t>f</w:t>
      </w:r>
      <w:r w:rsidR="00DB29EF" w:rsidRPr="00E634F4">
        <w:t>orces and other key partners</w:t>
      </w:r>
      <w:r w:rsidR="007437B2" w:rsidRPr="00E634F4">
        <w:t xml:space="preserve">, </w:t>
      </w:r>
      <w:r w:rsidR="00DB29EF" w:rsidRPr="00E634F4">
        <w:t>focusing on structural, procedural, and safeguarding challenges</w:t>
      </w:r>
      <w:r w:rsidR="007437B2" w:rsidRPr="00E634F4">
        <w:t>.</w:t>
      </w:r>
      <w:r w:rsidR="00DB29EF" w:rsidRPr="00E634F4">
        <w:t xml:space="preserve"> Freedom of Information</w:t>
      </w:r>
      <w:r w:rsidR="00467FB7" w:rsidRPr="00E634F4">
        <w:t xml:space="preserve"> (FOI)</w:t>
      </w:r>
      <w:r w:rsidR="00DB29EF" w:rsidRPr="00E634F4">
        <w:t xml:space="preserve"> requests were sent to </w:t>
      </w:r>
      <w:r w:rsidR="007437B2" w:rsidRPr="00E634F4">
        <w:t xml:space="preserve">44 </w:t>
      </w:r>
      <w:r w:rsidR="00467FB7" w:rsidRPr="00E634F4">
        <w:t xml:space="preserve">Police Forces, with a </w:t>
      </w:r>
      <w:r w:rsidR="007437B2" w:rsidRPr="00E634F4">
        <w:t xml:space="preserve">91% </w:t>
      </w:r>
      <w:r w:rsidR="00467FB7" w:rsidRPr="00E634F4">
        <w:t>response rate. The combination of the semi-structured interview</w:t>
      </w:r>
      <w:r w:rsidR="005F7E40" w:rsidRPr="00E634F4">
        <w:t>s</w:t>
      </w:r>
      <w:r w:rsidR="00467FB7" w:rsidRPr="00E634F4">
        <w:t xml:space="preserve"> and the FOIs</w:t>
      </w:r>
      <w:r w:rsidR="007437B2" w:rsidRPr="00E634F4">
        <w:t xml:space="preserve"> </w:t>
      </w:r>
      <w:r w:rsidR="00B30F1B" w:rsidRPr="00E634F4">
        <w:t>provided</w:t>
      </w:r>
      <w:r w:rsidR="00C22D2F" w:rsidRPr="00E634F4">
        <w:t xml:space="preserve"> deep narrative data on the strategies around enforcement and safeguarding, as well as </w:t>
      </w:r>
      <w:r w:rsidR="00570B0E" w:rsidRPr="00E634F4">
        <w:t>standardised data on safeguarding procedures and multi-agency partnerships</w:t>
      </w:r>
      <w:r w:rsidR="007437B2" w:rsidRPr="00E634F4">
        <w:t>.</w:t>
      </w:r>
      <w:r w:rsidR="007B4EE4">
        <w:t xml:space="preserve"> </w:t>
      </w:r>
      <w:r w:rsidR="00463251" w:rsidRPr="00025385">
        <w:t>T</w:t>
      </w:r>
      <w:r w:rsidR="007B4EE4" w:rsidRPr="00226964">
        <w:t>he interviews constituted the primary qualitative dataset, while FOI responses were used as contextual material</w:t>
      </w:r>
      <w:r w:rsidR="00226964" w:rsidRPr="00025385">
        <w:t>.</w:t>
      </w:r>
    </w:p>
    <w:p w14:paraId="77E7CEB7" w14:textId="28E24896" w:rsidR="007437B2" w:rsidRDefault="00094D75" w:rsidP="007437B2">
      <w:r w:rsidRPr="00094D75">
        <w:t>Phase Two involved ‘rapid appraisals’ where the research team visited three anonymised police force areas to interview police officers, safeguarding professionals, commissioned services, drug service workers and other partner agency representatives, alongside observational fieldwork such as police ride-</w:t>
      </w:r>
      <w:proofErr w:type="spellStart"/>
      <w:r w:rsidRPr="00094D75">
        <w:t>alongs</w:t>
      </w:r>
      <w:proofErr w:type="spellEnd"/>
      <w:r w:rsidRPr="00094D75">
        <w:t>.</w:t>
      </w:r>
      <w:r w:rsidR="0012550B" w:rsidRPr="00E634F4">
        <w:t xml:space="preserve"> Across the three rapid appraisal</w:t>
      </w:r>
      <w:r w:rsidR="00174924" w:rsidRPr="00E634F4">
        <w:t xml:space="preserve"> sites</w:t>
      </w:r>
      <w:r w:rsidR="0012550B" w:rsidRPr="00E634F4">
        <w:t>, 17 people with lived experience (PWLE) participated, recruited through local support services, including directly exploited individuals and family members.</w:t>
      </w:r>
      <w:r w:rsidR="00780A12" w:rsidRPr="00E634F4">
        <w:t xml:space="preserve"> </w:t>
      </w:r>
      <w:r w:rsidR="00E96E88" w:rsidRPr="00E634F4">
        <w:t xml:space="preserve">The research team were supported by </w:t>
      </w:r>
      <w:r w:rsidR="00E853C4" w:rsidRPr="00E634F4">
        <w:t xml:space="preserve">a charity </w:t>
      </w:r>
      <w:r w:rsidR="00930CAC" w:rsidRPr="00E634F4">
        <w:t xml:space="preserve">(Revolving Doors) </w:t>
      </w:r>
      <w:r w:rsidR="00E853C4" w:rsidRPr="00E634F4">
        <w:t xml:space="preserve">which facilitated </w:t>
      </w:r>
      <w:r w:rsidR="00E96E88" w:rsidRPr="00E634F4">
        <w:t>an ‘e</w:t>
      </w:r>
      <w:r w:rsidR="00780A12" w:rsidRPr="00E634F4">
        <w:t>xperts by experience</w:t>
      </w:r>
      <w:r w:rsidR="00E853C4" w:rsidRPr="00E634F4">
        <w:t xml:space="preserve">’ group who provided valued assistance on the </w:t>
      </w:r>
      <w:r w:rsidR="00780A12" w:rsidRPr="00E634F4">
        <w:t>research design, data collection, and analysis to ensure sensitivity and alignment with</w:t>
      </w:r>
      <w:r w:rsidR="00E853C4" w:rsidRPr="00E634F4">
        <w:t xml:space="preserve"> their</w:t>
      </w:r>
      <w:r w:rsidR="00780A12" w:rsidRPr="00E634F4">
        <w:t xml:space="preserve"> lived realities. </w:t>
      </w:r>
      <w:r w:rsidR="0024273F" w:rsidRPr="00E634F4">
        <w:t xml:space="preserve">Further, after generating the key themes of the </w:t>
      </w:r>
      <w:r w:rsidR="001F14AA" w:rsidRPr="00E634F4">
        <w:t xml:space="preserve">data, a </w:t>
      </w:r>
      <w:r w:rsidR="00780A12" w:rsidRPr="00E634F4">
        <w:t>co-analysis workshop helped validate findings and recommendations.</w:t>
      </w:r>
    </w:p>
    <w:p w14:paraId="5C7A7650" w14:textId="1152640A" w:rsidR="00DD133A" w:rsidRPr="008534CE" w:rsidRDefault="00DD133A" w:rsidP="00DD133A">
      <w:pPr>
        <w:jc w:val="center"/>
        <w:rPr>
          <w:u w:val="single"/>
        </w:rPr>
      </w:pPr>
      <w:r w:rsidRPr="008534CE">
        <w:rPr>
          <w:u w:val="single"/>
        </w:rPr>
        <w:t xml:space="preserve">Table </w:t>
      </w:r>
      <w:r>
        <w:rPr>
          <w:u w:val="single"/>
        </w:rPr>
        <w:t>1</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939"/>
        <w:gridCol w:w="1107"/>
        <w:gridCol w:w="1691"/>
      </w:tblGrid>
      <w:tr w:rsidR="00BA1AEC" w:rsidRPr="00BA1AEC" w14:paraId="08248121" w14:textId="77777777" w:rsidTr="00AF7610">
        <w:trPr>
          <w:tblHeader/>
          <w:tblCellSpacing w:w="15" w:type="dxa"/>
        </w:trPr>
        <w:tc>
          <w:tcPr>
            <w:tcW w:w="0" w:type="auto"/>
            <w:vAlign w:val="center"/>
            <w:hideMark/>
          </w:tcPr>
          <w:p w14:paraId="6386F0FD" w14:textId="77777777" w:rsidR="00BA1AEC" w:rsidRPr="00BA1AEC" w:rsidRDefault="00BA1AEC" w:rsidP="00BA1AEC">
            <w:pPr>
              <w:rPr>
                <w:b/>
                <w:bCs/>
              </w:rPr>
            </w:pPr>
            <w:r w:rsidRPr="00BA1AEC">
              <w:rPr>
                <w:b/>
                <w:bCs/>
              </w:rPr>
              <w:t>Participant/data category</w:t>
            </w:r>
          </w:p>
        </w:tc>
        <w:tc>
          <w:tcPr>
            <w:tcW w:w="0" w:type="auto"/>
            <w:vAlign w:val="center"/>
            <w:hideMark/>
          </w:tcPr>
          <w:p w14:paraId="4AD8170A" w14:textId="77777777" w:rsidR="00BA1AEC" w:rsidRPr="00BA1AEC" w:rsidRDefault="00BA1AEC" w:rsidP="00BA1AEC">
            <w:pPr>
              <w:rPr>
                <w:b/>
                <w:bCs/>
              </w:rPr>
            </w:pPr>
            <w:r w:rsidRPr="00BA1AEC">
              <w:rPr>
                <w:b/>
                <w:bCs/>
              </w:rPr>
              <w:t>Phase</w:t>
            </w:r>
          </w:p>
        </w:tc>
        <w:tc>
          <w:tcPr>
            <w:tcW w:w="0" w:type="auto"/>
            <w:vAlign w:val="center"/>
            <w:hideMark/>
          </w:tcPr>
          <w:p w14:paraId="5EF8C182" w14:textId="77777777" w:rsidR="00BA1AEC" w:rsidRPr="00BA1AEC" w:rsidRDefault="00BA1AEC" w:rsidP="00BA1AEC">
            <w:pPr>
              <w:rPr>
                <w:b/>
                <w:bCs/>
              </w:rPr>
            </w:pPr>
            <w:r w:rsidRPr="00BA1AEC">
              <w:rPr>
                <w:b/>
                <w:bCs/>
              </w:rPr>
              <w:t>Number</w:t>
            </w:r>
          </w:p>
        </w:tc>
      </w:tr>
      <w:tr w:rsidR="00BA1AEC" w:rsidRPr="00BA1AEC" w14:paraId="06E91E7D" w14:textId="77777777" w:rsidTr="00AF7610">
        <w:trPr>
          <w:tblCellSpacing w:w="15" w:type="dxa"/>
        </w:trPr>
        <w:tc>
          <w:tcPr>
            <w:tcW w:w="0" w:type="auto"/>
            <w:vAlign w:val="center"/>
            <w:hideMark/>
          </w:tcPr>
          <w:p w14:paraId="7B7A8DDA" w14:textId="77777777" w:rsidR="00BA1AEC" w:rsidRPr="00BA1AEC" w:rsidRDefault="00BA1AEC" w:rsidP="00BA1AEC">
            <w:r w:rsidRPr="00BA1AEC">
              <w:t>Police/key person interviews across UK police forces</w:t>
            </w:r>
          </w:p>
        </w:tc>
        <w:tc>
          <w:tcPr>
            <w:tcW w:w="0" w:type="auto"/>
            <w:vAlign w:val="center"/>
            <w:hideMark/>
          </w:tcPr>
          <w:p w14:paraId="27A0CD3F" w14:textId="77777777" w:rsidR="00BA1AEC" w:rsidRPr="00BA1AEC" w:rsidRDefault="00BA1AEC" w:rsidP="00BA1AEC">
            <w:r w:rsidRPr="00BA1AEC">
              <w:t>Phase One</w:t>
            </w:r>
          </w:p>
        </w:tc>
        <w:tc>
          <w:tcPr>
            <w:tcW w:w="0" w:type="auto"/>
            <w:vAlign w:val="center"/>
            <w:hideMark/>
          </w:tcPr>
          <w:p w14:paraId="5EEEB6D6" w14:textId="1517322E" w:rsidR="00BA1AEC" w:rsidRPr="00BA1AEC" w:rsidRDefault="00BA1AEC" w:rsidP="00BA1AEC">
            <w:r w:rsidRPr="00BA1AEC">
              <w:t>50 interview</w:t>
            </w:r>
            <w:r w:rsidR="00FE7C1A">
              <w:t>ee</w:t>
            </w:r>
            <w:r w:rsidRPr="00BA1AEC">
              <w:t>s</w:t>
            </w:r>
          </w:p>
        </w:tc>
      </w:tr>
      <w:tr w:rsidR="00BA1AEC" w:rsidRPr="00BA1AEC" w14:paraId="35DACC4B" w14:textId="77777777" w:rsidTr="00AF7610">
        <w:trPr>
          <w:tblCellSpacing w:w="15" w:type="dxa"/>
        </w:trPr>
        <w:tc>
          <w:tcPr>
            <w:tcW w:w="0" w:type="auto"/>
            <w:vAlign w:val="center"/>
            <w:hideMark/>
          </w:tcPr>
          <w:p w14:paraId="384366B8" w14:textId="77777777" w:rsidR="00BA1AEC" w:rsidRPr="00BA1AEC" w:rsidRDefault="00BA1AEC" w:rsidP="00BA1AEC">
            <w:r w:rsidRPr="00BA1AEC">
              <w:t>Police and professional interviews across rapid appraisal sites</w:t>
            </w:r>
          </w:p>
        </w:tc>
        <w:tc>
          <w:tcPr>
            <w:tcW w:w="0" w:type="auto"/>
            <w:vAlign w:val="center"/>
            <w:hideMark/>
          </w:tcPr>
          <w:p w14:paraId="0CC87B5C" w14:textId="77777777" w:rsidR="00BA1AEC" w:rsidRPr="00BA1AEC" w:rsidRDefault="00BA1AEC" w:rsidP="00BA1AEC">
            <w:r w:rsidRPr="00BA1AEC">
              <w:t>Phase Two</w:t>
            </w:r>
          </w:p>
        </w:tc>
        <w:tc>
          <w:tcPr>
            <w:tcW w:w="0" w:type="auto"/>
            <w:vAlign w:val="center"/>
            <w:hideMark/>
          </w:tcPr>
          <w:p w14:paraId="02313C16" w14:textId="785B4BBB" w:rsidR="00BA1AEC" w:rsidRPr="00BA1AEC" w:rsidRDefault="000E38D1" w:rsidP="00BA1AEC">
            <w:r>
              <w:t>41</w:t>
            </w:r>
            <w:r w:rsidR="00BA1AEC" w:rsidRPr="00BA1AEC">
              <w:t xml:space="preserve"> interview</w:t>
            </w:r>
            <w:r w:rsidR="00FE7C1A">
              <w:t>ee</w:t>
            </w:r>
            <w:r w:rsidR="00BA1AEC" w:rsidRPr="00BA1AEC">
              <w:t>s</w:t>
            </w:r>
          </w:p>
        </w:tc>
      </w:tr>
      <w:tr w:rsidR="00BA1AEC" w:rsidRPr="00BA1AEC" w14:paraId="122BF12A" w14:textId="77777777" w:rsidTr="00AF7610">
        <w:trPr>
          <w:tblCellSpacing w:w="15" w:type="dxa"/>
        </w:trPr>
        <w:tc>
          <w:tcPr>
            <w:tcW w:w="0" w:type="auto"/>
            <w:vAlign w:val="center"/>
            <w:hideMark/>
          </w:tcPr>
          <w:p w14:paraId="25DC2AD9" w14:textId="77777777" w:rsidR="00BA1AEC" w:rsidRPr="00BA1AEC" w:rsidRDefault="00BA1AEC" w:rsidP="00BA1AEC">
            <w:r w:rsidRPr="00BA1AEC">
              <w:t>People with lived experience</w:t>
            </w:r>
          </w:p>
        </w:tc>
        <w:tc>
          <w:tcPr>
            <w:tcW w:w="0" w:type="auto"/>
            <w:vAlign w:val="center"/>
            <w:hideMark/>
          </w:tcPr>
          <w:p w14:paraId="0A6489E5" w14:textId="77777777" w:rsidR="00BA1AEC" w:rsidRPr="00BA1AEC" w:rsidRDefault="00BA1AEC" w:rsidP="00BA1AEC">
            <w:r w:rsidRPr="00BA1AEC">
              <w:t>Phase Two</w:t>
            </w:r>
          </w:p>
        </w:tc>
        <w:tc>
          <w:tcPr>
            <w:tcW w:w="0" w:type="auto"/>
            <w:vAlign w:val="center"/>
            <w:hideMark/>
          </w:tcPr>
          <w:p w14:paraId="4E0ADF79" w14:textId="470785E4" w:rsidR="00BA1AEC" w:rsidRPr="00BA1AEC" w:rsidRDefault="00BA1AEC" w:rsidP="00BA1AEC">
            <w:r w:rsidRPr="00BA1AEC">
              <w:t>17 interview</w:t>
            </w:r>
            <w:r w:rsidR="00FE7C1A">
              <w:t>ee</w:t>
            </w:r>
            <w:r w:rsidRPr="00BA1AEC">
              <w:t>s</w:t>
            </w:r>
          </w:p>
        </w:tc>
      </w:tr>
      <w:tr w:rsidR="00BA1AEC" w:rsidRPr="00BA1AEC" w14:paraId="52EA4A16" w14:textId="77777777" w:rsidTr="00AF7610">
        <w:trPr>
          <w:tblCellSpacing w:w="15" w:type="dxa"/>
        </w:trPr>
        <w:tc>
          <w:tcPr>
            <w:tcW w:w="0" w:type="auto"/>
            <w:vAlign w:val="center"/>
            <w:hideMark/>
          </w:tcPr>
          <w:p w14:paraId="3ACF8152" w14:textId="0CBA4CB3" w:rsidR="00BA1AEC" w:rsidRPr="00BA1AEC" w:rsidRDefault="00A0250B" w:rsidP="00BA1AEC">
            <w:r>
              <w:lastRenderedPageBreak/>
              <w:t>Key national stakeholders</w:t>
            </w:r>
          </w:p>
        </w:tc>
        <w:tc>
          <w:tcPr>
            <w:tcW w:w="0" w:type="auto"/>
            <w:vAlign w:val="center"/>
            <w:hideMark/>
          </w:tcPr>
          <w:p w14:paraId="45A0EEF2" w14:textId="77777777" w:rsidR="00BA1AEC" w:rsidRPr="00BA1AEC" w:rsidRDefault="00BA1AEC" w:rsidP="00BA1AEC">
            <w:r w:rsidRPr="00BA1AEC">
              <w:t>Additional</w:t>
            </w:r>
          </w:p>
        </w:tc>
        <w:tc>
          <w:tcPr>
            <w:tcW w:w="0" w:type="auto"/>
            <w:vAlign w:val="center"/>
            <w:hideMark/>
          </w:tcPr>
          <w:p w14:paraId="49FB90AE" w14:textId="1DE94D74" w:rsidR="00BA1AEC" w:rsidRPr="00BA1AEC" w:rsidRDefault="00BA1AEC" w:rsidP="00BA1AEC">
            <w:r w:rsidRPr="00BA1AEC">
              <w:t>9 interview</w:t>
            </w:r>
            <w:r w:rsidR="00FE7C1A">
              <w:t>ees</w:t>
            </w:r>
          </w:p>
        </w:tc>
      </w:tr>
      <w:tr w:rsidR="00BA1AEC" w:rsidRPr="00025385" w14:paraId="7192CF04" w14:textId="77777777" w:rsidTr="00AF7610">
        <w:trPr>
          <w:tblCellSpacing w:w="15" w:type="dxa"/>
        </w:trPr>
        <w:tc>
          <w:tcPr>
            <w:tcW w:w="0" w:type="auto"/>
            <w:vAlign w:val="center"/>
            <w:hideMark/>
          </w:tcPr>
          <w:p w14:paraId="012916E5" w14:textId="77777777" w:rsidR="00BA1AEC" w:rsidRPr="00025385" w:rsidRDefault="00BA1AEC" w:rsidP="00BA1AEC">
            <w:r w:rsidRPr="00025385">
              <w:t>Total interviews</w:t>
            </w:r>
          </w:p>
        </w:tc>
        <w:tc>
          <w:tcPr>
            <w:tcW w:w="0" w:type="auto"/>
            <w:vAlign w:val="center"/>
            <w:hideMark/>
          </w:tcPr>
          <w:p w14:paraId="20600E0F" w14:textId="77777777" w:rsidR="00BA1AEC" w:rsidRPr="00025385" w:rsidRDefault="00BA1AEC" w:rsidP="00BA1AEC"/>
        </w:tc>
        <w:tc>
          <w:tcPr>
            <w:tcW w:w="0" w:type="auto"/>
            <w:vAlign w:val="center"/>
            <w:hideMark/>
          </w:tcPr>
          <w:p w14:paraId="20081824" w14:textId="43D01C56" w:rsidR="00BA1AEC" w:rsidRPr="00025385" w:rsidRDefault="00BA1AEC" w:rsidP="00BA1AEC">
            <w:r w:rsidRPr="00025385">
              <w:t>117 interview</w:t>
            </w:r>
            <w:r w:rsidR="00FE7C1A">
              <w:t>ees</w:t>
            </w:r>
          </w:p>
        </w:tc>
      </w:tr>
    </w:tbl>
    <w:p w14:paraId="251EF978" w14:textId="77777777" w:rsidR="00BA1AEC" w:rsidRDefault="00BA1AEC" w:rsidP="007437B2"/>
    <w:p w14:paraId="43D35C59" w14:textId="77777777" w:rsidR="00722643" w:rsidRPr="00E634F4" w:rsidRDefault="00722643" w:rsidP="007437B2"/>
    <w:p w14:paraId="12F22816" w14:textId="59FD16B2" w:rsidR="007437B2" w:rsidRPr="00E634F4" w:rsidRDefault="007D5D58" w:rsidP="00EA420A">
      <w:r w:rsidRPr="007D5D58">
        <w:t xml:space="preserve">Data were </w:t>
      </w:r>
      <w:r w:rsidR="00427378">
        <w:t xml:space="preserve">inductively </w:t>
      </w:r>
      <w:r>
        <w:t>analysed</w:t>
      </w:r>
      <w:r w:rsidR="000B3687">
        <w:t xml:space="preserve"> to identify the primary and sub-themes</w:t>
      </w:r>
      <w:r w:rsidR="00427378">
        <w:t xml:space="preserve">, utilising the thematic approach </w:t>
      </w:r>
      <w:r w:rsidR="00551241">
        <w:t>recommended by Braun and Clarke (2006)</w:t>
      </w:r>
      <w:r w:rsidR="000B3687">
        <w:t xml:space="preserve">. </w:t>
      </w:r>
      <w:r w:rsidR="00300053" w:rsidRPr="00300053">
        <w:t>The analysis involved familiarisation with interview transcripts, followed by the generation of initial codes relating to policing practice, safeguarding, exploitation, local drug markets, vulnerability, partnership working and resource constraints. These codes were then reviewed and grouped into broader themes and sub-themes through an iterative process of comparison across police force areas, professional roles and local contexts. Emerging themes were refined through team discussions and, where relevant, through comparison with insights from the experts by experience group and co-analysis workshop. The analysis was inductive in the sense that initial codes and themes were developed through close engagement with the data, rather than being generated from a pre-existing PHC coding framework. PHC was introduced at a later interpretive stage to make sense of emergent themes concerning vulnerability, place, prevention, safeguarding, resource distribution and institutional capacity. In this way, PHC informed the conceptual interpretation of the findings, rather than determining the initial coding process.</w:t>
      </w:r>
      <w:r w:rsidR="006046CA">
        <w:t xml:space="preserve"> </w:t>
      </w:r>
      <w:r w:rsidR="000B3687">
        <w:t xml:space="preserve">Ethical approval for the research was granted by the </w:t>
      </w:r>
      <w:r w:rsidR="000B3687" w:rsidRPr="00EA420A">
        <w:t>University of York</w:t>
      </w:r>
      <w:r w:rsidR="002021CD">
        <w:t xml:space="preserve"> (</w:t>
      </w:r>
      <w:r w:rsidR="002021CD" w:rsidRPr="002021CD">
        <w:t>SPSW/S/22/11</w:t>
      </w:r>
      <w:r w:rsidR="002021CD">
        <w:t>)</w:t>
      </w:r>
      <w:r w:rsidR="002E0146" w:rsidRPr="00EA420A">
        <w:t xml:space="preserve">. Interviewees with lived experience of county lines each received </w:t>
      </w:r>
      <w:r w:rsidR="00EA420A" w:rsidRPr="00EA420A">
        <w:t xml:space="preserve">a £30 cash honorarium, </w:t>
      </w:r>
      <w:r w:rsidR="000A5CC8" w:rsidRPr="00EA420A">
        <w:t>and support measures were in place for discussing traumatic topics.</w:t>
      </w:r>
    </w:p>
    <w:p w14:paraId="56C1ED9F" w14:textId="4A4208CD" w:rsidR="00E70DD2" w:rsidRPr="00E634F4" w:rsidRDefault="000C62B9" w:rsidP="00E70DD2">
      <w:r w:rsidRPr="00E634F4">
        <w:t xml:space="preserve">To present the </w:t>
      </w:r>
      <w:r w:rsidR="00C0790D" w:rsidRPr="00E634F4">
        <w:t xml:space="preserve">variations in the size and structure of </w:t>
      </w:r>
      <w:r w:rsidR="008614D9" w:rsidRPr="00E634F4">
        <w:t>p</w:t>
      </w:r>
      <w:r w:rsidR="00C0790D" w:rsidRPr="00E634F4">
        <w:t>olice</w:t>
      </w:r>
      <w:r w:rsidR="008614D9" w:rsidRPr="00E634F4">
        <w:t xml:space="preserve"> f</w:t>
      </w:r>
      <w:r w:rsidR="00C0790D" w:rsidRPr="00E634F4">
        <w:t xml:space="preserve">orces, this study developed a typology to </w:t>
      </w:r>
      <w:r w:rsidR="00464746" w:rsidRPr="00E634F4">
        <w:t>categorise forces by the size and population composition.</w:t>
      </w:r>
      <w:r w:rsidRPr="00E634F4">
        <w:t xml:space="preserve"> </w:t>
      </w:r>
      <w:r w:rsidR="00EA420A">
        <w:t xml:space="preserve">Each </w:t>
      </w:r>
      <w:r w:rsidR="00234391">
        <w:t xml:space="preserve">police force was categorised as </w:t>
      </w:r>
      <w:r w:rsidRPr="00294E8B">
        <w:t>small (&lt;</w:t>
      </w:r>
      <w:r w:rsidR="00682F1B" w:rsidRPr="00294E8B">
        <w:t>2,000</w:t>
      </w:r>
      <w:r w:rsidRPr="00294E8B">
        <w:t xml:space="preserve"> officers), medium (</w:t>
      </w:r>
      <w:r w:rsidR="006C099C" w:rsidRPr="00294E8B">
        <w:t>2,000</w:t>
      </w:r>
      <w:r w:rsidRPr="00294E8B">
        <w:t>–</w:t>
      </w:r>
      <w:r w:rsidR="006C099C" w:rsidRPr="00294E8B">
        <w:t>4</w:t>
      </w:r>
      <w:r w:rsidRPr="00294E8B">
        <w:t>,000 officers), or large (&gt;</w:t>
      </w:r>
      <w:r w:rsidR="006C099C" w:rsidRPr="00294E8B">
        <w:t>4</w:t>
      </w:r>
      <w:r w:rsidRPr="00294E8B">
        <w:t xml:space="preserve">,000 officers). </w:t>
      </w:r>
      <w:r w:rsidR="00234391" w:rsidRPr="00294E8B">
        <w:t xml:space="preserve">Furthermore, a </w:t>
      </w:r>
      <w:r w:rsidR="00961236" w:rsidRPr="00294E8B">
        <w:t xml:space="preserve">rural-urban typology was created and applied using </w:t>
      </w:r>
      <w:r w:rsidRPr="00294E8B">
        <w:t>Local Authority District (LAD) characteristics within each force area</w:t>
      </w:r>
      <w:r w:rsidR="00595205" w:rsidRPr="00294E8B">
        <w:t xml:space="preserve">. Police force areas were defined as ‘urban’ </w:t>
      </w:r>
      <w:r w:rsidRPr="00294E8B">
        <w:t xml:space="preserve">if over 75% of LADs were urban, </w:t>
      </w:r>
      <w:r w:rsidR="00595205" w:rsidRPr="00294E8B">
        <w:t>‘</w:t>
      </w:r>
      <w:r w:rsidRPr="00294E8B">
        <w:t>rural</w:t>
      </w:r>
      <w:r w:rsidR="00595205" w:rsidRPr="00294E8B">
        <w:t>’</w:t>
      </w:r>
      <w:r w:rsidRPr="00294E8B">
        <w:t xml:space="preserve"> if over 60% were rural, and mixed for all other combinations. </w:t>
      </w:r>
      <w:r w:rsidR="00E70DD2" w:rsidRPr="00294E8B">
        <w:t>These classifications follow the Office for National Statistics (ONS) Rural–Urban Category for LADs, which designates areas based on population density and settlement size. This</w:t>
      </w:r>
      <w:r w:rsidR="00E70DD2" w:rsidRPr="00E634F4">
        <w:t xml:space="preserve"> dual classification enabled analysis of how force capacity and geographic context shape approaches to county lines policing (see </w:t>
      </w:r>
      <w:r w:rsidR="00C45AEB">
        <w:t>T</w:t>
      </w:r>
      <w:r w:rsidR="00E70DD2" w:rsidRPr="00E634F4">
        <w:t>able</w:t>
      </w:r>
      <w:r w:rsidR="00C45AEB">
        <w:t>s</w:t>
      </w:r>
      <w:r w:rsidR="00E70DD2" w:rsidRPr="00E634F4">
        <w:t xml:space="preserve"> </w:t>
      </w:r>
      <w:r w:rsidR="00C45AEB">
        <w:t>2 and 3</w:t>
      </w:r>
      <w:r w:rsidR="00E70DD2" w:rsidRPr="00E634F4">
        <w:t>).</w:t>
      </w:r>
    </w:p>
    <w:p w14:paraId="79C93A9C" w14:textId="633988ED" w:rsidR="00EC3868" w:rsidRPr="00025385" w:rsidRDefault="007302D5" w:rsidP="00595205">
      <w:r w:rsidRPr="00025385">
        <w:t>This typology</w:t>
      </w:r>
      <w:r w:rsidR="00036BAC" w:rsidRPr="00025385">
        <w:t xml:space="preserve"> is useful to understand how areas respond to </w:t>
      </w:r>
      <w:r w:rsidR="00D442CE">
        <w:t>c</w:t>
      </w:r>
      <w:r w:rsidR="00036BAC" w:rsidRPr="00025385">
        <w:t xml:space="preserve">ounty </w:t>
      </w:r>
      <w:r w:rsidR="00D442CE">
        <w:t>l</w:t>
      </w:r>
      <w:r w:rsidR="00036BAC" w:rsidRPr="00025385">
        <w:t xml:space="preserve">ines, </w:t>
      </w:r>
      <w:r w:rsidR="00C74C66" w:rsidRPr="00025385">
        <w:t xml:space="preserve">but it has limitations. Police forces are large and </w:t>
      </w:r>
      <w:r w:rsidR="00AC1F03" w:rsidRPr="00025385">
        <w:t xml:space="preserve">socioeconomically </w:t>
      </w:r>
      <w:r w:rsidR="00E45506" w:rsidRPr="00025385">
        <w:t>diverse;</w:t>
      </w:r>
      <w:r w:rsidR="00AC1F03" w:rsidRPr="00025385">
        <w:t xml:space="preserve"> hence, this </w:t>
      </w:r>
      <w:r w:rsidR="003628AC" w:rsidRPr="00025385">
        <w:t>typology</w:t>
      </w:r>
      <w:r w:rsidR="00AC1F03" w:rsidRPr="00025385">
        <w:t xml:space="preserve"> </w:t>
      </w:r>
      <w:r w:rsidR="003628AC" w:rsidRPr="00025385">
        <w:t>hides significant local-level variations within areas.</w:t>
      </w:r>
      <w:r w:rsidR="000A0244" w:rsidRPr="00025385">
        <w:t xml:space="preserve"> Also, the LAD-level classifications (rural/urban) are similarly b</w:t>
      </w:r>
      <w:r w:rsidR="00190991" w:rsidRPr="00025385">
        <w:t xml:space="preserve">road as to blur differences between </w:t>
      </w:r>
      <w:r w:rsidR="001801FB" w:rsidRPr="00025385">
        <w:t>remote rural, coastal, small-town and urban places.</w:t>
      </w:r>
      <w:r w:rsidR="0023420F" w:rsidRPr="00025385">
        <w:t xml:space="preserve"> </w:t>
      </w:r>
      <w:r w:rsidR="00EC3868" w:rsidRPr="00025385">
        <w:t xml:space="preserve">Coastal areas were treated as a cross-cutting place characteristic rather than a formal typology </w:t>
      </w:r>
      <w:r w:rsidR="00B545F4" w:rsidRPr="00025385">
        <w:t>category because</w:t>
      </w:r>
      <w:r w:rsidR="00EC3868" w:rsidRPr="00025385">
        <w:t xml:space="preserve"> they may fall within rural, urban or mixed force areas and can combine seasonal economies, deprivation, transport connectivity, housing precarity and variable service capacity.</w:t>
      </w:r>
    </w:p>
    <w:p w14:paraId="46DFE4B6" w14:textId="4FE28579" w:rsidR="004C6E9F" w:rsidRPr="008534CE" w:rsidRDefault="004C6E9F" w:rsidP="004C6E9F">
      <w:pPr>
        <w:jc w:val="center"/>
        <w:rPr>
          <w:u w:val="single"/>
        </w:rPr>
      </w:pPr>
      <w:r w:rsidRPr="008534CE">
        <w:rPr>
          <w:u w:val="single"/>
        </w:rPr>
        <w:t xml:space="preserve">Table </w:t>
      </w:r>
      <w:r w:rsidR="00DD133A">
        <w:rPr>
          <w:u w:val="single"/>
        </w:rPr>
        <w:t>2</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2409"/>
        <w:gridCol w:w="3828"/>
      </w:tblGrid>
      <w:tr w:rsidR="008534CE" w:rsidRPr="008534CE" w14:paraId="63FA5A05" w14:textId="77777777" w:rsidTr="008534CE">
        <w:trPr>
          <w:trHeight w:val="20"/>
        </w:trPr>
        <w:tc>
          <w:tcPr>
            <w:tcW w:w="2689" w:type="dxa"/>
            <w:vAlign w:val="center"/>
            <w:hideMark/>
          </w:tcPr>
          <w:p w14:paraId="1DFFAEF5" w14:textId="77777777" w:rsidR="008534CE" w:rsidRPr="008534CE" w:rsidRDefault="008534CE" w:rsidP="00957EF9">
            <w:pPr>
              <w:spacing w:after="0" w:line="240" w:lineRule="auto"/>
              <w:jc w:val="center"/>
              <w:rPr>
                <w:rFonts w:eastAsia="Times New Roman" w:cs="Times New Roman"/>
                <w:b/>
                <w:bCs/>
                <w:color w:val="000000"/>
                <w:kern w:val="0"/>
                <w:lang w:eastAsia="en-GB"/>
                <w14:ligatures w14:val="none"/>
              </w:rPr>
            </w:pPr>
            <w:r w:rsidRPr="008534CE">
              <w:rPr>
                <w:rFonts w:eastAsia="Times New Roman" w:cs="Times New Roman"/>
                <w:b/>
                <w:bCs/>
                <w:color w:val="000000"/>
                <w:kern w:val="0"/>
                <w:lang w:eastAsia="en-GB"/>
                <w14:ligatures w14:val="none"/>
              </w:rPr>
              <w:t>Dimension</w:t>
            </w:r>
          </w:p>
        </w:tc>
        <w:tc>
          <w:tcPr>
            <w:tcW w:w="2409" w:type="dxa"/>
            <w:vAlign w:val="center"/>
            <w:hideMark/>
          </w:tcPr>
          <w:p w14:paraId="74E7A7E5" w14:textId="77777777" w:rsidR="008534CE" w:rsidRPr="008534CE" w:rsidRDefault="008534CE" w:rsidP="00957EF9">
            <w:pPr>
              <w:spacing w:after="0" w:line="240" w:lineRule="auto"/>
              <w:jc w:val="center"/>
              <w:rPr>
                <w:rFonts w:eastAsia="Times New Roman" w:cs="Times New Roman"/>
                <w:b/>
                <w:bCs/>
                <w:color w:val="000000"/>
                <w:kern w:val="0"/>
                <w:lang w:eastAsia="en-GB"/>
                <w14:ligatures w14:val="none"/>
              </w:rPr>
            </w:pPr>
            <w:r w:rsidRPr="008534CE">
              <w:rPr>
                <w:rFonts w:eastAsia="Times New Roman" w:cs="Times New Roman"/>
                <w:b/>
                <w:bCs/>
                <w:color w:val="000000"/>
                <w:kern w:val="0"/>
                <w:lang w:eastAsia="en-GB"/>
                <w14:ligatures w14:val="none"/>
              </w:rPr>
              <w:t>Category</w:t>
            </w:r>
          </w:p>
        </w:tc>
        <w:tc>
          <w:tcPr>
            <w:tcW w:w="3828" w:type="dxa"/>
            <w:vAlign w:val="center"/>
            <w:hideMark/>
          </w:tcPr>
          <w:p w14:paraId="7620F38D" w14:textId="77777777" w:rsidR="008534CE" w:rsidRPr="008534CE" w:rsidRDefault="008534CE" w:rsidP="00957EF9">
            <w:pPr>
              <w:spacing w:after="0" w:line="240" w:lineRule="auto"/>
              <w:jc w:val="center"/>
              <w:rPr>
                <w:rFonts w:eastAsia="Times New Roman" w:cs="Times New Roman"/>
                <w:b/>
                <w:bCs/>
                <w:color w:val="000000"/>
                <w:kern w:val="0"/>
                <w:lang w:eastAsia="en-GB"/>
                <w14:ligatures w14:val="none"/>
              </w:rPr>
            </w:pPr>
            <w:r w:rsidRPr="008534CE">
              <w:rPr>
                <w:rFonts w:eastAsia="Times New Roman" w:cs="Times New Roman"/>
                <w:b/>
                <w:bCs/>
                <w:color w:val="000000"/>
                <w:kern w:val="0"/>
                <w:lang w:eastAsia="en-GB"/>
                <w14:ligatures w14:val="none"/>
              </w:rPr>
              <w:t>Criteria</w:t>
            </w:r>
          </w:p>
        </w:tc>
      </w:tr>
      <w:tr w:rsidR="008534CE" w:rsidRPr="008534CE" w14:paraId="424F1A91" w14:textId="77777777" w:rsidTr="008534CE">
        <w:trPr>
          <w:trHeight w:val="20"/>
        </w:trPr>
        <w:tc>
          <w:tcPr>
            <w:tcW w:w="2689" w:type="dxa"/>
            <w:vMerge w:val="restart"/>
            <w:vAlign w:val="center"/>
            <w:hideMark/>
          </w:tcPr>
          <w:p w14:paraId="165C6369" w14:textId="77777777" w:rsidR="008534CE" w:rsidRPr="008534CE" w:rsidRDefault="008534CE" w:rsidP="00957EF9">
            <w:pPr>
              <w:spacing w:after="0" w:line="240" w:lineRule="auto"/>
              <w:jc w:val="center"/>
              <w:rPr>
                <w:rFonts w:eastAsia="Times New Roman" w:cs="Times New Roman"/>
                <w:color w:val="000000"/>
                <w:kern w:val="0"/>
                <w:lang w:eastAsia="en-GB"/>
                <w14:ligatures w14:val="none"/>
              </w:rPr>
            </w:pPr>
            <w:r w:rsidRPr="008534CE">
              <w:rPr>
                <w:rFonts w:eastAsia="Times New Roman" w:cs="Times New Roman"/>
                <w:color w:val="000000"/>
                <w:kern w:val="0"/>
                <w:lang w:eastAsia="en-GB"/>
                <w14:ligatures w14:val="none"/>
              </w:rPr>
              <w:lastRenderedPageBreak/>
              <w:t>Force Size</w:t>
            </w:r>
          </w:p>
        </w:tc>
        <w:tc>
          <w:tcPr>
            <w:tcW w:w="2409" w:type="dxa"/>
            <w:vAlign w:val="center"/>
            <w:hideMark/>
          </w:tcPr>
          <w:p w14:paraId="715E74B4" w14:textId="77777777" w:rsidR="008534CE" w:rsidRPr="008534CE" w:rsidRDefault="008534CE" w:rsidP="00957EF9">
            <w:pPr>
              <w:spacing w:after="0" w:line="240" w:lineRule="auto"/>
              <w:rPr>
                <w:rFonts w:eastAsia="Times New Roman" w:cs="Times New Roman"/>
                <w:color w:val="000000"/>
                <w:kern w:val="0"/>
                <w:lang w:eastAsia="en-GB"/>
                <w14:ligatures w14:val="none"/>
              </w:rPr>
            </w:pPr>
            <w:r w:rsidRPr="008534CE">
              <w:rPr>
                <w:rFonts w:eastAsia="Times New Roman" w:cs="Times New Roman"/>
                <w:color w:val="000000"/>
                <w:kern w:val="0"/>
                <w:lang w:eastAsia="en-GB"/>
                <w14:ligatures w14:val="none"/>
              </w:rPr>
              <w:t>Small</w:t>
            </w:r>
          </w:p>
        </w:tc>
        <w:tc>
          <w:tcPr>
            <w:tcW w:w="3828" w:type="dxa"/>
            <w:vAlign w:val="center"/>
            <w:hideMark/>
          </w:tcPr>
          <w:p w14:paraId="4FB01B1F" w14:textId="7535BE98" w:rsidR="008534CE" w:rsidRPr="008534CE" w:rsidRDefault="008534CE" w:rsidP="00957EF9">
            <w:pPr>
              <w:spacing w:after="0" w:line="240" w:lineRule="auto"/>
              <w:rPr>
                <w:rFonts w:eastAsia="Times New Roman" w:cs="Times New Roman"/>
                <w:color w:val="000000"/>
                <w:kern w:val="0"/>
                <w:lang w:eastAsia="en-GB"/>
                <w14:ligatures w14:val="none"/>
              </w:rPr>
            </w:pPr>
            <w:r w:rsidRPr="008534CE">
              <w:rPr>
                <w:rFonts w:eastAsia="Times New Roman" w:cs="Times New Roman"/>
                <w:color w:val="000000"/>
                <w:kern w:val="0"/>
                <w:lang w:eastAsia="en-GB"/>
                <w14:ligatures w14:val="none"/>
              </w:rPr>
              <w:t>&lt; 2,000 officers</w:t>
            </w:r>
          </w:p>
        </w:tc>
      </w:tr>
      <w:tr w:rsidR="008534CE" w:rsidRPr="008534CE" w14:paraId="29AB9898" w14:textId="77777777" w:rsidTr="008534CE">
        <w:trPr>
          <w:trHeight w:val="20"/>
        </w:trPr>
        <w:tc>
          <w:tcPr>
            <w:tcW w:w="2689" w:type="dxa"/>
            <w:vMerge/>
            <w:vAlign w:val="center"/>
            <w:hideMark/>
          </w:tcPr>
          <w:p w14:paraId="6FBB0CA8" w14:textId="77777777" w:rsidR="008534CE" w:rsidRPr="008534CE" w:rsidRDefault="008534CE" w:rsidP="00957EF9">
            <w:pPr>
              <w:spacing w:after="0" w:line="240" w:lineRule="auto"/>
              <w:rPr>
                <w:rFonts w:eastAsia="Times New Roman" w:cs="Times New Roman"/>
                <w:color w:val="000000"/>
                <w:kern w:val="0"/>
                <w:lang w:eastAsia="en-GB"/>
                <w14:ligatures w14:val="none"/>
              </w:rPr>
            </w:pPr>
          </w:p>
        </w:tc>
        <w:tc>
          <w:tcPr>
            <w:tcW w:w="2409" w:type="dxa"/>
            <w:vAlign w:val="center"/>
            <w:hideMark/>
          </w:tcPr>
          <w:p w14:paraId="75E17D04" w14:textId="77777777" w:rsidR="008534CE" w:rsidRPr="008534CE" w:rsidRDefault="008534CE" w:rsidP="00957EF9">
            <w:pPr>
              <w:spacing w:after="0" w:line="240" w:lineRule="auto"/>
              <w:rPr>
                <w:rFonts w:eastAsia="Times New Roman" w:cs="Times New Roman"/>
                <w:color w:val="000000"/>
                <w:kern w:val="0"/>
                <w:lang w:eastAsia="en-GB"/>
                <w14:ligatures w14:val="none"/>
              </w:rPr>
            </w:pPr>
            <w:r w:rsidRPr="008534CE">
              <w:rPr>
                <w:rFonts w:eastAsia="Times New Roman" w:cs="Times New Roman"/>
                <w:color w:val="000000"/>
                <w:kern w:val="0"/>
                <w:lang w:eastAsia="en-GB"/>
                <w14:ligatures w14:val="none"/>
              </w:rPr>
              <w:t>Medium</w:t>
            </w:r>
          </w:p>
        </w:tc>
        <w:tc>
          <w:tcPr>
            <w:tcW w:w="3828" w:type="dxa"/>
            <w:vAlign w:val="center"/>
            <w:hideMark/>
          </w:tcPr>
          <w:p w14:paraId="6686098C" w14:textId="7356E60B" w:rsidR="008534CE" w:rsidRPr="008534CE" w:rsidRDefault="008534CE" w:rsidP="00957EF9">
            <w:pPr>
              <w:spacing w:after="0" w:line="240" w:lineRule="auto"/>
              <w:rPr>
                <w:rFonts w:eastAsia="Times New Roman" w:cs="Times New Roman"/>
                <w:color w:val="000000"/>
                <w:kern w:val="0"/>
                <w:lang w:eastAsia="en-GB"/>
                <w14:ligatures w14:val="none"/>
              </w:rPr>
            </w:pPr>
            <w:r w:rsidRPr="008534CE">
              <w:rPr>
                <w:rFonts w:eastAsia="Times New Roman" w:cs="Times New Roman"/>
                <w:color w:val="000000"/>
                <w:kern w:val="0"/>
                <w:lang w:eastAsia="en-GB"/>
                <w14:ligatures w14:val="none"/>
              </w:rPr>
              <w:t>2000–4,000 officers</w:t>
            </w:r>
          </w:p>
        </w:tc>
      </w:tr>
      <w:tr w:rsidR="008534CE" w:rsidRPr="008534CE" w14:paraId="4E772244" w14:textId="77777777" w:rsidTr="008534CE">
        <w:trPr>
          <w:trHeight w:val="20"/>
        </w:trPr>
        <w:tc>
          <w:tcPr>
            <w:tcW w:w="2689" w:type="dxa"/>
            <w:vMerge/>
            <w:vAlign w:val="center"/>
            <w:hideMark/>
          </w:tcPr>
          <w:p w14:paraId="3709C56D" w14:textId="77777777" w:rsidR="008534CE" w:rsidRPr="008534CE" w:rsidRDefault="008534CE" w:rsidP="00957EF9">
            <w:pPr>
              <w:spacing w:after="0" w:line="240" w:lineRule="auto"/>
              <w:rPr>
                <w:rFonts w:eastAsia="Times New Roman" w:cs="Times New Roman"/>
                <w:color w:val="000000"/>
                <w:kern w:val="0"/>
                <w:lang w:eastAsia="en-GB"/>
                <w14:ligatures w14:val="none"/>
              </w:rPr>
            </w:pPr>
          </w:p>
        </w:tc>
        <w:tc>
          <w:tcPr>
            <w:tcW w:w="2409" w:type="dxa"/>
            <w:vAlign w:val="center"/>
            <w:hideMark/>
          </w:tcPr>
          <w:p w14:paraId="0CE7C802" w14:textId="77777777" w:rsidR="008534CE" w:rsidRPr="008534CE" w:rsidRDefault="008534CE" w:rsidP="00957EF9">
            <w:pPr>
              <w:spacing w:after="0" w:line="240" w:lineRule="auto"/>
              <w:rPr>
                <w:rFonts w:eastAsia="Times New Roman" w:cs="Times New Roman"/>
                <w:color w:val="000000"/>
                <w:kern w:val="0"/>
                <w:lang w:eastAsia="en-GB"/>
                <w14:ligatures w14:val="none"/>
              </w:rPr>
            </w:pPr>
            <w:r w:rsidRPr="008534CE">
              <w:rPr>
                <w:rFonts w:eastAsia="Times New Roman" w:cs="Times New Roman"/>
                <w:color w:val="000000"/>
                <w:kern w:val="0"/>
                <w:lang w:eastAsia="en-GB"/>
                <w14:ligatures w14:val="none"/>
              </w:rPr>
              <w:t>Large</w:t>
            </w:r>
          </w:p>
        </w:tc>
        <w:tc>
          <w:tcPr>
            <w:tcW w:w="3828" w:type="dxa"/>
            <w:vAlign w:val="center"/>
            <w:hideMark/>
          </w:tcPr>
          <w:p w14:paraId="32F0AD4C" w14:textId="20AB85A9" w:rsidR="008534CE" w:rsidRPr="008534CE" w:rsidRDefault="008534CE" w:rsidP="00957EF9">
            <w:pPr>
              <w:spacing w:after="0" w:line="240" w:lineRule="auto"/>
              <w:rPr>
                <w:rFonts w:eastAsia="Times New Roman" w:cs="Times New Roman"/>
                <w:color w:val="000000"/>
                <w:kern w:val="0"/>
                <w:lang w:eastAsia="en-GB"/>
                <w14:ligatures w14:val="none"/>
              </w:rPr>
            </w:pPr>
            <w:r w:rsidRPr="008534CE">
              <w:rPr>
                <w:rFonts w:eastAsia="Times New Roman" w:cs="Times New Roman"/>
                <w:color w:val="000000"/>
                <w:kern w:val="0"/>
                <w:lang w:eastAsia="en-GB"/>
                <w14:ligatures w14:val="none"/>
              </w:rPr>
              <w:t>&gt; 4,000 officers</w:t>
            </w:r>
          </w:p>
        </w:tc>
      </w:tr>
      <w:tr w:rsidR="008534CE" w:rsidRPr="008534CE" w14:paraId="29BFF472" w14:textId="77777777" w:rsidTr="008534CE">
        <w:trPr>
          <w:trHeight w:val="20"/>
        </w:trPr>
        <w:tc>
          <w:tcPr>
            <w:tcW w:w="2689" w:type="dxa"/>
            <w:vMerge w:val="restart"/>
            <w:vAlign w:val="center"/>
            <w:hideMark/>
          </w:tcPr>
          <w:p w14:paraId="4B6A7267" w14:textId="77777777" w:rsidR="008534CE" w:rsidRPr="008534CE" w:rsidRDefault="008534CE" w:rsidP="00957EF9">
            <w:pPr>
              <w:spacing w:after="0" w:line="240" w:lineRule="auto"/>
              <w:jc w:val="center"/>
              <w:rPr>
                <w:rFonts w:eastAsia="Times New Roman" w:cs="Times New Roman"/>
                <w:color w:val="000000"/>
                <w:kern w:val="0"/>
                <w:lang w:eastAsia="en-GB"/>
                <w14:ligatures w14:val="none"/>
              </w:rPr>
            </w:pPr>
            <w:r w:rsidRPr="008534CE">
              <w:rPr>
                <w:rFonts w:eastAsia="Times New Roman" w:cs="Times New Roman"/>
                <w:color w:val="000000"/>
                <w:kern w:val="0"/>
                <w:lang w:eastAsia="en-GB"/>
                <w14:ligatures w14:val="none"/>
              </w:rPr>
              <w:t>Rural–Urban Composition</w:t>
            </w:r>
          </w:p>
        </w:tc>
        <w:tc>
          <w:tcPr>
            <w:tcW w:w="2409" w:type="dxa"/>
            <w:vAlign w:val="center"/>
            <w:hideMark/>
          </w:tcPr>
          <w:p w14:paraId="4DB3C23E" w14:textId="77777777" w:rsidR="008534CE" w:rsidRPr="008534CE" w:rsidRDefault="008534CE" w:rsidP="00957EF9">
            <w:pPr>
              <w:spacing w:after="0" w:line="240" w:lineRule="auto"/>
              <w:rPr>
                <w:rFonts w:eastAsia="Times New Roman" w:cs="Times New Roman"/>
                <w:color w:val="000000"/>
                <w:kern w:val="0"/>
                <w:lang w:eastAsia="en-GB"/>
                <w14:ligatures w14:val="none"/>
              </w:rPr>
            </w:pPr>
            <w:r w:rsidRPr="008534CE">
              <w:rPr>
                <w:rFonts w:eastAsia="Times New Roman" w:cs="Times New Roman"/>
                <w:color w:val="000000"/>
                <w:kern w:val="0"/>
                <w:lang w:eastAsia="en-GB"/>
                <w14:ligatures w14:val="none"/>
              </w:rPr>
              <w:t>Urban</w:t>
            </w:r>
          </w:p>
        </w:tc>
        <w:tc>
          <w:tcPr>
            <w:tcW w:w="3828" w:type="dxa"/>
            <w:vAlign w:val="center"/>
            <w:hideMark/>
          </w:tcPr>
          <w:p w14:paraId="042FA2CA" w14:textId="77777777" w:rsidR="008534CE" w:rsidRPr="008534CE" w:rsidRDefault="008534CE" w:rsidP="00957EF9">
            <w:pPr>
              <w:spacing w:after="0" w:line="240" w:lineRule="auto"/>
              <w:rPr>
                <w:rFonts w:eastAsia="Times New Roman" w:cs="Times New Roman"/>
                <w:color w:val="000000"/>
                <w:kern w:val="0"/>
                <w:lang w:eastAsia="en-GB"/>
                <w14:ligatures w14:val="none"/>
              </w:rPr>
            </w:pPr>
            <w:r w:rsidRPr="008534CE">
              <w:rPr>
                <w:rFonts w:eastAsia="Times New Roman" w:cs="Times New Roman"/>
                <w:color w:val="000000"/>
                <w:kern w:val="0"/>
                <w:lang w:eastAsia="en-GB"/>
                <w14:ligatures w14:val="none"/>
              </w:rPr>
              <w:t>≥ 75% of Local Authority Districts (LADs) classified as urban</w:t>
            </w:r>
          </w:p>
        </w:tc>
      </w:tr>
      <w:tr w:rsidR="008534CE" w:rsidRPr="008534CE" w14:paraId="43D6985E" w14:textId="77777777" w:rsidTr="008534CE">
        <w:trPr>
          <w:trHeight w:val="20"/>
        </w:trPr>
        <w:tc>
          <w:tcPr>
            <w:tcW w:w="2689" w:type="dxa"/>
            <w:vMerge/>
            <w:vAlign w:val="center"/>
            <w:hideMark/>
          </w:tcPr>
          <w:p w14:paraId="44117761" w14:textId="77777777" w:rsidR="008534CE" w:rsidRPr="008534CE" w:rsidRDefault="008534CE" w:rsidP="00957EF9">
            <w:pPr>
              <w:spacing w:after="0" w:line="240" w:lineRule="auto"/>
              <w:rPr>
                <w:rFonts w:eastAsia="Times New Roman" w:cs="Times New Roman"/>
                <w:color w:val="000000"/>
                <w:kern w:val="0"/>
                <w:lang w:eastAsia="en-GB"/>
                <w14:ligatures w14:val="none"/>
              </w:rPr>
            </w:pPr>
          </w:p>
        </w:tc>
        <w:tc>
          <w:tcPr>
            <w:tcW w:w="2409" w:type="dxa"/>
            <w:vAlign w:val="center"/>
            <w:hideMark/>
          </w:tcPr>
          <w:p w14:paraId="6D1DA664" w14:textId="77777777" w:rsidR="008534CE" w:rsidRPr="008534CE" w:rsidRDefault="008534CE" w:rsidP="00957EF9">
            <w:pPr>
              <w:spacing w:after="0" w:line="240" w:lineRule="auto"/>
              <w:rPr>
                <w:rFonts w:eastAsia="Times New Roman" w:cs="Times New Roman"/>
                <w:color w:val="000000"/>
                <w:kern w:val="0"/>
                <w:lang w:eastAsia="en-GB"/>
                <w14:ligatures w14:val="none"/>
              </w:rPr>
            </w:pPr>
            <w:r w:rsidRPr="008534CE">
              <w:rPr>
                <w:rFonts w:eastAsia="Times New Roman" w:cs="Times New Roman"/>
                <w:color w:val="000000"/>
                <w:kern w:val="0"/>
                <w:lang w:eastAsia="en-GB"/>
                <w14:ligatures w14:val="none"/>
              </w:rPr>
              <w:t>Rural</w:t>
            </w:r>
          </w:p>
        </w:tc>
        <w:tc>
          <w:tcPr>
            <w:tcW w:w="3828" w:type="dxa"/>
            <w:vAlign w:val="center"/>
            <w:hideMark/>
          </w:tcPr>
          <w:p w14:paraId="25854896" w14:textId="77777777" w:rsidR="008534CE" w:rsidRPr="008534CE" w:rsidRDefault="008534CE" w:rsidP="00957EF9">
            <w:pPr>
              <w:spacing w:after="0" w:line="240" w:lineRule="auto"/>
              <w:rPr>
                <w:rFonts w:eastAsia="Times New Roman" w:cs="Times New Roman"/>
                <w:color w:val="000000"/>
                <w:kern w:val="0"/>
                <w:lang w:eastAsia="en-GB"/>
                <w14:ligatures w14:val="none"/>
              </w:rPr>
            </w:pPr>
            <w:r w:rsidRPr="008534CE">
              <w:rPr>
                <w:rFonts w:eastAsia="Times New Roman" w:cs="Times New Roman"/>
                <w:color w:val="000000"/>
                <w:kern w:val="0"/>
                <w:lang w:eastAsia="en-GB"/>
                <w14:ligatures w14:val="none"/>
              </w:rPr>
              <w:t>≥ 60% of LADs classified as rural</w:t>
            </w:r>
          </w:p>
        </w:tc>
      </w:tr>
      <w:tr w:rsidR="008534CE" w:rsidRPr="008534CE" w14:paraId="775C72B6" w14:textId="77777777" w:rsidTr="008534CE">
        <w:trPr>
          <w:trHeight w:val="20"/>
        </w:trPr>
        <w:tc>
          <w:tcPr>
            <w:tcW w:w="2689" w:type="dxa"/>
            <w:vMerge/>
            <w:vAlign w:val="center"/>
            <w:hideMark/>
          </w:tcPr>
          <w:p w14:paraId="1AA034E1" w14:textId="77777777" w:rsidR="008534CE" w:rsidRPr="008534CE" w:rsidRDefault="008534CE" w:rsidP="00957EF9">
            <w:pPr>
              <w:spacing w:after="0" w:line="240" w:lineRule="auto"/>
              <w:rPr>
                <w:rFonts w:eastAsia="Times New Roman" w:cs="Times New Roman"/>
                <w:color w:val="000000"/>
                <w:kern w:val="0"/>
                <w:lang w:eastAsia="en-GB"/>
                <w14:ligatures w14:val="none"/>
              </w:rPr>
            </w:pPr>
          </w:p>
        </w:tc>
        <w:tc>
          <w:tcPr>
            <w:tcW w:w="2409" w:type="dxa"/>
            <w:vAlign w:val="center"/>
            <w:hideMark/>
          </w:tcPr>
          <w:p w14:paraId="0F195057" w14:textId="77777777" w:rsidR="008534CE" w:rsidRPr="008534CE" w:rsidRDefault="008534CE" w:rsidP="00957EF9">
            <w:pPr>
              <w:spacing w:after="0" w:line="240" w:lineRule="auto"/>
              <w:rPr>
                <w:rFonts w:eastAsia="Times New Roman" w:cs="Times New Roman"/>
                <w:color w:val="000000"/>
                <w:kern w:val="0"/>
                <w:lang w:eastAsia="en-GB"/>
                <w14:ligatures w14:val="none"/>
              </w:rPr>
            </w:pPr>
            <w:r w:rsidRPr="008534CE">
              <w:rPr>
                <w:rFonts w:eastAsia="Times New Roman" w:cs="Times New Roman"/>
                <w:color w:val="000000"/>
                <w:kern w:val="0"/>
                <w:lang w:eastAsia="en-GB"/>
                <w14:ligatures w14:val="none"/>
              </w:rPr>
              <w:t>Mixed</w:t>
            </w:r>
          </w:p>
        </w:tc>
        <w:tc>
          <w:tcPr>
            <w:tcW w:w="3828" w:type="dxa"/>
            <w:vAlign w:val="center"/>
            <w:hideMark/>
          </w:tcPr>
          <w:p w14:paraId="592BE0B6" w14:textId="77777777" w:rsidR="008534CE" w:rsidRPr="008534CE" w:rsidRDefault="008534CE" w:rsidP="00957EF9">
            <w:pPr>
              <w:spacing w:after="0" w:line="240" w:lineRule="auto"/>
              <w:rPr>
                <w:rFonts w:eastAsia="Times New Roman" w:cs="Times New Roman"/>
                <w:color w:val="000000"/>
                <w:kern w:val="0"/>
                <w:lang w:eastAsia="en-GB"/>
                <w14:ligatures w14:val="none"/>
              </w:rPr>
            </w:pPr>
            <w:r w:rsidRPr="008534CE">
              <w:rPr>
                <w:rFonts w:eastAsia="Times New Roman" w:cs="Times New Roman"/>
                <w:color w:val="000000"/>
                <w:kern w:val="0"/>
                <w:lang w:eastAsia="en-GB"/>
                <w14:ligatures w14:val="none"/>
              </w:rPr>
              <w:t>All other LAD distributions not meeting the Urban or Rural thresholds</w:t>
            </w:r>
          </w:p>
        </w:tc>
      </w:tr>
      <w:tr w:rsidR="008534CE" w:rsidRPr="00E634F4" w14:paraId="6EFAD520" w14:textId="77777777" w:rsidTr="008534CE">
        <w:trPr>
          <w:trHeight w:val="20"/>
        </w:trPr>
        <w:tc>
          <w:tcPr>
            <w:tcW w:w="2689" w:type="dxa"/>
            <w:vAlign w:val="center"/>
            <w:hideMark/>
          </w:tcPr>
          <w:p w14:paraId="30A9BA23" w14:textId="77777777" w:rsidR="008534CE" w:rsidRPr="008534CE" w:rsidRDefault="008534CE" w:rsidP="00957EF9">
            <w:pPr>
              <w:spacing w:after="0" w:line="240" w:lineRule="auto"/>
              <w:rPr>
                <w:rFonts w:eastAsia="Times New Roman" w:cs="Times New Roman"/>
                <w:color w:val="000000"/>
                <w:kern w:val="0"/>
                <w:lang w:eastAsia="en-GB"/>
                <w14:ligatures w14:val="none"/>
              </w:rPr>
            </w:pPr>
            <w:r w:rsidRPr="008534CE">
              <w:rPr>
                <w:rFonts w:eastAsia="Times New Roman" w:cs="Times New Roman"/>
                <w:color w:val="000000"/>
                <w:kern w:val="0"/>
                <w:lang w:eastAsia="en-GB"/>
                <w14:ligatures w14:val="none"/>
              </w:rPr>
              <w:t>Overall Typology</w:t>
            </w:r>
          </w:p>
        </w:tc>
        <w:tc>
          <w:tcPr>
            <w:tcW w:w="2409" w:type="dxa"/>
            <w:vAlign w:val="center"/>
            <w:hideMark/>
          </w:tcPr>
          <w:p w14:paraId="7A569AAA" w14:textId="77777777" w:rsidR="008534CE" w:rsidRPr="008534CE" w:rsidRDefault="008534CE" w:rsidP="00957EF9">
            <w:pPr>
              <w:spacing w:after="0" w:line="240" w:lineRule="auto"/>
              <w:rPr>
                <w:rFonts w:eastAsia="Times New Roman" w:cs="Times New Roman"/>
                <w:color w:val="000000"/>
                <w:kern w:val="0"/>
                <w:lang w:eastAsia="en-GB"/>
                <w14:ligatures w14:val="none"/>
              </w:rPr>
            </w:pPr>
            <w:r w:rsidRPr="008534CE">
              <w:rPr>
                <w:rFonts w:eastAsia="Times New Roman" w:cs="Times New Roman"/>
                <w:color w:val="000000"/>
                <w:kern w:val="0"/>
                <w:lang w:eastAsia="en-GB"/>
                <w14:ligatures w14:val="none"/>
              </w:rPr>
              <w:t>Dual Classification</w:t>
            </w:r>
          </w:p>
        </w:tc>
        <w:tc>
          <w:tcPr>
            <w:tcW w:w="3828" w:type="dxa"/>
            <w:vAlign w:val="center"/>
            <w:hideMark/>
          </w:tcPr>
          <w:p w14:paraId="677876AC" w14:textId="77777777" w:rsidR="008534CE" w:rsidRPr="008534CE" w:rsidRDefault="008534CE" w:rsidP="00957EF9">
            <w:pPr>
              <w:spacing w:after="0" w:line="240" w:lineRule="auto"/>
              <w:rPr>
                <w:rFonts w:eastAsia="Times New Roman" w:cs="Times New Roman"/>
                <w:color w:val="000000"/>
                <w:kern w:val="0"/>
                <w:lang w:eastAsia="en-GB"/>
                <w14:ligatures w14:val="none"/>
              </w:rPr>
            </w:pPr>
            <w:r w:rsidRPr="008534CE">
              <w:rPr>
                <w:rFonts w:eastAsia="Times New Roman" w:cs="Times New Roman"/>
                <w:color w:val="000000"/>
                <w:kern w:val="0"/>
                <w:lang w:eastAsia="en-GB"/>
                <w14:ligatures w14:val="none"/>
              </w:rPr>
              <w:t>Combination of Size + Rural–Urban Type</w:t>
            </w:r>
          </w:p>
        </w:tc>
      </w:tr>
    </w:tbl>
    <w:p w14:paraId="5D64A784" w14:textId="77777777" w:rsidR="00775651" w:rsidRDefault="00775651" w:rsidP="000C62B9"/>
    <w:p w14:paraId="40F338A0" w14:textId="2C90854C" w:rsidR="00FA45C8" w:rsidRPr="00AF7610" w:rsidRDefault="00FA45C8" w:rsidP="00971E65">
      <w:pPr>
        <w:jc w:val="center"/>
        <w:rPr>
          <w:u w:val="single"/>
        </w:rPr>
      </w:pPr>
      <w:r w:rsidRPr="00AF7610">
        <w:rPr>
          <w:u w:val="single"/>
        </w:rPr>
        <w:t xml:space="preserve">Table </w:t>
      </w:r>
      <w:r w:rsidR="00DD133A" w:rsidRPr="00AF7610">
        <w:rPr>
          <w:u w:val="single"/>
        </w:rPr>
        <w:t>3</w:t>
      </w:r>
    </w:p>
    <w:tbl>
      <w:tblPr>
        <w:tblStyle w:val="TableGrid"/>
        <w:tblW w:w="0" w:type="auto"/>
        <w:tblLook w:val="04A0" w:firstRow="1" w:lastRow="0" w:firstColumn="1" w:lastColumn="0" w:noHBand="0" w:noVBand="1"/>
      </w:tblPr>
      <w:tblGrid>
        <w:gridCol w:w="1803"/>
        <w:gridCol w:w="1803"/>
        <w:gridCol w:w="1803"/>
        <w:gridCol w:w="1803"/>
        <w:gridCol w:w="1804"/>
      </w:tblGrid>
      <w:tr w:rsidR="008A07A8" w14:paraId="6B3E7828" w14:textId="77777777" w:rsidTr="008A07A8">
        <w:tc>
          <w:tcPr>
            <w:tcW w:w="1803" w:type="dxa"/>
          </w:tcPr>
          <w:p w14:paraId="6FB6020D" w14:textId="25595CFD" w:rsidR="008A07A8" w:rsidRDefault="00D22D0C" w:rsidP="000C62B9">
            <w:r w:rsidRPr="00D22D0C">
              <w:t>Force size / geography</w:t>
            </w:r>
          </w:p>
        </w:tc>
        <w:tc>
          <w:tcPr>
            <w:tcW w:w="1803" w:type="dxa"/>
          </w:tcPr>
          <w:p w14:paraId="3479A356" w14:textId="20973834" w:rsidR="008A07A8" w:rsidRDefault="00D22D0C" w:rsidP="000C62B9">
            <w:r>
              <w:t>Urban</w:t>
            </w:r>
          </w:p>
        </w:tc>
        <w:tc>
          <w:tcPr>
            <w:tcW w:w="1803" w:type="dxa"/>
          </w:tcPr>
          <w:p w14:paraId="397BE266" w14:textId="2A9FF73F" w:rsidR="008A07A8" w:rsidRDefault="00D22D0C" w:rsidP="000C62B9">
            <w:r>
              <w:t>Rural</w:t>
            </w:r>
          </w:p>
        </w:tc>
        <w:tc>
          <w:tcPr>
            <w:tcW w:w="1803" w:type="dxa"/>
          </w:tcPr>
          <w:p w14:paraId="60A939D2" w14:textId="7A83B310" w:rsidR="008A07A8" w:rsidRDefault="00D22D0C" w:rsidP="000C62B9">
            <w:r>
              <w:t>Mixed</w:t>
            </w:r>
          </w:p>
        </w:tc>
        <w:tc>
          <w:tcPr>
            <w:tcW w:w="1804" w:type="dxa"/>
          </w:tcPr>
          <w:p w14:paraId="571C142A" w14:textId="3B265313" w:rsidR="008A07A8" w:rsidRDefault="00D22D0C" w:rsidP="000C62B9">
            <w:r>
              <w:t>Total</w:t>
            </w:r>
          </w:p>
        </w:tc>
      </w:tr>
      <w:tr w:rsidR="008A07A8" w14:paraId="0A38521B" w14:textId="77777777" w:rsidTr="008A07A8">
        <w:tc>
          <w:tcPr>
            <w:tcW w:w="1803" w:type="dxa"/>
          </w:tcPr>
          <w:p w14:paraId="56947BC2" w14:textId="4C26A5D5" w:rsidR="008A07A8" w:rsidRDefault="00D22D0C" w:rsidP="000C62B9">
            <w:r>
              <w:t>Small</w:t>
            </w:r>
          </w:p>
        </w:tc>
        <w:tc>
          <w:tcPr>
            <w:tcW w:w="1803" w:type="dxa"/>
          </w:tcPr>
          <w:p w14:paraId="195CAA9B" w14:textId="134133D7" w:rsidR="008A07A8" w:rsidRDefault="00D22D0C" w:rsidP="000C62B9">
            <w:r>
              <w:t>6</w:t>
            </w:r>
          </w:p>
        </w:tc>
        <w:tc>
          <w:tcPr>
            <w:tcW w:w="1803" w:type="dxa"/>
          </w:tcPr>
          <w:p w14:paraId="1309A9B8" w14:textId="169C30F0" w:rsidR="008A07A8" w:rsidRDefault="00D22D0C" w:rsidP="000C62B9">
            <w:r>
              <w:t>6</w:t>
            </w:r>
          </w:p>
        </w:tc>
        <w:tc>
          <w:tcPr>
            <w:tcW w:w="1803" w:type="dxa"/>
          </w:tcPr>
          <w:p w14:paraId="74C0AE2A" w14:textId="15C8D255" w:rsidR="008A07A8" w:rsidRDefault="00D22D0C" w:rsidP="000C62B9">
            <w:r>
              <w:t>16</w:t>
            </w:r>
          </w:p>
        </w:tc>
        <w:tc>
          <w:tcPr>
            <w:tcW w:w="1804" w:type="dxa"/>
          </w:tcPr>
          <w:p w14:paraId="1EE6758D" w14:textId="32933855" w:rsidR="008A07A8" w:rsidRDefault="00D22D0C" w:rsidP="000C62B9">
            <w:r>
              <w:t>28</w:t>
            </w:r>
          </w:p>
        </w:tc>
      </w:tr>
      <w:tr w:rsidR="008A07A8" w14:paraId="0712AF30" w14:textId="77777777" w:rsidTr="008A07A8">
        <w:tc>
          <w:tcPr>
            <w:tcW w:w="1803" w:type="dxa"/>
          </w:tcPr>
          <w:p w14:paraId="2DB28BE9" w14:textId="2E247371" w:rsidR="008A07A8" w:rsidRDefault="00D22D0C" w:rsidP="000C62B9">
            <w:r>
              <w:t>Medium</w:t>
            </w:r>
          </w:p>
        </w:tc>
        <w:tc>
          <w:tcPr>
            <w:tcW w:w="1803" w:type="dxa"/>
          </w:tcPr>
          <w:p w14:paraId="35AE22AA" w14:textId="030E2429" w:rsidR="008A07A8" w:rsidRDefault="00D22D0C" w:rsidP="000C62B9">
            <w:r>
              <w:t>3</w:t>
            </w:r>
          </w:p>
        </w:tc>
        <w:tc>
          <w:tcPr>
            <w:tcW w:w="1803" w:type="dxa"/>
          </w:tcPr>
          <w:p w14:paraId="7474B65C" w14:textId="088DABFD" w:rsidR="008A07A8" w:rsidRDefault="00D22D0C" w:rsidP="000C62B9">
            <w:r>
              <w:t>1</w:t>
            </w:r>
          </w:p>
        </w:tc>
        <w:tc>
          <w:tcPr>
            <w:tcW w:w="1803" w:type="dxa"/>
          </w:tcPr>
          <w:p w14:paraId="3C84E920" w14:textId="7E0FFA54" w:rsidR="008A07A8" w:rsidRDefault="00D22D0C" w:rsidP="000C62B9">
            <w:r>
              <w:t>8</w:t>
            </w:r>
          </w:p>
        </w:tc>
        <w:tc>
          <w:tcPr>
            <w:tcW w:w="1804" w:type="dxa"/>
          </w:tcPr>
          <w:p w14:paraId="51F03449" w14:textId="5674B856" w:rsidR="008A07A8" w:rsidRDefault="00D22D0C" w:rsidP="000C62B9">
            <w:r>
              <w:t>12</w:t>
            </w:r>
          </w:p>
        </w:tc>
      </w:tr>
      <w:tr w:rsidR="008A07A8" w14:paraId="3A0110EE" w14:textId="77777777" w:rsidTr="008A07A8">
        <w:tc>
          <w:tcPr>
            <w:tcW w:w="1803" w:type="dxa"/>
          </w:tcPr>
          <w:p w14:paraId="72D76FAB" w14:textId="457E84C8" w:rsidR="008A07A8" w:rsidRDefault="00D22D0C" w:rsidP="000C62B9">
            <w:r>
              <w:t>Large</w:t>
            </w:r>
          </w:p>
        </w:tc>
        <w:tc>
          <w:tcPr>
            <w:tcW w:w="1803" w:type="dxa"/>
          </w:tcPr>
          <w:p w14:paraId="4DE3EBE8" w14:textId="719FF724" w:rsidR="008A07A8" w:rsidRDefault="00560138" w:rsidP="000C62B9">
            <w:r>
              <w:t>3</w:t>
            </w:r>
          </w:p>
        </w:tc>
        <w:tc>
          <w:tcPr>
            <w:tcW w:w="1803" w:type="dxa"/>
          </w:tcPr>
          <w:p w14:paraId="3BDDF5A1" w14:textId="3E2B35AB" w:rsidR="008A07A8" w:rsidRDefault="00560138" w:rsidP="000C62B9">
            <w:r>
              <w:t>0</w:t>
            </w:r>
          </w:p>
        </w:tc>
        <w:tc>
          <w:tcPr>
            <w:tcW w:w="1803" w:type="dxa"/>
          </w:tcPr>
          <w:p w14:paraId="4D24ECDE" w14:textId="3C1B5339" w:rsidR="008A07A8" w:rsidRDefault="00560138" w:rsidP="000C62B9">
            <w:r>
              <w:t>0</w:t>
            </w:r>
          </w:p>
        </w:tc>
        <w:tc>
          <w:tcPr>
            <w:tcW w:w="1804" w:type="dxa"/>
          </w:tcPr>
          <w:p w14:paraId="1C9FD026" w14:textId="242B69A2" w:rsidR="008A07A8" w:rsidRDefault="00560138" w:rsidP="000C62B9">
            <w:r>
              <w:t>3</w:t>
            </w:r>
          </w:p>
        </w:tc>
      </w:tr>
      <w:tr w:rsidR="008A07A8" w14:paraId="42CCF63D" w14:textId="77777777" w:rsidTr="008A07A8">
        <w:tc>
          <w:tcPr>
            <w:tcW w:w="1803" w:type="dxa"/>
          </w:tcPr>
          <w:p w14:paraId="55F34D1B" w14:textId="69025357" w:rsidR="008A07A8" w:rsidRDefault="00D22D0C" w:rsidP="000C62B9">
            <w:r>
              <w:t>Total</w:t>
            </w:r>
          </w:p>
        </w:tc>
        <w:tc>
          <w:tcPr>
            <w:tcW w:w="1803" w:type="dxa"/>
          </w:tcPr>
          <w:p w14:paraId="71E1EC0F" w14:textId="63ABD694" w:rsidR="008A07A8" w:rsidRDefault="00560138" w:rsidP="000C62B9">
            <w:r>
              <w:t>12</w:t>
            </w:r>
          </w:p>
        </w:tc>
        <w:tc>
          <w:tcPr>
            <w:tcW w:w="1803" w:type="dxa"/>
          </w:tcPr>
          <w:p w14:paraId="0329E0D5" w14:textId="713D70F0" w:rsidR="008A07A8" w:rsidRDefault="00560138" w:rsidP="000C62B9">
            <w:r>
              <w:t>7</w:t>
            </w:r>
          </w:p>
        </w:tc>
        <w:tc>
          <w:tcPr>
            <w:tcW w:w="1803" w:type="dxa"/>
          </w:tcPr>
          <w:p w14:paraId="78A2F5B6" w14:textId="48990012" w:rsidR="008A07A8" w:rsidRDefault="00627627" w:rsidP="000C62B9">
            <w:r>
              <w:t>24</w:t>
            </w:r>
          </w:p>
        </w:tc>
        <w:tc>
          <w:tcPr>
            <w:tcW w:w="1804" w:type="dxa"/>
          </w:tcPr>
          <w:p w14:paraId="1EB93903" w14:textId="708FE563" w:rsidR="008A07A8" w:rsidRDefault="00560138" w:rsidP="000C62B9">
            <w:r>
              <w:t>43</w:t>
            </w:r>
          </w:p>
        </w:tc>
      </w:tr>
    </w:tbl>
    <w:p w14:paraId="49746990" w14:textId="77777777" w:rsidR="005B3337" w:rsidRDefault="005B3337" w:rsidP="000C62B9"/>
    <w:p w14:paraId="432E99C9" w14:textId="7B84BE00" w:rsidR="005B3337" w:rsidRPr="00E634F4" w:rsidRDefault="00501934" w:rsidP="000C62B9">
      <w:r>
        <w:t xml:space="preserve">Police Scotland </w:t>
      </w:r>
      <w:r w:rsidR="00635E56">
        <w:t xml:space="preserve">and </w:t>
      </w:r>
      <w:r>
        <w:t xml:space="preserve">the Police Service of Northern Ireland are not included within this typology as the classifications </w:t>
      </w:r>
      <w:r w:rsidR="00380F4B">
        <w:t>are built upon Office of National Statistics categories for England and Wales. There</w:t>
      </w:r>
      <w:r w:rsidR="00F53CCD">
        <w:t xml:space="preserve">fore, </w:t>
      </w:r>
      <w:r w:rsidR="000F2C3E">
        <w:t>the</w:t>
      </w:r>
      <w:r w:rsidR="00F53CCD">
        <w:t xml:space="preserve"> typology only applied to the 43 territorial forces of England and Wales.</w:t>
      </w:r>
    </w:p>
    <w:p w14:paraId="718230B6" w14:textId="04B2328C" w:rsidR="00794842" w:rsidRPr="00E634F4" w:rsidRDefault="009C6DDC" w:rsidP="00794842">
      <w:r w:rsidRPr="009C6DDC">
        <w:t>The data provide insights from professionals working across policing and safeguarding. However, their narratives should be understood as perceptions and reflections on their work, rather than as evidence of causal linkages.</w:t>
      </w:r>
    </w:p>
    <w:p w14:paraId="64272687" w14:textId="5D628AB1" w:rsidR="00DA1E24" w:rsidRPr="00E634F4" w:rsidRDefault="00DA1E24" w:rsidP="00DA1E24">
      <w:pPr>
        <w:rPr>
          <w:b/>
          <w:bCs/>
        </w:rPr>
      </w:pPr>
      <w:r w:rsidRPr="00E634F4">
        <w:rPr>
          <w:b/>
          <w:bCs/>
        </w:rPr>
        <w:t xml:space="preserve">Findings </w:t>
      </w:r>
    </w:p>
    <w:p w14:paraId="74B41CBD" w14:textId="11B978A4" w:rsidR="00F815F1" w:rsidRPr="00E634F4" w:rsidRDefault="002C50AC" w:rsidP="00FA5994">
      <w:r>
        <w:t>T</w:t>
      </w:r>
      <w:r w:rsidR="00FA5994" w:rsidRPr="00E634F4">
        <w:t xml:space="preserve">he Police, partner agencies and NGOs understood the </w:t>
      </w:r>
      <w:r w:rsidR="00F815F1" w:rsidRPr="00E634F4">
        <w:t xml:space="preserve">changing nature of criminal exploitation and its relationship to local drug markets. They show how geographic context, organisational capacity and structural disadvantage shape both the operation of </w:t>
      </w:r>
      <w:r w:rsidR="00DD783A" w:rsidRPr="00E634F4">
        <w:t>county lines</w:t>
      </w:r>
      <w:r w:rsidR="00F815F1" w:rsidRPr="00E634F4">
        <w:t xml:space="preserve"> and the ability of agencies to respond.</w:t>
      </w:r>
    </w:p>
    <w:p w14:paraId="215F4CC6" w14:textId="5A7E3BEC" w:rsidR="00E4279A" w:rsidRPr="00E634F4" w:rsidRDefault="00E4279A" w:rsidP="00E4279A">
      <w:pPr>
        <w:rPr>
          <w:b/>
          <w:bCs/>
        </w:rPr>
      </w:pPr>
      <w:r w:rsidRPr="00E634F4">
        <w:rPr>
          <w:b/>
          <w:bCs/>
        </w:rPr>
        <w:t>Local Exploitation and the Adaptation of Drug Markets</w:t>
      </w:r>
    </w:p>
    <w:p w14:paraId="547B82FE" w14:textId="3624A996" w:rsidR="00042EC5" w:rsidRPr="00E634F4" w:rsidRDefault="00042EC5" w:rsidP="00042EC5">
      <w:r w:rsidRPr="00E634F4">
        <w:t xml:space="preserve">Although young people have been involved in drug markets for many years, they were not defined as ‘county lines’ or deemed to be a form of criminal exploitation until recently. The advent of the ‘county lines’ and ‘CCE’ terminology has assisted the police in recognising and understanding harm. Nonetheless, it appears that locally based and subtle forms of exploitation that do not adhere to the well-established model of county lines are less understood. </w:t>
      </w:r>
    </w:p>
    <w:p w14:paraId="6010FE1A" w14:textId="2E8B6DCC" w:rsidR="00E4279A" w:rsidRPr="00E634F4" w:rsidRDefault="00DD783A" w:rsidP="00E4279A">
      <w:r w:rsidRPr="00E634F4">
        <w:t>County lines</w:t>
      </w:r>
      <w:r w:rsidR="00E4279A" w:rsidRPr="00E634F4">
        <w:t xml:space="preserve"> </w:t>
      </w:r>
      <w:proofErr w:type="gramStart"/>
      <w:r w:rsidR="00E4279A" w:rsidRPr="00E634F4">
        <w:t>has</w:t>
      </w:r>
      <w:proofErr w:type="gramEnd"/>
      <w:r w:rsidR="00E4279A" w:rsidRPr="00E634F4">
        <w:t xml:space="preserve"> traditionally been used to characterise the transportation of drugs alongside the movement of exploited individuals from urban settings to coastal and rural areas. However, interviewees described a different reality, one in which exploitation, rather than geographical movement was the</w:t>
      </w:r>
      <w:r w:rsidR="00CC011E" w:rsidRPr="00E634F4">
        <w:t xml:space="preserve"> most</w:t>
      </w:r>
      <w:r w:rsidR="00E4279A" w:rsidRPr="00E634F4">
        <w:t xml:space="preserve"> significant factor. Put simply, coercion, debt bondage and asserting control over vulnerable people through mobile phone communications are not exclusive to urban drug operatives. </w:t>
      </w:r>
    </w:p>
    <w:p w14:paraId="06F111CD" w14:textId="4E3EF01A" w:rsidR="00E4279A" w:rsidRPr="00E634F4" w:rsidRDefault="00E4279A" w:rsidP="00E4279A">
      <w:r w:rsidRPr="00E634F4">
        <w:lastRenderedPageBreak/>
        <w:t xml:space="preserve">Drug markets demonstrate remarkable adaptability (Baika </w:t>
      </w:r>
      <w:r w:rsidR="00920E3E" w:rsidRPr="00E634F4">
        <w:t>and</w:t>
      </w:r>
      <w:r w:rsidRPr="00E634F4">
        <w:t xml:space="preserve"> Campana 2020). </w:t>
      </w:r>
      <w:r w:rsidR="00FB6EB2" w:rsidRPr="00E634F4">
        <w:t>In relation to</w:t>
      </w:r>
      <w:r w:rsidRPr="00E634F4">
        <w:t xml:space="preserve"> </w:t>
      </w:r>
      <w:r w:rsidR="00DD783A" w:rsidRPr="00E634F4">
        <w:t>county lines</w:t>
      </w:r>
      <w:r w:rsidRPr="00E634F4">
        <w:t xml:space="preserve">, adaptability appears to occur in the replication of exploitation across different geographies. The </w:t>
      </w:r>
      <w:r w:rsidR="00E634F4" w:rsidRPr="00E634F4">
        <w:t xml:space="preserve">National County Lines Coordination Centre </w:t>
      </w:r>
      <w:r w:rsidRPr="00E634F4">
        <w:t>(NCLCC) recognises this shift and highlights the challenges smaller police forces face, noting a pressing need to “understand fully what this more localised model means for how children, in particular, are exploited, and work to prevent that happening” (NCLCC 2024, p. 8).</w:t>
      </w:r>
    </w:p>
    <w:p w14:paraId="69449D97" w14:textId="21394571" w:rsidR="00E4279A" w:rsidRPr="00E634F4" w:rsidRDefault="00E4279A" w:rsidP="00E4279A">
      <w:r w:rsidRPr="00E634F4">
        <w:t xml:space="preserve">A Detective Sergeant from a small-rural force in England described the difficulty in distinguishing between external </w:t>
      </w:r>
      <w:r w:rsidR="00DD783A" w:rsidRPr="00E634F4">
        <w:t>county lines</w:t>
      </w:r>
      <w:r w:rsidRPr="00E634F4">
        <w:t xml:space="preserve"> gangs and local drug networks: “We do have many localised drugs lines... the further afield the drugs line is, the more likely that it is to involve exploitation of vulnerable people, but what we see with the localised drugs lines is that local people are still exploited.”  Both external and local operations use similar exploitative tactics, suggesting that the geographic model is shifting to an increasingly methodological model of exploitation. Similarly, a Detective Chief Inspector from </w:t>
      </w:r>
      <w:r w:rsidR="00DA440B" w:rsidRPr="00E634F4">
        <w:t xml:space="preserve">a </w:t>
      </w:r>
      <w:r w:rsidRPr="00E634F4">
        <w:t xml:space="preserve">medium-rural police force noted: “We have local drug distribution networks and local drug dealers who aren't necessarily working for Merseyside nominals or Manchester nominals, so in the context of </w:t>
      </w:r>
      <w:r w:rsidR="00DD783A" w:rsidRPr="00E634F4">
        <w:t>county lines</w:t>
      </w:r>
      <w:r w:rsidRPr="00E634F4">
        <w:t xml:space="preserve"> our priority is less about who they are linked to and more about where harm and exploitation are visible.” A Detective Sergeant overseeing child safeguarding in a very rural area added, “It’s happening locally, but exactly the same methodology... but it’s local.” Numerous smaller (and non-urban) police forces spoke of observing </w:t>
      </w:r>
      <w:r w:rsidR="00DD783A" w:rsidRPr="00E634F4">
        <w:t>county lines</w:t>
      </w:r>
      <w:r w:rsidRPr="00E634F4">
        <w:t xml:space="preserve"> without the lines – </w:t>
      </w:r>
      <w:r w:rsidR="00E1044E" w:rsidRPr="00E634F4">
        <w:t xml:space="preserve">referring to </w:t>
      </w:r>
      <w:r w:rsidR="005362F2" w:rsidRPr="00E634F4">
        <w:t xml:space="preserve">locally embedded organised crime gangs </w:t>
      </w:r>
      <w:r w:rsidR="007040CF" w:rsidRPr="00E634F4">
        <w:t>which have adopted exploitative practices without cross-boundary movement.</w:t>
      </w:r>
    </w:p>
    <w:p w14:paraId="085EABEF" w14:textId="2D29C0DD" w:rsidR="00E4279A" w:rsidRPr="00E634F4" w:rsidRDefault="00E4279A" w:rsidP="00B25E7F">
      <w:r w:rsidRPr="00E634F4">
        <w:t xml:space="preserve">A Detective Chief Inspector in a small-rural police force believed that the recruitment and exploitation of vulnerable young people in non-urban areas is not new. They reflected that, “Our dealers have had [the same methods] for a long, long time... it’s still the exact same methodology.” </w:t>
      </w:r>
      <w:r w:rsidRPr="00E634F4">
        <w:rPr>
          <w:b/>
          <w:bCs/>
        </w:rPr>
        <w:t xml:space="preserve"> </w:t>
      </w:r>
      <w:r w:rsidRPr="005E6CC2">
        <w:t xml:space="preserve">This statement also suggests that exploitation may indeed be far more </w:t>
      </w:r>
      <w:r w:rsidR="001E100E" w:rsidRPr="005E6CC2">
        <w:t>i</w:t>
      </w:r>
      <w:r w:rsidRPr="005E6CC2">
        <w:t xml:space="preserve">ngrained and </w:t>
      </w:r>
      <w:r w:rsidR="005E6CC2" w:rsidRPr="005E6CC2">
        <w:t xml:space="preserve">historical </w:t>
      </w:r>
      <w:r w:rsidRPr="005E6CC2">
        <w:t>than previously thought, even if the scale, prominence, and recognition of these practices have varied over time.</w:t>
      </w:r>
    </w:p>
    <w:p w14:paraId="32F6AFE4" w14:textId="304627FF" w:rsidR="00E4279A" w:rsidRPr="00E634F4" w:rsidRDefault="00E4279A" w:rsidP="00E4279A">
      <w:r w:rsidRPr="00E634F4">
        <w:t xml:space="preserve">In some areas, </w:t>
      </w:r>
      <w:r w:rsidR="00DD783A" w:rsidRPr="00E634F4">
        <w:t>county lines</w:t>
      </w:r>
      <w:r w:rsidRPr="00E634F4">
        <w:t xml:space="preserve"> gangs appear to utilise a hybrid model of urban style drug operations alongside local exploitation. Inevitably, this blurs the existing distinction between ‘imported’ </w:t>
      </w:r>
      <w:r w:rsidR="00DD783A" w:rsidRPr="00E634F4">
        <w:t>county lines</w:t>
      </w:r>
      <w:r w:rsidRPr="00E634F4">
        <w:t xml:space="preserve"> and ‘local’ drug activity. For example, in a large-mixed Police Force, a Detective Chief Inspector described how ostensibly local networks maintain ties to urban centres: “Some of those lines that look like they're quite local have actually got some links back to elsewhere... they just operate more on a local… base because that’s where they happen to live now.” This demonstrates how exploitation can simultaneously be locally embedded and connected to </w:t>
      </w:r>
      <w:r w:rsidR="00583971">
        <w:t>wider</w:t>
      </w:r>
      <w:r w:rsidRPr="00E634F4">
        <w:t xml:space="preserve"> supply chains. Research by Harding (2020) argued that as </w:t>
      </w:r>
      <w:r w:rsidR="00DD783A" w:rsidRPr="00E634F4">
        <w:t>county lines</w:t>
      </w:r>
      <w:r w:rsidRPr="00E634F4">
        <w:t xml:space="preserve"> operations mature, they often strengthen their position in satellite or small towns while maintaining supply routes from urban centres.</w:t>
      </w:r>
    </w:p>
    <w:p w14:paraId="3CC67CEB" w14:textId="03AC8507" w:rsidR="00E4279A" w:rsidRPr="00E634F4" w:rsidRDefault="00E4279A" w:rsidP="00E4279A">
      <w:r w:rsidRPr="00A42BBC">
        <w:t xml:space="preserve">Child </w:t>
      </w:r>
      <w:r w:rsidR="007F748B">
        <w:t>c</w:t>
      </w:r>
      <w:r w:rsidRPr="00A42BBC">
        <w:t xml:space="preserve">riminal </w:t>
      </w:r>
      <w:r w:rsidR="007F748B">
        <w:t>e</w:t>
      </w:r>
      <w:r w:rsidRPr="00A42BBC">
        <w:t xml:space="preserve">xploitation occurring in small towns and semi-rural areas presents </w:t>
      </w:r>
      <w:r w:rsidR="00A42BBC" w:rsidRPr="00A42BBC">
        <w:t xml:space="preserve">a very </w:t>
      </w:r>
      <w:r w:rsidRPr="00A42BBC">
        <w:t xml:space="preserve">significant challenge for police officers as they typically do not have the </w:t>
      </w:r>
      <w:r w:rsidR="00A42BBC" w:rsidRPr="00A42BBC">
        <w:t xml:space="preserve">commensurate </w:t>
      </w:r>
      <w:r w:rsidRPr="00A42BBC">
        <w:t xml:space="preserve">level of training and experience in such issues </w:t>
      </w:r>
      <w:r w:rsidR="00A42BBC" w:rsidRPr="00A42BBC">
        <w:t>as</w:t>
      </w:r>
      <w:r w:rsidRPr="00A42BBC">
        <w:t xml:space="preserve"> their urban counterparts.</w:t>
      </w:r>
      <w:r w:rsidRPr="00E634F4">
        <w:t xml:space="preserve"> A Police Constable (small-urban Police Force) in a northern English town affected by </w:t>
      </w:r>
      <w:r w:rsidR="005744EC" w:rsidRPr="00E634F4">
        <w:t>c</w:t>
      </w:r>
      <w:r w:rsidR="00DD783A" w:rsidRPr="00E634F4">
        <w:t>ounty lines</w:t>
      </w:r>
      <w:r w:rsidRPr="00E634F4">
        <w:t xml:space="preserve"> highlights a critical issue around awareness and recognition: “Are there lines operating locally? Yes, of course there are. There's probably a lot more lines locally than there is coming in from outside... We know that there's a lot of children being exploited much more subtly than that. I'm not sure officers are really up to speed around those types of exploitation in general.” </w:t>
      </w:r>
      <w:bookmarkStart w:id="1" w:name="_Hlk213092145"/>
      <w:r w:rsidRPr="00E634F4">
        <w:t xml:space="preserve">In the same town a psychologist working alongside law enforcement described the subtlety of local networks: </w:t>
      </w:r>
      <w:r w:rsidRPr="00E634F4">
        <w:lastRenderedPageBreak/>
        <w:t xml:space="preserve">“Occasionally you’ll hear about young people tripping off to Manchester or jumping on a train to London... But not an awful lot of that. It seems to just be happening here.” </w:t>
      </w:r>
      <w:bookmarkEnd w:id="1"/>
    </w:p>
    <w:p w14:paraId="25B31AF7" w14:textId="699F2169" w:rsidR="00E4279A" w:rsidRPr="00E634F4" w:rsidRDefault="00E4279A" w:rsidP="00E4279A">
      <w:r w:rsidRPr="00E634F4">
        <w:t xml:space="preserve">One hypothesis is that recruiting vulnerable populations in non-urban areas may be a deliberate strategy to evade the police. A senior police officer in a medium-mixed Police force in England described changes in recent years: “It tends to be that the exporting area sends people down and then [local] children might be used within our area, because they show up less, because missing reports was always a big flag.” </w:t>
      </w:r>
    </w:p>
    <w:p w14:paraId="631E362B" w14:textId="0E791DBC" w:rsidR="00E4279A" w:rsidRPr="00E634F4" w:rsidRDefault="00E4279A" w:rsidP="00E4279A">
      <w:r w:rsidRPr="00E634F4">
        <w:t xml:space="preserve"> A similar trend has been observed in </w:t>
      </w:r>
      <w:r w:rsidR="0004420D" w:rsidRPr="00E634F4">
        <w:t xml:space="preserve">a </w:t>
      </w:r>
      <w:r w:rsidRPr="00E634F4">
        <w:t xml:space="preserve">medium-mixed Police Force </w:t>
      </w:r>
      <w:r w:rsidR="00BB5B9F" w:rsidRPr="00E634F4">
        <w:t xml:space="preserve">where </w:t>
      </w:r>
      <w:r w:rsidRPr="00E634F4">
        <w:t xml:space="preserve">a Detective Superintendent reported “We still get [drug lines] coming in from London... but actually, we have a lot of internal lines now, so lines that are created and are active solely within the (our) area.” These narratives attest that </w:t>
      </w:r>
      <w:r w:rsidR="006B6914" w:rsidRPr="00E634F4">
        <w:t>p</w:t>
      </w:r>
      <w:r w:rsidRPr="00E634F4">
        <w:t xml:space="preserve">olice across the UK encounter a dual dynamic of traditional export-style operations and locally embedded exploitation. </w:t>
      </w:r>
    </w:p>
    <w:p w14:paraId="1910F18E" w14:textId="1FBBD86B" w:rsidR="00E4279A" w:rsidRDefault="00E4279A" w:rsidP="00E4279A">
      <w:r w:rsidRPr="00E634F4">
        <w:t xml:space="preserve">Reflecting on the increasingly localised picture of </w:t>
      </w:r>
      <w:r w:rsidR="001322FC">
        <w:t>c</w:t>
      </w:r>
      <w:r w:rsidRPr="00E634F4">
        <w:t xml:space="preserve">hild </w:t>
      </w:r>
      <w:r w:rsidR="001322FC">
        <w:t>c</w:t>
      </w:r>
      <w:r w:rsidRPr="00E634F4">
        <w:t xml:space="preserve">riminal </w:t>
      </w:r>
      <w:r w:rsidR="001322FC">
        <w:t>e</w:t>
      </w:r>
      <w:r w:rsidRPr="00E634F4">
        <w:t>xploitation a Detective Chief Inspector in a medium-mixed police force area commented that it questioned the meaning of ‘</w:t>
      </w:r>
      <w:r w:rsidR="00DD783A" w:rsidRPr="00E634F4">
        <w:t>county lines</w:t>
      </w:r>
      <w:r w:rsidRPr="00E634F4">
        <w:t xml:space="preserve">’: “(is) </w:t>
      </w:r>
      <w:r w:rsidR="00DD783A" w:rsidRPr="00E634F4">
        <w:t>county lines</w:t>
      </w:r>
      <w:r w:rsidRPr="00E634F4">
        <w:t xml:space="preserve"> the most useful term? I don't know... if it’s a drugs line and it’s operating within, I guess, the methodology of a county line and there’s the risk there, I don’t think we should be caught out on the geography.” This narrative presents a wider view from participants that the term is too closely aligned with the movement of drugs rather than the exploitation which underpins the phenomenon. </w:t>
      </w:r>
    </w:p>
    <w:p w14:paraId="0F2910CB" w14:textId="529455F1" w:rsidR="003718A3" w:rsidRPr="00025385" w:rsidRDefault="009159C4" w:rsidP="00E4279A">
      <w:r w:rsidRPr="00025385">
        <w:t>T</w:t>
      </w:r>
      <w:r w:rsidR="003718A3" w:rsidRPr="00025385">
        <w:t>hese accounts show that the operational visibility of exploitation is shaped by whether harm appears in a form that is legible within existing county lines frameworks. Where exploitation involves cross-boundary movement, missing episodes or links to recognised urban exporters, it is more readily understood as county lines. Where similar practices occur within local drug markets, however, they may be less visible or more difficult to categorise. This finding advances the article’s central argument by showing that localised exploitation does not sit outside the county lines problem; rather, it exposes the limits of defining drug-market exploitation primarily through movement and geography.</w:t>
      </w:r>
    </w:p>
    <w:p w14:paraId="20445096" w14:textId="77777777" w:rsidR="00042EC5" w:rsidRPr="00E634F4" w:rsidRDefault="00042EC5" w:rsidP="00042EC5">
      <w:pPr>
        <w:rPr>
          <w:b/>
          <w:bCs/>
        </w:rPr>
      </w:pPr>
      <w:r w:rsidRPr="00E634F4">
        <w:rPr>
          <w:b/>
          <w:bCs/>
        </w:rPr>
        <w:t>Resource Constraints and the Impact on Policing Effectiveness</w:t>
      </w:r>
    </w:p>
    <w:p w14:paraId="77D4580A" w14:textId="689640F8" w:rsidR="00042EC5" w:rsidRPr="00E634F4" w:rsidRDefault="00042EC5" w:rsidP="00042EC5">
      <w:r w:rsidRPr="00E634F4">
        <w:t>Policing responses to exploitation in county lines are not only shaped by the complexity of drug markets, but also by resourcing issues which can hamper their ability to identify, and safeguard exploited children and young people. Interviewees spoke of how austerity, service withdrawal and growing social need have left the police as default responders to vulnerability (see Crawford 2024</w:t>
      </w:r>
      <w:r w:rsidR="00920E3E" w:rsidRPr="00E634F4">
        <w:t>,</w:t>
      </w:r>
      <w:r w:rsidRPr="00E634F4">
        <w:t xml:space="preserve"> Patriarca 2024). Interestingly, this issue was felt most amongst smaller rural and less well-resourced police forces where they experienced significant mismatches between capacity and demand. Whilst government investment in the police has led to an increase in the number of police officers, these newly recruited officers inevitably lack experience, and</w:t>
      </w:r>
      <w:r w:rsidR="003A6896" w:rsidRPr="00E634F4">
        <w:t>,</w:t>
      </w:r>
      <w:r w:rsidRPr="00E634F4">
        <w:t xml:space="preserve"> in some cases, the training required to delineate the complexities of CCE and offending. (Williams and Sondhi, 2022). </w:t>
      </w:r>
    </w:p>
    <w:p w14:paraId="284277C3" w14:textId="046A55EB" w:rsidR="00042EC5" w:rsidRPr="00E634F4" w:rsidRDefault="00042EC5" w:rsidP="00042EC5">
      <w:r w:rsidRPr="00E634F4">
        <w:t xml:space="preserve">A crime analyst in a medium-rural Police Force on the coast of England explained: “We know what we need to do, but our ability to deliver it is going to be very much put under pressure by tightening the strings to the public purse and the pressure on people in these already difficult locations, which are the recruiting grounds for county lines, and the receiving market. We’re going to have more demand but less ability to service that demand and use the good practice that we know we want to. </w:t>
      </w:r>
      <w:r w:rsidR="00E45506" w:rsidRPr="00E634F4">
        <w:t>so,</w:t>
      </w:r>
      <w:r w:rsidRPr="00E634F4">
        <w:t xml:space="preserve"> there’s just going to be dissonance… between everything that we </w:t>
      </w:r>
      <w:r w:rsidRPr="00E634F4">
        <w:lastRenderedPageBreak/>
        <w:t xml:space="preserve">want and what we’re able to achieve.”  Furthermore, a detective sergeant in a small-mixed Police Force highlighted how resource constraints limit their ability to respond effectively at critical moments during investigations: “We can’t deal with all county lines. At some point when you reach saturation point, that overspill is going to have to be dealt with by less experienced teams… that investigation, as soon as it’s dealt with on that day, then gets put to the back of the queue…”  </w:t>
      </w:r>
    </w:p>
    <w:p w14:paraId="18F93EB2" w14:textId="77777777" w:rsidR="00042EC5" w:rsidRPr="00E634F4" w:rsidRDefault="00042EC5" w:rsidP="00042EC5">
      <w:r w:rsidRPr="00E634F4">
        <w:t xml:space="preserve">Smaller police forces are often hampered in comparison to their urban peers due to limited expertise and specialised units (like Child Exploitation Teams) which are usually concentrated in larger towns, leaving small towns and rural areas at a major disadvantage when attempting to address complex cases of criminal exploitation. An Intelligence Manager from a small-rural force explained: “We’re not a very well-funded force… so we really have to look at our spending and make sure it’s in the right places… We don’t have lots of spare officers to be able to say, ‘Oh, we’ll make a team up in this area.’” </w:t>
      </w:r>
    </w:p>
    <w:p w14:paraId="2CE6F7C0" w14:textId="755C5CDE" w:rsidR="00042EC5" w:rsidRPr="00E634F4" w:rsidRDefault="00042EC5" w:rsidP="00042EC5">
      <w:r w:rsidRPr="00E634F4">
        <w:t xml:space="preserve">Funding around county lines and exploitation is available to smaller police forces, however, officers reported that such funding is typically short-term (around 12 months), extremely competitive and is difficult to translate into long-term strategies to combat county lines and the associated exploitation. One Detective Chief Inspector from a medium-mixed Police Force felt that the funding distribution model is highly competitive and overly bureaucratic: “We rely really heavily on Home Office funding for county lines, which we apply for through the NCLCC. That is basically a bidding system. We have to bid in and beg for what we think we need… I would like the divvying up of national money to be done analytically, not based on the story presented to what they’re going to do with it.” According to interviewees from smaller forces, the outcome of this competitive funding model tends to favour the larger police forces which already benefit from greater administrative and operational capacity, leaving them with limited resources to support their areas which experience higher levels of deprivation. </w:t>
      </w:r>
    </w:p>
    <w:p w14:paraId="33BB465C" w14:textId="37B92540" w:rsidR="00042EC5" w:rsidRPr="00E634F4" w:rsidRDefault="00C93AE0" w:rsidP="00042EC5">
      <w:r>
        <w:t>T</w:t>
      </w:r>
      <w:r w:rsidR="00042EC5" w:rsidRPr="00E634F4">
        <w:t xml:space="preserve">he police recruitment drive to address the gaps caused by the austerity years has resulted in a numerically restored but often inexperienced workforce. Regarding this issue and its impacts on county lines and criminal exploitation investigations, a Detective Sergeant from a small-mixed force commented that “A less experienced team… won’t put in the same [effort], because they’re not going to have the knowledge there…” </w:t>
      </w:r>
    </w:p>
    <w:p w14:paraId="32870772" w14:textId="7C7DAAC4" w:rsidR="00042EC5" w:rsidRPr="00E634F4" w:rsidRDefault="00042EC5" w:rsidP="00042EC5">
      <w:r w:rsidRPr="00E634F4">
        <w:t xml:space="preserve">Outside of the police, local authorities (who have statutory responsibilities over child safeguarding) also reported being under-resourced and overstretched, affecting their ability to participate in multi-agency responses to exploitation. </w:t>
      </w:r>
      <w:r w:rsidR="003D22AA">
        <w:t xml:space="preserve">For </w:t>
      </w:r>
      <w:r w:rsidR="003D22AA">
        <w:t>example</w:t>
      </w:r>
      <w:r w:rsidR="003D22AA">
        <w:t>,</w:t>
      </w:r>
      <w:r w:rsidR="003D22AA" w:rsidRPr="00E634F4">
        <w:t xml:space="preserve"> </w:t>
      </w:r>
      <w:r w:rsidRPr="00E634F4">
        <w:t>one Detective Superintendent in a small-rural police force who stated that “the MASH (multi-agency safeguarding hub), at one point, was exclusively police staff… because it’s cheaper to have police staff than police officers.” Although police staff play a crucial role, the absence of trained officers in decision-making roles is a contested issue within policing, with some evidence suggesting it may compromise the quality of safeguarding decisions, while other research indicates that effective multi-agency collaboration can mitigate these challenges</w:t>
      </w:r>
      <w:r w:rsidRPr="00E634F4">
        <w:rPr>
          <w:b/>
          <w:bCs/>
        </w:rPr>
        <w:t xml:space="preserve"> </w:t>
      </w:r>
      <w:r w:rsidRPr="00E634F4">
        <w:t>(</w:t>
      </w:r>
      <w:r w:rsidR="0011487B">
        <w:t>Department for Education</w:t>
      </w:r>
      <w:r w:rsidRPr="00E634F4">
        <w:t xml:space="preserve"> 2011). </w:t>
      </w:r>
    </w:p>
    <w:p w14:paraId="013579F5" w14:textId="40A751DD" w:rsidR="00042EC5" w:rsidRPr="00E634F4" w:rsidRDefault="00042EC5" w:rsidP="00042EC5">
      <w:r w:rsidRPr="00E634F4">
        <w:t xml:space="preserve">Another Detective Superintendent from a small-mixed force highlights the difficulties in ensuring effective multi-agency safeguarding: “We do have police officers [in the MASH], but… quite a few of them are retired officers… They then go in there and carry on policing, but from a decision perspective.” Collaboration with other agencies, a cornerstone of effective safeguarding and intervention, is also hindered by resource limitations in smaller police forces </w:t>
      </w:r>
      <w:r w:rsidRPr="00E634F4">
        <w:lastRenderedPageBreak/>
        <w:t xml:space="preserve">and local authorities. One Police Analyst from a medium-rural force articulated the strain on public services: “The obstacle is the resource, available time, the capacity of the system to do this work… If you’re taking money from one place in the public purse, it’s to give to somebody else. Somebody is going to suffer.” The outcome can be that the crucial role of multi-agency partnerships is commonly reduced to merely crisis management instead of preventing such issues occurring. </w:t>
      </w:r>
    </w:p>
    <w:p w14:paraId="7B9461CD" w14:textId="3FD7584D" w:rsidR="00042EC5" w:rsidRPr="00E634F4" w:rsidRDefault="00042EC5" w:rsidP="00042EC5">
      <w:r w:rsidRPr="00E634F4">
        <w:t xml:space="preserve">It is important to note that perspectives around resource allocations from police officers must be understood in relation to their positionality. Some research </w:t>
      </w:r>
      <w:r w:rsidR="00E06C6E">
        <w:t xml:space="preserve">has </w:t>
      </w:r>
      <w:r w:rsidRPr="00E634F4">
        <w:t>suggest</w:t>
      </w:r>
      <w:r w:rsidR="00E06C6E">
        <w:t>ed</w:t>
      </w:r>
      <w:r w:rsidRPr="00E634F4">
        <w:t xml:space="preserve"> that Police often frame ‘vulnerability’ to advocate for increased resources while simultaneously pursuing intensified enforcement (Brown </w:t>
      </w:r>
      <w:r w:rsidR="007E1643" w:rsidRPr="007E1643">
        <w:rPr>
          <w:i/>
          <w:iCs/>
        </w:rPr>
        <w:t>et al.</w:t>
      </w:r>
      <w:r w:rsidRPr="00E634F4">
        <w:t xml:space="preserve"> 2025). Others argue that the Police already receive significant public resources (Fleetwood and Lea 2020)</w:t>
      </w:r>
      <w:r w:rsidR="00E45506" w:rsidRPr="00E634F4">
        <w:t xml:space="preserve">. </w:t>
      </w:r>
      <w:r w:rsidRPr="00E634F4">
        <w:t>Debates on police funding tend to focus on the national level rather than the disparities between forces</w:t>
      </w:r>
      <w:r w:rsidR="00E45506" w:rsidRPr="00E634F4">
        <w:t xml:space="preserve">. </w:t>
      </w:r>
      <w:r w:rsidRPr="00E634F4">
        <w:t>In the context of county lines, the larger and more urban forces typically have dedicated investigation and safeguarding teams with access to technology (such as phone downloads), whereas smaller forces are lacking in these areas. The resulting imbalance around how criminal exploitation cases are understood, identified and responded to constitute</w:t>
      </w:r>
      <w:r w:rsidR="009F3909">
        <w:t>s</w:t>
      </w:r>
      <w:r w:rsidRPr="00E634F4">
        <w:t xml:space="preserve"> a ‘centre-periphery’ dynamic where rural and small-town forces carry similar safeguarding responsibilities but with far fewer tools at their disposal.</w:t>
      </w:r>
    </w:p>
    <w:p w14:paraId="1D6B8ED7" w14:textId="67E2513E" w:rsidR="00900FFE" w:rsidRDefault="00042EC5" w:rsidP="00042EC5">
      <w:r w:rsidRPr="00E634F4">
        <w:t xml:space="preserve">In summary, the policing participants in this study suggested that years of underfunding and the uneven distribution of expertise result in many </w:t>
      </w:r>
      <w:r w:rsidR="008B0271">
        <w:t>p</w:t>
      </w:r>
      <w:r w:rsidRPr="00E634F4">
        <w:t xml:space="preserve">olice </w:t>
      </w:r>
      <w:r w:rsidR="008B0271">
        <w:t>f</w:t>
      </w:r>
      <w:r w:rsidRPr="00E634F4">
        <w:t xml:space="preserve">orces being ill-equipped to combat increasingly sophisticated exploitation networks. This ‘Postcode Lottery’ undermines national efforts to disrupt county lines networks and to identify and safeguard victims consistently (Harding 2023). </w:t>
      </w:r>
      <w:r w:rsidR="00551135">
        <w:t xml:space="preserve">Furthermore, it is clear that any strategies to combat the county lines </w:t>
      </w:r>
      <w:r w:rsidR="00551135" w:rsidRPr="00CD1A9D">
        <w:t xml:space="preserve">methodology </w:t>
      </w:r>
      <w:r w:rsidR="00554A7C">
        <w:t xml:space="preserve">should </w:t>
      </w:r>
      <w:r w:rsidR="00554A7C" w:rsidRPr="00CD1A9D">
        <w:t xml:space="preserve"> </w:t>
      </w:r>
      <w:r w:rsidR="00081B7E" w:rsidRPr="00CD1A9D">
        <w:t xml:space="preserve">be paired with interventions to address </w:t>
      </w:r>
      <w:r w:rsidR="009B2791" w:rsidRPr="00CD1A9D">
        <w:t xml:space="preserve">the structural and social </w:t>
      </w:r>
      <w:r w:rsidR="00015BD3">
        <w:t>vulnerabilities</w:t>
      </w:r>
      <w:r w:rsidR="009B2791" w:rsidRPr="00CD1A9D">
        <w:t>.</w:t>
      </w:r>
      <w:r w:rsidR="00DD7275">
        <w:t xml:space="preserve"> </w:t>
      </w:r>
    </w:p>
    <w:p w14:paraId="685B9097" w14:textId="1F28C1FC" w:rsidR="00CF1AE0" w:rsidRDefault="00CF1AE0" w:rsidP="00042EC5">
      <w:r w:rsidRPr="00CF1AE0">
        <w:t>These findings show that localised exploitation is not only a conceptual challenge, but also an institutional one. Smaller and less well-resourced forces may be expected to identify, investigate and safeguard against forms of exploitation that resemble county lines in method, but without the specialist capacity, analytical infrastructure or sustained funding available to larger urban forces. This matters because the recognition of exploitation is shaped not simply by the presence of harm, but by the organisational capacity to detect, name and respond to it. The uneven distribution of policing and safeguarding resources therefore risks producing uneven protection for exploited children and vulnerable adults.</w:t>
      </w:r>
    </w:p>
    <w:p w14:paraId="1B3011BF" w14:textId="5C648A75" w:rsidR="00333F33" w:rsidRPr="00E634F4" w:rsidRDefault="00333F33" w:rsidP="279A7FF1">
      <w:pPr>
        <w:rPr>
          <w:b/>
          <w:bCs/>
        </w:rPr>
      </w:pPr>
      <w:r w:rsidRPr="00E634F4">
        <w:rPr>
          <w:b/>
          <w:bCs/>
        </w:rPr>
        <w:t>Poverty and Place: Comparing Rural, Coastal, and Urban Contexts of Exploitation</w:t>
      </w:r>
    </w:p>
    <w:p w14:paraId="49B50689" w14:textId="70539EFF" w:rsidR="00702FC2" w:rsidRPr="00E634F4" w:rsidRDefault="00702FC2" w:rsidP="00702FC2">
      <w:r w:rsidRPr="00E634F4">
        <w:t xml:space="preserve">It is worth noting that the driving forces of structural deprivation are not novel but must be considered in the context of historical processes. For example, a senior Police officer in a medium-mixed force stated that many market towns on the periphery of larger cities have “always had high levels of deprivation” with high unemployment and low educational </w:t>
      </w:r>
      <w:r w:rsidR="00357955" w:rsidRPr="00E634F4">
        <w:t>attainment</w:t>
      </w:r>
      <w:r w:rsidRPr="00E634F4">
        <w:t xml:space="preserve">. </w:t>
      </w:r>
      <w:r w:rsidR="001A3F45" w:rsidRPr="00E634F4">
        <w:t>I</w:t>
      </w:r>
      <w:r w:rsidRPr="00E634F4">
        <w:t xml:space="preserve">n many large cities, these factors are well understood in urban areas and make young people </w:t>
      </w:r>
      <w:r w:rsidR="00053D36">
        <w:t>vulnerable</w:t>
      </w:r>
      <w:r w:rsidR="00053D36" w:rsidRPr="00E634F4">
        <w:t xml:space="preserve"> </w:t>
      </w:r>
      <w:r w:rsidR="00FF1A35" w:rsidRPr="00E634F4">
        <w:t>to</w:t>
      </w:r>
      <w:r w:rsidRPr="00E634F4">
        <w:t xml:space="preserve"> exploitation by </w:t>
      </w:r>
      <w:r w:rsidR="00DD783A" w:rsidRPr="00E634F4">
        <w:t>county lines</w:t>
      </w:r>
      <w:r w:rsidRPr="00E634F4">
        <w:t xml:space="preserve"> gangs. </w:t>
      </w:r>
    </w:p>
    <w:p w14:paraId="2E88A8F9" w14:textId="5547BF52" w:rsidR="002A1837" w:rsidRPr="00854BC1" w:rsidRDefault="00A53D52" w:rsidP="002A1837">
      <w:pPr>
        <w:rPr>
          <w:highlight w:val="yellow"/>
        </w:rPr>
      </w:pPr>
      <w:r w:rsidRPr="00025385">
        <w:t>Participants in the study commonly made comparison between the socioeconomic conditions in rural, semi-rural and coastal areas, and the urban areas more commonly associated with county lines, and influencing factors such as poverty, reduced spending on public services, and limited youth provision.</w:t>
      </w:r>
      <w:r w:rsidR="002A1837" w:rsidRPr="00E634F4">
        <w:t xml:space="preserve"> In the view of a police officer, criminal activities are concentrated in </w:t>
      </w:r>
      <w:r w:rsidR="002A1837" w:rsidRPr="00E634F4">
        <w:lastRenderedPageBreak/>
        <w:t xml:space="preserve">deprived housing estates within a northern English town (in a medium-urban Police Force area): “Anywhere there's very, very cheap social housing... That’s where your cannabis farms are.” </w:t>
      </w:r>
    </w:p>
    <w:p w14:paraId="73433338" w14:textId="1C636514" w:rsidR="00702FC2" w:rsidRPr="00E634F4" w:rsidRDefault="00702FC2" w:rsidP="00702FC2">
      <w:r w:rsidRPr="00E634F4">
        <w:t xml:space="preserve">Economic fragility in </w:t>
      </w:r>
      <w:r w:rsidR="00462402">
        <w:t xml:space="preserve">coastal areas reliant upon seasonal tourism </w:t>
      </w:r>
      <w:r w:rsidRPr="00E634F4">
        <w:t>makes them attractive markets for drug gangs in terms of distribution and the recruitment of vulnerable young people. One Crime Analyst in a medium-rural police force explains, “It’s (</w:t>
      </w:r>
      <w:r w:rsidR="00DD783A" w:rsidRPr="00E634F4">
        <w:t>county lines</w:t>
      </w:r>
      <w:r w:rsidRPr="00E634F4">
        <w:t xml:space="preserve">) an economic model. They will do it if they can get a foot in there.” This expresses how criminal networks </w:t>
      </w:r>
      <w:r w:rsidR="007D1377">
        <w:t xml:space="preserve">may </w:t>
      </w:r>
      <w:r w:rsidRPr="00E634F4">
        <w:t xml:space="preserve">exploit existing economic disparities to establish and expand their operations. Interviewees from other coastal areas </w:t>
      </w:r>
      <w:r w:rsidR="00040EED">
        <w:t>suggested that</w:t>
      </w:r>
      <w:r w:rsidRPr="00E634F4">
        <w:t xml:space="preserve"> economic desperation constrains young peoples’ agency. A Detective Superintendent in a small-urban police force. referring to young people living on large coastal housing estates, presents a hypothetical contrast: “If you're… on a massive estate... if someone offers you the opportunity to</w:t>
      </w:r>
      <w:r w:rsidR="005970F3" w:rsidRPr="00E634F4">
        <w:t>…</w:t>
      </w:r>
      <w:r w:rsidRPr="00E634F4">
        <w:t xml:space="preserve"> better yourself... Where's your choices?” </w:t>
      </w:r>
    </w:p>
    <w:p w14:paraId="20AD76E4" w14:textId="6A9E7819" w:rsidR="00370595" w:rsidRPr="001E3C22" w:rsidRDefault="00370595" w:rsidP="00370595">
      <w:r w:rsidRPr="00E634F4">
        <w:t>A junior police officer in a medium-mixed force observes, “The cost-of-living crisis is going to be a massive push-pull factor for families and for exploited people... That goes with all vulnerability.” Another officer captures the experiences of impoverished families: “You’ve got children who literally have nothing... One of the families that I've seen, their sister is knocking on neighbours' doors asking for toilet roll</w:t>
      </w:r>
      <w:r w:rsidRPr="001E3C22">
        <w:t>.”</w:t>
      </w:r>
      <w:r w:rsidRPr="001E3C22">
        <w:rPr>
          <w:b/>
          <w:bCs/>
        </w:rPr>
        <w:t xml:space="preserve"> </w:t>
      </w:r>
      <w:r w:rsidRPr="001E3C22">
        <w:rPr>
          <w:rFonts w:ascii="Times New Roman" w:eastAsia="Times New Roman" w:hAnsi="Times New Roman" w:cs="Times New Roman"/>
          <w:kern w:val="0"/>
          <w:sz w:val="24"/>
          <w:szCs w:val="24"/>
          <w:lang w:eastAsia="en-GB"/>
          <w14:ligatures w14:val="none"/>
        </w:rPr>
        <w:t xml:space="preserve"> </w:t>
      </w:r>
      <w:r w:rsidR="00AA0516" w:rsidRPr="001E3C22">
        <w:t>This reinforces the viewpoint that</w:t>
      </w:r>
      <w:r w:rsidR="00AA0516">
        <w:t xml:space="preserve"> child criminal exploitation in </w:t>
      </w:r>
      <w:r w:rsidR="00935E41">
        <w:t>c</w:t>
      </w:r>
      <w:r w:rsidR="00AA0516">
        <w:t xml:space="preserve">ounty </w:t>
      </w:r>
      <w:r w:rsidR="00935E41">
        <w:t>l</w:t>
      </w:r>
      <w:r w:rsidR="00AA0516">
        <w:t>ines is linked to and shaped by socioeconomic conditions which are not confined to urban areas.</w:t>
      </w:r>
    </w:p>
    <w:p w14:paraId="55FCE061" w14:textId="3C591FA4" w:rsidR="008E05B2" w:rsidRPr="00E634F4" w:rsidRDefault="008E05B2" w:rsidP="008E05B2">
      <w:r w:rsidRPr="001E3C22">
        <w:t xml:space="preserve">Interviewees attributed the rise of </w:t>
      </w:r>
      <w:r w:rsidR="00DD783A" w:rsidRPr="001E3C22">
        <w:t>county lines</w:t>
      </w:r>
      <w:r w:rsidRPr="001E3C22">
        <w:t xml:space="preserve"> exploitation in rural areas to systemic underinvestment in youth services, leaving young people without safe, affordable activities and increasing their vulnerability to exploitation.</w:t>
      </w:r>
      <w:r w:rsidRPr="00E634F4">
        <w:t xml:space="preserve"> As one example, a Detective Inspector in a small-mixed police force noted that: “When I was growing up, there were youth clubs… Those things aren’t available now.” In some areas, the lack of social support intersects with prevailing structural challenges, including youth unemployment and poor educational outcomes in formerly industrial localities and market towns, forming ripe conditions for </w:t>
      </w:r>
      <w:r w:rsidR="001322FC">
        <w:t>c</w:t>
      </w:r>
      <w:r w:rsidR="007F67B9" w:rsidRPr="00E634F4">
        <w:t xml:space="preserve">hild </w:t>
      </w:r>
      <w:r w:rsidR="001322FC">
        <w:t>c</w:t>
      </w:r>
      <w:r w:rsidR="007F67B9" w:rsidRPr="00E634F4">
        <w:t xml:space="preserve">riminal </w:t>
      </w:r>
      <w:r w:rsidR="001322FC">
        <w:t>e</w:t>
      </w:r>
      <w:r w:rsidR="001322FC" w:rsidRPr="00E634F4">
        <w:t xml:space="preserve">xploitation </w:t>
      </w:r>
      <w:r w:rsidRPr="00E634F4">
        <w:t xml:space="preserve">to occur. As one community worker in a deprived rural area in the North of England stated, the challenges associated with developing youth engagement strategies to combat </w:t>
      </w:r>
      <w:r w:rsidR="00DD783A" w:rsidRPr="00E634F4">
        <w:t>county lines</w:t>
      </w:r>
      <w:r w:rsidRPr="00E634F4">
        <w:t xml:space="preserve"> could seem impossible; ‘brilliant… but do you know what? It doesn't f</w:t>
      </w:r>
      <w:r w:rsidR="00DB5A83" w:rsidRPr="00E634F4">
        <w:t>******</w:t>
      </w:r>
      <w:r w:rsidRPr="00E634F4">
        <w:t xml:space="preserve"> matter because some of these people don't have shoes… think of it in those terms’. </w:t>
      </w:r>
    </w:p>
    <w:p w14:paraId="2DF8BF42" w14:textId="421F9990" w:rsidR="00702FC2" w:rsidRPr="00E634F4" w:rsidRDefault="00702FC2" w:rsidP="00702FC2">
      <w:r w:rsidRPr="00E634F4">
        <w:t xml:space="preserve">One youth worker from a seaside town in a medium-rural Police force linked cuts to youth provision to exacerbated vulnerabilities: “Youth centres have shut down... Money is a big problem, isn't it, for all of it.” However, a police officer in the same location noted how the erosion of state structures and educational provisions resulted in young people from “low-income housing, deprived areas” being unable to “fit the normal societal structures of school,” </w:t>
      </w:r>
      <w:r w:rsidR="00FA2B27" w:rsidRPr="00DF7481">
        <w:t xml:space="preserve">which the participant interpreted as </w:t>
      </w:r>
      <w:r w:rsidR="00FA2B27">
        <w:t>a contributing factor in the increased</w:t>
      </w:r>
      <w:r w:rsidR="00FA2B27" w:rsidRPr="00DF7481">
        <w:t xml:space="preserve"> vulnerability </w:t>
      </w:r>
      <w:r w:rsidR="00FA2B27">
        <w:t xml:space="preserve">of young people </w:t>
      </w:r>
      <w:r w:rsidR="00FA2B27" w:rsidRPr="00DF7481">
        <w:t>to drug-market exploitation</w:t>
      </w:r>
      <w:r w:rsidR="00FA2B27">
        <w:t>.</w:t>
      </w:r>
      <w:r w:rsidRPr="00E634F4">
        <w:t>.</w:t>
      </w:r>
    </w:p>
    <w:p w14:paraId="26727B5F" w14:textId="416DCB96" w:rsidR="0096744A" w:rsidRDefault="00522BE9" w:rsidP="00DA1E24">
      <w:r w:rsidRPr="00B52C79">
        <w:t xml:space="preserve">When the interviewees are asked whether </w:t>
      </w:r>
      <w:r w:rsidR="00DD783A" w:rsidRPr="00B52C79">
        <w:t>county lines</w:t>
      </w:r>
      <w:r w:rsidRPr="00B52C79">
        <w:t xml:space="preserve"> or </w:t>
      </w:r>
      <w:r w:rsidR="001322FC">
        <w:t>c</w:t>
      </w:r>
      <w:r w:rsidR="001322FC" w:rsidRPr="00B52C79">
        <w:t xml:space="preserve">hild </w:t>
      </w:r>
      <w:r w:rsidR="001322FC">
        <w:t>c</w:t>
      </w:r>
      <w:r w:rsidR="001322FC" w:rsidRPr="00B52C79">
        <w:t xml:space="preserve">riminal </w:t>
      </w:r>
      <w:r w:rsidR="00B250EE">
        <w:t>e</w:t>
      </w:r>
      <w:r w:rsidR="001322FC" w:rsidRPr="00B52C79">
        <w:t xml:space="preserve">xploitation </w:t>
      </w:r>
      <w:r w:rsidRPr="00B52C79">
        <w:t>were significant issues in their localities, the overwhelming majority outline</w:t>
      </w:r>
      <w:r w:rsidR="00276405" w:rsidRPr="00B52C79">
        <w:t>d</w:t>
      </w:r>
      <w:r w:rsidRPr="00B52C79">
        <w:t xml:space="preserve"> how the issue had evolved on a local level and attributed them to a wider social and economic decline. Furthermore, police officers, youth workers and safeguarding practitioners often began by reflecting on changes over time, often citing reductions in youth services, rising deprivation, and the visibility of young people becoming involved in drug supply. </w:t>
      </w:r>
      <w:r w:rsidR="00583515" w:rsidRPr="00B52C79">
        <w:t>T</w:t>
      </w:r>
      <w:r w:rsidRPr="00B52C79">
        <w:t>hese</w:t>
      </w:r>
      <w:r w:rsidRPr="00E634F4">
        <w:t xml:space="preserve"> reflections frequently prompted comparisons between their local towns, coastal areas or villages and the inner-city areas where </w:t>
      </w:r>
      <w:r w:rsidR="00DD783A" w:rsidRPr="00E634F4">
        <w:t>county lines</w:t>
      </w:r>
      <w:r w:rsidRPr="00E634F4">
        <w:t xml:space="preserve"> first emerged.</w:t>
      </w:r>
      <w:r w:rsidR="005A331A" w:rsidRPr="00E634F4">
        <w:rPr>
          <w:rFonts w:ascii="Times New Roman" w:eastAsia="Times New Roman" w:hAnsi="Times New Roman" w:cs="Times New Roman"/>
          <w:kern w:val="0"/>
          <w:sz w:val="24"/>
          <w:szCs w:val="24"/>
          <w:lang w:eastAsia="en-GB"/>
          <w14:ligatures w14:val="none"/>
        </w:rPr>
        <w:t xml:space="preserve"> </w:t>
      </w:r>
      <w:r w:rsidR="005A331A" w:rsidRPr="00E634F4">
        <w:t xml:space="preserve">Many interviewees felt that growing up in deprived rural </w:t>
      </w:r>
      <w:r w:rsidR="005A331A" w:rsidRPr="00E634F4">
        <w:lastRenderedPageBreak/>
        <w:t xml:space="preserve">areas with scarce education or employment opportunities is comparable to the urban environments where the </w:t>
      </w:r>
      <w:r w:rsidR="00DD783A" w:rsidRPr="00E634F4">
        <w:t>county lines</w:t>
      </w:r>
      <w:r w:rsidR="005A331A" w:rsidRPr="00E634F4">
        <w:t xml:space="preserve"> methodology first emerged (see Coomber </w:t>
      </w:r>
      <w:r w:rsidR="00570F04" w:rsidRPr="00E634F4">
        <w:t>and</w:t>
      </w:r>
      <w:r w:rsidR="005A331A" w:rsidRPr="00E634F4">
        <w:t xml:space="preserve"> Moyle 2018).</w:t>
      </w:r>
      <w:r w:rsidR="00A54785" w:rsidRPr="00E634F4">
        <w:t xml:space="preserve"> </w:t>
      </w:r>
    </w:p>
    <w:p w14:paraId="6140EAD5" w14:textId="3336DEA8" w:rsidR="00E367ED" w:rsidRPr="00E33768" w:rsidRDefault="00CF1AE0" w:rsidP="00E367ED">
      <w:r w:rsidRPr="00025385">
        <w:t>Taken together, these accounts do not provide direct causal evidence of why young people become involved in drug markets. Rather, they show how police officers, youth workers and safeguarding professionals interpret local exploitation through the intersecting conditions of poverty, service withdrawal, limited youth provision and place-based inequality. This is analytically important because these professional understandings shape how exploitation is recognised, prioritised and acted upon. The findings therefore support the use of PHC as an interpretive lens, while also requiring caution about the evidential limits of professional accounts when explaining the structural causes of child criminal exploitation.</w:t>
      </w:r>
      <w:r w:rsidR="00053D6C">
        <w:rPr>
          <w:b/>
          <w:bCs/>
        </w:rPr>
        <w:t xml:space="preserve"> </w:t>
      </w:r>
    </w:p>
    <w:p w14:paraId="0179AE2E" w14:textId="127DD59B" w:rsidR="00CF1AE0" w:rsidRPr="00E634F4" w:rsidRDefault="00CF1AE0" w:rsidP="00DA1E24">
      <w:pPr>
        <w:rPr>
          <w:b/>
          <w:bCs/>
        </w:rPr>
      </w:pPr>
    </w:p>
    <w:p w14:paraId="61CF5CD2" w14:textId="3B52AAF1" w:rsidR="00CF6DB4" w:rsidRDefault="00CF6DB4" w:rsidP="00DA1E24">
      <w:pPr>
        <w:rPr>
          <w:b/>
          <w:bCs/>
        </w:rPr>
      </w:pPr>
      <w:r>
        <w:rPr>
          <w:b/>
          <w:bCs/>
        </w:rPr>
        <w:t>Discussion</w:t>
      </w:r>
    </w:p>
    <w:p w14:paraId="3282FCCB" w14:textId="39BAA4DE" w:rsidR="00CF6DB4" w:rsidRDefault="00FD072C" w:rsidP="00DA1E24">
      <w:r>
        <w:t xml:space="preserve">The findings </w:t>
      </w:r>
      <w:r w:rsidR="000840AB">
        <w:t xml:space="preserve">show how county lines </w:t>
      </w:r>
      <w:r w:rsidR="00537440">
        <w:t xml:space="preserve">and </w:t>
      </w:r>
      <w:r w:rsidR="00366CE6">
        <w:t>child crim</w:t>
      </w:r>
      <w:r w:rsidR="00F459A5">
        <w:t xml:space="preserve">inal exploitation </w:t>
      </w:r>
      <w:r w:rsidR="00537440">
        <w:t>ha</w:t>
      </w:r>
      <w:r w:rsidR="00E407CD">
        <w:t>ve</w:t>
      </w:r>
      <w:r w:rsidR="00B37A3D">
        <w:t xml:space="preserve"> </w:t>
      </w:r>
      <w:r w:rsidR="00537440">
        <w:t xml:space="preserve">become increasingly localised, subtle, and embedded within </w:t>
      </w:r>
      <w:r w:rsidR="00241FBA">
        <w:t xml:space="preserve">areas experiencing significant structural inequalities. </w:t>
      </w:r>
      <w:r w:rsidR="001F678F">
        <w:t>Rather than being a novel phenomenon</w:t>
      </w:r>
      <w:r w:rsidR="00024166">
        <w:t xml:space="preserve">, our evidence suggests that </w:t>
      </w:r>
      <w:r w:rsidR="00F459A5">
        <w:t>child criminal exploitation</w:t>
      </w:r>
      <w:r w:rsidR="00F459A5" w:rsidDel="00F459A5">
        <w:t xml:space="preserve"> </w:t>
      </w:r>
      <w:r w:rsidR="00024166">
        <w:t xml:space="preserve">and county lines </w:t>
      </w:r>
      <w:r w:rsidR="0042013E">
        <w:t>have become increasingly visible</w:t>
      </w:r>
      <w:r w:rsidR="006E7C72">
        <w:t xml:space="preserve">, posing challenges </w:t>
      </w:r>
      <w:r w:rsidR="00096AE8">
        <w:t>for how</w:t>
      </w:r>
      <w:r w:rsidR="006E7C72">
        <w:t xml:space="preserve"> harms associated with </w:t>
      </w:r>
      <w:r w:rsidR="003A7218">
        <w:t xml:space="preserve">exploitative drug distribution models </w:t>
      </w:r>
      <w:r w:rsidR="006975AA">
        <w:t xml:space="preserve">are identified, prioritised and responded to. </w:t>
      </w:r>
    </w:p>
    <w:p w14:paraId="68AE321B" w14:textId="521EE531" w:rsidR="00AE2E4D" w:rsidRPr="00E33768" w:rsidRDefault="002E48C4" w:rsidP="00AE2E4D">
      <w:r>
        <w:t>The first contribution is conceptual</w:t>
      </w:r>
      <w:r w:rsidR="00200533">
        <w:t>. L</w:t>
      </w:r>
      <w:r>
        <w:t xml:space="preserve">ocalised exploitation </w:t>
      </w:r>
      <w:r w:rsidR="000E030D">
        <w:t xml:space="preserve">exposes the limits of </w:t>
      </w:r>
      <w:r w:rsidR="00CB11E5">
        <w:t xml:space="preserve">defining drug-market exploitation through a geographic lens. </w:t>
      </w:r>
      <w:r w:rsidR="00AE2E4D">
        <w:t>This is not to say that</w:t>
      </w:r>
      <w:r w:rsidR="004D7639">
        <w:t xml:space="preserve"> the term</w:t>
      </w:r>
      <w:r w:rsidR="00AE2E4D">
        <w:t xml:space="preserve"> ‘county lines’  should be abolished as a label</w:t>
      </w:r>
      <w:r w:rsidR="004D7639">
        <w:t xml:space="preserve"> </w:t>
      </w:r>
      <w:r w:rsidR="00057A69">
        <w:t xml:space="preserve">as </w:t>
      </w:r>
      <w:r w:rsidR="00AE2E4D">
        <w:t>it</w:t>
      </w:r>
      <w:r w:rsidR="00A04334">
        <w:t xml:space="preserve"> </w:t>
      </w:r>
      <w:r w:rsidR="00A5302C">
        <w:t xml:space="preserve">has an </w:t>
      </w:r>
      <w:r w:rsidR="00AE2E4D">
        <w:t>established presence within the public’s consciousness</w:t>
      </w:r>
      <w:r w:rsidR="00A04334">
        <w:t>.</w:t>
      </w:r>
      <w:r w:rsidR="00AE2E4D">
        <w:t xml:space="preserve"> Instead, this research builds upon existing critiques which highlight how the term is politically loaded (Koch 2026</w:t>
      </w:r>
      <w:r w:rsidR="00AF429D">
        <w:t>a</w:t>
      </w:r>
      <w:r w:rsidR="00AE2E4D">
        <w:t>; Spicer, 2025) by positioning</w:t>
      </w:r>
      <w:r w:rsidR="00F0258C">
        <w:t xml:space="preserve"> the</w:t>
      </w:r>
      <w:r w:rsidR="00AE2E4D">
        <w:t xml:space="preserve"> </w:t>
      </w:r>
      <w:r w:rsidR="00F0258C">
        <w:t>c</w:t>
      </w:r>
      <w:r w:rsidR="00AE2E4D">
        <w:t xml:space="preserve">ounty </w:t>
      </w:r>
      <w:r w:rsidR="00F0258C">
        <w:t>l</w:t>
      </w:r>
      <w:r w:rsidR="00AE2E4D">
        <w:t xml:space="preserve">ines </w:t>
      </w:r>
      <w:r w:rsidR="00F0258C">
        <w:t xml:space="preserve">issue </w:t>
      </w:r>
      <w:r w:rsidR="00AE2E4D">
        <w:t xml:space="preserve">as one of drug-market related exploitation, rather than the predominant model through which all forms of associated harms are recognised. </w:t>
      </w:r>
    </w:p>
    <w:p w14:paraId="54B2908D" w14:textId="538D55F8" w:rsidR="00214FF4" w:rsidRPr="00CD405E" w:rsidRDefault="0044072E" w:rsidP="00DA1E24">
      <w:r>
        <w:t>The second contribution pertains to the capacity of the Police, partners and safeguarding agencies. We have shown that smaller police forces are expected to recognise, identify and respond to forms of exploitation that are commonly associated with County Lines, yet they lack the specialist skills, analytical tools and sustained resource capacity afforded to larger (and typically urban) police forces. Addressing this issue is crucial in developing a cohesive and national response to County Lines.</w:t>
      </w:r>
      <w:r w:rsidR="00A447D5">
        <w:t xml:space="preserve"> If resourcing to combat </w:t>
      </w:r>
      <w:r w:rsidR="007F748B">
        <w:t>c</w:t>
      </w:r>
      <w:r w:rsidR="00A447D5">
        <w:t xml:space="preserve">ounty </w:t>
      </w:r>
      <w:r w:rsidR="007F748B">
        <w:t>l</w:t>
      </w:r>
      <w:r w:rsidR="00A447D5">
        <w:t xml:space="preserve">ines continues to be organised around the existing structures, smaller police forces will remain constrained in their duty to  protect vulnerable young people </w:t>
      </w:r>
      <w:r w:rsidR="009046FA">
        <w:t xml:space="preserve">and vulnerable adults </w:t>
      </w:r>
      <w:r w:rsidR="00A447D5">
        <w:t xml:space="preserve">from drug-market associated exploitation. A new strategy which foregrounds exploitation over the transportation of drugs across police borders would enable a more equitable distribution of resources, expertise and tools in </w:t>
      </w:r>
      <w:r w:rsidR="00A447D5" w:rsidRPr="00AF6402">
        <w:t>smaller, rural, semi-rural and coastal forces where drug-market exploitation may be locally embedded.</w:t>
      </w:r>
      <w:r w:rsidR="00691ADF">
        <w:t xml:space="preserve"> </w:t>
      </w:r>
      <w:r w:rsidR="00214FF4" w:rsidRPr="00CD405E">
        <w:t>These findings also have implications for national county lines strategy and the allocation of policing and safeguarding resources. Where funding and operational attention are organised primarily around exporter–importer relationships, urban source areas and cross-boundary movement, localised exploitation may be less visible in rural, semi-rural and coastal force areas. A more equitable approach would take account of local safeguarding demand, specialist investigative and digital capacity, and the ability of partner agencies to identify and respond to exploitation before it reaches crisis point.</w:t>
      </w:r>
    </w:p>
    <w:p w14:paraId="55855151" w14:textId="12A74970" w:rsidR="00A46EBB" w:rsidRDefault="00A46EBB" w:rsidP="000505BE"/>
    <w:p w14:paraId="59DC5591" w14:textId="027C76D8" w:rsidR="008F3512" w:rsidRDefault="008336E3" w:rsidP="00DA1E24">
      <w:r w:rsidRPr="008336E3">
        <w:lastRenderedPageBreak/>
        <w:t>The third contribution is theoretical.</w:t>
      </w:r>
      <w:r>
        <w:t xml:space="preserve"> Utilising</w:t>
      </w:r>
      <w:r w:rsidRPr="008336E3">
        <w:t xml:space="preserve"> </w:t>
      </w:r>
      <w:r w:rsidRPr="00025385">
        <w:t>PHC as an interpretive framework</w:t>
      </w:r>
      <w:r w:rsidRPr="008336E3">
        <w:rPr>
          <w:b/>
          <w:bCs/>
        </w:rPr>
        <w:t xml:space="preserve"> </w:t>
      </w:r>
      <w:r w:rsidRPr="008336E3">
        <w:t xml:space="preserve">shifts attention from post-harm enforcement towards prevention, place-based inequality, safeguarding capacity and the ability of policing and partner agencies to respond before exploitation reaches crisis point. </w:t>
      </w:r>
    </w:p>
    <w:p w14:paraId="25B057F2" w14:textId="607ACB1F" w:rsidR="00DA1E24" w:rsidRPr="00E634F4" w:rsidRDefault="00DA1E24" w:rsidP="00DA1E24">
      <w:pPr>
        <w:rPr>
          <w:b/>
          <w:bCs/>
        </w:rPr>
      </w:pPr>
      <w:r w:rsidRPr="00E634F4">
        <w:rPr>
          <w:b/>
          <w:bCs/>
        </w:rPr>
        <w:t>Conclusion and Policy Implications</w:t>
      </w:r>
    </w:p>
    <w:p w14:paraId="4D1980E0" w14:textId="4C5AC81F" w:rsidR="00764094" w:rsidRDefault="007B002C" w:rsidP="00EB0634">
      <w:r w:rsidRPr="00E634F4">
        <w:t xml:space="preserve">This article has utilised data from the first </w:t>
      </w:r>
      <w:r w:rsidR="00861957">
        <w:t>UK-wide</w:t>
      </w:r>
      <w:r w:rsidRPr="00E634F4">
        <w:t xml:space="preserve"> study on </w:t>
      </w:r>
      <w:r w:rsidR="00DD783A" w:rsidRPr="00E634F4">
        <w:t>county lines</w:t>
      </w:r>
      <w:r w:rsidRPr="00E634F4">
        <w:t xml:space="preserve"> to show that </w:t>
      </w:r>
      <w:r w:rsidR="00205DB4">
        <w:t xml:space="preserve">exploitation can be subtle and </w:t>
      </w:r>
      <w:r w:rsidR="00EA4C2C">
        <w:t>occur within non-urban drug markets</w:t>
      </w:r>
      <w:r w:rsidR="004A1A9F">
        <w:t>.</w:t>
      </w:r>
      <w:r w:rsidRPr="00E634F4">
        <w:t xml:space="preserve"> </w:t>
      </w:r>
      <w:r w:rsidR="009F5B4E" w:rsidRPr="00E634F4">
        <w:t>The findings also reveal that exploitation can be local and does not necessarily involve vulnerable individuals travelling across borders</w:t>
      </w:r>
      <w:r w:rsidR="00E45506" w:rsidRPr="00E634F4">
        <w:t xml:space="preserve">. </w:t>
      </w:r>
      <w:r w:rsidR="00CD088B">
        <w:t>It is important to note that this article does not negate the importance of cross-border movements of exploited young people and drugs. Instead, it calls for the refinement of the term to place a greater emphasis o</w:t>
      </w:r>
      <w:r w:rsidR="00297FFA">
        <w:t>n</w:t>
      </w:r>
      <w:r w:rsidR="00CD088B">
        <w:t xml:space="preserve"> the central feature of exploitation as these findings indicate that </w:t>
      </w:r>
      <w:r w:rsidR="00CD088B" w:rsidRPr="000E2345">
        <w:t>movement alone is insufficient for identifying the full range of harms associated with drug-market exploitation</w:t>
      </w:r>
      <w:r w:rsidR="00CD088B">
        <w:t>.</w:t>
      </w:r>
      <w:r w:rsidR="00AB7367">
        <w:t xml:space="preserve"> </w:t>
      </w:r>
      <w:r w:rsidRPr="00B15715">
        <w:t xml:space="preserve">Such an approach </w:t>
      </w:r>
      <w:r w:rsidR="005E1ED4">
        <w:t>may assist</w:t>
      </w:r>
      <w:r w:rsidRPr="00B15715">
        <w:t xml:space="preserve"> smaller police forces to effectively identify and dismantle local and external exploitative networks. </w:t>
      </w:r>
      <w:r w:rsidR="00572558" w:rsidRPr="00B15715">
        <w:t xml:space="preserve">This need is amplified by evidence suggesting that localised exploitation occurs under the radar. </w:t>
      </w:r>
    </w:p>
    <w:p w14:paraId="68169459" w14:textId="58A1C60A" w:rsidR="00D544D2" w:rsidRPr="00AC1EEE" w:rsidRDefault="00242EFC" w:rsidP="00D544D2">
      <w:r w:rsidRPr="00025385">
        <w:t>A PHC-informed approach is useful here as an interpretive lens, not as a claim that the data directly establish the structural causes of exploitation. Its value lies in connecting professional accounts of localised exploitation to prevention, service withdrawal, place-based inequality, safeguarding capacity and the need for more evenly distributed institutional support.</w:t>
      </w:r>
      <w:r w:rsidR="00C354DF">
        <w:t xml:space="preserve"> </w:t>
      </w:r>
      <w:r w:rsidR="00D544D2" w:rsidRPr="00AC1EEE">
        <w:t xml:space="preserve">Reconceptualising </w:t>
      </w:r>
      <w:r w:rsidR="00DD783A" w:rsidRPr="00AC1EEE">
        <w:t>county lines</w:t>
      </w:r>
      <w:r w:rsidR="00D544D2" w:rsidRPr="00AC1EEE">
        <w:t xml:space="preserve"> </w:t>
      </w:r>
      <w:r w:rsidR="00D7044A" w:rsidRPr="00AC1EEE">
        <w:t xml:space="preserve">with a greater focus </w:t>
      </w:r>
      <w:r w:rsidR="00FD2D00" w:rsidRPr="00AC1EEE">
        <w:t xml:space="preserve">on criminal exploitation </w:t>
      </w:r>
      <w:r w:rsidR="009957FD" w:rsidRPr="00AC1EEE">
        <w:t xml:space="preserve">may encourage greater consistency </w:t>
      </w:r>
      <w:r w:rsidR="00AC1EEE" w:rsidRPr="00AC1EEE">
        <w:t xml:space="preserve">in the </w:t>
      </w:r>
      <w:r w:rsidR="005C52B8" w:rsidRPr="005C52B8">
        <w:t>identification, safeguarding and prevention of harm across different local contexts.</w:t>
      </w:r>
    </w:p>
    <w:p w14:paraId="50EBA3E1" w14:textId="77777777" w:rsidR="00ED1CF0" w:rsidRDefault="00ED1CF0" w:rsidP="00BC030E">
      <w:pPr>
        <w:rPr>
          <w:b/>
          <w:bCs/>
        </w:rPr>
      </w:pPr>
    </w:p>
    <w:p w14:paraId="71D76EF0" w14:textId="77777777" w:rsidR="004C2EE0" w:rsidRDefault="004C2EE0" w:rsidP="00BC030E">
      <w:pPr>
        <w:rPr>
          <w:b/>
          <w:bCs/>
        </w:rPr>
      </w:pPr>
    </w:p>
    <w:p w14:paraId="6CD58D72" w14:textId="76D41262" w:rsidR="00A2134F" w:rsidRPr="00E634F4" w:rsidRDefault="00A2134F" w:rsidP="00C24C01">
      <w:pPr>
        <w:rPr>
          <w:b/>
          <w:bCs/>
        </w:rPr>
      </w:pPr>
      <w:r w:rsidRPr="00E634F4">
        <w:rPr>
          <w:b/>
          <w:bCs/>
        </w:rPr>
        <w:t>References:</w:t>
      </w:r>
    </w:p>
    <w:p w14:paraId="26C9AB4E" w14:textId="77777777" w:rsidR="0093083B" w:rsidRPr="009D7787" w:rsidRDefault="0093083B" w:rsidP="0093083B">
      <w:r w:rsidRPr="009D7787">
        <w:t xml:space="preserve">Alexandrescu, L. and Spicer, J., 2023. The stigma-vulnerability nexus and the framing of drug problems. </w:t>
      </w:r>
      <w:r w:rsidRPr="009D7787">
        <w:rPr>
          <w:i/>
          <w:iCs/>
        </w:rPr>
        <w:t>Drugs: Education, Prevention and Policy</w:t>
      </w:r>
      <w:r w:rsidRPr="009D7787">
        <w:t>, 30 (1), 6–16.</w:t>
      </w:r>
    </w:p>
    <w:p w14:paraId="21BD83A3" w14:textId="77777777" w:rsidR="0093083B" w:rsidRPr="009D7787" w:rsidRDefault="0093083B" w:rsidP="0093083B">
      <w:r w:rsidRPr="009D7787">
        <w:t xml:space="preserve">Atkinson-Sheppard, S., 2025. Hyper-agency and county lines. </w:t>
      </w:r>
      <w:r w:rsidRPr="009D7787">
        <w:rPr>
          <w:i/>
          <w:iCs/>
        </w:rPr>
        <w:t>Theoretical Criminology</w:t>
      </w:r>
      <w:r w:rsidRPr="009D7787">
        <w:t>, 29 (2), 231–245.</w:t>
      </w:r>
    </w:p>
    <w:p w14:paraId="7E6FD5CF" w14:textId="77777777" w:rsidR="0093083B" w:rsidRPr="009D7787" w:rsidRDefault="0093083B" w:rsidP="0093083B">
      <w:r w:rsidRPr="009D7787">
        <w:t xml:space="preserve">Baika, L. and Campana, P., 2020. Centrality, mobility, and specialization: A study of drug markets in a non-metropolitan area in the United Kingdom. </w:t>
      </w:r>
      <w:r w:rsidRPr="009D7787">
        <w:rPr>
          <w:i/>
          <w:iCs/>
        </w:rPr>
        <w:t>Journal of Drug Issues</w:t>
      </w:r>
      <w:r w:rsidRPr="009D7787">
        <w:t>, 50 (2), 107–126.</w:t>
      </w:r>
    </w:p>
    <w:p w14:paraId="236A5EFC" w14:textId="77777777" w:rsidR="0093083B" w:rsidRPr="009D7787" w:rsidRDefault="0093083B" w:rsidP="0093083B">
      <w:r w:rsidRPr="009D7787">
        <w:t xml:space="preserve">Bainbridge, L. and Loughery, A., 2025. Identification, Targeting, and Exploitation: Conceptualising Cuckooing as a Form of Adult Grooming. In: L. Bainbridge and A. Loughery, eds. </w:t>
      </w:r>
      <w:r w:rsidRPr="009D7787">
        <w:rPr>
          <w:i/>
          <w:iCs/>
        </w:rPr>
        <w:t>Understanding and Preventing ‘Cuckooing’ Victimisation</w:t>
      </w:r>
      <w:r w:rsidRPr="009D7787">
        <w:t>. London: Routledge, 52–65.</w:t>
      </w:r>
    </w:p>
    <w:p w14:paraId="42CABBE5" w14:textId="5C8B180A" w:rsidR="0093083B" w:rsidRPr="009D7787" w:rsidRDefault="00AD0AC0" w:rsidP="0093083B">
      <w:r w:rsidRPr="009D7787">
        <w:t>Barbin, A., Manning, M., Davies, K. and Horvath, M.A.</w:t>
      </w:r>
      <w:r w:rsidR="0093083B" w:rsidRPr="009D7787">
        <w:t xml:space="preserve">, 2025. Police specialism in England and Wales: an exploratory review. </w:t>
      </w:r>
      <w:r w:rsidR="0093083B" w:rsidRPr="009D7787">
        <w:rPr>
          <w:i/>
          <w:iCs/>
        </w:rPr>
        <w:t>Journal of Criminological Research, Policy and Practice</w:t>
      </w:r>
      <w:r w:rsidR="0093083B" w:rsidRPr="009D7787">
        <w:t>, 11 (2), 150–165.</w:t>
      </w:r>
    </w:p>
    <w:p w14:paraId="76970B91" w14:textId="77777777" w:rsidR="0093083B" w:rsidRPr="009D7787" w:rsidRDefault="0093083B" w:rsidP="0093083B">
      <w:r w:rsidRPr="009D7787">
        <w:t xml:space="preserve">Braun, V. and Clarke, V., 2006. Using thematic analysis in psychology. </w:t>
      </w:r>
      <w:r w:rsidRPr="009D7787">
        <w:rPr>
          <w:i/>
          <w:iCs/>
        </w:rPr>
        <w:t>Qualitative Research in Psychology</w:t>
      </w:r>
      <w:r w:rsidRPr="009D7787">
        <w:t>, 3 (2), 77–101.</w:t>
      </w:r>
    </w:p>
    <w:p w14:paraId="73C300D0" w14:textId="77777777" w:rsidR="00F13C45" w:rsidRPr="001674CA" w:rsidRDefault="00F13C45" w:rsidP="00F13C45">
      <w:r w:rsidRPr="001674CA">
        <w:lastRenderedPageBreak/>
        <w:t xml:space="preserve">Brown, D.L. and </w:t>
      </w:r>
      <w:proofErr w:type="spellStart"/>
      <w:r w:rsidRPr="001674CA">
        <w:t>Shucksmith</w:t>
      </w:r>
      <w:proofErr w:type="spellEnd"/>
      <w:r w:rsidRPr="001674CA">
        <w:t>, M., 2024. Rethinking Rural Studies. Cheltenham: Edward Elgar Publishing.</w:t>
      </w:r>
    </w:p>
    <w:p w14:paraId="1BA3AF8A" w14:textId="749E6995" w:rsidR="0093083B" w:rsidRPr="009D7787" w:rsidRDefault="0093083B" w:rsidP="0093083B">
      <w:r w:rsidRPr="009D7787">
        <w:t xml:space="preserve">Brown, K., Grace, S. and Redman, S., 2025. Policing vulnerability: The care and control of sex workers through designated police officers. </w:t>
      </w:r>
      <w:r w:rsidRPr="009D7787">
        <w:rPr>
          <w:i/>
          <w:iCs/>
        </w:rPr>
        <w:t>The British Journal of Criminology</w:t>
      </w:r>
      <w:r w:rsidRPr="009D7787">
        <w:t>, 65 (1), 17–36.</w:t>
      </w:r>
    </w:p>
    <w:p w14:paraId="71921054" w14:textId="274FF383" w:rsidR="0093083B" w:rsidRPr="009D7787" w:rsidRDefault="0093083B" w:rsidP="0093083B">
      <w:proofErr w:type="spellStart"/>
      <w:r w:rsidRPr="009D7787">
        <w:t>Centers</w:t>
      </w:r>
      <w:proofErr w:type="spellEnd"/>
      <w:r w:rsidRPr="009D7787">
        <w:t xml:space="preserve"> for Disease Control and Prevention, 20</w:t>
      </w:r>
      <w:r w:rsidR="00A6588B" w:rsidRPr="009D7787">
        <w:t>24</w:t>
      </w:r>
      <w:r w:rsidRPr="009D7787">
        <w:t xml:space="preserve">. The public health approach to violence prevention: Fact sheet [online]. Available from: </w:t>
      </w:r>
      <w:hyperlink r:id="rId11" w:history="1">
        <w:r w:rsidR="00ED7F26" w:rsidRPr="009D7787">
          <w:rPr>
            <w:rStyle w:val="Hyperlink"/>
          </w:rPr>
          <w:t>https://www.cdc.gov/violence-prevention/about/about-the-public-health-approach-to-violence-prevention.html</w:t>
        </w:r>
      </w:hyperlink>
      <w:r w:rsidRPr="009D7787">
        <w:t xml:space="preserve"> [Accessed 13 Jan 2026].</w:t>
      </w:r>
    </w:p>
    <w:p w14:paraId="0B89667F" w14:textId="77777777" w:rsidR="0093083B" w:rsidRDefault="0093083B" w:rsidP="0093083B">
      <w:r w:rsidRPr="009D7787">
        <w:t xml:space="preserve">Coomber, R. and Moyle, L., 2018. The changing shape of street-level heroin and crack supply in England: ‘commuting’ and ‘cuckooing’ in an evolving drug market. </w:t>
      </w:r>
      <w:r w:rsidRPr="009D7787">
        <w:rPr>
          <w:i/>
          <w:iCs/>
        </w:rPr>
        <w:t>The British Journal of Criminology</w:t>
      </w:r>
      <w:r w:rsidRPr="009D7787">
        <w:t>, 58 (6), 1323–1342.</w:t>
      </w:r>
    </w:p>
    <w:p w14:paraId="5A21FA12" w14:textId="77777777" w:rsidR="00F13C45" w:rsidRPr="001674CA" w:rsidRDefault="00F13C45" w:rsidP="00F13C45">
      <w:r w:rsidRPr="001674CA">
        <w:t xml:space="preserve">Coomber, R., Moyle, L. and Knox Mahoney, M., 2019. Symbolic policing: situating targeted police operations/‘crackdowns’ on street-level drug markets. Policing and Society, 29 (1), 1–17. </w:t>
      </w:r>
      <w:hyperlink r:id="rId12" w:history="1">
        <w:r w:rsidRPr="001674CA">
          <w:rPr>
            <w:rStyle w:val="Hyperlink"/>
          </w:rPr>
          <w:t>https://doi.org/10.1080/10439463.2017.1323893</w:t>
        </w:r>
      </w:hyperlink>
      <w:r w:rsidRPr="001674CA">
        <w:t>.</w:t>
      </w:r>
    </w:p>
    <w:p w14:paraId="312DD2E8" w14:textId="77777777" w:rsidR="0093083B" w:rsidRPr="009D7787" w:rsidRDefault="0093083B" w:rsidP="0093083B">
      <w:r w:rsidRPr="009D7787">
        <w:t xml:space="preserve">Crawford, A., 2024. Vulnerability and policing: Rethinking the role and limits of the police. </w:t>
      </w:r>
      <w:r w:rsidRPr="009D7787">
        <w:rPr>
          <w:i/>
          <w:iCs/>
        </w:rPr>
        <w:t>The Political Quarterly</w:t>
      </w:r>
      <w:r w:rsidRPr="009D7787">
        <w:t>, 95 (3), 431–441.</w:t>
      </w:r>
    </w:p>
    <w:p w14:paraId="4600CDAC" w14:textId="77777777" w:rsidR="0093083B" w:rsidRPr="009D7787" w:rsidRDefault="0093083B" w:rsidP="0093083B">
      <w:r w:rsidRPr="009D7787">
        <w:t>Department for Education, 2011. The Munro review of child protection: Final report – A child-centred system. London: Department for Education. (Authored by E. Munro).</w:t>
      </w:r>
    </w:p>
    <w:p w14:paraId="27DF0C96" w14:textId="77777777" w:rsidR="0093083B" w:rsidRPr="009D7787" w:rsidRDefault="0093083B" w:rsidP="0093083B">
      <w:r w:rsidRPr="009D7787">
        <w:t xml:space="preserve">Devany, C. and Kammersgaard, T., 2025. County lines and exploitation in drug markets: Historical and current developments. In: </w:t>
      </w:r>
      <w:r w:rsidRPr="009D7787">
        <w:rPr>
          <w:i/>
          <w:iCs/>
        </w:rPr>
        <w:t>Understanding and preventing ‘cuckooing’ victimisation: County lines and beyond</w:t>
      </w:r>
      <w:r w:rsidRPr="009D7787">
        <w:t>. London: Routledge.</w:t>
      </w:r>
    </w:p>
    <w:p w14:paraId="32F2ACD0" w14:textId="77777777" w:rsidR="0093083B" w:rsidRPr="009D7787" w:rsidRDefault="0093083B" w:rsidP="0093083B">
      <w:r w:rsidRPr="009D7787">
        <w:t>EU Drugs Agency and Europol, 2024. EU drug markets analysis 2024. Luxembourg: Publications Office of the European Union.</w:t>
      </w:r>
    </w:p>
    <w:p w14:paraId="1C77C02F" w14:textId="77777777" w:rsidR="00F13C45" w:rsidRPr="001674CA" w:rsidRDefault="00F13C45" w:rsidP="00F13C45">
      <w:r w:rsidRPr="001674CA">
        <w:t xml:space="preserve">Fawell, L., Davies, J.L., Stubbings, D. and Payne, L., 2024. How vulnerable are people to victimisation of County Lines drug dealing? Crime Prevention and Community Safety, 26 (3), 285–300. </w:t>
      </w:r>
      <w:hyperlink r:id="rId13" w:history="1">
        <w:r w:rsidRPr="001674CA">
          <w:rPr>
            <w:rStyle w:val="Hyperlink"/>
          </w:rPr>
          <w:t>https://doi.org/10.1057/s41300-024-00212-9</w:t>
        </w:r>
      </w:hyperlink>
      <w:r w:rsidRPr="001674CA">
        <w:t>.</w:t>
      </w:r>
    </w:p>
    <w:p w14:paraId="22DC64A2" w14:textId="77777777" w:rsidR="0093083B" w:rsidRPr="009D7787" w:rsidRDefault="0093083B" w:rsidP="0093083B">
      <w:r w:rsidRPr="009D7787">
        <w:t xml:space="preserve">Fleetwood, J. and Lea, J., 2020. De-funding the police in the UK. </w:t>
      </w:r>
      <w:r w:rsidRPr="009D7787">
        <w:rPr>
          <w:i/>
          <w:iCs/>
        </w:rPr>
        <w:t>British Society of Criminology Newsletter</w:t>
      </w:r>
      <w:r w:rsidRPr="009D7787">
        <w:t>, 85, 25–35.</w:t>
      </w:r>
    </w:p>
    <w:p w14:paraId="7C0D4FBF" w14:textId="30D7EBC6" w:rsidR="0093083B" w:rsidRPr="009D7787" w:rsidRDefault="009F7452" w:rsidP="0093083B">
      <w:r w:rsidRPr="009D7787">
        <w:t>Fraser, A., Billingham, L., Gillon, F., Irwin-Rogers, K., McVie, S. and Newburn, T.</w:t>
      </w:r>
      <w:r w:rsidR="0093083B" w:rsidRPr="009D7787">
        <w:t xml:space="preserve">, 2026. </w:t>
      </w:r>
      <w:r w:rsidR="0093083B" w:rsidRPr="009D7787">
        <w:rPr>
          <w:i/>
          <w:iCs/>
        </w:rPr>
        <w:t>The Public Health Approach to Violence Reduction: Stories, Movements, and Hope</w:t>
      </w:r>
      <w:r w:rsidR="0093083B" w:rsidRPr="009D7787">
        <w:t>. Oxford: Oxford University Press.</w:t>
      </w:r>
    </w:p>
    <w:p w14:paraId="25B95BBB" w14:textId="77777777" w:rsidR="0093083B" w:rsidRPr="009D7787" w:rsidRDefault="0093083B" w:rsidP="0093083B">
      <w:r w:rsidRPr="009D7787">
        <w:t xml:space="preserve">Gadd, D. and Broad, R., 2024. When victims of modern slavery become offenders. </w:t>
      </w:r>
      <w:r w:rsidRPr="009D7787">
        <w:rPr>
          <w:i/>
          <w:iCs/>
        </w:rPr>
        <w:t>Journal of Human Trafficking</w:t>
      </w:r>
      <w:r w:rsidRPr="009D7787">
        <w:t>, 10 (2), 302–315.</w:t>
      </w:r>
    </w:p>
    <w:p w14:paraId="385AC150" w14:textId="77777777" w:rsidR="00657E15" w:rsidRPr="009D7787" w:rsidRDefault="00657E15" w:rsidP="0093083B">
      <w:proofErr w:type="spellStart"/>
      <w:r w:rsidRPr="009D7787">
        <w:t>Gallent</w:t>
      </w:r>
      <w:proofErr w:type="spellEnd"/>
      <w:r w:rsidRPr="009D7787">
        <w:t xml:space="preserve">, N., Purves, A. and Gabrieli, T., 2024. Reflections on ‘land value </w:t>
      </w:r>
      <w:proofErr w:type="spellStart"/>
      <w:r w:rsidRPr="009D7787">
        <w:t>recovery’for</w:t>
      </w:r>
      <w:proofErr w:type="spellEnd"/>
      <w:r w:rsidRPr="009D7787">
        <w:t xml:space="preserve"> UK rural areas, and its implications for housing affordability, wealth-building, rural land use, and community wellbeing. </w:t>
      </w:r>
      <w:r w:rsidRPr="009D7787">
        <w:rPr>
          <w:i/>
          <w:iCs/>
        </w:rPr>
        <w:t>Habitat International</w:t>
      </w:r>
      <w:r w:rsidRPr="009D7787">
        <w:t>, </w:t>
      </w:r>
      <w:r w:rsidRPr="009D7787">
        <w:rPr>
          <w:i/>
          <w:iCs/>
        </w:rPr>
        <w:t>153</w:t>
      </w:r>
      <w:r w:rsidRPr="009D7787">
        <w:t>, p.103204.</w:t>
      </w:r>
    </w:p>
    <w:p w14:paraId="5300ECD3" w14:textId="0AE61906" w:rsidR="0093083B" w:rsidRPr="009D7787" w:rsidRDefault="0093083B" w:rsidP="0093083B">
      <w:r w:rsidRPr="009D7787">
        <w:t xml:space="preserve">Harding, S., 2020. </w:t>
      </w:r>
      <w:r w:rsidRPr="009D7787">
        <w:rPr>
          <w:i/>
          <w:iCs/>
        </w:rPr>
        <w:t>County lines: Exploitation and drug dealing among urban street gangs</w:t>
      </w:r>
      <w:r w:rsidRPr="009D7787">
        <w:t>. Bristol: Bristol University Press.</w:t>
      </w:r>
    </w:p>
    <w:p w14:paraId="658A36F6" w14:textId="77777777" w:rsidR="0093083B" w:rsidRPr="009D7787" w:rsidRDefault="0093083B" w:rsidP="0093083B">
      <w:r w:rsidRPr="009D7787">
        <w:lastRenderedPageBreak/>
        <w:t xml:space="preserve">Harding, S., 2023. County Lines: Dealing in Vulnerability. In: </w:t>
      </w:r>
      <w:r w:rsidRPr="009D7787">
        <w:rPr>
          <w:i/>
          <w:iCs/>
        </w:rPr>
        <w:t>The Palgrave Handbook of Youth Gangs in the UK</w:t>
      </w:r>
      <w:r w:rsidRPr="009D7787">
        <w:t>. Cham: Springer International Publishing, 57–88.</w:t>
      </w:r>
    </w:p>
    <w:p w14:paraId="026B732E" w14:textId="77777777" w:rsidR="0093083B" w:rsidRPr="009D7787" w:rsidRDefault="0093083B" w:rsidP="0093083B">
      <w:r w:rsidRPr="009D7787">
        <w:t xml:space="preserve">Home Office, 2024. County lines Programme: Overview [online]. Available from: </w:t>
      </w:r>
      <w:hyperlink r:id="rId14" w:tgtFrame="_blank" w:history="1">
        <w:r w:rsidRPr="009D7787">
          <w:rPr>
            <w:rStyle w:val="Hyperlink"/>
          </w:rPr>
          <w:t>https://www.gov.uk/government/publications/county-lines-programme</w:t>
        </w:r>
      </w:hyperlink>
      <w:r w:rsidRPr="009D7787">
        <w:t xml:space="preserve"> [Accessed 13 Jan 2026].</w:t>
      </w:r>
    </w:p>
    <w:p w14:paraId="6F2E7031" w14:textId="13CB3FF3" w:rsidR="0093083B" w:rsidRPr="009D7787" w:rsidRDefault="00C368D1" w:rsidP="0093083B">
      <w:r w:rsidRPr="009D7787">
        <w:t xml:space="preserve">Hughes, K., Bellis, M.A., Hardcastle, K.A., Sethi, D., Butchart, A., </w:t>
      </w:r>
      <w:proofErr w:type="spellStart"/>
      <w:r w:rsidRPr="009D7787">
        <w:t>Mikton</w:t>
      </w:r>
      <w:proofErr w:type="spellEnd"/>
      <w:r w:rsidRPr="009D7787">
        <w:t>, C., Jones, L. and Dunne, M.P.</w:t>
      </w:r>
      <w:r w:rsidR="0093083B" w:rsidRPr="009D7787">
        <w:t xml:space="preserve">, 2017. The effect of multiple adverse childhood experiences on health: A systematic review and meta-analysis. </w:t>
      </w:r>
      <w:r w:rsidR="0093083B" w:rsidRPr="009D7787">
        <w:rPr>
          <w:i/>
          <w:iCs/>
        </w:rPr>
        <w:t>The Lancet Public Health</w:t>
      </w:r>
      <w:r w:rsidR="0093083B" w:rsidRPr="009D7787">
        <w:t>, 2 (8), e356–e366.</w:t>
      </w:r>
    </w:p>
    <w:p w14:paraId="530A153F" w14:textId="32D33DBE" w:rsidR="00F92BF6" w:rsidRPr="009D7787" w:rsidRDefault="00F92BF6" w:rsidP="00F92BF6">
      <w:r w:rsidRPr="009D7787">
        <w:t>Koch, I.</w:t>
      </w:r>
      <w:r w:rsidR="00AF429D">
        <w:t>L.</w:t>
      </w:r>
      <w:r w:rsidRPr="009D7787">
        <w:t xml:space="preserve">, Williams, P. and Wroe, L., 2024. ‘County lines’: racism, safeguarding and statecraft in Britain. </w:t>
      </w:r>
      <w:r w:rsidRPr="009D7787">
        <w:rPr>
          <w:i/>
          <w:iCs/>
        </w:rPr>
        <w:t>Race &amp; Class</w:t>
      </w:r>
      <w:r w:rsidRPr="009D7787">
        <w:t>, 65 (3), 3–26.</w:t>
      </w:r>
    </w:p>
    <w:p w14:paraId="61202DDC" w14:textId="527CEC9C" w:rsidR="0093083B" w:rsidRPr="009D7787" w:rsidRDefault="0093083B" w:rsidP="0093083B">
      <w:r w:rsidRPr="009D7787">
        <w:t>Koch, I.L., 202</w:t>
      </w:r>
      <w:r w:rsidR="00411546">
        <w:t>6</w:t>
      </w:r>
      <w:r w:rsidR="00AF429D">
        <w:t>a</w:t>
      </w:r>
      <w:r w:rsidRPr="009D7787">
        <w:t xml:space="preserve">. Securitizing Vulnerability: County Lines, Multi-Agency Safeguarding, and Pre-Emptive Justice. </w:t>
      </w:r>
      <w:r w:rsidRPr="009D7787">
        <w:rPr>
          <w:i/>
          <w:iCs/>
        </w:rPr>
        <w:t>Social &amp; Legal Studies</w:t>
      </w:r>
      <w:r w:rsidRPr="009D7787">
        <w:t>, 09646639251400118.</w:t>
      </w:r>
    </w:p>
    <w:p w14:paraId="44C25509" w14:textId="77777777" w:rsidR="00AF429D" w:rsidRPr="001674CA" w:rsidRDefault="00AF429D" w:rsidP="00AF429D">
      <w:r w:rsidRPr="001674CA">
        <w:t>Koch, I.L., 2026</w:t>
      </w:r>
      <w:r>
        <w:t>b</w:t>
      </w:r>
      <w:r w:rsidRPr="001674CA">
        <w:t xml:space="preserve">. Drugs, Race, and the Politics of Modern Slavery Law: When Enemies Become Victims. Oxford: Oxford University Press. </w:t>
      </w:r>
      <w:hyperlink r:id="rId15" w:history="1">
        <w:r w:rsidRPr="001674CA">
          <w:rPr>
            <w:rStyle w:val="Hyperlink"/>
          </w:rPr>
          <w:t>https://doi.org/10.1093/9780198899631.001.0001</w:t>
        </w:r>
      </w:hyperlink>
      <w:r w:rsidRPr="001674CA">
        <w:t>.</w:t>
      </w:r>
    </w:p>
    <w:p w14:paraId="6302D674" w14:textId="77777777" w:rsidR="0093083B" w:rsidRPr="009D7787" w:rsidRDefault="0093083B" w:rsidP="0093083B">
      <w:r w:rsidRPr="009D7787">
        <w:t xml:space="preserve">Lloyd, J., Manister, M. and Wroe, L., 2023. Social care responses to children who experience criminal exploitation and violence: The conditions for a welfare response. </w:t>
      </w:r>
      <w:r w:rsidRPr="009D7787">
        <w:rPr>
          <w:i/>
          <w:iCs/>
        </w:rPr>
        <w:t>The British Journal of Social Work</w:t>
      </w:r>
      <w:r w:rsidRPr="009D7787">
        <w:t>, 53 (8), 3725–3743.</w:t>
      </w:r>
    </w:p>
    <w:p w14:paraId="0A7FA5E6" w14:textId="77777777" w:rsidR="00140401" w:rsidRPr="009D7787" w:rsidRDefault="00140401" w:rsidP="00140401">
      <w:r w:rsidRPr="009D7787">
        <w:t>Lupton, R., Wilson, A., May, T., Warburton, H. and Turnbull, P.J., 2002. A rock and a hard place: drug markets in deprived neighbourhoods. London: Home Office Research Study.</w:t>
      </w:r>
    </w:p>
    <w:p w14:paraId="71A65E2A" w14:textId="77777777" w:rsidR="0093083B" w:rsidRPr="009D7787" w:rsidRDefault="0093083B" w:rsidP="0093083B">
      <w:r w:rsidRPr="009D7787">
        <w:t xml:space="preserve">Macassa, G. and McGrath, C., 2024. Common Problems! and Common Solutions?—Teaching at the Intersection Between Public Health and Criminology: A Public Health Perspective. </w:t>
      </w:r>
      <w:r w:rsidRPr="009D7787">
        <w:rPr>
          <w:i/>
          <w:iCs/>
        </w:rPr>
        <w:t>Annals of Global Health</w:t>
      </w:r>
      <w:r w:rsidRPr="009D7787">
        <w:t>, 90 (1), 12.</w:t>
      </w:r>
    </w:p>
    <w:p w14:paraId="7B0FBE3D" w14:textId="77777777" w:rsidR="0093083B" w:rsidRPr="009D7787" w:rsidRDefault="0093083B" w:rsidP="0093083B">
      <w:r w:rsidRPr="009D7787">
        <w:t xml:space="preserve">Marshall, H., Bacon, M. and Spicer, J., 2024. Emerging victims in contemporary drugs policing. </w:t>
      </w:r>
      <w:r w:rsidRPr="009D7787">
        <w:rPr>
          <w:i/>
          <w:iCs/>
        </w:rPr>
        <w:t>The British Journal of Criminology</w:t>
      </w:r>
      <w:r w:rsidRPr="009D7787">
        <w:t>, 64 (6), 1292–1309.</w:t>
      </w:r>
    </w:p>
    <w:p w14:paraId="26021981" w14:textId="77777777" w:rsidR="0093083B" w:rsidRPr="009D7787" w:rsidRDefault="0093083B" w:rsidP="0093083B">
      <w:r w:rsidRPr="009D7787">
        <w:t>Modern Slavery Act 2015 (c. 30). London: Her Majesty’s Stationery Office.</w:t>
      </w:r>
    </w:p>
    <w:p w14:paraId="399940B5" w14:textId="77777777" w:rsidR="0093083B" w:rsidRPr="009D7787" w:rsidRDefault="0093083B" w:rsidP="0093083B">
      <w:r w:rsidRPr="009D7787">
        <w:t>National County Lines Coordination Centre, 2019. County lines drug supply, vulnerability and harm: 2018. London: National Crime Agency.</w:t>
      </w:r>
    </w:p>
    <w:p w14:paraId="4754273C" w14:textId="77777777" w:rsidR="0093083B" w:rsidRPr="009D7787" w:rsidRDefault="0093083B" w:rsidP="0093083B">
      <w:r w:rsidRPr="009D7787">
        <w:t>National County Lines Coordination Centre, 2024. County lines Strategic Assessment 2023/24. London: National Crime Agency, 8, 20.</w:t>
      </w:r>
    </w:p>
    <w:p w14:paraId="02720D94" w14:textId="77777777" w:rsidR="0093083B" w:rsidRPr="009D7787" w:rsidRDefault="0093083B" w:rsidP="0093083B">
      <w:r w:rsidRPr="009D7787">
        <w:t xml:space="preserve">O'Hagan, A. and Edmundson, C.J., 2021. County lines: the exploitation of vulnerable members of society. </w:t>
      </w:r>
      <w:r w:rsidRPr="009D7787">
        <w:rPr>
          <w:i/>
          <w:iCs/>
        </w:rPr>
        <w:t>Forensic Research &amp; Criminology International Journal</w:t>
      </w:r>
      <w:r w:rsidRPr="009D7787">
        <w:t>, 9 (2), 47–57.</w:t>
      </w:r>
    </w:p>
    <w:p w14:paraId="6C7FA601" w14:textId="77777777" w:rsidR="0093083B" w:rsidRPr="009D7787" w:rsidRDefault="0093083B" w:rsidP="0093083B">
      <w:r w:rsidRPr="009D7787">
        <w:t xml:space="preserve">Patriarca, G., 2024. Policing research and engagement: Interview with Adam Crawford. </w:t>
      </w:r>
      <w:r w:rsidRPr="009D7787">
        <w:rPr>
          <w:i/>
          <w:iCs/>
        </w:rPr>
        <w:t>Tempo Social</w:t>
      </w:r>
      <w:r w:rsidRPr="009D7787">
        <w:t>, 36, 273–284.</w:t>
      </w:r>
    </w:p>
    <w:p w14:paraId="781059E4" w14:textId="77777777" w:rsidR="0093083B" w:rsidRPr="009D7787" w:rsidRDefault="0093083B" w:rsidP="0093083B">
      <w:r w:rsidRPr="009D7787">
        <w:t xml:space="preserve">Robinson, G., McLean, R. and Densley, J., 2019. Working County lines: Child criminal exploitation and illicit drug dealing in Glasgow and Merseyside. </w:t>
      </w:r>
      <w:r w:rsidRPr="009D7787">
        <w:rPr>
          <w:i/>
          <w:iCs/>
        </w:rPr>
        <w:t>International Journal of Offender Therapy and Comparative Criminology</w:t>
      </w:r>
      <w:r w:rsidRPr="009D7787">
        <w:t>, 63 (5), 694–711.</w:t>
      </w:r>
    </w:p>
    <w:p w14:paraId="6268E8DA" w14:textId="10E54DCF" w:rsidR="0093083B" w:rsidRPr="009D7787" w:rsidRDefault="0093083B" w:rsidP="0093083B">
      <w:r w:rsidRPr="009D7787">
        <w:t>Scottish Violence Reduction Unit, 20</w:t>
      </w:r>
      <w:r w:rsidR="00BB0C31" w:rsidRPr="009D7787">
        <w:t>20</w:t>
      </w:r>
      <w:r w:rsidRPr="009D7787">
        <w:t xml:space="preserve">. </w:t>
      </w:r>
      <w:r w:rsidRPr="009D7787">
        <w:rPr>
          <w:i/>
          <w:iCs/>
        </w:rPr>
        <w:t>Violence is preventable, not inevitable: the story and impact of the Scottish Violence Reduction Unit</w:t>
      </w:r>
      <w:r w:rsidRPr="009D7787">
        <w:t>. Glasgow: SVRU.</w:t>
      </w:r>
    </w:p>
    <w:p w14:paraId="6DB9E708" w14:textId="2700C92E" w:rsidR="0093083B" w:rsidRPr="009D7787" w:rsidRDefault="00C3237A" w:rsidP="0093083B">
      <w:proofErr w:type="spellStart"/>
      <w:r w:rsidRPr="009D7787">
        <w:lastRenderedPageBreak/>
        <w:t>Shucksmith</w:t>
      </w:r>
      <w:proofErr w:type="spellEnd"/>
      <w:r w:rsidRPr="009D7787">
        <w:t>, M., Glass, J., Atterton, J. and Chapman, P.</w:t>
      </w:r>
      <w:r w:rsidR="0093083B" w:rsidRPr="009D7787">
        <w:t xml:space="preserve">, 2023. </w:t>
      </w:r>
      <w:r w:rsidR="0093083B" w:rsidRPr="009D7787">
        <w:rPr>
          <w:i/>
          <w:iCs/>
        </w:rPr>
        <w:t>Rural poverty today: experiences of social exclusion in rural Britain</w:t>
      </w:r>
      <w:r w:rsidR="0093083B" w:rsidRPr="009D7787">
        <w:t>. Bristol: Policy Press.</w:t>
      </w:r>
    </w:p>
    <w:p w14:paraId="0FE11712" w14:textId="77777777" w:rsidR="0093083B" w:rsidRPr="009D7787" w:rsidRDefault="0093083B" w:rsidP="0093083B">
      <w:r w:rsidRPr="009D7787">
        <w:t xml:space="preserve">Spicer, J., 2019. ‘That’s their brand, their business’: How police officers are interpreting County lines. </w:t>
      </w:r>
      <w:r w:rsidRPr="009D7787">
        <w:rPr>
          <w:i/>
          <w:iCs/>
        </w:rPr>
        <w:t>Policing &amp; Society</w:t>
      </w:r>
      <w:r w:rsidRPr="009D7787">
        <w:t>, 29 (8), 894–907.</w:t>
      </w:r>
    </w:p>
    <w:p w14:paraId="493EB613" w14:textId="33F10A7E" w:rsidR="0093083B" w:rsidRPr="009D7787" w:rsidRDefault="0093083B" w:rsidP="0093083B">
      <w:r w:rsidRPr="009D7787">
        <w:t xml:space="preserve">Spicer, J., 2021. Between gang talk and prohibition: The transfer of blame for County lines. </w:t>
      </w:r>
      <w:r w:rsidRPr="009D7787">
        <w:rPr>
          <w:i/>
          <w:iCs/>
        </w:rPr>
        <w:t>International Journal of Drug Policy</w:t>
      </w:r>
      <w:r w:rsidRPr="009D7787">
        <w:t>, 87, 102667.</w:t>
      </w:r>
    </w:p>
    <w:p w14:paraId="429F5F8F" w14:textId="77777777" w:rsidR="00F13C45" w:rsidRPr="00547E00" w:rsidRDefault="00F13C45" w:rsidP="00F13C45">
      <w:r w:rsidRPr="00547E00">
        <w:t xml:space="preserve">Spicer, J., 2024. </w:t>
      </w:r>
      <w:r w:rsidRPr="00547E00">
        <w:rPr>
          <w:i/>
          <w:iCs/>
        </w:rPr>
        <w:t>Cuckoo Land: The Cuckooing Risk Environment</w:t>
      </w:r>
      <w:r w:rsidRPr="00547E00">
        <w:t>. London: Routledge.</w:t>
      </w:r>
    </w:p>
    <w:p w14:paraId="5E6DA8FA" w14:textId="0E4177AA" w:rsidR="0093083B" w:rsidRPr="009D7787" w:rsidRDefault="0093083B" w:rsidP="0093083B">
      <w:r w:rsidRPr="009D7787">
        <w:t>Spicer, J., 2025. Chaotic conceptualisation, hyper-</w:t>
      </w:r>
      <w:proofErr w:type="spellStart"/>
      <w:r w:rsidRPr="009D7787">
        <w:t>chronocentrism</w:t>
      </w:r>
      <w:proofErr w:type="spellEnd"/>
      <w:r w:rsidRPr="009D7787">
        <w:t xml:space="preserve"> and cautionary tales: A cultural realist analysis of County lines. </w:t>
      </w:r>
      <w:r w:rsidRPr="009D7787">
        <w:rPr>
          <w:i/>
          <w:iCs/>
        </w:rPr>
        <w:t>Crime, Media, Culture</w:t>
      </w:r>
      <w:r w:rsidRPr="009D7787">
        <w:t>, 17416590251361326.</w:t>
      </w:r>
    </w:p>
    <w:p w14:paraId="12147FB1" w14:textId="77777777" w:rsidR="00F13C45" w:rsidRPr="001674CA" w:rsidRDefault="00F13C45" w:rsidP="00F13C45">
      <w:r w:rsidRPr="001674CA">
        <w:t xml:space="preserve">Spicer, J., Moyle, L. and Coomber, R., 2020. The variable and evolving nature of ‘cuckooing’ as a form of criminal exploitation in street level drug markets. Trends in Organized Crime, 23 (4), 301–323. </w:t>
      </w:r>
      <w:hyperlink r:id="rId16" w:history="1">
        <w:r w:rsidRPr="001674CA">
          <w:rPr>
            <w:rStyle w:val="Hyperlink"/>
          </w:rPr>
          <w:t>https://doi.org/10.1007/s12117-019-09368-5</w:t>
        </w:r>
      </w:hyperlink>
      <w:r w:rsidRPr="001674CA">
        <w:t>.</w:t>
      </w:r>
    </w:p>
    <w:p w14:paraId="613F1E81" w14:textId="77777777" w:rsidR="00F13C45" w:rsidRPr="00547E00" w:rsidRDefault="00F13C45" w:rsidP="00F13C45">
      <w:r w:rsidRPr="00547E00">
        <w:t xml:space="preserve">Stevens, A., 2011. </w:t>
      </w:r>
      <w:r w:rsidRPr="00547E00">
        <w:rPr>
          <w:i/>
          <w:iCs/>
        </w:rPr>
        <w:t>Drugs, Crime and Public Health: The Political Economy of Drug Policy</w:t>
      </w:r>
      <w:r w:rsidRPr="00547E00">
        <w:t>. Abingdon: Routledge.</w:t>
      </w:r>
    </w:p>
    <w:p w14:paraId="2FF86313" w14:textId="4564C7C9" w:rsidR="0093083B" w:rsidRPr="009D7787" w:rsidRDefault="005A24A5" w:rsidP="0093083B">
      <w:r w:rsidRPr="009D7787">
        <w:t xml:space="preserve">Vera-Toscano, E., </w:t>
      </w:r>
      <w:proofErr w:type="spellStart"/>
      <w:r w:rsidRPr="009D7787">
        <w:t>Shucksmith</w:t>
      </w:r>
      <w:proofErr w:type="spellEnd"/>
      <w:r w:rsidRPr="009D7787">
        <w:t>, M., Brown, D.L. and Brown, H</w:t>
      </w:r>
      <w:r w:rsidR="0093083B" w:rsidRPr="009D7787">
        <w:rPr>
          <w:i/>
          <w:iCs/>
        </w:rPr>
        <w:t>.</w:t>
      </w:r>
      <w:r w:rsidR="0093083B" w:rsidRPr="009D7787">
        <w:t xml:space="preserve">, 2024. The rural–urban poverty gap in England after the 2008 financial crisis: Exploring the effects of budgetary cuts and welfare reforms. </w:t>
      </w:r>
      <w:r w:rsidR="0093083B" w:rsidRPr="009D7787">
        <w:rPr>
          <w:i/>
          <w:iCs/>
        </w:rPr>
        <w:t>Regional Studies</w:t>
      </w:r>
      <w:r w:rsidR="0093083B" w:rsidRPr="009D7787">
        <w:t>, 58 (6), 1264–1281.</w:t>
      </w:r>
    </w:p>
    <w:p w14:paraId="66FDAB17" w14:textId="77777777" w:rsidR="0093083B" w:rsidRPr="009D7787" w:rsidRDefault="0093083B" w:rsidP="0093083B">
      <w:r w:rsidRPr="009D7787">
        <w:t xml:space="preserve">Welsh, B.C., Braga, A.A. and Sullivan, C.J., 2015. Serious youth violence and innovative prevention: On the emerging link between public health and criminology. </w:t>
      </w:r>
      <w:r w:rsidRPr="009D7787">
        <w:rPr>
          <w:i/>
          <w:iCs/>
        </w:rPr>
        <w:t>Justice Quarterly</w:t>
      </w:r>
      <w:r w:rsidRPr="009D7787">
        <w:t>, 31 (3), 500–523.</w:t>
      </w:r>
    </w:p>
    <w:p w14:paraId="2C996D5E" w14:textId="77777777" w:rsidR="0093083B" w:rsidRPr="009D7787" w:rsidRDefault="0093083B" w:rsidP="0093083B">
      <w:r w:rsidRPr="009D7787">
        <w:t xml:space="preserve">Williams, E. and Sondhi, A., 2022. A narrative review of the literature on the recruitment of younger police officers in age and in service: what are the implications for the police in England and Wales? </w:t>
      </w:r>
      <w:r w:rsidRPr="009D7787">
        <w:rPr>
          <w:i/>
          <w:iCs/>
        </w:rPr>
        <w:t>Policing: A Journal of Policy and Practice</w:t>
      </w:r>
      <w:r w:rsidRPr="009D7787">
        <w:t>, 16 (4), 648–662.</w:t>
      </w:r>
    </w:p>
    <w:p w14:paraId="15058B17" w14:textId="77777777" w:rsidR="0093083B" w:rsidRPr="009D7787" w:rsidRDefault="0093083B" w:rsidP="0093083B">
      <w:r w:rsidRPr="009D7787">
        <w:t xml:space="preserve">Windle, J., Moyle, L. and Coomber, R., 2020. ‘Vulnerable’ kids going country: children and young people’s involvement in county lines drug dealing. </w:t>
      </w:r>
      <w:r w:rsidRPr="009D7787">
        <w:rPr>
          <w:i/>
          <w:iCs/>
        </w:rPr>
        <w:t>Youth Justice</w:t>
      </w:r>
      <w:r w:rsidRPr="009D7787">
        <w:t>, 20 (1-2), 64–78.</w:t>
      </w:r>
    </w:p>
    <w:p w14:paraId="10B59FF7" w14:textId="77777777" w:rsidR="0093083B" w:rsidRPr="009D7787" w:rsidRDefault="0093083B" w:rsidP="0093083B">
      <w:r w:rsidRPr="009D7787">
        <w:t xml:space="preserve">World Health Organization, 2019. Injuries and violence: The facts [online]. Geneva: World Health Organization. Available from: </w:t>
      </w:r>
      <w:hyperlink r:id="rId17" w:tgtFrame="_blank" w:history="1">
        <w:r w:rsidRPr="009D7787">
          <w:rPr>
            <w:rStyle w:val="Hyperlink"/>
          </w:rPr>
          <w:t>https://www.who.int/publications/i/item/injuries-and-violence-the-facts-2019</w:t>
        </w:r>
      </w:hyperlink>
      <w:r w:rsidRPr="009D7787">
        <w:t xml:space="preserve"> [Accessed 13 Jan 2026].</w:t>
      </w:r>
    </w:p>
    <w:p w14:paraId="30FA242C" w14:textId="77777777" w:rsidR="00140876" w:rsidRDefault="00140876" w:rsidP="000875DF"/>
    <w:p w14:paraId="7BA02479" w14:textId="77777777" w:rsidR="001674CA" w:rsidRDefault="001674CA" w:rsidP="000875DF"/>
    <w:sectPr w:rsidR="001674C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7212FD" w14:textId="77777777" w:rsidR="00E105C7" w:rsidRDefault="00E105C7" w:rsidP="00702FC2">
      <w:pPr>
        <w:spacing w:after="0" w:line="240" w:lineRule="auto"/>
      </w:pPr>
      <w:r>
        <w:separator/>
      </w:r>
    </w:p>
  </w:endnote>
  <w:endnote w:type="continuationSeparator" w:id="0">
    <w:p w14:paraId="320B6E1D" w14:textId="77777777" w:rsidR="00E105C7" w:rsidRDefault="00E105C7" w:rsidP="00702F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29F6F9" w14:textId="77777777" w:rsidR="00E105C7" w:rsidRDefault="00E105C7" w:rsidP="00702FC2">
      <w:pPr>
        <w:spacing w:after="0" w:line="240" w:lineRule="auto"/>
      </w:pPr>
      <w:r>
        <w:separator/>
      </w:r>
    </w:p>
  </w:footnote>
  <w:footnote w:type="continuationSeparator" w:id="0">
    <w:p w14:paraId="78A7400D" w14:textId="77777777" w:rsidR="00E105C7" w:rsidRDefault="00E105C7" w:rsidP="00702F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9F26B8"/>
    <w:multiLevelType w:val="multilevel"/>
    <w:tmpl w:val="348641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745440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C01"/>
    <w:rsid w:val="00004CDD"/>
    <w:rsid w:val="000053AF"/>
    <w:rsid w:val="00005AF7"/>
    <w:rsid w:val="00006466"/>
    <w:rsid w:val="00007051"/>
    <w:rsid w:val="00012137"/>
    <w:rsid w:val="00012A54"/>
    <w:rsid w:val="00013250"/>
    <w:rsid w:val="0001414F"/>
    <w:rsid w:val="000144F2"/>
    <w:rsid w:val="000148EE"/>
    <w:rsid w:val="000151D2"/>
    <w:rsid w:val="00015BD3"/>
    <w:rsid w:val="00015EDE"/>
    <w:rsid w:val="00020CFA"/>
    <w:rsid w:val="00024166"/>
    <w:rsid w:val="00025385"/>
    <w:rsid w:val="00026784"/>
    <w:rsid w:val="00027B34"/>
    <w:rsid w:val="00030425"/>
    <w:rsid w:val="0003092D"/>
    <w:rsid w:val="00031290"/>
    <w:rsid w:val="0003206E"/>
    <w:rsid w:val="0003266C"/>
    <w:rsid w:val="00035EF1"/>
    <w:rsid w:val="000368DB"/>
    <w:rsid w:val="00036BAC"/>
    <w:rsid w:val="00040D12"/>
    <w:rsid w:val="00040E08"/>
    <w:rsid w:val="00040EED"/>
    <w:rsid w:val="00041791"/>
    <w:rsid w:val="00041F6C"/>
    <w:rsid w:val="000426FF"/>
    <w:rsid w:val="00042EC5"/>
    <w:rsid w:val="0004420D"/>
    <w:rsid w:val="00046145"/>
    <w:rsid w:val="000479C0"/>
    <w:rsid w:val="000501F3"/>
    <w:rsid w:val="000505BE"/>
    <w:rsid w:val="00051663"/>
    <w:rsid w:val="000523CB"/>
    <w:rsid w:val="000523E3"/>
    <w:rsid w:val="0005248A"/>
    <w:rsid w:val="00052645"/>
    <w:rsid w:val="00053A2B"/>
    <w:rsid w:val="00053D36"/>
    <w:rsid w:val="00053D6C"/>
    <w:rsid w:val="00054FAA"/>
    <w:rsid w:val="000557CB"/>
    <w:rsid w:val="00057337"/>
    <w:rsid w:val="00057688"/>
    <w:rsid w:val="00057A69"/>
    <w:rsid w:val="00061853"/>
    <w:rsid w:val="00062680"/>
    <w:rsid w:val="0006337B"/>
    <w:rsid w:val="00063B3D"/>
    <w:rsid w:val="00064B21"/>
    <w:rsid w:val="0006699E"/>
    <w:rsid w:val="0007108B"/>
    <w:rsid w:val="00071D6B"/>
    <w:rsid w:val="000723E1"/>
    <w:rsid w:val="00072D18"/>
    <w:rsid w:val="0007507D"/>
    <w:rsid w:val="0007535F"/>
    <w:rsid w:val="0007603D"/>
    <w:rsid w:val="00081064"/>
    <w:rsid w:val="00081B7E"/>
    <w:rsid w:val="000824D5"/>
    <w:rsid w:val="00082D03"/>
    <w:rsid w:val="000840AB"/>
    <w:rsid w:val="00086F4E"/>
    <w:rsid w:val="000875DF"/>
    <w:rsid w:val="000875FE"/>
    <w:rsid w:val="00091E84"/>
    <w:rsid w:val="000930D4"/>
    <w:rsid w:val="00094A4F"/>
    <w:rsid w:val="00094D75"/>
    <w:rsid w:val="00096AE8"/>
    <w:rsid w:val="00097DD9"/>
    <w:rsid w:val="00097F39"/>
    <w:rsid w:val="000A0244"/>
    <w:rsid w:val="000A1167"/>
    <w:rsid w:val="000A1900"/>
    <w:rsid w:val="000A1E94"/>
    <w:rsid w:val="000A3648"/>
    <w:rsid w:val="000A41F8"/>
    <w:rsid w:val="000A52E7"/>
    <w:rsid w:val="000A5CC8"/>
    <w:rsid w:val="000A677C"/>
    <w:rsid w:val="000A7F59"/>
    <w:rsid w:val="000B0842"/>
    <w:rsid w:val="000B0BF3"/>
    <w:rsid w:val="000B1C6F"/>
    <w:rsid w:val="000B1DC7"/>
    <w:rsid w:val="000B3687"/>
    <w:rsid w:val="000B5CF3"/>
    <w:rsid w:val="000B5F69"/>
    <w:rsid w:val="000B61C1"/>
    <w:rsid w:val="000B6F01"/>
    <w:rsid w:val="000B71D6"/>
    <w:rsid w:val="000C01E3"/>
    <w:rsid w:val="000C26BA"/>
    <w:rsid w:val="000C52FB"/>
    <w:rsid w:val="000C5AFB"/>
    <w:rsid w:val="000C5D07"/>
    <w:rsid w:val="000C62B9"/>
    <w:rsid w:val="000C6B86"/>
    <w:rsid w:val="000C72C3"/>
    <w:rsid w:val="000C7A09"/>
    <w:rsid w:val="000D19E7"/>
    <w:rsid w:val="000D3089"/>
    <w:rsid w:val="000D314B"/>
    <w:rsid w:val="000D499B"/>
    <w:rsid w:val="000D4C83"/>
    <w:rsid w:val="000D5786"/>
    <w:rsid w:val="000E030D"/>
    <w:rsid w:val="000E1D47"/>
    <w:rsid w:val="000E2345"/>
    <w:rsid w:val="000E23B4"/>
    <w:rsid w:val="000E320E"/>
    <w:rsid w:val="000E38D1"/>
    <w:rsid w:val="000E3A38"/>
    <w:rsid w:val="000E4A7C"/>
    <w:rsid w:val="000E6B2A"/>
    <w:rsid w:val="000E6E8B"/>
    <w:rsid w:val="000F0AD8"/>
    <w:rsid w:val="000F2C3E"/>
    <w:rsid w:val="000F3922"/>
    <w:rsid w:val="000F3A2B"/>
    <w:rsid w:val="000F5492"/>
    <w:rsid w:val="000F56AA"/>
    <w:rsid w:val="000F5CF3"/>
    <w:rsid w:val="000F652A"/>
    <w:rsid w:val="000F6979"/>
    <w:rsid w:val="0010085A"/>
    <w:rsid w:val="00100861"/>
    <w:rsid w:val="00100C46"/>
    <w:rsid w:val="0010306D"/>
    <w:rsid w:val="0010478D"/>
    <w:rsid w:val="00104BB8"/>
    <w:rsid w:val="00107578"/>
    <w:rsid w:val="00110933"/>
    <w:rsid w:val="00111FBA"/>
    <w:rsid w:val="0011235F"/>
    <w:rsid w:val="00113B8F"/>
    <w:rsid w:val="00113C7E"/>
    <w:rsid w:val="001144B9"/>
    <w:rsid w:val="00114629"/>
    <w:rsid w:val="0011487B"/>
    <w:rsid w:val="00114FD1"/>
    <w:rsid w:val="00115D81"/>
    <w:rsid w:val="0011632B"/>
    <w:rsid w:val="00116428"/>
    <w:rsid w:val="00117036"/>
    <w:rsid w:val="00117604"/>
    <w:rsid w:val="0012077C"/>
    <w:rsid w:val="001213F9"/>
    <w:rsid w:val="00121CCC"/>
    <w:rsid w:val="00121F81"/>
    <w:rsid w:val="0012220A"/>
    <w:rsid w:val="00123024"/>
    <w:rsid w:val="00124B76"/>
    <w:rsid w:val="0012550B"/>
    <w:rsid w:val="0012612D"/>
    <w:rsid w:val="001270B9"/>
    <w:rsid w:val="001277C3"/>
    <w:rsid w:val="00127B7F"/>
    <w:rsid w:val="00127BFE"/>
    <w:rsid w:val="0013173B"/>
    <w:rsid w:val="001322FC"/>
    <w:rsid w:val="00132E3C"/>
    <w:rsid w:val="00135014"/>
    <w:rsid w:val="00137C8C"/>
    <w:rsid w:val="00140401"/>
    <w:rsid w:val="00140876"/>
    <w:rsid w:val="0014110B"/>
    <w:rsid w:val="0014132E"/>
    <w:rsid w:val="00141C95"/>
    <w:rsid w:val="00143E3B"/>
    <w:rsid w:val="00144506"/>
    <w:rsid w:val="0014757A"/>
    <w:rsid w:val="00147FBA"/>
    <w:rsid w:val="0015146E"/>
    <w:rsid w:val="00152F46"/>
    <w:rsid w:val="001532F4"/>
    <w:rsid w:val="001538C7"/>
    <w:rsid w:val="00154CA0"/>
    <w:rsid w:val="00154E1C"/>
    <w:rsid w:val="00154E9F"/>
    <w:rsid w:val="00156439"/>
    <w:rsid w:val="00157E03"/>
    <w:rsid w:val="00161595"/>
    <w:rsid w:val="001640FF"/>
    <w:rsid w:val="00166B48"/>
    <w:rsid w:val="00166EFB"/>
    <w:rsid w:val="001674CA"/>
    <w:rsid w:val="00171856"/>
    <w:rsid w:val="001722FE"/>
    <w:rsid w:val="00172714"/>
    <w:rsid w:val="00174465"/>
    <w:rsid w:val="00174924"/>
    <w:rsid w:val="00175AF9"/>
    <w:rsid w:val="00176308"/>
    <w:rsid w:val="00176EA1"/>
    <w:rsid w:val="0017714C"/>
    <w:rsid w:val="00177665"/>
    <w:rsid w:val="00177EE9"/>
    <w:rsid w:val="001801FB"/>
    <w:rsid w:val="001812DC"/>
    <w:rsid w:val="00182816"/>
    <w:rsid w:val="001828B1"/>
    <w:rsid w:val="00184286"/>
    <w:rsid w:val="001850BD"/>
    <w:rsid w:val="00190991"/>
    <w:rsid w:val="00190A05"/>
    <w:rsid w:val="0019203A"/>
    <w:rsid w:val="0019561C"/>
    <w:rsid w:val="00196297"/>
    <w:rsid w:val="00196704"/>
    <w:rsid w:val="001978C7"/>
    <w:rsid w:val="00197E95"/>
    <w:rsid w:val="001A14EC"/>
    <w:rsid w:val="001A3F45"/>
    <w:rsid w:val="001A60EB"/>
    <w:rsid w:val="001A6E50"/>
    <w:rsid w:val="001B0A13"/>
    <w:rsid w:val="001B3A01"/>
    <w:rsid w:val="001B5B9D"/>
    <w:rsid w:val="001B6268"/>
    <w:rsid w:val="001B7FD4"/>
    <w:rsid w:val="001C005F"/>
    <w:rsid w:val="001C041B"/>
    <w:rsid w:val="001C212A"/>
    <w:rsid w:val="001C30E5"/>
    <w:rsid w:val="001C3BCA"/>
    <w:rsid w:val="001D1F2F"/>
    <w:rsid w:val="001D2F08"/>
    <w:rsid w:val="001D3902"/>
    <w:rsid w:val="001D54E3"/>
    <w:rsid w:val="001D608C"/>
    <w:rsid w:val="001D7881"/>
    <w:rsid w:val="001E0A0B"/>
    <w:rsid w:val="001E100E"/>
    <w:rsid w:val="001E1811"/>
    <w:rsid w:val="001E1B76"/>
    <w:rsid w:val="001E282C"/>
    <w:rsid w:val="001E33CD"/>
    <w:rsid w:val="001E3C22"/>
    <w:rsid w:val="001E5014"/>
    <w:rsid w:val="001E5075"/>
    <w:rsid w:val="001E5628"/>
    <w:rsid w:val="001E5C6E"/>
    <w:rsid w:val="001E7FDB"/>
    <w:rsid w:val="001F14AA"/>
    <w:rsid w:val="001F20EE"/>
    <w:rsid w:val="001F2B5A"/>
    <w:rsid w:val="001F3D4B"/>
    <w:rsid w:val="001F4A59"/>
    <w:rsid w:val="001F5BA5"/>
    <w:rsid w:val="001F602E"/>
    <w:rsid w:val="001F678F"/>
    <w:rsid w:val="00200400"/>
    <w:rsid w:val="00200533"/>
    <w:rsid w:val="00201916"/>
    <w:rsid w:val="00201CA6"/>
    <w:rsid w:val="002021CD"/>
    <w:rsid w:val="00202736"/>
    <w:rsid w:val="00204636"/>
    <w:rsid w:val="002051D8"/>
    <w:rsid w:val="002056CE"/>
    <w:rsid w:val="00205DB4"/>
    <w:rsid w:val="0020795B"/>
    <w:rsid w:val="002079D5"/>
    <w:rsid w:val="00207C21"/>
    <w:rsid w:val="00214FF4"/>
    <w:rsid w:val="0021744C"/>
    <w:rsid w:val="002208D7"/>
    <w:rsid w:val="00220D7B"/>
    <w:rsid w:val="00222A93"/>
    <w:rsid w:val="002230B2"/>
    <w:rsid w:val="002236F2"/>
    <w:rsid w:val="00224121"/>
    <w:rsid w:val="00225DDC"/>
    <w:rsid w:val="00226964"/>
    <w:rsid w:val="00226B56"/>
    <w:rsid w:val="00230B70"/>
    <w:rsid w:val="00233428"/>
    <w:rsid w:val="00233D79"/>
    <w:rsid w:val="00233DF0"/>
    <w:rsid w:val="00234151"/>
    <w:rsid w:val="0023420F"/>
    <w:rsid w:val="00234391"/>
    <w:rsid w:val="00234405"/>
    <w:rsid w:val="0023448A"/>
    <w:rsid w:val="00235DEF"/>
    <w:rsid w:val="0023708F"/>
    <w:rsid w:val="00240155"/>
    <w:rsid w:val="0024170E"/>
    <w:rsid w:val="00241FBA"/>
    <w:rsid w:val="0024203A"/>
    <w:rsid w:val="0024273F"/>
    <w:rsid w:val="00242E19"/>
    <w:rsid w:val="00242EFC"/>
    <w:rsid w:val="0024318A"/>
    <w:rsid w:val="0024668B"/>
    <w:rsid w:val="0024778A"/>
    <w:rsid w:val="00247E59"/>
    <w:rsid w:val="002506E5"/>
    <w:rsid w:val="00252650"/>
    <w:rsid w:val="00252811"/>
    <w:rsid w:val="002529D8"/>
    <w:rsid w:val="002537EA"/>
    <w:rsid w:val="002545DB"/>
    <w:rsid w:val="00254F76"/>
    <w:rsid w:val="0025541C"/>
    <w:rsid w:val="0025637D"/>
    <w:rsid w:val="0025783E"/>
    <w:rsid w:val="00260A2C"/>
    <w:rsid w:val="0026101C"/>
    <w:rsid w:val="002621D1"/>
    <w:rsid w:val="0026231F"/>
    <w:rsid w:val="00264AD0"/>
    <w:rsid w:val="00265918"/>
    <w:rsid w:val="00267B4F"/>
    <w:rsid w:val="00270D82"/>
    <w:rsid w:val="0027359C"/>
    <w:rsid w:val="002742FC"/>
    <w:rsid w:val="00274763"/>
    <w:rsid w:val="00276405"/>
    <w:rsid w:val="002806A1"/>
    <w:rsid w:val="0028073A"/>
    <w:rsid w:val="00281D1F"/>
    <w:rsid w:val="00282672"/>
    <w:rsid w:val="002848BB"/>
    <w:rsid w:val="00284D6D"/>
    <w:rsid w:val="00291494"/>
    <w:rsid w:val="002921B2"/>
    <w:rsid w:val="00292B6F"/>
    <w:rsid w:val="0029386F"/>
    <w:rsid w:val="00294E8B"/>
    <w:rsid w:val="00294EC4"/>
    <w:rsid w:val="00295577"/>
    <w:rsid w:val="0029641F"/>
    <w:rsid w:val="002966FF"/>
    <w:rsid w:val="00297864"/>
    <w:rsid w:val="00297FFA"/>
    <w:rsid w:val="002A1837"/>
    <w:rsid w:val="002A34CE"/>
    <w:rsid w:val="002A5084"/>
    <w:rsid w:val="002B002A"/>
    <w:rsid w:val="002B143B"/>
    <w:rsid w:val="002B2A66"/>
    <w:rsid w:val="002B2A93"/>
    <w:rsid w:val="002B64A3"/>
    <w:rsid w:val="002B7F68"/>
    <w:rsid w:val="002C0478"/>
    <w:rsid w:val="002C1EE1"/>
    <w:rsid w:val="002C50AC"/>
    <w:rsid w:val="002D10AA"/>
    <w:rsid w:val="002D1C95"/>
    <w:rsid w:val="002D3117"/>
    <w:rsid w:val="002D436A"/>
    <w:rsid w:val="002D48A3"/>
    <w:rsid w:val="002D5CE1"/>
    <w:rsid w:val="002D6850"/>
    <w:rsid w:val="002D6D00"/>
    <w:rsid w:val="002D7C44"/>
    <w:rsid w:val="002E0146"/>
    <w:rsid w:val="002E05A7"/>
    <w:rsid w:val="002E0C18"/>
    <w:rsid w:val="002E21AB"/>
    <w:rsid w:val="002E2542"/>
    <w:rsid w:val="002E48C4"/>
    <w:rsid w:val="002E49D1"/>
    <w:rsid w:val="002E5843"/>
    <w:rsid w:val="002E6128"/>
    <w:rsid w:val="002E7FC2"/>
    <w:rsid w:val="002F0E06"/>
    <w:rsid w:val="002F0F15"/>
    <w:rsid w:val="002F186E"/>
    <w:rsid w:val="002F2BAB"/>
    <w:rsid w:val="002F2E80"/>
    <w:rsid w:val="002F50FF"/>
    <w:rsid w:val="002F53A4"/>
    <w:rsid w:val="002F6955"/>
    <w:rsid w:val="00300053"/>
    <w:rsid w:val="0030055D"/>
    <w:rsid w:val="003008A2"/>
    <w:rsid w:val="00301A49"/>
    <w:rsid w:val="0030238F"/>
    <w:rsid w:val="00302764"/>
    <w:rsid w:val="00302E75"/>
    <w:rsid w:val="00304F95"/>
    <w:rsid w:val="00305080"/>
    <w:rsid w:val="00305F17"/>
    <w:rsid w:val="00307481"/>
    <w:rsid w:val="00307747"/>
    <w:rsid w:val="0031266C"/>
    <w:rsid w:val="003134F3"/>
    <w:rsid w:val="0031436C"/>
    <w:rsid w:val="00314419"/>
    <w:rsid w:val="0031453C"/>
    <w:rsid w:val="00316BD6"/>
    <w:rsid w:val="00317323"/>
    <w:rsid w:val="00317463"/>
    <w:rsid w:val="003176E2"/>
    <w:rsid w:val="00320CD2"/>
    <w:rsid w:val="0032183C"/>
    <w:rsid w:val="003219D4"/>
    <w:rsid w:val="003227AA"/>
    <w:rsid w:val="00325D02"/>
    <w:rsid w:val="003265A5"/>
    <w:rsid w:val="00332C4A"/>
    <w:rsid w:val="00333020"/>
    <w:rsid w:val="00333F33"/>
    <w:rsid w:val="0033755E"/>
    <w:rsid w:val="003377FC"/>
    <w:rsid w:val="0033787D"/>
    <w:rsid w:val="0034013E"/>
    <w:rsid w:val="00342822"/>
    <w:rsid w:val="00343539"/>
    <w:rsid w:val="0034444C"/>
    <w:rsid w:val="003447CC"/>
    <w:rsid w:val="00347EBF"/>
    <w:rsid w:val="00355099"/>
    <w:rsid w:val="0035607E"/>
    <w:rsid w:val="00356CF9"/>
    <w:rsid w:val="00357955"/>
    <w:rsid w:val="00357B22"/>
    <w:rsid w:val="00361913"/>
    <w:rsid w:val="003628AC"/>
    <w:rsid w:val="0036518E"/>
    <w:rsid w:val="00365B53"/>
    <w:rsid w:val="00365E79"/>
    <w:rsid w:val="00366CE6"/>
    <w:rsid w:val="00366F6C"/>
    <w:rsid w:val="00370595"/>
    <w:rsid w:val="00370EA2"/>
    <w:rsid w:val="00370F82"/>
    <w:rsid w:val="003718A3"/>
    <w:rsid w:val="00372B9D"/>
    <w:rsid w:val="00373EF1"/>
    <w:rsid w:val="003754B5"/>
    <w:rsid w:val="003754FD"/>
    <w:rsid w:val="003756F4"/>
    <w:rsid w:val="00376E39"/>
    <w:rsid w:val="00380F4B"/>
    <w:rsid w:val="00382841"/>
    <w:rsid w:val="003832D4"/>
    <w:rsid w:val="003859F5"/>
    <w:rsid w:val="00385D07"/>
    <w:rsid w:val="00385F11"/>
    <w:rsid w:val="00386A01"/>
    <w:rsid w:val="00390659"/>
    <w:rsid w:val="003907BF"/>
    <w:rsid w:val="00390F6A"/>
    <w:rsid w:val="00390FAA"/>
    <w:rsid w:val="00391F9C"/>
    <w:rsid w:val="00393802"/>
    <w:rsid w:val="003948EC"/>
    <w:rsid w:val="003964CF"/>
    <w:rsid w:val="003A0EC3"/>
    <w:rsid w:val="003A16CA"/>
    <w:rsid w:val="003A191A"/>
    <w:rsid w:val="003A1D7D"/>
    <w:rsid w:val="003A236C"/>
    <w:rsid w:val="003A292C"/>
    <w:rsid w:val="003A6247"/>
    <w:rsid w:val="003A6288"/>
    <w:rsid w:val="003A6896"/>
    <w:rsid w:val="003A7218"/>
    <w:rsid w:val="003B2F12"/>
    <w:rsid w:val="003B4B27"/>
    <w:rsid w:val="003B5824"/>
    <w:rsid w:val="003B7326"/>
    <w:rsid w:val="003C0025"/>
    <w:rsid w:val="003C16BB"/>
    <w:rsid w:val="003C29E4"/>
    <w:rsid w:val="003C2C9E"/>
    <w:rsid w:val="003C3308"/>
    <w:rsid w:val="003C59EE"/>
    <w:rsid w:val="003C60B7"/>
    <w:rsid w:val="003C675F"/>
    <w:rsid w:val="003C6AC8"/>
    <w:rsid w:val="003D0D38"/>
    <w:rsid w:val="003D1596"/>
    <w:rsid w:val="003D22AA"/>
    <w:rsid w:val="003D3220"/>
    <w:rsid w:val="003D35DD"/>
    <w:rsid w:val="003D3AF5"/>
    <w:rsid w:val="003D40C4"/>
    <w:rsid w:val="003D5E94"/>
    <w:rsid w:val="003D787D"/>
    <w:rsid w:val="003E0BE2"/>
    <w:rsid w:val="003E17F9"/>
    <w:rsid w:val="003E3D5D"/>
    <w:rsid w:val="003E3FAB"/>
    <w:rsid w:val="003E4D24"/>
    <w:rsid w:val="003E76A9"/>
    <w:rsid w:val="003E7C29"/>
    <w:rsid w:val="003F03A0"/>
    <w:rsid w:val="003F0C3E"/>
    <w:rsid w:val="003F1F9D"/>
    <w:rsid w:val="003F49A6"/>
    <w:rsid w:val="003F519A"/>
    <w:rsid w:val="00400B75"/>
    <w:rsid w:val="00401B08"/>
    <w:rsid w:val="0040316F"/>
    <w:rsid w:val="00406A66"/>
    <w:rsid w:val="00407E36"/>
    <w:rsid w:val="00411546"/>
    <w:rsid w:val="0041290D"/>
    <w:rsid w:val="004142B0"/>
    <w:rsid w:val="004160B7"/>
    <w:rsid w:val="00416A73"/>
    <w:rsid w:val="004178E9"/>
    <w:rsid w:val="0042013E"/>
    <w:rsid w:val="004216FC"/>
    <w:rsid w:val="00422431"/>
    <w:rsid w:val="0042248A"/>
    <w:rsid w:val="00423A23"/>
    <w:rsid w:val="00423A59"/>
    <w:rsid w:val="004244DC"/>
    <w:rsid w:val="00424E90"/>
    <w:rsid w:val="00425464"/>
    <w:rsid w:val="00427048"/>
    <w:rsid w:val="00427378"/>
    <w:rsid w:val="00427426"/>
    <w:rsid w:val="00427F42"/>
    <w:rsid w:val="004320A5"/>
    <w:rsid w:val="0043346B"/>
    <w:rsid w:val="0043479E"/>
    <w:rsid w:val="00434A58"/>
    <w:rsid w:val="00434E2F"/>
    <w:rsid w:val="004362BB"/>
    <w:rsid w:val="004375EB"/>
    <w:rsid w:val="00437FC5"/>
    <w:rsid w:val="004406FC"/>
    <w:rsid w:val="0044072E"/>
    <w:rsid w:val="00440911"/>
    <w:rsid w:val="004409AA"/>
    <w:rsid w:val="00440BDD"/>
    <w:rsid w:val="004440A3"/>
    <w:rsid w:val="004440D3"/>
    <w:rsid w:val="00450826"/>
    <w:rsid w:val="00452381"/>
    <w:rsid w:val="00455AA3"/>
    <w:rsid w:val="0045668E"/>
    <w:rsid w:val="004608D1"/>
    <w:rsid w:val="00460B50"/>
    <w:rsid w:val="00462402"/>
    <w:rsid w:val="00462609"/>
    <w:rsid w:val="00463251"/>
    <w:rsid w:val="00463CC1"/>
    <w:rsid w:val="00464746"/>
    <w:rsid w:val="0046528A"/>
    <w:rsid w:val="00465E55"/>
    <w:rsid w:val="00467B90"/>
    <w:rsid w:val="00467FB7"/>
    <w:rsid w:val="00471968"/>
    <w:rsid w:val="00471CED"/>
    <w:rsid w:val="0047382D"/>
    <w:rsid w:val="00473FDB"/>
    <w:rsid w:val="00474CEA"/>
    <w:rsid w:val="00475F45"/>
    <w:rsid w:val="0048033C"/>
    <w:rsid w:val="004803FF"/>
    <w:rsid w:val="00480603"/>
    <w:rsid w:val="004807E8"/>
    <w:rsid w:val="00481B44"/>
    <w:rsid w:val="0048481C"/>
    <w:rsid w:val="0048547E"/>
    <w:rsid w:val="00485F73"/>
    <w:rsid w:val="00486AC2"/>
    <w:rsid w:val="0048712B"/>
    <w:rsid w:val="00492641"/>
    <w:rsid w:val="0049292E"/>
    <w:rsid w:val="004963BB"/>
    <w:rsid w:val="0049678E"/>
    <w:rsid w:val="00497926"/>
    <w:rsid w:val="004A0B23"/>
    <w:rsid w:val="004A1A9F"/>
    <w:rsid w:val="004A266F"/>
    <w:rsid w:val="004A3284"/>
    <w:rsid w:val="004B0468"/>
    <w:rsid w:val="004B066A"/>
    <w:rsid w:val="004B0D76"/>
    <w:rsid w:val="004B1D65"/>
    <w:rsid w:val="004B2EB2"/>
    <w:rsid w:val="004B37B9"/>
    <w:rsid w:val="004B636F"/>
    <w:rsid w:val="004B702A"/>
    <w:rsid w:val="004B7C96"/>
    <w:rsid w:val="004B7EF5"/>
    <w:rsid w:val="004C1037"/>
    <w:rsid w:val="004C1142"/>
    <w:rsid w:val="004C1AD9"/>
    <w:rsid w:val="004C2DB0"/>
    <w:rsid w:val="004C2EE0"/>
    <w:rsid w:val="004C3AAF"/>
    <w:rsid w:val="004C4769"/>
    <w:rsid w:val="004C5726"/>
    <w:rsid w:val="004C6371"/>
    <w:rsid w:val="004C6E5D"/>
    <w:rsid w:val="004C6E9F"/>
    <w:rsid w:val="004D08BA"/>
    <w:rsid w:val="004D0A68"/>
    <w:rsid w:val="004D0E54"/>
    <w:rsid w:val="004D2A0D"/>
    <w:rsid w:val="004D334C"/>
    <w:rsid w:val="004D4CC1"/>
    <w:rsid w:val="004D4FCE"/>
    <w:rsid w:val="004D5CCC"/>
    <w:rsid w:val="004D61F9"/>
    <w:rsid w:val="004D68AC"/>
    <w:rsid w:val="004D6D8F"/>
    <w:rsid w:val="004D7045"/>
    <w:rsid w:val="004D7639"/>
    <w:rsid w:val="004E1A7C"/>
    <w:rsid w:val="004E24DF"/>
    <w:rsid w:val="004E28D4"/>
    <w:rsid w:val="004E40FB"/>
    <w:rsid w:val="004E4860"/>
    <w:rsid w:val="004E4D2A"/>
    <w:rsid w:val="004E5DA8"/>
    <w:rsid w:val="004E605F"/>
    <w:rsid w:val="004E622A"/>
    <w:rsid w:val="004E6F85"/>
    <w:rsid w:val="004F3A4C"/>
    <w:rsid w:val="004F46DB"/>
    <w:rsid w:val="004F56E1"/>
    <w:rsid w:val="004F5927"/>
    <w:rsid w:val="004F6286"/>
    <w:rsid w:val="004F6BD9"/>
    <w:rsid w:val="004F7A99"/>
    <w:rsid w:val="00500348"/>
    <w:rsid w:val="00500479"/>
    <w:rsid w:val="00501934"/>
    <w:rsid w:val="0050223D"/>
    <w:rsid w:val="00502293"/>
    <w:rsid w:val="00503F94"/>
    <w:rsid w:val="005040A5"/>
    <w:rsid w:val="0050488E"/>
    <w:rsid w:val="00510E28"/>
    <w:rsid w:val="005117D7"/>
    <w:rsid w:val="005126B2"/>
    <w:rsid w:val="00512DB3"/>
    <w:rsid w:val="0051488E"/>
    <w:rsid w:val="00516DE8"/>
    <w:rsid w:val="00517E37"/>
    <w:rsid w:val="00520629"/>
    <w:rsid w:val="0052184C"/>
    <w:rsid w:val="00522482"/>
    <w:rsid w:val="00522BE9"/>
    <w:rsid w:val="00523936"/>
    <w:rsid w:val="00525F4D"/>
    <w:rsid w:val="00526535"/>
    <w:rsid w:val="005269B0"/>
    <w:rsid w:val="00526BCC"/>
    <w:rsid w:val="00526FE4"/>
    <w:rsid w:val="00531116"/>
    <w:rsid w:val="00532D0B"/>
    <w:rsid w:val="00534CE6"/>
    <w:rsid w:val="005351E5"/>
    <w:rsid w:val="005362F2"/>
    <w:rsid w:val="00536493"/>
    <w:rsid w:val="00537440"/>
    <w:rsid w:val="00537775"/>
    <w:rsid w:val="00537FDE"/>
    <w:rsid w:val="005411FA"/>
    <w:rsid w:val="00541E73"/>
    <w:rsid w:val="00542A27"/>
    <w:rsid w:val="00543DAF"/>
    <w:rsid w:val="00546549"/>
    <w:rsid w:val="0054674F"/>
    <w:rsid w:val="00547E00"/>
    <w:rsid w:val="005509F9"/>
    <w:rsid w:val="00550E6C"/>
    <w:rsid w:val="00551135"/>
    <w:rsid w:val="00551241"/>
    <w:rsid w:val="0055259D"/>
    <w:rsid w:val="00553D3F"/>
    <w:rsid w:val="0055482D"/>
    <w:rsid w:val="00554A7C"/>
    <w:rsid w:val="00560138"/>
    <w:rsid w:val="00561FBC"/>
    <w:rsid w:val="005631E5"/>
    <w:rsid w:val="005632D0"/>
    <w:rsid w:val="0056355B"/>
    <w:rsid w:val="005637E3"/>
    <w:rsid w:val="00564CDA"/>
    <w:rsid w:val="00566BB2"/>
    <w:rsid w:val="00567945"/>
    <w:rsid w:val="00570B0E"/>
    <w:rsid w:val="00570F04"/>
    <w:rsid w:val="00572558"/>
    <w:rsid w:val="005743ED"/>
    <w:rsid w:val="005744EC"/>
    <w:rsid w:val="005747CC"/>
    <w:rsid w:val="00574AEB"/>
    <w:rsid w:val="00574D1E"/>
    <w:rsid w:val="00575B4B"/>
    <w:rsid w:val="0057654E"/>
    <w:rsid w:val="00583040"/>
    <w:rsid w:val="00583515"/>
    <w:rsid w:val="00583971"/>
    <w:rsid w:val="00584597"/>
    <w:rsid w:val="00585DB0"/>
    <w:rsid w:val="005862C6"/>
    <w:rsid w:val="00586F41"/>
    <w:rsid w:val="0058751F"/>
    <w:rsid w:val="00590BB9"/>
    <w:rsid w:val="005928C6"/>
    <w:rsid w:val="00592F0F"/>
    <w:rsid w:val="0059317D"/>
    <w:rsid w:val="0059345A"/>
    <w:rsid w:val="00593562"/>
    <w:rsid w:val="00593A9D"/>
    <w:rsid w:val="00595205"/>
    <w:rsid w:val="00595BFE"/>
    <w:rsid w:val="00596F20"/>
    <w:rsid w:val="005970F3"/>
    <w:rsid w:val="005A14E6"/>
    <w:rsid w:val="005A17D1"/>
    <w:rsid w:val="005A24A5"/>
    <w:rsid w:val="005A331A"/>
    <w:rsid w:val="005A4CE7"/>
    <w:rsid w:val="005A5C2E"/>
    <w:rsid w:val="005A745B"/>
    <w:rsid w:val="005B2EA2"/>
    <w:rsid w:val="005B3299"/>
    <w:rsid w:val="005B3337"/>
    <w:rsid w:val="005B56B4"/>
    <w:rsid w:val="005B66B6"/>
    <w:rsid w:val="005B6723"/>
    <w:rsid w:val="005B7EA0"/>
    <w:rsid w:val="005C2FEF"/>
    <w:rsid w:val="005C3D7C"/>
    <w:rsid w:val="005C4814"/>
    <w:rsid w:val="005C4E97"/>
    <w:rsid w:val="005C52B8"/>
    <w:rsid w:val="005C52BC"/>
    <w:rsid w:val="005C54FB"/>
    <w:rsid w:val="005C7D1C"/>
    <w:rsid w:val="005C7FC8"/>
    <w:rsid w:val="005D10CF"/>
    <w:rsid w:val="005D1708"/>
    <w:rsid w:val="005D2F41"/>
    <w:rsid w:val="005D5C8B"/>
    <w:rsid w:val="005D7F4B"/>
    <w:rsid w:val="005E06E1"/>
    <w:rsid w:val="005E0AF5"/>
    <w:rsid w:val="005E19AE"/>
    <w:rsid w:val="005E1ED4"/>
    <w:rsid w:val="005E2F53"/>
    <w:rsid w:val="005E3F83"/>
    <w:rsid w:val="005E48EA"/>
    <w:rsid w:val="005E4A8F"/>
    <w:rsid w:val="005E4CDE"/>
    <w:rsid w:val="005E61B2"/>
    <w:rsid w:val="005E6CC2"/>
    <w:rsid w:val="005E7099"/>
    <w:rsid w:val="005E78A2"/>
    <w:rsid w:val="005E7927"/>
    <w:rsid w:val="005E7EB3"/>
    <w:rsid w:val="005F043B"/>
    <w:rsid w:val="005F33B9"/>
    <w:rsid w:val="005F5BDE"/>
    <w:rsid w:val="005F7A08"/>
    <w:rsid w:val="005F7E40"/>
    <w:rsid w:val="00601D65"/>
    <w:rsid w:val="00602695"/>
    <w:rsid w:val="006046CA"/>
    <w:rsid w:val="006050CA"/>
    <w:rsid w:val="006050CB"/>
    <w:rsid w:val="00605281"/>
    <w:rsid w:val="006077AF"/>
    <w:rsid w:val="00610012"/>
    <w:rsid w:val="0061463A"/>
    <w:rsid w:val="00615458"/>
    <w:rsid w:val="00615F06"/>
    <w:rsid w:val="0061666F"/>
    <w:rsid w:val="00620086"/>
    <w:rsid w:val="00620797"/>
    <w:rsid w:val="006218DC"/>
    <w:rsid w:val="00622756"/>
    <w:rsid w:val="00622FAB"/>
    <w:rsid w:val="00624C5E"/>
    <w:rsid w:val="0062646A"/>
    <w:rsid w:val="006271D9"/>
    <w:rsid w:val="00627627"/>
    <w:rsid w:val="00627E10"/>
    <w:rsid w:val="00627F00"/>
    <w:rsid w:val="00633D21"/>
    <w:rsid w:val="006342F0"/>
    <w:rsid w:val="0063465B"/>
    <w:rsid w:val="00634C84"/>
    <w:rsid w:val="006356EC"/>
    <w:rsid w:val="00635B61"/>
    <w:rsid w:val="00635E56"/>
    <w:rsid w:val="00636D95"/>
    <w:rsid w:val="006400B7"/>
    <w:rsid w:val="00640597"/>
    <w:rsid w:val="00640783"/>
    <w:rsid w:val="00640880"/>
    <w:rsid w:val="0064127B"/>
    <w:rsid w:val="00642A03"/>
    <w:rsid w:val="006431F7"/>
    <w:rsid w:val="006442B8"/>
    <w:rsid w:val="0064443B"/>
    <w:rsid w:val="00645534"/>
    <w:rsid w:val="006473F4"/>
    <w:rsid w:val="00650053"/>
    <w:rsid w:val="00650F11"/>
    <w:rsid w:val="00655296"/>
    <w:rsid w:val="006552AA"/>
    <w:rsid w:val="006557C7"/>
    <w:rsid w:val="006574DA"/>
    <w:rsid w:val="00657E15"/>
    <w:rsid w:val="0066006A"/>
    <w:rsid w:val="006602F7"/>
    <w:rsid w:val="006609E6"/>
    <w:rsid w:val="006614D3"/>
    <w:rsid w:val="0066392C"/>
    <w:rsid w:val="006646EB"/>
    <w:rsid w:val="006647BB"/>
    <w:rsid w:val="00667414"/>
    <w:rsid w:val="0067214D"/>
    <w:rsid w:val="00672D24"/>
    <w:rsid w:val="00672F99"/>
    <w:rsid w:val="00674B9F"/>
    <w:rsid w:val="00675D9E"/>
    <w:rsid w:val="00676AD0"/>
    <w:rsid w:val="00676FAF"/>
    <w:rsid w:val="00677773"/>
    <w:rsid w:val="006777BA"/>
    <w:rsid w:val="00681251"/>
    <w:rsid w:val="0068248B"/>
    <w:rsid w:val="00682F1B"/>
    <w:rsid w:val="0068499C"/>
    <w:rsid w:val="00686E0A"/>
    <w:rsid w:val="00687D8C"/>
    <w:rsid w:val="0069068B"/>
    <w:rsid w:val="006917CF"/>
    <w:rsid w:val="00691ADF"/>
    <w:rsid w:val="00692CFE"/>
    <w:rsid w:val="006943D5"/>
    <w:rsid w:val="0069565E"/>
    <w:rsid w:val="006960C8"/>
    <w:rsid w:val="00696B7F"/>
    <w:rsid w:val="00696FB6"/>
    <w:rsid w:val="006975AA"/>
    <w:rsid w:val="00697820"/>
    <w:rsid w:val="006A06A8"/>
    <w:rsid w:val="006A0EB2"/>
    <w:rsid w:val="006A1A86"/>
    <w:rsid w:val="006A203B"/>
    <w:rsid w:val="006A25F2"/>
    <w:rsid w:val="006A2E76"/>
    <w:rsid w:val="006A38AA"/>
    <w:rsid w:val="006A5D99"/>
    <w:rsid w:val="006B0F4E"/>
    <w:rsid w:val="006B23EF"/>
    <w:rsid w:val="006B35F4"/>
    <w:rsid w:val="006B6914"/>
    <w:rsid w:val="006C099C"/>
    <w:rsid w:val="006C45D4"/>
    <w:rsid w:val="006C470D"/>
    <w:rsid w:val="006C488E"/>
    <w:rsid w:val="006C502E"/>
    <w:rsid w:val="006C53BA"/>
    <w:rsid w:val="006C5590"/>
    <w:rsid w:val="006C7067"/>
    <w:rsid w:val="006C7E8E"/>
    <w:rsid w:val="006D06FD"/>
    <w:rsid w:val="006D0850"/>
    <w:rsid w:val="006D0CA8"/>
    <w:rsid w:val="006D116C"/>
    <w:rsid w:val="006D1EDC"/>
    <w:rsid w:val="006D33B1"/>
    <w:rsid w:val="006D3707"/>
    <w:rsid w:val="006D3F37"/>
    <w:rsid w:val="006D4331"/>
    <w:rsid w:val="006D7802"/>
    <w:rsid w:val="006D7987"/>
    <w:rsid w:val="006D7AC3"/>
    <w:rsid w:val="006E15E5"/>
    <w:rsid w:val="006E1723"/>
    <w:rsid w:val="006E1FF4"/>
    <w:rsid w:val="006E24D2"/>
    <w:rsid w:val="006E273E"/>
    <w:rsid w:val="006E304C"/>
    <w:rsid w:val="006E3A30"/>
    <w:rsid w:val="006E3CF7"/>
    <w:rsid w:val="006E57FE"/>
    <w:rsid w:val="006E70BF"/>
    <w:rsid w:val="006E71D2"/>
    <w:rsid w:val="006E791F"/>
    <w:rsid w:val="006E7C72"/>
    <w:rsid w:val="006F0E05"/>
    <w:rsid w:val="006F10DA"/>
    <w:rsid w:val="006F140E"/>
    <w:rsid w:val="006F174C"/>
    <w:rsid w:val="006F2B1A"/>
    <w:rsid w:val="006F2BC6"/>
    <w:rsid w:val="006F5D5C"/>
    <w:rsid w:val="006F7F99"/>
    <w:rsid w:val="0070028C"/>
    <w:rsid w:val="00701AE1"/>
    <w:rsid w:val="00701BC5"/>
    <w:rsid w:val="00701D92"/>
    <w:rsid w:val="00702FC2"/>
    <w:rsid w:val="007040CF"/>
    <w:rsid w:val="00705A23"/>
    <w:rsid w:val="00706F4B"/>
    <w:rsid w:val="00710C88"/>
    <w:rsid w:val="0071446D"/>
    <w:rsid w:val="007168ED"/>
    <w:rsid w:val="007174AD"/>
    <w:rsid w:val="00720F4F"/>
    <w:rsid w:val="007215E7"/>
    <w:rsid w:val="00721ADE"/>
    <w:rsid w:val="00722643"/>
    <w:rsid w:val="0072301E"/>
    <w:rsid w:val="00723285"/>
    <w:rsid w:val="00723D67"/>
    <w:rsid w:val="00723FA0"/>
    <w:rsid w:val="00724C2B"/>
    <w:rsid w:val="00726659"/>
    <w:rsid w:val="007302D5"/>
    <w:rsid w:val="00733BAB"/>
    <w:rsid w:val="00734CE5"/>
    <w:rsid w:val="0073508A"/>
    <w:rsid w:val="00736BD1"/>
    <w:rsid w:val="00740187"/>
    <w:rsid w:val="007411CB"/>
    <w:rsid w:val="00741973"/>
    <w:rsid w:val="00741E75"/>
    <w:rsid w:val="00742B1B"/>
    <w:rsid w:val="007433D4"/>
    <w:rsid w:val="007437B2"/>
    <w:rsid w:val="00744443"/>
    <w:rsid w:val="00746AEF"/>
    <w:rsid w:val="0074748B"/>
    <w:rsid w:val="00747666"/>
    <w:rsid w:val="007509C7"/>
    <w:rsid w:val="00751737"/>
    <w:rsid w:val="00751D1C"/>
    <w:rsid w:val="00752D4A"/>
    <w:rsid w:val="00752F61"/>
    <w:rsid w:val="00753053"/>
    <w:rsid w:val="00754BD3"/>
    <w:rsid w:val="00756EEA"/>
    <w:rsid w:val="0075790A"/>
    <w:rsid w:val="00757C9D"/>
    <w:rsid w:val="00760BDA"/>
    <w:rsid w:val="00761CDA"/>
    <w:rsid w:val="00761D65"/>
    <w:rsid w:val="00761F9D"/>
    <w:rsid w:val="007629A5"/>
    <w:rsid w:val="00762ACC"/>
    <w:rsid w:val="00764094"/>
    <w:rsid w:val="00764153"/>
    <w:rsid w:val="007642D4"/>
    <w:rsid w:val="00764CE9"/>
    <w:rsid w:val="00765E53"/>
    <w:rsid w:val="00766266"/>
    <w:rsid w:val="00767CC6"/>
    <w:rsid w:val="0077014F"/>
    <w:rsid w:val="0077232A"/>
    <w:rsid w:val="007748CA"/>
    <w:rsid w:val="00775651"/>
    <w:rsid w:val="00775C66"/>
    <w:rsid w:val="007766FA"/>
    <w:rsid w:val="00776D86"/>
    <w:rsid w:val="00780A12"/>
    <w:rsid w:val="00791A6D"/>
    <w:rsid w:val="00791C9E"/>
    <w:rsid w:val="00791D8A"/>
    <w:rsid w:val="00792CFA"/>
    <w:rsid w:val="00793A19"/>
    <w:rsid w:val="0079409A"/>
    <w:rsid w:val="00794842"/>
    <w:rsid w:val="007A0715"/>
    <w:rsid w:val="007A1BED"/>
    <w:rsid w:val="007A1DC1"/>
    <w:rsid w:val="007A2B2A"/>
    <w:rsid w:val="007A655E"/>
    <w:rsid w:val="007A712E"/>
    <w:rsid w:val="007B002C"/>
    <w:rsid w:val="007B14F7"/>
    <w:rsid w:val="007B2567"/>
    <w:rsid w:val="007B2B2D"/>
    <w:rsid w:val="007B3334"/>
    <w:rsid w:val="007B3A64"/>
    <w:rsid w:val="007B4EE4"/>
    <w:rsid w:val="007B5A9A"/>
    <w:rsid w:val="007B765A"/>
    <w:rsid w:val="007B7F53"/>
    <w:rsid w:val="007C03CE"/>
    <w:rsid w:val="007C1C1F"/>
    <w:rsid w:val="007C2EC8"/>
    <w:rsid w:val="007C62B6"/>
    <w:rsid w:val="007C6D2F"/>
    <w:rsid w:val="007C7A79"/>
    <w:rsid w:val="007C7C80"/>
    <w:rsid w:val="007D1377"/>
    <w:rsid w:val="007D2C56"/>
    <w:rsid w:val="007D2D36"/>
    <w:rsid w:val="007D3F48"/>
    <w:rsid w:val="007D5D58"/>
    <w:rsid w:val="007E07C3"/>
    <w:rsid w:val="007E1643"/>
    <w:rsid w:val="007E1743"/>
    <w:rsid w:val="007E1AA4"/>
    <w:rsid w:val="007E213A"/>
    <w:rsid w:val="007E2856"/>
    <w:rsid w:val="007E28BF"/>
    <w:rsid w:val="007E2F02"/>
    <w:rsid w:val="007E3888"/>
    <w:rsid w:val="007E411C"/>
    <w:rsid w:val="007F00CF"/>
    <w:rsid w:val="007F01ED"/>
    <w:rsid w:val="007F034D"/>
    <w:rsid w:val="007F2F67"/>
    <w:rsid w:val="007F3A4F"/>
    <w:rsid w:val="007F4E37"/>
    <w:rsid w:val="007F55A1"/>
    <w:rsid w:val="007F5783"/>
    <w:rsid w:val="007F5D90"/>
    <w:rsid w:val="007F64EF"/>
    <w:rsid w:val="007F67B9"/>
    <w:rsid w:val="007F748B"/>
    <w:rsid w:val="007F77C0"/>
    <w:rsid w:val="00802C3E"/>
    <w:rsid w:val="008067E1"/>
    <w:rsid w:val="00807219"/>
    <w:rsid w:val="008073D8"/>
    <w:rsid w:val="0080756B"/>
    <w:rsid w:val="008109E3"/>
    <w:rsid w:val="00813A96"/>
    <w:rsid w:val="00814116"/>
    <w:rsid w:val="00815C0C"/>
    <w:rsid w:val="00816935"/>
    <w:rsid w:val="008171B8"/>
    <w:rsid w:val="0082049C"/>
    <w:rsid w:val="00820934"/>
    <w:rsid w:val="00820EE1"/>
    <w:rsid w:val="00821E48"/>
    <w:rsid w:val="008227A1"/>
    <w:rsid w:val="00823B2F"/>
    <w:rsid w:val="008247B2"/>
    <w:rsid w:val="008249EE"/>
    <w:rsid w:val="00824D29"/>
    <w:rsid w:val="0082545E"/>
    <w:rsid w:val="00825723"/>
    <w:rsid w:val="00825CB3"/>
    <w:rsid w:val="008266D3"/>
    <w:rsid w:val="00827970"/>
    <w:rsid w:val="008325EF"/>
    <w:rsid w:val="0083264B"/>
    <w:rsid w:val="008336E3"/>
    <w:rsid w:val="00834DB4"/>
    <w:rsid w:val="0083749B"/>
    <w:rsid w:val="008432F8"/>
    <w:rsid w:val="008436AD"/>
    <w:rsid w:val="00843C14"/>
    <w:rsid w:val="00843CF7"/>
    <w:rsid w:val="008453B0"/>
    <w:rsid w:val="00847F5E"/>
    <w:rsid w:val="00852946"/>
    <w:rsid w:val="008534CE"/>
    <w:rsid w:val="00853AD1"/>
    <w:rsid w:val="00853E43"/>
    <w:rsid w:val="00854BC1"/>
    <w:rsid w:val="0085764F"/>
    <w:rsid w:val="0085799D"/>
    <w:rsid w:val="00857B73"/>
    <w:rsid w:val="00860860"/>
    <w:rsid w:val="00860B6C"/>
    <w:rsid w:val="00860D7D"/>
    <w:rsid w:val="00860D9D"/>
    <w:rsid w:val="008614D9"/>
    <w:rsid w:val="00861957"/>
    <w:rsid w:val="00864A9D"/>
    <w:rsid w:val="00866895"/>
    <w:rsid w:val="0086689E"/>
    <w:rsid w:val="008677A5"/>
    <w:rsid w:val="008679F2"/>
    <w:rsid w:val="00871078"/>
    <w:rsid w:val="00871970"/>
    <w:rsid w:val="00872328"/>
    <w:rsid w:val="00875253"/>
    <w:rsid w:val="00876522"/>
    <w:rsid w:val="00877083"/>
    <w:rsid w:val="00877F28"/>
    <w:rsid w:val="00880B25"/>
    <w:rsid w:val="00880E55"/>
    <w:rsid w:val="00881514"/>
    <w:rsid w:val="0088159F"/>
    <w:rsid w:val="00882450"/>
    <w:rsid w:val="00882DBE"/>
    <w:rsid w:val="008833BF"/>
    <w:rsid w:val="00886183"/>
    <w:rsid w:val="00887BE9"/>
    <w:rsid w:val="00891A29"/>
    <w:rsid w:val="00891FB2"/>
    <w:rsid w:val="0089281C"/>
    <w:rsid w:val="00892C64"/>
    <w:rsid w:val="008931F4"/>
    <w:rsid w:val="008937FF"/>
    <w:rsid w:val="0089504D"/>
    <w:rsid w:val="00895267"/>
    <w:rsid w:val="00895503"/>
    <w:rsid w:val="008A07A8"/>
    <w:rsid w:val="008A084B"/>
    <w:rsid w:val="008A1121"/>
    <w:rsid w:val="008A1664"/>
    <w:rsid w:val="008A212E"/>
    <w:rsid w:val="008A2D16"/>
    <w:rsid w:val="008A3062"/>
    <w:rsid w:val="008A35BA"/>
    <w:rsid w:val="008A41C9"/>
    <w:rsid w:val="008A49C3"/>
    <w:rsid w:val="008A571E"/>
    <w:rsid w:val="008A5DC0"/>
    <w:rsid w:val="008A6787"/>
    <w:rsid w:val="008A680D"/>
    <w:rsid w:val="008B0271"/>
    <w:rsid w:val="008B09D5"/>
    <w:rsid w:val="008B0FEA"/>
    <w:rsid w:val="008B4BE2"/>
    <w:rsid w:val="008B5981"/>
    <w:rsid w:val="008C1256"/>
    <w:rsid w:val="008C2600"/>
    <w:rsid w:val="008C3871"/>
    <w:rsid w:val="008C57B0"/>
    <w:rsid w:val="008C5904"/>
    <w:rsid w:val="008C6649"/>
    <w:rsid w:val="008D06E8"/>
    <w:rsid w:val="008D1061"/>
    <w:rsid w:val="008D1FAC"/>
    <w:rsid w:val="008D3540"/>
    <w:rsid w:val="008D3911"/>
    <w:rsid w:val="008D4FC0"/>
    <w:rsid w:val="008D5738"/>
    <w:rsid w:val="008D636A"/>
    <w:rsid w:val="008D73C3"/>
    <w:rsid w:val="008E05B2"/>
    <w:rsid w:val="008E1CE8"/>
    <w:rsid w:val="008E5074"/>
    <w:rsid w:val="008E79A2"/>
    <w:rsid w:val="008F1A51"/>
    <w:rsid w:val="008F2CF2"/>
    <w:rsid w:val="008F3512"/>
    <w:rsid w:val="008F3B5B"/>
    <w:rsid w:val="008F4799"/>
    <w:rsid w:val="008F48D4"/>
    <w:rsid w:val="008F5049"/>
    <w:rsid w:val="008F54AE"/>
    <w:rsid w:val="009002C3"/>
    <w:rsid w:val="0090044C"/>
    <w:rsid w:val="00900C33"/>
    <w:rsid w:val="00900FFE"/>
    <w:rsid w:val="00902ABC"/>
    <w:rsid w:val="00903B11"/>
    <w:rsid w:val="00904272"/>
    <w:rsid w:val="009046FA"/>
    <w:rsid w:val="009053C8"/>
    <w:rsid w:val="009055C6"/>
    <w:rsid w:val="009057F6"/>
    <w:rsid w:val="00906247"/>
    <w:rsid w:val="00906328"/>
    <w:rsid w:val="009108E7"/>
    <w:rsid w:val="00911267"/>
    <w:rsid w:val="00911520"/>
    <w:rsid w:val="00911FCD"/>
    <w:rsid w:val="009120CB"/>
    <w:rsid w:val="00913575"/>
    <w:rsid w:val="00913CF8"/>
    <w:rsid w:val="009148F1"/>
    <w:rsid w:val="00914B57"/>
    <w:rsid w:val="00914CFF"/>
    <w:rsid w:val="009157F8"/>
    <w:rsid w:val="009158D8"/>
    <w:rsid w:val="009159C4"/>
    <w:rsid w:val="00917FBE"/>
    <w:rsid w:val="009202FA"/>
    <w:rsid w:val="00920631"/>
    <w:rsid w:val="009207AC"/>
    <w:rsid w:val="00920E3E"/>
    <w:rsid w:val="0092209F"/>
    <w:rsid w:val="009259E3"/>
    <w:rsid w:val="009260D1"/>
    <w:rsid w:val="009272EB"/>
    <w:rsid w:val="0092774C"/>
    <w:rsid w:val="0092A3AF"/>
    <w:rsid w:val="00930123"/>
    <w:rsid w:val="009304F0"/>
    <w:rsid w:val="0093083B"/>
    <w:rsid w:val="00930CAC"/>
    <w:rsid w:val="009311C2"/>
    <w:rsid w:val="009321B4"/>
    <w:rsid w:val="00932201"/>
    <w:rsid w:val="00932675"/>
    <w:rsid w:val="00935E41"/>
    <w:rsid w:val="009433C3"/>
    <w:rsid w:val="00944AFE"/>
    <w:rsid w:val="0094550D"/>
    <w:rsid w:val="00945E5F"/>
    <w:rsid w:val="00947C1C"/>
    <w:rsid w:val="00952112"/>
    <w:rsid w:val="00955D28"/>
    <w:rsid w:val="00955D95"/>
    <w:rsid w:val="0095677F"/>
    <w:rsid w:val="00957EF9"/>
    <w:rsid w:val="00961236"/>
    <w:rsid w:val="00961DDA"/>
    <w:rsid w:val="00962257"/>
    <w:rsid w:val="00964682"/>
    <w:rsid w:val="0096571A"/>
    <w:rsid w:val="0096744A"/>
    <w:rsid w:val="00971E65"/>
    <w:rsid w:val="0097230A"/>
    <w:rsid w:val="009725A0"/>
    <w:rsid w:val="0097430C"/>
    <w:rsid w:val="00974773"/>
    <w:rsid w:val="00975344"/>
    <w:rsid w:val="009760F0"/>
    <w:rsid w:val="00980614"/>
    <w:rsid w:val="0098086E"/>
    <w:rsid w:val="00981289"/>
    <w:rsid w:val="00982B95"/>
    <w:rsid w:val="00982E8C"/>
    <w:rsid w:val="00982EFD"/>
    <w:rsid w:val="0098391F"/>
    <w:rsid w:val="00984D3A"/>
    <w:rsid w:val="00985AD3"/>
    <w:rsid w:val="00990B4C"/>
    <w:rsid w:val="009931C2"/>
    <w:rsid w:val="009933B3"/>
    <w:rsid w:val="0099466A"/>
    <w:rsid w:val="0099470B"/>
    <w:rsid w:val="0099555B"/>
    <w:rsid w:val="009957FD"/>
    <w:rsid w:val="009959B9"/>
    <w:rsid w:val="0099732E"/>
    <w:rsid w:val="00997877"/>
    <w:rsid w:val="009A10EB"/>
    <w:rsid w:val="009A133D"/>
    <w:rsid w:val="009A4271"/>
    <w:rsid w:val="009A428D"/>
    <w:rsid w:val="009A6B12"/>
    <w:rsid w:val="009A7DB4"/>
    <w:rsid w:val="009B1C58"/>
    <w:rsid w:val="009B244A"/>
    <w:rsid w:val="009B2791"/>
    <w:rsid w:val="009B280C"/>
    <w:rsid w:val="009B292D"/>
    <w:rsid w:val="009B3131"/>
    <w:rsid w:val="009B3466"/>
    <w:rsid w:val="009B461A"/>
    <w:rsid w:val="009B7D7E"/>
    <w:rsid w:val="009C1E85"/>
    <w:rsid w:val="009C27EE"/>
    <w:rsid w:val="009C383C"/>
    <w:rsid w:val="009C3B02"/>
    <w:rsid w:val="009C3DDD"/>
    <w:rsid w:val="009C57E9"/>
    <w:rsid w:val="009C651E"/>
    <w:rsid w:val="009C6DDC"/>
    <w:rsid w:val="009C7C37"/>
    <w:rsid w:val="009C7CF3"/>
    <w:rsid w:val="009D11CA"/>
    <w:rsid w:val="009D1995"/>
    <w:rsid w:val="009D257B"/>
    <w:rsid w:val="009D2680"/>
    <w:rsid w:val="009D2DF4"/>
    <w:rsid w:val="009D361F"/>
    <w:rsid w:val="009D4E24"/>
    <w:rsid w:val="009D5F07"/>
    <w:rsid w:val="009D6D76"/>
    <w:rsid w:val="009D7787"/>
    <w:rsid w:val="009E0260"/>
    <w:rsid w:val="009E1313"/>
    <w:rsid w:val="009E5156"/>
    <w:rsid w:val="009E5B98"/>
    <w:rsid w:val="009E610B"/>
    <w:rsid w:val="009F0966"/>
    <w:rsid w:val="009F3417"/>
    <w:rsid w:val="009F3909"/>
    <w:rsid w:val="009F46F9"/>
    <w:rsid w:val="009F4B03"/>
    <w:rsid w:val="009F54E8"/>
    <w:rsid w:val="009F5B4E"/>
    <w:rsid w:val="009F7452"/>
    <w:rsid w:val="009F7586"/>
    <w:rsid w:val="009F7ADB"/>
    <w:rsid w:val="00A00AF4"/>
    <w:rsid w:val="00A0250B"/>
    <w:rsid w:val="00A03B45"/>
    <w:rsid w:val="00A04334"/>
    <w:rsid w:val="00A069E9"/>
    <w:rsid w:val="00A07CDD"/>
    <w:rsid w:val="00A1034E"/>
    <w:rsid w:val="00A10BC8"/>
    <w:rsid w:val="00A14EB1"/>
    <w:rsid w:val="00A15F81"/>
    <w:rsid w:val="00A16A2E"/>
    <w:rsid w:val="00A20EEE"/>
    <w:rsid w:val="00A2103B"/>
    <w:rsid w:val="00A2105B"/>
    <w:rsid w:val="00A2134F"/>
    <w:rsid w:val="00A22DF3"/>
    <w:rsid w:val="00A23D7F"/>
    <w:rsid w:val="00A26E11"/>
    <w:rsid w:val="00A30052"/>
    <w:rsid w:val="00A3087F"/>
    <w:rsid w:val="00A30C20"/>
    <w:rsid w:val="00A31ABF"/>
    <w:rsid w:val="00A32C0E"/>
    <w:rsid w:val="00A3425C"/>
    <w:rsid w:val="00A342F2"/>
    <w:rsid w:val="00A358E5"/>
    <w:rsid w:val="00A36BF4"/>
    <w:rsid w:val="00A419A7"/>
    <w:rsid w:val="00A42249"/>
    <w:rsid w:val="00A42BBC"/>
    <w:rsid w:val="00A447D5"/>
    <w:rsid w:val="00A45A8E"/>
    <w:rsid w:val="00A46EBB"/>
    <w:rsid w:val="00A479E6"/>
    <w:rsid w:val="00A50F9B"/>
    <w:rsid w:val="00A5171E"/>
    <w:rsid w:val="00A518DC"/>
    <w:rsid w:val="00A51FC3"/>
    <w:rsid w:val="00A52824"/>
    <w:rsid w:val="00A5302C"/>
    <w:rsid w:val="00A53D52"/>
    <w:rsid w:val="00A542A7"/>
    <w:rsid w:val="00A54785"/>
    <w:rsid w:val="00A562D5"/>
    <w:rsid w:val="00A5650D"/>
    <w:rsid w:val="00A569AE"/>
    <w:rsid w:val="00A57687"/>
    <w:rsid w:val="00A627AD"/>
    <w:rsid w:val="00A6588B"/>
    <w:rsid w:val="00A66FBC"/>
    <w:rsid w:val="00A67B37"/>
    <w:rsid w:val="00A7106D"/>
    <w:rsid w:val="00A71D50"/>
    <w:rsid w:val="00A733DE"/>
    <w:rsid w:val="00A741E8"/>
    <w:rsid w:val="00A75809"/>
    <w:rsid w:val="00A80702"/>
    <w:rsid w:val="00A8259F"/>
    <w:rsid w:val="00A844EC"/>
    <w:rsid w:val="00A84525"/>
    <w:rsid w:val="00A84A9E"/>
    <w:rsid w:val="00A86197"/>
    <w:rsid w:val="00A865FB"/>
    <w:rsid w:val="00A92988"/>
    <w:rsid w:val="00A93AB7"/>
    <w:rsid w:val="00A9420D"/>
    <w:rsid w:val="00A95879"/>
    <w:rsid w:val="00A96A5E"/>
    <w:rsid w:val="00AA0191"/>
    <w:rsid w:val="00AA0516"/>
    <w:rsid w:val="00AA0D61"/>
    <w:rsid w:val="00AA4B96"/>
    <w:rsid w:val="00AA50DB"/>
    <w:rsid w:val="00AB11EF"/>
    <w:rsid w:val="00AB1BEF"/>
    <w:rsid w:val="00AB2F94"/>
    <w:rsid w:val="00AB6E1E"/>
    <w:rsid w:val="00AB7367"/>
    <w:rsid w:val="00AC0139"/>
    <w:rsid w:val="00AC07E8"/>
    <w:rsid w:val="00AC1EEE"/>
    <w:rsid w:val="00AC1F03"/>
    <w:rsid w:val="00AC22DF"/>
    <w:rsid w:val="00AC2850"/>
    <w:rsid w:val="00AC4340"/>
    <w:rsid w:val="00AC4417"/>
    <w:rsid w:val="00AC58BA"/>
    <w:rsid w:val="00AC5E1F"/>
    <w:rsid w:val="00AD061F"/>
    <w:rsid w:val="00AD08F3"/>
    <w:rsid w:val="00AD0AC0"/>
    <w:rsid w:val="00AD24BD"/>
    <w:rsid w:val="00AD3322"/>
    <w:rsid w:val="00AD523D"/>
    <w:rsid w:val="00AE0CEA"/>
    <w:rsid w:val="00AE2E4D"/>
    <w:rsid w:val="00AE322A"/>
    <w:rsid w:val="00AE36E4"/>
    <w:rsid w:val="00AE4AC5"/>
    <w:rsid w:val="00AE5408"/>
    <w:rsid w:val="00AE5505"/>
    <w:rsid w:val="00AE6F06"/>
    <w:rsid w:val="00AE7E93"/>
    <w:rsid w:val="00AF1EB7"/>
    <w:rsid w:val="00AF2341"/>
    <w:rsid w:val="00AF388B"/>
    <w:rsid w:val="00AF429D"/>
    <w:rsid w:val="00AF6402"/>
    <w:rsid w:val="00AF7610"/>
    <w:rsid w:val="00AF7E02"/>
    <w:rsid w:val="00B0174C"/>
    <w:rsid w:val="00B02138"/>
    <w:rsid w:val="00B047A0"/>
    <w:rsid w:val="00B05432"/>
    <w:rsid w:val="00B05A5A"/>
    <w:rsid w:val="00B106FB"/>
    <w:rsid w:val="00B11B3E"/>
    <w:rsid w:val="00B12123"/>
    <w:rsid w:val="00B13435"/>
    <w:rsid w:val="00B14E51"/>
    <w:rsid w:val="00B15672"/>
    <w:rsid w:val="00B15715"/>
    <w:rsid w:val="00B163CE"/>
    <w:rsid w:val="00B17C4E"/>
    <w:rsid w:val="00B2350B"/>
    <w:rsid w:val="00B24FA0"/>
    <w:rsid w:val="00B250EE"/>
    <w:rsid w:val="00B25E7F"/>
    <w:rsid w:val="00B25F6B"/>
    <w:rsid w:val="00B2704C"/>
    <w:rsid w:val="00B27629"/>
    <w:rsid w:val="00B27949"/>
    <w:rsid w:val="00B30F1B"/>
    <w:rsid w:val="00B31775"/>
    <w:rsid w:val="00B35F63"/>
    <w:rsid w:val="00B364F7"/>
    <w:rsid w:val="00B37A3D"/>
    <w:rsid w:val="00B37C47"/>
    <w:rsid w:val="00B42D39"/>
    <w:rsid w:val="00B44448"/>
    <w:rsid w:val="00B47898"/>
    <w:rsid w:val="00B478F6"/>
    <w:rsid w:val="00B47BA5"/>
    <w:rsid w:val="00B50328"/>
    <w:rsid w:val="00B504A6"/>
    <w:rsid w:val="00B52C79"/>
    <w:rsid w:val="00B53236"/>
    <w:rsid w:val="00B53491"/>
    <w:rsid w:val="00B5454E"/>
    <w:rsid w:val="00B545F4"/>
    <w:rsid w:val="00B56FC0"/>
    <w:rsid w:val="00B60705"/>
    <w:rsid w:val="00B612A4"/>
    <w:rsid w:val="00B622EB"/>
    <w:rsid w:val="00B623B8"/>
    <w:rsid w:val="00B62D25"/>
    <w:rsid w:val="00B6415B"/>
    <w:rsid w:val="00B65147"/>
    <w:rsid w:val="00B667EB"/>
    <w:rsid w:val="00B7091F"/>
    <w:rsid w:val="00B71242"/>
    <w:rsid w:val="00B73273"/>
    <w:rsid w:val="00B74656"/>
    <w:rsid w:val="00B75BE8"/>
    <w:rsid w:val="00B80584"/>
    <w:rsid w:val="00B808EE"/>
    <w:rsid w:val="00B82483"/>
    <w:rsid w:val="00B844FB"/>
    <w:rsid w:val="00B85487"/>
    <w:rsid w:val="00B869BC"/>
    <w:rsid w:val="00B86F22"/>
    <w:rsid w:val="00B87A0E"/>
    <w:rsid w:val="00B907A3"/>
    <w:rsid w:val="00B925E7"/>
    <w:rsid w:val="00B94337"/>
    <w:rsid w:val="00B955E3"/>
    <w:rsid w:val="00BA0152"/>
    <w:rsid w:val="00BA0BCD"/>
    <w:rsid w:val="00BA0BD0"/>
    <w:rsid w:val="00BA0DC7"/>
    <w:rsid w:val="00BA1AEC"/>
    <w:rsid w:val="00BA4EA8"/>
    <w:rsid w:val="00BA58BA"/>
    <w:rsid w:val="00BA58C8"/>
    <w:rsid w:val="00BA7BFD"/>
    <w:rsid w:val="00BA7D94"/>
    <w:rsid w:val="00BA7DBE"/>
    <w:rsid w:val="00BB0402"/>
    <w:rsid w:val="00BB0C31"/>
    <w:rsid w:val="00BB17A9"/>
    <w:rsid w:val="00BB2BC5"/>
    <w:rsid w:val="00BB2F0F"/>
    <w:rsid w:val="00BB3A8A"/>
    <w:rsid w:val="00BB46DB"/>
    <w:rsid w:val="00BB4972"/>
    <w:rsid w:val="00BB55FB"/>
    <w:rsid w:val="00BB5B9F"/>
    <w:rsid w:val="00BC030E"/>
    <w:rsid w:val="00BC03E9"/>
    <w:rsid w:val="00BC1805"/>
    <w:rsid w:val="00BC2EB0"/>
    <w:rsid w:val="00BC56D2"/>
    <w:rsid w:val="00BC6248"/>
    <w:rsid w:val="00BD065B"/>
    <w:rsid w:val="00BD23F2"/>
    <w:rsid w:val="00BD3939"/>
    <w:rsid w:val="00BD4D00"/>
    <w:rsid w:val="00BD5EED"/>
    <w:rsid w:val="00BD7916"/>
    <w:rsid w:val="00BE0849"/>
    <w:rsid w:val="00BE146F"/>
    <w:rsid w:val="00BE205C"/>
    <w:rsid w:val="00BE2606"/>
    <w:rsid w:val="00BE26CB"/>
    <w:rsid w:val="00BE2B14"/>
    <w:rsid w:val="00BE2DC1"/>
    <w:rsid w:val="00BE3DA9"/>
    <w:rsid w:val="00BE609B"/>
    <w:rsid w:val="00BF02A5"/>
    <w:rsid w:val="00BF32DA"/>
    <w:rsid w:val="00BF3512"/>
    <w:rsid w:val="00BF51C6"/>
    <w:rsid w:val="00BF6ACD"/>
    <w:rsid w:val="00C04047"/>
    <w:rsid w:val="00C05785"/>
    <w:rsid w:val="00C0627F"/>
    <w:rsid w:val="00C0790D"/>
    <w:rsid w:val="00C108F6"/>
    <w:rsid w:val="00C10D9D"/>
    <w:rsid w:val="00C1132A"/>
    <w:rsid w:val="00C142A1"/>
    <w:rsid w:val="00C15C98"/>
    <w:rsid w:val="00C22444"/>
    <w:rsid w:val="00C22D2F"/>
    <w:rsid w:val="00C22F07"/>
    <w:rsid w:val="00C24602"/>
    <w:rsid w:val="00C24C01"/>
    <w:rsid w:val="00C25AE1"/>
    <w:rsid w:val="00C27179"/>
    <w:rsid w:val="00C32293"/>
    <w:rsid w:val="00C3237A"/>
    <w:rsid w:val="00C3267D"/>
    <w:rsid w:val="00C32A2E"/>
    <w:rsid w:val="00C33921"/>
    <w:rsid w:val="00C3469B"/>
    <w:rsid w:val="00C354DF"/>
    <w:rsid w:val="00C35730"/>
    <w:rsid w:val="00C35E7A"/>
    <w:rsid w:val="00C363C2"/>
    <w:rsid w:val="00C368D1"/>
    <w:rsid w:val="00C36C00"/>
    <w:rsid w:val="00C37813"/>
    <w:rsid w:val="00C425EA"/>
    <w:rsid w:val="00C427F7"/>
    <w:rsid w:val="00C45AEB"/>
    <w:rsid w:val="00C46020"/>
    <w:rsid w:val="00C47A3E"/>
    <w:rsid w:val="00C5008C"/>
    <w:rsid w:val="00C51779"/>
    <w:rsid w:val="00C51C83"/>
    <w:rsid w:val="00C51ED9"/>
    <w:rsid w:val="00C527F5"/>
    <w:rsid w:val="00C53573"/>
    <w:rsid w:val="00C53C6E"/>
    <w:rsid w:val="00C5708D"/>
    <w:rsid w:val="00C6139C"/>
    <w:rsid w:val="00C61CB1"/>
    <w:rsid w:val="00C61D3B"/>
    <w:rsid w:val="00C6514A"/>
    <w:rsid w:val="00C67279"/>
    <w:rsid w:val="00C7074F"/>
    <w:rsid w:val="00C71B26"/>
    <w:rsid w:val="00C72F28"/>
    <w:rsid w:val="00C730D9"/>
    <w:rsid w:val="00C74C4F"/>
    <w:rsid w:val="00C74C66"/>
    <w:rsid w:val="00C80600"/>
    <w:rsid w:val="00C817B8"/>
    <w:rsid w:val="00C8249F"/>
    <w:rsid w:val="00C82DD3"/>
    <w:rsid w:val="00C878A6"/>
    <w:rsid w:val="00C91D78"/>
    <w:rsid w:val="00C92534"/>
    <w:rsid w:val="00C93A5C"/>
    <w:rsid w:val="00C93AE0"/>
    <w:rsid w:val="00C947D2"/>
    <w:rsid w:val="00C95E6C"/>
    <w:rsid w:val="00C96717"/>
    <w:rsid w:val="00C97B42"/>
    <w:rsid w:val="00C97DCA"/>
    <w:rsid w:val="00CA29CE"/>
    <w:rsid w:val="00CA436C"/>
    <w:rsid w:val="00CA510B"/>
    <w:rsid w:val="00CB0C5F"/>
    <w:rsid w:val="00CB11E5"/>
    <w:rsid w:val="00CB1286"/>
    <w:rsid w:val="00CB4756"/>
    <w:rsid w:val="00CB477F"/>
    <w:rsid w:val="00CB68D0"/>
    <w:rsid w:val="00CC011E"/>
    <w:rsid w:val="00CC0A41"/>
    <w:rsid w:val="00CC0FD6"/>
    <w:rsid w:val="00CC101C"/>
    <w:rsid w:val="00CC2C74"/>
    <w:rsid w:val="00CC2E18"/>
    <w:rsid w:val="00CC4ADD"/>
    <w:rsid w:val="00CC4B47"/>
    <w:rsid w:val="00CC65C6"/>
    <w:rsid w:val="00CC6CAF"/>
    <w:rsid w:val="00CD05A6"/>
    <w:rsid w:val="00CD088B"/>
    <w:rsid w:val="00CD1A9D"/>
    <w:rsid w:val="00CD25D7"/>
    <w:rsid w:val="00CD2613"/>
    <w:rsid w:val="00CD2934"/>
    <w:rsid w:val="00CD2D34"/>
    <w:rsid w:val="00CD2ED7"/>
    <w:rsid w:val="00CD405E"/>
    <w:rsid w:val="00CD46EA"/>
    <w:rsid w:val="00CD5CFD"/>
    <w:rsid w:val="00CD79F0"/>
    <w:rsid w:val="00CD7B51"/>
    <w:rsid w:val="00CE0415"/>
    <w:rsid w:val="00CE1E87"/>
    <w:rsid w:val="00CE2095"/>
    <w:rsid w:val="00CE24E6"/>
    <w:rsid w:val="00CE571A"/>
    <w:rsid w:val="00CE65A7"/>
    <w:rsid w:val="00CE6B6C"/>
    <w:rsid w:val="00CF0D99"/>
    <w:rsid w:val="00CF1681"/>
    <w:rsid w:val="00CF1AE0"/>
    <w:rsid w:val="00CF350E"/>
    <w:rsid w:val="00CF3D00"/>
    <w:rsid w:val="00CF3DB7"/>
    <w:rsid w:val="00CF3FB8"/>
    <w:rsid w:val="00CF401B"/>
    <w:rsid w:val="00CF4702"/>
    <w:rsid w:val="00CF6528"/>
    <w:rsid w:val="00CF6DB4"/>
    <w:rsid w:val="00D00514"/>
    <w:rsid w:val="00D0188C"/>
    <w:rsid w:val="00D01D22"/>
    <w:rsid w:val="00D02EEF"/>
    <w:rsid w:val="00D03216"/>
    <w:rsid w:val="00D0610C"/>
    <w:rsid w:val="00D07197"/>
    <w:rsid w:val="00D10C9B"/>
    <w:rsid w:val="00D137E4"/>
    <w:rsid w:val="00D13A93"/>
    <w:rsid w:val="00D150E0"/>
    <w:rsid w:val="00D15F7A"/>
    <w:rsid w:val="00D1726B"/>
    <w:rsid w:val="00D20815"/>
    <w:rsid w:val="00D21015"/>
    <w:rsid w:val="00D22D0C"/>
    <w:rsid w:val="00D253D2"/>
    <w:rsid w:val="00D255BD"/>
    <w:rsid w:val="00D27168"/>
    <w:rsid w:val="00D27F92"/>
    <w:rsid w:val="00D34993"/>
    <w:rsid w:val="00D35C31"/>
    <w:rsid w:val="00D4053F"/>
    <w:rsid w:val="00D427D7"/>
    <w:rsid w:val="00D43327"/>
    <w:rsid w:val="00D43E00"/>
    <w:rsid w:val="00D442CE"/>
    <w:rsid w:val="00D45116"/>
    <w:rsid w:val="00D4639D"/>
    <w:rsid w:val="00D47281"/>
    <w:rsid w:val="00D47E53"/>
    <w:rsid w:val="00D51403"/>
    <w:rsid w:val="00D544D2"/>
    <w:rsid w:val="00D54855"/>
    <w:rsid w:val="00D54FB2"/>
    <w:rsid w:val="00D55B85"/>
    <w:rsid w:val="00D57332"/>
    <w:rsid w:val="00D57B77"/>
    <w:rsid w:val="00D629BE"/>
    <w:rsid w:val="00D64A19"/>
    <w:rsid w:val="00D6726C"/>
    <w:rsid w:val="00D67DE6"/>
    <w:rsid w:val="00D7044A"/>
    <w:rsid w:val="00D70594"/>
    <w:rsid w:val="00D70DDF"/>
    <w:rsid w:val="00D70FF1"/>
    <w:rsid w:val="00D71D9F"/>
    <w:rsid w:val="00D72E8D"/>
    <w:rsid w:val="00D74082"/>
    <w:rsid w:val="00D740C6"/>
    <w:rsid w:val="00D74624"/>
    <w:rsid w:val="00D75586"/>
    <w:rsid w:val="00D76088"/>
    <w:rsid w:val="00D764CB"/>
    <w:rsid w:val="00D82D60"/>
    <w:rsid w:val="00D82ECA"/>
    <w:rsid w:val="00D8484E"/>
    <w:rsid w:val="00D84C54"/>
    <w:rsid w:val="00D863EF"/>
    <w:rsid w:val="00D86806"/>
    <w:rsid w:val="00D86F20"/>
    <w:rsid w:val="00D879BA"/>
    <w:rsid w:val="00D90B14"/>
    <w:rsid w:val="00D91F60"/>
    <w:rsid w:val="00D92BA7"/>
    <w:rsid w:val="00D93A58"/>
    <w:rsid w:val="00D9406A"/>
    <w:rsid w:val="00D9557D"/>
    <w:rsid w:val="00D9565E"/>
    <w:rsid w:val="00D97673"/>
    <w:rsid w:val="00DA1E24"/>
    <w:rsid w:val="00DA2F65"/>
    <w:rsid w:val="00DA2F87"/>
    <w:rsid w:val="00DA440B"/>
    <w:rsid w:val="00DA6EFC"/>
    <w:rsid w:val="00DA7EB1"/>
    <w:rsid w:val="00DB0B84"/>
    <w:rsid w:val="00DB1BC3"/>
    <w:rsid w:val="00DB29EF"/>
    <w:rsid w:val="00DB2CBB"/>
    <w:rsid w:val="00DB4431"/>
    <w:rsid w:val="00DB52A0"/>
    <w:rsid w:val="00DB5A83"/>
    <w:rsid w:val="00DB7701"/>
    <w:rsid w:val="00DB7E0C"/>
    <w:rsid w:val="00DC00A8"/>
    <w:rsid w:val="00DC0C19"/>
    <w:rsid w:val="00DC4BA8"/>
    <w:rsid w:val="00DC5315"/>
    <w:rsid w:val="00DC7B11"/>
    <w:rsid w:val="00DC7B8A"/>
    <w:rsid w:val="00DD133A"/>
    <w:rsid w:val="00DD35A1"/>
    <w:rsid w:val="00DD3713"/>
    <w:rsid w:val="00DD4126"/>
    <w:rsid w:val="00DD6B1A"/>
    <w:rsid w:val="00DD6C4D"/>
    <w:rsid w:val="00DD7275"/>
    <w:rsid w:val="00DD783A"/>
    <w:rsid w:val="00DD7ACC"/>
    <w:rsid w:val="00DE00A4"/>
    <w:rsid w:val="00DE168D"/>
    <w:rsid w:val="00DE3B12"/>
    <w:rsid w:val="00DE4F8F"/>
    <w:rsid w:val="00DE64F2"/>
    <w:rsid w:val="00DE674F"/>
    <w:rsid w:val="00DE7AFA"/>
    <w:rsid w:val="00DF2E68"/>
    <w:rsid w:val="00DF34C8"/>
    <w:rsid w:val="00DF37AB"/>
    <w:rsid w:val="00DF3BEF"/>
    <w:rsid w:val="00DF4994"/>
    <w:rsid w:val="00DF5724"/>
    <w:rsid w:val="00DF6BC7"/>
    <w:rsid w:val="00DF6C9C"/>
    <w:rsid w:val="00DF7481"/>
    <w:rsid w:val="00E00A08"/>
    <w:rsid w:val="00E00AFF"/>
    <w:rsid w:val="00E02CD7"/>
    <w:rsid w:val="00E04344"/>
    <w:rsid w:val="00E0518C"/>
    <w:rsid w:val="00E0544B"/>
    <w:rsid w:val="00E059BE"/>
    <w:rsid w:val="00E06C6E"/>
    <w:rsid w:val="00E1044E"/>
    <w:rsid w:val="00E105C7"/>
    <w:rsid w:val="00E216FD"/>
    <w:rsid w:val="00E2561A"/>
    <w:rsid w:val="00E259D5"/>
    <w:rsid w:val="00E31234"/>
    <w:rsid w:val="00E31BF7"/>
    <w:rsid w:val="00E34552"/>
    <w:rsid w:val="00E349CA"/>
    <w:rsid w:val="00E367ED"/>
    <w:rsid w:val="00E407CD"/>
    <w:rsid w:val="00E4211E"/>
    <w:rsid w:val="00E4279A"/>
    <w:rsid w:val="00E42E0C"/>
    <w:rsid w:val="00E430FF"/>
    <w:rsid w:val="00E43DAA"/>
    <w:rsid w:val="00E443AA"/>
    <w:rsid w:val="00E44BC7"/>
    <w:rsid w:val="00E44EDD"/>
    <w:rsid w:val="00E45506"/>
    <w:rsid w:val="00E4583B"/>
    <w:rsid w:val="00E4587C"/>
    <w:rsid w:val="00E46FAB"/>
    <w:rsid w:val="00E50439"/>
    <w:rsid w:val="00E50FAD"/>
    <w:rsid w:val="00E529F0"/>
    <w:rsid w:val="00E53641"/>
    <w:rsid w:val="00E546B0"/>
    <w:rsid w:val="00E54A7A"/>
    <w:rsid w:val="00E55A8D"/>
    <w:rsid w:val="00E60083"/>
    <w:rsid w:val="00E61458"/>
    <w:rsid w:val="00E62446"/>
    <w:rsid w:val="00E634F4"/>
    <w:rsid w:val="00E639AD"/>
    <w:rsid w:val="00E6633D"/>
    <w:rsid w:val="00E664C8"/>
    <w:rsid w:val="00E67FFB"/>
    <w:rsid w:val="00E709A3"/>
    <w:rsid w:val="00E70DD2"/>
    <w:rsid w:val="00E71B9A"/>
    <w:rsid w:val="00E71DD4"/>
    <w:rsid w:val="00E72A0F"/>
    <w:rsid w:val="00E73307"/>
    <w:rsid w:val="00E74900"/>
    <w:rsid w:val="00E771FC"/>
    <w:rsid w:val="00E81188"/>
    <w:rsid w:val="00E8188C"/>
    <w:rsid w:val="00E841F7"/>
    <w:rsid w:val="00E84B3C"/>
    <w:rsid w:val="00E853C4"/>
    <w:rsid w:val="00E855CA"/>
    <w:rsid w:val="00E85711"/>
    <w:rsid w:val="00E8587B"/>
    <w:rsid w:val="00E864D1"/>
    <w:rsid w:val="00E963B1"/>
    <w:rsid w:val="00E96E88"/>
    <w:rsid w:val="00E9789B"/>
    <w:rsid w:val="00EA04CB"/>
    <w:rsid w:val="00EA1152"/>
    <w:rsid w:val="00EA153B"/>
    <w:rsid w:val="00EA2570"/>
    <w:rsid w:val="00EA3F9F"/>
    <w:rsid w:val="00EA420A"/>
    <w:rsid w:val="00EA4C2C"/>
    <w:rsid w:val="00EA610B"/>
    <w:rsid w:val="00EA6933"/>
    <w:rsid w:val="00EA734B"/>
    <w:rsid w:val="00EA77A8"/>
    <w:rsid w:val="00EA7B5B"/>
    <w:rsid w:val="00EA7E48"/>
    <w:rsid w:val="00EB0634"/>
    <w:rsid w:val="00EB06B8"/>
    <w:rsid w:val="00EB12DF"/>
    <w:rsid w:val="00EB14AC"/>
    <w:rsid w:val="00EB40E9"/>
    <w:rsid w:val="00EB4B9D"/>
    <w:rsid w:val="00EB5385"/>
    <w:rsid w:val="00EB6E25"/>
    <w:rsid w:val="00EB78C9"/>
    <w:rsid w:val="00EB7F53"/>
    <w:rsid w:val="00EC12AE"/>
    <w:rsid w:val="00EC141D"/>
    <w:rsid w:val="00EC378C"/>
    <w:rsid w:val="00EC3868"/>
    <w:rsid w:val="00EC3B4C"/>
    <w:rsid w:val="00EC4901"/>
    <w:rsid w:val="00EC5564"/>
    <w:rsid w:val="00EC6944"/>
    <w:rsid w:val="00EC6B72"/>
    <w:rsid w:val="00EC6E05"/>
    <w:rsid w:val="00ED1CF0"/>
    <w:rsid w:val="00ED22E9"/>
    <w:rsid w:val="00ED26BB"/>
    <w:rsid w:val="00ED29DA"/>
    <w:rsid w:val="00ED3CA4"/>
    <w:rsid w:val="00ED4196"/>
    <w:rsid w:val="00ED4671"/>
    <w:rsid w:val="00ED705E"/>
    <w:rsid w:val="00ED795D"/>
    <w:rsid w:val="00ED7AD6"/>
    <w:rsid w:val="00ED7F26"/>
    <w:rsid w:val="00ED7FAF"/>
    <w:rsid w:val="00EE1DC9"/>
    <w:rsid w:val="00EE2669"/>
    <w:rsid w:val="00EE4ED6"/>
    <w:rsid w:val="00EE6126"/>
    <w:rsid w:val="00EE7722"/>
    <w:rsid w:val="00EE7AAB"/>
    <w:rsid w:val="00EE7D25"/>
    <w:rsid w:val="00EF0BAC"/>
    <w:rsid w:val="00EF1BF6"/>
    <w:rsid w:val="00EF1D8D"/>
    <w:rsid w:val="00EF371E"/>
    <w:rsid w:val="00EF51E3"/>
    <w:rsid w:val="00EF6E6C"/>
    <w:rsid w:val="00F00C65"/>
    <w:rsid w:val="00F01072"/>
    <w:rsid w:val="00F01805"/>
    <w:rsid w:val="00F0258C"/>
    <w:rsid w:val="00F02D13"/>
    <w:rsid w:val="00F0332F"/>
    <w:rsid w:val="00F03675"/>
    <w:rsid w:val="00F03951"/>
    <w:rsid w:val="00F046FB"/>
    <w:rsid w:val="00F13C45"/>
    <w:rsid w:val="00F14065"/>
    <w:rsid w:val="00F17869"/>
    <w:rsid w:val="00F17BE0"/>
    <w:rsid w:val="00F20D92"/>
    <w:rsid w:val="00F2222E"/>
    <w:rsid w:val="00F22E1F"/>
    <w:rsid w:val="00F233BE"/>
    <w:rsid w:val="00F23E12"/>
    <w:rsid w:val="00F2417D"/>
    <w:rsid w:val="00F2478A"/>
    <w:rsid w:val="00F279B3"/>
    <w:rsid w:val="00F30E8F"/>
    <w:rsid w:val="00F311F1"/>
    <w:rsid w:val="00F335C6"/>
    <w:rsid w:val="00F34D2C"/>
    <w:rsid w:val="00F362CC"/>
    <w:rsid w:val="00F37B00"/>
    <w:rsid w:val="00F37DC8"/>
    <w:rsid w:val="00F4059F"/>
    <w:rsid w:val="00F4274D"/>
    <w:rsid w:val="00F44DBD"/>
    <w:rsid w:val="00F459A5"/>
    <w:rsid w:val="00F460D8"/>
    <w:rsid w:val="00F4656C"/>
    <w:rsid w:val="00F469FB"/>
    <w:rsid w:val="00F46F05"/>
    <w:rsid w:val="00F471D8"/>
    <w:rsid w:val="00F4749E"/>
    <w:rsid w:val="00F50419"/>
    <w:rsid w:val="00F519A9"/>
    <w:rsid w:val="00F52559"/>
    <w:rsid w:val="00F53CCD"/>
    <w:rsid w:val="00F53D60"/>
    <w:rsid w:val="00F55068"/>
    <w:rsid w:val="00F55D3F"/>
    <w:rsid w:val="00F5685C"/>
    <w:rsid w:val="00F57161"/>
    <w:rsid w:val="00F604D6"/>
    <w:rsid w:val="00F60941"/>
    <w:rsid w:val="00F62267"/>
    <w:rsid w:val="00F628A5"/>
    <w:rsid w:val="00F63957"/>
    <w:rsid w:val="00F63A53"/>
    <w:rsid w:val="00F64E1E"/>
    <w:rsid w:val="00F6536C"/>
    <w:rsid w:val="00F67451"/>
    <w:rsid w:val="00F674B2"/>
    <w:rsid w:val="00F70269"/>
    <w:rsid w:val="00F71E1E"/>
    <w:rsid w:val="00F7237C"/>
    <w:rsid w:val="00F73093"/>
    <w:rsid w:val="00F7563B"/>
    <w:rsid w:val="00F76008"/>
    <w:rsid w:val="00F774C2"/>
    <w:rsid w:val="00F80A58"/>
    <w:rsid w:val="00F815F1"/>
    <w:rsid w:val="00F81935"/>
    <w:rsid w:val="00F8583E"/>
    <w:rsid w:val="00F861E4"/>
    <w:rsid w:val="00F86912"/>
    <w:rsid w:val="00F91122"/>
    <w:rsid w:val="00F916AE"/>
    <w:rsid w:val="00F92BF6"/>
    <w:rsid w:val="00F92F50"/>
    <w:rsid w:val="00F94283"/>
    <w:rsid w:val="00F942AC"/>
    <w:rsid w:val="00F94367"/>
    <w:rsid w:val="00F94BB4"/>
    <w:rsid w:val="00F957DD"/>
    <w:rsid w:val="00F95AF5"/>
    <w:rsid w:val="00F961DD"/>
    <w:rsid w:val="00F96224"/>
    <w:rsid w:val="00F96AE4"/>
    <w:rsid w:val="00F977B1"/>
    <w:rsid w:val="00FA2B27"/>
    <w:rsid w:val="00FA45C8"/>
    <w:rsid w:val="00FA4E24"/>
    <w:rsid w:val="00FA5994"/>
    <w:rsid w:val="00FA5F3C"/>
    <w:rsid w:val="00FB0C8A"/>
    <w:rsid w:val="00FB16B8"/>
    <w:rsid w:val="00FB1CC0"/>
    <w:rsid w:val="00FB6EB2"/>
    <w:rsid w:val="00FB7632"/>
    <w:rsid w:val="00FB7C95"/>
    <w:rsid w:val="00FBAEEC"/>
    <w:rsid w:val="00FC52AF"/>
    <w:rsid w:val="00FC6C1C"/>
    <w:rsid w:val="00FD061E"/>
    <w:rsid w:val="00FD072C"/>
    <w:rsid w:val="00FD07D2"/>
    <w:rsid w:val="00FD0F86"/>
    <w:rsid w:val="00FD10A4"/>
    <w:rsid w:val="00FD2285"/>
    <w:rsid w:val="00FD289A"/>
    <w:rsid w:val="00FD2D00"/>
    <w:rsid w:val="00FD3072"/>
    <w:rsid w:val="00FD3EAF"/>
    <w:rsid w:val="00FD3F6D"/>
    <w:rsid w:val="00FD4534"/>
    <w:rsid w:val="00FD5097"/>
    <w:rsid w:val="00FD678E"/>
    <w:rsid w:val="00FD6899"/>
    <w:rsid w:val="00FE1B2C"/>
    <w:rsid w:val="00FE225A"/>
    <w:rsid w:val="00FE4FA0"/>
    <w:rsid w:val="00FE6AE3"/>
    <w:rsid w:val="00FE6FAD"/>
    <w:rsid w:val="00FE7C1A"/>
    <w:rsid w:val="00FF010E"/>
    <w:rsid w:val="00FF179C"/>
    <w:rsid w:val="00FF1A35"/>
    <w:rsid w:val="00FF21B0"/>
    <w:rsid w:val="00FF491A"/>
    <w:rsid w:val="00FF66C6"/>
    <w:rsid w:val="00FF6933"/>
    <w:rsid w:val="00FF7A1A"/>
    <w:rsid w:val="018A0935"/>
    <w:rsid w:val="01A7BEA1"/>
    <w:rsid w:val="01F3FA6E"/>
    <w:rsid w:val="024CBF19"/>
    <w:rsid w:val="03AA1CC7"/>
    <w:rsid w:val="03EDBF0B"/>
    <w:rsid w:val="047A3BA6"/>
    <w:rsid w:val="0532BDA9"/>
    <w:rsid w:val="05560F78"/>
    <w:rsid w:val="064E848D"/>
    <w:rsid w:val="06C4A11A"/>
    <w:rsid w:val="080BBE34"/>
    <w:rsid w:val="0867401B"/>
    <w:rsid w:val="0920B515"/>
    <w:rsid w:val="0A840CA2"/>
    <w:rsid w:val="0B4A2636"/>
    <w:rsid w:val="0BAB82E7"/>
    <w:rsid w:val="0CF5D579"/>
    <w:rsid w:val="0D3D09B6"/>
    <w:rsid w:val="0D42B922"/>
    <w:rsid w:val="0DBB0E59"/>
    <w:rsid w:val="0DC40AAF"/>
    <w:rsid w:val="0F13F4F3"/>
    <w:rsid w:val="0F1B5283"/>
    <w:rsid w:val="0FBA2D16"/>
    <w:rsid w:val="106A7D16"/>
    <w:rsid w:val="109B51F8"/>
    <w:rsid w:val="10DCDFD1"/>
    <w:rsid w:val="111F3241"/>
    <w:rsid w:val="1143961B"/>
    <w:rsid w:val="150F2035"/>
    <w:rsid w:val="151CDD00"/>
    <w:rsid w:val="1541299A"/>
    <w:rsid w:val="156E4C6A"/>
    <w:rsid w:val="158C93D1"/>
    <w:rsid w:val="15CA5BC4"/>
    <w:rsid w:val="15DFD92C"/>
    <w:rsid w:val="16C9786E"/>
    <w:rsid w:val="173E138C"/>
    <w:rsid w:val="1741BDB5"/>
    <w:rsid w:val="175976AA"/>
    <w:rsid w:val="1810623F"/>
    <w:rsid w:val="19D23A8F"/>
    <w:rsid w:val="19EC6A0F"/>
    <w:rsid w:val="1A085CE9"/>
    <w:rsid w:val="1A90184E"/>
    <w:rsid w:val="1C058B21"/>
    <w:rsid w:val="1C923D45"/>
    <w:rsid w:val="1CC04FF1"/>
    <w:rsid w:val="1D52675F"/>
    <w:rsid w:val="1EE95136"/>
    <w:rsid w:val="1F566A6E"/>
    <w:rsid w:val="1FDED16A"/>
    <w:rsid w:val="2073EF1A"/>
    <w:rsid w:val="208C7F46"/>
    <w:rsid w:val="20CBD994"/>
    <w:rsid w:val="2130C28C"/>
    <w:rsid w:val="21922EC2"/>
    <w:rsid w:val="21C7CA76"/>
    <w:rsid w:val="22A43BE0"/>
    <w:rsid w:val="22F21A45"/>
    <w:rsid w:val="22FAC70B"/>
    <w:rsid w:val="23DF0367"/>
    <w:rsid w:val="25147E66"/>
    <w:rsid w:val="251F3074"/>
    <w:rsid w:val="25BF8660"/>
    <w:rsid w:val="266DC953"/>
    <w:rsid w:val="279A7FF1"/>
    <w:rsid w:val="28588326"/>
    <w:rsid w:val="28BA4E0E"/>
    <w:rsid w:val="29161D64"/>
    <w:rsid w:val="2931AF4F"/>
    <w:rsid w:val="2934ABFE"/>
    <w:rsid w:val="29B13467"/>
    <w:rsid w:val="29DA102C"/>
    <w:rsid w:val="2AF1673A"/>
    <w:rsid w:val="2B5A6A30"/>
    <w:rsid w:val="2B72CF3C"/>
    <w:rsid w:val="2C006967"/>
    <w:rsid w:val="2C0604A0"/>
    <w:rsid w:val="2C9A3405"/>
    <w:rsid w:val="2F176A43"/>
    <w:rsid w:val="2F881A5E"/>
    <w:rsid w:val="2FC28964"/>
    <w:rsid w:val="301B04A1"/>
    <w:rsid w:val="3064ED64"/>
    <w:rsid w:val="313BEF07"/>
    <w:rsid w:val="319A194E"/>
    <w:rsid w:val="31DEAFE5"/>
    <w:rsid w:val="32E5D279"/>
    <w:rsid w:val="33311A92"/>
    <w:rsid w:val="334E75B9"/>
    <w:rsid w:val="334EB57F"/>
    <w:rsid w:val="3380AE64"/>
    <w:rsid w:val="33811553"/>
    <w:rsid w:val="37192BF3"/>
    <w:rsid w:val="3739F34C"/>
    <w:rsid w:val="377217BD"/>
    <w:rsid w:val="37960B0A"/>
    <w:rsid w:val="3812522F"/>
    <w:rsid w:val="38E10DE6"/>
    <w:rsid w:val="3A812478"/>
    <w:rsid w:val="3B036066"/>
    <w:rsid w:val="3B4082D0"/>
    <w:rsid w:val="3BA592A1"/>
    <w:rsid w:val="3BB3F0EC"/>
    <w:rsid w:val="3C447221"/>
    <w:rsid w:val="3CDBB1AA"/>
    <w:rsid w:val="3CE7EB2C"/>
    <w:rsid w:val="3CFFFB32"/>
    <w:rsid w:val="3E73E9B1"/>
    <w:rsid w:val="3FB06AFA"/>
    <w:rsid w:val="3FC38878"/>
    <w:rsid w:val="3FF098B0"/>
    <w:rsid w:val="3FF6B01D"/>
    <w:rsid w:val="40A586DC"/>
    <w:rsid w:val="41E60C72"/>
    <w:rsid w:val="434C00F3"/>
    <w:rsid w:val="435FC3C1"/>
    <w:rsid w:val="43E25E28"/>
    <w:rsid w:val="4522B68F"/>
    <w:rsid w:val="45ADFED1"/>
    <w:rsid w:val="45DC5C9F"/>
    <w:rsid w:val="460D86EF"/>
    <w:rsid w:val="474E8066"/>
    <w:rsid w:val="475EB794"/>
    <w:rsid w:val="481F6CED"/>
    <w:rsid w:val="483A0677"/>
    <w:rsid w:val="485CBBCB"/>
    <w:rsid w:val="48FD17C6"/>
    <w:rsid w:val="49355BD8"/>
    <w:rsid w:val="4A6767AB"/>
    <w:rsid w:val="4B2154A3"/>
    <w:rsid w:val="4BBA66BD"/>
    <w:rsid w:val="4BE0CE62"/>
    <w:rsid w:val="4CAA0FF8"/>
    <w:rsid w:val="4D40C764"/>
    <w:rsid w:val="4D8E5410"/>
    <w:rsid w:val="4DCC7E02"/>
    <w:rsid w:val="4EE9B508"/>
    <w:rsid w:val="50105DAC"/>
    <w:rsid w:val="503E8D4E"/>
    <w:rsid w:val="509F4630"/>
    <w:rsid w:val="526080BE"/>
    <w:rsid w:val="5271238C"/>
    <w:rsid w:val="53EC6598"/>
    <w:rsid w:val="541E3E50"/>
    <w:rsid w:val="54C6E797"/>
    <w:rsid w:val="54FF44A7"/>
    <w:rsid w:val="551E2CF1"/>
    <w:rsid w:val="55AAA9FF"/>
    <w:rsid w:val="55D35317"/>
    <w:rsid w:val="55DFAC22"/>
    <w:rsid w:val="56D4D571"/>
    <w:rsid w:val="5704FD62"/>
    <w:rsid w:val="571FD9C5"/>
    <w:rsid w:val="58561342"/>
    <w:rsid w:val="586C4395"/>
    <w:rsid w:val="58CC81B2"/>
    <w:rsid w:val="58F65247"/>
    <w:rsid w:val="597681D8"/>
    <w:rsid w:val="59D7E8C2"/>
    <w:rsid w:val="5A8AE16C"/>
    <w:rsid w:val="5AD34542"/>
    <w:rsid w:val="5B5BE655"/>
    <w:rsid w:val="5C337EFE"/>
    <w:rsid w:val="5C4858BD"/>
    <w:rsid w:val="5C63F6A9"/>
    <w:rsid w:val="5E43A31E"/>
    <w:rsid w:val="5E8CD8B9"/>
    <w:rsid w:val="5EBBC370"/>
    <w:rsid w:val="602C2E48"/>
    <w:rsid w:val="6084AD7E"/>
    <w:rsid w:val="60A593C0"/>
    <w:rsid w:val="60B84AC3"/>
    <w:rsid w:val="60D18FF1"/>
    <w:rsid w:val="62437427"/>
    <w:rsid w:val="62E0BCDC"/>
    <w:rsid w:val="62E89315"/>
    <w:rsid w:val="636B4F14"/>
    <w:rsid w:val="638B5612"/>
    <w:rsid w:val="644FC983"/>
    <w:rsid w:val="64D90197"/>
    <w:rsid w:val="64FBA406"/>
    <w:rsid w:val="6512CB70"/>
    <w:rsid w:val="65146831"/>
    <w:rsid w:val="65202E02"/>
    <w:rsid w:val="658B6221"/>
    <w:rsid w:val="6678550A"/>
    <w:rsid w:val="66A1B103"/>
    <w:rsid w:val="679FB919"/>
    <w:rsid w:val="67CAE3B5"/>
    <w:rsid w:val="67FA62A8"/>
    <w:rsid w:val="67FF17F6"/>
    <w:rsid w:val="686A5045"/>
    <w:rsid w:val="6874B74A"/>
    <w:rsid w:val="68EE074B"/>
    <w:rsid w:val="690591D0"/>
    <w:rsid w:val="69B6F55F"/>
    <w:rsid w:val="69C3BE22"/>
    <w:rsid w:val="6AEF9BAC"/>
    <w:rsid w:val="6B16A539"/>
    <w:rsid w:val="6C761993"/>
    <w:rsid w:val="6D0A1710"/>
    <w:rsid w:val="6D26333B"/>
    <w:rsid w:val="6E14FB75"/>
    <w:rsid w:val="6E22D399"/>
    <w:rsid w:val="6E50DA7E"/>
    <w:rsid w:val="6E6611F7"/>
    <w:rsid w:val="6E66EB76"/>
    <w:rsid w:val="6E906347"/>
    <w:rsid w:val="6E9EFCC6"/>
    <w:rsid w:val="6F10BA04"/>
    <w:rsid w:val="6F849B1C"/>
    <w:rsid w:val="7010005C"/>
    <w:rsid w:val="705EFB51"/>
    <w:rsid w:val="7094A456"/>
    <w:rsid w:val="709AC1BE"/>
    <w:rsid w:val="70B64572"/>
    <w:rsid w:val="7182E731"/>
    <w:rsid w:val="719F6A9A"/>
    <w:rsid w:val="71C045AF"/>
    <w:rsid w:val="72EC81F5"/>
    <w:rsid w:val="741A8CC4"/>
    <w:rsid w:val="74706D38"/>
    <w:rsid w:val="7514A371"/>
    <w:rsid w:val="753DED1C"/>
    <w:rsid w:val="760C9634"/>
    <w:rsid w:val="7622AC42"/>
    <w:rsid w:val="768B1C1F"/>
    <w:rsid w:val="777AE0D6"/>
    <w:rsid w:val="78813BAC"/>
    <w:rsid w:val="78F4FFC1"/>
    <w:rsid w:val="78FF3062"/>
    <w:rsid w:val="7915B72C"/>
    <w:rsid w:val="793FB461"/>
    <w:rsid w:val="7A94BC17"/>
    <w:rsid w:val="7AC8B216"/>
    <w:rsid w:val="7B9913B4"/>
    <w:rsid w:val="7BD58A88"/>
    <w:rsid w:val="7BD6E421"/>
    <w:rsid w:val="7CD32464"/>
    <w:rsid w:val="7D0A5328"/>
    <w:rsid w:val="7D7B7865"/>
    <w:rsid w:val="7D900280"/>
    <w:rsid w:val="7DAC1DC6"/>
    <w:rsid w:val="7DED2D07"/>
    <w:rsid w:val="7E1AD39F"/>
    <w:rsid w:val="7E2F3F59"/>
    <w:rsid w:val="7FEF64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F17184"/>
  <w15:chartTrackingRefBased/>
  <w15:docId w15:val="{51B561E8-9B87-4969-9A0F-61F1427BE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4C01"/>
  </w:style>
  <w:style w:type="paragraph" w:styleId="Heading1">
    <w:name w:val="heading 1"/>
    <w:basedOn w:val="Normal"/>
    <w:next w:val="Normal"/>
    <w:link w:val="Heading1Char"/>
    <w:uiPriority w:val="9"/>
    <w:qFormat/>
    <w:rsid w:val="00C24C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24C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24C0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24C0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24C0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24C0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4C0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4C0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4C0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4C0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24C0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24C0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24C0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24C0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24C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4C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4C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4C01"/>
    <w:rPr>
      <w:rFonts w:eastAsiaTheme="majorEastAsia" w:cstheme="majorBidi"/>
      <w:color w:val="272727" w:themeColor="text1" w:themeTint="D8"/>
    </w:rPr>
  </w:style>
  <w:style w:type="paragraph" w:styleId="Title">
    <w:name w:val="Title"/>
    <w:basedOn w:val="Normal"/>
    <w:next w:val="Normal"/>
    <w:link w:val="TitleChar"/>
    <w:uiPriority w:val="10"/>
    <w:qFormat/>
    <w:rsid w:val="00C24C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4C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4C0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4C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4C01"/>
    <w:pPr>
      <w:spacing w:before="160"/>
      <w:jc w:val="center"/>
    </w:pPr>
    <w:rPr>
      <w:i/>
      <w:iCs/>
      <w:color w:val="404040" w:themeColor="text1" w:themeTint="BF"/>
    </w:rPr>
  </w:style>
  <w:style w:type="character" w:customStyle="1" w:styleId="QuoteChar">
    <w:name w:val="Quote Char"/>
    <w:basedOn w:val="DefaultParagraphFont"/>
    <w:link w:val="Quote"/>
    <w:uiPriority w:val="29"/>
    <w:rsid w:val="00C24C01"/>
    <w:rPr>
      <w:i/>
      <w:iCs/>
      <w:color w:val="404040" w:themeColor="text1" w:themeTint="BF"/>
    </w:rPr>
  </w:style>
  <w:style w:type="paragraph" w:styleId="ListParagraph">
    <w:name w:val="List Paragraph"/>
    <w:basedOn w:val="Normal"/>
    <w:uiPriority w:val="34"/>
    <w:qFormat/>
    <w:rsid w:val="00C24C01"/>
    <w:pPr>
      <w:ind w:left="720"/>
      <w:contextualSpacing/>
    </w:pPr>
  </w:style>
  <w:style w:type="character" w:styleId="IntenseEmphasis">
    <w:name w:val="Intense Emphasis"/>
    <w:basedOn w:val="DefaultParagraphFont"/>
    <w:uiPriority w:val="21"/>
    <w:qFormat/>
    <w:rsid w:val="00C24C01"/>
    <w:rPr>
      <w:i/>
      <w:iCs/>
      <w:color w:val="0F4761" w:themeColor="accent1" w:themeShade="BF"/>
    </w:rPr>
  </w:style>
  <w:style w:type="paragraph" w:styleId="IntenseQuote">
    <w:name w:val="Intense Quote"/>
    <w:basedOn w:val="Normal"/>
    <w:next w:val="Normal"/>
    <w:link w:val="IntenseQuoteChar"/>
    <w:uiPriority w:val="30"/>
    <w:qFormat/>
    <w:rsid w:val="00C24C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24C01"/>
    <w:rPr>
      <w:i/>
      <w:iCs/>
      <w:color w:val="0F4761" w:themeColor="accent1" w:themeShade="BF"/>
    </w:rPr>
  </w:style>
  <w:style w:type="character" w:styleId="IntenseReference">
    <w:name w:val="Intense Reference"/>
    <w:basedOn w:val="DefaultParagraphFont"/>
    <w:uiPriority w:val="32"/>
    <w:qFormat/>
    <w:rsid w:val="00C24C01"/>
    <w:rPr>
      <w:b/>
      <w:bCs/>
      <w:smallCaps/>
      <w:color w:val="0F4761" w:themeColor="accent1" w:themeShade="BF"/>
      <w:spacing w:val="5"/>
    </w:rPr>
  </w:style>
  <w:style w:type="paragraph" w:styleId="CommentText">
    <w:name w:val="annotation text"/>
    <w:basedOn w:val="Normal"/>
    <w:link w:val="CommentTextChar"/>
    <w:uiPriority w:val="99"/>
    <w:unhideWhenUsed/>
    <w:rsid w:val="00E71DD4"/>
    <w:pPr>
      <w:spacing w:line="240" w:lineRule="auto"/>
    </w:pPr>
    <w:rPr>
      <w:sz w:val="20"/>
      <w:szCs w:val="20"/>
    </w:rPr>
  </w:style>
  <w:style w:type="character" w:customStyle="1" w:styleId="CommentTextChar">
    <w:name w:val="Comment Text Char"/>
    <w:basedOn w:val="DefaultParagraphFont"/>
    <w:link w:val="CommentText"/>
    <w:uiPriority w:val="99"/>
    <w:rsid w:val="00E71DD4"/>
    <w:rPr>
      <w:sz w:val="20"/>
      <w:szCs w:val="20"/>
    </w:rPr>
  </w:style>
  <w:style w:type="character" w:styleId="CommentReference">
    <w:name w:val="annotation reference"/>
    <w:basedOn w:val="DefaultParagraphFont"/>
    <w:uiPriority w:val="99"/>
    <w:semiHidden/>
    <w:unhideWhenUsed/>
    <w:rsid w:val="00E71DD4"/>
    <w:rPr>
      <w:sz w:val="16"/>
      <w:szCs w:val="16"/>
    </w:rPr>
  </w:style>
  <w:style w:type="character" w:styleId="Hyperlink">
    <w:name w:val="Hyperlink"/>
    <w:basedOn w:val="DefaultParagraphFont"/>
    <w:uiPriority w:val="99"/>
    <w:unhideWhenUsed/>
    <w:rsid w:val="00A2134F"/>
    <w:rPr>
      <w:color w:val="467886" w:themeColor="hyperlink"/>
      <w:u w:val="single"/>
    </w:rPr>
  </w:style>
  <w:style w:type="character" w:styleId="UnresolvedMention">
    <w:name w:val="Unresolved Mention"/>
    <w:basedOn w:val="DefaultParagraphFont"/>
    <w:uiPriority w:val="99"/>
    <w:semiHidden/>
    <w:unhideWhenUsed/>
    <w:rsid w:val="00A2134F"/>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8325EF"/>
    <w:rPr>
      <w:b/>
      <w:bCs/>
    </w:rPr>
  </w:style>
  <w:style w:type="character" w:customStyle="1" w:styleId="CommentSubjectChar">
    <w:name w:val="Comment Subject Char"/>
    <w:basedOn w:val="CommentTextChar"/>
    <w:link w:val="CommentSubject"/>
    <w:uiPriority w:val="99"/>
    <w:semiHidden/>
    <w:rsid w:val="008325EF"/>
    <w:rPr>
      <w:b/>
      <w:bCs/>
      <w:sz w:val="20"/>
      <w:szCs w:val="20"/>
    </w:rPr>
  </w:style>
  <w:style w:type="paragraph" w:styleId="NormalWeb">
    <w:name w:val="Normal (Web)"/>
    <w:basedOn w:val="Normal"/>
    <w:uiPriority w:val="99"/>
    <w:semiHidden/>
    <w:unhideWhenUsed/>
    <w:rsid w:val="00EF51E3"/>
    <w:rPr>
      <w:rFonts w:ascii="Times New Roman" w:hAnsi="Times New Roman" w:cs="Times New Roman"/>
      <w:sz w:val="24"/>
      <w:szCs w:val="24"/>
    </w:rPr>
  </w:style>
  <w:style w:type="paragraph" w:styleId="Header">
    <w:name w:val="header"/>
    <w:basedOn w:val="Normal"/>
    <w:link w:val="HeaderChar"/>
    <w:uiPriority w:val="99"/>
    <w:unhideWhenUsed/>
    <w:rsid w:val="00702F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2FC2"/>
  </w:style>
  <w:style w:type="paragraph" w:styleId="Footer">
    <w:name w:val="footer"/>
    <w:basedOn w:val="Normal"/>
    <w:link w:val="FooterChar"/>
    <w:uiPriority w:val="99"/>
    <w:unhideWhenUsed/>
    <w:rsid w:val="00702F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2FC2"/>
  </w:style>
  <w:style w:type="character" w:styleId="FollowedHyperlink">
    <w:name w:val="FollowedHyperlink"/>
    <w:basedOn w:val="DefaultParagraphFont"/>
    <w:uiPriority w:val="99"/>
    <w:semiHidden/>
    <w:unhideWhenUsed/>
    <w:rsid w:val="00AC0139"/>
    <w:rPr>
      <w:color w:val="96607D" w:themeColor="followedHyperlink"/>
      <w:u w:val="single"/>
    </w:rPr>
  </w:style>
  <w:style w:type="paragraph" w:styleId="Revision">
    <w:name w:val="Revision"/>
    <w:hidden/>
    <w:uiPriority w:val="99"/>
    <w:semiHidden/>
    <w:rsid w:val="0033755E"/>
    <w:pPr>
      <w:spacing w:after="0" w:line="240" w:lineRule="auto"/>
    </w:pPr>
  </w:style>
  <w:style w:type="table" w:styleId="TableGrid">
    <w:name w:val="Table Grid"/>
    <w:basedOn w:val="TableNormal"/>
    <w:uiPriority w:val="39"/>
    <w:rsid w:val="008A07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09324">
      <w:bodyDiv w:val="1"/>
      <w:marLeft w:val="0"/>
      <w:marRight w:val="0"/>
      <w:marTop w:val="0"/>
      <w:marBottom w:val="0"/>
      <w:divBdr>
        <w:top w:val="none" w:sz="0" w:space="0" w:color="auto"/>
        <w:left w:val="none" w:sz="0" w:space="0" w:color="auto"/>
        <w:bottom w:val="none" w:sz="0" w:space="0" w:color="auto"/>
        <w:right w:val="none" w:sz="0" w:space="0" w:color="auto"/>
      </w:divBdr>
    </w:div>
    <w:div w:id="23095609">
      <w:bodyDiv w:val="1"/>
      <w:marLeft w:val="0"/>
      <w:marRight w:val="0"/>
      <w:marTop w:val="0"/>
      <w:marBottom w:val="0"/>
      <w:divBdr>
        <w:top w:val="none" w:sz="0" w:space="0" w:color="auto"/>
        <w:left w:val="none" w:sz="0" w:space="0" w:color="auto"/>
        <w:bottom w:val="none" w:sz="0" w:space="0" w:color="auto"/>
        <w:right w:val="none" w:sz="0" w:space="0" w:color="auto"/>
      </w:divBdr>
    </w:div>
    <w:div w:id="32731431">
      <w:bodyDiv w:val="1"/>
      <w:marLeft w:val="0"/>
      <w:marRight w:val="0"/>
      <w:marTop w:val="0"/>
      <w:marBottom w:val="0"/>
      <w:divBdr>
        <w:top w:val="none" w:sz="0" w:space="0" w:color="auto"/>
        <w:left w:val="none" w:sz="0" w:space="0" w:color="auto"/>
        <w:bottom w:val="none" w:sz="0" w:space="0" w:color="auto"/>
        <w:right w:val="none" w:sz="0" w:space="0" w:color="auto"/>
      </w:divBdr>
    </w:div>
    <w:div w:id="43456756">
      <w:bodyDiv w:val="1"/>
      <w:marLeft w:val="0"/>
      <w:marRight w:val="0"/>
      <w:marTop w:val="0"/>
      <w:marBottom w:val="0"/>
      <w:divBdr>
        <w:top w:val="none" w:sz="0" w:space="0" w:color="auto"/>
        <w:left w:val="none" w:sz="0" w:space="0" w:color="auto"/>
        <w:bottom w:val="none" w:sz="0" w:space="0" w:color="auto"/>
        <w:right w:val="none" w:sz="0" w:space="0" w:color="auto"/>
      </w:divBdr>
      <w:divsChild>
        <w:div w:id="9309404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7654328">
      <w:bodyDiv w:val="1"/>
      <w:marLeft w:val="0"/>
      <w:marRight w:val="0"/>
      <w:marTop w:val="0"/>
      <w:marBottom w:val="0"/>
      <w:divBdr>
        <w:top w:val="none" w:sz="0" w:space="0" w:color="auto"/>
        <w:left w:val="none" w:sz="0" w:space="0" w:color="auto"/>
        <w:bottom w:val="none" w:sz="0" w:space="0" w:color="auto"/>
        <w:right w:val="none" w:sz="0" w:space="0" w:color="auto"/>
      </w:divBdr>
    </w:div>
    <w:div w:id="56318083">
      <w:bodyDiv w:val="1"/>
      <w:marLeft w:val="0"/>
      <w:marRight w:val="0"/>
      <w:marTop w:val="0"/>
      <w:marBottom w:val="0"/>
      <w:divBdr>
        <w:top w:val="none" w:sz="0" w:space="0" w:color="auto"/>
        <w:left w:val="none" w:sz="0" w:space="0" w:color="auto"/>
        <w:bottom w:val="none" w:sz="0" w:space="0" w:color="auto"/>
        <w:right w:val="none" w:sz="0" w:space="0" w:color="auto"/>
      </w:divBdr>
    </w:div>
    <w:div w:id="67726363">
      <w:bodyDiv w:val="1"/>
      <w:marLeft w:val="0"/>
      <w:marRight w:val="0"/>
      <w:marTop w:val="0"/>
      <w:marBottom w:val="0"/>
      <w:divBdr>
        <w:top w:val="none" w:sz="0" w:space="0" w:color="auto"/>
        <w:left w:val="none" w:sz="0" w:space="0" w:color="auto"/>
        <w:bottom w:val="none" w:sz="0" w:space="0" w:color="auto"/>
        <w:right w:val="none" w:sz="0" w:space="0" w:color="auto"/>
      </w:divBdr>
    </w:div>
    <w:div w:id="72892927">
      <w:bodyDiv w:val="1"/>
      <w:marLeft w:val="0"/>
      <w:marRight w:val="0"/>
      <w:marTop w:val="0"/>
      <w:marBottom w:val="0"/>
      <w:divBdr>
        <w:top w:val="none" w:sz="0" w:space="0" w:color="auto"/>
        <w:left w:val="none" w:sz="0" w:space="0" w:color="auto"/>
        <w:bottom w:val="none" w:sz="0" w:space="0" w:color="auto"/>
        <w:right w:val="none" w:sz="0" w:space="0" w:color="auto"/>
      </w:divBdr>
    </w:div>
    <w:div w:id="78256203">
      <w:bodyDiv w:val="1"/>
      <w:marLeft w:val="0"/>
      <w:marRight w:val="0"/>
      <w:marTop w:val="0"/>
      <w:marBottom w:val="0"/>
      <w:divBdr>
        <w:top w:val="none" w:sz="0" w:space="0" w:color="auto"/>
        <w:left w:val="none" w:sz="0" w:space="0" w:color="auto"/>
        <w:bottom w:val="none" w:sz="0" w:space="0" w:color="auto"/>
        <w:right w:val="none" w:sz="0" w:space="0" w:color="auto"/>
      </w:divBdr>
    </w:div>
    <w:div w:id="104277585">
      <w:bodyDiv w:val="1"/>
      <w:marLeft w:val="0"/>
      <w:marRight w:val="0"/>
      <w:marTop w:val="0"/>
      <w:marBottom w:val="0"/>
      <w:divBdr>
        <w:top w:val="none" w:sz="0" w:space="0" w:color="auto"/>
        <w:left w:val="none" w:sz="0" w:space="0" w:color="auto"/>
        <w:bottom w:val="none" w:sz="0" w:space="0" w:color="auto"/>
        <w:right w:val="none" w:sz="0" w:space="0" w:color="auto"/>
      </w:divBdr>
    </w:div>
    <w:div w:id="119298786">
      <w:bodyDiv w:val="1"/>
      <w:marLeft w:val="0"/>
      <w:marRight w:val="0"/>
      <w:marTop w:val="0"/>
      <w:marBottom w:val="0"/>
      <w:divBdr>
        <w:top w:val="none" w:sz="0" w:space="0" w:color="auto"/>
        <w:left w:val="none" w:sz="0" w:space="0" w:color="auto"/>
        <w:bottom w:val="none" w:sz="0" w:space="0" w:color="auto"/>
        <w:right w:val="none" w:sz="0" w:space="0" w:color="auto"/>
      </w:divBdr>
    </w:div>
    <w:div w:id="138154679">
      <w:bodyDiv w:val="1"/>
      <w:marLeft w:val="0"/>
      <w:marRight w:val="0"/>
      <w:marTop w:val="0"/>
      <w:marBottom w:val="0"/>
      <w:divBdr>
        <w:top w:val="none" w:sz="0" w:space="0" w:color="auto"/>
        <w:left w:val="none" w:sz="0" w:space="0" w:color="auto"/>
        <w:bottom w:val="none" w:sz="0" w:space="0" w:color="auto"/>
        <w:right w:val="none" w:sz="0" w:space="0" w:color="auto"/>
      </w:divBdr>
    </w:div>
    <w:div w:id="139616309">
      <w:bodyDiv w:val="1"/>
      <w:marLeft w:val="0"/>
      <w:marRight w:val="0"/>
      <w:marTop w:val="0"/>
      <w:marBottom w:val="0"/>
      <w:divBdr>
        <w:top w:val="none" w:sz="0" w:space="0" w:color="auto"/>
        <w:left w:val="none" w:sz="0" w:space="0" w:color="auto"/>
        <w:bottom w:val="none" w:sz="0" w:space="0" w:color="auto"/>
        <w:right w:val="none" w:sz="0" w:space="0" w:color="auto"/>
      </w:divBdr>
    </w:div>
    <w:div w:id="145781187">
      <w:bodyDiv w:val="1"/>
      <w:marLeft w:val="0"/>
      <w:marRight w:val="0"/>
      <w:marTop w:val="0"/>
      <w:marBottom w:val="0"/>
      <w:divBdr>
        <w:top w:val="none" w:sz="0" w:space="0" w:color="auto"/>
        <w:left w:val="none" w:sz="0" w:space="0" w:color="auto"/>
        <w:bottom w:val="none" w:sz="0" w:space="0" w:color="auto"/>
        <w:right w:val="none" w:sz="0" w:space="0" w:color="auto"/>
      </w:divBdr>
    </w:div>
    <w:div w:id="154762713">
      <w:bodyDiv w:val="1"/>
      <w:marLeft w:val="0"/>
      <w:marRight w:val="0"/>
      <w:marTop w:val="0"/>
      <w:marBottom w:val="0"/>
      <w:divBdr>
        <w:top w:val="none" w:sz="0" w:space="0" w:color="auto"/>
        <w:left w:val="none" w:sz="0" w:space="0" w:color="auto"/>
        <w:bottom w:val="none" w:sz="0" w:space="0" w:color="auto"/>
        <w:right w:val="none" w:sz="0" w:space="0" w:color="auto"/>
      </w:divBdr>
      <w:divsChild>
        <w:div w:id="9317448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2689801">
      <w:bodyDiv w:val="1"/>
      <w:marLeft w:val="0"/>
      <w:marRight w:val="0"/>
      <w:marTop w:val="0"/>
      <w:marBottom w:val="0"/>
      <w:divBdr>
        <w:top w:val="none" w:sz="0" w:space="0" w:color="auto"/>
        <w:left w:val="none" w:sz="0" w:space="0" w:color="auto"/>
        <w:bottom w:val="none" w:sz="0" w:space="0" w:color="auto"/>
        <w:right w:val="none" w:sz="0" w:space="0" w:color="auto"/>
      </w:divBdr>
    </w:div>
    <w:div w:id="172914901">
      <w:bodyDiv w:val="1"/>
      <w:marLeft w:val="0"/>
      <w:marRight w:val="0"/>
      <w:marTop w:val="0"/>
      <w:marBottom w:val="0"/>
      <w:divBdr>
        <w:top w:val="none" w:sz="0" w:space="0" w:color="auto"/>
        <w:left w:val="none" w:sz="0" w:space="0" w:color="auto"/>
        <w:bottom w:val="none" w:sz="0" w:space="0" w:color="auto"/>
        <w:right w:val="none" w:sz="0" w:space="0" w:color="auto"/>
      </w:divBdr>
    </w:div>
    <w:div w:id="177812771">
      <w:bodyDiv w:val="1"/>
      <w:marLeft w:val="0"/>
      <w:marRight w:val="0"/>
      <w:marTop w:val="0"/>
      <w:marBottom w:val="0"/>
      <w:divBdr>
        <w:top w:val="none" w:sz="0" w:space="0" w:color="auto"/>
        <w:left w:val="none" w:sz="0" w:space="0" w:color="auto"/>
        <w:bottom w:val="none" w:sz="0" w:space="0" w:color="auto"/>
        <w:right w:val="none" w:sz="0" w:space="0" w:color="auto"/>
      </w:divBdr>
      <w:divsChild>
        <w:div w:id="8609730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5024421">
      <w:bodyDiv w:val="1"/>
      <w:marLeft w:val="0"/>
      <w:marRight w:val="0"/>
      <w:marTop w:val="0"/>
      <w:marBottom w:val="0"/>
      <w:divBdr>
        <w:top w:val="none" w:sz="0" w:space="0" w:color="auto"/>
        <w:left w:val="none" w:sz="0" w:space="0" w:color="auto"/>
        <w:bottom w:val="none" w:sz="0" w:space="0" w:color="auto"/>
        <w:right w:val="none" w:sz="0" w:space="0" w:color="auto"/>
      </w:divBdr>
    </w:div>
    <w:div w:id="206768018">
      <w:bodyDiv w:val="1"/>
      <w:marLeft w:val="0"/>
      <w:marRight w:val="0"/>
      <w:marTop w:val="0"/>
      <w:marBottom w:val="0"/>
      <w:divBdr>
        <w:top w:val="none" w:sz="0" w:space="0" w:color="auto"/>
        <w:left w:val="none" w:sz="0" w:space="0" w:color="auto"/>
        <w:bottom w:val="none" w:sz="0" w:space="0" w:color="auto"/>
        <w:right w:val="none" w:sz="0" w:space="0" w:color="auto"/>
      </w:divBdr>
      <w:divsChild>
        <w:div w:id="19134194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6747005">
      <w:bodyDiv w:val="1"/>
      <w:marLeft w:val="0"/>
      <w:marRight w:val="0"/>
      <w:marTop w:val="0"/>
      <w:marBottom w:val="0"/>
      <w:divBdr>
        <w:top w:val="none" w:sz="0" w:space="0" w:color="auto"/>
        <w:left w:val="none" w:sz="0" w:space="0" w:color="auto"/>
        <w:bottom w:val="none" w:sz="0" w:space="0" w:color="auto"/>
        <w:right w:val="none" w:sz="0" w:space="0" w:color="auto"/>
      </w:divBdr>
    </w:div>
    <w:div w:id="228538684">
      <w:bodyDiv w:val="1"/>
      <w:marLeft w:val="0"/>
      <w:marRight w:val="0"/>
      <w:marTop w:val="0"/>
      <w:marBottom w:val="0"/>
      <w:divBdr>
        <w:top w:val="none" w:sz="0" w:space="0" w:color="auto"/>
        <w:left w:val="none" w:sz="0" w:space="0" w:color="auto"/>
        <w:bottom w:val="none" w:sz="0" w:space="0" w:color="auto"/>
        <w:right w:val="none" w:sz="0" w:space="0" w:color="auto"/>
      </w:divBdr>
    </w:div>
    <w:div w:id="233469292">
      <w:bodyDiv w:val="1"/>
      <w:marLeft w:val="0"/>
      <w:marRight w:val="0"/>
      <w:marTop w:val="0"/>
      <w:marBottom w:val="0"/>
      <w:divBdr>
        <w:top w:val="none" w:sz="0" w:space="0" w:color="auto"/>
        <w:left w:val="none" w:sz="0" w:space="0" w:color="auto"/>
        <w:bottom w:val="none" w:sz="0" w:space="0" w:color="auto"/>
        <w:right w:val="none" w:sz="0" w:space="0" w:color="auto"/>
      </w:divBdr>
    </w:div>
    <w:div w:id="242036143">
      <w:bodyDiv w:val="1"/>
      <w:marLeft w:val="0"/>
      <w:marRight w:val="0"/>
      <w:marTop w:val="0"/>
      <w:marBottom w:val="0"/>
      <w:divBdr>
        <w:top w:val="none" w:sz="0" w:space="0" w:color="auto"/>
        <w:left w:val="none" w:sz="0" w:space="0" w:color="auto"/>
        <w:bottom w:val="none" w:sz="0" w:space="0" w:color="auto"/>
        <w:right w:val="none" w:sz="0" w:space="0" w:color="auto"/>
      </w:divBdr>
    </w:div>
    <w:div w:id="250044665">
      <w:bodyDiv w:val="1"/>
      <w:marLeft w:val="0"/>
      <w:marRight w:val="0"/>
      <w:marTop w:val="0"/>
      <w:marBottom w:val="0"/>
      <w:divBdr>
        <w:top w:val="none" w:sz="0" w:space="0" w:color="auto"/>
        <w:left w:val="none" w:sz="0" w:space="0" w:color="auto"/>
        <w:bottom w:val="none" w:sz="0" w:space="0" w:color="auto"/>
        <w:right w:val="none" w:sz="0" w:space="0" w:color="auto"/>
      </w:divBdr>
    </w:div>
    <w:div w:id="255096172">
      <w:bodyDiv w:val="1"/>
      <w:marLeft w:val="0"/>
      <w:marRight w:val="0"/>
      <w:marTop w:val="0"/>
      <w:marBottom w:val="0"/>
      <w:divBdr>
        <w:top w:val="none" w:sz="0" w:space="0" w:color="auto"/>
        <w:left w:val="none" w:sz="0" w:space="0" w:color="auto"/>
        <w:bottom w:val="none" w:sz="0" w:space="0" w:color="auto"/>
        <w:right w:val="none" w:sz="0" w:space="0" w:color="auto"/>
      </w:divBdr>
    </w:div>
    <w:div w:id="268125991">
      <w:bodyDiv w:val="1"/>
      <w:marLeft w:val="0"/>
      <w:marRight w:val="0"/>
      <w:marTop w:val="0"/>
      <w:marBottom w:val="0"/>
      <w:divBdr>
        <w:top w:val="none" w:sz="0" w:space="0" w:color="auto"/>
        <w:left w:val="none" w:sz="0" w:space="0" w:color="auto"/>
        <w:bottom w:val="none" w:sz="0" w:space="0" w:color="auto"/>
        <w:right w:val="none" w:sz="0" w:space="0" w:color="auto"/>
      </w:divBdr>
    </w:div>
    <w:div w:id="268316463">
      <w:bodyDiv w:val="1"/>
      <w:marLeft w:val="0"/>
      <w:marRight w:val="0"/>
      <w:marTop w:val="0"/>
      <w:marBottom w:val="0"/>
      <w:divBdr>
        <w:top w:val="none" w:sz="0" w:space="0" w:color="auto"/>
        <w:left w:val="none" w:sz="0" w:space="0" w:color="auto"/>
        <w:bottom w:val="none" w:sz="0" w:space="0" w:color="auto"/>
        <w:right w:val="none" w:sz="0" w:space="0" w:color="auto"/>
      </w:divBdr>
    </w:div>
    <w:div w:id="272514625">
      <w:bodyDiv w:val="1"/>
      <w:marLeft w:val="0"/>
      <w:marRight w:val="0"/>
      <w:marTop w:val="0"/>
      <w:marBottom w:val="0"/>
      <w:divBdr>
        <w:top w:val="none" w:sz="0" w:space="0" w:color="auto"/>
        <w:left w:val="none" w:sz="0" w:space="0" w:color="auto"/>
        <w:bottom w:val="none" w:sz="0" w:space="0" w:color="auto"/>
        <w:right w:val="none" w:sz="0" w:space="0" w:color="auto"/>
      </w:divBdr>
    </w:div>
    <w:div w:id="279340288">
      <w:bodyDiv w:val="1"/>
      <w:marLeft w:val="0"/>
      <w:marRight w:val="0"/>
      <w:marTop w:val="0"/>
      <w:marBottom w:val="0"/>
      <w:divBdr>
        <w:top w:val="none" w:sz="0" w:space="0" w:color="auto"/>
        <w:left w:val="none" w:sz="0" w:space="0" w:color="auto"/>
        <w:bottom w:val="none" w:sz="0" w:space="0" w:color="auto"/>
        <w:right w:val="none" w:sz="0" w:space="0" w:color="auto"/>
      </w:divBdr>
    </w:div>
    <w:div w:id="281034282">
      <w:bodyDiv w:val="1"/>
      <w:marLeft w:val="0"/>
      <w:marRight w:val="0"/>
      <w:marTop w:val="0"/>
      <w:marBottom w:val="0"/>
      <w:divBdr>
        <w:top w:val="none" w:sz="0" w:space="0" w:color="auto"/>
        <w:left w:val="none" w:sz="0" w:space="0" w:color="auto"/>
        <w:bottom w:val="none" w:sz="0" w:space="0" w:color="auto"/>
        <w:right w:val="none" w:sz="0" w:space="0" w:color="auto"/>
      </w:divBdr>
    </w:div>
    <w:div w:id="287710079">
      <w:bodyDiv w:val="1"/>
      <w:marLeft w:val="0"/>
      <w:marRight w:val="0"/>
      <w:marTop w:val="0"/>
      <w:marBottom w:val="0"/>
      <w:divBdr>
        <w:top w:val="none" w:sz="0" w:space="0" w:color="auto"/>
        <w:left w:val="none" w:sz="0" w:space="0" w:color="auto"/>
        <w:bottom w:val="none" w:sz="0" w:space="0" w:color="auto"/>
        <w:right w:val="none" w:sz="0" w:space="0" w:color="auto"/>
      </w:divBdr>
    </w:div>
    <w:div w:id="305160245">
      <w:bodyDiv w:val="1"/>
      <w:marLeft w:val="0"/>
      <w:marRight w:val="0"/>
      <w:marTop w:val="0"/>
      <w:marBottom w:val="0"/>
      <w:divBdr>
        <w:top w:val="none" w:sz="0" w:space="0" w:color="auto"/>
        <w:left w:val="none" w:sz="0" w:space="0" w:color="auto"/>
        <w:bottom w:val="none" w:sz="0" w:space="0" w:color="auto"/>
        <w:right w:val="none" w:sz="0" w:space="0" w:color="auto"/>
      </w:divBdr>
    </w:div>
    <w:div w:id="308246543">
      <w:bodyDiv w:val="1"/>
      <w:marLeft w:val="0"/>
      <w:marRight w:val="0"/>
      <w:marTop w:val="0"/>
      <w:marBottom w:val="0"/>
      <w:divBdr>
        <w:top w:val="none" w:sz="0" w:space="0" w:color="auto"/>
        <w:left w:val="none" w:sz="0" w:space="0" w:color="auto"/>
        <w:bottom w:val="none" w:sz="0" w:space="0" w:color="auto"/>
        <w:right w:val="none" w:sz="0" w:space="0" w:color="auto"/>
      </w:divBdr>
    </w:div>
    <w:div w:id="315695712">
      <w:bodyDiv w:val="1"/>
      <w:marLeft w:val="0"/>
      <w:marRight w:val="0"/>
      <w:marTop w:val="0"/>
      <w:marBottom w:val="0"/>
      <w:divBdr>
        <w:top w:val="none" w:sz="0" w:space="0" w:color="auto"/>
        <w:left w:val="none" w:sz="0" w:space="0" w:color="auto"/>
        <w:bottom w:val="none" w:sz="0" w:space="0" w:color="auto"/>
        <w:right w:val="none" w:sz="0" w:space="0" w:color="auto"/>
      </w:divBdr>
      <w:divsChild>
        <w:div w:id="9594096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16109364">
      <w:bodyDiv w:val="1"/>
      <w:marLeft w:val="0"/>
      <w:marRight w:val="0"/>
      <w:marTop w:val="0"/>
      <w:marBottom w:val="0"/>
      <w:divBdr>
        <w:top w:val="none" w:sz="0" w:space="0" w:color="auto"/>
        <w:left w:val="none" w:sz="0" w:space="0" w:color="auto"/>
        <w:bottom w:val="none" w:sz="0" w:space="0" w:color="auto"/>
        <w:right w:val="none" w:sz="0" w:space="0" w:color="auto"/>
      </w:divBdr>
    </w:div>
    <w:div w:id="331643961">
      <w:bodyDiv w:val="1"/>
      <w:marLeft w:val="0"/>
      <w:marRight w:val="0"/>
      <w:marTop w:val="0"/>
      <w:marBottom w:val="0"/>
      <w:divBdr>
        <w:top w:val="none" w:sz="0" w:space="0" w:color="auto"/>
        <w:left w:val="none" w:sz="0" w:space="0" w:color="auto"/>
        <w:bottom w:val="none" w:sz="0" w:space="0" w:color="auto"/>
        <w:right w:val="none" w:sz="0" w:space="0" w:color="auto"/>
      </w:divBdr>
    </w:div>
    <w:div w:id="338192230">
      <w:bodyDiv w:val="1"/>
      <w:marLeft w:val="0"/>
      <w:marRight w:val="0"/>
      <w:marTop w:val="0"/>
      <w:marBottom w:val="0"/>
      <w:divBdr>
        <w:top w:val="none" w:sz="0" w:space="0" w:color="auto"/>
        <w:left w:val="none" w:sz="0" w:space="0" w:color="auto"/>
        <w:bottom w:val="none" w:sz="0" w:space="0" w:color="auto"/>
        <w:right w:val="none" w:sz="0" w:space="0" w:color="auto"/>
      </w:divBdr>
    </w:div>
    <w:div w:id="342438395">
      <w:bodyDiv w:val="1"/>
      <w:marLeft w:val="0"/>
      <w:marRight w:val="0"/>
      <w:marTop w:val="0"/>
      <w:marBottom w:val="0"/>
      <w:divBdr>
        <w:top w:val="none" w:sz="0" w:space="0" w:color="auto"/>
        <w:left w:val="none" w:sz="0" w:space="0" w:color="auto"/>
        <w:bottom w:val="none" w:sz="0" w:space="0" w:color="auto"/>
        <w:right w:val="none" w:sz="0" w:space="0" w:color="auto"/>
      </w:divBdr>
    </w:div>
    <w:div w:id="345519620">
      <w:bodyDiv w:val="1"/>
      <w:marLeft w:val="0"/>
      <w:marRight w:val="0"/>
      <w:marTop w:val="0"/>
      <w:marBottom w:val="0"/>
      <w:divBdr>
        <w:top w:val="none" w:sz="0" w:space="0" w:color="auto"/>
        <w:left w:val="none" w:sz="0" w:space="0" w:color="auto"/>
        <w:bottom w:val="none" w:sz="0" w:space="0" w:color="auto"/>
        <w:right w:val="none" w:sz="0" w:space="0" w:color="auto"/>
      </w:divBdr>
      <w:divsChild>
        <w:div w:id="19843853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56272110">
      <w:bodyDiv w:val="1"/>
      <w:marLeft w:val="0"/>
      <w:marRight w:val="0"/>
      <w:marTop w:val="0"/>
      <w:marBottom w:val="0"/>
      <w:divBdr>
        <w:top w:val="none" w:sz="0" w:space="0" w:color="auto"/>
        <w:left w:val="none" w:sz="0" w:space="0" w:color="auto"/>
        <w:bottom w:val="none" w:sz="0" w:space="0" w:color="auto"/>
        <w:right w:val="none" w:sz="0" w:space="0" w:color="auto"/>
      </w:divBdr>
      <w:divsChild>
        <w:div w:id="1925743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75743521">
      <w:bodyDiv w:val="1"/>
      <w:marLeft w:val="0"/>
      <w:marRight w:val="0"/>
      <w:marTop w:val="0"/>
      <w:marBottom w:val="0"/>
      <w:divBdr>
        <w:top w:val="none" w:sz="0" w:space="0" w:color="auto"/>
        <w:left w:val="none" w:sz="0" w:space="0" w:color="auto"/>
        <w:bottom w:val="none" w:sz="0" w:space="0" w:color="auto"/>
        <w:right w:val="none" w:sz="0" w:space="0" w:color="auto"/>
      </w:divBdr>
    </w:div>
    <w:div w:id="413553800">
      <w:bodyDiv w:val="1"/>
      <w:marLeft w:val="0"/>
      <w:marRight w:val="0"/>
      <w:marTop w:val="0"/>
      <w:marBottom w:val="0"/>
      <w:divBdr>
        <w:top w:val="none" w:sz="0" w:space="0" w:color="auto"/>
        <w:left w:val="none" w:sz="0" w:space="0" w:color="auto"/>
        <w:bottom w:val="none" w:sz="0" w:space="0" w:color="auto"/>
        <w:right w:val="none" w:sz="0" w:space="0" w:color="auto"/>
      </w:divBdr>
    </w:div>
    <w:div w:id="415515426">
      <w:bodyDiv w:val="1"/>
      <w:marLeft w:val="0"/>
      <w:marRight w:val="0"/>
      <w:marTop w:val="0"/>
      <w:marBottom w:val="0"/>
      <w:divBdr>
        <w:top w:val="none" w:sz="0" w:space="0" w:color="auto"/>
        <w:left w:val="none" w:sz="0" w:space="0" w:color="auto"/>
        <w:bottom w:val="none" w:sz="0" w:space="0" w:color="auto"/>
        <w:right w:val="none" w:sz="0" w:space="0" w:color="auto"/>
      </w:divBdr>
      <w:divsChild>
        <w:div w:id="18252448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26922212">
      <w:bodyDiv w:val="1"/>
      <w:marLeft w:val="0"/>
      <w:marRight w:val="0"/>
      <w:marTop w:val="0"/>
      <w:marBottom w:val="0"/>
      <w:divBdr>
        <w:top w:val="none" w:sz="0" w:space="0" w:color="auto"/>
        <w:left w:val="none" w:sz="0" w:space="0" w:color="auto"/>
        <w:bottom w:val="none" w:sz="0" w:space="0" w:color="auto"/>
        <w:right w:val="none" w:sz="0" w:space="0" w:color="auto"/>
      </w:divBdr>
    </w:div>
    <w:div w:id="430316377">
      <w:bodyDiv w:val="1"/>
      <w:marLeft w:val="0"/>
      <w:marRight w:val="0"/>
      <w:marTop w:val="0"/>
      <w:marBottom w:val="0"/>
      <w:divBdr>
        <w:top w:val="none" w:sz="0" w:space="0" w:color="auto"/>
        <w:left w:val="none" w:sz="0" w:space="0" w:color="auto"/>
        <w:bottom w:val="none" w:sz="0" w:space="0" w:color="auto"/>
        <w:right w:val="none" w:sz="0" w:space="0" w:color="auto"/>
      </w:divBdr>
    </w:div>
    <w:div w:id="460655275">
      <w:bodyDiv w:val="1"/>
      <w:marLeft w:val="0"/>
      <w:marRight w:val="0"/>
      <w:marTop w:val="0"/>
      <w:marBottom w:val="0"/>
      <w:divBdr>
        <w:top w:val="none" w:sz="0" w:space="0" w:color="auto"/>
        <w:left w:val="none" w:sz="0" w:space="0" w:color="auto"/>
        <w:bottom w:val="none" w:sz="0" w:space="0" w:color="auto"/>
        <w:right w:val="none" w:sz="0" w:space="0" w:color="auto"/>
      </w:divBdr>
      <w:divsChild>
        <w:div w:id="3212065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82282556">
      <w:bodyDiv w:val="1"/>
      <w:marLeft w:val="0"/>
      <w:marRight w:val="0"/>
      <w:marTop w:val="0"/>
      <w:marBottom w:val="0"/>
      <w:divBdr>
        <w:top w:val="none" w:sz="0" w:space="0" w:color="auto"/>
        <w:left w:val="none" w:sz="0" w:space="0" w:color="auto"/>
        <w:bottom w:val="none" w:sz="0" w:space="0" w:color="auto"/>
        <w:right w:val="none" w:sz="0" w:space="0" w:color="auto"/>
      </w:divBdr>
      <w:divsChild>
        <w:div w:id="10318081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92766532">
      <w:bodyDiv w:val="1"/>
      <w:marLeft w:val="0"/>
      <w:marRight w:val="0"/>
      <w:marTop w:val="0"/>
      <w:marBottom w:val="0"/>
      <w:divBdr>
        <w:top w:val="none" w:sz="0" w:space="0" w:color="auto"/>
        <w:left w:val="none" w:sz="0" w:space="0" w:color="auto"/>
        <w:bottom w:val="none" w:sz="0" w:space="0" w:color="auto"/>
        <w:right w:val="none" w:sz="0" w:space="0" w:color="auto"/>
      </w:divBdr>
    </w:div>
    <w:div w:id="528645398">
      <w:bodyDiv w:val="1"/>
      <w:marLeft w:val="0"/>
      <w:marRight w:val="0"/>
      <w:marTop w:val="0"/>
      <w:marBottom w:val="0"/>
      <w:divBdr>
        <w:top w:val="none" w:sz="0" w:space="0" w:color="auto"/>
        <w:left w:val="none" w:sz="0" w:space="0" w:color="auto"/>
        <w:bottom w:val="none" w:sz="0" w:space="0" w:color="auto"/>
        <w:right w:val="none" w:sz="0" w:space="0" w:color="auto"/>
      </w:divBdr>
    </w:div>
    <w:div w:id="536820593">
      <w:bodyDiv w:val="1"/>
      <w:marLeft w:val="0"/>
      <w:marRight w:val="0"/>
      <w:marTop w:val="0"/>
      <w:marBottom w:val="0"/>
      <w:divBdr>
        <w:top w:val="none" w:sz="0" w:space="0" w:color="auto"/>
        <w:left w:val="none" w:sz="0" w:space="0" w:color="auto"/>
        <w:bottom w:val="none" w:sz="0" w:space="0" w:color="auto"/>
        <w:right w:val="none" w:sz="0" w:space="0" w:color="auto"/>
      </w:divBdr>
    </w:div>
    <w:div w:id="554397209">
      <w:bodyDiv w:val="1"/>
      <w:marLeft w:val="0"/>
      <w:marRight w:val="0"/>
      <w:marTop w:val="0"/>
      <w:marBottom w:val="0"/>
      <w:divBdr>
        <w:top w:val="none" w:sz="0" w:space="0" w:color="auto"/>
        <w:left w:val="none" w:sz="0" w:space="0" w:color="auto"/>
        <w:bottom w:val="none" w:sz="0" w:space="0" w:color="auto"/>
        <w:right w:val="none" w:sz="0" w:space="0" w:color="auto"/>
      </w:divBdr>
    </w:div>
    <w:div w:id="556933667">
      <w:bodyDiv w:val="1"/>
      <w:marLeft w:val="0"/>
      <w:marRight w:val="0"/>
      <w:marTop w:val="0"/>
      <w:marBottom w:val="0"/>
      <w:divBdr>
        <w:top w:val="none" w:sz="0" w:space="0" w:color="auto"/>
        <w:left w:val="none" w:sz="0" w:space="0" w:color="auto"/>
        <w:bottom w:val="none" w:sz="0" w:space="0" w:color="auto"/>
        <w:right w:val="none" w:sz="0" w:space="0" w:color="auto"/>
      </w:divBdr>
    </w:div>
    <w:div w:id="563294205">
      <w:bodyDiv w:val="1"/>
      <w:marLeft w:val="0"/>
      <w:marRight w:val="0"/>
      <w:marTop w:val="0"/>
      <w:marBottom w:val="0"/>
      <w:divBdr>
        <w:top w:val="none" w:sz="0" w:space="0" w:color="auto"/>
        <w:left w:val="none" w:sz="0" w:space="0" w:color="auto"/>
        <w:bottom w:val="none" w:sz="0" w:space="0" w:color="auto"/>
        <w:right w:val="none" w:sz="0" w:space="0" w:color="auto"/>
      </w:divBdr>
      <w:divsChild>
        <w:div w:id="12375918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67230037">
      <w:bodyDiv w:val="1"/>
      <w:marLeft w:val="0"/>
      <w:marRight w:val="0"/>
      <w:marTop w:val="0"/>
      <w:marBottom w:val="0"/>
      <w:divBdr>
        <w:top w:val="none" w:sz="0" w:space="0" w:color="auto"/>
        <w:left w:val="none" w:sz="0" w:space="0" w:color="auto"/>
        <w:bottom w:val="none" w:sz="0" w:space="0" w:color="auto"/>
        <w:right w:val="none" w:sz="0" w:space="0" w:color="auto"/>
      </w:divBdr>
    </w:div>
    <w:div w:id="575166525">
      <w:bodyDiv w:val="1"/>
      <w:marLeft w:val="0"/>
      <w:marRight w:val="0"/>
      <w:marTop w:val="0"/>
      <w:marBottom w:val="0"/>
      <w:divBdr>
        <w:top w:val="none" w:sz="0" w:space="0" w:color="auto"/>
        <w:left w:val="none" w:sz="0" w:space="0" w:color="auto"/>
        <w:bottom w:val="none" w:sz="0" w:space="0" w:color="auto"/>
        <w:right w:val="none" w:sz="0" w:space="0" w:color="auto"/>
      </w:divBdr>
      <w:divsChild>
        <w:div w:id="7980334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20963967">
      <w:bodyDiv w:val="1"/>
      <w:marLeft w:val="0"/>
      <w:marRight w:val="0"/>
      <w:marTop w:val="0"/>
      <w:marBottom w:val="0"/>
      <w:divBdr>
        <w:top w:val="none" w:sz="0" w:space="0" w:color="auto"/>
        <w:left w:val="none" w:sz="0" w:space="0" w:color="auto"/>
        <w:bottom w:val="none" w:sz="0" w:space="0" w:color="auto"/>
        <w:right w:val="none" w:sz="0" w:space="0" w:color="auto"/>
      </w:divBdr>
    </w:div>
    <w:div w:id="625893184">
      <w:bodyDiv w:val="1"/>
      <w:marLeft w:val="0"/>
      <w:marRight w:val="0"/>
      <w:marTop w:val="0"/>
      <w:marBottom w:val="0"/>
      <w:divBdr>
        <w:top w:val="none" w:sz="0" w:space="0" w:color="auto"/>
        <w:left w:val="none" w:sz="0" w:space="0" w:color="auto"/>
        <w:bottom w:val="none" w:sz="0" w:space="0" w:color="auto"/>
        <w:right w:val="none" w:sz="0" w:space="0" w:color="auto"/>
      </w:divBdr>
      <w:divsChild>
        <w:div w:id="21183330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28366084">
      <w:bodyDiv w:val="1"/>
      <w:marLeft w:val="0"/>
      <w:marRight w:val="0"/>
      <w:marTop w:val="0"/>
      <w:marBottom w:val="0"/>
      <w:divBdr>
        <w:top w:val="none" w:sz="0" w:space="0" w:color="auto"/>
        <w:left w:val="none" w:sz="0" w:space="0" w:color="auto"/>
        <w:bottom w:val="none" w:sz="0" w:space="0" w:color="auto"/>
        <w:right w:val="none" w:sz="0" w:space="0" w:color="auto"/>
      </w:divBdr>
      <w:divsChild>
        <w:div w:id="12729334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30552126">
      <w:bodyDiv w:val="1"/>
      <w:marLeft w:val="0"/>
      <w:marRight w:val="0"/>
      <w:marTop w:val="0"/>
      <w:marBottom w:val="0"/>
      <w:divBdr>
        <w:top w:val="none" w:sz="0" w:space="0" w:color="auto"/>
        <w:left w:val="none" w:sz="0" w:space="0" w:color="auto"/>
        <w:bottom w:val="none" w:sz="0" w:space="0" w:color="auto"/>
        <w:right w:val="none" w:sz="0" w:space="0" w:color="auto"/>
      </w:divBdr>
      <w:divsChild>
        <w:div w:id="1163007575">
          <w:marLeft w:val="0"/>
          <w:marRight w:val="0"/>
          <w:marTop w:val="0"/>
          <w:marBottom w:val="0"/>
          <w:divBdr>
            <w:top w:val="none" w:sz="0" w:space="0" w:color="auto"/>
            <w:left w:val="none" w:sz="0" w:space="0" w:color="auto"/>
            <w:bottom w:val="none" w:sz="0" w:space="0" w:color="auto"/>
            <w:right w:val="none" w:sz="0" w:space="0" w:color="auto"/>
          </w:divBdr>
          <w:divsChild>
            <w:div w:id="1823540633">
              <w:marLeft w:val="0"/>
              <w:marRight w:val="0"/>
              <w:marTop w:val="0"/>
              <w:marBottom w:val="0"/>
              <w:divBdr>
                <w:top w:val="none" w:sz="0" w:space="0" w:color="auto"/>
                <w:left w:val="none" w:sz="0" w:space="0" w:color="auto"/>
                <w:bottom w:val="none" w:sz="0" w:space="0" w:color="auto"/>
                <w:right w:val="none" w:sz="0" w:space="0" w:color="auto"/>
              </w:divBdr>
              <w:divsChild>
                <w:div w:id="153301615">
                  <w:marLeft w:val="0"/>
                  <w:marRight w:val="0"/>
                  <w:marTop w:val="0"/>
                  <w:marBottom w:val="0"/>
                  <w:divBdr>
                    <w:top w:val="none" w:sz="0" w:space="0" w:color="auto"/>
                    <w:left w:val="none" w:sz="0" w:space="0" w:color="auto"/>
                    <w:bottom w:val="none" w:sz="0" w:space="0" w:color="auto"/>
                    <w:right w:val="none" w:sz="0" w:space="0" w:color="auto"/>
                  </w:divBdr>
                  <w:divsChild>
                    <w:div w:id="448010929">
                      <w:marLeft w:val="0"/>
                      <w:marRight w:val="0"/>
                      <w:marTop w:val="0"/>
                      <w:marBottom w:val="0"/>
                      <w:divBdr>
                        <w:top w:val="none" w:sz="0" w:space="0" w:color="auto"/>
                        <w:left w:val="none" w:sz="0" w:space="0" w:color="auto"/>
                        <w:bottom w:val="none" w:sz="0" w:space="0" w:color="auto"/>
                        <w:right w:val="none" w:sz="0" w:space="0" w:color="auto"/>
                      </w:divBdr>
                      <w:divsChild>
                        <w:div w:id="507017128">
                          <w:marLeft w:val="0"/>
                          <w:marRight w:val="0"/>
                          <w:marTop w:val="0"/>
                          <w:marBottom w:val="0"/>
                          <w:divBdr>
                            <w:top w:val="none" w:sz="0" w:space="0" w:color="auto"/>
                            <w:left w:val="none" w:sz="0" w:space="0" w:color="auto"/>
                            <w:bottom w:val="none" w:sz="0" w:space="0" w:color="auto"/>
                            <w:right w:val="none" w:sz="0" w:space="0" w:color="auto"/>
                          </w:divBdr>
                          <w:divsChild>
                            <w:div w:id="340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102554">
                  <w:marLeft w:val="0"/>
                  <w:marRight w:val="0"/>
                  <w:marTop w:val="0"/>
                  <w:marBottom w:val="0"/>
                  <w:divBdr>
                    <w:top w:val="none" w:sz="0" w:space="0" w:color="auto"/>
                    <w:left w:val="none" w:sz="0" w:space="0" w:color="auto"/>
                    <w:bottom w:val="none" w:sz="0" w:space="0" w:color="auto"/>
                    <w:right w:val="none" w:sz="0" w:space="0" w:color="auto"/>
                  </w:divBdr>
                  <w:divsChild>
                    <w:div w:id="1625383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673784">
      <w:bodyDiv w:val="1"/>
      <w:marLeft w:val="0"/>
      <w:marRight w:val="0"/>
      <w:marTop w:val="0"/>
      <w:marBottom w:val="0"/>
      <w:divBdr>
        <w:top w:val="none" w:sz="0" w:space="0" w:color="auto"/>
        <w:left w:val="none" w:sz="0" w:space="0" w:color="auto"/>
        <w:bottom w:val="none" w:sz="0" w:space="0" w:color="auto"/>
        <w:right w:val="none" w:sz="0" w:space="0" w:color="auto"/>
      </w:divBdr>
    </w:div>
    <w:div w:id="633216385">
      <w:bodyDiv w:val="1"/>
      <w:marLeft w:val="0"/>
      <w:marRight w:val="0"/>
      <w:marTop w:val="0"/>
      <w:marBottom w:val="0"/>
      <w:divBdr>
        <w:top w:val="none" w:sz="0" w:space="0" w:color="auto"/>
        <w:left w:val="none" w:sz="0" w:space="0" w:color="auto"/>
        <w:bottom w:val="none" w:sz="0" w:space="0" w:color="auto"/>
        <w:right w:val="none" w:sz="0" w:space="0" w:color="auto"/>
      </w:divBdr>
    </w:div>
    <w:div w:id="633292456">
      <w:bodyDiv w:val="1"/>
      <w:marLeft w:val="0"/>
      <w:marRight w:val="0"/>
      <w:marTop w:val="0"/>
      <w:marBottom w:val="0"/>
      <w:divBdr>
        <w:top w:val="none" w:sz="0" w:space="0" w:color="auto"/>
        <w:left w:val="none" w:sz="0" w:space="0" w:color="auto"/>
        <w:bottom w:val="none" w:sz="0" w:space="0" w:color="auto"/>
        <w:right w:val="none" w:sz="0" w:space="0" w:color="auto"/>
      </w:divBdr>
    </w:div>
    <w:div w:id="647127110">
      <w:bodyDiv w:val="1"/>
      <w:marLeft w:val="0"/>
      <w:marRight w:val="0"/>
      <w:marTop w:val="0"/>
      <w:marBottom w:val="0"/>
      <w:divBdr>
        <w:top w:val="none" w:sz="0" w:space="0" w:color="auto"/>
        <w:left w:val="none" w:sz="0" w:space="0" w:color="auto"/>
        <w:bottom w:val="none" w:sz="0" w:space="0" w:color="auto"/>
        <w:right w:val="none" w:sz="0" w:space="0" w:color="auto"/>
      </w:divBdr>
    </w:div>
    <w:div w:id="653294700">
      <w:bodyDiv w:val="1"/>
      <w:marLeft w:val="0"/>
      <w:marRight w:val="0"/>
      <w:marTop w:val="0"/>
      <w:marBottom w:val="0"/>
      <w:divBdr>
        <w:top w:val="none" w:sz="0" w:space="0" w:color="auto"/>
        <w:left w:val="none" w:sz="0" w:space="0" w:color="auto"/>
        <w:bottom w:val="none" w:sz="0" w:space="0" w:color="auto"/>
        <w:right w:val="none" w:sz="0" w:space="0" w:color="auto"/>
      </w:divBdr>
    </w:div>
    <w:div w:id="663554235">
      <w:bodyDiv w:val="1"/>
      <w:marLeft w:val="0"/>
      <w:marRight w:val="0"/>
      <w:marTop w:val="0"/>
      <w:marBottom w:val="0"/>
      <w:divBdr>
        <w:top w:val="none" w:sz="0" w:space="0" w:color="auto"/>
        <w:left w:val="none" w:sz="0" w:space="0" w:color="auto"/>
        <w:bottom w:val="none" w:sz="0" w:space="0" w:color="auto"/>
        <w:right w:val="none" w:sz="0" w:space="0" w:color="auto"/>
      </w:divBdr>
    </w:div>
    <w:div w:id="686518149">
      <w:bodyDiv w:val="1"/>
      <w:marLeft w:val="0"/>
      <w:marRight w:val="0"/>
      <w:marTop w:val="0"/>
      <w:marBottom w:val="0"/>
      <w:divBdr>
        <w:top w:val="none" w:sz="0" w:space="0" w:color="auto"/>
        <w:left w:val="none" w:sz="0" w:space="0" w:color="auto"/>
        <w:bottom w:val="none" w:sz="0" w:space="0" w:color="auto"/>
        <w:right w:val="none" w:sz="0" w:space="0" w:color="auto"/>
      </w:divBdr>
      <w:divsChild>
        <w:div w:id="1746104626">
          <w:marLeft w:val="0"/>
          <w:marRight w:val="0"/>
          <w:marTop w:val="0"/>
          <w:marBottom w:val="0"/>
          <w:divBdr>
            <w:top w:val="none" w:sz="0" w:space="0" w:color="auto"/>
            <w:left w:val="none" w:sz="0" w:space="0" w:color="auto"/>
            <w:bottom w:val="none" w:sz="0" w:space="0" w:color="auto"/>
            <w:right w:val="none" w:sz="0" w:space="0" w:color="auto"/>
          </w:divBdr>
          <w:divsChild>
            <w:div w:id="1050109278">
              <w:marLeft w:val="0"/>
              <w:marRight w:val="0"/>
              <w:marTop w:val="0"/>
              <w:marBottom w:val="0"/>
              <w:divBdr>
                <w:top w:val="none" w:sz="0" w:space="0" w:color="auto"/>
                <w:left w:val="none" w:sz="0" w:space="0" w:color="auto"/>
                <w:bottom w:val="none" w:sz="0" w:space="0" w:color="auto"/>
                <w:right w:val="none" w:sz="0" w:space="0" w:color="auto"/>
              </w:divBdr>
              <w:divsChild>
                <w:div w:id="590623741">
                  <w:marLeft w:val="0"/>
                  <w:marRight w:val="0"/>
                  <w:marTop w:val="0"/>
                  <w:marBottom w:val="0"/>
                  <w:divBdr>
                    <w:top w:val="none" w:sz="0" w:space="0" w:color="auto"/>
                    <w:left w:val="none" w:sz="0" w:space="0" w:color="auto"/>
                    <w:bottom w:val="none" w:sz="0" w:space="0" w:color="auto"/>
                    <w:right w:val="none" w:sz="0" w:space="0" w:color="auto"/>
                  </w:divBdr>
                  <w:divsChild>
                    <w:div w:id="1148589869">
                      <w:marLeft w:val="0"/>
                      <w:marRight w:val="0"/>
                      <w:marTop w:val="0"/>
                      <w:marBottom w:val="0"/>
                      <w:divBdr>
                        <w:top w:val="none" w:sz="0" w:space="0" w:color="auto"/>
                        <w:left w:val="none" w:sz="0" w:space="0" w:color="auto"/>
                        <w:bottom w:val="none" w:sz="0" w:space="0" w:color="auto"/>
                        <w:right w:val="none" w:sz="0" w:space="0" w:color="auto"/>
                      </w:divBdr>
                      <w:divsChild>
                        <w:div w:id="128595196">
                          <w:marLeft w:val="0"/>
                          <w:marRight w:val="0"/>
                          <w:marTop w:val="0"/>
                          <w:marBottom w:val="0"/>
                          <w:divBdr>
                            <w:top w:val="none" w:sz="0" w:space="0" w:color="auto"/>
                            <w:left w:val="none" w:sz="0" w:space="0" w:color="auto"/>
                            <w:bottom w:val="none" w:sz="0" w:space="0" w:color="auto"/>
                            <w:right w:val="none" w:sz="0" w:space="0" w:color="auto"/>
                          </w:divBdr>
                          <w:divsChild>
                            <w:div w:id="14145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171229">
                  <w:marLeft w:val="0"/>
                  <w:marRight w:val="0"/>
                  <w:marTop w:val="0"/>
                  <w:marBottom w:val="0"/>
                  <w:divBdr>
                    <w:top w:val="none" w:sz="0" w:space="0" w:color="auto"/>
                    <w:left w:val="none" w:sz="0" w:space="0" w:color="auto"/>
                    <w:bottom w:val="none" w:sz="0" w:space="0" w:color="auto"/>
                    <w:right w:val="none" w:sz="0" w:space="0" w:color="auto"/>
                  </w:divBdr>
                  <w:divsChild>
                    <w:div w:id="204717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1319102">
      <w:bodyDiv w:val="1"/>
      <w:marLeft w:val="0"/>
      <w:marRight w:val="0"/>
      <w:marTop w:val="0"/>
      <w:marBottom w:val="0"/>
      <w:divBdr>
        <w:top w:val="none" w:sz="0" w:space="0" w:color="auto"/>
        <w:left w:val="none" w:sz="0" w:space="0" w:color="auto"/>
        <w:bottom w:val="none" w:sz="0" w:space="0" w:color="auto"/>
        <w:right w:val="none" w:sz="0" w:space="0" w:color="auto"/>
      </w:divBdr>
    </w:div>
    <w:div w:id="705447279">
      <w:bodyDiv w:val="1"/>
      <w:marLeft w:val="0"/>
      <w:marRight w:val="0"/>
      <w:marTop w:val="0"/>
      <w:marBottom w:val="0"/>
      <w:divBdr>
        <w:top w:val="none" w:sz="0" w:space="0" w:color="auto"/>
        <w:left w:val="none" w:sz="0" w:space="0" w:color="auto"/>
        <w:bottom w:val="none" w:sz="0" w:space="0" w:color="auto"/>
        <w:right w:val="none" w:sz="0" w:space="0" w:color="auto"/>
      </w:divBdr>
    </w:div>
    <w:div w:id="710686372">
      <w:bodyDiv w:val="1"/>
      <w:marLeft w:val="0"/>
      <w:marRight w:val="0"/>
      <w:marTop w:val="0"/>
      <w:marBottom w:val="0"/>
      <w:divBdr>
        <w:top w:val="none" w:sz="0" w:space="0" w:color="auto"/>
        <w:left w:val="none" w:sz="0" w:space="0" w:color="auto"/>
        <w:bottom w:val="none" w:sz="0" w:space="0" w:color="auto"/>
        <w:right w:val="none" w:sz="0" w:space="0" w:color="auto"/>
      </w:divBdr>
    </w:div>
    <w:div w:id="725570453">
      <w:bodyDiv w:val="1"/>
      <w:marLeft w:val="0"/>
      <w:marRight w:val="0"/>
      <w:marTop w:val="0"/>
      <w:marBottom w:val="0"/>
      <w:divBdr>
        <w:top w:val="none" w:sz="0" w:space="0" w:color="auto"/>
        <w:left w:val="none" w:sz="0" w:space="0" w:color="auto"/>
        <w:bottom w:val="none" w:sz="0" w:space="0" w:color="auto"/>
        <w:right w:val="none" w:sz="0" w:space="0" w:color="auto"/>
      </w:divBdr>
    </w:div>
    <w:div w:id="729962146">
      <w:bodyDiv w:val="1"/>
      <w:marLeft w:val="0"/>
      <w:marRight w:val="0"/>
      <w:marTop w:val="0"/>
      <w:marBottom w:val="0"/>
      <w:divBdr>
        <w:top w:val="none" w:sz="0" w:space="0" w:color="auto"/>
        <w:left w:val="none" w:sz="0" w:space="0" w:color="auto"/>
        <w:bottom w:val="none" w:sz="0" w:space="0" w:color="auto"/>
        <w:right w:val="none" w:sz="0" w:space="0" w:color="auto"/>
      </w:divBdr>
      <w:divsChild>
        <w:div w:id="4626268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5707825">
      <w:bodyDiv w:val="1"/>
      <w:marLeft w:val="0"/>
      <w:marRight w:val="0"/>
      <w:marTop w:val="0"/>
      <w:marBottom w:val="0"/>
      <w:divBdr>
        <w:top w:val="none" w:sz="0" w:space="0" w:color="auto"/>
        <w:left w:val="none" w:sz="0" w:space="0" w:color="auto"/>
        <w:bottom w:val="none" w:sz="0" w:space="0" w:color="auto"/>
        <w:right w:val="none" w:sz="0" w:space="0" w:color="auto"/>
      </w:divBdr>
    </w:div>
    <w:div w:id="761682444">
      <w:bodyDiv w:val="1"/>
      <w:marLeft w:val="0"/>
      <w:marRight w:val="0"/>
      <w:marTop w:val="0"/>
      <w:marBottom w:val="0"/>
      <w:divBdr>
        <w:top w:val="none" w:sz="0" w:space="0" w:color="auto"/>
        <w:left w:val="none" w:sz="0" w:space="0" w:color="auto"/>
        <w:bottom w:val="none" w:sz="0" w:space="0" w:color="auto"/>
        <w:right w:val="none" w:sz="0" w:space="0" w:color="auto"/>
      </w:divBdr>
    </w:div>
    <w:div w:id="776800440">
      <w:bodyDiv w:val="1"/>
      <w:marLeft w:val="0"/>
      <w:marRight w:val="0"/>
      <w:marTop w:val="0"/>
      <w:marBottom w:val="0"/>
      <w:divBdr>
        <w:top w:val="none" w:sz="0" w:space="0" w:color="auto"/>
        <w:left w:val="none" w:sz="0" w:space="0" w:color="auto"/>
        <w:bottom w:val="none" w:sz="0" w:space="0" w:color="auto"/>
        <w:right w:val="none" w:sz="0" w:space="0" w:color="auto"/>
      </w:divBdr>
    </w:div>
    <w:div w:id="806748991">
      <w:bodyDiv w:val="1"/>
      <w:marLeft w:val="0"/>
      <w:marRight w:val="0"/>
      <w:marTop w:val="0"/>
      <w:marBottom w:val="0"/>
      <w:divBdr>
        <w:top w:val="none" w:sz="0" w:space="0" w:color="auto"/>
        <w:left w:val="none" w:sz="0" w:space="0" w:color="auto"/>
        <w:bottom w:val="none" w:sz="0" w:space="0" w:color="auto"/>
        <w:right w:val="none" w:sz="0" w:space="0" w:color="auto"/>
      </w:divBdr>
    </w:div>
    <w:div w:id="840898025">
      <w:bodyDiv w:val="1"/>
      <w:marLeft w:val="0"/>
      <w:marRight w:val="0"/>
      <w:marTop w:val="0"/>
      <w:marBottom w:val="0"/>
      <w:divBdr>
        <w:top w:val="none" w:sz="0" w:space="0" w:color="auto"/>
        <w:left w:val="none" w:sz="0" w:space="0" w:color="auto"/>
        <w:bottom w:val="none" w:sz="0" w:space="0" w:color="auto"/>
        <w:right w:val="none" w:sz="0" w:space="0" w:color="auto"/>
      </w:divBdr>
    </w:div>
    <w:div w:id="883561939">
      <w:bodyDiv w:val="1"/>
      <w:marLeft w:val="0"/>
      <w:marRight w:val="0"/>
      <w:marTop w:val="0"/>
      <w:marBottom w:val="0"/>
      <w:divBdr>
        <w:top w:val="none" w:sz="0" w:space="0" w:color="auto"/>
        <w:left w:val="none" w:sz="0" w:space="0" w:color="auto"/>
        <w:bottom w:val="none" w:sz="0" w:space="0" w:color="auto"/>
        <w:right w:val="none" w:sz="0" w:space="0" w:color="auto"/>
      </w:divBdr>
    </w:div>
    <w:div w:id="895160300">
      <w:bodyDiv w:val="1"/>
      <w:marLeft w:val="0"/>
      <w:marRight w:val="0"/>
      <w:marTop w:val="0"/>
      <w:marBottom w:val="0"/>
      <w:divBdr>
        <w:top w:val="none" w:sz="0" w:space="0" w:color="auto"/>
        <w:left w:val="none" w:sz="0" w:space="0" w:color="auto"/>
        <w:bottom w:val="none" w:sz="0" w:space="0" w:color="auto"/>
        <w:right w:val="none" w:sz="0" w:space="0" w:color="auto"/>
      </w:divBdr>
    </w:div>
    <w:div w:id="917246989">
      <w:bodyDiv w:val="1"/>
      <w:marLeft w:val="0"/>
      <w:marRight w:val="0"/>
      <w:marTop w:val="0"/>
      <w:marBottom w:val="0"/>
      <w:divBdr>
        <w:top w:val="none" w:sz="0" w:space="0" w:color="auto"/>
        <w:left w:val="none" w:sz="0" w:space="0" w:color="auto"/>
        <w:bottom w:val="none" w:sz="0" w:space="0" w:color="auto"/>
        <w:right w:val="none" w:sz="0" w:space="0" w:color="auto"/>
      </w:divBdr>
    </w:div>
    <w:div w:id="923104470">
      <w:bodyDiv w:val="1"/>
      <w:marLeft w:val="0"/>
      <w:marRight w:val="0"/>
      <w:marTop w:val="0"/>
      <w:marBottom w:val="0"/>
      <w:divBdr>
        <w:top w:val="none" w:sz="0" w:space="0" w:color="auto"/>
        <w:left w:val="none" w:sz="0" w:space="0" w:color="auto"/>
        <w:bottom w:val="none" w:sz="0" w:space="0" w:color="auto"/>
        <w:right w:val="none" w:sz="0" w:space="0" w:color="auto"/>
      </w:divBdr>
    </w:div>
    <w:div w:id="925457213">
      <w:bodyDiv w:val="1"/>
      <w:marLeft w:val="0"/>
      <w:marRight w:val="0"/>
      <w:marTop w:val="0"/>
      <w:marBottom w:val="0"/>
      <w:divBdr>
        <w:top w:val="none" w:sz="0" w:space="0" w:color="auto"/>
        <w:left w:val="none" w:sz="0" w:space="0" w:color="auto"/>
        <w:bottom w:val="none" w:sz="0" w:space="0" w:color="auto"/>
        <w:right w:val="none" w:sz="0" w:space="0" w:color="auto"/>
      </w:divBdr>
      <w:divsChild>
        <w:div w:id="5632219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8123481">
      <w:bodyDiv w:val="1"/>
      <w:marLeft w:val="0"/>
      <w:marRight w:val="0"/>
      <w:marTop w:val="0"/>
      <w:marBottom w:val="0"/>
      <w:divBdr>
        <w:top w:val="none" w:sz="0" w:space="0" w:color="auto"/>
        <w:left w:val="none" w:sz="0" w:space="0" w:color="auto"/>
        <w:bottom w:val="none" w:sz="0" w:space="0" w:color="auto"/>
        <w:right w:val="none" w:sz="0" w:space="0" w:color="auto"/>
      </w:divBdr>
      <w:divsChild>
        <w:div w:id="17017819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9852938">
      <w:bodyDiv w:val="1"/>
      <w:marLeft w:val="0"/>
      <w:marRight w:val="0"/>
      <w:marTop w:val="0"/>
      <w:marBottom w:val="0"/>
      <w:divBdr>
        <w:top w:val="none" w:sz="0" w:space="0" w:color="auto"/>
        <w:left w:val="none" w:sz="0" w:space="0" w:color="auto"/>
        <w:bottom w:val="none" w:sz="0" w:space="0" w:color="auto"/>
        <w:right w:val="none" w:sz="0" w:space="0" w:color="auto"/>
      </w:divBdr>
    </w:div>
    <w:div w:id="930502697">
      <w:bodyDiv w:val="1"/>
      <w:marLeft w:val="0"/>
      <w:marRight w:val="0"/>
      <w:marTop w:val="0"/>
      <w:marBottom w:val="0"/>
      <w:divBdr>
        <w:top w:val="none" w:sz="0" w:space="0" w:color="auto"/>
        <w:left w:val="none" w:sz="0" w:space="0" w:color="auto"/>
        <w:bottom w:val="none" w:sz="0" w:space="0" w:color="auto"/>
        <w:right w:val="none" w:sz="0" w:space="0" w:color="auto"/>
      </w:divBdr>
    </w:div>
    <w:div w:id="933242749">
      <w:bodyDiv w:val="1"/>
      <w:marLeft w:val="0"/>
      <w:marRight w:val="0"/>
      <w:marTop w:val="0"/>
      <w:marBottom w:val="0"/>
      <w:divBdr>
        <w:top w:val="none" w:sz="0" w:space="0" w:color="auto"/>
        <w:left w:val="none" w:sz="0" w:space="0" w:color="auto"/>
        <w:bottom w:val="none" w:sz="0" w:space="0" w:color="auto"/>
        <w:right w:val="none" w:sz="0" w:space="0" w:color="auto"/>
      </w:divBdr>
    </w:div>
    <w:div w:id="934752020">
      <w:bodyDiv w:val="1"/>
      <w:marLeft w:val="0"/>
      <w:marRight w:val="0"/>
      <w:marTop w:val="0"/>
      <w:marBottom w:val="0"/>
      <w:divBdr>
        <w:top w:val="none" w:sz="0" w:space="0" w:color="auto"/>
        <w:left w:val="none" w:sz="0" w:space="0" w:color="auto"/>
        <w:bottom w:val="none" w:sz="0" w:space="0" w:color="auto"/>
        <w:right w:val="none" w:sz="0" w:space="0" w:color="auto"/>
      </w:divBdr>
      <w:divsChild>
        <w:div w:id="17702689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40068172">
      <w:bodyDiv w:val="1"/>
      <w:marLeft w:val="0"/>
      <w:marRight w:val="0"/>
      <w:marTop w:val="0"/>
      <w:marBottom w:val="0"/>
      <w:divBdr>
        <w:top w:val="none" w:sz="0" w:space="0" w:color="auto"/>
        <w:left w:val="none" w:sz="0" w:space="0" w:color="auto"/>
        <w:bottom w:val="none" w:sz="0" w:space="0" w:color="auto"/>
        <w:right w:val="none" w:sz="0" w:space="0" w:color="auto"/>
      </w:divBdr>
    </w:div>
    <w:div w:id="945041296">
      <w:bodyDiv w:val="1"/>
      <w:marLeft w:val="0"/>
      <w:marRight w:val="0"/>
      <w:marTop w:val="0"/>
      <w:marBottom w:val="0"/>
      <w:divBdr>
        <w:top w:val="none" w:sz="0" w:space="0" w:color="auto"/>
        <w:left w:val="none" w:sz="0" w:space="0" w:color="auto"/>
        <w:bottom w:val="none" w:sz="0" w:space="0" w:color="auto"/>
        <w:right w:val="none" w:sz="0" w:space="0" w:color="auto"/>
      </w:divBdr>
    </w:div>
    <w:div w:id="962033194">
      <w:bodyDiv w:val="1"/>
      <w:marLeft w:val="0"/>
      <w:marRight w:val="0"/>
      <w:marTop w:val="0"/>
      <w:marBottom w:val="0"/>
      <w:divBdr>
        <w:top w:val="none" w:sz="0" w:space="0" w:color="auto"/>
        <w:left w:val="none" w:sz="0" w:space="0" w:color="auto"/>
        <w:bottom w:val="none" w:sz="0" w:space="0" w:color="auto"/>
        <w:right w:val="none" w:sz="0" w:space="0" w:color="auto"/>
      </w:divBdr>
    </w:div>
    <w:div w:id="970208705">
      <w:bodyDiv w:val="1"/>
      <w:marLeft w:val="0"/>
      <w:marRight w:val="0"/>
      <w:marTop w:val="0"/>
      <w:marBottom w:val="0"/>
      <w:divBdr>
        <w:top w:val="none" w:sz="0" w:space="0" w:color="auto"/>
        <w:left w:val="none" w:sz="0" w:space="0" w:color="auto"/>
        <w:bottom w:val="none" w:sz="0" w:space="0" w:color="auto"/>
        <w:right w:val="none" w:sz="0" w:space="0" w:color="auto"/>
      </w:divBdr>
    </w:div>
    <w:div w:id="1026832980">
      <w:bodyDiv w:val="1"/>
      <w:marLeft w:val="0"/>
      <w:marRight w:val="0"/>
      <w:marTop w:val="0"/>
      <w:marBottom w:val="0"/>
      <w:divBdr>
        <w:top w:val="none" w:sz="0" w:space="0" w:color="auto"/>
        <w:left w:val="none" w:sz="0" w:space="0" w:color="auto"/>
        <w:bottom w:val="none" w:sz="0" w:space="0" w:color="auto"/>
        <w:right w:val="none" w:sz="0" w:space="0" w:color="auto"/>
      </w:divBdr>
      <w:divsChild>
        <w:div w:id="11375336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30375979">
      <w:bodyDiv w:val="1"/>
      <w:marLeft w:val="0"/>
      <w:marRight w:val="0"/>
      <w:marTop w:val="0"/>
      <w:marBottom w:val="0"/>
      <w:divBdr>
        <w:top w:val="none" w:sz="0" w:space="0" w:color="auto"/>
        <w:left w:val="none" w:sz="0" w:space="0" w:color="auto"/>
        <w:bottom w:val="none" w:sz="0" w:space="0" w:color="auto"/>
        <w:right w:val="none" w:sz="0" w:space="0" w:color="auto"/>
      </w:divBdr>
    </w:div>
    <w:div w:id="1049913120">
      <w:bodyDiv w:val="1"/>
      <w:marLeft w:val="0"/>
      <w:marRight w:val="0"/>
      <w:marTop w:val="0"/>
      <w:marBottom w:val="0"/>
      <w:divBdr>
        <w:top w:val="none" w:sz="0" w:space="0" w:color="auto"/>
        <w:left w:val="none" w:sz="0" w:space="0" w:color="auto"/>
        <w:bottom w:val="none" w:sz="0" w:space="0" w:color="auto"/>
        <w:right w:val="none" w:sz="0" w:space="0" w:color="auto"/>
      </w:divBdr>
    </w:div>
    <w:div w:id="1051805856">
      <w:bodyDiv w:val="1"/>
      <w:marLeft w:val="0"/>
      <w:marRight w:val="0"/>
      <w:marTop w:val="0"/>
      <w:marBottom w:val="0"/>
      <w:divBdr>
        <w:top w:val="none" w:sz="0" w:space="0" w:color="auto"/>
        <w:left w:val="none" w:sz="0" w:space="0" w:color="auto"/>
        <w:bottom w:val="none" w:sz="0" w:space="0" w:color="auto"/>
        <w:right w:val="none" w:sz="0" w:space="0" w:color="auto"/>
      </w:divBdr>
    </w:div>
    <w:div w:id="1056778375">
      <w:bodyDiv w:val="1"/>
      <w:marLeft w:val="0"/>
      <w:marRight w:val="0"/>
      <w:marTop w:val="0"/>
      <w:marBottom w:val="0"/>
      <w:divBdr>
        <w:top w:val="none" w:sz="0" w:space="0" w:color="auto"/>
        <w:left w:val="none" w:sz="0" w:space="0" w:color="auto"/>
        <w:bottom w:val="none" w:sz="0" w:space="0" w:color="auto"/>
        <w:right w:val="none" w:sz="0" w:space="0" w:color="auto"/>
      </w:divBdr>
    </w:div>
    <w:div w:id="1058936926">
      <w:bodyDiv w:val="1"/>
      <w:marLeft w:val="0"/>
      <w:marRight w:val="0"/>
      <w:marTop w:val="0"/>
      <w:marBottom w:val="0"/>
      <w:divBdr>
        <w:top w:val="none" w:sz="0" w:space="0" w:color="auto"/>
        <w:left w:val="none" w:sz="0" w:space="0" w:color="auto"/>
        <w:bottom w:val="none" w:sz="0" w:space="0" w:color="auto"/>
        <w:right w:val="none" w:sz="0" w:space="0" w:color="auto"/>
      </w:divBdr>
    </w:div>
    <w:div w:id="1075080834">
      <w:bodyDiv w:val="1"/>
      <w:marLeft w:val="0"/>
      <w:marRight w:val="0"/>
      <w:marTop w:val="0"/>
      <w:marBottom w:val="0"/>
      <w:divBdr>
        <w:top w:val="none" w:sz="0" w:space="0" w:color="auto"/>
        <w:left w:val="none" w:sz="0" w:space="0" w:color="auto"/>
        <w:bottom w:val="none" w:sz="0" w:space="0" w:color="auto"/>
        <w:right w:val="none" w:sz="0" w:space="0" w:color="auto"/>
      </w:divBdr>
      <w:divsChild>
        <w:div w:id="10791324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81878089">
      <w:bodyDiv w:val="1"/>
      <w:marLeft w:val="0"/>
      <w:marRight w:val="0"/>
      <w:marTop w:val="0"/>
      <w:marBottom w:val="0"/>
      <w:divBdr>
        <w:top w:val="none" w:sz="0" w:space="0" w:color="auto"/>
        <w:left w:val="none" w:sz="0" w:space="0" w:color="auto"/>
        <w:bottom w:val="none" w:sz="0" w:space="0" w:color="auto"/>
        <w:right w:val="none" w:sz="0" w:space="0" w:color="auto"/>
      </w:divBdr>
      <w:divsChild>
        <w:div w:id="7650748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83642203">
      <w:bodyDiv w:val="1"/>
      <w:marLeft w:val="0"/>
      <w:marRight w:val="0"/>
      <w:marTop w:val="0"/>
      <w:marBottom w:val="0"/>
      <w:divBdr>
        <w:top w:val="none" w:sz="0" w:space="0" w:color="auto"/>
        <w:left w:val="none" w:sz="0" w:space="0" w:color="auto"/>
        <w:bottom w:val="none" w:sz="0" w:space="0" w:color="auto"/>
        <w:right w:val="none" w:sz="0" w:space="0" w:color="auto"/>
      </w:divBdr>
      <w:divsChild>
        <w:div w:id="11205352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19372154">
      <w:bodyDiv w:val="1"/>
      <w:marLeft w:val="0"/>
      <w:marRight w:val="0"/>
      <w:marTop w:val="0"/>
      <w:marBottom w:val="0"/>
      <w:divBdr>
        <w:top w:val="none" w:sz="0" w:space="0" w:color="auto"/>
        <w:left w:val="none" w:sz="0" w:space="0" w:color="auto"/>
        <w:bottom w:val="none" w:sz="0" w:space="0" w:color="auto"/>
        <w:right w:val="none" w:sz="0" w:space="0" w:color="auto"/>
      </w:divBdr>
      <w:divsChild>
        <w:div w:id="15663766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24228134">
      <w:bodyDiv w:val="1"/>
      <w:marLeft w:val="0"/>
      <w:marRight w:val="0"/>
      <w:marTop w:val="0"/>
      <w:marBottom w:val="0"/>
      <w:divBdr>
        <w:top w:val="none" w:sz="0" w:space="0" w:color="auto"/>
        <w:left w:val="none" w:sz="0" w:space="0" w:color="auto"/>
        <w:bottom w:val="none" w:sz="0" w:space="0" w:color="auto"/>
        <w:right w:val="none" w:sz="0" w:space="0" w:color="auto"/>
      </w:divBdr>
      <w:divsChild>
        <w:div w:id="18316280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36021552">
      <w:bodyDiv w:val="1"/>
      <w:marLeft w:val="0"/>
      <w:marRight w:val="0"/>
      <w:marTop w:val="0"/>
      <w:marBottom w:val="0"/>
      <w:divBdr>
        <w:top w:val="none" w:sz="0" w:space="0" w:color="auto"/>
        <w:left w:val="none" w:sz="0" w:space="0" w:color="auto"/>
        <w:bottom w:val="none" w:sz="0" w:space="0" w:color="auto"/>
        <w:right w:val="none" w:sz="0" w:space="0" w:color="auto"/>
      </w:divBdr>
    </w:div>
    <w:div w:id="1143160043">
      <w:bodyDiv w:val="1"/>
      <w:marLeft w:val="0"/>
      <w:marRight w:val="0"/>
      <w:marTop w:val="0"/>
      <w:marBottom w:val="0"/>
      <w:divBdr>
        <w:top w:val="none" w:sz="0" w:space="0" w:color="auto"/>
        <w:left w:val="none" w:sz="0" w:space="0" w:color="auto"/>
        <w:bottom w:val="none" w:sz="0" w:space="0" w:color="auto"/>
        <w:right w:val="none" w:sz="0" w:space="0" w:color="auto"/>
      </w:divBdr>
    </w:div>
    <w:div w:id="1145658543">
      <w:bodyDiv w:val="1"/>
      <w:marLeft w:val="0"/>
      <w:marRight w:val="0"/>
      <w:marTop w:val="0"/>
      <w:marBottom w:val="0"/>
      <w:divBdr>
        <w:top w:val="none" w:sz="0" w:space="0" w:color="auto"/>
        <w:left w:val="none" w:sz="0" w:space="0" w:color="auto"/>
        <w:bottom w:val="none" w:sz="0" w:space="0" w:color="auto"/>
        <w:right w:val="none" w:sz="0" w:space="0" w:color="auto"/>
      </w:divBdr>
      <w:divsChild>
        <w:div w:id="19221763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51360748">
      <w:bodyDiv w:val="1"/>
      <w:marLeft w:val="0"/>
      <w:marRight w:val="0"/>
      <w:marTop w:val="0"/>
      <w:marBottom w:val="0"/>
      <w:divBdr>
        <w:top w:val="none" w:sz="0" w:space="0" w:color="auto"/>
        <w:left w:val="none" w:sz="0" w:space="0" w:color="auto"/>
        <w:bottom w:val="none" w:sz="0" w:space="0" w:color="auto"/>
        <w:right w:val="none" w:sz="0" w:space="0" w:color="auto"/>
      </w:divBdr>
    </w:div>
    <w:div w:id="1178933901">
      <w:bodyDiv w:val="1"/>
      <w:marLeft w:val="0"/>
      <w:marRight w:val="0"/>
      <w:marTop w:val="0"/>
      <w:marBottom w:val="0"/>
      <w:divBdr>
        <w:top w:val="none" w:sz="0" w:space="0" w:color="auto"/>
        <w:left w:val="none" w:sz="0" w:space="0" w:color="auto"/>
        <w:bottom w:val="none" w:sz="0" w:space="0" w:color="auto"/>
        <w:right w:val="none" w:sz="0" w:space="0" w:color="auto"/>
      </w:divBdr>
    </w:div>
    <w:div w:id="1191145905">
      <w:bodyDiv w:val="1"/>
      <w:marLeft w:val="0"/>
      <w:marRight w:val="0"/>
      <w:marTop w:val="0"/>
      <w:marBottom w:val="0"/>
      <w:divBdr>
        <w:top w:val="none" w:sz="0" w:space="0" w:color="auto"/>
        <w:left w:val="none" w:sz="0" w:space="0" w:color="auto"/>
        <w:bottom w:val="none" w:sz="0" w:space="0" w:color="auto"/>
        <w:right w:val="none" w:sz="0" w:space="0" w:color="auto"/>
      </w:divBdr>
    </w:div>
    <w:div w:id="1199314952">
      <w:bodyDiv w:val="1"/>
      <w:marLeft w:val="0"/>
      <w:marRight w:val="0"/>
      <w:marTop w:val="0"/>
      <w:marBottom w:val="0"/>
      <w:divBdr>
        <w:top w:val="none" w:sz="0" w:space="0" w:color="auto"/>
        <w:left w:val="none" w:sz="0" w:space="0" w:color="auto"/>
        <w:bottom w:val="none" w:sz="0" w:space="0" w:color="auto"/>
        <w:right w:val="none" w:sz="0" w:space="0" w:color="auto"/>
      </w:divBdr>
    </w:div>
    <w:div w:id="1202328393">
      <w:bodyDiv w:val="1"/>
      <w:marLeft w:val="0"/>
      <w:marRight w:val="0"/>
      <w:marTop w:val="0"/>
      <w:marBottom w:val="0"/>
      <w:divBdr>
        <w:top w:val="none" w:sz="0" w:space="0" w:color="auto"/>
        <w:left w:val="none" w:sz="0" w:space="0" w:color="auto"/>
        <w:bottom w:val="none" w:sz="0" w:space="0" w:color="auto"/>
        <w:right w:val="none" w:sz="0" w:space="0" w:color="auto"/>
      </w:divBdr>
    </w:div>
    <w:div w:id="1248270642">
      <w:bodyDiv w:val="1"/>
      <w:marLeft w:val="0"/>
      <w:marRight w:val="0"/>
      <w:marTop w:val="0"/>
      <w:marBottom w:val="0"/>
      <w:divBdr>
        <w:top w:val="none" w:sz="0" w:space="0" w:color="auto"/>
        <w:left w:val="none" w:sz="0" w:space="0" w:color="auto"/>
        <w:bottom w:val="none" w:sz="0" w:space="0" w:color="auto"/>
        <w:right w:val="none" w:sz="0" w:space="0" w:color="auto"/>
      </w:divBdr>
    </w:div>
    <w:div w:id="1252811674">
      <w:bodyDiv w:val="1"/>
      <w:marLeft w:val="0"/>
      <w:marRight w:val="0"/>
      <w:marTop w:val="0"/>
      <w:marBottom w:val="0"/>
      <w:divBdr>
        <w:top w:val="none" w:sz="0" w:space="0" w:color="auto"/>
        <w:left w:val="none" w:sz="0" w:space="0" w:color="auto"/>
        <w:bottom w:val="none" w:sz="0" w:space="0" w:color="auto"/>
        <w:right w:val="none" w:sz="0" w:space="0" w:color="auto"/>
      </w:divBdr>
    </w:div>
    <w:div w:id="1255162179">
      <w:bodyDiv w:val="1"/>
      <w:marLeft w:val="0"/>
      <w:marRight w:val="0"/>
      <w:marTop w:val="0"/>
      <w:marBottom w:val="0"/>
      <w:divBdr>
        <w:top w:val="none" w:sz="0" w:space="0" w:color="auto"/>
        <w:left w:val="none" w:sz="0" w:space="0" w:color="auto"/>
        <w:bottom w:val="none" w:sz="0" w:space="0" w:color="auto"/>
        <w:right w:val="none" w:sz="0" w:space="0" w:color="auto"/>
      </w:divBdr>
    </w:div>
    <w:div w:id="1257594770">
      <w:bodyDiv w:val="1"/>
      <w:marLeft w:val="0"/>
      <w:marRight w:val="0"/>
      <w:marTop w:val="0"/>
      <w:marBottom w:val="0"/>
      <w:divBdr>
        <w:top w:val="none" w:sz="0" w:space="0" w:color="auto"/>
        <w:left w:val="none" w:sz="0" w:space="0" w:color="auto"/>
        <w:bottom w:val="none" w:sz="0" w:space="0" w:color="auto"/>
        <w:right w:val="none" w:sz="0" w:space="0" w:color="auto"/>
      </w:divBdr>
    </w:div>
    <w:div w:id="1284270176">
      <w:bodyDiv w:val="1"/>
      <w:marLeft w:val="0"/>
      <w:marRight w:val="0"/>
      <w:marTop w:val="0"/>
      <w:marBottom w:val="0"/>
      <w:divBdr>
        <w:top w:val="none" w:sz="0" w:space="0" w:color="auto"/>
        <w:left w:val="none" w:sz="0" w:space="0" w:color="auto"/>
        <w:bottom w:val="none" w:sz="0" w:space="0" w:color="auto"/>
        <w:right w:val="none" w:sz="0" w:space="0" w:color="auto"/>
      </w:divBdr>
    </w:div>
    <w:div w:id="1312172897">
      <w:bodyDiv w:val="1"/>
      <w:marLeft w:val="0"/>
      <w:marRight w:val="0"/>
      <w:marTop w:val="0"/>
      <w:marBottom w:val="0"/>
      <w:divBdr>
        <w:top w:val="none" w:sz="0" w:space="0" w:color="auto"/>
        <w:left w:val="none" w:sz="0" w:space="0" w:color="auto"/>
        <w:bottom w:val="none" w:sz="0" w:space="0" w:color="auto"/>
        <w:right w:val="none" w:sz="0" w:space="0" w:color="auto"/>
      </w:divBdr>
    </w:div>
    <w:div w:id="1313871245">
      <w:bodyDiv w:val="1"/>
      <w:marLeft w:val="0"/>
      <w:marRight w:val="0"/>
      <w:marTop w:val="0"/>
      <w:marBottom w:val="0"/>
      <w:divBdr>
        <w:top w:val="none" w:sz="0" w:space="0" w:color="auto"/>
        <w:left w:val="none" w:sz="0" w:space="0" w:color="auto"/>
        <w:bottom w:val="none" w:sz="0" w:space="0" w:color="auto"/>
        <w:right w:val="none" w:sz="0" w:space="0" w:color="auto"/>
      </w:divBdr>
    </w:div>
    <w:div w:id="1314405973">
      <w:bodyDiv w:val="1"/>
      <w:marLeft w:val="0"/>
      <w:marRight w:val="0"/>
      <w:marTop w:val="0"/>
      <w:marBottom w:val="0"/>
      <w:divBdr>
        <w:top w:val="none" w:sz="0" w:space="0" w:color="auto"/>
        <w:left w:val="none" w:sz="0" w:space="0" w:color="auto"/>
        <w:bottom w:val="none" w:sz="0" w:space="0" w:color="auto"/>
        <w:right w:val="none" w:sz="0" w:space="0" w:color="auto"/>
      </w:divBdr>
      <w:divsChild>
        <w:div w:id="11023834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2274206">
      <w:bodyDiv w:val="1"/>
      <w:marLeft w:val="0"/>
      <w:marRight w:val="0"/>
      <w:marTop w:val="0"/>
      <w:marBottom w:val="0"/>
      <w:divBdr>
        <w:top w:val="none" w:sz="0" w:space="0" w:color="auto"/>
        <w:left w:val="none" w:sz="0" w:space="0" w:color="auto"/>
        <w:bottom w:val="none" w:sz="0" w:space="0" w:color="auto"/>
        <w:right w:val="none" w:sz="0" w:space="0" w:color="auto"/>
      </w:divBdr>
    </w:div>
    <w:div w:id="1347514130">
      <w:bodyDiv w:val="1"/>
      <w:marLeft w:val="0"/>
      <w:marRight w:val="0"/>
      <w:marTop w:val="0"/>
      <w:marBottom w:val="0"/>
      <w:divBdr>
        <w:top w:val="none" w:sz="0" w:space="0" w:color="auto"/>
        <w:left w:val="none" w:sz="0" w:space="0" w:color="auto"/>
        <w:bottom w:val="none" w:sz="0" w:space="0" w:color="auto"/>
        <w:right w:val="none" w:sz="0" w:space="0" w:color="auto"/>
      </w:divBdr>
    </w:div>
    <w:div w:id="1357996666">
      <w:bodyDiv w:val="1"/>
      <w:marLeft w:val="0"/>
      <w:marRight w:val="0"/>
      <w:marTop w:val="0"/>
      <w:marBottom w:val="0"/>
      <w:divBdr>
        <w:top w:val="none" w:sz="0" w:space="0" w:color="auto"/>
        <w:left w:val="none" w:sz="0" w:space="0" w:color="auto"/>
        <w:bottom w:val="none" w:sz="0" w:space="0" w:color="auto"/>
        <w:right w:val="none" w:sz="0" w:space="0" w:color="auto"/>
      </w:divBdr>
    </w:div>
    <w:div w:id="1386029905">
      <w:bodyDiv w:val="1"/>
      <w:marLeft w:val="0"/>
      <w:marRight w:val="0"/>
      <w:marTop w:val="0"/>
      <w:marBottom w:val="0"/>
      <w:divBdr>
        <w:top w:val="none" w:sz="0" w:space="0" w:color="auto"/>
        <w:left w:val="none" w:sz="0" w:space="0" w:color="auto"/>
        <w:bottom w:val="none" w:sz="0" w:space="0" w:color="auto"/>
        <w:right w:val="none" w:sz="0" w:space="0" w:color="auto"/>
      </w:divBdr>
    </w:div>
    <w:div w:id="1432700776">
      <w:bodyDiv w:val="1"/>
      <w:marLeft w:val="0"/>
      <w:marRight w:val="0"/>
      <w:marTop w:val="0"/>
      <w:marBottom w:val="0"/>
      <w:divBdr>
        <w:top w:val="none" w:sz="0" w:space="0" w:color="auto"/>
        <w:left w:val="none" w:sz="0" w:space="0" w:color="auto"/>
        <w:bottom w:val="none" w:sz="0" w:space="0" w:color="auto"/>
        <w:right w:val="none" w:sz="0" w:space="0" w:color="auto"/>
      </w:divBdr>
      <w:divsChild>
        <w:div w:id="16411089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49353209">
      <w:bodyDiv w:val="1"/>
      <w:marLeft w:val="0"/>
      <w:marRight w:val="0"/>
      <w:marTop w:val="0"/>
      <w:marBottom w:val="0"/>
      <w:divBdr>
        <w:top w:val="none" w:sz="0" w:space="0" w:color="auto"/>
        <w:left w:val="none" w:sz="0" w:space="0" w:color="auto"/>
        <w:bottom w:val="none" w:sz="0" w:space="0" w:color="auto"/>
        <w:right w:val="none" w:sz="0" w:space="0" w:color="auto"/>
      </w:divBdr>
      <w:divsChild>
        <w:div w:id="1676707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53592361">
      <w:bodyDiv w:val="1"/>
      <w:marLeft w:val="0"/>
      <w:marRight w:val="0"/>
      <w:marTop w:val="0"/>
      <w:marBottom w:val="0"/>
      <w:divBdr>
        <w:top w:val="none" w:sz="0" w:space="0" w:color="auto"/>
        <w:left w:val="none" w:sz="0" w:space="0" w:color="auto"/>
        <w:bottom w:val="none" w:sz="0" w:space="0" w:color="auto"/>
        <w:right w:val="none" w:sz="0" w:space="0" w:color="auto"/>
      </w:divBdr>
    </w:div>
    <w:div w:id="1463690876">
      <w:bodyDiv w:val="1"/>
      <w:marLeft w:val="0"/>
      <w:marRight w:val="0"/>
      <w:marTop w:val="0"/>
      <w:marBottom w:val="0"/>
      <w:divBdr>
        <w:top w:val="none" w:sz="0" w:space="0" w:color="auto"/>
        <w:left w:val="none" w:sz="0" w:space="0" w:color="auto"/>
        <w:bottom w:val="none" w:sz="0" w:space="0" w:color="auto"/>
        <w:right w:val="none" w:sz="0" w:space="0" w:color="auto"/>
      </w:divBdr>
    </w:div>
    <w:div w:id="1467046150">
      <w:bodyDiv w:val="1"/>
      <w:marLeft w:val="0"/>
      <w:marRight w:val="0"/>
      <w:marTop w:val="0"/>
      <w:marBottom w:val="0"/>
      <w:divBdr>
        <w:top w:val="none" w:sz="0" w:space="0" w:color="auto"/>
        <w:left w:val="none" w:sz="0" w:space="0" w:color="auto"/>
        <w:bottom w:val="none" w:sz="0" w:space="0" w:color="auto"/>
        <w:right w:val="none" w:sz="0" w:space="0" w:color="auto"/>
      </w:divBdr>
      <w:divsChild>
        <w:div w:id="3683377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73710984">
      <w:bodyDiv w:val="1"/>
      <w:marLeft w:val="0"/>
      <w:marRight w:val="0"/>
      <w:marTop w:val="0"/>
      <w:marBottom w:val="0"/>
      <w:divBdr>
        <w:top w:val="none" w:sz="0" w:space="0" w:color="auto"/>
        <w:left w:val="none" w:sz="0" w:space="0" w:color="auto"/>
        <w:bottom w:val="none" w:sz="0" w:space="0" w:color="auto"/>
        <w:right w:val="none" w:sz="0" w:space="0" w:color="auto"/>
      </w:divBdr>
      <w:divsChild>
        <w:div w:id="8820567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77451225">
      <w:bodyDiv w:val="1"/>
      <w:marLeft w:val="0"/>
      <w:marRight w:val="0"/>
      <w:marTop w:val="0"/>
      <w:marBottom w:val="0"/>
      <w:divBdr>
        <w:top w:val="none" w:sz="0" w:space="0" w:color="auto"/>
        <w:left w:val="none" w:sz="0" w:space="0" w:color="auto"/>
        <w:bottom w:val="none" w:sz="0" w:space="0" w:color="auto"/>
        <w:right w:val="none" w:sz="0" w:space="0" w:color="auto"/>
      </w:divBdr>
    </w:div>
    <w:div w:id="1490629999">
      <w:bodyDiv w:val="1"/>
      <w:marLeft w:val="0"/>
      <w:marRight w:val="0"/>
      <w:marTop w:val="0"/>
      <w:marBottom w:val="0"/>
      <w:divBdr>
        <w:top w:val="none" w:sz="0" w:space="0" w:color="auto"/>
        <w:left w:val="none" w:sz="0" w:space="0" w:color="auto"/>
        <w:bottom w:val="none" w:sz="0" w:space="0" w:color="auto"/>
        <w:right w:val="none" w:sz="0" w:space="0" w:color="auto"/>
      </w:divBdr>
    </w:div>
    <w:div w:id="1517191083">
      <w:bodyDiv w:val="1"/>
      <w:marLeft w:val="0"/>
      <w:marRight w:val="0"/>
      <w:marTop w:val="0"/>
      <w:marBottom w:val="0"/>
      <w:divBdr>
        <w:top w:val="none" w:sz="0" w:space="0" w:color="auto"/>
        <w:left w:val="none" w:sz="0" w:space="0" w:color="auto"/>
        <w:bottom w:val="none" w:sz="0" w:space="0" w:color="auto"/>
        <w:right w:val="none" w:sz="0" w:space="0" w:color="auto"/>
      </w:divBdr>
    </w:div>
    <w:div w:id="1522627664">
      <w:bodyDiv w:val="1"/>
      <w:marLeft w:val="0"/>
      <w:marRight w:val="0"/>
      <w:marTop w:val="0"/>
      <w:marBottom w:val="0"/>
      <w:divBdr>
        <w:top w:val="none" w:sz="0" w:space="0" w:color="auto"/>
        <w:left w:val="none" w:sz="0" w:space="0" w:color="auto"/>
        <w:bottom w:val="none" w:sz="0" w:space="0" w:color="auto"/>
        <w:right w:val="none" w:sz="0" w:space="0" w:color="auto"/>
      </w:divBdr>
      <w:divsChild>
        <w:div w:id="7284626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24056426">
      <w:bodyDiv w:val="1"/>
      <w:marLeft w:val="0"/>
      <w:marRight w:val="0"/>
      <w:marTop w:val="0"/>
      <w:marBottom w:val="0"/>
      <w:divBdr>
        <w:top w:val="none" w:sz="0" w:space="0" w:color="auto"/>
        <w:left w:val="none" w:sz="0" w:space="0" w:color="auto"/>
        <w:bottom w:val="none" w:sz="0" w:space="0" w:color="auto"/>
        <w:right w:val="none" w:sz="0" w:space="0" w:color="auto"/>
      </w:divBdr>
      <w:divsChild>
        <w:div w:id="6743815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6211190">
      <w:bodyDiv w:val="1"/>
      <w:marLeft w:val="0"/>
      <w:marRight w:val="0"/>
      <w:marTop w:val="0"/>
      <w:marBottom w:val="0"/>
      <w:divBdr>
        <w:top w:val="none" w:sz="0" w:space="0" w:color="auto"/>
        <w:left w:val="none" w:sz="0" w:space="0" w:color="auto"/>
        <w:bottom w:val="none" w:sz="0" w:space="0" w:color="auto"/>
        <w:right w:val="none" w:sz="0" w:space="0" w:color="auto"/>
      </w:divBdr>
      <w:divsChild>
        <w:div w:id="7565570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1654003">
      <w:bodyDiv w:val="1"/>
      <w:marLeft w:val="0"/>
      <w:marRight w:val="0"/>
      <w:marTop w:val="0"/>
      <w:marBottom w:val="0"/>
      <w:divBdr>
        <w:top w:val="none" w:sz="0" w:space="0" w:color="auto"/>
        <w:left w:val="none" w:sz="0" w:space="0" w:color="auto"/>
        <w:bottom w:val="none" w:sz="0" w:space="0" w:color="auto"/>
        <w:right w:val="none" w:sz="0" w:space="0" w:color="auto"/>
      </w:divBdr>
      <w:divsChild>
        <w:div w:id="2458926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77283166">
      <w:bodyDiv w:val="1"/>
      <w:marLeft w:val="0"/>
      <w:marRight w:val="0"/>
      <w:marTop w:val="0"/>
      <w:marBottom w:val="0"/>
      <w:divBdr>
        <w:top w:val="none" w:sz="0" w:space="0" w:color="auto"/>
        <w:left w:val="none" w:sz="0" w:space="0" w:color="auto"/>
        <w:bottom w:val="none" w:sz="0" w:space="0" w:color="auto"/>
        <w:right w:val="none" w:sz="0" w:space="0" w:color="auto"/>
      </w:divBdr>
    </w:div>
    <w:div w:id="1582835079">
      <w:bodyDiv w:val="1"/>
      <w:marLeft w:val="0"/>
      <w:marRight w:val="0"/>
      <w:marTop w:val="0"/>
      <w:marBottom w:val="0"/>
      <w:divBdr>
        <w:top w:val="none" w:sz="0" w:space="0" w:color="auto"/>
        <w:left w:val="none" w:sz="0" w:space="0" w:color="auto"/>
        <w:bottom w:val="none" w:sz="0" w:space="0" w:color="auto"/>
        <w:right w:val="none" w:sz="0" w:space="0" w:color="auto"/>
      </w:divBdr>
    </w:div>
    <w:div w:id="1588533942">
      <w:bodyDiv w:val="1"/>
      <w:marLeft w:val="0"/>
      <w:marRight w:val="0"/>
      <w:marTop w:val="0"/>
      <w:marBottom w:val="0"/>
      <w:divBdr>
        <w:top w:val="none" w:sz="0" w:space="0" w:color="auto"/>
        <w:left w:val="none" w:sz="0" w:space="0" w:color="auto"/>
        <w:bottom w:val="none" w:sz="0" w:space="0" w:color="auto"/>
        <w:right w:val="none" w:sz="0" w:space="0" w:color="auto"/>
      </w:divBdr>
    </w:div>
    <w:div w:id="1599867710">
      <w:bodyDiv w:val="1"/>
      <w:marLeft w:val="0"/>
      <w:marRight w:val="0"/>
      <w:marTop w:val="0"/>
      <w:marBottom w:val="0"/>
      <w:divBdr>
        <w:top w:val="none" w:sz="0" w:space="0" w:color="auto"/>
        <w:left w:val="none" w:sz="0" w:space="0" w:color="auto"/>
        <w:bottom w:val="none" w:sz="0" w:space="0" w:color="auto"/>
        <w:right w:val="none" w:sz="0" w:space="0" w:color="auto"/>
      </w:divBdr>
    </w:div>
    <w:div w:id="1622766541">
      <w:bodyDiv w:val="1"/>
      <w:marLeft w:val="0"/>
      <w:marRight w:val="0"/>
      <w:marTop w:val="0"/>
      <w:marBottom w:val="0"/>
      <w:divBdr>
        <w:top w:val="none" w:sz="0" w:space="0" w:color="auto"/>
        <w:left w:val="none" w:sz="0" w:space="0" w:color="auto"/>
        <w:bottom w:val="none" w:sz="0" w:space="0" w:color="auto"/>
        <w:right w:val="none" w:sz="0" w:space="0" w:color="auto"/>
      </w:divBdr>
    </w:div>
    <w:div w:id="1624460522">
      <w:bodyDiv w:val="1"/>
      <w:marLeft w:val="0"/>
      <w:marRight w:val="0"/>
      <w:marTop w:val="0"/>
      <w:marBottom w:val="0"/>
      <w:divBdr>
        <w:top w:val="none" w:sz="0" w:space="0" w:color="auto"/>
        <w:left w:val="none" w:sz="0" w:space="0" w:color="auto"/>
        <w:bottom w:val="none" w:sz="0" w:space="0" w:color="auto"/>
        <w:right w:val="none" w:sz="0" w:space="0" w:color="auto"/>
      </w:divBdr>
    </w:div>
    <w:div w:id="1648625784">
      <w:bodyDiv w:val="1"/>
      <w:marLeft w:val="0"/>
      <w:marRight w:val="0"/>
      <w:marTop w:val="0"/>
      <w:marBottom w:val="0"/>
      <w:divBdr>
        <w:top w:val="none" w:sz="0" w:space="0" w:color="auto"/>
        <w:left w:val="none" w:sz="0" w:space="0" w:color="auto"/>
        <w:bottom w:val="none" w:sz="0" w:space="0" w:color="auto"/>
        <w:right w:val="none" w:sz="0" w:space="0" w:color="auto"/>
      </w:divBdr>
    </w:div>
    <w:div w:id="1663002918">
      <w:bodyDiv w:val="1"/>
      <w:marLeft w:val="0"/>
      <w:marRight w:val="0"/>
      <w:marTop w:val="0"/>
      <w:marBottom w:val="0"/>
      <w:divBdr>
        <w:top w:val="none" w:sz="0" w:space="0" w:color="auto"/>
        <w:left w:val="none" w:sz="0" w:space="0" w:color="auto"/>
        <w:bottom w:val="none" w:sz="0" w:space="0" w:color="auto"/>
        <w:right w:val="none" w:sz="0" w:space="0" w:color="auto"/>
      </w:divBdr>
      <w:divsChild>
        <w:div w:id="18686415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3654159">
      <w:bodyDiv w:val="1"/>
      <w:marLeft w:val="0"/>
      <w:marRight w:val="0"/>
      <w:marTop w:val="0"/>
      <w:marBottom w:val="0"/>
      <w:divBdr>
        <w:top w:val="none" w:sz="0" w:space="0" w:color="auto"/>
        <w:left w:val="none" w:sz="0" w:space="0" w:color="auto"/>
        <w:bottom w:val="none" w:sz="0" w:space="0" w:color="auto"/>
        <w:right w:val="none" w:sz="0" w:space="0" w:color="auto"/>
      </w:divBdr>
    </w:div>
    <w:div w:id="1668096403">
      <w:bodyDiv w:val="1"/>
      <w:marLeft w:val="0"/>
      <w:marRight w:val="0"/>
      <w:marTop w:val="0"/>
      <w:marBottom w:val="0"/>
      <w:divBdr>
        <w:top w:val="none" w:sz="0" w:space="0" w:color="auto"/>
        <w:left w:val="none" w:sz="0" w:space="0" w:color="auto"/>
        <w:bottom w:val="none" w:sz="0" w:space="0" w:color="auto"/>
        <w:right w:val="none" w:sz="0" w:space="0" w:color="auto"/>
      </w:divBdr>
    </w:div>
    <w:div w:id="1703699851">
      <w:bodyDiv w:val="1"/>
      <w:marLeft w:val="0"/>
      <w:marRight w:val="0"/>
      <w:marTop w:val="0"/>
      <w:marBottom w:val="0"/>
      <w:divBdr>
        <w:top w:val="none" w:sz="0" w:space="0" w:color="auto"/>
        <w:left w:val="none" w:sz="0" w:space="0" w:color="auto"/>
        <w:bottom w:val="none" w:sz="0" w:space="0" w:color="auto"/>
        <w:right w:val="none" w:sz="0" w:space="0" w:color="auto"/>
      </w:divBdr>
    </w:div>
    <w:div w:id="1708333208">
      <w:bodyDiv w:val="1"/>
      <w:marLeft w:val="0"/>
      <w:marRight w:val="0"/>
      <w:marTop w:val="0"/>
      <w:marBottom w:val="0"/>
      <w:divBdr>
        <w:top w:val="none" w:sz="0" w:space="0" w:color="auto"/>
        <w:left w:val="none" w:sz="0" w:space="0" w:color="auto"/>
        <w:bottom w:val="none" w:sz="0" w:space="0" w:color="auto"/>
        <w:right w:val="none" w:sz="0" w:space="0" w:color="auto"/>
      </w:divBdr>
    </w:div>
    <w:div w:id="1710062522">
      <w:bodyDiv w:val="1"/>
      <w:marLeft w:val="0"/>
      <w:marRight w:val="0"/>
      <w:marTop w:val="0"/>
      <w:marBottom w:val="0"/>
      <w:divBdr>
        <w:top w:val="none" w:sz="0" w:space="0" w:color="auto"/>
        <w:left w:val="none" w:sz="0" w:space="0" w:color="auto"/>
        <w:bottom w:val="none" w:sz="0" w:space="0" w:color="auto"/>
        <w:right w:val="none" w:sz="0" w:space="0" w:color="auto"/>
      </w:divBdr>
    </w:div>
    <w:div w:id="1721319547">
      <w:bodyDiv w:val="1"/>
      <w:marLeft w:val="0"/>
      <w:marRight w:val="0"/>
      <w:marTop w:val="0"/>
      <w:marBottom w:val="0"/>
      <w:divBdr>
        <w:top w:val="none" w:sz="0" w:space="0" w:color="auto"/>
        <w:left w:val="none" w:sz="0" w:space="0" w:color="auto"/>
        <w:bottom w:val="none" w:sz="0" w:space="0" w:color="auto"/>
        <w:right w:val="none" w:sz="0" w:space="0" w:color="auto"/>
      </w:divBdr>
    </w:div>
    <w:div w:id="1730687167">
      <w:bodyDiv w:val="1"/>
      <w:marLeft w:val="0"/>
      <w:marRight w:val="0"/>
      <w:marTop w:val="0"/>
      <w:marBottom w:val="0"/>
      <w:divBdr>
        <w:top w:val="none" w:sz="0" w:space="0" w:color="auto"/>
        <w:left w:val="none" w:sz="0" w:space="0" w:color="auto"/>
        <w:bottom w:val="none" w:sz="0" w:space="0" w:color="auto"/>
        <w:right w:val="none" w:sz="0" w:space="0" w:color="auto"/>
      </w:divBdr>
    </w:div>
    <w:div w:id="1735737707">
      <w:bodyDiv w:val="1"/>
      <w:marLeft w:val="0"/>
      <w:marRight w:val="0"/>
      <w:marTop w:val="0"/>
      <w:marBottom w:val="0"/>
      <w:divBdr>
        <w:top w:val="none" w:sz="0" w:space="0" w:color="auto"/>
        <w:left w:val="none" w:sz="0" w:space="0" w:color="auto"/>
        <w:bottom w:val="none" w:sz="0" w:space="0" w:color="auto"/>
        <w:right w:val="none" w:sz="0" w:space="0" w:color="auto"/>
      </w:divBdr>
    </w:div>
    <w:div w:id="1760323803">
      <w:bodyDiv w:val="1"/>
      <w:marLeft w:val="0"/>
      <w:marRight w:val="0"/>
      <w:marTop w:val="0"/>
      <w:marBottom w:val="0"/>
      <w:divBdr>
        <w:top w:val="none" w:sz="0" w:space="0" w:color="auto"/>
        <w:left w:val="none" w:sz="0" w:space="0" w:color="auto"/>
        <w:bottom w:val="none" w:sz="0" w:space="0" w:color="auto"/>
        <w:right w:val="none" w:sz="0" w:space="0" w:color="auto"/>
      </w:divBdr>
    </w:div>
    <w:div w:id="1785540836">
      <w:bodyDiv w:val="1"/>
      <w:marLeft w:val="0"/>
      <w:marRight w:val="0"/>
      <w:marTop w:val="0"/>
      <w:marBottom w:val="0"/>
      <w:divBdr>
        <w:top w:val="none" w:sz="0" w:space="0" w:color="auto"/>
        <w:left w:val="none" w:sz="0" w:space="0" w:color="auto"/>
        <w:bottom w:val="none" w:sz="0" w:space="0" w:color="auto"/>
        <w:right w:val="none" w:sz="0" w:space="0" w:color="auto"/>
      </w:divBdr>
    </w:div>
    <w:div w:id="1796177451">
      <w:bodyDiv w:val="1"/>
      <w:marLeft w:val="0"/>
      <w:marRight w:val="0"/>
      <w:marTop w:val="0"/>
      <w:marBottom w:val="0"/>
      <w:divBdr>
        <w:top w:val="none" w:sz="0" w:space="0" w:color="auto"/>
        <w:left w:val="none" w:sz="0" w:space="0" w:color="auto"/>
        <w:bottom w:val="none" w:sz="0" w:space="0" w:color="auto"/>
        <w:right w:val="none" w:sz="0" w:space="0" w:color="auto"/>
      </w:divBdr>
      <w:divsChild>
        <w:div w:id="261761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26043401">
      <w:bodyDiv w:val="1"/>
      <w:marLeft w:val="0"/>
      <w:marRight w:val="0"/>
      <w:marTop w:val="0"/>
      <w:marBottom w:val="0"/>
      <w:divBdr>
        <w:top w:val="none" w:sz="0" w:space="0" w:color="auto"/>
        <w:left w:val="none" w:sz="0" w:space="0" w:color="auto"/>
        <w:bottom w:val="none" w:sz="0" w:space="0" w:color="auto"/>
        <w:right w:val="none" w:sz="0" w:space="0" w:color="auto"/>
      </w:divBdr>
      <w:divsChild>
        <w:div w:id="11602729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45434590">
      <w:bodyDiv w:val="1"/>
      <w:marLeft w:val="0"/>
      <w:marRight w:val="0"/>
      <w:marTop w:val="0"/>
      <w:marBottom w:val="0"/>
      <w:divBdr>
        <w:top w:val="none" w:sz="0" w:space="0" w:color="auto"/>
        <w:left w:val="none" w:sz="0" w:space="0" w:color="auto"/>
        <w:bottom w:val="none" w:sz="0" w:space="0" w:color="auto"/>
        <w:right w:val="none" w:sz="0" w:space="0" w:color="auto"/>
      </w:divBdr>
    </w:div>
    <w:div w:id="1852525574">
      <w:bodyDiv w:val="1"/>
      <w:marLeft w:val="0"/>
      <w:marRight w:val="0"/>
      <w:marTop w:val="0"/>
      <w:marBottom w:val="0"/>
      <w:divBdr>
        <w:top w:val="none" w:sz="0" w:space="0" w:color="auto"/>
        <w:left w:val="none" w:sz="0" w:space="0" w:color="auto"/>
        <w:bottom w:val="none" w:sz="0" w:space="0" w:color="auto"/>
        <w:right w:val="none" w:sz="0" w:space="0" w:color="auto"/>
      </w:divBdr>
    </w:div>
    <w:div w:id="1874033691">
      <w:bodyDiv w:val="1"/>
      <w:marLeft w:val="0"/>
      <w:marRight w:val="0"/>
      <w:marTop w:val="0"/>
      <w:marBottom w:val="0"/>
      <w:divBdr>
        <w:top w:val="none" w:sz="0" w:space="0" w:color="auto"/>
        <w:left w:val="none" w:sz="0" w:space="0" w:color="auto"/>
        <w:bottom w:val="none" w:sz="0" w:space="0" w:color="auto"/>
        <w:right w:val="none" w:sz="0" w:space="0" w:color="auto"/>
      </w:divBdr>
    </w:div>
    <w:div w:id="1890336655">
      <w:bodyDiv w:val="1"/>
      <w:marLeft w:val="0"/>
      <w:marRight w:val="0"/>
      <w:marTop w:val="0"/>
      <w:marBottom w:val="0"/>
      <w:divBdr>
        <w:top w:val="none" w:sz="0" w:space="0" w:color="auto"/>
        <w:left w:val="none" w:sz="0" w:space="0" w:color="auto"/>
        <w:bottom w:val="none" w:sz="0" w:space="0" w:color="auto"/>
        <w:right w:val="none" w:sz="0" w:space="0" w:color="auto"/>
      </w:divBdr>
    </w:div>
    <w:div w:id="1904834424">
      <w:bodyDiv w:val="1"/>
      <w:marLeft w:val="0"/>
      <w:marRight w:val="0"/>
      <w:marTop w:val="0"/>
      <w:marBottom w:val="0"/>
      <w:divBdr>
        <w:top w:val="none" w:sz="0" w:space="0" w:color="auto"/>
        <w:left w:val="none" w:sz="0" w:space="0" w:color="auto"/>
        <w:bottom w:val="none" w:sz="0" w:space="0" w:color="auto"/>
        <w:right w:val="none" w:sz="0" w:space="0" w:color="auto"/>
      </w:divBdr>
    </w:div>
    <w:div w:id="1912109477">
      <w:bodyDiv w:val="1"/>
      <w:marLeft w:val="0"/>
      <w:marRight w:val="0"/>
      <w:marTop w:val="0"/>
      <w:marBottom w:val="0"/>
      <w:divBdr>
        <w:top w:val="none" w:sz="0" w:space="0" w:color="auto"/>
        <w:left w:val="none" w:sz="0" w:space="0" w:color="auto"/>
        <w:bottom w:val="none" w:sz="0" w:space="0" w:color="auto"/>
        <w:right w:val="none" w:sz="0" w:space="0" w:color="auto"/>
      </w:divBdr>
    </w:div>
    <w:div w:id="1926643328">
      <w:bodyDiv w:val="1"/>
      <w:marLeft w:val="0"/>
      <w:marRight w:val="0"/>
      <w:marTop w:val="0"/>
      <w:marBottom w:val="0"/>
      <w:divBdr>
        <w:top w:val="none" w:sz="0" w:space="0" w:color="auto"/>
        <w:left w:val="none" w:sz="0" w:space="0" w:color="auto"/>
        <w:bottom w:val="none" w:sz="0" w:space="0" w:color="auto"/>
        <w:right w:val="none" w:sz="0" w:space="0" w:color="auto"/>
      </w:divBdr>
    </w:div>
    <w:div w:id="1935244400">
      <w:bodyDiv w:val="1"/>
      <w:marLeft w:val="0"/>
      <w:marRight w:val="0"/>
      <w:marTop w:val="0"/>
      <w:marBottom w:val="0"/>
      <w:divBdr>
        <w:top w:val="none" w:sz="0" w:space="0" w:color="auto"/>
        <w:left w:val="none" w:sz="0" w:space="0" w:color="auto"/>
        <w:bottom w:val="none" w:sz="0" w:space="0" w:color="auto"/>
        <w:right w:val="none" w:sz="0" w:space="0" w:color="auto"/>
      </w:divBdr>
    </w:div>
    <w:div w:id="1935358966">
      <w:bodyDiv w:val="1"/>
      <w:marLeft w:val="0"/>
      <w:marRight w:val="0"/>
      <w:marTop w:val="0"/>
      <w:marBottom w:val="0"/>
      <w:divBdr>
        <w:top w:val="none" w:sz="0" w:space="0" w:color="auto"/>
        <w:left w:val="none" w:sz="0" w:space="0" w:color="auto"/>
        <w:bottom w:val="none" w:sz="0" w:space="0" w:color="auto"/>
        <w:right w:val="none" w:sz="0" w:space="0" w:color="auto"/>
      </w:divBdr>
      <w:divsChild>
        <w:div w:id="15708448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43949941">
      <w:bodyDiv w:val="1"/>
      <w:marLeft w:val="0"/>
      <w:marRight w:val="0"/>
      <w:marTop w:val="0"/>
      <w:marBottom w:val="0"/>
      <w:divBdr>
        <w:top w:val="none" w:sz="0" w:space="0" w:color="auto"/>
        <w:left w:val="none" w:sz="0" w:space="0" w:color="auto"/>
        <w:bottom w:val="none" w:sz="0" w:space="0" w:color="auto"/>
        <w:right w:val="none" w:sz="0" w:space="0" w:color="auto"/>
      </w:divBdr>
    </w:div>
    <w:div w:id="1963800034">
      <w:bodyDiv w:val="1"/>
      <w:marLeft w:val="0"/>
      <w:marRight w:val="0"/>
      <w:marTop w:val="0"/>
      <w:marBottom w:val="0"/>
      <w:divBdr>
        <w:top w:val="none" w:sz="0" w:space="0" w:color="auto"/>
        <w:left w:val="none" w:sz="0" w:space="0" w:color="auto"/>
        <w:bottom w:val="none" w:sz="0" w:space="0" w:color="auto"/>
        <w:right w:val="none" w:sz="0" w:space="0" w:color="auto"/>
      </w:divBdr>
    </w:div>
    <w:div w:id="1981692993">
      <w:bodyDiv w:val="1"/>
      <w:marLeft w:val="0"/>
      <w:marRight w:val="0"/>
      <w:marTop w:val="0"/>
      <w:marBottom w:val="0"/>
      <w:divBdr>
        <w:top w:val="none" w:sz="0" w:space="0" w:color="auto"/>
        <w:left w:val="none" w:sz="0" w:space="0" w:color="auto"/>
        <w:bottom w:val="none" w:sz="0" w:space="0" w:color="auto"/>
        <w:right w:val="none" w:sz="0" w:space="0" w:color="auto"/>
      </w:divBdr>
    </w:div>
    <w:div w:id="2013019875">
      <w:bodyDiv w:val="1"/>
      <w:marLeft w:val="0"/>
      <w:marRight w:val="0"/>
      <w:marTop w:val="0"/>
      <w:marBottom w:val="0"/>
      <w:divBdr>
        <w:top w:val="none" w:sz="0" w:space="0" w:color="auto"/>
        <w:left w:val="none" w:sz="0" w:space="0" w:color="auto"/>
        <w:bottom w:val="none" w:sz="0" w:space="0" w:color="auto"/>
        <w:right w:val="none" w:sz="0" w:space="0" w:color="auto"/>
      </w:divBdr>
    </w:div>
    <w:div w:id="2027755057">
      <w:bodyDiv w:val="1"/>
      <w:marLeft w:val="0"/>
      <w:marRight w:val="0"/>
      <w:marTop w:val="0"/>
      <w:marBottom w:val="0"/>
      <w:divBdr>
        <w:top w:val="none" w:sz="0" w:space="0" w:color="auto"/>
        <w:left w:val="none" w:sz="0" w:space="0" w:color="auto"/>
        <w:bottom w:val="none" w:sz="0" w:space="0" w:color="auto"/>
        <w:right w:val="none" w:sz="0" w:space="0" w:color="auto"/>
      </w:divBdr>
    </w:div>
    <w:div w:id="2038963853">
      <w:bodyDiv w:val="1"/>
      <w:marLeft w:val="0"/>
      <w:marRight w:val="0"/>
      <w:marTop w:val="0"/>
      <w:marBottom w:val="0"/>
      <w:divBdr>
        <w:top w:val="none" w:sz="0" w:space="0" w:color="auto"/>
        <w:left w:val="none" w:sz="0" w:space="0" w:color="auto"/>
        <w:bottom w:val="none" w:sz="0" w:space="0" w:color="auto"/>
        <w:right w:val="none" w:sz="0" w:space="0" w:color="auto"/>
      </w:divBdr>
    </w:div>
    <w:div w:id="2050370954">
      <w:bodyDiv w:val="1"/>
      <w:marLeft w:val="0"/>
      <w:marRight w:val="0"/>
      <w:marTop w:val="0"/>
      <w:marBottom w:val="0"/>
      <w:divBdr>
        <w:top w:val="none" w:sz="0" w:space="0" w:color="auto"/>
        <w:left w:val="none" w:sz="0" w:space="0" w:color="auto"/>
        <w:bottom w:val="none" w:sz="0" w:space="0" w:color="auto"/>
        <w:right w:val="none" w:sz="0" w:space="0" w:color="auto"/>
      </w:divBdr>
      <w:divsChild>
        <w:div w:id="43275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56193141">
      <w:bodyDiv w:val="1"/>
      <w:marLeft w:val="0"/>
      <w:marRight w:val="0"/>
      <w:marTop w:val="0"/>
      <w:marBottom w:val="0"/>
      <w:divBdr>
        <w:top w:val="none" w:sz="0" w:space="0" w:color="auto"/>
        <w:left w:val="none" w:sz="0" w:space="0" w:color="auto"/>
        <w:bottom w:val="none" w:sz="0" w:space="0" w:color="auto"/>
        <w:right w:val="none" w:sz="0" w:space="0" w:color="auto"/>
      </w:divBdr>
    </w:div>
    <w:div w:id="2067684535">
      <w:bodyDiv w:val="1"/>
      <w:marLeft w:val="0"/>
      <w:marRight w:val="0"/>
      <w:marTop w:val="0"/>
      <w:marBottom w:val="0"/>
      <w:divBdr>
        <w:top w:val="none" w:sz="0" w:space="0" w:color="auto"/>
        <w:left w:val="none" w:sz="0" w:space="0" w:color="auto"/>
        <w:bottom w:val="none" w:sz="0" w:space="0" w:color="auto"/>
        <w:right w:val="none" w:sz="0" w:space="0" w:color="auto"/>
      </w:divBdr>
      <w:divsChild>
        <w:div w:id="17394783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02796759">
      <w:bodyDiv w:val="1"/>
      <w:marLeft w:val="0"/>
      <w:marRight w:val="0"/>
      <w:marTop w:val="0"/>
      <w:marBottom w:val="0"/>
      <w:divBdr>
        <w:top w:val="none" w:sz="0" w:space="0" w:color="auto"/>
        <w:left w:val="none" w:sz="0" w:space="0" w:color="auto"/>
        <w:bottom w:val="none" w:sz="0" w:space="0" w:color="auto"/>
        <w:right w:val="none" w:sz="0" w:space="0" w:color="auto"/>
      </w:divBdr>
    </w:div>
    <w:div w:id="2109739769">
      <w:bodyDiv w:val="1"/>
      <w:marLeft w:val="0"/>
      <w:marRight w:val="0"/>
      <w:marTop w:val="0"/>
      <w:marBottom w:val="0"/>
      <w:divBdr>
        <w:top w:val="none" w:sz="0" w:space="0" w:color="auto"/>
        <w:left w:val="none" w:sz="0" w:space="0" w:color="auto"/>
        <w:bottom w:val="none" w:sz="0" w:space="0" w:color="auto"/>
        <w:right w:val="none" w:sz="0" w:space="0" w:color="auto"/>
      </w:divBdr>
    </w:div>
    <w:div w:id="2111007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i.org/10.1057/s41300-024-00212-9"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oi.org/10.1080/10439463.2017.1323893" TargetMode="External"/><Relationship Id="rId17" Type="http://schemas.openxmlformats.org/officeDocument/2006/relationships/hyperlink" Target="https://www.who.int/publications/i/item/injuries-and-violence-the-facts-2019" TargetMode="External"/><Relationship Id="rId2" Type="http://schemas.openxmlformats.org/officeDocument/2006/relationships/customXml" Target="../customXml/item2.xml"/><Relationship Id="rId16" Type="http://schemas.openxmlformats.org/officeDocument/2006/relationships/hyperlink" Target="https://doi.org/10.1007/s12117-019-09368-5"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dc.gov/violence-prevention/about/about-the-public-health-approach-to-violence-prevention.html" TargetMode="External"/><Relationship Id="rId5" Type="http://schemas.openxmlformats.org/officeDocument/2006/relationships/numbering" Target="numbering.xml"/><Relationship Id="rId15" Type="http://schemas.openxmlformats.org/officeDocument/2006/relationships/hyperlink" Target="https://doi.org/10.1093/9780198899631.001.000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county-lines-program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2D1C8FC2022214087E59A2ACF8B4417" ma:contentTypeVersion="11" ma:contentTypeDescription="Create a new document." ma:contentTypeScope="" ma:versionID="cb78ff2ec4776c29d035ffa039892fb4">
  <xsd:schema xmlns:xsd="http://www.w3.org/2001/XMLSchema" xmlns:xs="http://www.w3.org/2001/XMLSchema" xmlns:p="http://schemas.microsoft.com/office/2006/metadata/properties" xmlns:ns2="cfef0c85-1881-4021-9744-e18c8470296f" xmlns:ns3="4901893b-8057-49d8-9621-34ceed1ef8bd" targetNamespace="http://schemas.microsoft.com/office/2006/metadata/properties" ma:root="true" ma:fieldsID="0b910caebd0450d6340c371f458222b2" ns2:_="" ns3:_="">
    <xsd:import namespace="cfef0c85-1881-4021-9744-e18c8470296f"/>
    <xsd:import namespace="4901893b-8057-49d8-9621-34ceed1ef8b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ef0c85-1881-4021-9744-e18c847029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3a19cb6-1b10-4512-a12b-f76e45842a2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01893b-8057-49d8-9621-34ceed1ef8bd"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2805d6aa-9bc0-4ee6-b9ad-20c8a254a101}" ma:internalName="TaxCatchAll" ma:showField="CatchAllData" ma:web="4901893b-8057-49d8-9621-34ceed1ef8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fef0c85-1881-4021-9744-e18c8470296f">
      <Terms xmlns="http://schemas.microsoft.com/office/infopath/2007/PartnerControls"/>
    </lcf76f155ced4ddcb4097134ff3c332f>
    <TaxCatchAll xmlns="4901893b-8057-49d8-9621-34ceed1ef8bd" xsi:nil="true"/>
  </documentManagement>
</p:properties>
</file>

<file path=customXml/itemProps1.xml><?xml version="1.0" encoding="utf-8"?>
<ds:datastoreItem xmlns:ds="http://schemas.openxmlformats.org/officeDocument/2006/customXml" ds:itemID="{1B53E155-0713-44CC-9A93-EAA6CED98DD9}">
  <ds:schemaRefs>
    <ds:schemaRef ds:uri="http://schemas.microsoft.com/sharepoint/v3/contenttype/forms"/>
  </ds:schemaRefs>
</ds:datastoreItem>
</file>

<file path=customXml/itemProps2.xml><?xml version="1.0" encoding="utf-8"?>
<ds:datastoreItem xmlns:ds="http://schemas.openxmlformats.org/officeDocument/2006/customXml" ds:itemID="{E84DBA74-7274-454A-A31C-C73D889F65A2}">
  <ds:schemaRefs>
    <ds:schemaRef ds:uri="http://schemas.openxmlformats.org/officeDocument/2006/bibliography"/>
  </ds:schemaRefs>
</ds:datastoreItem>
</file>

<file path=customXml/itemProps3.xml><?xml version="1.0" encoding="utf-8"?>
<ds:datastoreItem xmlns:ds="http://schemas.openxmlformats.org/officeDocument/2006/customXml" ds:itemID="{256C4717-6B0A-4200-B1D7-87FA49B71E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ef0c85-1881-4021-9744-e18c8470296f"/>
    <ds:schemaRef ds:uri="4901893b-8057-49d8-9621-34ceed1ef8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9E99D2C-64F8-432E-86DA-D92AF63A5834}">
  <ds:schemaRefs>
    <ds:schemaRef ds:uri="http://schemas.microsoft.com/office/2006/metadata/properties"/>
    <ds:schemaRef ds:uri="http://schemas.microsoft.com/office/infopath/2007/PartnerControls"/>
    <ds:schemaRef ds:uri="cfef0c85-1881-4021-9744-e18c8470296f"/>
    <ds:schemaRef ds:uri="4901893b-8057-49d8-9621-34ceed1ef8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9707</Words>
  <Characters>55330</Characters>
  <Application>Microsoft Office Word</Application>
  <DocSecurity>0</DocSecurity>
  <Lines>461</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Devany</dc:creator>
  <cp:keywords/>
  <dc:description/>
  <cp:lastModifiedBy>Chris Devany</cp:lastModifiedBy>
  <cp:revision>2</cp:revision>
  <cp:lastPrinted>2025-04-09T10:29:00Z</cp:lastPrinted>
  <dcterms:created xsi:type="dcterms:W3CDTF">2026-07-23T16:59:00Z</dcterms:created>
  <dcterms:modified xsi:type="dcterms:W3CDTF">2026-07-23T16:59:00Z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41d857cc-f628-4ae8-a0d6-d59898e92335</vt:lpwstr>
  </property>
  <property fmtid="{D5CDD505-2E9C-101B-9397-08002B2CF9AE}" pid="3" name="ContentTypeId">
    <vt:lpwstr>0x01010012D1C8FC2022214087E59A2ACF8B4417</vt:lpwstr>
  </property>
  <property fmtid="{D5CDD505-2E9C-101B-9397-08002B2CF9AE}" pid="4" name="MediaServiceImageTags">
    <vt:lpwstr/>
  </property>
</Properties>
</file>