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25F682" w14:textId="77777777" w:rsidR="000F01B7" w:rsidRPr="00A66803" w:rsidRDefault="000F01B7" w:rsidP="000F01B7">
      <w:pPr>
        <w:spacing w:line="480" w:lineRule="auto"/>
        <w:jc w:val="center"/>
        <w:rPr>
          <w:rFonts w:ascii="Calibri" w:hAnsi="Calibri" w:cs="Calibri"/>
        </w:rPr>
      </w:pPr>
      <w:r w:rsidRPr="00A66803">
        <w:rPr>
          <w:rFonts w:ascii="Calibri" w:hAnsi="Calibri" w:cs="Calibri"/>
          <w:b/>
          <w:bCs/>
        </w:rPr>
        <w:t>Delusions: What Cognitive Attitude Are They?</w:t>
      </w:r>
    </w:p>
    <w:p w14:paraId="126EC25B" w14:textId="77777777" w:rsidR="000F01B7" w:rsidRPr="00A66803" w:rsidRDefault="000F01B7" w:rsidP="000F01B7">
      <w:pPr>
        <w:spacing w:line="480" w:lineRule="auto"/>
        <w:jc w:val="both"/>
        <w:rPr>
          <w:rFonts w:ascii="Calibri" w:hAnsi="Calibri" w:cs="Calibri"/>
        </w:rPr>
      </w:pPr>
    </w:p>
    <w:p w14:paraId="3E22CA8A" w14:textId="77777777" w:rsidR="000F01B7" w:rsidRPr="00A66803" w:rsidRDefault="000F01B7" w:rsidP="000F01B7">
      <w:pPr>
        <w:spacing w:line="480" w:lineRule="auto"/>
        <w:jc w:val="center"/>
        <w:rPr>
          <w:rFonts w:ascii="Calibri" w:hAnsi="Calibri" w:cs="Calibri"/>
        </w:rPr>
      </w:pPr>
      <w:r w:rsidRPr="00A66803">
        <w:rPr>
          <w:rFonts w:ascii="Calibri" w:hAnsi="Calibri" w:cs="Calibri"/>
        </w:rPr>
        <w:t>Paul Noordhof</w:t>
      </w:r>
    </w:p>
    <w:p w14:paraId="57C0F3C9" w14:textId="77777777" w:rsidR="000F01B7" w:rsidRPr="00A66803" w:rsidRDefault="000F01B7" w:rsidP="000F01B7">
      <w:pPr>
        <w:spacing w:line="480" w:lineRule="auto"/>
        <w:jc w:val="center"/>
        <w:rPr>
          <w:rFonts w:ascii="Calibri" w:hAnsi="Calibri" w:cs="Calibri"/>
        </w:rPr>
      </w:pPr>
    </w:p>
    <w:p w14:paraId="20555630" w14:textId="77777777" w:rsidR="000F01B7" w:rsidRPr="00A66803" w:rsidRDefault="000F01B7" w:rsidP="000F01B7">
      <w:pPr>
        <w:spacing w:line="480" w:lineRule="auto"/>
        <w:rPr>
          <w:rFonts w:ascii="Calibri" w:hAnsi="Calibri" w:cs="Calibri"/>
          <w:b/>
          <w:bCs/>
        </w:rPr>
      </w:pPr>
      <w:r w:rsidRPr="00A66803">
        <w:rPr>
          <w:rFonts w:ascii="Calibri" w:hAnsi="Calibri" w:cs="Calibri"/>
          <w:b/>
          <w:bCs/>
        </w:rPr>
        <w:t>Abstract</w:t>
      </w:r>
    </w:p>
    <w:p w14:paraId="04D8460F" w14:textId="77777777" w:rsidR="000F01B7" w:rsidRPr="00A66803" w:rsidRDefault="000F01B7" w:rsidP="000F01B7">
      <w:pPr>
        <w:spacing w:line="480" w:lineRule="auto"/>
        <w:rPr>
          <w:rFonts w:ascii="Calibri" w:hAnsi="Calibri" w:cs="Calibri"/>
        </w:rPr>
      </w:pPr>
    </w:p>
    <w:p w14:paraId="78046006" w14:textId="77777777" w:rsidR="000F01B7" w:rsidRPr="00A66803" w:rsidRDefault="000F01B7" w:rsidP="000F01B7">
      <w:pPr>
        <w:spacing w:line="480" w:lineRule="auto"/>
        <w:jc w:val="both"/>
        <w:rPr>
          <w:rFonts w:ascii="Calibri" w:hAnsi="Calibri" w:cs="Calibri"/>
        </w:rPr>
      </w:pPr>
      <w:r w:rsidRPr="00A66803">
        <w:rPr>
          <w:rFonts w:ascii="Calibri" w:hAnsi="Calibri" w:cs="Calibri"/>
        </w:rPr>
        <w:t xml:space="preserve">This entry focuses on the debate over whether subjects with delusions should be thought of as believing what they seem to assert (for example that their loved one has been replaced by an imposter), or whether they have some other kind of cognitive state, like an imagining. The debate has arisen partly </w:t>
      </w:r>
      <w:proofErr w:type="gramStart"/>
      <w:r w:rsidRPr="00A66803">
        <w:rPr>
          <w:rFonts w:ascii="Calibri" w:hAnsi="Calibri" w:cs="Calibri"/>
        </w:rPr>
        <w:t>as a result of</w:t>
      </w:r>
      <w:proofErr w:type="gramEnd"/>
      <w:r w:rsidRPr="00A66803">
        <w:rPr>
          <w:rFonts w:ascii="Calibri" w:hAnsi="Calibri" w:cs="Calibri"/>
        </w:rPr>
        <w:t xml:space="preserve"> differences in emphasis concerning empirical facts but primarily because of different approaches to belief and what is required to differentiate belief from other cognitive attitudes. In section one, I illustrate the somewhat confusing observations concerning subjects with delusion and move on to discuss the nature of cognitive states and how beliefs should be characterised within the proposed framework in section two. In the third section, I review the three most widely discussed approaches to the characterisation of subjects with delusions, two of which take them to believe what they seem to assert. I argue that until the attribution of a non-doxastic cognitive state is properly predictive and explanatory, as opposed to being simply descriptive of the phenomena, it is better to develop further our understanding of the conditions in which beliefs may fail to display their expected cognitive role. </w:t>
      </w:r>
    </w:p>
    <w:p w14:paraId="5AE4B752" w14:textId="77777777" w:rsidR="000F01B7" w:rsidRPr="00A66803" w:rsidRDefault="000F01B7" w:rsidP="000F01B7">
      <w:pPr>
        <w:spacing w:line="480" w:lineRule="auto"/>
        <w:rPr>
          <w:rFonts w:ascii="Calibri" w:hAnsi="Calibri" w:cs="Calibri"/>
        </w:rPr>
      </w:pPr>
    </w:p>
    <w:p w14:paraId="1359A945" w14:textId="77777777" w:rsidR="000F01B7" w:rsidRDefault="000F01B7" w:rsidP="000F01B7">
      <w:pPr>
        <w:spacing w:line="480" w:lineRule="auto"/>
        <w:rPr>
          <w:rFonts w:ascii="Calibri" w:hAnsi="Calibri" w:cs="Calibri"/>
        </w:rPr>
      </w:pPr>
    </w:p>
    <w:p w14:paraId="71BF85CB" w14:textId="77777777" w:rsidR="000F01B7" w:rsidRDefault="000F01B7" w:rsidP="000F01B7">
      <w:pPr>
        <w:spacing w:line="480" w:lineRule="auto"/>
        <w:rPr>
          <w:rFonts w:ascii="Calibri" w:hAnsi="Calibri" w:cs="Calibri"/>
        </w:rPr>
      </w:pPr>
    </w:p>
    <w:p w14:paraId="5AA9E5B3" w14:textId="11A4EEAA" w:rsidR="000F01B7" w:rsidRPr="00A66803" w:rsidRDefault="000F01B7" w:rsidP="008B34CE">
      <w:pPr>
        <w:spacing w:line="480" w:lineRule="auto"/>
        <w:jc w:val="both"/>
        <w:rPr>
          <w:rFonts w:ascii="Calibri" w:hAnsi="Calibri" w:cs="Calibri"/>
        </w:rPr>
      </w:pPr>
      <w:r w:rsidRPr="00A66803">
        <w:rPr>
          <w:rFonts w:ascii="Calibri" w:hAnsi="Calibri" w:cs="Calibri"/>
        </w:rPr>
        <w:lastRenderedPageBreak/>
        <w:t xml:space="preserve">A man, returned to his family after an accident and hospital stay, claims that he is now living with a different family virtually identical to his original family. He does not display suspiciousness or anger towards what he takes to be this imposter family or distress over his original wife’s seeming desertion of him. His claim, which he takes to express his belief, thus fails to be integrated with his emotions in the way that we might expect it to be. He recognises that his claim seems incredible and difficulty to justify </w:t>
      </w:r>
      <w:r w:rsidRPr="00A66803">
        <w:rPr>
          <w:rFonts w:ascii="Calibri" w:hAnsi="Calibri" w:cs="Calibri"/>
        </w:rPr>
        <w:softHyphen/>
        <w:t xml:space="preserve">– so he has the capacity to evaluate the belief in question – and yet he persists in asserting the content (Alexander </w:t>
      </w:r>
      <w:r>
        <w:rPr>
          <w:rFonts w:ascii="Calibri" w:hAnsi="Calibri" w:cs="Calibri"/>
        </w:rPr>
        <w:t>et al.</w:t>
      </w:r>
      <w:r w:rsidRPr="00A66803">
        <w:rPr>
          <w:rFonts w:ascii="Calibri" w:hAnsi="Calibri" w:cs="Calibri"/>
        </w:rPr>
        <w:t>, 1979: 334-335). The question on which this entry is focused is whether we should take the state expressed by such claims to be a belief or some other cognitive state?</w:t>
      </w:r>
    </w:p>
    <w:p w14:paraId="42DDD806" w14:textId="77777777" w:rsidR="000F01B7" w:rsidRPr="00A66803" w:rsidRDefault="000F01B7" w:rsidP="008B34CE">
      <w:pPr>
        <w:spacing w:line="480" w:lineRule="auto"/>
        <w:jc w:val="both"/>
        <w:rPr>
          <w:rFonts w:ascii="Calibri" w:hAnsi="Calibri" w:cs="Calibri"/>
        </w:rPr>
      </w:pPr>
      <w:r w:rsidRPr="00A66803">
        <w:rPr>
          <w:rFonts w:ascii="Calibri" w:hAnsi="Calibri" w:cs="Calibri"/>
        </w:rPr>
        <w:tab/>
        <w:t xml:space="preserve">Delusions involve delusion-characterising states that are an essential part of their character. For example, in a case of Capgras delusion, such as the one described above, the relevant delusion-characterising state has the content that a loved one has been replaced by an imposter, or some broadly similar or more specific content. Standard characterisations of delusions take their delusion-characterising states to be beliefs rather than other cognitive attitudes. For example, DSM-5-TR says they are ‘fixed beliefs that are not amenable to change in the light of conflicting evidence’ (87). </w:t>
      </w:r>
      <w:proofErr w:type="spellStart"/>
      <w:r w:rsidRPr="00A66803">
        <w:rPr>
          <w:rFonts w:ascii="Calibri" w:hAnsi="Calibri" w:cs="Calibri"/>
          <w:i/>
          <w:iCs/>
        </w:rPr>
        <w:t>Doxasticists</w:t>
      </w:r>
      <w:proofErr w:type="spellEnd"/>
      <w:r w:rsidRPr="00A66803">
        <w:rPr>
          <w:rFonts w:ascii="Calibri" w:hAnsi="Calibri" w:cs="Calibri"/>
        </w:rPr>
        <w:t xml:space="preserve"> are broadly those who accept that delusion-characterising states are beliefs. Others view the orthodoxy as mistaken. They don’t deny that there may be cases in which the delusion-characterising state is a belief, but they hold that there are other cases in which it is less clear that subjects with delusions </w:t>
      </w:r>
      <w:r w:rsidRPr="00A66803">
        <w:rPr>
          <w:rFonts w:ascii="Calibri" w:hAnsi="Calibri" w:cs="Calibri"/>
          <w:i/>
          <w:iCs/>
        </w:rPr>
        <w:t>believe</w:t>
      </w:r>
      <w:r w:rsidRPr="00A66803">
        <w:rPr>
          <w:rFonts w:ascii="Calibri" w:hAnsi="Calibri" w:cs="Calibri"/>
        </w:rPr>
        <w:t xml:space="preserve"> the delusion-characterising content (e.g. Currie, 2000: 177-8, suggests they are imaginings).  Call </w:t>
      </w:r>
      <w:proofErr w:type="spellStart"/>
      <w:r w:rsidRPr="00A66803">
        <w:rPr>
          <w:rFonts w:ascii="Calibri" w:hAnsi="Calibri" w:cs="Calibri"/>
        </w:rPr>
        <w:t>propounders</w:t>
      </w:r>
      <w:proofErr w:type="spellEnd"/>
      <w:r w:rsidRPr="00A66803">
        <w:rPr>
          <w:rFonts w:ascii="Calibri" w:hAnsi="Calibri" w:cs="Calibri"/>
        </w:rPr>
        <w:t xml:space="preserve"> of such views </w:t>
      </w:r>
      <w:proofErr w:type="gramStart"/>
      <w:r w:rsidRPr="00A66803">
        <w:rPr>
          <w:rFonts w:ascii="Calibri" w:hAnsi="Calibri" w:cs="Calibri"/>
          <w:i/>
          <w:iCs/>
        </w:rPr>
        <w:t>Non-</w:t>
      </w:r>
      <w:proofErr w:type="spellStart"/>
      <w:r w:rsidRPr="00A66803">
        <w:rPr>
          <w:rFonts w:ascii="Calibri" w:hAnsi="Calibri" w:cs="Calibri"/>
          <w:i/>
          <w:iCs/>
        </w:rPr>
        <w:t>doxasticists</w:t>
      </w:r>
      <w:proofErr w:type="spellEnd"/>
      <w:proofErr w:type="gramEnd"/>
      <w:r w:rsidRPr="00A66803">
        <w:rPr>
          <w:rFonts w:ascii="Calibri" w:hAnsi="Calibri" w:cs="Calibri"/>
        </w:rPr>
        <w:t>. My focus will be on whether central cases of delusion are better understood as non-</w:t>
      </w:r>
      <w:proofErr w:type="spellStart"/>
      <w:r w:rsidRPr="00A66803">
        <w:rPr>
          <w:rFonts w:ascii="Calibri" w:hAnsi="Calibri" w:cs="Calibri"/>
        </w:rPr>
        <w:t>doxasticists</w:t>
      </w:r>
      <w:proofErr w:type="spellEnd"/>
      <w:r w:rsidRPr="00A66803">
        <w:rPr>
          <w:rFonts w:ascii="Calibri" w:hAnsi="Calibri" w:cs="Calibri"/>
        </w:rPr>
        <w:t xml:space="preserve"> propose. </w:t>
      </w:r>
    </w:p>
    <w:p w14:paraId="53B52968"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The case against belief being the delusion-characterising state depends partly on a difference in emphasis concerning empirical facts but primarily on different approaches to </w:t>
      </w:r>
      <w:r w:rsidRPr="00A66803">
        <w:rPr>
          <w:rFonts w:ascii="Calibri" w:hAnsi="Calibri" w:cs="Calibri"/>
        </w:rPr>
        <w:lastRenderedPageBreak/>
        <w:t>belief and what is required to differentiate beliefs from other cognitive attitudes. I begin by illustrating the somewhat confusing observations concerning subjects from which differences of emphasis can arise. I move on to discuss the nature of cognitive attitudes and how beliefs should be distinguished from other cognitive attitudes.  I review three of the most popular approaches to delusion, two are doxastic, one is non-doxastic. My conclusion is that the most plausible way of distinguishing beliefs from other cognitive attitudes is compatible with beliefs being the central delusion-characterising states and their attribution is currently susceptible to more successful explanatory development than the attribution of non-doxastic cognitive attitudes.</w:t>
      </w:r>
    </w:p>
    <w:p w14:paraId="680262B4" w14:textId="77777777" w:rsidR="000F01B7" w:rsidRPr="00A66803" w:rsidRDefault="000F01B7" w:rsidP="000F01B7">
      <w:pPr>
        <w:spacing w:line="480" w:lineRule="auto"/>
        <w:jc w:val="both"/>
        <w:rPr>
          <w:rFonts w:ascii="Calibri" w:hAnsi="Calibri" w:cs="Calibri"/>
        </w:rPr>
      </w:pPr>
    </w:p>
    <w:p w14:paraId="3E91911F" w14:textId="77777777" w:rsidR="000F01B7" w:rsidRPr="00A66803" w:rsidRDefault="000F01B7" w:rsidP="000F01B7">
      <w:pPr>
        <w:spacing w:line="480" w:lineRule="auto"/>
        <w:jc w:val="both"/>
        <w:rPr>
          <w:rFonts w:ascii="Calibri" w:hAnsi="Calibri" w:cs="Calibri"/>
        </w:rPr>
      </w:pPr>
      <w:r w:rsidRPr="00A66803">
        <w:rPr>
          <w:rFonts w:ascii="Calibri" w:hAnsi="Calibri" w:cs="Calibri"/>
          <w:b/>
          <w:bCs/>
        </w:rPr>
        <w:t>1. The Empirical Observations</w:t>
      </w:r>
    </w:p>
    <w:p w14:paraId="71792428" w14:textId="77777777" w:rsidR="000F01B7" w:rsidRPr="00A66803" w:rsidRDefault="000F01B7" w:rsidP="000F01B7">
      <w:pPr>
        <w:spacing w:line="480" w:lineRule="auto"/>
        <w:jc w:val="both"/>
        <w:rPr>
          <w:rFonts w:ascii="Calibri" w:hAnsi="Calibri" w:cs="Calibri"/>
        </w:rPr>
      </w:pPr>
      <w:r w:rsidRPr="00A66803">
        <w:rPr>
          <w:rFonts w:ascii="Calibri" w:hAnsi="Calibri" w:cs="Calibri"/>
        </w:rPr>
        <w:t xml:space="preserve">The example of Capgras delusion with which I began this chapter is illustrative of two features of many delusion-characterising states which are, plausibly, at the root of the debate. First, although delusion-characterising states may have some integration with the </w:t>
      </w:r>
      <w:proofErr w:type="gramStart"/>
      <w:r w:rsidRPr="00A66803">
        <w:rPr>
          <w:rFonts w:ascii="Calibri" w:hAnsi="Calibri" w:cs="Calibri"/>
        </w:rPr>
        <w:t>subjects</w:t>
      </w:r>
      <w:proofErr w:type="gramEnd"/>
      <w:r w:rsidRPr="00A66803">
        <w:rPr>
          <w:rFonts w:ascii="Calibri" w:hAnsi="Calibri" w:cs="Calibri"/>
        </w:rPr>
        <w:t xml:space="preserve"> emotional states, and resulting behaviour, they </w:t>
      </w:r>
      <w:r w:rsidRPr="00A66803">
        <w:rPr>
          <w:rFonts w:ascii="Calibri" w:hAnsi="Calibri" w:cs="Calibri"/>
          <w:b/>
          <w:bCs/>
          <w:i/>
          <w:iCs/>
        </w:rPr>
        <w:t>lack the emotional integration</w:t>
      </w:r>
      <w:r w:rsidRPr="00A66803">
        <w:rPr>
          <w:rFonts w:ascii="Calibri" w:hAnsi="Calibri" w:cs="Calibri"/>
        </w:rPr>
        <w:t xml:space="preserve"> that one would expect of belief. Second, the subject seems to evaluate the content of the delusion-characterising state in a way typical of belief when it comes to recognition of conflicts and implausibility. Let’s call the second feature </w:t>
      </w:r>
      <w:r w:rsidRPr="00A66803">
        <w:rPr>
          <w:rFonts w:ascii="Calibri" w:hAnsi="Calibri" w:cs="Calibri"/>
          <w:b/>
          <w:bCs/>
          <w:i/>
          <w:iCs/>
        </w:rPr>
        <w:t>belief-typical evaluation</w:t>
      </w:r>
      <w:r w:rsidRPr="00A66803">
        <w:rPr>
          <w:rFonts w:ascii="Calibri" w:hAnsi="Calibri" w:cs="Calibri"/>
        </w:rPr>
        <w:t xml:space="preserve">. Commitment to </w:t>
      </w:r>
      <w:proofErr w:type="spellStart"/>
      <w:r w:rsidRPr="00A66803">
        <w:rPr>
          <w:rFonts w:ascii="Calibri" w:hAnsi="Calibri" w:cs="Calibri"/>
        </w:rPr>
        <w:t>doxasticism</w:t>
      </w:r>
      <w:proofErr w:type="spellEnd"/>
      <w:r w:rsidRPr="00A66803">
        <w:rPr>
          <w:rFonts w:ascii="Calibri" w:hAnsi="Calibri" w:cs="Calibri"/>
        </w:rPr>
        <w:t xml:space="preserve"> or non-</w:t>
      </w:r>
      <w:proofErr w:type="spellStart"/>
      <w:r w:rsidRPr="00A66803">
        <w:rPr>
          <w:rFonts w:ascii="Calibri" w:hAnsi="Calibri" w:cs="Calibri"/>
        </w:rPr>
        <w:t>doxasticism</w:t>
      </w:r>
      <w:proofErr w:type="spellEnd"/>
      <w:r w:rsidRPr="00A66803">
        <w:rPr>
          <w:rFonts w:ascii="Calibri" w:hAnsi="Calibri" w:cs="Calibri"/>
        </w:rPr>
        <w:t xml:space="preserve"> to some extent depends upon the emphasis placed upon empirical observations relating to these features: the first feature makes us question whether subjects with delusions believe what they assert</w:t>
      </w:r>
      <w:r>
        <w:rPr>
          <w:rFonts w:ascii="Calibri" w:hAnsi="Calibri" w:cs="Calibri"/>
        </w:rPr>
        <w:t>;</w:t>
      </w:r>
      <w:r w:rsidRPr="00A66803">
        <w:rPr>
          <w:rFonts w:ascii="Calibri" w:hAnsi="Calibri" w:cs="Calibri"/>
        </w:rPr>
        <w:t xml:space="preserve"> the second makes it more plausible that they do. The question becomes the extent to which belief-typical evaluation influences the formation of beliefs in the way that we would expect. </w:t>
      </w:r>
    </w:p>
    <w:p w14:paraId="4F6D00D3"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lastRenderedPageBreak/>
        <w:t xml:space="preserve">Delusion-characterising states are attributed in cases of </w:t>
      </w:r>
      <w:r w:rsidRPr="00A66803">
        <w:rPr>
          <w:rFonts w:ascii="Calibri" w:hAnsi="Calibri" w:cs="Calibri"/>
          <w:i/>
          <w:iCs/>
        </w:rPr>
        <w:t xml:space="preserve">monothematic </w:t>
      </w:r>
      <w:r w:rsidRPr="00A66803">
        <w:rPr>
          <w:rFonts w:ascii="Calibri" w:hAnsi="Calibri" w:cs="Calibri"/>
        </w:rPr>
        <w:t xml:space="preserve">and </w:t>
      </w:r>
      <w:r w:rsidRPr="00A66803">
        <w:rPr>
          <w:rFonts w:ascii="Calibri" w:hAnsi="Calibri" w:cs="Calibri"/>
          <w:i/>
          <w:iCs/>
        </w:rPr>
        <w:t>polythematic</w:t>
      </w:r>
      <w:r w:rsidRPr="00A66803">
        <w:rPr>
          <w:rFonts w:ascii="Calibri" w:hAnsi="Calibri" w:cs="Calibri"/>
        </w:rPr>
        <w:t xml:space="preserve"> delusion. Monothematic delusions are organised around a single theme, polythematic delusions involve many different themes which, themselves, can be organised into a highly unusual belief system. Generally, the delusions of those with schizophrenia take on a polythematic character, although they might fall under a highly general theme like being persecuted. Some monothematic delusions are attributed as part of a more extensive mental diagnosis such as schizophrenia but often they arise as a result of brain injury, the consequences of substance abuse, the aging process in the brain or, indeed, when there is no other obvious diagnosis to offer, for example, in cases of primary erotomania in which a subject with no apparent brain abnormality becomes convinced that they are in a relationship with a high-status individual who may not even know them (Anderson </w:t>
      </w:r>
      <w:r>
        <w:rPr>
          <w:rFonts w:ascii="Calibri" w:hAnsi="Calibri" w:cs="Calibri"/>
        </w:rPr>
        <w:t>et al.</w:t>
      </w:r>
      <w:r w:rsidRPr="00A66803">
        <w:rPr>
          <w:rFonts w:ascii="Calibri" w:hAnsi="Calibri" w:cs="Calibri"/>
        </w:rPr>
        <w:t xml:space="preserve">, 1998: 333; Coltheart 2013: 107, 109; Jordan et </w:t>
      </w:r>
      <w:r>
        <w:rPr>
          <w:rFonts w:ascii="Calibri" w:hAnsi="Calibri" w:cs="Calibri"/>
        </w:rPr>
        <w:t>al.,</w:t>
      </w:r>
      <w:r w:rsidRPr="00A66803">
        <w:rPr>
          <w:rFonts w:ascii="Calibri" w:hAnsi="Calibri" w:cs="Calibri"/>
        </w:rPr>
        <w:t xml:space="preserve"> 2006: 790-1). </w:t>
      </w:r>
    </w:p>
    <w:p w14:paraId="23C586E1"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Many of those tempted by the non-</w:t>
      </w:r>
      <w:proofErr w:type="spellStart"/>
      <w:r w:rsidRPr="00A66803">
        <w:rPr>
          <w:rFonts w:ascii="Calibri" w:hAnsi="Calibri" w:cs="Calibri"/>
        </w:rPr>
        <w:t>doxasticist</w:t>
      </w:r>
      <w:proofErr w:type="spellEnd"/>
      <w:r w:rsidRPr="00A66803">
        <w:rPr>
          <w:rFonts w:ascii="Calibri" w:hAnsi="Calibri" w:cs="Calibri"/>
        </w:rPr>
        <w:t xml:space="preserve"> position point to subjects with schizophrenia displaying failures of emotional integration. Gregory Currie and Ian Ravenscroft cite the case of a woman who lived peacefully in a Swiss town with her mother while expressing paranoid ideas about her sister (Currie, 2000: 175; Currie </w:t>
      </w:r>
      <w:r>
        <w:rPr>
          <w:rFonts w:ascii="Calibri" w:hAnsi="Calibri" w:cs="Calibri"/>
        </w:rPr>
        <w:t>&amp;</w:t>
      </w:r>
      <w:r w:rsidRPr="00A66803">
        <w:rPr>
          <w:rFonts w:ascii="Calibri" w:hAnsi="Calibri" w:cs="Calibri"/>
        </w:rPr>
        <w:t xml:space="preserve"> Ravenscroft, 2002: 177, drawn from Bovet </w:t>
      </w:r>
      <w:r>
        <w:rPr>
          <w:rFonts w:ascii="Calibri" w:hAnsi="Calibri" w:cs="Calibri"/>
        </w:rPr>
        <w:t>&amp;</w:t>
      </w:r>
      <w:r w:rsidRPr="00A66803">
        <w:rPr>
          <w:rFonts w:ascii="Calibri" w:hAnsi="Calibri" w:cs="Calibri"/>
        </w:rPr>
        <w:t xml:space="preserve"> Parnas,1993: 588). A schizophrenic subject’s overall mental state is complex, involving disturbances of agency and, as it is sometimes put, a sense of waiting rather than projecting forward into possible futures and anticipating themselves. What the ‘sense of waiting’ means is that questions arise for schizophrenic subjects about how to behave </w:t>
      </w:r>
      <w:proofErr w:type="gramStart"/>
      <w:r w:rsidRPr="00A66803">
        <w:rPr>
          <w:rFonts w:ascii="Calibri" w:hAnsi="Calibri" w:cs="Calibri"/>
        </w:rPr>
        <w:t>with regard to</w:t>
      </w:r>
      <w:proofErr w:type="gramEnd"/>
      <w:r w:rsidRPr="00A66803">
        <w:rPr>
          <w:rFonts w:ascii="Calibri" w:hAnsi="Calibri" w:cs="Calibri"/>
        </w:rPr>
        <w:t xml:space="preserve"> many everyday situations, and they are struck by, for example, the absurdity of actions like washing themselves and getting out of bed (Bovet </w:t>
      </w:r>
      <w:r>
        <w:rPr>
          <w:rFonts w:ascii="Calibri" w:hAnsi="Calibri" w:cs="Calibri"/>
        </w:rPr>
        <w:t>&amp;</w:t>
      </w:r>
      <w:r w:rsidRPr="00A66803">
        <w:rPr>
          <w:rFonts w:ascii="Calibri" w:hAnsi="Calibri" w:cs="Calibri"/>
        </w:rPr>
        <w:t xml:space="preserve"> Parnas,1993: 584-5). It is unclear how we would expect beliefs to typically manifest themselves in that context, and so their failure to manifest themselves in ways we would expect in other contexts </w:t>
      </w:r>
      <w:r w:rsidRPr="00A66803">
        <w:rPr>
          <w:rFonts w:ascii="Calibri" w:hAnsi="Calibri" w:cs="Calibri"/>
        </w:rPr>
        <w:lastRenderedPageBreak/>
        <w:t xml:space="preserve">doesn’t vitiate the attribution of belief. In the terminology later discussed, schizophrenic contexts are a plausible excusing condition. </w:t>
      </w:r>
    </w:p>
    <w:p w14:paraId="6BD4329D"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Although some non-</w:t>
      </w:r>
      <w:proofErr w:type="spellStart"/>
      <w:r w:rsidRPr="00A66803">
        <w:rPr>
          <w:rFonts w:ascii="Calibri" w:hAnsi="Calibri" w:cs="Calibri"/>
        </w:rPr>
        <w:t>doxasticists</w:t>
      </w:r>
      <w:proofErr w:type="spellEnd"/>
      <w:r w:rsidRPr="00A66803">
        <w:rPr>
          <w:rFonts w:ascii="Calibri" w:hAnsi="Calibri" w:cs="Calibri"/>
        </w:rPr>
        <w:t xml:space="preserve"> were initially inspired by cases of schizophrenia, they extend their approach to monothematic cases which raise the same issues about the legitimacy of attributing beliefs more sharply (e.g. Currie, 2000: 177; Currie </w:t>
      </w:r>
      <w:r>
        <w:rPr>
          <w:rFonts w:ascii="Calibri" w:hAnsi="Calibri" w:cs="Calibri"/>
        </w:rPr>
        <w:t>&amp;</w:t>
      </w:r>
      <w:r w:rsidRPr="00A66803">
        <w:rPr>
          <w:rFonts w:ascii="Calibri" w:hAnsi="Calibri" w:cs="Calibri"/>
        </w:rPr>
        <w:t xml:space="preserve"> </w:t>
      </w:r>
      <w:proofErr w:type="spellStart"/>
      <w:r w:rsidRPr="00A66803">
        <w:rPr>
          <w:rFonts w:ascii="Calibri" w:hAnsi="Calibri" w:cs="Calibri"/>
        </w:rPr>
        <w:t>Jureidini</w:t>
      </w:r>
      <w:proofErr w:type="spellEnd"/>
      <w:r w:rsidRPr="00A66803">
        <w:rPr>
          <w:rFonts w:ascii="Calibri" w:hAnsi="Calibri" w:cs="Calibri"/>
        </w:rPr>
        <w:t xml:space="preserve">, 2001: 160). I will focus primarily on monothematic delusions and, where possible, on those independent of schizophrenia. Unlike the case of polythematic delusion, the delusion-characterising states in monothematic delusions also lack integration into the subject’s belief system, which otherwise displays no greater irrationality than that of subjects without delusion-characterising states, exacerbating the concern over whether these relatively isolated states should be taken to be beliefs (Stone </w:t>
      </w:r>
      <w:r>
        <w:rPr>
          <w:rFonts w:ascii="Calibri" w:hAnsi="Calibri" w:cs="Calibri"/>
        </w:rPr>
        <w:t>&amp;</w:t>
      </w:r>
      <w:r w:rsidRPr="00A66803">
        <w:rPr>
          <w:rFonts w:ascii="Calibri" w:hAnsi="Calibri" w:cs="Calibri"/>
        </w:rPr>
        <w:t xml:space="preserve"> Young, 1997: 347-8). </w:t>
      </w:r>
    </w:p>
    <w:p w14:paraId="46A698D0"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Different cases of monothematic delusion vary in emotional integration of the delusion-characterising states. In a case of mirrored self-misidentification, for example, an 87-year-old man, FE, denied that his reflection in a mirror was himself and instead took it to be a man following him around. FE was not generally distressed by this, although he did try to communicate with the man, and only displayed distress when he saw the man, by reflection, apparently in bed with his wife. It did not seem as if he were generally threatened by the presence (Breen </w:t>
      </w:r>
      <w:r>
        <w:rPr>
          <w:rFonts w:ascii="Calibri" w:hAnsi="Calibri" w:cs="Calibri"/>
        </w:rPr>
        <w:t>et al.</w:t>
      </w:r>
      <w:r w:rsidRPr="00A66803">
        <w:rPr>
          <w:rFonts w:ascii="Calibri" w:hAnsi="Calibri" w:cs="Calibri"/>
        </w:rPr>
        <w:t>, 2000: 82-5). One might expect the opposite if a subject believed that they were facing the continued presence of a stranger in their lives</w:t>
      </w:r>
      <w:r>
        <w:rPr>
          <w:rFonts w:ascii="Calibri" w:hAnsi="Calibri" w:cs="Calibri"/>
        </w:rPr>
        <w:t>, just as</w:t>
      </w:r>
      <w:r w:rsidRPr="00A66803">
        <w:rPr>
          <w:rFonts w:ascii="Calibri" w:hAnsi="Calibri" w:cs="Calibri"/>
        </w:rPr>
        <w:t xml:space="preserve"> we might expect, in the original case of Capgras described, that the man </w:t>
      </w:r>
      <w:r>
        <w:rPr>
          <w:rFonts w:ascii="Calibri" w:hAnsi="Calibri" w:cs="Calibri"/>
        </w:rPr>
        <w:t xml:space="preserve">in that case </w:t>
      </w:r>
      <w:r w:rsidRPr="00A66803">
        <w:rPr>
          <w:rFonts w:ascii="Calibri" w:hAnsi="Calibri" w:cs="Calibri"/>
        </w:rPr>
        <w:t xml:space="preserve">would be more concerned by the implications of an imposter family.  </w:t>
      </w:r>
    </w:p>
    <w:p w14:paraId="00412D12"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In other cases of delusion</w:t>
      </w:r>
      <w:r>
        <w:rPr>
          <w:rFonts w:ascii="Calibri" w:hAnsi="Calibri" w:cs="Calibri"/>
        </w:rPr>
        <w:t>,</w:t>
      </w:r>
      <w:r w:rsidRPr="00A66803">
        <w:rPr>
          <w:rFonts w:ascii="Calibri" w:hAnsi="Calibri" w:cs="Calibri"/>
        </w:rPr>
        <w:t xml:space="preserve"> emotional integration appears complete. GH, a subject with </w:t>
      </w:r>
      <w:proofErr w:type="spellStart"/>
      <w:r w:rsidRPr="00A66803">
        <w:rPr>
          <w:rFonts w:ascii="Calibri" w:hAnsi="Calibri" w:cs="Calibri"/>
        </w:rPr>
        <w:t>somatoparaphrenia</w:t>
      </w:r>
      <w:proofErr w:type="spellEnd"/>
      <w:r w:rsidRPr="00A66803">
        <w:rPr>
          <w:rFonts w:ascii="Calibri" w:hAnsi="Calibri" w:cs="Calibri"/>
        </w:rPr>
        <w:t xml:space="preserve"> </w:t>
      </w:r>
      <w:proofErr w:type="gramStart"/>
      <w:r w:rsidRPr="00A66803">
        <w:rPr>
          <w:rFonts w:ascii="Calibri" w:hAnsi="Calibri" w:cs="Calibri"/>
        </w:rPr>
        <w:t>as a result of</w:t>
      </w:r>
      <w:proofErr w:type="gramEnd"/>
      <w:r w:rsidRPr="00A66803">
        <w:rPr>
          <w:rFonts w:ascii="Calibri" w:hAnsi="Calibri" w:cs="Calibri"/>
        </w:rPr>
        <w:t xml:space="preserve"> a stroke, denied that his left arm was his left arm and was frightened and disturbed by the arm’s presence in his bed. He was very relieved when the </w:t>
      </w:r>
      <w:r w:rsidRPr="00A66803">
        <w:rPr>
          <w:rFonts w:ascii="Calibri" w:hAnsi="Calibri" w:cs="Calibri"/>
        </w:rPr>
        <w:lastRenderedPageBreak/>
        <w:t xml:space="preserve">experience that the arm was foreign went away (Halligan </w:t>
      </w:r>
      <w:r>
        <w:rPr>
          <w:rFonts w:ascii="Calibri" w:hAnsi="Calibri" w:cs="Calibri"/>
        </w:rPr>
        <w:t>et al.</w:t>
      </w:r>
      <w:r w:rsidRPr="00A66803">
        <w:rPr>
          <w:rFonts w:ascii="Calibri" w:hAnsi="Calibri" w:cs="Calibri"/>
        </w:rPr>
        <w:t xml:space="preserve">, 1995: 176-7). Similar distress was felt by another subject who, after a stroke, believed that they had a third arm projecting from their torso. Part of the distress in the last case stemmed from the subject’s capacity for belief-typical evaluation, as they claimed both that they had three arms and that they had had two arms and lost one through amputation, which did not make sense to them (Halligan </w:t>
      </w:r>
      <w:r>
        <w:rPr>
          <w:rFonts w:ascii="Calibri" w:hAnsi="Calibri" w:cs="Calibri"/>
        </w:rPr>
        <w:t>&amp;</w:t>
      </w:r>
      <w:r w:rsidRPr="00A66803">
        <w:rPr>
          <w:rFonts w:ascii="Calibri" w:hAnsi="Calibri" w:cs="Calibri"/>
        </w:rPr>
        <w:t xml:space="preserve"> colleagues, 1993: 161-3). </w:t>
      </w:r>
    </w:p>
    <w:p w14:paraId="5F6AC648"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Lack of emotional integration can also be inconsistent within a subject. Because JK believed that she was dead, she was very concerned that she had done something wrong by claiming social security payments during that time and that her bowels wouldn’t work, making her scared of urinating and defecating. On the other hand, the fact that she was dead didn’t seem to assuage her concerns on these matters since they shouldn’t be issues if you’re dead (Young and Leafhead, 1996: 156-8). Those who take delusion-characterising states to be beliefs can explain the emotional integration mentioned but have difficulty with the times when it isn’t there. Those who deny that delusions involve beliefs need an explanation for why the integration occurs when it does. </w:t>
      </w:r>
    </w:p>
    <w:p w14:paraId="1E45A196"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Non-</w:t>
      </w:r>
      <w:proofErr w:type="spellStart"/>
      <w:r w:rsidRPr="00A66803">
        <w:rPr>
          <w:rFonts w:ascii="Calibri" w:hAnsi="Calibri" w:cs="Calibri"/>
        </w:rPr>
        <w:t>doxasticists</w:t>
      </w:r>
      <w:proofErr w:type="spellEnd"/>
      <w:r w:rsidRPr="00A66803">
        <w:rPr>
          <w:rFonts w:ascii="Calibri" w:hAnsi="Calibri" w:cs="Calibri"/>
        </w:rPr>
        <w:t xml:space="preserve"> might answer that question by pointing to the effects of fiction and other artistic works upon our emotions. However, the integration in the case of delusion seems much more substantial. No amount of imaginative engagement with film or theatre leads a member of the audience to intervene to put a stop to things, but people with monothematic delusions can act in ways that reflect their delusion and be dangerous. In one case of Capgras delusion, Mr A became convinced that his parents were imposters, was fearful</w:t>
      </w:r>
      <w:r>
        <w:rPr>
          <w:rFonts w:ascii="Calibri" w:hAnsi="Calibri" w:cs="Calibri"/>
        </w:rPr>
        <w:t>,</w:t>
      </w:r>
      <w:r w:rsidRPr="00A66803">
        <w:rPr>
          <w:rFonts w:ascii="Calibri" w:hAnsi="Calibri" w:cs="Calibri"/>
        </w:rPr>
        <w:t xml:space="preserve"> and showed hostility to his parents, eventually stabbing and killing them (Silva and colleagues 1992: 79-81). In a case of </w:t>
      </w:r>
      <w:proofErr w:type="spellStart"/>
      <w:r w:rsidRPr="00A66803">
        <w:rPr>
          <w:rFonts w:ascii="Calibri" w:hAnsi="Calibri" w:cs="Calibri"/>
        </w:rPr>
        <w:t>Fregoli</w:t>
      </w:r>
      <w:proofErr w:type="spellEnd"/>
      <w:r w:rsidRPr="00A66803">
        <w:rPr>
          <w:rFonts w:ascii="Calibri" w:hAnsi="Calibri" w:cs="Calibri"/>
        </w:rPr>
        <w:t xml:space="preserve"> delusion in which the subject became convinced that a married cousin and female lover had moved into her neighbourhood and were following </w:t>
      </w:r>
      <w:r w:rsidRPr="00A66803">
        <w:rPr>
          <w:rFonts w:ascii="Calibri" w:hAnsi="Calibri" w:cs="Calibri"/>
        </w:rPr>
        <w:lastRenderedPageBreak/>
        <w:t>her in disguise, she harangued neighbours and passing car drivers, who</w:t>
      </w:r>
      <w:r>
        <w:rPr>
          <w:rFonts w:ascii="Calibri" w:hAnsi="Calibri" w:cs="Calibri"/>
        </w:rPr>
        <w:t>m</w:t>
      </w:r>
      <w:r w:rsidRPr="00A66803">
        <w:rPr>
          <w:rFonts w:ascii="Calibri" w:hAnsi="Calibri" w:cs="Calibri"/>
        </w:rPr>
        <w:t xml:space="preserve"> she took to be the disguised cousin, and was found prowling around her cousin’s home (De Pauw </w:t>
      </w:r>
      <w:r>
        <w:rPr>
          <w:rFonts w:ascii="Calibri" w:hAnsi="Calibri" w:cs="Calibri"/>
        </w:rPr>
        <w:t>&amp;</w:t>
      </w:r>
      <w:r w:rsidRPr="00A66803">
        <w:rPr>
          <w:rFonts w:ascii="Calibri" w:hAnsi="Calibri" w:cs="Calibri"/>
        </w:rPr>
        <w:t xml:space="preserve"> </w:t>
      </w:r>
      <w:proofErr w:type="spellStart"/>
      <w:r w:rsidRPr="00A66803">
        <w:rPr>
          <w:rFonts w:ascii="Calibri" w:hAnsi="Calibri" w:cs="Calibri"/>
        </w:rPr>
        <w:t>Szulecka</w:t>
      </w:r>
      <w:proofErr w:type="spellEnd"/>
      <w:r w:rsidRPr="00A66803">
        <w:rPr>
          <w:rFonts w:ascii="Calibri" w:hAnsi="Calibri" w:cs="Calibri"/>
        </w:rPr>
        <w:t xml:space="preserve">, 1988: 92). The emotional integration of monothematic delusion is demonstrated by the fact that it </w:t>
      </w:r>
      <w:r w:rsidRPr="00A66803">
        <w:rPr>
          <w:rFonts w:ascii="Calibri" w:hAnsi="Calibri" w:cs="Calibri"/>
          <w:i/>
          <w:iCs/>
        </w:rPr>
        <w:t>can be reflected in dangerous behaviour</w:t>
      </w:r>
      <w:r w:rsidRPr="00A66803">
        <w:rPr>
          <w:rFonts w:ascii="Calibri" w:hAnsi="Calibri" w:cs="Calibri"/>
        </w:rPr>
        <w:t>.</w:t>
      </w:r>
    </w:p>
    <w:p w14:paraId="7054A8CB"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Non-</w:t>
      </w:r>
      <w:proofErr w:type="spellStart"/>
      <w:r w:rsidRPr="00A66803">
        <w:rPr>
          <w:rFonts w:ascii="Calibri" w:hAnsi="Calibri" w:cs="Calibri"/>
        </w:rPr>
        <w:t>doxasticists</w:t>
      </w:r>
      <w:proofErr w:type="spellEnd"/>
      <w:r w:rsidRPr="00A66803">
        <w:rPr>
          <w:rFonts w:ascii="Calibri" w:hAnsi="Calibri" w:cs="Calibri"/>
        </w:rPr>
        <w:t xml:space="preserve"> would point to the fact that very often delusion-characterising states are not reflected in specifically non-verbal behaviour in ways that we would expect.  Although failure to be reflected in such behaviour is puzzling if the delusion-characterising content is that of a belief, other potential explanations are available consistent with it</w:t>
      </w:r>
      <w:r>
        <w:rPr>
          <w:rFonts w:ascii="Calibri" w:hAnsi="Calibri" w:cs="Calibri"/>
        </w:rPr>
        <w:t>s</w:t>
      </w:r>
      <w:r w:rsidRPr="00A66803">
        <w:rPr>
          <w:rFonts w:ascii="Calibri" w:hAnsi="Calibri" w:cs="Calibri"/>
        </w:rPr>
        <w:t xml:space="preserve"> being a belief.  For example, it has been observed that persecutory delusions often give rise to non-verbal behaviour but that this is less so for grandiose delusions and delusions of passivity (where the subject takes some part of their mental life to be under the control of another agent)</w:t>
      </w:r>
      <w:r>
        <w:rPr>
          <w:rFonts w:ascii="Calibri" w:hAnsi="Calibri" w:cs="Calibri"/>
        </w:rPr>
        <w:t xml:space="preserve"> </w:t>
      </w:r>
      <w:r w:rsidRPr="00A66803">
        <w:rPr>
          <w:rFonts w:ascii="Calibri" w:hAnsi="Calibri" w:cs="Calibri"/>
        </w:rPr>
        <w:t xml:space="preserve">(Wessely </w:t>
      </w:r>
      <w:r>
        <w:rPr>
          <w:rFonts w:ascii="Calibri" w:hAnsi="Calibri" w:cs="Calibri"/>
        </w:rPr>
        <w:t>et al.</w:t>
      </w:r>
      <w:r w:rsidRPr="00A66803">
        <w:rPr>
          <w:rFonts w:ascii="Calibri" w:hAnsi="Calibri" w:cs="Calibri"/>
        </w:rPr>
        <w:t>, 1993: 74). But delusions of passivity make behaviour based upon any belief less likely. One question is the extent to which delusion-reflecting behaviour depends upon the character of the delusion, and the circumstances in which a subject is operating, rather than on whether the delusion-characterising state is a belief or some other cognitive state.</w:t>
      </w:r>
    </w:p>
    <w:p w14:paraId="7ADC6183" w14:textId="77777777" w:rsidR="000F01B7" w:rsidRPr="00A66803" w:rsidRDefault="000F01B7" w:rsidP="000F01B7">
      <w:pPr>
        <w:spacing w:line="480" w:lineRule="auto"/>
        <w:ind w:firstLine="720"/>
        <w:jc w:val="both"/>
        <w:rPr>
          <w:rFonts w:ascii="Calibri" w:hAnsi="Calibri" w:cs="Calibri"/>
        </w:rPr>
      </w:pPr>
      <w:proofErr w:type="gramStart"/>
      <w:r w:rsidRPr="00A66803">
        <w:rPr>
          <w:rFonts w:ascii="Calibri" w:hAnsi="Calibri" w:cs="Calibri"/>
        </w:rPr>
        <w:t>With regard to</w:t>
      </w:r>
      <w:proofErr w:type="gramEnd"/>
      <w:r w:rsidRPr="00A66803">
        <w:rPr>
          <w:rFonts w:ascii="Calibri" w:hAnsi="Calibri" w:cs="Calibri"/>
        </w:rPr>
        <w:t xml:space="preserve"> belief-typical evaluation, the </w:t>
      </w:r>
      <w:r>
        <w:rPr>
          <w:rFonts w:ascii="Calibri" w:hAnsi="Calibri" w:cs="Calibri"/>
        </w:rPr>
        <w:t>debate</w:t>
      </w:r>
      <w:r w:rsidRPr="00A66803">
        <w:rPr>
          <w:rFonts w:ascii="Calibri" w:hAnsi="Calibri" w:cs="Calibri"/>
        </w:rPr>
        <w:t xml:space="preserve"> in cases of monothematic delusion is over whether the evaluation leads to the formation of belief. Sometimes it does. When LU was assessed in hospital, she claimed that she was dead and had probably died from the flu, and she was highly distressed. She asked whether the hospital was heaven. On recognising that she did not present in a way typical of dead people, in that she was capable of movement and talking, she expressed uncertainty about her beliefs and the delusion resolved (McKay </w:t>
      </w:r>
      <w:r>
        <w:rPr>
          <w:rFonts w:ascii="Calibri" w:hAnsi="Calibri" w:cs="Calibri"/>
        </w:rPr>
        <w:t>&amp;</w:t>
      </w:r>
      <w:r w:rsidRPr="00A66803">
        <w:rPr>
          <w:rFonts w:ascii="Calibri" w:hAnsi="Calibri" w:cs="Calibri"/>
        </w:rPr>
        <w:t xml:space="preserve"> Cipolotti, 2007: 353). Similarly, part of GH’s resolution of his delusion, that his left arm was not his, was noticing features that resembled his memory of his left arm. In these cases, belief-typical evaluation results in a change in belief. When there is a change in belief apparently due </w:t>
      </w:r>
      <w:r w:rsidRPr="00A66803">
        <w:rPr>
          <w:rFonts w:ascii="Calibri" w:hAnsi="Calibri" w:cs="Calibri"/>
        </w:rPr>
        <w:lastRenderedPageBreak/>
        <w:t>to belief-typical evaluation, this provides further support for the attribution of delusion-characterising beliefs, but when the candidate belief does not change or is slow to change, its credentials as a belief are threatened.</w:t>
      </w:r>
    </w:p>
    <w:p w14:paraId="7395E2D6"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The point is not that delusion-characterising states are totally insensitive to evidence but that they are </w:t>
      </w:r>
      <w:r w:rsidRPr="00A66803">
        <w:rPr>
          <w:rFonts w:ascii="Calibri" w:hAnsi="Calibri" w:cs="Calibri"/>
          <w:i/>
          <w:iCs/>
        </w:rPr>
        <w:t>inappropriately responsive to it</w:t>
      </w:r>
      <w:r w:rsidRPr="00A66803">
        <w:rPr>
          <w:rFonts w:ascii="Calibri" w:hAnsi="Calibri" w:cs="Calibri"/>
        </w:rPr>
        <w:t xml:space="preserve"> (for more on belief and the response to evidence DO BELIE</w:t>
      </w:r>
      <w:r>
        <w:rPr>
          <w:rFonts w:ascii="Calibri" w:hAnsi="Calibri" w:cs="Calibri"/>
        </w:rPr>
        <w:t>F</w:t>
      </w:r>
      <w:r w:rsidRPr="00A66803">
        <w:rPr>
          <w:rFonts w:ascii="Calibri" w:hAnsi="Calibri" w:cs="Calibri"/>
        </w:rPr>
        <w:t>S RESPONSE TO EVIDENCE</w:t>
      </w:r>
      <w:r>
        <w:rPr>
          <w:rFonts w:ascii="Calibri" w:hAnsi="Calibri" w:cs="Calibri"/>
        </w:rPr>
        <w:t>?</w:t>
      </w:r>
      <w:r w:rsidRPr="00A66803">
        <w:rPr>
          <w:rFonts w:ascii="Calibri" w:hAnsi="Calibri" w:cs="Calibri"/>
        </w:rPr>
        <w:t xml:space="preserve"> this volume) For example, in the case of Capgras delusion, the testimony of a loved one that they are not an imposter, which is confirmed by medical practitioners and other family members, is given what may seem like inadequate weight. The force of this point is hard to evaluate given the strangeness of the experiences subjects with delusions report that give an initially plausible basis for their beliefs. For example, during her acute phase of catatonia, a subject with </w:t>
      </w:r>
      <w:proofErr w:type="spellStart"/>
      <w:r w:rsidRPr="00A66803">
        <w:rPr>
          <w:rFonts w:ascii="Calibri" w:hAnsi="Calibri" w:cs="Calibri"/>
        </w:rPr>
        <w:t>Cotard’s</w:t>
      </w:r>
      <w:proofErr w:type="spellEnd"/>
      <w:r w:rsidRPr="00A66803">
        <w:rPr>
          <w:rFonts w:ascii="Calibri" w:hAnsi="Calibri" w:cs="Calibri"/>
        </w:rPr>
        <w:t xml:space="preserve"> syndrome explained that she thought she was dead because time passed very slowly and she could not talk or move despite trying to (Ramirez </w:t>
      </w:r>
      <w:r>
        <w:rPr>
          <w:rFonts w:ascii="Calibri" w:hAnsi="Calibri" w:cs="Calibri"/>
        </w:rPr>
        <w:t>et al.</w:t>
      </w:r>
      <w:r w:rsidRPr="00A66803">
        <w:rPr>
          <w:rFonts w:ascii="Calibri" w:hAnsi="Calibri" w:cs="Calibri"/>
        </w:rPr>
        <w:t xml:space="preserve">, 2021: 67). It is easy to see why, given certain background beliefs such as that existence may continue after death, there would be grounds for her to have the belief that she is dead. </w:t>
      </w:r>
      <w:proofErr w:type="spellStart"/>
      <w:r w:rsidRPr="00A66803">
        <w:rPr>
          <w:rFonts w:ascii="Calibri" w:hAnsi="Calibri" w:cs="Calibri"/>
        </w:rPr>
        <w:t>Cotard’s</w:t>
      </w:r>
      <w:proofErr w:type="spellEnd"/>
      <w:r w:rsidRPr="00A66803">
        <w:rPr>
          <w:rFonts w:ascii="Calibri" w:hAnsi="Calibri" w:cs="Calibri"/>
        </w:rPr>
        <w:t xml:space="preserve"> subjects do not seem, in general, to have the self-defeating belief that they do not exist, given that those who have beliefs exist (for the concern about self-</w:t>
      </w:r>
      <w:proofErr w:type="spellStart"/>
      <w:r w:rsidRPr="00A66803">
        <w:rPr>
          <w:rFonts w:ascii="Calibri" w:hAnsi="Calibri" w:cs="Calibri"/>
        </w:rPr>
        <w:t>defeatingness</w:t>
      </w:r>
      <w:proofErr w:type="spellEnd"/>
      <w:r w:rsidRPr="00A66803">
        <w:rPr>
          <w:rFonts w:ascii="Calibri" w:hAnsi="Calibri" w:cs="Calibri"/>
        </w:rPr>
        <w:t xml:space="preserve">, see Bermudez, 2000: 476; reproduced in Bayne </w:t>
      </w:r>
      <w:r>
        <w:rPr>
          <w:rFonts w:ascii="Calibri" w:hAnsi="Calibri" w:cs="Calibri"/>
        </w:rPr>
        <w:t>&amp;</w:t>
      </w:r>
      <w:r w:rsidRPr="00A66803">
        <w:rPr>
          <w:rFonts w:ascii="Calibri" w:hAnsi="Calibri" w:cs="Calibri"/>
        </w:rPr>
        <w:t xml:space="preserve"> </w:t>
      </w:r>
      <w:proofErr w:type="spellStart"/>
      <w:r w:rsidRPr="00A66803">
        <w:rPr>
          <w:rFonts w:ascii="Calibri" w:hAnsi="Calibri" w:cs="Calibri"/>
        </w:rPr>
        <w:t>Pacherie</w:t>
      </w:r>
      <w:proofErr w:type="spellEnd"/>
      <w:r w:rsidRPr="00A66803">
        <w:rPr>
          <w:rFonts w:ascii="Calibri" w:hAnsi="Calibri" w:cs="Calibri"/>
        </w:rPr>
        <w:t xml:space="preserve">, 2005: 164). Those suffering from Capgras delusion remark upon how their loved ones look and feel different. One plausible hypothesis is that such patients suffer from a deficit in their perception of faces, due to neurophysiological damage, in which the affective response is missing (Young </w:t>
      </w:r>
      <w:r>
        <w:rPr>
          <w:rFonts w:ascii="Calibri" w:hAnsi="Calibri" w:cs="Calibri"/>
        </w:rPr>
        <w:t>et al.,</w:t>
      </w:r>
      <w:r w:rsidRPr="00A66803">
        <w:rPr>
          <w:rFonts w:ascii="Calibri" w:hAnsi="Calibri" w:cs="Calibri"/>
        </w:rPr>
        <w:t xml:space="preserve"> 1992: 800).</w:t>
      </w:r>
    </w:p>
    <w:p w14:paraId="582C1C82"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In summary, the empirical observations relating to subjects with delusions are a source of puzzlement in trying to make sense of such subjects. Those who favour non-doxastic approaches place the emphasis on some of them whereas those who favour doxastic </w:t>
      </w:r>
      <w:r w:rsidRPr="00A66803">
        <w:rPr>
          <w:rFonts w:ascii="Calibri" w:hAnsi="Calibri" w:cs="Calibri"/>
        </w:rPr>
        <w:lastRenderedPageBreak/>
        <w:t>approaches place the emphasis on others. Non-</w:t>
      </w:r>
      <w:proofErr w:type="spellStart"/>
      <w:r w:rsidRPr="00A66803">
        <w:rPr>
          <w:rFonts w:ascii="Calibri" w:hAnsi="Calibri" w:cs="Calibri"/>
        </w:rPr>
        <w:t>doxasticists</w:t>
      </w:r>
      <w:proofErr w:type="spellEnd"/>
      <w:r w:rsidRPr="00A66803">
        <w:rPr>
          <w:rFonts w:ascii="Calibri" w:hAnsi="Calibri" w:cs="Calibri"/>
        </w:rPr>
        <w:t xml:space="preserve"> may argue that they are happy to allow that some cases of monothematic delusion involve </w:t>
      </w:r>
      <w:proofErr w:type="gramStart"/>
      <w:r w:rsidRPr="00A66803">
        <w:rPr>
          <w:rFonts w:ascii="Calibri" w:hAnsi="Calibri" w:cs="Calibri"/>
        </w:rPr>
        <w:t>beliefs</w:t>
      </w:r>
      <w:proofErr w:type="gramEnd"/>
      <w:r w:rsidRPr="00A66803">
        <w:rPr>
          <w:rFonts w:ascii="Calibri" w:hAnsi="Calibri" w:cs="Calibri"/>
        </w:rPr>
        <w:t xml:space="preserve"> but others are not to be understood in that way. While such variation is not ruled out, we should be cautious in case we miss important commonalities that are obscured by the different contexts in which the states operate. The plausibility of non-doxastic approaches depends upon whether it is possible to explain away the situations that seem to favour attribution of a </w:t>
      </w:r>
      <w:r>
        <w:rPr>
          <w:rFonts w:ascii="Calibri" w:hAnsi="Calibri" w:cs="Calibri"/>
        </w:rPr>
        <w:t xml:space="preserve">non-doxastic cognitive state </w:t>
      </w:r>
      <w:r w:rsidRPr="00A66803">
        <w:rPr>
          <w:rFonts w:ascii="Calibri" w:hAnsi="Calibri" w:cs="Calibri"/>
        </w:rPr>
        <w:t>and the extent to which explanatory benefits derive from attributing a non-doxastic cognitive state in that situation.  We need to understand better what differentiates belief from other cognitive states.</w:t>
      </w:r>
    </w:p>
    <w:p w14:paraId="2F4E8F4E"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r>
    </w:p>
    <w:p w14:paraId="73DC6246" w14:textId="77777777" w:rsidR="000F01B7" w:rsidRPr="00A66803" w:rsidRDefault="000F01B7" w:rsidP="000F01B7">
      <w:pPr>
        <w:spacing w:line="480" w:lineRule="auto"/>
        <w:jc w:val="both"/>
        <w:rPr>
          <w:rFonts w:ascii="Calibri" w:hAnsi="Calibri" w:cs="Calibri"/>
        </w:rPr>
      </w:pPr>
      <w:r w:rsidRPr="00A66803">
        <w:rPr>
          <w:rFonts w:ascii="Calibri" w:hAnsi="Calibri" w:cs="Calibri"/>
          <w:b/>
          <w:bCs/>
        </w:rPr>
        <w:t>2. The Characterisation of Cognitive Attitudes</w:t>
      </w:r>
    </w:p>
    <w:p w14:paraId="68B30772" w14:textId="77777777" w:rsidR="000F01B7" w:rsidRPr="00A66803" w:rsidRDefault="000F01B7" w:rsidP="000F01B7">
      <w:pPr>
        <w:spacing w:line="480" w:lineRule="auto"/>
        <w:jc w:val="both"/>
        <w:rPr>
          <w:rFonts w:ascii="Calibri" w:hAnsi="Calibri" w:cs="Calibri"/>
        </w:rPr>
      </w:pPr>
      <w:r w:rsidRPr="00A66803">
        <w:rPr>
          <w:rFonts w:ascii="Calibri" w:hAnsi="Calibri" w:cs="Calibri"/>
        </w:rPr>
        <w:t xml:space="preserve">In this section I provide a general account of cognitive attitudes, in terms of the </w:t>
      </w:r>
      <w:proofErr w:type="gramStart"/>
      <w:r w:rsidRPr="00A66803">
        <w:rPr>
          <w:rFonts w:ascii="Calibri" w:hAnsi="Calibri" w:cs="Calibri"/>
        </w:rPr>
        <w:t>particular type of contribution</w:t>
      </w:r>
      <w:proofErr w:type="gramEnd"/>
      <w:r w:rsidRPr="00A66803">
        <w:rPr>
          <w:rFonts w:ascii="Calibri" w:hAnsi="Calibri" w:cs="Calibri"/>
        </w:rPr>
        <w:t xml:space="preserve"> they make to our mental </w:t>
      </w:r>
      <w:proofErr w:type="gramStart"/>
      <w:r w:rsidRPr="00A66803">
        <w:rPr>
          <w:rFonts w:ascii="Calibri" w:hAnsi="Calibri" w:cs="Calibri"/>
        </w:rPr>
        <w:t>life, and</w:t>
      </w:r>
      <w:proofErr w:type="gramEnd"/>
      <w:r w:rsidRPr="00A66803">
        <w:rPr>
          <w:rFonts w:ascii="Calibri" w:hAnsi="Calibri" w:cs="Calibri"/>
        </w:rPr>
        <w:t xml:space="preserve"> identify a distinctive feature of belief. This will be the basis of our evaluation of the three most discussed positions in the </w:t>
      </w:r>
      <w:proofErr w:type="spellStart"/>
      <w:r w:rsidRPr="00A66803">
        <w:rPr>
          <w:rFonts w:ascii="Calibri" w:hAnsi="Calibri" w:cs="Calibri"/>
        </w:rPr>
        <w:t>doxasticism</w:t>
      </w:r>
      <w:proofErr w:type="spellEnd"/>
      <w:r w:rsidRPr="00A66803">
        <w:rPr>
          <w:rFonts w:ascii="Calibri" w:hAnsi="Calibri" w:cs="Calibri"/>
        </w:rPr>
        <w:t xml:space="preserve"> versus non-</w:t>
      </w:r>
      <w:proofErr w:type="spellStart"/>
      <w:r w:rsidRPr="00A66803">
        <w:rPr>
          <w:rFonts w:ascii="Calibri" w:hAnsi="Calibri" w:cs="Calibri"/>
        </w:rPr>
        <w:t>doxasticism</w:t>
      </w:r>
      <w:proofErr w:type="spellEnd"/>
      <w:r w:rsidRPr="00A66803">
        <w:rPr>
          <w:rFonts w:ascii="Calibri" w:hAnsi="Calibri" w:cs="Calibri"/>
        </w:rPr>
        <w:t xml:space="preserve"> debate in section 3.</w:t>
      </w:r>
    </w:p>
    <w:p w14:paraId="37318F89"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A preliminary characterisation of cognitive attitudes is that they have a </w:t>
      </w:r>
      <w:r w:rsidRPr="00A66803">
        <w:rPr>
          <w:rFonts w:ascii="Calibri" w:hAnsi="Calibri" w:cs="Calibri"/>
          <w:i/>
          <w:iCs/>
        </w:rPr>
        <w:t>mind to world</w:t>
      </w:r>
      <w:r w:rsidRPr="00A66803">
        <w:rPr>
          <w:rFonts w:ascii="Calibri" w:hAnsi="Calibri" w:cs="Calibri"/>
        </w:rPr>
        <w:t xml:space="preserve"> direction of fit, that is, they are correct if and only if the world is as their content says it is (Searle, 1983: 8). But this characterisation only applies to beliefs and states of knowledge. It does not hold for cognitive attitudes such as imaginings, acceptances, or for propositions that are supposed or entertained. While their contents may be true or false, so may the content of a non-cognitive state, such as desire, and yet the latter attitude does not have a </w:t>
      </w:r>
      <w:r w:rsidRPr="00A66803">
        <w:rPr>
          <w:rFonts w:ascii="Calibri" w:hAnsi="Calibri" w:cs="Calibri"/>
          <w:i/>
          <w:iCs/>
        </w:rPr>
        <w:t>mind to world</w:t>
      </w:r>
      <w:r w:rsidRPr="00A66803">
        <w:rPr>
          <w:rFonts w:ascii="Calibri" w:hAnsi="Calibri" w:cs="Calibri"/>
        </w:rPr>
        <w:t xml:space="preserve"> fit. Desires are not incorrect if they fail to fit the world. They are the basis for agents to act to get the world to fit them (they have a </w:t>
      </w:r>
      <w:r w:rsidRPr="00A66803">
        <w:rPr>
          <w:rFonts w:ascii="Calibri" w:hAnsi="Calibri" w:cs="Calibri"/>
          <w:i/>
          <w:iCs/>
        </w:rPr>
        <w:t>world to mind</w:t>
      </w:r>
      <w:r w:rsidRPr="00A66803">
        <w:rPr>
          <w:rFonts w:ascii="Calibri" w:hAnsi="Calibri" w:cs="Calibri"/>
        </w:rPr>
        <w:t xml:space="preserve"> fit). For this reason, a general theory of cognitive attitudes cannot be derived from the idea that we are disposed to give up a belief </w:t>
      </w:r>
      <w:r w:rsidRPr="00A66803">
        <w:rPr>
          <w:rFonts w:ascii="Calibri" w:hAnsi="Calibri" w:cs="Calibri"/>
        </w:rPr>
        <w:lastRenderedPageBreak/>
        <w:t>that p if we discover that not-p whereas in the case of desire we are not. Other cognitive attitudes such as imagining that p don’t behave like belief.</w:t>
      </w:r>
    </w:p>
    <w:p w14:paraId="035C3C90"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An initial thought is that cognitive attitudes involve us in being disposed in some way, or in some context, to take the content as true in a piece of reasoning, or act as if it is true. It would go too far to suggest that when subjects accept, assume, imagine or suppose something, the world is presented as true. Even the talk of taking the content as true, in a context, is slightly overstated unless taking the content as true is compatible with still viewing it as actually false in that context (Van Leeuwen, 2023: 20 canvases the idea; for discussion of the differences between these different non-doxastic cognitive states see Noordhof, 2025b: 308-11). The falsity of any of these states in a context is not obscured to us. </w:t>
      </w:r>
    </w:p>
    <w:p w14:paraId="048BFFDC"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A better alternative is that something counts as a cognitive attitude if there are contexts in which the content of the cognitive attitude should have the same contribution in reasoning as the content of a belief, when that content figures in the attitude in question. When we </w:t>
      </w:r>
      <w:r w:rsidRPr="00A66803">
        <w:rPr>
          <w:rFonts w:ascii="Calibri" w:hAnsi="Calibri" w:cs="Calibri"/>
          <w:i/>
          <w:iCs/>
        </w:rPr>
        <w:t>suppose</w:t>
      </w:r>
      <w:r w:rsidRPr="00A66803">
        <w:rPr>
          <w:rFonts w:ascii="Calibri" w:hAnsi="Calibri" w:cs="Calibri"/>
        </w:rPr>
        <w:t xml:space="preserve"> that p, in the context of an inference, we take the content of the attitude in that context, p, and let it make the same contribution to reasoning as the content of a belief. I’m talking of the contribution that belief would make to assist in identifying it. In doing so, there is no commitment to beliefs being in some sense fundamental. Once the contribution, call it C, is identified, reference to belief drops out of its characterisation. </w:t>
      </w:r>
    </w:p>
    <w:p w14:paraId="09E36075"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To identify the contribution, suppose a subject has a conditional belief that the summer anti-immigration riots will stop only if there is firm police action or the conditional desire that the summer anti-immigration riots will stop only if there is firm police action. The first expresses a view about the way the world is, the second expresses (perhaps) the somewhat authoritarian desire the riots stopping will display the importance of strong police action. To see the difference between the contribution of belief (which it will share with other </w:t>
      </w:r>
      <w:r w:rsidRPr="00A66803">
        <w:rPr>
          <w:rFonts w:ascii="Calibri" w:hAnsi="Calibri" w:cs="Calibri"/>
        </w:rPr>
        <w:lastRenderedPageBreak/>
        <w:t>cognitive states) and that of a non-cognitive state like desire, consider what happens if the subject in question comes to believe that the summer anti-immigration riots will stop</w:t>
      </w:r>
      <w:r>
        <w:rPr>
          <w:rFonts w:ascii="Calibri" w:hAnsi="Calibri" w:cs="Calibri"/>
        </w:rPr>
        <w:t>,</w:t>
      </w:r>
      <w:r w:rsidRPr="00A66803">
        <w:rPr>
          <w:rFonts w:ascii="Calibri" w:hAnsi="Calibri" w:cs="Calibri"/>
        </w:rPr>
        <w:t xml:space="preserve"> </w:t>
      </w:r>
      <w:r>
        <w:rPr>
          <w:rFonts w:ascii="Calibri" w:hAnsi="Calibri" w:cs="Calibri"/>
        </w:rPr>
        <w:t>as opposed to coming</w:t>
      </w:r>
      <w:r w:rsidRPr="00A66803">
        <w:rPr>
          <w:rFonts w:ascii="Calibri" w:hAnsi="Calibri" w:cs="Calibri"/>
        </w:rPr>
        <w:t xml:space="preserve"> to desire that the summer anti-immigration riots will stop. If a subject comes to believe that the summer anti-immigration riots will stop, they will either be disposed to believe that there was firm police action or </w:t>
      </w:r>
      <w:r>
        <w:rPr>
          <w:rFonts w:ascii="Calibri" w:hAnsi="Calibri" w:cs="Calibri"/>
        </w:rPr>
        <w:t xml:space="preserve">to </w:t>
      </w:r>
      <w:r w:rsidRPr="00A66803">
        <w:rPr>
          <w:rFonts w:ascii="Calibri" w:hAnsi="Calibri" w:cs="Calibri"/>
        </w:rPr>
        <w:t xml:space="preserve">revise either of the conditional belief or the belief they have just come to have. In the case of the conditional desire, if they come to believe that the summer anti-immigration riots will stop, they will be disposed to desire that there has been firm police action. Consider now if a subject comes to desire that the summer anti-immigration riots will stop. Interacting with the conditional belief, the subject will be disposed to desire that there is strong police action unless there are stronger competing desires. If they don’t because of stronger competing desires, this does </w:t>
      </w:r>
      <w:r w:rsidRPr="00A66803">
        <w:rPr>
          <w:rFonts w:ascii="Calibri" w:hAnsi="Calibri" w:cs="Calibri"/>
          <w:i/>
          <w:iCs/>
        </w:rPr>
        <w:t>not</w:t>
      </w:r>
      <w:r w:rsidRPr="00A66803">
        <w:rPr>
          <w:rFonts w:ascii="Calibri" w:hAnsi="Calibri" w:cs="Calibri"/>
        </w:rPr>
        <w:t xml:space="preserve"> mean that they </w:t>
      </w:r>
      <w:proofErr w:type="gramStart"/>
      <w:r w:rsidRPr="00A66803">
        <w:rPr>
          <w:rFonts w:ascii="Calibri" w:hAnsi="Calibri" w:cs="Calibri"/>
        </w:rPr>
        <w:t>have to</w:t>
      </w:r>
      <w:proofErr w:type="gramEnd"/>
      <w:r w:rsidRPr="00A66803">
        <w:rPr>
          <w:rFonts w:ascii="Calibri" w:hAnsi="Calibri" w:cs="Calibri"/>
        </w:rPr>
        <w:t xml:space="preserve"> revise either their desire that the summer anti-immigration riots will stop or the conditional belief. Also, they will not have the disposition to believe that there was firm police action. Interacting with the conditional desire, they will be disposed to desire that there was firm police action. Part of the characterisation of the contribution of belief in general is the difference I have just outlined between belief and desire </w:t>
      </w:r>
      <w:proofErr w:type="gramStart"/>
      <w:r w:rsidRPr="00A66803">
        <w:rPr>
          <w:rFonts w:ascii="Calibri" w:hAnsi="Calibri" w:cs="Calibri"/>
        </w:rPr>
        <w:t>with regard to</w:t>
      </w:r>
      <w:proofErr w:type="gramEnd"/>
      <w:r w:rsidRPr="00A66803">
        <w:rPr>
          <w:rFonts w:ascii="Calibri" w:hAnsi="Calibri" w:cs="Calibri"/>
        </w:rPr>
        <w:t xml:space="preserve"> interaction with the conditional states specified. There will also be differences relating to different emotional responses (further discussion of belief’s output role occurs in BELIEF’S GUIDANCE FUNCTION).</w:t>
      </w:r>
    </w:p>
    <w:p w14:paraId="72F8318E"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Some theories of belief seek to characterise the nature of belief in terms that have no implications for their actual integration. Purely phenomenological theories characterise beliefs in terms of feelings of assent or conviction. Such feelings seem compatible with the absence of integration of the belief (e.g. Clutton, 2018: 201). Biological-functional theories can write off such failures as examples of belief malfunction (Miyazono 2019: 35-7, though they needn’t</w:t>
      </w:r>
      <w:r>
        <w:rPr>
          <w:rFonts w:ascii="Calibri" w:hAnsi="Calibri" w:cs="Calibri"/>
        </w:rPr>
        <w:t>;</w:t>
      </w:r>
      <w:r w:rsidRPr="00A66803">
        <w:rPr>
          <w:rFonts w:ascii="Calibri" w:hAnsi="Calibri" w:cs="Calibri"/>
        </w:rPr>
        <w:t xml:space="preserve"> see EVOLUTIONARY PRESSURES ON BELIEF CAPACITIES). There are reasons to </w:t>
      </w:r>
      <w:r w:rsidRPr="00A66803">
        <w:rPr>
          <w:rFonts w:ascii="Calibri" w:hAnsi="Calibri" w:cs="Calibri"/>
        </w:rPr>
        <w:lastRenderedPageBreak/>
        <w:t>be sceptical about whether such approaches are successful in this (Noordhof, 2025a). Rather than rehearse these issues in the present chapter, I want to note that the theory of cognitive states just developed more naturally fits with interpretive and functionalist approaches to belief. Indeed, these approaches to belief derive support from the way in which they naturally relate their accounts of belief to a theory of cognitive states more generally (for further discussion, see METAPHYSICS OF BELIEF: DISPOSITIONAL THEORIES).</w:t>
      </w:r>
    </w:p>
    <w:p w14:paraId="3692189C"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According to the interpretative approach, the nature of belief is given by its role in an interpretative framework governed by theoretical and practical rationality constraints. If a subject is correctly attributed a certain belief, then the subject will meet standard expectations of rationality. The belief will arise in expected ways in response to evidence that a subject has via perceptual experience or testimony and the belief will have a certain role in that subject’s mental life as a result (e.g. Davidson, 1973; 144; Dennett, 1981a: 18-22). Irrationality quite generally presents a problem for this approach and various strategies involving partitioning or the loosening of rationality constraints are adopted to deal with it (Davidson, 1985: 205-12; Cherniak, 1986: 9; Dennett, 1981b: 94-7; Bortolotti, 2010, 2012). Functional (or dispositional) approaches to belief don’t have the same immediate difficulties. If a belief with a particular content is to be understood in terms of its potential to stand in certain expected causal relations, in certain circumstances, then it does not have to stand in those relations outside of those circumstances and, </w:t>
      </w:r>
      <w:r>
        <w:rPr>
          <w:rFonts w:ascii="Calibri" w:hAnsi="Calibri" w:cs="Calibri"/>
        </w:rPr>
        <w:t xml:space="preserve">and </w:t>
      </w:r>
      <w:r w:rsidRPr="00A66803">
        <w:rPr>
          <w:rFonts w:ascii="Calibri" w:hAnsi="Calibri" w:cs="Calibri"/>
        </w:rPr>
        <w:t xml:space="preserve">even in those circumstances, the requirement may only be that they typically stand in the relations characteristic of them. This allows considerable latitude (e.g. Loar, 1981: 72; </w:t>
      </w:r>
      <w:proofErr w:type="spellStart"/>
      <w:r w:rsidRPr="00A66803">
        <w:rPr>
          <w:rFonts w:ascii="Calibri" w:hAnsi="Calibri" w:cs="Calibri"/>
        </w:rPr>
        <w:t>Schwitzgebel</w:t>
      </w:r>
      <w:proofErr w:type="spellEnd"/>
      <w:r w:rsidRPr="00A66803">
        <w:rPr>
          <w:rFonts w:ascii="Calibri" w:hAnsi="Calibri" w:cs="Calibri"/>
        </w:rPr>
        <w:t xml:space="preserve">, 2002: 250-3). </w:t>
      </w:r>
    </w:p>
    <w:p w14:paraId="1DC6F476"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Abstracting from details, common ground to these two approaches is the following.</w:t>
      </w:r>
    </w:p>
    <w:p w14:paraId="749D19E5" w14:textId="77777777" w:rsidR="000F01B7" w:rsidRPr="00A66803" w:rsidRDefault="000F01B7" w:rsidP="000F01B7">
      <w:pPr>
        <w:spacing w:line="480" w:lineRule="auto"/>
        <w:ind w:left="720"/>
        <w:jc w:val="both"/>
        <w:rPr>
          <w:rFonts w:ascii="Calibri" w:hAnsi="Calibri" w:cs="Calibri"/>
        </w:rPr>
      </w:pPr>
      <w:r w:rsidRPr="00A66803">
        <w:rPr>
          <w:rFonts w:ascii="Calibri" w:hAnsi="Calibri" w:cs="Calibri"/>
        </w:rPr>
        <w:lastRenderedPageBreak/>
        <w:t>A subject has a belief that p if they are in a mental state that typically manifests its p-relevant characterising dispositions (including those I identified in the previous section as a distinctively cognitive contribution) across contexts.</w:t>
      </w:r>
    </w:p>
    <w:p w14:paraId="49F76DE3" w14:textId="77777777" w:rsidR="000F01B7" w:rsidRPr="00A66803" w:rsidRDefault="000F01B7" w:rsidP="000F01B7">
      <w:pPr>
        <w:spacing w:line="480" w:lineRule="auto"/>
        <w:jc w:val="both"/>
        <w:rPr>
          <w:rFonts w:ascii="Calibri" w:hAnsi="Calibri" w:cs="Calibri"/>
        </w:rPr>
      </w:pPr>
      <w:r w:rsidRPr="00A66803">
        <w:rPr>
          <w:rFonts w:ascii="Calibri" w:hAnsi="Calibri" w:cs="Calibri"/>
        </w:rPr>
        <w:t xml:space="preserve">A plausible difference between belief and other cognitive attitudes is that for other cognitive attitudes, the context in which their content makes contribution C is fixed, typically by a subject’s </w:t>
      </w:r>
      <w:r w:rsidRPr="00A66803">
        <w:rPr>
          <w:rFonts w:ascii="Calibri" w:hAnsi="Calibri" w:cs="Calibri"/>
          <w:i/>
          <w:iCs/>
        </w:rPr>
        <w:t>intention</w:t>
      </w:r>
      <w:r w:rsidRPr="00A66803">
        <w:rPr>
          <w:rFonts w:ascii="Calibri" w:hAnsi="Calibri" w:cs="Calibri"/>
        </w:rPr>
        <w:t xml:space="preserve"> for the content to make C in that context, whereas for belief, it is built into being a belief that it have that contribution </w:t>
      </w:r>
      <w:r w:rsidRPr="00A66803">
        <w:rPr>
          <w:rFonts w:ascii="Calibri" w:hAnsi="Calibri" w:cs="Calibri"/>
          <w:i/>
          <w:iCs/>
        </w:rPr>
        <w:t>by default</w:t>
      </w:r>
      <w:r w:rsidRPr="00A66803">
        <w:rPr>
          <w:rFonts w:ascii="Calibri" w:hAnsi="Calibri" w:cs="Calibri"/>
        </w:rPr>
        <w:t xml:space="preserve">. For example, if you </w:t>
      </w:r>
      <w:r w:rsidRPr="00A66803">
        <w:rPr>
          <w:rFonts w:ascii="Calibri" w:hAnsi="Calibri" w:cs="Calibri"/>
          <w:i/>
          <w:iCs/>
        </w:rPr>
        <w:t>imagine</w:t>
      </w:r>
      <w:r w:rsidRPr="00A66803">
        <w:rPr>
          <w:rFonts w:ascii="Calibri" w:hAnsi="Calibri" w:cs="Calibri"/>
        </w:rPr>
        <w:t xml:space="preserve"> that a herd of elephants is stampeding down Regents Street </w:t>
      </w:r>
      <w:r>
        <w:rPr>
          <w:rFonts w:ascii="Calibri" w:hAnsi="Calibri" w:cs="Calibri"/>
        </w:rPr>
        <w:t xml:space="preserve">in order </w:t>
      </w:r>
      <w:r w:rsidRPr="00A66803">
        <w:rPr>
          <w:rFonts w:ascii="Calibri" w:hAnsi="Calibri" w:cs="Calibri"/>
        </w:rPr>
        <w:t>to consider the consequences, the content of th</w:t>
      </w:r>
      <w:r>
        <w:rPr>
          <w:rFonts w:ascii="Calibri" w:hAnsi="Calibri" w:cs="Calibri"/>
        </w:rPr>
        <w:t>at</w:t>
      </w:r>
      <w:r w:rsidRPr="00A66803">
        <w:rPr>
          <w:rFonts w:ascii="Calibri" w:hAnsi="Calibri" w:cs="Calibri"/>
        </w:rPr>
        <w:t xml:space="preserve"> imagining interacts with the other things you believe or have imagined </w:t>
      </w:r>
      <w:r>
        <w:rPr>
          <w:rFonts w:ascii="Calibri" w:hAnsi="Calibri" w:cs="Calibri"/>
        </w:rPr>
        <w:t>in a way that enables</w:t>
      </w:r>
      <w:r w:rsidRPr="00A66803">
        <w:rPr>
          <w:rFonts w:ascii="Calibri" w:hAnsi="Calibri" w:cs="Calibri"/>
        </w:rPr>
        <w:t xml:space="preserve"> you to draw conclusions as to what would happen, but </w:t>
      </w:r>
      <w:r>
        <w:rPr>
          <w:rFonts w:ascii="Calibri" w:hAnsi="Calibri" w:cs="Calibri"/>
        </w:rPr>
        <w:t xml:space="preserve">it </w:t>
      </w:r>
      <w:r w:rsidRPr="00A66803">
        <w:rPr>
          <w:rFonts w:ascii="Calibri" w:hAnsi="Calibri" w:cs="Calibri"/>
        </w:rPr>
        <w:t xml:space="preserve">only </w:t>
      </w:r>
      <w:r>
        <w:rPr>
          <w:rFonts w:ascii="Calibri" w:hAnsi="Calibri" w:cs="Calibri"/>
        </w:rPr>
        <w:t xml:space="preserve">does so </w:t>
      </w:r>
      <w:r w:rsidRPr="00A66803">
        <w:rPr>
          <w:rFonts w:ascii="Calibri" w:hAnsi="Calibri" w:cs="Calibri"/>
        </w:rPr>
        <w:t xml:space="preserve">in the context in which you </w:t>
      </w:r>
      <w:r w:rsidRPr="00A66803">
        <w:rPr>
          <w:rFonts w:ascii="Calibri" w:hAnsi="Calibri" w:cs="Calibri"/>
          <w:i/>
          <w:iCs/>
        </w:rPr>
        <w:t>intend</w:t>
      </w:r>
      <w:r w:rsidRPr="00A66803">
        <w:rPr>
          <w:rFonts w:ascii="Calibri" w:hAnsi="Calibri" w:cs="Calibri"/>
        </w:rPr>
        <w:t xml:space="preserve"> for </w:t>
      </w:r>
      <w:r>
        <w:rPr>
          <w:rFonts w:ascii="Calibri" w:hAnsi="Calibri" w:cs="Calibri"/>
        </w:rPr>
        <w:t>it</w:t>
      </w:r>
      <w:r w:rsidRPr="00A66803">
        <w:rPr>
          <w:rFonts w:ascii="Calibri" w:hAnsi="Calibri" w:cs="Calibri"/>
        </w:rPr>
        <w:t xml:space="preserve"> to make the relevant C contribution (i.e. that there is a heard of elephants stampeding down Regents Street and, thus, say, the bus service will be paused).</w:t>
      </w:r>
    </w:p>
    <w:p w14:paraId="343F7582"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The different understandings of the idea of contribution by default is one plausible source of disagreement over the nature of delusion-characterising states. The strongest reading has been put forward by </w:t>
      </w:r>
      <w:r>
        <w:rPr>
          <w:rFonts w:ascii="Calibri" w:hAnsi="Calibri" w:cs="Calibri"/>
        </w:rPr>
        <w:t xml:space="preserve">Neil </w:t>
      </w:r>
      <w:r w:rsidRPr="00A66803">
        <w:rPr>
          <w:rFonts w:ascii="Calibri" w:hAnsi="Calibri" w:cs="Calibri"/>
        </w:rPr>
        <w:t xml:space="preserve">Van Leeuwen. He holds that if a subject believes that p, then their belief that p will guide their behaviour in all practical settings in which p is recognised as relevant to their behaviour (Van Leeuwen, 2023: 45). Failure to recognise a content (of a belief) as relevant is allowed as an excusing condition. Otherwise, it is not just that some beliefs must always be at work to guide any behaviour but that each belief will guide any behaviour for which it is relevant. </w:t>
      </w:r>
    </w:p>
    <w:p w14:paraId="018BC01E"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The characterisation is too strong. First, consider an example Van Leeuwen</w:t>
      </w:r>
      <w:r>
        <w:rPr>
          <w:rFonts w:ascii="Calibri" w:hAnsi="Calibri" w:cs="Calibri"/>
        </w:rPr>
        <w:t xml:space="preserve"> borrows from Kendall Walton (1990)</w:t>
      </w:r>
      <w:r w:rsidRPr="00A66803">
        <w:rPr>
          <w:rFonts w:ascii="Calibri" w:hAnsi="Calibri" w:cs="Calibri"/>
        </w:rPr>
        <w:t xml:space="preserve">. You are involved in a game where </w:t>
      </w:r>
      <w:proofErr w:type="gramStart"/>
      <w:r w:rsidRPr="00A66803">
        <w:rPr>
          <w:rFonts w:ascii="Calibri" w:hAnsi="Calibri" w:cs="Calibri"/>
        </w:rPr>
        <w:t>you</w:t>
      </w:r>
      <w:proofErr w:type="gramEnd"/>
      <w:r w:rsidRPr="00A66803">
        <w:rPr>
          <w:rFonts w:ascii="Calibri" w:hAnsi="Calibri" w:cs="Calibri"/>
        </w:rPr>
        <w:t xml:space="preserve"> make-believe that tree stumps are bears from which you must run or fight. He argues that the belief that the tree stump is a tree stump still guides your behaviour because you need to keep track of tree </w:t>
      </w:r>
      <w:r w:rsidRPr="00A66803">
        <w:rPr>
          <w:rFonts w:ascii="Calibri" w:hAnsi="Calibri" w:cs="Calibri"/>
        </w:rPr>
        <w:lastRenderedPageBreak/>
        <w:t xml:space="preserve">stumps to play the game. Thus, even in the context of pretence, beliefs display practical setting independence (Van Leeuwen, 2023: 42). But there is another belief that does not guide your behaviour, namely that if something is a tree stump, then it is not a bear. Imagining that the tree stumps are bears as part of the game has created a context in which the belief does not guide your behaviour. Yet, plausibly, you should be attributed that belief. </w:t>
      </w:r>
    </w:p>
    <w:p w14:paraId="6955E1BD"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 Second, the manifestation of a belief may depend upon what is at stake. A subject may believe that a gun is unloaded, but if they are asked to point it at their head and pull the trigger for a reward, then they are unlikely to proceed. This doesn’t throw the attribution of belief into question. It shows that there are some contexts in which we would not be prepared to act upon our beliefs, unless the reward is appropriately high. Relative to different contexts of potential penalty versus reward, there is still a significant difference between imagination and belief without appealing to the strong reading of contribution by default. </w:t>
      </w:r>
    </w:p>
    <w:p w14:paraId="1EC1FB43"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Failures of ideal rationality and cognitive science also present problems.  A typical example is the subject who strikes a match to see whether a petrol can is empty. Explanations of such behaviour are that our long-term memory is organised into thematically related compartments and the memories that are being drawn upon to find out something in gloomy conditions do not always include memories related to the flammability of what is being investigated. The subject fails to put these things together (Cherniak, 1986: 51). If our </w:t>
      </w:r>
      <w:proofErr w:type="gramStart"/>
      <w:r w:rsidRPr="00A66803">
        <w:rPr>
          <w:rFonts w:ascii="Calibri" w:hAnsi="Calibri" w:cs="Calibri"/>
        </w:rPr>
        <w:t>long term</w:t>
      </w:r>
      <w:proofErr w:type="gramEnd"/>
      <w:r w:rsidRPr="00A66803">
        <w:rPr>
          <w:rFonts w:ascii="Calibri" w:hAnsi="Calibri" w:cs="Calibri"/>
        </w:rPr>
        <w:t xml:space="preserve"> memory is made up of our beliefs, the compartmentalisation of </w:t>
      </w:r>
      <w:proofErr w:type="gramStart"/>
      <w:r w:rsidRPr="00A66803">
        <w:rPr>
          <w:rFonts w:ascii="Calibri" w:hAnsi="Calibri" w:cs="Calibri"/>
        </w:rPr>
        <w:t>long term</w:t>
      </w:r>
      <w:proofErr w:type="gramEnd"/>
      <w:r w:rsidRPr="00A66803">
        <w:rPr>
          <w:rFonts w:ascii="Calibri" w:hAnsi="Calibri" w:cs="Calibri"/>
        </w:rPr>
        <w:t xml:space="preserve"> memory may be taken to imply</w:t>
      </w:r>
      <w:proofErr w:type="gramStart"/>
      <w:r w:rsidRPr="00A66803">
        <w:rPr>
          <w:rFonts w:ascii="Calibri" w:hAnsi="Calibri" w:cs="Calibri"/>
        </w:rPr>
        <w:t>, in itself, that</w:t>
      </w:r>
      <w:proofErr w:type="gramEnd"/>
      <w:r w:rsidRPr="00A66803">
        <w:rPr>
          <w:rFonts w:ascii="Calibri" w:hAnsi="Calibri" w:cs="Calibri"/>
        </w:rPr>
        <w:t xml:space="preserve"> beliefs don’t guide in all contexts. Perhaps it may be argued that the subject didn’t recognise the belief about petrol being inflammable to be </w:t>
      </w:r>
      <w:proofErr w:type="gramStart"/>
      <w:r w:rsidRPr="00A66803">
        <w:rPr>
          <w:rFonts w:ascii="Calibri" w:hAnsi="Calibri" w:cs="Calibri"/>
        </w:rPr>
        <w:t>relevant</w:t>
      </w:r>
      <w:proofErr w:type="gramEnd"/>
      <w:r w:rsidRPr="00A66803">
        <w:rPr>
          <w:rFonts w:ascii="Calibri" w:hAnsi="Calibri" w:cs="Calibri"/>
        </w:rPr>
        <w:t xml:space="preserve"> but they would certainly agree that the belief is relevant if the question is raised with them.</w:t>
      </w:r>
    </w:p>
    <w:p w14:paraId="12D0F1FD"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A weaker reading of contribution by default is that </w:t>
      </w:r>
    </w:p>
    <w:p w14:paraId="74E036AC" w14:textId="77777777" w:rsidR="000F01B7" w:rsidRPr="00A66803" w:rsidRDefault="000F01B7" w:rsidP="000F01B7">
      <w:pPr>
        <w:spacing w:line="480" w:lineRule="auto"/>
        <w:ind w:left="720"/>
        <w:jc w:val="both"/>
        <w:rPr>
          <w:rFonts w:ascii="Calibri" w:hAnsi="Calibri" w:cs="Calibri"/>
        </w:rPr>
      </w:pPr>
      <w:r w:rsidRPr="00A66803">
        <w:rPr>
          <w:rFonts w:ascii="Calibri" w:hAnsi="Calibri" w:cs="Calibri"/>
        </w:rPr>
        <w:lastRenderedPageBreak/>
        <w:t xml:space="preserve">Beliefs are the most context-insensitive state with the content in question to have the motivational role typically associated with belief relative to the practical stakes of a situation (Noordhof, 2001: 253; Noordhof, 2024, Section 2; Noordhof, 2025a: 298-300).  </w:t>
      </w:r>
    </w:p>
    <w:p w14:paraId="589E546D" w14:textId="77777777" w:rsidR="000F01B7" w:rsidRPr="00A66803" w:rsidRDefault="000F01B7" w:rsidP="000F01B7">
      <w:pPr>
        <w:spacing w:line="480" w:lineRule="auto"/>
        <w:jc w:val="both"/>
        <w:rPr>
          <w:rFonts w:ascii="Calibri" w:hAnsi="Calibri" w:cs="Calibri"/>
        </w:rPr>
      </w:pPr>
      <w:r w:rsidRPr="00A66803">
        <w:rPr>
          <w:rFonts w:ascii="Calibri" w:hAnsi="Calibri" w:cs="Calibri"/>
        </w:rPr>
        <w:t xml:space="preserve">The content-relativity of the formulation reflects the fact that some contents of cognitive states may be more insensitive to context to play a role than others, for example, a belief that a brick is hurtling towards your head is presumably rather insensitive. There will be times when beliefs do not play the motivational role, for example, in the types of cases that constitute the first and third reasons against Van Leeuwen’s proposal. Because beliefs have this character, they are the default cognitive background to action. That doesn’t mean that they can’t be overlooked or set aside because of what a subject has decided to accept or imagine (Bratman, 1992: 18, 27-30). That’s why such cases are not an objection to the characterisation of belief given above (which also fits better with </w:t>
      </w:r>
      <w:proofErr w:type="spellStart"/>
      <w:r w:rsidRPr="00A66803">
        <w:rPr>
          <w:rFonts w:ascii="Calibri" w:hAnsi="Calibri" w:cs="Calibri"/>
        </w:rPr>
        <w:t>Spinozan</w:t>
      </w:r>
      <w:proofErr w:type="spellEnd"/>
      <w:r w:rsidRPr="00A66803">
        <w:rPr>
          <w:rFonts w:ascii="Calibri" w:hAnsi="Calibri" w:cs="Calibri"/>
        </w:rPr>
        <w:t xml:space="preserve"> approaches to belief, see BELIEVE WHAT WE THINK this volume).</w:t>
      </w:r>
    </w:p>
    <w:p w14:paraId="4D19C1AC" w14:textId="77777777" w:rsidR="000F01B7" w:rsidRPr="00A66803" w:rsidRDefault="000F01B7" w:rsidP="000F01B7">
      <w:pPr>
        <w:spacing w:line="480" w:lineRule="auto"/>
        <w:jc w:val="both"/>
        <w:rPr>
          <w:rFonts w:ascii="Calibri" w:hAnsi="Calibri" w:cs="Calibri"/>
        </w:rPr>
      </w:pPr>
    </w:p>
    <w:p w14:paraId="7027C8C9" w14:textId="77777777" w:rsidR="000F01B7" w:rsidRPr="00A66803" w:rsidRDefault="000F01B7" w:rsidP="000F01B7">
      <w:pPr>
        <w:spacing w:line="480" w:lineRule="auto"/>
        <w:jc w:val="both"/>
        <w:rPr>
          <w:rFonts w:ascii="Calibri" w:hAnsi="Calibri" w:cs="Calibri"/>
        </w:rPr>
      </w:pPr>
      <w:r w:rsidRPr="00A66803">
        <w:rPr>
          <w:rFonts w:ascii="Calibri" w:hAnsi="Calibri" w:cs="Calibri"/>
          <w:b/>
          <w:bCs/>
        </w:rPr>
        <w:t xml:space="preserve">3. Popular forms of </w:t>
      </w:r>
      <w:proofErr w:type="spellStart"/>
      <w:r w:rsidRPr="00A66803">
        <w:rPr>
          <w:rFonts w:ascii="Calibri" w:hAnsi="Calibri" w:cs="Calibri"/>
          <w:b/>
          <w:bCs/>
        </w:rPr>
        <w:t>Doxasticism</w:t>
      </w:r>
      <w:proofErr w:type="spellEnd"/>
      <w:r w:rsidRPr="00A66803">
        <w:rPr>
          <w:rFonts w:ascii="Calibri" w:hAnsi="Calibri" w:cs="Calibri"/>
          <w:b/>
          <w:bCs/>
        </w:rPr>
        <w:t xml:space="preserve"> and Non-</w:t>
      </w:r>
      <w:proofErr w:type="spellStart"/>
      <w:r w:rsidRPr="00A66803">
        <w:rPr>
          <w:rFonts w:ascii="Calibri" w:hAnsi="Calibri" w:cs="Calibri"/>
          <w:b/>
          <w:bCs/>
        </w:rPr>
        <w:t>Doxasticism</w:t>
      </w:r>
      <w:proofErr w:type="spellEnd"/>
    </w:p>
    <w:p w14:paraId="414EB70A" w14:textId="77777777" w:rsidR="000F01B7" w:rsidRPr="00A66803" w:rsidRDefault="000F01B7" w:rsidP="000F01B7">
      <w:pPr>
        <w:spacing w:line="480" w:lineRule="auto"/>
        <w:jc w:val="both"/>
        <w:rPr>
          <w:rFonts w:ascii="Calibri" w:hAnsi="Calibri" w:cs="Calibri"/>
        </w:rPr>
      </w:pPr>
      <w:r w:rsidRPr="00A66803">
        <w:rPr>
          <w:rFonts w:ascii="Calibri" w:hAnsi="Calibri" w:cs="Calibri"/>
        </w:rPr>
        <w:t xml:space="preserve">In this section, we will see how three theories – two doxastic, one non-doxastic – bear on the issue of how we should understand the default contribution that beliefs make in our mental lives compared with other cognitive states.  </w:t>
      </w:r>
    </w:p>
    <w:p w14:paraId="03D0C364" w14:textId="77777777" w:rsidR="000F01B7" w:rsidRPr="00A66803" w:rsidRDefault="000F01B7" w:rsidP="000F01B7">
      <w:pPr>
        <w:spacing w:line="480" w:lineRule="auto"/>
        <w:jc w:val="both"/>
        <w:rPr>
          <w:rFonts w:ascii="Calibri" w:hAnsi="Calibri" w:cs="Calibri"/>
        </w:rPr>
      </w:pPr>
    </w:p>
    <w:p w14:paraId="7AE4951D" w14:textId="77777777" w:rsidR="000F01B7" w:rsidRPr="00A66803" w:rsidRDefault="000F01B7" w:rsidP="000F01B7">
      <w:pPr>
        <w:spacing w:line="480" w:lineRule="auto"/>
        <w:jc w:val="both"/>
        <w:rPr>
          <w:rFonts w:ascii="Calibri" w:hAnsi="Calibri" w:cs="Calibri"/>
          <w:b/>
          <w:bCs/>
        </w:rPr>
      </w:pPr>
      <w:r w:rsidRPr="00A66803">
        <w:rPr>
          <w:rFonts w:ascii="Calibri" w:hAnsi="Calibri" w:cs="Calibri"/>
          <w:b/>
          <w:bCs/>
        </w:rPr>
        <w:t>3.1.</w:t>
      </w:r>
      <w:r w:rsidRPr="00A66803">
        <w:rPr>
          <w:rFonts w:ascii="Calibri" w:hAnsi="Calibri" w:cs="Calibri"/>
          <w:b/>
          <w:bCs/>
        </w:rPr>
        <w:tab/>
        <w:t>Comparison with Other Beliefs with Exotic Content</w:t>
      </w:r>
    </w:p>
    <w:p w14:paraId="2E3965CF"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 popular strategy in favour of delusion-characterising states being beliefs is to emphasise that there are other generally accepted cases of belief which display the features discussed in section 1</w:t>
      </w:r>
      <w:proofErr w:type="gramStart"/>
      <w:r w:rsidRPr="00A66803">
        <w:rPr>
          <w:rFonts w:ascii="Calibri" w:hAnsi="Calibri" w:cs="Calibri"/>
        </w:rPr>
        <w:t>, in particular, beliefs</w:t>
      </w:r>
      <w:proofErr w:type="gramEnd"/>
      <w:r w:rsidRPr="00A66803">
        <w:rPr>
          <w:rFonts w:ascii="Calibri" w:hAnsi="Calibri" w:cs="Calibri"/>
        </w:rPr>
        <w:t xml:space="preserve"> with religious, superstitious, or certain kinds of conspiratorial </w:t>
      </w:r>
      <w:r w:rsidRPr="00A66803">
        <w:rPr>
          <w:rFonts w:ascii="Calibri" w:hAnsi="Calibri" w:cs="Calibri"/>
        </w:rPr>
        <w:lastRenderedPageBreak/>
        <w:t xml:space="preserve">contents. Although these putative beliefs may be sensitive to evidence, they are not thought to be appropriately responsive to it. Their contents do not perform well as explanations of the evidence that we face. Although the putative beliefs </w:t>
      </w:r>
      <w:proofErr w:type="gramStart"/>
      <w:r w:rsidRPr="00A66803">
        <w:rPr>
          <w:rFonts w:ascii="Calibri" w:hAnsi="Calibri" w:cs="Calibri"/>
        </w:rPr>
        <w:t>have an effect upon</w:t>
      </w:r>
      <w:proofErr w:type="gramEnd"/>
      <w:r w:rsidRPr="00A66803">
        <w:rPr>
          <w:rFonts w:ascii="Calibri" w:hAnsi="Calibri" w:cs="Calibri"/>
        </w:rPr>
        <w:t xml:space="preserve"> their subjects’ emotional life and behaviour in some contexts, there are others in which the expected impact is not manifested. The comparison favours moderating the required context-insensitivity in the way I have broadly proposed. A problem with the strategy is that determined non-</w:t>
      </w:r>
      <w:proofErr w:type="spellStart"/>
      <w:r w:rsidRPr="00A66803">
        <w:rPr>
          <w:rFonts w:ascii="Calibri" w:hAnsi="Calibri" w:cs="Calibri"/>
        </w:rPr>
        <w:t>doxasticists</w:t>
      </w:r>
      <w:proofErr w:type="spellEnd"/>
      <w:r w:rsidRPr="00A66803">
        <w:rPr>
          <w:rFonts w:ascii="Calibri" w:hAnsi="Calibri" w:cs="Calibri"/>
        </w:rPr>
        <w:t xml:space="preserve"> are, for similar reasons, </w:t>
      </w:r>
      <w:proofErr w:type="gramStart"/>
      <w:r w:rsidRPr="00A66803">
        <w:rPr>
          <w:rFonts w:ascii="Calibri" w:hAnsi="Calibri" w:cs="Calibri"/>
        </w:rPr>
        <w:t>more or less equally</w:t>
      </w:r>
      <w:proofErr w:type="gramEnd"/>
      <w:r w:rsidRPr="00A66803">
        <w:rPr>
          <w:rFonts w:ascii="Calibri" w:hAnsi="Calibri" w:cs="Calibri"/>
        </w:rPr>
        <w:t xml:space="preserve"> convinced that the cognitive attitudes involving these other kinds of content are not beliefs either (e.g. Dub, 2017). On the face of it, there is an impasse. </w:t>
      </w:r>
    </w:p>
    <w:p w14:paraId="6B037BCE"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There is a line of consideration that may favour the non-</w:t>
      </w:r>
      <w:proofErr w:type="spellStart"/>
      <w:r w:rsidRPr="00A66803">
        <w:rPr>
          <w:rFonts w:ascii="Calibri" w:hAnsi="Calibri" w:cs="Calibri"/>
        </w:rPr>
        <w:t>doxasticist</w:t>
      </w:r>
      <w:proofErr w:type="spellEnd"/>
      <w:r w:rsidRPr="00A66803">
        <w:rPr>
          <w:rFonts w:ascii="Calibri" w:hAnsi="Calibri" w:cs="Calibri"/>
        </w:rPr>
        <w:t xml:space="preserve"> about delusions drawn from the idea that a subject having beliefs with these other contents is giving some kind of social signal which is absent in the case of delusions: identification with a certain group. For example, in the case of some religious, conspiracy theory, ideological and nationalist beliefs, the absurdity of their contents, and lack of evidential support for them, is a strategy for indicating in-group commitment (Mercier, 2020: 191-8, other relevant work includes Gill </w:t>
      </w:r>
      <w:r>
        <w:rPr>
          <w:rFonts w:ascii="Calibri" w:hAnsi="Calibri" w:cs="Calibri"/>
        </w:rPr>
        <w:t>&amp;</w:t>
      </w:r>
      <w:r w:rsidRPr="00A66803">
        <w:rPr>
          <w:rFonts w:ascii="Calibri" w:hAnsi="Calibri" w:cs="Calibri"/>
        </w:rPr>
        <w:t xml:space="preserve"> </w:t>
      </w:r>
      <w:proofErr w:type="spellStart"/>
      <w:r w:rsidRPr="00A66803">
        <w:rPr>
          <w:rFonts w:ascii="Calibri" w:hAnsi="Calibri" w:cs="Calibri"/>
        </w:rPr>
        <w:t>Lombrozo</w:t>
      </w:r>
      <w:proofErr w:type="spellEnd"/>
      <w:r w:rsidRPr="00A66803">
        <w:rPr>
          <w:rFonts w:ascii="Calibri" w:hAnsi="Calibri" w:cs="Calibri"/>
        </w:rPr>
        <w:t xml:space="preserve">, 2023). They make it hard for those in the group to defect from the group because of the reputational damage that the members of the group face by their commitment to absurd beliefs. </w:t>
      </w:r>
      <w:r>
        <w:rPr>
          <w:rFonts w:ascii="Calibri" w:hAnsi="Calibri" w:cs="Calibri"/>
        </w:rPr>
        <w:t xml:space="preserve">Daniel </w:t>
      </w:r>
      <w:r w:rsidRPr="00A66803">
        <w:rPr>
          <w:rFonts w:ascii="Calibri" w:hAnsi="Calibri" w:cs="Calibri"/>
        </w:rPr>
        <w:t xml:space="preserve">Williams dubs this the </w:t>
      </w:r>
      <w:r w:rsidRPr="00A66803">
        <w:rPr>
          <w:rFonts w:ascii="Calibri" w:hAnsi="Calibri" w:cs="Calibri"/>
          <w:i/>
          <w:iCs/>
        </w:rPr>
        <w:t>strategic absurdity hypothesis</w:t>
      </w:r>
      <w:r w:rsidRPr="00A66803">
        <w:rPr>
          <w:rFonts w:ascii="Calibri" w:hAnsi="Calibri" w:cs="Calibri"/>
        </w:rPr>
        <w:t xml:space="preserve"> (Williams, 2022: 1015). This is not the only signalling role that a belief may have. For example, if you have the belief that your team is the best (when perhaps that is a stretch), you are signalling your commitment to your team but you are not incurring a cost that makes it harder to defect from your team commitment (Williams, 2022: 1016).</w:t>
      </w:r>
    </w:p>
    <w:p w14:paraId="7FB18438"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If we allow that certain beliefs have a social signalling role, then there is also a potential conflict with the idea, defended in section 2, that beliefs are always the most context-</w:t>
      </w:r>
      <w:r w:rsidRPr="00A66803">
        <w:rPr>
          <w:rFonts w:ascii="Calibri" w:hAnsi="Calibri" w:cs="Calibri"/>
        </w:rPr>
        <w:lastRenderedPageBreak/>
        <w:t xml:space="preserve">insensitive state with the motivational role typically associated with belief. Natural selection can explain why evidence-sensitive beliefs have a context-insensitive motivational role because such states are more likely to be true and give rise to successful action. In my favoured version of this view, this is mediated by the nature of conscious attention (Noordhof, 2024: 286-94). Beliefs that fail to reflect reality but have a social signalling role won’t have this beneficial contribution. If social signalling beliefs don’t have the beneficial consequences regarding a subject’s actions, this may explain why these beliefs fail to have the same context-insensitivity. Because they lack appropriate responsiveness to evidence, they are relatively encapsulated. Their motivational role is limited to </w:t>
      </w:r>
      <w:proofErr w:type="gramStart"/>
      <w:r w:rsidRPr="00A66803">
        <w:rPr>
          <w:rFonts w:ascii="Calibri" w:hAnsi="Calibri" w:cs="Calibri"/>
        </w:rPr>
        <w:t>particular contexts</w:t>
      </w:r>
      <w:proofErr w:type="gramEnd"/>
      <w:r w:rsidRPr="00A66803">
        <w:rPr>
          <w:rFonts w:ascii="Calibri" w:hAnsi="Calibri" w:cs="Calibri"/>
        </w:rPr>
        <w:t xml:space="preserve"> and so don’t become the basis for action more generally (Williams, 2022: 1019, 1025-6).  </w:t>
      </w:r>
    </w:p>
    <w:p w14:paraId="582A583F"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Lack of evidence sensitivity and context-insensitivity are not grounds for denying that the cognitive states are beliefs (as opposed to suppositions or acceptances) because the social costs of defecting, which the beliefs are meant to signal, involve the subject seeming to be sincere in their commitment to the content.  Mere acceptance or supposition would not provide this. The beliefs are formed </w:t>
      </w:r>
      <w:proofErr w:type="gramStart"/>
      <w:r w:rsidRPr="00A66803">
        <w:rPr>
          <w:rFonts w:ascii="Calibri" w:hAnsi="Calibri" w:cs="Calibri"/>
        </w:rPr>
        <w:t>as a result of</w:t>
      </w:r>
      <w:proofErr w:type="gramEnd"/>
      <w:r w:rsidRPr="00A66803">
        <w:rPr>
          <w:rFonts w:ascii="Calibri" w:hAnsi="Calibri" w:cs="Calibri"/>
        </w:rPr>
        <w:t xml:space="preserve"> motivationally biased search for, and treatment of, evidence in favour of the belief (Williams, 2022: 1019-22). In this respect, the formation of such beliefs is no different from other forms of motivated irrationality. The benefits of social signalling both explain why the states count as beliefs and, at the same time, explain why the states don’t display the same context-insensitivity.</w:t>
      </w:r>
    </w:p>
    <w:p w14:paraId="6B88451F"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The challenge to taking delusion-characterising states as beliefs is that, while there is a social signalling explanation for why cognitive attitudes with religious, superstitious or conspiratorial contents </w:t>
      </w:r>
      <w:proofErr w:type="gramStart"/>
      <w:r w:rsidRPr="00A66803">
        <w:rPr>
          <w:rFonts w:ascii="Calibri" w:hAnsi="Calibri" w:cs="Calibri"/>
        </w:rPr>
        <w:t>are beliefs</w:t>
      </w:r>
      <w:proofErr w:type="gramEnd"/>
      <w:r w:rsidRPr="00A66803">
        <w:rPr>
          <w:rFonts w:ascii="Calibri" w:hAnsi="Calibri" w:cs="Calibri"/>
        </w:rPr>
        <w:t xml:space="preserve">, limiting their motivational role to certain contexts, this explanation is not available in the case of delusory cognitive states. It is sometimes remarked that those who have delusions have a malfunction of some aspect of social cognition that </w:t>
      </w:r>
      <w:r w:rsidRPr="00A66803">
        <w:rPr>
          <w:rFonts w:ascii="Calibri" w:hAnsi="Calibri" w:cs="Calibri"/>
        </w:rPr>
        <w:lastRenderedPageBreak/>
        <w:t xml:space="preserve">would otherwise enable them to moderate the content of their beliefs (e.g. Bell </w:t>
      </w:r>
      <w:r>
        <w:rPr>
          <w:rFonts w:ascii="Calibri" w:hAnsi="Calibri" w:cs="Calibri"/>
        </w:rPr>
        <w:t>et al.</w:t>
      </w:r>
      <w:r w:rsidRPr="00A66803">
        <w:rPr>
          <w:rFonts w:ascii="Calibri" w:hAnsi="Calibri" w:cs="Calibri"/>
        </w:rPr>
        <w:t>, 2021: 29). The fact that delusion-characterising states are inappropriately sensitive to evidence and lack the context-insensitivity of their motivational role is indicative of them not being beliefs at all.</w:t>
      </w:r>
    </w:p>
    <w:p w14:paraId="65D0A71A"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There are, at least, two replies to the challenge. The first is to note that the signalling function of beliefs relies upon the audience being successful mind readers </w:t>
      </w:r>
      <w:proofErr w:type="gramStart"/>
      <w:r w:rsidRPr="00A66803">
        <w:rPr>
          <w:rFonts w:ascii="Calibri" w:hAnsi="Calibri" w:cs="Calibri"/>
        </w:rPr>
        <w:t>as a result of</w:t>
      </w:r>
      <w:proofErr w:type="gramEnd"/>
      <w:r w:rsidRPr="00A66803">
        <w:rPr>
          <w:rFonts w:ascii="Calibri" w:hAnsi="Calibri" w:cs="Calibri"/>
        </w:rPr>
        <w:t xml:space="preserve"> linguistic and non-linguistic behaviour. Motivated reasoning giving rise to self-deceptive belief is evolutionarily selected because a subject believing that p is the most effective means by which they can signal the group commitments in question. Insincere assertion will be caught out. Self-deception, and motivated irrationality more generally, are the best way of obtaining the evolutionary benefits of false representations to other subjects (e.g., Von Hippel </w:t>
      </w:r>
      <w:r>
        <w:rPr>
          <w:rFonts w:ascii="Calibri" w:hAnsi="Calibri" w:cs="Calibri"/>
        </w:rPr>
        <w:t>&amp;</w:t>
      </w:r>
      <w:r w:rsidRPr="00A66803">
        <w:rPr>
          <w:rFonts w:ascii="Calibri" w:hAnsi="Calibri" w:cs="Calibri"/>
        </w:rPr>
        <w:t xml:space="preserve"> Trivers, 2011). If the audience are not successful mind readers, then subjects can display behaviour that signals the commitments that might follow from the subject being attributed a belief and yet the subject fail to have the belief. There would be no benefit in having a false belief with its potentially damaging consequences. </w:t>
      </w:r>
    </w:p>
    <w:p w14:paraId="10A77F6B"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Recent research has found that laypeople are not better than chance at detecting the </w:t>
      </w:r>
      <w:proofErr w:type="spellStart"/>
      <w:r w:rsidRPr="00A66803">
        <w:rPr>
          <w:rFonts w:ascii="Calibri" w:hAnsi="Calibri" w:cs="Calibri"/>
        </w:rPr>
        <w:t>lies</w:t>
      </w:r>
      <w:proofErr w:type="spellEnd"/>
      <w:r w:rsidRPr="00A66803">
        <w:rPr>
          <w:rFonts w:ascii="Calibri" w:hAnsi="Calibri" w:cs="Calibri"/>
        </w:rPr>
        <w:t xml:space="preserve"> of others and even trained experts (while sometimes performing better than chance) are often wrong (Bond, 2008: 1298-9; Ekman </w:t>
      </w:r>
      <w:r>
        <w:rPr>
          <w:rFonts w:ascii="Calibri" w:hAnsi="Calibri" w:cs="Calibri"/>
        </w:rPr>
        <w:t>et al.</w:t>
      </w:r>
      <w:r w:rsidRPr="00A66803">
        <w:rPr>
          <w:rFonts w:ascii="Calibri" w:hAnsi="Calibri" w:cs="Calibri"/>
        </w:rPr>
        <w:t xml:space="preserve">, 1999: 263, 265; Ekman </w:t>
      </w:r>
      <w:r>
        <w:rPr>
          <w:rFonts w:ascii="Calibri" w:hAnsi="Calibri" w:cs="Calibri"/>
        </w:rPr>
        <w:t>&amp;</w:t>
      </w:r>
      <w:r w:rsidRPr="00A66803">
        <w:rPr>
          <w:rFonts w:ascii="Calibri" w:hAnsi="Calibri" w:cs="Calibri"/>
        </w:rPr>
        <w:t xml:space="preserve"> O’Sullivan, 1991: 916; Hartwig </w:t>
      </w:r>
      <w:r>
        <w:rPr>
          <w:rFonts w:ascii="Calibri" w:hAnsi="Calibri" w:cs="Calibri"/>
        </w:rPr>
        <w:t>&amp;</w:t>
      </w:r>
      <w:r w:rsidRPr="00A66803">
        <w:rPr>
          <w:rFonts w:ascii="Calibri" w:hAnsi="Calibri" w:cs="Calibri"/>
        </w:rPr>
        <w:t xml:space="preserve"> Bond, 2014: 667). There is no reason to expect that in the general run of things you need to be self-deceived </w:t>
      </w:r>
      <w:proofErr w:type="gramStart"/>
      <w:r w:rsidRPr="00A66803">
        <w:rPr>
          <w:rFonts w:ascii="Calibri" w:hAnsi="Calibri" w:cs="Calibri"/>
        </w:rPr>
        <w:t>in order to</w:t>
      </w:r>
      <w:proofErr w:type="gramEnd"/>
      <w:r w:rsidRPr="00A66803">
        <w:rPr>
          <w:rFonts w:ascii="Calibri" w:hAnsi="Calibri" w:cs="Calibri"/>
        </w:rPr>
        <w:t xml:space="preserve"> deceive others. There is a trade-off between the benefits of being slightly better at avoiding detection, and having to keep track of one’s lies, on the o</w:t>
      </w:r>
      <w:r>
        <w:rPr>
          <w:rFonts w:ascii="Calibri" w:hAnsi="Calibri" w:cs="Calibri"/>
        </w:rPr>
        <w:t>ne</w:t>
      </w:r>
      <w:r w:rsidRPr="00A66803">
        <w:rPr>
          <w:rFonts w:ascii="Calibri" w:hAnsi="Calibri" w:cs="Calibri"/>
        </w:rPr>
        <w:t xml:space="preserve"> hand and the dangers of being disposed to act </w:t>
      </w:r>
      <w:proofErr w:type="gramStart"/>
      <w:r w:rsidRPr="00A66803">
        <w:rPr>
          <w:rFonts w:ascii="Calibri" w:hAnsi="Calibri" w:cs="Calibri"/>
        </w:rPr>
        <w:t>on the basis of</w:t>
      </w:r>
      <w:proofErr w:type="gramEnd"/>
      <w:r w:rsidRPr="00A66803">
        <w:rPr>
          <w:rFonts w:ascii="Calibri" w:hAnsi="Calibri" w:cs="Calibri"/>
        </w:rPr>
        <w:t xml:space="preserve"> a falsehood and the disposition having to be encapsulated on the other. It is by no means clear that the trade-off favours the belief-signalling approach when the margins are so slight.</w:t>
      </w:r>
    </w:p>
    <w:p w14:paraId="04CFDFBA" w14:textId="77777777" w:rsidR="000F01B7" w:rsidRPr="00A66803" w:rsidRDefault="000F01B7" w:rsidP="000F01B7">
      <w:pPr>
        <w:spacing w:line="480" w:lineRule="auto"/>
        <w:jc w:val="both"/>
        <w:rPr>
          <w:rFonts w:ascii="Calibri" w:hAnsi="Calibri" w:cs="Calibri"/>
        </w:rPr>
      </w:pPr>
      <w:r w:rsidRPr="00A66803">
        <w:rPr>
          <w:rFonts w:ascii="Calibri" w:hAnsi="Calibri" w:cs="Calibri"/>
        </w:rPr>
        <w:lastRenderedPageBreak/>
        <w:tab/>
        <w:t xml:space="preserve">Second, social signalling can trade on the difference between sincere assertion and belief. Suppose that you assert that p. One way in which the assertion is sincere is if your belief that p causes the assertion in the appropriate way. A second way is if you believe that you believe that p, </w:t>
      </w:r>
      <w:proofErr w:type="gramStart"/>
      <w:r w:rsidRPr="00A66803">
        <w:rPr>
          <w:rFonts w:ascii="Calibri" w:hAnsi="Calibri" w:cs="Calibri"/>
        </w:rPr>
        <w:t>whether or not</w:t>
      </w:r>
      <w:proofErr w:type="gramEnd"/>
      <w:r w:rsidRPr="00A66803">
        <w:rPr>
          <w:rFonts w:ascii="Calibri" w:hAnsi="Calibri" w:cs="Calibri"/>
        </w:rPr>
        <w:t xml:space="preserve"> you do believe that p, </w:t>
      </w:r>
      <w:proofErr w:type="gramStart"/>
      <w:r w:rsidRPr="00A66803">
        <w:rPr>
          <w:rFonts w:ascii="Calibri" w:hAnsi="Calibri" w:cs="Calibri"/>
        </w:rPr>
        <w:t>on the basis of</w:t>
      </w:r>
      <w:proofErr w:type="gramEnd"/>
      <w:r w:rsidRPr="00A66803">
        <w:rPr>
          <w:rFonts w:ascii="Calibri" w:hAnsi="Calibri" w:cs="Calibri"/>
        </w:rPr>
        <w:t xml:space="preserve"> the epistemic reasons of which you are currently aware in the context in which you are operating. If the nature of beliefs involves a context-insensitive motivational role, then our present apprehension of these epistemic reasons need not reveal that one, in fact, believes that p. We can sincerely assert, or avow, that p while not believing that p. In which case, it is more plausible that sincere assertion is behind social signalling rather than belief. Sincere assertion may occur when the people to whom we are signalling have made salient to us in group activity the reasons in favour of a belief, and we persist in attending to them. The support from the group, or background motivation we have in making the signal, enables us to persist in this focus while not necessarily meeting the conditions on having a belief outside of signalling contexts.</w:t>
      </w:r>
    </w:p>
    <w:p w14:paraId="35C68A5C"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If the case for </w:t>
      </w:r>
      <w:r w:rsidRPr="00A66803">
        <w:rPr>
          <w:rFonts w:ascii="Calibri" w:hAnsi="Calibri" w:cs="Calibri"/>
          <w:i/>
          <w:iCs/>
        </w:rPr>
        <w:t xml:space="preserve">beliefs </w:t>
      </w:r>
      <w:r w:rsidRPr="00A66803">
        <w:rPr>
          <w:rFonts w:ascii="Calibri" w:hAnsi="Calibri" w:cs="Calibri"/>
        </w:rPr>
        <w:t>having a signalling function is weak, then there is no point of disanalogy between candidate beliefs with religious, conspiratorial</w:t>
      </w:r>
      <w:r>
        <w:rPr>
          <w:rFonts w:ascii="Calibri" w:hAnsi="Calibri" w:cs="Calibri"/>
        </w:rPr>
        <w:t>,</w:t>
      </w:r>
      <w:r w:rsidRPr="00A66803">
        <w:rPr>
          <w:rFonts w:ascii="Calibri" w:hAnsi="Calibri" w:cs="Calibri"/>
        </w:rPr>
        <w:t xml:space="preserve"> and superstitious content and those that characterise delusions. </w:t>
      </w:r>
      <w:proofErr w:type="spellStart"/>
      <w:r w:rsidRPr="00A66803">
        <w:rPr>
          <w:rFonts w:ascii="Calibri" w:hAnsi="Calibri" w:cs="Calibri"/>
        </w:rPr>
        <w:t>Doxasticists</w:t>
      </w:r>
      <w:proofErr w:type="spellEnd"/>
      <w:r w:rsidRPr="00A66803">
        <w:rPr>
          <w:rFonts w:ascii="Calibri" w:hAnsi="Calibri" w:cs="Calibri"/>
        </w:rPr>
        <w:t xml:space="preserve"> can continue to insist that the beliefs of subjects with delusions are </w:t>
      </w:r>
      <w:proofErr w:type="gramStart"/>
      <w:r w:rsidRPr="00A66803">
        <w:rPr>
          <w:rFonts w:ascii="Calibri" w:hAnsi="Calibri" w:cs="Calibri"/>
        </w:rPr>
        <w:t>similar to</w:t>
      </w:r>
      <w:proofErr w:type="gramEnd"/>
      <w:r w:rsidRPr="00A66803">
        <w:rPr>
          <w:rFonts w:ascii="Calibri" w:hAnsi="Calibri" w:cs="Calibri"/>
        </w:rPr>
        <w:t xml:space="preserve"> those involving religious and conspiratorial beliefs. They remain vulnerable to a general non-</w:t>
      </w:r>
      <w:proofErr w:type="spellStart"/>
      <w:r w:rsidRPr="00A66803">
        <w:rPr>
          <w:rFonts w:ascii="Calibri" w:hAnsi="Calibri" w:cs="Calibri"/>
        </w:rPr>
        <w:t>doxasticism</w:t>
      </w:r>
      <w:proofErr w:type="spellEnd"/>
      <w:r w:rsidRPr="00A66803">
        <w:rPr>
          <w:rFonts w:ascii="Calibri" w:hAnsi="Calibri" w:cs="Calibri"/>
        </w:rPr>
        <w:t xml:space="preserve"> emphasising the way in which </w:t>
      </w:r>
      <w:proofErr w:type="gramStart"/>
      <w:r w:rsidRPr="00A66803">
        <w:rPr>
          <w:rFonts w:ascii="Calibri" w:hAnsi="Calibri" w:cs="Calibri"/>
        </w:rPr>
        <w:t>all of</w:t>
      </w:r>
      <w:proofErr w:type="gramEnd"/>
      <w:r w:rsidRPr="00A66803">
        <w:rPr>
          <w:rFonts w:ascii="Calibri" w:hAnsi="Calibri" w:cs="Calibri"/>
        </w:rPr>
        <w:t xml:space="preserve"> the </w:t>
      </w:r>
      <w:proofErr w:type="spellStart"/>
      <w:r w:rsidRPr="00A66803">
        <w:rPr>
          <w:rFonts w:ascii="Calibri" w:hAnsi="Calibri" w:cs="Calibri"/>
        </w:rPr>
        <w:t>states</w:t>
      </w:r>
      <w:proofErr w:type="spellEnd"/>
      <w:r w:rsidRPr="00A66803">
        <w:rPr>
          <w:rFonts w:ascii="Calibri" w:hAnsi="Calibri" w:cs="Calibri"/>
        </w:rPr>
        <w:t xml:space="preserve"> lack typical features of belief. In addition, non-</w:t>
      </w:r>
      <w:proofErr w:type="spellStart"/>
      <w:r w:rsidRPr="00A66803">
        <w:rPr>
          <w:rFonts w:ascii="Calibri" w:hAnsi="Calibri" w:cs="Calibri"/>
        </w:rPr>
        <w:t>doxasticists</w:t>
      </w:r>
      <w:proofErr w:type="spellEnd"/>
      <w:r w:rsidRPr="00A66803">
        <w:rPr>
          <w:rFonts w:ascii="Calibri" w:hAnsi="Calibri" w:cs="Calibri"/>
        </w:rPr>
        <w:t xml:space="preserve"> may argue that, if we do not assume, in advance, that this class of states are beliefs, then the fact that they are less context insensitive than many other cases of beliefs, in the sense characterised in the previous section, threatens their status as beliefs.  We will </w:t>
      </w:r>
      <w:proofErr w:type="gramStart"/>
      <w:r w:rsidRPr="00A66803">
        <w:rPr>
          <w:rFonts w:ascii="Calibri" w:hAnsi="Calibri" w:cs="Calibri"/>
        </w:rPr>
        <w:t>look into</w:t>
      </w:r>
      <w:proofErr w:type="gramEnd"/>
      <w:r w:rsidRPr="00A66803">
        <w:rPr>
          <w:rFonts w:ascii="Calibri" w:hAnsi="Calibri" w:cs="Calibri"/>
        </w:rPr>
        <w:t xml:space="preserve"> whether this is correct in section 3. 3. But, before that, it is worth considering whether non-doxastic approaches manage to avoid the difficulties that arise if you attribute delusion-characterising beliefs.</w:t>
      </w:r>
    </w:p>
    <w:p w14:paraId="1CB6B035" w14:textId="77777777" w:rsidR="000F01B7" w:rsidRPr="00A66803" w:rsidRDefault="000F01B7" w:rsidP="000F01B7">
      <w:pPr>
        <w:spacing w:line="480" w:lineRule="auto"/>
        <w:jc w:val="both"/>
        <w:rPr>
          <w:rFonts w:ascii="Calibri" w:hAnsi="Calibri" w:cs="Calibri"/>
        </w:rPr>
      </w:pPr>
    </w:p>
    <w:p w14:paraId="2792B15B" w14:textId="77777777" w:rsidR="000F01B7" w:rsidRPr="00A66803" w:rsidRDefault="000F01B7" w:rsidP="000F01B7">
      <w:pPr>
        <w:spacing w:line="480" w:lineRule="auto"/>
        <w:jc w:val="both"/>
        <w:rPr>
          <w:rFonts w:ascii="Calibri" w:hAnsi="Calibri" w:cs="Calibri"/>
          <w:b/>
          <w:bCs/>
        </w:rPr>
      </w:pPr>
      <w:r w:rsidRPr="00A66803">
        <w:rPr>
          <w:rFonts w:ascii="Calibri" w:hAnsi="Calibri" w:cs="Calibri"/>
          <w:b/>
          <w:bCs/>
        </w:rPr>
        <w:t>3. 2. Non-</w:t>
      </w:r>
      <w:proofErr w:type="spellStart"/>
      <w:r w:rsidRPr="00A66803">
        <w:rPr>
          <w:rFonts w:ascii="Calibri" w:hAnsi="Calibri" w:cs="Calibri"/>
          <w:b/>
          <w:bCs/>
        </w:rPr>
        <w:t>doxasticism</w:t>
      </w:r>
      <w:proofErr w:type="spellEnd"/>
      <w:r w:rsidRPr="00A66803">
        <w:rPr>
          <w:rFonts w:ascii="Calibri" w:hAnsi="Calibri" w:cs="Calibri"/>
          <w:b/>
          <w:bCs/>
        </w:rPr>
        <w:t xml:space="preserve"> with a meta-cognitive element</w:t>
      </w:r>
    </w:p>
    <w:p w14:paraId="41AAAA34" w14:textId="77777777" w:rsidR="000F01B7" w:rsidRPr="00A66803" w:rsidRDefault="000F01B7" w:rsidP="000F01B7">
      <w:pPr>
        <w:spacing w:line="480" w:lineRule="auto"/>
        <w:jc w:val="both"/>
        <w:rPr>
          <w:rFonts w:ascii="Calibri" w:hAnsi="Calibri" w:cs="Calibri"/>
        </w:rPr>
      </w:pPr>
      <w:r w:rsidRPr="00A66803">
        <w:rPr>
          <w:rFonts w:ascii="Calibri" w:hAnsi="Calibri" w:cs="Calibri"/>
        </w:rPr>
        <w:t xml:space="preserve">Some have characterised a subject with delusions in terms of imaginings that they (the subject with delusions) believe to be beliefs. The fact that imaginings are not integrated in the same way as beliefs in the rest of our mental life and are unconstrained by evidence provides support for this attribution. Although there may be some emotional integration, just as in the case of our imaginative response to fiction, the response is not consistent across the board. The meta-cognitive element, for example, that a subject with Capgras delusion believes that they believe that their loved one has been replaced by an imposter, helps to explain why they assert the content of the belief, and recognise the inconsistency of the content of their delusion-characterising state with other things they believe. The metacognitive element is also supposed to explain why subjects are puzzled by the state they are in. They fail to appreciate that their imaginings are not beliefs (Currie </w:t>
      </w:r>
      <w:r>
        <w:rPr>
          <w:rFonts w:ascii="Calibri" w:hAnsi="Calibri" w:cs="Calibri"/>
        </w:rPr>
        <w:t>&amp;</w:t>
      </w:r>
      <w:r w:rsidRPr="00A66803">
        <w:rPr>
          <w:rFonts w:ascii="Calibri" w:hAnsi="Calibri" w:cs="Calibri"/>
        </w:rPr>
        <w:t xml:space="preserve"> </w:t>
      </w:r>
      <w:proofErr w:type="spellStart"/>
      <w:r w:rsidRPr="00A66803">
        <w:rPr>
          <w:rFonts w:ascii="Calibri" w:hAnsi="Calibri" w:cs="Calibri"/>
        </w:rPr>
        <w:t>Jureidini</w:t>
      </w:r>
      <w:proofErr w:type="spellEnd"/>
      <w:r w:rsidRPr="00A66803">
        <w:rPr>
          <w:rFonts w:ascii="Calibri" w:hAnsi="Calibri" w:cs="Calibri"/>
        </w:rPr>
        <w:t>, 2001: 161).</w:t>
      </w:r>
    </w:p>
    <w:p w14:paraId="4B5064EE"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One difficulty with the approach is that it is supposed to deal with the problem of attributing, to a subject, inconsistent beliefs or a belief that p which is clearly incompatible with much that they otherwise believe. The concern is not that there are no circumstances in which it is legitimate to attribute to a subject a belief that p, when they also have beliefs that are rationally incompatible with it, but rather whether we should attribute the belief that p when </w:t>
      </w:r>
      <w:r w:rsidRPr="00A66803">
        <w:rPr>
          <w:rFonts w:ascii="Calibri" w:hAnsi="Calibri" w:cs="Calibri"/>
          <w:i/>
          <w:iCs/>
        </w:rPr>
        <w:t>subjects are aware of the incompatibility and don’t resolve it</w:t>
      </w:r>
      <w:r w:rsidRPr="00A66803">
        <w:rPr>
          <w:rFonts w:ascii="Calibri" w:hAnsi="Calibri" w:cs="Calibri"/>
        </w:rPr>
        <w:t xml:space="preserve">. To be aware of having incompatible beliefs is consciously to believe that you believe that p and believe that you believe that not-p (or have other beliefs that are rationally incompatible with believing that p). This is precisely the combination of meta-cognitive states that proponents of the second position propose to attribute to the subject with the delusion. If the subject does not believe that they believe things rationally incompatible with the delusion-characterising state, then </w:t>
      </w:r>
      <w:r w:rsidRPr="00A66803">
        <w:rPr>
          <w:rFonts w:ascii="Calibri" w:hAnsi="Calibri" w:cs="Calibri"/>
        </w:rPr>
        <w:lastRenderedPageBreak/>
        <w:t>there is no problem with attributing to them a delusion-characterising belief. Their failure to believe they believe things rationally incompatible with the delusion-characterising state can explain why they have the delusion-characterising belief.</w:t>
      </w:r>
      <w:r w:rsidRPr="00A66803" w:rsidDel="00CC0C6C">
        <w:rPr>
          <w:rFonts w:ascii="Calibri" w:hAnsi="Calibri" w:cs="Calibri"/>
        </w:rPr>
        <w:t xml:space="preserve"> </w:t>
      </w:r>
      <w:r w:rsidRPr="00A66803">
        <w:rPr>
          <w:rFonts w:ascii="Calibri" w:hAnsi="Calibri" w:cs="Calibri"/>
        </w:rPr>
        <w:t>The problem is that when meta-cognitivist non-</w:t>
      </w:r>
      <w:proofErr w:type="spellStart"/>
      <w:r w:rsidRPr="00A66803">
        <w:rPr>
          <w:rFonts w:ascii="Calibri" w:hAnsi="Calibri" w:cs="Calibri"/>
        </w:rPr>
        <w:t>doxasticists</w:t>
      </w:r>
      <w:proofErr w:type="spellEnd"/>
      <w:r w:rsidRPr="00A66803">
        <w:rPr>
          <w:rFonts w:ascii="Calibri" w:hAnsi="Calibri" w:cs="Calibri"/>
        </w:rPr>
        <w:t xml:space="preserve"> add that the subject also believes, of their imagining that p, that it is a belief that p to explain why they behave as they do, then they reproduce the problematic state of mind that originally led them to be non-</w:t>
      </w:r>
      <w:proofErr w:type="spellStart"/>
      <w:r w:rsidRPr="00A66803">
        <w:rPr>
          <w:rFonts w:ascii="Calibri" w:hAnsi="Calibri" w:cs="Calibri"/>
        </w:rPr>
        <w:t>doxasticists</w:t>
      </w:r>
      <w:proofErr w:type="spellEnd"/>
      <w:r w:rsidRPr="00A66803">
        <w:rPr>
          <w:rFonts w:ascii="Calibri" w:hAnsi="Calibri" w:cs="Calibri"/>
        </w:rPr>
        <w:t xml:space="preserve"> in the first place.  The explanatory benefit of appealing to non-doxastic states is undermined by the meta-cognitive aspect and are unmotivated if the meta-cognitive aspect is abandoned.</w:t>
      </w:r>
    </w:p>
    <w:p w14:paraId="663CE8B5" w14:textId="77777777" w:rsidR="000F01B7" w:rsidRPr="00A66803" w:rsidRDefault="000F01B7" w:rsidP="000F01B7">
      <w:pPr>
        <w:spacing w:line="480" w:lineRule="auto"/>
        <w:jc w:val="both"/>
        <w:rPr>
          <w:rFonts w:ascii="Calibri" w:hAnsi="Calibri" w:cs="Calibri"/>
        </w:rPr>
      </w:pPr>
      <w:r w:rsidRPr="00A66803">
        <w:rPr>
          <w:rFonts w:ascii="Calibri" w:hAnsi="Calibri" w:cs="Calibri"/>
        </w:rPr>
        <w:t xml:space="preserve"> </w:t>
      </w:r>
      <w:r w:rsidRPr="00A66803">
        <w:rPr>
          <w:rFonts w:ascii="Calibri" w:hAnsi="Calibri" w:cs="Calibri"/>
        </w:rPr>
        <w:tab/>
        <w:t xml:space="preserve">A second difficulty for the meta-cognitive approach concerns how tight the connection between the belief that you believe that p and the belief that p is. It is plausible that there is considerable overlap in the functional role of these states. As we saw earlier, if you believe that you believe that p, you will sincerely assert p. Further you will act as if p is true in many contexts. For example, if I believe that I believe that my wife has been replaced by an imposter, I will be concerned about what has happened to my wife and wonder what has happened to her. If I am not, this would be a source of considerable puzzlement to me given what I believe that I believe. The situation of the subject with delusions is not comparable to the situation of subjects we described earlier in which a gap may </w:t>
      </w:r>
      <w:proofErr w:type="gramStart"/>
      <w:r w:rsidRPr="00A66803">
        <w:rPr>
          <w:rFonts w:ascii="Calibri" w:hAnsi="Calibri" w:cs="Calibri"/>
        </w:rPr>
        <w:t>open up</w:t>
      </w:r>
      <w:proofErr w:type="gramEnd"/>
      <w:r w:rsidRPr="00A66803">
        <w:rPr>
          <w:rFonts w:ascii="Calibri" w:hAnsi="Calibri" w:cs="Calibri"/>
        </w:rPr>
        <w:t xml:space="preserve"> between sincere assertion and the belief that p because of the operation of motivational factors or group support. The question is how the meta-cognitive state can avoid attributing a puzzling state of mind to the subject to much the same degree as attributing the belief. </w:t>
      </w:r>
    </w:p>
    <w:p w14:paraId="49B85752"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The last point may be resisted by those who adopt a meta-cognitive position that avoids attributing to the subject a full understanding of the content of the belief that is meta-cognitively attributed. Dan Sperber has suggested that the capacity to represent representations that one does not fully understand enables a subject to think about things </w:t>
      </w:r>
      <w:r w:rsidRPr="00A66803">
        <w:rPr>
          <w:rFonts w:ascii="Calibri" w:hAnsi="Calibri" w:cs="Calibri"/>
        </w:rPr>
        <w:lastRenderedPageBreak/>
        <w:t xml:space="preserve">not currently in their lexicon and expand their lexicon accordingly. They meta-represent a ‘yet-to-be-developed’ concept (Sperber, 1997: 74-5, for further discussion of the role of meta-representation, see METAREPRESENTATION AND BELIEF).  The appeal to meta-representations is not mandatory because, as Tyler Burge has pointed out, the correct attribution of belief doesn’t require that a subject fully understand the concepts that are used to characterise the content of their belief (e.g. Burge, 1979; Burge, 1982). Beliefs and meta-beliefs are not to be distinguished in this way. </w:t>
      </w:r>
    </w:p>
    <w:p w14:paraId="3FFAD063"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More fundamentally for our discussion, although subjects with delusions seem to have very puzzling beliefs, it is not the case that they show a failure to understand the concepts used to characterise the delusory belief. The fact that they display belief-typical evaluation (in the way I described in section 1) </w:t>
      </w:r>
      <w:proofErr w:type="gramStart"/>
      <w:r w:rsidRPr="00A66803">
        <w:rPr>
          <w:rFonts w:ascii="Calibri" w:hAnsi="Calibri" w:cs="Calibri"/>
        </w:rPr>
        <w:t>with regard to</w:t>
      </w:r>
      <w:proofErr w:type="gramEnd"/>
      <w:r w:rsidRPr="00A66803">
        <w:rPr>
          <w:rFonts w:ascii="Calibri" w:hAnsi="Calibri" w:cs="Calibri"/>
        </w:rPr>
        <w:t xml:space="preserve"> the concepts used to characterise their delusory state demonstrates this. So, in the case of meta-cognitions concerning the delusion, we may expect that the functional role of the meta-cognitive belief should correspond to that of the delusion-characterising content.</w:t>
      </w:r>
    </w:p>
    <w:p w14:paraId="14193983"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The attraction of appealing to imagination with a meta-cognitive element is that it provides the basis for understanding subjects with delusion by appealing to states with reasonably well understood causal roles. Unfortunately, this understanding proves to be its undoing. Other non-doxastic accounts appeal to intermediate entities such as “</w:t>
      </w:r>
      <w:proofErr w:type="spellStart"/>
      <w:r w:rsidRPr="00A66803">
        <w:rPr>
          <w:rFonts w:ascii="Calibri" w:hAnsi="Calibri" w:cs="Calibri"/>
        </w:rPr>
        <w:t>bimaginings</w:t>
      </w:r>
      <w:proofErr w:type="spellEnd"/>
      <w:r w:rsidRPr="00A66803">
        <w:rPr>
          <w:rFonts w:ascii="Calibri" w:hAnsi="Calibri" w:cs="Calibri"/>
        </w:rPr>
        <w:t xml:space="preserve">” or half-beliefs which, while they might fit the mental role of the delusion-characterising state better in some regards, have little predictive force and, thus, give us little insight into the mental life of subjects with delusions (Egan, 2009: 263; </w:t>
      </w:r>
      <w:proofErr w:type="spellStart"/>
      <w:r w:rsidRPr="00A66803">
        <w:rPr>
          <w:rFonts w:ascii="Calibri" w:hAnsi="Calibri" w:cs="Calibri"/>
        </w:rPr>
        <w:t>Schwitzgebel</w:t>
      </w:r>
      <w:proofErr w:type="spellEnd"/>
      <w:r w:rsidRPr="00A66803">
        <w:rPr>
          <w:rFonts w:ascii="Calibri" w:hAnsi="Calibri" w:cs="Calibri"/>
        </w:rPr>
        <w:t xml:space="preserve">, 2013: 85-88, 90; for scepticism, see Matthews, 2013: 107-9; Noordhof 2025b: 317-9). </w:t>
      </w:r>
    </w:p>
    <w:p w14:paraId="26C01E5F" w14:textId="77777777" w:rsidR="000F01B7" w:rsidRPr="00A66803" w:rsidRDefault="000F01B7" w:rsidP="000F01B7">
      <w:pPr>
        <w:spacing w:line="480" w:lineRule="auto"/>
        <w:jc w:val="both"/>
        <w:rPr>
          <w:rFonts w:ascii="Calibri" w:hAnsi="Calibri" w:cs="Calibri"/>
        </w:rPr>
      </w:pPr>
    </w:p>
    <w:p w14:paraId="3359FCCD" w14:textId="77777777" w:rsidR="000F01B7" w:rsidRPr="00A66803" w:rsidRDefault="000F01B7" w:rsidP="000F01B7">
      <w:pPr>
        <w:spacing w:line="480" w:lineRule="auto"/>
        <w:jc w:val="both"/>
        <w:rPr>
          <w:rFonts w:ascii="Calibri" w:hAnsi="Calibri" w:cs="Calibri"/>
        </w:rPr>
      </w:pPr>
      <w:r w:rsidRPr="00A66803">
        <w:rPr>
          <w:rFonts w:ascii="Calibri" w:hAnsi="Calibri" w:cs="Calibri"/>
          <w:b/>
          <w:bCs/>
        </w:rPr>
        <w:t>3. 3. Excusing Conditions</w:t>
      </w:r>
    </w:p>
    <w:p w14:paraId="1E441998" w14:textId="77777777" w:rsidR="000F01B7" w:rsidRPr="00A66803" w:rsidRDefault="000F01B7" w:rsidP="000F01B7">
      <w:pPr>
        <w:spacing w:line="480" w:lineRule="auto"/>
        <w:jc w:val="both"/>
        <w:rPr>
          <w:rFonts w:ascii="Calibri" w:hAnsi="Calibri" w:cs="Calibri"/>
        </w:rPr>
      </w:pPr>
      <w:r w:rsidRPr="00A66803">
        <w:rPr>
          <w:rFonts w:ascii="Calibri" w:hAnsi="Calibri" w:cs="Calibri"/>
        </w:rPr>
        <w:lastRenderedPageBreak/>
        <w:t xml:space="preserve">The third approach argues that the contexts in which beliefs may not play their typical motivational role need to be extended by recognising additional excusing conditions (Bayne </w:t>
      </w:r>
      <w:r>
        <w:rPr>
          <w:rFonts w:ascii="Calibri" w:hAnsi="Calibri" w:cs="Calibri"/>
        </w:rPr>
        <w:t>&amp;</w:t>
      </w:r>
      <w:r w:rsidRPr="00A66803">
        <w:rPr>
          <w:rFonts w:ascii="Calibri" w:hAnsi="Calibri" w:cs="Calibri"/>
        </w:rPr>
        <w:t xml:space="preserve"> </w:t>
      </w:r>
      <w:proofErr w:type="spellStart"/>
      <w:r w:rsidRPr="00A66803">
        <w:rPr>
          <w:rFonts w:ascii="Calibri" w:hAnsi="Calibri" w:cs="Calibri"/>
        </w:rPr>
        <w:t>Pacherie</w:t>
      </w:r>
      <w:proofErr w:type="spellEnd"/>
      <w:r w:rsidRPr="00A66803">
        <w:rPr>
          <w:rFonts w:ascii="Calibri" w:hAnsi="Calibri" w:cs="Calibri"/>
        </w:rPr>
        <w:t xml:space="preserve">, 2005: 179-81, 183-5). Minimal appeal to excusing conditions for belief involves allowing for the possibility of forgetfulness, failing to focus, or being distracted by other considerations. We have seen that beliefs may fail to have a role we would otherwise expect them to have in situations of make-believe and in situations in which the stakes are high. The situation in which subjects with delusions find themselves suggest other plausible excusing conditions. Sometimes the expected motivational role of the belief does not occur through confusion or anxiety. In one case of Capgras a subject accepted a baby which she took to be a double of her child as her own. You might think that, if a mother believed that a double had been substituted for her child, this is not what she would do but the subject described herself as ‘dazed and surprised’ (Todd, 1957: 251-3). </w:t>
      </w:r>
    </w:p>
    <w:p w14:paraId="35969CE2"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Being dazed over what you believe is happening to you is only one example of how your belief might fail to be integrated in expected ways and result in behaviour. Delusory beliefs often arise to make sense of anomalous experiences a subject is currently undergoing. These are a plausible source of the conviction that the subject attaches to the delusion-characterising content. At the same time, the content in question is often strikingly at odds with their other beliefs, and indeed, other experiences and the testimony of others. In the case of Capgras, although visual experience is affected, when subjects hear the loved one in situations where the visual experience does not predominate, they don’t hear them as an imposter (Young, 1999: 576; Hirstein </w:t>
      </w:r>
      <w:r>
        <w:rPr>
          <w:rFonts w:ascii="Calibri" w:hAnsi="Calibri" w:cs="Calibri"/>
        </w:rPr>
        <w:t>&amp;</w:t>
      </w:r>
      <w:r w:rsidRPr="00A66803">
        <w:rPr>
          <w:rFonts w:ascii="Calibri" w:hAnsi="Calibri" w:cs="Calibri"/>
        </w:rPr>
        <w:t xml:space="preserve"> </w:t>
      </w:r>
      <w:proofErr w:type="spellStart"/>
      <w:r w:rsidRPr="00A66803">
        <w:rPr>
          <w:rFonts w:ascii="Calibri" w:hAnsi="Calibri" w:cs="Calibri"/>
        </w:rPr>
        <w:t>Ramanchandran</w:t>
      </w:r>
      <w:proofErr w:type="spellEnd"/>
      <w:r w:rsidRPr="00A66803">
        <w:rPr>
          <w:rFonts w:ascii="Calibri" w:hAnsi="Calibri" w:cs="Calibri"/>
        </w:rPr>
        <w:t>, 1997). It would be unsurprising if the auditory experience modified how the subject with delusions behaved.</w:t>
      </w:r>
    </w:p>
    <w:p w14:paraId="6E0D5A92" w14:textId="77777777" w:rsidR="000F01B7" w:rsidRPr="00A66803" w:rsidRDefault="000F01B7" w:rsidP="000F01B7">
      <w:pPr>
        <w:spacing w:line="480" w:lineRule="auto"/>
        <w:ind w:firstLine="720"/>
        <w:jc w:val="both"/>
        <w:rPr>
          <w:rFonts w:ascii="Calibri" w:hAnsi="Calibri" w:cs="Calibri"/>
        </w:rPr>
      </w:pPr>
      <w:r w:rsidRPr="00A66803">
        <w:rPr>
          <w:rFonts w:ascii="Calibri" w:hAnsi="Calibri" w:cs="Calibri"/>
        </w:rPr>
        <w:t xml:space="preserve">Delusion-characterising content is also highly disruptive. If the content were true, they would have to respond in quite radical ways and the stakes would be high with respect to the </w:t>
      </w:r>
      <w:r w:rsidRPr="00A66803">
        <w:rPr>
          <w:rFonts w:ascii="Calibri" w:hAnsi="Calibri" w:cs="Calibri"/>
        </w:rPr>
        <w:lastRenderedPageBreak/>
        <w:t>consequences that might occur, especially if they are wrong. We are familiar with the way in which we don’t know how to respond to what we believe or avoid facing up to it in such circumstances.</w:t>
      </w:r>
    </w:p>
    <w:p w14:paraId="11589664"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All these features point to plausible excusing conditions for the typical manifestation and integration of a belief. It should also be remembered that these excusing conditions occur for subjects where, at other times, they behave in a way that suggests belief, not just in what they say but how they act. While it could be argued that a subject shifts from imagining to believing a delusion-characterising content at different times, it is hard to square this with their continuing to claim to believe the delusion-characterising content. The other cognitive states are broadly under control of the agent in question so they should be aware of the shift if it were going on. </w:t>
      </w:r>
    </w:p>
    <w:p w14:paraId="0E8E3DD8"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In response to the last point, those who favour a non-doxastic approach may well emphasise that subjects with delusions display a failure of source monitoring (Currie, 2000: 177; Currie and Jureidini, 2001: 160). The problem is that the failure is not that they don’t appreciate that they are the origin of the state but rather that the anomalous experiences, to which the subject is responding, fail to support the resulting cognitive state. There is no reason why the cognitive state should fall short of being a belief rather than be a belief that a subject is unaware is unjustified by the experience. </w:t>
      </w:r>
    </w:p>
    <w:p w14:paraId="01E72DD6" w14:textId="77777777" w:rsidR="000F01B7" w:rsidRPr="00A66803" w:rsidRDefault="000F01B7" w:rsidP="000F01B7">
      <w:pPr>
        <w:spacing w:line="480" w:lineRule="auto"/>
        <w:jc w:val="both"/>
        <w:rPr>
          <w:rFonts w:ascii="Calibri" w:hAnsi="Calibri" w:cs="Calibri"/>
        </w:rPr>
      </w:pPr>
    </w:p>
    <w:p w14:paraId="1CD61E38" w14:textId="77777777" w:rsidR="000F01B7" w:rsidRPr="00A66803" w:rsidRDefault="000F01B7" w:rsidP="000F01B7">
      <w:pPr>
        <w:spacing w:line="480" w:lineRule="auto"/>
        <w:jc w:val="both"/>
        <w:rPr>
          <w:rFonts w:ascii="Calibri" w:hAnsi="Calibri" w:cs="Calibri"/>
          <w:b/>
          <w:bCs/>
        </w:rPr>
      </w:pPr>
      <w:r w:rsidRPr="00A66803">
        <w:rPr>
          <w:rFonts w:ascii="Calibri" w:hAnsi="Calibri" w:cs="Calibri"/>
          <w:b/>
          <w:bCs/>
        </w:rPr>
        <w:t>4. Concluding Remarks</w:t>
      </w:r>
    </w:p>
    <w:p w14:paraId="5D521C04" w14:textId="77777777" w:rsidR="000F01B7" w:rsidRPr="00A66803" w:rsidRDefault="000F01B7" w:rsidP="000F01B7">
      <w:pPr>
        <w:spacing w:line="480" w:lineRule="auto"/>
        <w:jc w:val="both"/>
        <w:rPr>
          <w:rFonts w:ascii="Calibri" w:hAnsi="Calibri" w:cs="Calibri"/>
        </w:rPr>
      </w:pPr>
      <w:r w:rsidRPr="00A66803">
        <w:rPr>
          <w:rFonts w:ascii="Calibri" w:hAnsi="Calibri" w:cs="Calibri"/>
        </w:rPr>
        <w:t xml:space="preserve">As we saw in section 1, subjects with delusions respond in ways that make it not always easy to specify their delusion-characterising state. One way of dealing with the issue is to suggest that they shift between beliefs and non-doxastic cognitive states depending upon which state fits the motivational role manifested. The problem is </w:t>
      </w:r>
      <w:r>
        <w:rPr>
          <w:rFonts w:ascii="Calibri" w:hAnsi="Calibri" w:cs="Calibri"/>
        </w:rPr>
        <w:t xml:space="preserve">that </w:t>
      </w:r>
      <w:r w:rsidRPr="00A66803">
        <w:rPr>
          <w:rFonts w:ascii="Calibri" w:hAnsi="Calibri" w:cs="Calibri"/>
        </w:rPr>
        <w:t xml:space="preserve">that would involve explaining how </w:t>
      </w:r>
      <w:r w:rsidRPr="00A66803">
        <w:rPr>
          <w:rFonts w:ascii="Calibri" w:hAnsi="Calibri" w:cs="Calibri"/>
        </w:rPr>
        <w:lastRenderedPageBreak/>
        <w:t>a subject might appropriately have a belief in some circumstances and yet be unaware that they don’t have it in others.</w:t>
      </w:r>
    </w:p>
    <w:p w14:paraId="3209B5D9"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We don’t have to view the subject as shifting in the state they are in but rather appeal to the circumstances in which they are operating to account for why the delusion-characterising state doesn’t have its expected motivational role. The prospects for developing our understanding of excusing conditions of belief, and appealing to these to understand subjects with delusions, seem</w:t>
      </w:r>
      <w:r>
        <w:rPr>
          <w:rFonts w:ascii="Calibri" w:hAnsi="Calibri" w:cs="Calibri"/>
        </w:rPr>
        <w:t>s</w:t>
      </w:r>
      <w:r w:rsidRPr="00A66803">
        <w:rPr>
          <w:rFonts w:ascii="Calibri" w:hAnsi="Calibri" w:cs="Calibri"/>
        </w:rPr>
        <w:t xml:space="preserve"> reasonably good. By contrast, appeal to other cognitive states takes us to relatively uncharted territory to explain their belief-like qualities. </w:t>
      </w:r>
    </w:p>
    <w:p w14:paraId="39920AFE" w14:textId="77777777" w:rsidR="000F01B7" w:rsidRPr="00A66803" w:rsidRDefault="000F01B7" w:rsidP="000F01B7">
      <w:pPr>
        <w:spacing w:line="480" w:lineRule="auto"/>
        <w:jc w:val="both"/>
        <w:rPr>
          <w:rFonts w:ascii="Calibri" w:hAnsi="Calibri" w:cs="Calibri"/>
        </w:rPr>
      </w:pPr>
      <w:r w:rsidRPr="00A66803">
        <w:rPr>
          <w:rFonts w:ascii="Calibri" w:hAnsi="Calibri" w:cs="Calibri"/>
        </w:rPr>
        <w:tab/>
        <w:t xml:space="preserve">That is not to say that the latter task could not be completed or to ignore that the present state of our understanding of excusing conditions for belief is still in need of improvement. If we could arrive at a more precise understanding of hybrid states so that they cease merely to fit the phenomena and </w:t>
      </w:r>
      <w:r>
        <w:rPr>
          <w:rFonts w:ascii="Calibri" w:hAnsi="Calibri" w:cs="Calibri"/>
        </w:rPr>
        <w:t xml:space="preserve">start to </w:t>
      </w:r>
      <w:r w:rsidRPr="00A66803">
        <w:rPr>
          <w:rFonts w:ascii="Calibri" w:hAnsi="Calibri" w:cs="Calibri"/>
        </w:rPr>
        <w:t>provide some explanatory predictions and insight, this might be a path to pursue. Until this is the case, it is best to take subjects with delusions for what they are, subjects with some very strange beliefs.</w:t>
      </w:r>
    </w:p>
    <w:p w14:paraId="32BC7EDA" w14:textId="77777777" w:rsidR="000F01B7" w:rsidRPr="00A66803" w:rsidRDefault="000F01B7" w:rsidP="000F01B7">
      <w:pPr>
        <w:spacing w:line="480" w:lineRule="auto"/>
        <w:jc w:val="both"/>
        <w:rPr>
          <w:rFonts w:ascii="Calibri" w:hAnsi="Calibri" w:cs="Calibri"/>
        </w:rPr>
      </w:pPr>
    </w:p>
    <w:p w14:paraId="045B3D1A" w14:textId="77777777" w:rsidR="000F01B7" w:rsidRPr="00A66803" w:rsidRDefault="000F01B7" w:rsidP="000F01B7">
      <w:pPr>
        <w:spacing w:line="480" w:lineRule="auto"/>
        <w:jc w:val="center"/>
        <w:rPr>
          <w:rFonts w:ascii="Calibri" w:hAnsi="Calibri" w:cs="Calibri"/>
          <w:color w:val="000000" w:themeColor="text1"/>
        </w:rPr>
      </w:pPr>
      <w:r w:rsidRPr="00A66803">
        <w:rPr>
          <w:rFonts w:ascii="Calibri" w:hAnsi="Calibri" w:cs="Calibri"/>
          <w:b/>
          <w:bCs/>
          <w:color w:val="000000" w:themeColor="text1"/>
        </w:rPr>
        <w:t>References</w:t>
      </w:r>
    </w:p>
    <w:p w14:paraId="3B43C1FF"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Alexander, M. </w:t>
      </w:r>
      <w:proofErr w:type="gramStart"/>
      <w:r w:rsidRPr="00A66803">
        <w:rPr>
          <w:rFonts w:ascii="Calibri" w:hAnsi="Calibri" w:cs="Calibri"/>
          <w:color w:val="000000" w:themeColor="text1"/>
          <w:sz w:val="24"/>
          <w:szCs w:val="24"/>
        </w:rPr>
        <w:t>P. ,Stuss</w:t>
      </w:r>
      <w:proofErr w:type="gramEnd"/>
      <w:r w:rsidRPr="00A66803">
        <w:rPr>
          <w:rFonts w:ascii="Calibri" w:hAnsi="Calibri" w:cs="Calibri"/>
          <w:color w:val="000000" w:themeColor="text1"/>
          <w:sz w:val="24"/>
          <w:szCs w:val="24"/>
        </w:rPr>
        <w:t xml:space="preserve">, D. T., &amp; Benson, D. F. 1979. Capgras Syndrome: A Reduplicative Phenomenon. </w:t>
      </w:r>
      <w:r w:rsidRPr="00A66803">
        <w:rPr>
          <w:rFonts w:ascii="Calibri" w:hAnsi="Calibri" w:cs="Calibri"/>
          <w:i/>
          <w:iCs/>
          <w:color w:val="000000" w:themeColor="text1"/>
          <w:sz w:val="24"/>
          <w:szCs w:val="24"/>
        </w:rPr>
        <w:t>Neurology,</w:t>
      </w:r>
      <w:r w:rsidRPr="00A66803">
        <w:rPr>
          <w:rFonts w:ascii="Calibri" w:hAnsi="Calibri" w:cs="Calibri"/>
          <w:iCs/>
          <w:color w:val="000000" w:themeColor="text1"/>
          <w:sz w:val="24"/>
          <w:szCs w:val="24"/>
        </w:rPr>
        <w:t xml:space="preserve"> </w:t>
      </w:r>
      <w:r w:rsidRPr="00A66803">
        <w:rPr>
          <w:rFonts w:ascii="Calibri" w:hAnsi="Calibri" w:cs="Calibri"/>
          <w:color w:val="000000" w:themeColor="text1"/>
          <w:sz w:val="24"/>
          <w:szCs w:val="24"/>
        </w:rPr>
        <w:t>29: 334–339.</w:t>
      </w:r>
    </w:p>
    <w:p w14:paraId="31762C47"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Anderson, A. </w:t>
      </w:r>
      <w:proofErr w:type="gramStart"/>
      <w:r w:rsidRPr="00A66803">
        <w:rPr>
          <w:rFonts w:ascii="Calibri" w:hAnsi="Calibri" w:cs="Calibri"/>
          <w:color w:val="000000" w:themeColor="text1"/>
          <w:sz w:val="24"/>
          <w:szCs w:val="24"/>
        </w:rPr>
        <w:t>C. ,</w:t>
      </w:r>
      <w:proofErr w:type="gramEnd"/>
      <w:r w:rsidRPr="00A66803">
        <w:rPr>
          <w:rFonts w:ascii="Calibri" w:hAnsi="Calibri" w:cs="Calibri"/>
          <w:color w:val="000000" w:themeColor="text1"/>
          <w:sz w:val="24"/>
          <w:szCs w:val="24"/>
        </w:rPr>
        <w:t xml:space="preserve"> Camp, J., Filley, C. M. 1998. ‘Erotomania After Aneurysmal Sub Arachnoid Hemorrhage; Case Report and Literature Review. </w:t>
      </w:r>
      <w:r w:rsidRPr="00A66803">
        <w:rPr>
          <w:rFonts w:ascii="Calibri" w:hAnsi="Calibri" w:cs="Calibri"/>
          <w:i/>
          <w:iCs/>
          <w:color w:val="000000" w:themeColor="text1"/>
          <w:sz w:val="24"/>
          <w:szCs w:val="24"/>
        </w:rPr>
        <w:t>Journal of Neuropsychiatry and Clinical Neurosciences</w:t>
      </w:r>
      <w:r w:rsidRPr="00A66803">
        <w:rPr>
          <w:rFonts w:ascii="Calibri" w:hAnsi="Calibri" w:cs="Calibri"/>
          <w:color w:val="000000" w:themeColor="text1"/>
          <w:sz w:val="24"/>
          <w:szCs w:val="24"/>
        </w:rPr>
        <w:t>, 10, 3: 330-7.</w:t>
      </w:r>
    </w:p>
    <w:p w14:paraId="1D8D7510" w14:textId="77777777" w:rsidR="000F01B7" w:rsidRPr="00A66803" w:rsidRDefault="000F01B7" w:rsidP="000F01B7">
      <w:pPr>
        <w:pStyle w:val="Reference-Alphabetical"/>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Bayne, T. &amp; </w:t>
      </w:r>
      <w:proofErr w:type="spellStart"/>
      <w:r w:rsidRPr="00A66803">
        <w:rPr>
          <w:rFonts w:ascii="Calibri" w:hAnsi="Calibri" w:cs="Calibri"/>
          <w:color w:val="000000" w:themeColor="text1"/>
          <w:sz w:val="24"/>
          <w:szCs w:val="24"/>
        </w:rPr>
        <w:t>Pacherie</w:t>
      </w:r>
      <w:proofErr w:type="spellEnd"/>
      <w:r w:rsidRPr="00A66803">
        <w:rPr>
          <w:rFonts w:ascii="Calibri" w:hAnsi="Calibri" w:cs="Calibri"/>
          <w:color w:val="000000" w:themeColor="text1"/>
          <w:sz w:val="24"/>
          <w:szCs w:val="24"/>
        </w:rPr>
        <w:t xml:space="preserve"> E. 2005. In </w:t>
      </w:r>
      <w:proofErr w:type="spellStart"/>
      <w:r w:rsidRPr="00A66803">
        <w:rPr>
          <w:rFonts w:ascii="Calibri" w:hAnsi="Calibri" w:cs="Calibri"/>
          <w:color w:val="000000" w:themeColor="text1"/>
          <w:sz w:val="24"/>
          <w:szCs w:val="24"/>
        </w:rPr>
        <w:t>Defence</w:t>
      </w:r>
      <w:proofErr w:type="spellEnd"/>
      <w:r w:rsidRPr="00A66803">
        <w:rPr>
          <w:rFonts w:ascii="Calibri" w:hAnsi="Calibri" w:cs="Calibri"/>
          <w:color w:val="000000" w:themeColor="text1"/>
          <w:sz w:val="24"/>
          <w:szCs w:val="24"/>
        </w:rPr>
        <w:t xml:space="preserve"> of the Doxastic Conception of Delusions. </w:t>
      </w:r>
      <w:r w:rsidRPr="00A66803">
        <w:rPr>
          <w:rFonts w:ascii="Calibri" w:hAnsi="Calibri" w:cs="Calibri"/>
          <w:i/>
          <w:iCs/>
          <w:color w:val="000000" w:themeColor="text1"/>
          <w:sz w:val="24"/>
          <w:szCs w:val="24"/>
        </w:rPr>
        <w:t>Mind and Language</w:t>
      </w:r>
      <w:r w:rsidRPr="00A66803">
        <w:rPr>
          <w:rFonts w:ascii="Calibri" w:hAnsi="Calibri" w:cs="Calibri"/>
          <w:color w:val="000000" w:themeColor="text1"/>
          <w:sz w:val="24"/>
          <w:szCs w:val="24"/>
        </w:rPr>
        <w:t>, 20, 2: 163–188.</w:t>
      </w:r>
    </w:p>
    <w:p w14:paraId="56D0B569"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lastRenderedPageBreak/>
        <w:t xml:space="preserve">Bell, V., </w:t>
      </w:r>
      <w:proofErr w:type="spellStart"/>
      <w:r w:rsidRPr="00A66803">
        <w:rPr>
          <w:rFonts w:ascii="Calibri" w:hAnsi="Calibri" w:cs="Calibri"/>
          <w:color w:val="000000" w:themeColor="text1"/>
          <w:sz w:val="24"/>
          <w:szCs w:val="24"/>
        </w:rPr>
        <w:t>Raihani</w:t>
      </w:r>
      <w:proofErr w:type="spellEnd"/>
      <w:r w:rsidRPr="00A66803">
        <w:rPr>
          <w:rFonts w:ascii="Calibri" w:hAnsi="Calibri" w:cs="Calibri"/>
          <w:color w:val="000000" w:themeColor="text1"/>
          <w:sz w:val="24"/>
          <w:szCs w:val="24"/>
        </w:rPr>
        <w:t xml:space="preserve"> N., &amp; Wilkinson, S. 2021. </w:t>
      </w:r>
      <w:proofErr w:type="spellStart"/>
      <w:r w:rsidRPr="00A66803">
        <w:rPr>
          <w:rFonts w:ascii="Calibri" w:hAnsi="Calibri" w:cs="Calibri"/>
          <w:color w:val="000000" w:themeColor="text1"/>
          <w:sz w:val="24"/>
          <w:szCs w:val="24"/>
        </w:rPr>
        <w:t>Derationalizing</w:t>
      </w:r>
      <w:proofErr w:type="spellEnd"/>
      <w:r w:rsidRPr="00A66803">
        <w:rPr>
          <w:rFonts w:ascii="Calibri" w:hAnsi="Calibri" w:cs="Calibri"/>
          <w:color w:val="000000" w:themeColor="text1"/>
          <w:sz w:val="24"/>
          <w:szCs w:val="24"/>
        </w:rPr>
        <w:t xml:space="preserve"> Delusions. </w:t>
      </w:r>
      <w:r w:rsidRPr="00A66803">
        <w:rPr>
          <w:rFonts w:ascii="Calibri" w:hAnsi="Calibri" w:cs="Calibri"/>
          <w:i/>
          <w:iCs/>
          <w:color w:val="000000" w:themeColor="text1"/>
          <w:sz w:val="24"/>
          <w:szCs w:val="24"/>
        </w:rPr>
        <w:t>Clinical Psychological Science</w:t>
      </w:r>
      <w:r w:rsidRPr="00A66803">
        <w:rPr>
          <w:rFonts w:ascii="Calibri" w:hAnsi="Calibri" w:cs="Calibri"/>
          <w:color w:val="000000" w:themeColor="text1"/>
          <w:sz w:val="24"/>
          <w:szCs w:val="24"/>
        </w:rPr>
        <w:t>, 9, 1: 24-37.</w:t>
      </w:r>
    </w:p>
    <w:p w14:paraId="1FCC6BBE"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Bermudez, J. 2000. Normativity and Rationality in Delusional Psychiatric Disorders. </w:t>
      </w:r>
      <w:r w:rsidRPr="00A66803">
        <w:rPr>
          <w:rFonts w:ascii="Calibri" w:hAnsi="Calibri" w:cs="Calibri"/>
          <w:i/>
          <w:iCs/>
          <w:color w:val="000000" w:themeColor="text1"/>
          <w:sz w:val="24"/>
          <w:szCs w:val="24"/>
        </w:rPr>
        <w:t>Mind and Language</w:t>
      </w:r>
      <w:r w:rsidRPr="00A66803">
        <w:rPr>
          <w:rFonts w:ascii="Calibri" w:hAnsi="Calibri" w:cs="Calibri"/>
          <w:color w:val="000000" w:themeColor="text1"/>
          <w:sz w:val="24"/>
          <w:szCs w:val="24"/>
        </w:rPr>
        <w:t>, 16, 5: 457-93.</w:t>
      </w:r>
    </w:p>
    <w:p w14:paraId="004E0F66"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Bond Jr., C. F.  2008. A Few Can Catch a Liar Sometimes: Comments on Ekman and O’Sullivan (1991), As Well As Ekman, O’Sullivan and Frank (1999).  </w:t>
      </w:r>
      <w:r w:rsidRPr="00A66803">
        <w:rPr>
          <w:rFonts w:ascii="Calibri" w:hAnsi="Calibri" w:cs="Calibri"/>
          <w:i/>
          <w:iCs/>
          <w:color w:val="000000" w:themeColor="text1"/>
          <w:sz w:val="24"/>
          <w:szCs w:val="24"/>
        </w:rPr>
        <w:t>Applied Cognitive Psychology</w:t>
      </w:r>
      <w:r w:rsidRPr="00A66803">
        <w:rPr>
          <w:rFonts w:ascii="Calibri" w:hAnsi="Calibri" w:cs="Calibri"/>
          <w:color w:val="000000" w:themeColor="text1"/>
          <w:sz w:val="24"/>
          <w:szCs w:val="24"/>
        </w:rPr>
        <w:t>, 22: 1298-1300.</w:t>
      </w:r>
    </w:p>
    <w:p w14:paraId="4DB17872"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Bortolotti, L. 2010.  </w:t>
      </w:r>
      <w:r w:rsidRPr="00A66803">
        <w:rPr>
          <w:rFonts w:ascii="Calibri" w:hAnsi="Calibri" w:cs="Calibri"/>
          <w:i/>
          <w:iCs/>
          <w:color w:val="000000" w:themeColor="text1"/>
          <w:sz w:val="24"/>
          <w:szCs w:val="24"/>
        </w:rPr>
        <w:t>Delusions and Other Irrational Beliefs</w:t>
      </w:r>
      <w:r w:rsidRPr="00A66803">
        <w:rPr>
          <w:rFonts w:ascii="Calibri" w:hAnsi="Calibri" w:cs="Calibri"/>
          <w:color w:val="000000" w:themeColor="text1"/>
          <w:sz w:val="24"/>
          <w:szCs w:val="24"/>
        </w:rPr>
        <w:t>. Oxford: Oxford University Press.</w:t>
      </w:r>
    </w:p>
    <w:p w14:paraId="2C6696B1"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Bortolotti, L. 2012. In </w:t>
      </w:r>
      <w:proofErr w:type="spellStart"/>
      <w:r w:rsidRPr="00A66803">
        <w:rPr>
          <w:rFonts w:ascii="Calibri" w:hAnsi="Calibri" w:cs="Calibri"/>
          <w:color w:val="000000" w:themeColor="text1"/>
          <w:sz w:val="24"/>
          <w:szCs w:val="24"/>
        </w:rPr>
        <w:t>Defence</w:t>
      </w:r>
      <w:proofErr w:type="spellEnd"/>
      <w:r w:rsidRPr="00A66803">
        <w:rPr>
          <w:rFonts w:ascii="Calibri" w:hAnsi="Calibri" w:cs="Calibri"/>
          <w:color w:val="000000" w:themeColor="text1"/>
          <w:sz w:val="24"/>
          <w:szCs w:val="24"/>
        </w:rPr>
        <w:t xml:space="preserve"> of Modest </w:t>
      </w:r>
      <w:proofErr w:type="spellStart"/>
      <w:r w:rsidRPr="00A66803">
        <w:rPr>
          <w:rFonts w:ascii="Calibri" w:hAnsi="Calibri" w:cs="Calibri"/>
          <w:color w:val="000000" w:themeColor="text1"/>
          <w:sz w:val="24"/>
          <w:szCs w:val="24"/>
        </w:rPr>
        <w:t>Doxasticism</w:t>
      </w:r>
      <w:proofErr w:type="spellEnd"/>
      <w:r w:rsidRPr="00A66803">
        <w:rPr>
          <w:rFonts w:ascii="Calibri" w:hAnsi="Calibri" w:cs="Calibri"/>
          <w:color w:val="000000" w:themeColor="text1"/>
          <w:sz w:val="24"/>
          <w:szCs w:val="24"/>
        </w:rPr>
        <w:t xml:space="preserve"> about Delusions.  </w:t>
      </w:r>
      <w:proofErr w:type="spellStart"/>
      <w:r w:rsidRPr="00A66803">
        <w:rPr>
          <w:rFonts w:ascii="Calibri" w:hAnsi="Calibri" w:cs="Calibri"/>
          <w:i/>
          <w:iCs/>
          <w:color w:val="000000" w:themeColor="text1"/>
          <w:sz w:val="24"/>
          <w:szCs w:val="24"/>
        </w:rPr>
        <w:t>Neuroethics</w:t>
      </w:r>
      <w:proofErr w:type="spellEnd"/>
      <w:r w:rsidRPr="00A66803">
        <w:rPr>
          <w:rFonts w:ascii="Calibri" w:hAnsi="Calibri" w:cs="Calibri"/>
          <w:color w:val="000000" w:themeColor="text1"/>
          <w:sz w:val="24"/>
          <w:szCs w:val="24"/>
        </w:rPr>
        <w:t>, 5: 39-53.</w:t>
      </w:r>
    </w:p>
    <w:p w14:paraId="76AFCE07"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Bovet, P. </w:t>
      </w:r>
      <w:proofErr w:type="gramStart"/>
      <w:r w:rsidRPr="00A66803">
        <w:rPr>
          <w:rFonts w:ascii="Calibri" w:hAnsi="Calibri" w:cs="Calibri"/>
          <w:color w:val="000000" w:themeColor="text1"/>
          <w:sz w:val="24"/>
          <w:szCs w:val="24"/>
        </w:rPr>
        <w:t>&amp;  Parnas</w:t>
      </w:r>
      <w:proofErr w:type="gramEnd"/>
      <w:r w:rsidRPr="00A66803">
        <w:rPr>
          <w:rFonts w:ascii="Calibri" w:hAnsi="Calibri" w:cs="Calibri"/>
          <w:color w:val="000000" w:themeColor="text1"/>
          <w:sz w:val="24"/>
          <w:szCs w:val="24"/>
        </w:rPr>
        <w:t xml:space="preserve">, J. 1993. Schizophrenic Delusions: A Phenomenological Approach. </w:t>
      </w:r>
      <w:r w:rsidRPr="00A66803">
        <w:rPr>
          <w:rFonts w:ascii="Calibri" w:hAnsi="Calibri" w:cs="Calibri"/>
          <w:i/>
          <w:iCs/>
          <w:color w:val="000000" w:themeColor="text1"/>
          <w:sz w:val="24"/>
          <w:szCs w:val="24"/>
        </w:rPr>
        <w:t>Schizophrenic Bulletin</w:t>
      </w:r>
      <w:r w:rsidRPr="00A66803">
        <w:rPr>
          <w:rFonts w:ascii="Calibri" w:hAnsi="Calibri" w:cs="Calibri"/>
          <w:color w:val="000000" w:themeColor="text1"/>
          <w:sz w:val="24"/>
          <w:szCs w:val="24"/>
        </w:rPr>
        <w:t>, 19, 3: 579-97.</w:t>
      </w:r>
    </w:p>
    <w:p w14:paraId="517FD88E"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Bratman, M. 1992. Practical Reasoning and Acceptance in a Context. </w:t>
      </w:r>
      <w:r w:rsidRPr="00A66803">
        <w:rPr>
          <w:rFonts w:ascii="Calibri" w:hAnsi="Calibri" w:cs="Calibri"/>
          <w:i/>
          <w:iCs/>
          <w:color w:val="000000" w:themeColor="text1"/>
          <w:sz w:val="24"/>
          <w:szCs w:val="24"/>
        </w:rPr>
        <w:t>Mind</w:t>
      </w:r>
      <w:r w:rsidRPr="00A66803">
        <w:rPr>
          <w:rFonts w:ascii="Calibri" w:hAnsi="Calibri" w:cs="Calibri"/>
          <w:color w:val="000000" w:themeColor="text1"/>
          <w:sz w:val="24"/>
          <w:szCs w:val="24"/>
        </w:rPr>
        <w:t xml:space="preserve">, and in his 1999. </w:t>
      </w:r>
      <w:r w:rsidRPr="00A66803">
        <w:rPr>
          <w:rFonts w:ascii="Calibri" w:hAnsi="Calibri" w:cs="Calibri"/>
          <w:i/>
          <w:iCs/>
          <w:color w:val="000000" w:themeColor="text1"/>
          <w:sz w:val="24"/>
          <w:szCs w:val="24"/>
        </w:rPr>
        <w:t>Faces of Intention</w:t>
      </w:r>
      <w:r w:rsidRPr="00A66803">
        <w:rPr>
          <w:rFonts w:ascii="Calibri" w:hAnsi="Calibri" w:cs="Calibri"/>
          <w:color w:val="000000" w:themeColor="text1"/>
          <w:sz w:val="24"/>
          <w:szCs w:val="24"/>
        </w:rPr>
        <w:t>. Cambridge: Cambridge University Press: 15-34.</w:t>
      </w:r>
    </w:p>
    <w:p w14:paraId="30A39CB9"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Breen, N. and colleagues 2000. Towards an Understanding of Delusions of Misidentification: Four Case Studies. </w:t>
      </w:r>
      <w:r w:rsidRPr="00A66803">
        <w:rPr>
          <w:rFonts w:ascii="Calibri" w:hAnsi="Calibri" w:cs="Calibri"/>
          <w:i/>
          <w:iCs/>
          <w:color w:val="000000" w:themeColor="text1"/>
          <w:sz w:val="24"/>
          <w:szCs w:val="24"/>
        </w:rPr>
        <w:t>Mind and Language</w:t>
      </w:r>
      <w:r w:rsidRPr="00A66803">
        <w:rPr>
          <w:rFonts w:ascii="Calibri" w:hAnsi="Calibri" w:cs="Calibri"/>
          <w:color w:val="000000" w:themeColor="text1"/>
          <w:sz w:val="24"/>
          <w:szCs w:val="24"/>
        </w:rPr>
        <w:t>, 15, 1: 74-110.</w:t>
      </w:r>
    </w:p>
    <w:p w14:paraId="0FC03695"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Burge, T. 1979. Individualism and the Mental. </w:t>
      </w:r>
      <w:r w:rsidRPr="00A66803">
        <w:rPr>
          <w:rFonts w:ascii="Calibri" w:hAnsi="Calibri" w:cs="Calibri"/>
          <w:i/>
          <w:iCs/>
          <w:color w:val="000000" w:themeColor="text1"/>
          <w:sz w:val="24"/>
          <w:szCs w:val="24"/>
        </w:rPr>
        <w:t>Midwest Studies in Philosophy</w:t>
      </w:r>
      <w:r w:rsidRPr="00A66803">
        <w:rPr>
          <w:rFonts w:ascii="Calibri" w:hAnsi="Calibri" w:cs="Calibri"/>
          <w:color w:val="000000" w:themeColor="text1"/>
          <w:sz w:val="24"/>
          <w:szCs w:val="24"/>
        </w:rPr>
        <w:t>, 4: 73-121.</w:t>
      </w:r>
    </w:p>
    <w:p w14:paraId="5BFAAFA5"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Burge, T. 1982. Other Bodies. Andrew Woodfield ed., 1982. </w:t>
      </w:r>
      <w:r w:rsidRPr="00A66803">
        <w:rPr>
          <w:rFonts w:ascii="Calibri" w:hAnsi="Calibri" w:cs="Calibri"/>
          <w:i/>
          <w:iCs/>
          <w:color w:val="000000" w:themeColor="text1"/>
          <w:sz w:val="24"/>
          <w:szCs w:val="24"/>
        </w:rPr>
        <w:t>Thought and Object</w:t>
      </w:r>
      <w:r w:rsidRPr="00A66803">
        <w:rPr>
          <w:rFonts w:ascii="Calibri" w:hAnsi="Calibri" w:cs="Calibri"/>
          <w:color w:val="000000" w:themeColor="text1"/>
          <w:sz w:val="24"/>
          <w:szCs w:val="24"/>
        </w:rPr>
        <w:t>. Oxford: Oxford University Press: 97-120.</w:t>
      </w:r>
    </w:p>
    <w:p w14:paraId="3B312BA7"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Cherniak, C. 1986.  </w:t>
      </w:r>
      <w:r w:rsidRPr="00A66803">
        <w:rPr>
          <w:rFonts w:ascii="Calibri" w:hAnsi="Calibri" w:cs="Calibri"/>
          <w:i/>
          <w:iCs/>
          <w:color w:val="000000" w:themeColor="text1"/>
          <w:sz w:val="24"/>
          <w:szCs w:val="24"/>
        </w:rPr>
        <w:t>Minimal Rationality</w:t>
      </w:r>
      <w:r w:rsidRPr="00A66803">
        <w:rPr>
          <w:rFonts w:ascii="Calibri" w:hAnsi="Calibri" w:cs="Calibri"/>
          <w:color w:val="000000" w:themeColor="text1"/>
          <w:sz w:val="24"/>
          <w:szCs w:val="24"/>
        </w:rPr>
        <w:t>. Cambridge:  Massachusetts, The MIT Press.</w:t>
      </w:r>
    </w:p>
    <w:p w14:paraId="68646FEB"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Clutton, P. 2018. A New </w:t>
      </w:r>
      <w:proofErr w:type="spellStart"/>
      <w:r w:rsidRPr="00A66803">
        <w:rPr>
          <w:rFonts w:ascii="Calibri" w:hAnsi="Calibri" w:cs="Calibri"/>
          <w:color w:val="000000" w:themeColor="text1"/>
          <w:sz w:val="24"/>
          <w:szCs w:val="24"/>
        </w:rPr>
        <w:t>Defence</w:t>
      </w:r>
      <w:proofErr w:type="spellEnd"/>
      <w:r w:rsidRPr="00A66803">
        <w:rPr>
          <w:rFonts w:ascii="Calibri" w:hAnsi="Calibri" w:cs="Calibri"/>
          <w:color w:val="000000" w:themeColor="text1"/>
          <w:sz w:val="24"/>
          <w:szCs w:val="24"/>
        </w:rPr>
        <w:t xml:space="preserve"> of </w:t>
      </w:r>
      <w:proofErr w:type="spellStart"/>
      <w:r w:rsidRPr="00A66803">
        <w:rPr>
          <w:rFonts w:ascii="Calibri" w:hAnsi="Calibri" w:cs="Calibri"/>
          <w:color w:val="000000" w:themeColor="text1"/>
          <w:sz w:val="24"/>
          <w:szCs w:val="24"/>
        </w:rPr>
        <w:t>Doxasticism</w:t>
      </w:r>
      <w:proofErr w:type="spellEnd"/>
      <w:r w:rsidRPr="00A66803">
        <w:rPr>
          <w:rFonts w:ascii="Calibri" w:hAnsi="Calibri" w:cs="Calibri"/>
          <w:color w:val="000000" w:themeColor="text1"/>
          <w:sz w:val="24"/>
          <w:szCs w:val="24"/>
        </w:rPr>
        <w:t xml:space="preserve"> about Delusions: The Cognitive Phenomenological </w:t>
      </w:r>
      <w:proofErr w:type="spellStart"/>
      <w:r w:rsidRPr="00A66803">
        <w:rPr>
          <w:rFonts w:ascii="Calibri" w:hAnsi="Calibri" w:cs="Calibri"/>
          <w:color w:val="000000" w:themeColor="text1"/>
          <w:sz w:val="24"/>
          <w:szCs w:val="24"/>
        </w:rPr>
        <w:t>Defence</w:t>
      </w:r>
      <w:proofErr w:type="spellEnd"/>
      <w:r w:rsidRPr="00A66803">
        <w:rPr>
          <w:rFonts w:ascii="Calibri" w:hAnsi="Calibri" w:cs="Calibri"/>
          <w:color w:val="000000" w:themeColor="text1"/>
          <w:sz w:val="24"/>
          <w:szCs w:val="24"/>
        </w:rPr>
        <w:t xml:space="preserve">.  </w:t>
      </w:r>
      <w:r w:rsidRPr="00A66803">
        <w:rPr>
          <w:rFonts w:ascii="Calibri" w:hAnsi="Calibri" w:cs="Calibri"/>
          <w:i/>
          <w:iCs/>
          <w:color w:val="000000" w:themeColor="text1"/>
          <w:sz w:val="24"/>
          <w:szCs w:val="24"/>
        </w:rPr>
        <w:t>Mind and Language</w:t>
      </w:r>
      <w:r w:rsidRPr="00A66803">
        <w:rPr>
          <w:rFonts w:ascii="Calibri" w:hAnsi="Calibri" w:cs="Calibri"/>
          <w:color w:val="000000" w:themeColor="text1"/>
          <w:sz w:val="24"/>
          <w:szCs w:val="24"/>
        </w:rPr>
        <w:t>, 33, 2: 198-217.</w:t>
      </w:r>
    </w:p>
    <w:p w14:paraId="70268ACC"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Coltheart, M. 2013. On the Distinction between Monothematic and Polythematic Delusions. </w:t>
      </w:r>
      <w:r w:rsidRPr="00A66803">
        <w:rPr>
          <w:rFonts w:ascii="Calibri" w:hAnsi="Calibri" w:cs="Calibri"/>
          <w:i/>
          <w:iCs/>
          <w:color w:val="000000" w:themeColor="text1"/>
          <w:sz w:val="24"/>
          <w:szCs w:val="24"/>
        </w:rPr>
        <w:t>Mind and Language</w:t>
      </w:r>
      <w:r w:rsidRPr="00A66803">
        <w:rPr>
          <w:rFonts w:ascii="Calibri" w:hAnsi="Calibri" w:cs="Calibri"/>
          <w:color w:val="000000" w:themeColor="text1"/>
          <w:sz w:val="24"/>
          <w:szCs w:val="24"/>
        </w:rPr>
        <w:t>, 28, 1: 103-112.</w:t>
      </w:r>
    </w:p>
    <w:p w14:paraId="11A79AB0"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lastRenderedPageBreak/>
        <w:t xml:space="preserve">Currie, G. 2000. Imagination, Delusions and Hallucination. </w:t>
      </w:r>
      <w:r w:rsidRPr="00A66803">
        <w:rPr>
          <w:rFonts w:ascii="Calibri" w:hAnsi="Calibri" w:cs="Calibri"/>
          <w:i/>
          <w:iCs/>
          <w:color w:val="000000" w:themeColor="text1"/>
          <w:sz w:val="24"/>
          <w:szCs w:val="24"/>
        </w:rPr>
        <w:t>Mind and Language</w:t>
      </w:r>
      <w:r w:rsidRPr="00A66803">
        <w:rPr>
          <w:rFonts w:ascii="Calibri" w:hAnsi="Calibri" w:cs="Calibri"/>
          <w:color w:val="000000" w:themeColor="text1"/>
          <w:sz w:val="24"/>
          <w:szCs w:val="24"/>
        </w:rPr>
        <w:t>, 15, 1: 168-83.</w:t>
      </w:r>
    </w:p>
    <w:p w14:paraId="65E61F09"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Currie, G. &amp; Ravenscroft, I. 2002. </w:t>
      </w:r>
      <w:r w:rsidRPr="00A66803">
        <w:rPr>
          <w:rFonts w:ascii="Calibri" w:hAnsi="Calibri" w:cs="Calibri"/>
          <w:i/>
          <w:iCs/>
          <w:color w:val="000000" w:themeColor="text1"/>
          <w:sz w:val="24"/>
          <w:szCs w:val="24"/>
        </w:rPr>
        <w:t>Recreative Minds</w:t>
      </w:r>
      <w:r w:rsidRPr="00A66803">
        <w:rPr>
          <w:rFonts w:ascii="Calibri" w:hAnsi="Calibri" w:cs="Calibri"/>
          <w:color w:val="000000" w:themeColor="text1"/>
          <w:sz w:val="24"/>
          <w:szCs w:val="24"/>
        </w:rPr>
        <w:t>. Cambridge: Cambridge University Press.</w:t>
      </w:r>
    </w:p>
    <w:p w14:paraId="484198F3"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Currie, G. &amp; </w:t>
      </w:r>
      <w:proofErr w:type="spellStart"/>
      <w:r w:rsidRPr="00A66803">
        <w:rPr>
          <w:rFonts w:ascii="Calibri" w:hAnsi="Calibri" w:cs="Calibri"/>
          <w:color w:val="000000" w:themeColor="text1"/>
          <w:sz w:val="24"/>
          <w:szCs w:val="24"/>
        </w:rPr>
        <w:t>Jureidini</w:t>
      </w:r>
      <w:proofErr w:type="spellEnd"/>
      <w:r w:rsidRPr="00A66803">
        <w:rPr>
          <w:rFonts w:ascii="Calibri" w:hAnsi="Calibri" w:cs="Calibri"/>
          <w:color w:val="000000" w:themeColor="text1"/>
          <w:sz w:val="24"/>
          <w:szCs w:val="24"/>
        </w:rPr>
        <w:t xml:space="preserve">, J. 2001. Delusion, Rationality, Empathy: Commentary on Martin Davies et al. </w:t>
      </w:r>
      <w:r w:rsidRPr="00A66803">
        <w:rPr>
          <w:rFonts w:ascii="Calibri" w:hAnsi="Calibri" w:cs="Calibri"/>
          <w:i/>
          <w:iCs/>
          <w:color w:val="000000" w:themeColor="text1"/>
          <w:sz w:val="24"/>
          <w:szCs w:val="24"/>
        </w:rPr>
        <w:t>Philosophy, Psychiatry and Psychology</w:t>
      </w:r>
      <w:r w:rsidRPr="00A66803">
        <w:rPr>
          <w:rFonts w:ascii="Calibri" w:hAnsi="Calibri" w:cs="Calibri"/>
          <w:color w:val="000000" w:themeColor="text1"/>
          <w:sz w:val="24"/>
          <w:szCs w:val="24"/>
        </w:rPr>
        <w:t>, 8, 2/3: 159-62.</w:t>
      </w:r>
    </w:p>
    <w:p w14:paraId="179585B6"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Davidson, D. 1973. Belief and the Basis of Meaning. reprinted in his 1984. </w:t>
      </w:r>
      <w:r w:rsidRPr="00A66803">
        <w:rPr>
          <w:rFonts w:ascii="Calibri" w:hAnsi="Calibri" w:cs="Calibri"/>
          <w:i/>
          <w:iCs/>
          <w:color w:val="000000" w:themeColor="text1"/>
          <w:sz w:val="24"/>
          <w:szCs w:val="24"/>
        </w:rPr>
        <w:t>Inquiries into Truth and Interpretation</w:t>
      </w:r>
      <w:r w:rsidRPr="00A66803">
        <w:rPr>
          <w:rFonts w:ascii="Calibri" w:hAnsi="Calibri" w:cs="Calibri"/>
          <w:color w:val="000000" w:themeColor="text1"/>
          <w:sz w:val="24"/>
          <w:szCs w:val="24"/>
        </w:rPr>
        <w:t>. Oxford, Oxford University Press: 141-54.</w:t>
      </w:r>
    </w:p>
    <w:p w14:paraId="5E374C04"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Davidson, D. 1985. Deception and Division. In Ernest LePore and Brian McLaughlin eds. </w:t>
      </w:r>
      <w:r w:rsidRPr="00A66803">
        <w:rPr>
          <w:rFonts w:ascii="Calibri" w:hAnsi="Calibri" w:cs="Calibri"/>
          <w:i/>
          <w:iCs/>
          <w:color w:val="000000" w:themeColor="text1"/>
          <w:sz w:val="24"/>
          <w:szCs w:val="24"/>
        </w:rPr>
        <w:t>Actions and Events</w:t>
      </w:r>
      <w:r w:rsidRPr="00A66803">
        <w:rPr>
          <w:rFonts w:ascii="Calibri" w:hAnsi="Calibri" w:cs="Calibri"/>
          <w:color w:val="000000" w:themeColor="text1"/>
          <w:sz w:val="24"/>
          <w:szCs w:val="24"/>
        </w:rPr>
        <w:t xml:space="preserve">. Oxford: Blackwell: 138-47, reprinted in his 2004. </w:t>
      </w:r>
      <w:r w:rsidRPr="00A66803">
        <w:rPr>
          <w:rFonts w:ascii="Calibri" w:hAnsi="Calibri" w:cs="Calibri"/>
          <w:i/>
          <w:iCs/>
          <w:color w:val="000000" w:themeColor="text1"/>
          <w:sz w:val="24"/>
          <w:szCs w:val="24"/>
        </w:rPr>
        <w:t>Problems of Rationality</w:t>
      </w:r>
      <w:r w:rsidRPr="00A66803">
        <w:rPr>
          <w:rFonts w:ascii="Calibri" w:hAnsi="Calibri" w:cs="Calibri"/>
          <w:color w:val="000000" w:themeColor="text1"/>
          <w:sz w:val="24"/>
          <w:szCs w:val="24"/>
        </w:rPr>
        <w:t>. Oxford: Oxford University Press: 199-212 [page references in text to latter].</w:t>
      </w:r>
    </w:p>
    <w:p w14:paraId="0A6C1870"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De Pauw, K. W. </w:t>
      </w:r>
      <w:proofErr w:type="gramStart"/>
      <w:r w:rsidRPr="00A66803">
        <w:rPr>
          <w:rFonts w:ascii="Calibri" w:hAnsi="Calibri" w:cs="Calibri"/>
          <w:color w:val="000000" w:themeColor="text1"/>
          <w:sz w:val="24"/>
          <w:szCs w:val="24"/>
        </w:rPr>
        <w:t xml:space="preserve">&amp;  </w:t>
      </w:r>
      <w:proofErr w:type="spellStart"/>
      <w:r w:rsidRPr="00A66803">
        <w:rPr>
          <w:rFonts w:ascii="Calibri" w:hAnsi="Calibri" w:cs="Calibri"/>
          <w:color w:val="000000" w:themeColor="text1"/>
          <w:sz w:val="24"/>
          <w:szCs w:val="24"/>
        </w:rPr>
        <w:t>Szulecka</w:t>
      </w:r>
      <w:proofErr w:type="spellEnd"/>
      <w:proofErr w:type="gramEnd"/>
      <w:r w:rsidRPr="00A66803">
        <w:rPr>
          <w:rFonts w:ascii="Calibri" w:hAnsi="Calibri" w:cs="Calibri"/>
          <w:color w:val="000000" w:themeColor="text1"/>
          <w:sz w:val="24"/>
          <w:szCs w:val="24"/>
        </w:rPr>
        <w:t xml:space="preserve">, T. K. 1988. Dangerous Delusions: Violence and the Misidentification Syndromes. </w:t>
      </w:r>
      <w:r w:rsidRPr="00A66803">
        <w:rPr>
          <w:rFonts w:ascii="Calibri" w:hAnsi="Calibri" w:cs="Calibri"/>
          <w:i/>
          <w:iCs/>
          <w:color w:val="000000" w:themeColor="text1"/>
          <w:sz w:val="24"/>
          <w:szCs w:val="24"/>
        </w:rPr>
        <w:t>British Journal of Psychiatry</w:t>
      </w:r>
      <w:r w:rsidRPr="00A66803">
        <w:rPr>
          <w:rFonts w:ascii="Calibri" w:hAnsi="Calibri" w:cs="Calibri"/>
          <w:color w:val="000000" w:themeColor="text1"/>
          <w:sz w:val="24"/>
          <w:szCs w:val="24"/>
        </w:rPr>
        <w:t>, 152: 91-6.</w:t>
      </w:r>
    </w:p>
    <w:p w14:paraId="6FF23223"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Dennett, D. C. 1981. True Believers. reprinted in his 1987. </w:t>
      </w:r>
      <w:r w:rsidRPr="00A66803">
        <w:rPr>
          <w:rFonts w:ascii="Calibri" w:hAnsi="Calibri" w:cs="Calibri"/>
          <w:i/>
          <w:iCs/>
          <w:color w:val="000000" w:themeColor="text1"/>
          <w:sz w:val="24"/>
          <w:szCs w:val="24"/>
        </w:rPr>
        <w:t>The Intentional Stance</w:t>
      </w:r>
      <w:r w:rsidRPr="00A66803">
        <w:rPr>
          <w:rFonts w:ascii="Calibri" w:hAnsi="Calibri" w:cs="Calibri"/>
          <w:color w:val="000000" w:themeColor="text1"/>
          <w:sz w:val="24"/>
          <w:szCs w:val="24"/>
        </w:rPr>
        <w:t>. Cambridge, Massachusetts: The MIT Press: 13-35.</w:t>
      </w:r>
    </w:p>
    <w:p w14:paraId="397A646C"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Dennett, D. C. 1981b. Making Sense of Ourselves. Reprinted in his 1987. </w:t>
      </w:r>
      <w:r w:rsidRPr="00A66803">
        <w:rPr>
          <w:rFonts w:ascii="Calibri" w:hAnsi="Calibri" w:cs="Calibri"/>
          <w:i/>
          <w:iCs/>
          <w:color w:val="000000" w:themeColor="text1"/>
          <w:sz w:val="24"/>
          <w:szCs w:val="24"/>
        </w:rPr>
        <w:t>The Intentional Stance</w:t>
      </w:r>
      <w:r w:rsidRPr="00A66803">
        <w:rPr>
          <w:rFonts w:ascii="Calibri" w:hAnsi="Calibri" w:cs="Calibri"/>
          <w:color w:val="000000" w:themeColor="text1"/>
          <w:sz w:val="24"/>
          <w:szCs w:val="24"/>
        </w:rPr>
        <w:t xml:space="preserve"> Cambridge, Massachusetts: The MIT Press: 83-101.</w:t>
      </w:r>
    </w:p>
    <w:p w14:paraId="276B58E1"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Dub, R. 2017. Delusions, Acceptances and Cognitive Feelings. </w:t>
      </w:r>
      <w:r w:rsidRPr="00A66803">
        <w:rPr>
          <w:rFonts w:ascii="Calibri" w:hAnsi="Calibri" w:cs="Calibri"/>
          <w:i/>
          <w:iCs/>
          <w:color w:val="000000" w:themeColor="text1"/>
          <w:sz w:val="24"/>
          <w:szCs w:val="24"/>
        </w:rPr>
        <w:t>Philosophy and Phenomenological Research</w:t>
      </w:r>
      <w:r w:rsidRPr="00A66803">
        <w:rPr>
          <w:rFonts w:ascii="Calibri" w:hAnsi="Calibri" w:cs="Calibri"/>
          <w:color w:val="000000" w:themeColor="text1"/>
          <w:sz w:val="24"/>
          <w:szCs w:val="24"/>
        </w:rPr>
        <w:t>, 94, 1: 27-60.</w:t>
      </w:r>
    </w:p>
    <w:p w14:paraId="5C3D7AD1"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Egan, A. 2009. Imagination, Delusion and Self-Deception. Bayne, T. &amp; Fernández, J. eds. </w:t>
      </w:r>
      <w:r w:rsidRPr="00A66803">
        <w:rPr>
          <w:rFonts w:ascii="Calibri" w:hAnsi="Calibri" w:cs="Calibri"/>
          <w:i/>
          <w:iCs/>
          <w:color w:val="000000" w:themeColor="text1"/>
          <w:sz w:val="24"/>
          <w:szCs w:val="24"/>
        </w:rPr>
        <w:t>Delusion and Self-Deception</w:t>
      </w:r>
      <w:r w:rsidRPr="00A66803">
        <w:rPr>
          <w:rFonts w:ascii="Calibri" w:hAnsi="Calibri" w:cs="Calibri"/>
          <w:color w:val="000000" w:themeColor="text1"/>
          <w:sz w:val="24"/>
          <w:szCs w:val="24"/>
        </w:rPr>
        <w:t>. New York and London: Taylor and Francis Group: 263–280.</w:t>
      </w:r>
    </w:p>
    <w:p w14:paraId="3D9D7DEA"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Ekman, P. &amp; O’Sullivan, M. 1991. Who Can Catch a Liar? </w:t>
      </w:r>
      <w:r w:rsidRPr="00A66803">
        <w:rPr>
          <w:rFonts w:ascii="Calibri" w:hAnsi="Calibri" w:cs="Calibri"/>
          <w:i/>
          <w:iCs/>
          <w:color w:val="000000" w:themeColor="text1"/>
          <w:sz w:val="24"/>
          <w:szCs w:val="24"/>
        </w:rPr>
        <w:t>American Psychologist</w:t>
      </w:r>
      <w:r w:rsidRPr="00A66803">
        <w:rPr>
          <w:rFonts w:ascii="Calibri" w:hAnsi="Calibri" w:cs="Calibri"/>
          <w:color w:val="000000" w:themeColor="text1"/>
          <w:sz w:val="24"/>
          <w:szCs w:val="24"/>
        </w:rPr>
        <w:t>, 46, 9: 913-20.</w:t>
      </w:r>
    </w:p>
    <w:p w14:paraId="5DF4599D"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Ekman </w:t>
      </w:r>
      <w:proofErr w:type="spellStart"/>
      <w:proofErr w:type="gramStart"/>
      <w:r w:rsidRPr="00A66803">
        <w:rPr>
          <w:rFonts w:ascii="Calibri" w:hAnsi="Calibri" w:cs="Calibri"/>
          <w:color w:val="000000" w:themeColor="text1"/>
          <w:sz w:val="24"/>
          <w:szCs w:val="24"/>
        </w:rPr>
        <w:t>P.O’Sullivan</w:t>
      </w:r>
      <w:proofErr w:type="spellEnd"/>
      <w:proofErr w:type="gramEnd"/>
      <w:r w:rsidRPr="00A66803">
        <w:rPr>
          <w:rFonts w:ascii="Calibri" w:hAnsi="Calibri" w:cs="Calibri"/>
          <w:color w:val="000000" w:themeColor="text1"/>
          <w:sz w:val="24"/>
          <w:szCs w:val="24"/>
        </w:rPr>
        <w:t xml:space="preserve">, M. &amp; Frank, M. G. 1999. A Few Can Catch </w:t>
      </w:r>
      <w:proofErr w:type="gramStart"/>
      <w:r w:rsidRPr="00A66803">
        <w:rPr>
          <w:rFonts w:ascii="Calibri" w:hAnsi="Calibri" w:cs="Calibri"/>
          <w:color w:val="000000" w:themeColor="text1"/>
          <w:sz w:val="24"/>
          <w:szCs w:val="24"/>
        </w:rPr>
        <w:t>A</w:t>
      </w:r>
      <w:proofErr w:type="gramEnd"/>
      <w:r w:rsidRPr="00A66803">
        <w:rPr>
          <w:rFonts w:ascii="Calibri" w:hAnsi="Calibri" w:cs="Calibri"/>
          <w:color w:val="000000" w:themeColor="text1"/>
          <w:sz w:val="24"/>
          <w:szCs w:val="24"/>
        </w:rPr>
        <w:t xml:space="preserve"> Liar.  </w:t>
      </w:r>
      <w:r w:rsidRPr="00A66803">
        <w:rPr>
          <w:rFonts w:ascii="Calibri" w:hAnsi="Calibri" w:cs="Calibri"/>
          <w:i/>
          <w:iCs/>
          <w:color w:val="000000" w:themeColor="text1"/>
          <w:sz w:val="24"/>
          <w:szCs w:val="24"/>
        </w:rPr>
        <w:t>Psychological Science</w:t>
      </w:r>
      <w:r w:rsidRPr="00A66803">
        <w:rPr>
          <w:rFonts w:ascii="Calibri" w:hAnsi="Calibri" w:cs="Calibri"/>
          <w:color w:val="000000" w:themeColor="text1"/>
          <w:sz w:val="24"/>
          <w:szCs w:val="24"/>
        </w:rPr>
        <w:t>, 10, 3: 263-6.</w:t>
      </w:r>
    </w:p>
    <w:p w14:paraId="021ED38D"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lang w:val="en-GB"/>
        </w:rPr>
        <w:t xml:space="preserve">Gill, M., &amp; </w:t>
      </w:r>
      <w:proofErr w:type="spellStart"/>
      <w:r w:rsidRPr="00A66803">
        <w:rPr>
          <w:rFonts w:ascii="Calibri" w:hAnsi="Calibri" w:cs="Calibri"/>
          <w:color w:val="000000" w:themeColor="text1"/>
          <w:sz w:val="24"/>
          <w:szCs w:val="24"/>
          <w:lang w:val="en-GB"/>
        </w:rPr>
        <w:t>Lombrozo</w:t>
      </w:r>
      <w:proofErr w:type="spellEnd"/>
      <w:r w:rsidRPr="00A66803">
        <w:rPr>
          <w:rFonts w:ascii="Calibri" w:hAnsi="Calibri" w:cs="Calibri"/>
          <w:color w:val="000000" w:themeColor="text1"/>
          <w:sz w:val="24"/>
          <w:szCs w:val="24"/>
          <w:lang w:val="en-GB"/>
        </w:rPr>
        <w:t xml:space="preserve">, T. (2023). Seeking evidence and explanation signals religious and scientific commitments. </w:t>
      </w:r>
      <w:r w:rsidRPr="00A66803">
        <w:rPr>
          <w:rFonts w:ascii="Calibri" w:hAnsi="Calibri" w:cs="Calibri"/>
          <w:i/>
          <w:iCs/>
          <w:color w:val="000000" w:themeColor="text1"/>
          <w:sz w:val="24"/>
          <w:szCs w:val="24"/>
          <w:lang w:val="en-GB"/>
        </w:rPr>
        <w:t>Cognition</w:t>
      </w:r>
      <w:r w:rsidRPr="00A66803">
        <w:rPr>
          <w:rFonts w:ascii="Calibri" w:hAnsi="Calibri" w:cs="Calibri"/>
          <w:color w:val="000000" w:themeColor="text1"/>
          <w:sz w:val="24"/>
          <w:szCs w:val="24"/>
          <w:lang w:val="en-GB"/>
        </w:rPr>
        <w:t xml:space="preserve">, </w:t>
      </w:r>
      <w:r w:rsidRPr="00A66803">
        <w:rPr>
          <w:rFonts w:ascii="Calibri" w:hAnsi="Calibri" w:cs="Calibri"/>
          <w:i/>
          <w:iCs/>
          <w:color w:val="000000" w:themeColor="text1"/>
          <w:sz w:val="24"/>
          <w:szCs w:val="24"/>
          <w:lang w:val="en-GB"/>
        </w:rPr>
        <w:t>238</w:t>
      </w:r>
      <w:r w:rsidRPr="00A66803">
        <w:rPr>
          <w:rFonts w:ascii="Calibri" w:hAnsi="Calibri" w:cs="Calibri"/>
          <w:color w:val="000000" w:themeColor="text1"/>
          <w:sz w:val="24"/>
          <w:szCs w:val="24"/>
          <w:lang w:val="en-GB"/>
        </w:rPr>
        <w:t>: 105496.</w:t>
      </w:r>
    </w:p>
    <w:p w14:paraId="73A670D5" w14:textId="77777777" w:rsidR="000F01B7" w:rsidRPr="00A66803" w:rsidRDefault="000F01B7" w:rsidP="000F01B7">
      <w:pPr>
        <w:pStyle w:val="Reference-Alphabetical"/>
        <w:spacing w:line="480" w:lineRule="auto"/>
        <w:ind w:left="0" w:firstLine="0"/>
        <w:jc w:val="both"/>
        <w:rPr>
          <w:rFonts w:ascii="Calibri" w:hAnsi="Calibri" w:cs="Calibri"/>
          <w:color w:val="000000" w:themeColor="text1"/>
          <w:sz w:val="24"/>
          <w:szCs w:val="24"/>
        </w:rPr>
      </w:pPr>
      <w:r w:rsidRPr="00A66803">
        <w:rPr>
          <w:rFonts w:ascii="Calibri" w:hAnsi="Calibri" w:cs="Calibri"/>
          <w:color w:val="000000" w:themeColor="text1"/>
          <w:sz w:val="24"/>
          <w:szCs w:val="24"/>
        </w:rPr>
        <w:lastRenderedPageBreak/>
        <w:t xml:space="preserve">Halligan, P. W, Marshall, J. C. </w:t>
      </w:r>
      <w:proofErr w:type="gramStart"/>
      <w:r w:rsidRPr="00A66803">
        <w:rPr>
          <w:rFonts w:ascii="Calibri" w:hAnsi="Calibri" w:cs="Calibri"/>
          <w:color w:val="000000" w:themeColor="text1"/>
          <w:sz w:val="24"/>
          <w:szCs w:val="24"/>
        </w:rPr>
        <w:t>&amp;  Wade</w:t>
      </w:r>
      <w:proofErr w:type="gramEnd"/>
      <w:r w:rsidRPr="00A66803">
        <w:rPr>
          <w:rFonts w:ascii="Calibri" w:hAnsi="Calibri" w:cs="Calibri"/>
          <w:color w:val="000000" w:themeColor="text1"/>
          <w:sz w:val="24"/>
          <w:szCs w:val="24"/>
        </w:rPr>
        <w:t xml:space="preserve"> D. T. 1993. Three arms: a case study of supernumerary phantom limb after right hemisphere stroke. </w:t>
      </w:r>
      <w:r w:rsidRPr="00A66803">
        <w:rPr>
          <w:rFonts w:ascii="Calibri" w:hAnsi="Calibri" w:cs="Calibri"/>
          <w:i/>
          <w:iCs/>
          <w:color w:val="000000" w:themeColor="text1"/>
          <w:sz w:val="24"/>
          <w:szCs w:val="24"/>
        </w:rPr>
        <w:t>Journal of Neurology, Neurosurgery and Psychiatry</w:t>
      </w:r>
      <w:r w:rsidRPr="00A66803">
        <w:rPr>
          <w:rFonts w:ascii="Calibri" w:hAnsi="Calibri" w:cs="Calibri"/>
          <w:color w:val="000000" w:themeColor="text1"/>
          <w:sz w:val="24"/>
          <w:szCs w:val="24"/>
        </w:rPr>
        <w:t xml:space="preserve">, 56: 159-66. </w:t>
      </w:r>
    </w:p>
    <w:p w14:paraId="53438674"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Halligan, P. W, Marshall, J. C. </w:t>
      </w:r>
      <w:proofErr w:type="gramStart"/>
      <w:r w:rsidRPr="00A66803">
        <w:rPr>
          <w:rFonts w:ascii="Calibri" w:hAnsi="Calibri" w:cs="Calibri"/>
          <w:color w:val="000000" w:themeColor="text1"/>
          <w:sz w:val="24"/>
          <w:szCs w:val="24"/>
        </w:rPr>
        <w:t>&amp;  Wade</w:t>
      </w:r>
      <w:proofErr w:type="gramEnd"/>
      <w:r w:rsidRPr="00A66803">
        <w:rPr>
          <w:rFonts w:ascii="Calibri" w:hAnsi="Calibri" w:cs="Calibri"/>
          <w:color w:val="000000" w:themeColor="text1"/>
          <w:sz w:val="24"/>
          <w:szCs w:val="24"/>
        </w:rPr>
        <w:t xml:space="preserve"> D. T.1995. Unilateral </w:t>
      </w:r>
      <w:proofErr w:type="spellStart"/>
      <w:r w:rsidRPr="00A66803">
        <w:rPr>
          <w:rFonts w:ascii="Calibri" w:hAnsi="Calibri" w:cs="Calibri"/>
          <w:color w:val="000000" w:themeColor="text1"/>
          <w:sz w:val="24"/>
          <w:szCs w:val="24"/>
        </w:rPr>
        <w:t>Somatoparaphrenia</w:t>
      </w:r>
      <w:proofErr w:type="spellEnd"/>
      <w:r w:rsidRPr="00A66803">
        <w:rPr>
          <w:rFonts w:ascii="Calibri" w:hAnsi="Calibri" w:cs="Calibri"/>
          <w:color w:val="000000" w:themeColor="text1"/>
          <w:sz w:val="24"/>
          <w:szCs w:val="24"/>
        </w:rPr>
        <w:t xml:space="preserve"> After Right Hemisphere Stroke: A Case Description. </w:t>
      </w:r>
      <w:r w:rsidRPr="00A66803">
        <w:rPr>
          <w:rFonts w:ascii="Calibri" w:hAnsi="Calibri" w:cs="Calibri"/>
          <w:i/>
          <w:iCs/>
          <w:color w:val="000000" w:themeColor="text1"/>
          <w:sz w:val="24"/>
          <w:szCs w:val="24"/>
        </w:rPr>
        <w:t>Cortex</w:t>
      </w:r>
      <w:r w:rsidRPr="00A66803">
        <w:rPr>
          <w:rFonts w:ascii="Calibri" w:hAnsi="Calibri" w:cs="Calibri"/>
          <w:color w:val="000000" w:themeColor="text1"/>
          <w:sz w:val="24"/>
          <w:szCs w:val="24"/>
        </w:rPr>
        <w:t>, 31: 173-82.</w:t>
      </w:r>
    </w:p>
    <w:p w14:paraId="6089F046"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Hartwig M. &amp; Bond Jr., C. F.  2014. Lie Detection from Multiple Cases: A Meta-analysis. </w:t>
      </w:r>
      <w:r w:rsidRPr="00A66803">
        <w:rPr>
          <w:rFonts w:ascii="Calibri" w:hAnsi="Calibri" w:cs="Calibri"/>
          <w:i/>
          <w:iCs/>
          <w:color w:val="000000" w:themeColor="text1"/>
          <w:sz w:val="24"/>
          <w:szCs w:val="24"/>
        </w:rPr>
        <w:t>Applied Cognitive Psychology</w:t>
      </w:r>
      <w:r w:rsidRPr="00A66803">
        <w:rPr>
          <w:rFonts w:ascii="Calibri" w:hAnsi="Calibri" w:cs="Calibri"/>
          <w:color w:val="000000" w:themeColor="text1"/>
          <w:sz w:val="24"/>
          <w:szCs w:val="24"/>
        </w:rPr>
        <w:t>, 28: 661-76.</w:t>
      </w:r>
    </w:p>
    <w:p w14:paraId="26D388FE" w14:textId="77777777" w:rsidR="000F01B7" w:rsidRPr="00A66803" w:rsidRDefault="000F01B7" w:rsidP="000F01B7">
      <w:pPr>
        <w:pStyle w:val="Reference-Alphabetical"/>
        <w:spacing w:line="480" w:lineRule="auto"/>
        <w:rPr>
          <w:rFonts w:ascii="Calibri" w:hAnsi="Calibri" w:cs="Calibri"/>
          <w:color w:val="000000" w:themeColor="text1"/>
          <w:sz w:val="24"/>
          <w:szCs w:val="24"/>
        </w:rPr>
      </w:pPr>
      <w:r w:rsidRPr="00A66803">
        <w:rPr>
          <w:rFonts w:ascii="Calibri" w:hAnsi="Calibri" w:cs="Calibri"/>
          <w:color w:val="000000" w:themeColor="text1"/>
          <w:sz w:val="24"/>
          <w:szCs w:val="24"/>
        </w:rPr>
        <w:t xml:space="preserve">Hirstein W. &amp; Ramachandran, V. S. 1997. Capgras Syndrome: A Novel Probe for Understanding the Identity and Familiarity of Persons.  </w:t>
      </w:r>
      <w:r w:rsidRPr="00A66803">
        <w:rPr>
          <w:rFonts w:ascii="Calibri" w:hAnsi="Calibri" w:cs="Calibri"/>
          <w:i/>
          <w:iCs/>
          <w:color w:val="000000" w:themeColor="text1"/>
          <w:sz w:val="24"/>
          <w:szCs w:val="24"/>
        </w:rPr>
        <w:t>Proceedings of the Royal Society: Biological Sciences</w:t>
      </w:r>
      <w:r w:rsidRPr="00A66803">
        <w:rPr>
          <w:rFonts w:ascii="Calibri" w:hAnsi="Calibri" w:cs="Calibri"/>
          <w:color w:val="000000" w:themeColor="text1"/>
          <w:sz w:val="24"/>
          <w:szCs w:val="24"/>
        </w:rPr>
        <w:t>, 264, 1380: 437–444.</w:t>
      </w:r>
    </w:p>
    <w:p w14:paraId="1C3B50C4"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Jordan H. W. and colleagues 2006. Erotomania Revisited: Thirty-Four Years Later. </w:t>
      </w:r>
      <w:r w:rsidRPr="00A66803">
        <w:rPr>
          <w:rFonts w:ascii="Calibri" w:hAnsi="Calibri" w:cs="Calibri"/>
          <w:i/>
          <w:iCs/>
          <w:color w:val="000000" w:themeColor="text1"/>
          <w:sz w:val="24"/>
          <w:szCs w:val="24"/>
        </w:rPr>
        <w:t>Journal of the National Medical Association</w:t>
      </w:r>
      <w:r w:rsidRPr="00A66803">
        <w:rPr>
          <w:rFonts w:ascii="Calibri" w:hAnsi="Calibri" w:cs="Calibri"/>
          <w:color w:val="000000" w:themeColor="text1"/>
          <w:sz w:val="24"/>
          <w:szCs w:val="24"/>
        </w:rPr>
        <w:t>, 98, 5: 787-93.</w:t>
      </w:r>
    </w:p>
    <w:p w14:paraId="2A963689" w14:textId="77777777" w:rsidR="000F01B7" w:rsidRPr="00A66803" w:rsidRDefault="000F01B7" w:rsidP="000F01B7">
      <w:pPr>
        <w:pStyle w:val="Reference-Alphabetical"/>
        <w:spacing w:line="480" w:lineRule="auto"/>
        <w:ind w:left="0" w:firstLine="0"/>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Loar, B. 1981. </w:t>
      </w:r>
      <w:r w:rsidRPr="00A66803">
        <w:rPr>
          <w:rFonts w:ascii="Calibri" w:hAnsi="Calibri" w:cs="Calibri"/>
          <w:i/>
          <w:iCs/>
          <w:color w:val="000000" w:themeColor="text1"/>
          <w:sz w:val="24"/>
          <w:szCs w:val="24"/>
        </w:rPr>
        <w:t xml:space="preserve">Mind and </w:t>
      </w:r>
      <w:proofErr w:type="gramStart"/>
      <w:r w:rsidRPr="00A66803">
        <w:rPr>
          <w:rFonts w:ascii="Calibri" w:hAnsi="Calibri" w:cs="Calibri"/>
          <w:i/>
          <w:iCs/>
          <w:color w:val="000000" w:themeColor="text1"/>
          <w:sz w:val="24"/>
          <w:szCs w:val="24"/>
        </w:rPr>
        <w:t>Meaning</w:t>
      </w:r>
      <w:proofErr w:type="gramEnd"/>
      <w:r w:rsidRPr="00A66803">
        <w:rPr>
          <w:rFonts w:ascii="Calibri" w:hAnsi="Calibri" w:cs="Calibri"/>
          <w:color w:val="000000" w:themeColor="text1"/>
          <w:sz w:val="24"/>
          <w:szCs w:val="24"/>
        </w:rPr>
        <w:t>. Cambridge: Cambridge University Press.</w:t>
      </w:r>
    </w:p>
    <w:p w14:paraId="5FB6FC9C" w14:textId="77777777" w:rsidR="000F01B7"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McKay, R. and Cipolotti, L. 2007. Attributional Style in a Case of </w:t>
      </w:r>
      <w:proofErr w:type="spellStart"/>
      <w:r w:rsidRPr="00A66803">
        <w:rPr>
          <w:rFonts w:ascii="Calibri" w:hAnsi="Calibri" w:cs="Calibri"/>
          <w:color w:val="000000" w:themeColor="text1"/>
          <w:sz w:val="24"/>
          <w:szCs w:val="24"/>
        </w:rPr>
        <w:t>Cotard</w:t>
      </w:r>
      <w:proofErr w:type="spellEnd"/>
      <w:r w:rsidRPr="00A66803">
        <w:rPr>
          <w:rFonts w:ascii="Calibri" w:hAnsi="Calibri" w:cs="Calibri"/>
          <w:color w:val="000000" w:themeColor="text1"/>
          <w:sz w:val="24"/>
          <w:szCs w:val="24"/>
        </w:rPr>
        <w:t xml:space="preserve"> Delusion. </w:t>
      </w:r>
      <w:r w:rsidRPr="00A66803">
        <w:rPr>
          <w:rFonts w:ascii="Calibri" w:hAnsi="Calibri" w:cs="Calibri"/>
          <w:i/>
          <w:iCs/>
          <w:color w:val="000000" w:themeColor="text1"/>
          <w:sz w:val="24"/>
          <w:szCs w:val="24"/>
        </w:rPr>
        <w:t>Consciousness and Cognition</w:t>
      </w:r>
      <w:r w:rsidRPr="00A66803">
        <w:rPr>
          <w:rFonts w:ascii="Calibri" w:hAnsi="Calibri" w:cs="Calibri"/>
          <w:color w:val="000000" w:themeColor="text1"/>
          <w:sz w:val="24"/>
          <w:szCs w:val="24"/>
        </w:rPr>
        <w:t>, 16: 349–359.</w:t>
      </w:r>
    </w:p>
    <w:p w14:paraId="0A05DA85"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Pr>
          <w:rFonts w:ascii="Calibri" w:hAnsi="Calibri" w:cs="Calibri"/>
          <w:color w:val="000000" w:themeColor="text1"/>
          <w:sz w:val="24"/>
          <w:szCs w:val="24"/>
        </w:rPr>
        <w:t xml:space="preserve">Matthews, Robert J. 2013. Belief and Belief’s Penumbra. </w:t>
      </w:r>
      <w:r w:rsidRPr="00A66803">
        <w:rPr>
          <w:rFonts w:ascii="Calibri" w:hAnsi="Calibri" w:cs="Calibri"/>
          <w:color w:val="000000" w:themeColor="text1"/>
          <w:sz w:val="24"/>
          <w:szCs w:val="24"/>
        </w:rPr>
        <w:t xml:space="preserve">Nottelmann, N. ed. </w:t>
      </w:r>
      <w:r w:rsidRPr="00A66803">
        <w:rPr>
          <w:rFonts w:ascii="Calibri" w:hAnsi="Calibri" w:cs="Calibri"/>
          <w:i/>
          <w:iCs/>
          <w:color w:val="000000" w:themeColor="text1"/>
          <w:sz w:val="24"/>
          <w:szCs w:val="24"/>
        </w:rPr>
        <w:t>New Essays on Belief</w:t>
      </w:r>
      <w:r w:rsidRPr="00A66803">
        <w:rPr>
          <w:rFonts w:ascii="Calibri" w:hAnsi="Calibri" w:cs="Calibri"/>
          <w:color w:val="000000" w:themeColor="text1"/>
          <w:sz w:val="24"/>
          <w:szCs w:val="24"/>
        </w:rPr>
        <w:t xml:space="preserve">. </w:t>
      </w:r>
      <w:proofErr w:type="spellStart"/>
      <w:r w:rsidRPr="00A66803">
        <w:rPr>
          <w:rFonts w:ascii="Calibri" w:hAnsi="Calibri" w:cs="Calibri"/>
          <w:color w:val="000000" w:themeColor="text1"/>
          <w:sz w:val="24"/>
          <w:szCs w:val="24"/>
        </w:rPr>
        <w:t>Houndmills</w:t>
      </w:r>
      <w:proofErr w:type="spellEnd"/>
      <w:r w:rsidRPr="00A66803">
        <w:rPr>
          <w:rFonts w:ascii="Calibri" w:hAnsi="Calibri" w:cs="Calibri"/>
          <w:color w:val="000000" w:themeColor="text1"/>
          <w:sz w:val="24"/>
          <w:szCs w:val="24"/>
        </w:rPr>
        <w:t>, Basingstoke: Palgrave Macmillan:</w:t>
      </w:r>
      <w:r>
        <w:rPr>
          <w:rFonts w:ascii="Calibri" w:hAnsi="Calibri" w:cs="Calibri"/>
          <w:color w:val="000000" w:themeColor="text1"/>
          <w:sz w:val="24"/>
          <w:szCs w:val="24"/>
        </w:rPr>
        <w:t xml:space="preserve"> 100-124.</w:t>
      </w:r>
    </w:p>
    <w:p w14:paraId="1D9CDEBC"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Mercier, H. 2020. </w:t>
      </w:r>
      <w:r w:rsidRPr="00A66803">
        <w:rPr>
          <w:rFonts w:ascii="Calibri" w:hAnsi="Calibri" w:cs="Calibri"/>
          <w:i/>
          <w:iCs/>
          <w:color w:val="000000" w:themeColor="text1"/>
          <w:sz w:val="24"/>
          <w:szCs w:val="24"/>
        </w:rPr>
        <w:t>Not Born Yesterday</w:t>
      </w:r>
      <w:r w:rsidRPr="00A66803">
        <w:rPr>
          <w:rFonts w:ascii="Calibri" w:hAnsi="Calibri" w:cs="Calibri"/>
          <w:color w:val="000000" w:themeColor="text1"/>
          <w:sz w:val="24"/>
          <w:szCs w:val="24"/>
        </w:rPr>
        <w:t>. Princeton: Princeton University Press.</w:t>
      </w:r>
    </w:p>
    <w:p w14:paraId="2619918A"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Miyazono, K. 2019. </w:t>
      </w:r>
      <w:r w:rsidRPr="00A66803">
        <w:rPr>
          <w:rFonts w:ascii="Calibri" w:hAnsi="Calibri" w:cs="Calibri"/>
          <w:i/>
          <w:iCs/>
          <w:color w:val="000000" w:themeColor="text1"/>
          <w:sz w:val="24"/>
          <w:szCs w:val="24"/>
        </w:rPr>
        <w:t>Delusions and Beliefs</w:t>
      </w:r>
      <w:r w:rsidRPr="00A66803">
        <w:rPr>
          <w:rFonts w:ascii="Calibri" w:hAnsi="Calibri" w:cs="Calibri"/>
          <w:color w:val="000000" w:themeColor="text1"/>
          <w:sz w:val="24"/>
          <w:szCs w:val="24"/>
        </w:rPr>
        <w:t>. London: Routledge.</w:t>
      </w:r>
    </w:p>
    <w:p w14:paraId="3DF11A4C"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Noordhof, P. 2001. Believe What You Want. </w:t>
      </w:r>
      <w:r w:rsidRPr="00A66803">
        <w:rPr>
          <w:rFonts w:ascii="Calibri" w:hAnsi="Calibri" w:cs="Calibri"/>
          <w:i/>
          <w:iCs/>
          <w:color w:val="000000" w:themeColor="text1"/>
          <w:sz w:val="24"/>
          <w:szCs w:val="24"/>
        </w:rPr>
        <w:t>Proceedings of the Aristotelian Society</w:t>
      </w:r>
      <w:r w:rsidRPr="00A66803">
        <w:rPr>
          <w:rFonts w:ascii="Calibri" w:hAnsi="Calibri" w:cs="Calibri"/>
          <w:color w:val="000000" w:themeColor="text1"/>
          <w:sz w:val="24"/>
          <w:szCs w:val="24"/>
        </w:rPr>
        <w:t>, 101, 3: 247-65.</w:t>
      </w:r>
    </w:p>
    <w:p w14:paraId="658AB42B"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Noordhof, P. 2024. Irrationality and the Failures of Consciousness.  Sullivan-Bissett, E. ed., 2024. </w:t>
      </w:r>
      <w:r w:rsidRPr="00A66803">
        <w:rPr>
          <w:rFonts w:ascii="Calibri" w:hAnsi="Calibri" w:cs="Calibri"/>
          <w:i/>
          <w:iCs/>
          <w:color w:val="000000" w:themeColor="text1"/>
          <w:sz w:val="24"/>
          <w:szCs w:val="24"/>
        </w:rPr>
        <w:t>Belief, Imagination and Delusion</w:t>
      </w:r>
      <w:r w:rsidRPr="00A66803">
        <w:rPr>
          <w:rFonts w:ascii="Calibri" w:hAnsi="Calibri" w:cs="Calibri"/>
          <w:color w:val="000000" w:themeColor="text1"/>
          <w:sz w:val="24"/>
          <w:szCs w:val="24"/>
        </w:rPr>
        <w:t>. Oxford: Oxford University Press: 266-304.</w:t>
      </w:r>
    </w:p>
    <w:p w14:paraId="152EB84E"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lastRenderedPageBreak/>
        <w:t xml:space="preserve">Noordhof, P. 2025a. Delusion and </w:t>
      </w:r>
      <w:proofErr w:type="spellStart"/>
      <w:r w:rsidRPr="00A66803">
        <w:rPr>
          <w:rFonts w:ascii="Calibri" w:hAnsi="Calibri" w:cs="Calibri"/>
          <w:color w:val="000000" w:themeColor="text1"/>
          <w:sz w:val="24"/>
          <w:szCs w:val="24"/>
        </w:rPr>
        <w:t>Doxasticism</w:t>
      </w:r>
      <w:proofErr w:type="spellEnd"/>
      <w:r w:rsidRPr="00A66803">
        <w:rPr>
          <w:rFonts w:ascii="Calibri" w:hAnsi="Calibri" w:cs="Calibri"/>
          <w:color w:val="000000" w:themeColor="text1"/>
          <w:sz w:val="24"/>
          <w:szCs w:val="24"/>
        </w:rPr>
        <w:t xml:space="preserve">. Sullivan-Bissett, E.  2025. ed. </w:t>
      </w:r>
      <w:r w:rsidRPr="00A66803">
        <w:rPr>
          <w:rFonts w:ascii="Calibri" w:hAnsi="Calibri" w:cs="Calibri"/>
          <w:i/>
          <w:iCs/>
          <w:color w:val="000000" w:themeColor="text1"/>
          <w:sz w:val="24"/>
          <w:szCs w:val="24"/>
        </w:rPr>
        <w:t>The Routledge Handbook of the Philosophy of Delusion</w:t>
      </w:r>
      <w:r w:rsidRPr="00A66803">
        <w:rPr>
          <w:rFonts w:ascii="Calibri" w:hAnsi="Calibri" w:cs="Calibri"/>
          <w:color w:val="000000" w:themeColor="text1"/>
          <w:sz w:val="24"/>
          <w:szCs w:val="24"/>
        </w:rPr>
        <w:t>. London: Routledge: 292-307.</w:t>
      </w:r>
    </w:p>
    <w:p w14:paraId="3C614447"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Noordhof, P. 2025b. Delusion and Non-</w:t>
      </w:r>
      <w:proofErr w:type="spellStart"/>
      <w:r w:rsidRPr="00A66803">
        <w:rPr>
          <w:rFonts w:ascii="Calibri" w:hAnsi="Calibri" w:cs="Calibri"/>
          <w:color w:val="000000" w:themeColor="text1"/>
          <w:sz w:val="24"/>
          <w:szCs w:val="24"/>
        </w:rPr>
        <w:t>Doxasticism</w:t>
      </w:r>
      <w:proofErr w:type="spellEnd"/>
      <w:r w:rsidRPr="00A66803">
        <w:rPr>
          <w:rFonts w:ascii="Calibri" w:hAnsi="Calibri" w:cs="Calibri"/>
          <w:color w:val="000000" w:themeColor="text1"/>
          <w:sz w:val="24"/>
          <w:szCs w:val="24"/>
        </w:rPr>
        <w:t xml:space="preserve">. Sullivan-Bissett. E.  2025, ed. </w:t>
      </w:r>
      <w:r w:rsidRPr="00A66803">
        <w:rPr>
          <w:rFonts w:ascii="Calibri" w:hAnsi="Calibri" w:cs="Calibri"/>
          <w:i/>
          <w:iCs/>
          <w:color w:val="000000" w:themeColor="text1"/>
          <w:sz w:val="24"/>
          <w:szCs w:val="24"/>
        </w:rPr>
        <w:t>The Routledge Handbook of the Philosophy of Delusion</w:t>
      </w:r>
      <w:r w:rsidRPr="00A66803">
        <w:rPr>
          <w:rFonts w:ascii="Calibri" w:hAnsi="Calibri" w:cs="Calibri"/>
          <w:color w:val="000000" w:themeColor="text1"/>
          <w:sz w:val="24"/>
          <w:szCs w:val="24"/>
        </w:rPr>
        <w:t>. London: Routledge: 308-23.</w:t>
      </w:r>
    </w:p>
    <w:p w14:paraId="7A853D9E"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Ramirez Bermúdez, J. and colleagues. 2021. </w:t>
      </w:r>
      <w:proofErr w:type="spellStart"/>
      <w:r w:rsidRPr="00A66803">
        <w:rPr>
          <w:rFonts w:ascii="Calibri" w:hAnsi="Calibri" w:cs="Calibri"/>
          <w:color w:val="000000" w:themeColor="text1"/>
          <w:sz w:val="24"/>
          <w:szCs w:val="24"/>
        </w:rPr>
        <w:t>Cotard</w:t>
      </w:r>
      <w:proofErr w:type="spellEnd"/>
      <w:r w:rsidRPr="00A66803">
        <w:rPr>
          <w:rFonts w:ascii="Calibri" w:hAnsi="Calibri" w:cs="Calibri"/>
          <w:color w:val="000000" w:themeColor="text1"/>
          <w:sz w:val="24"/>
          <w:szCs w:val="24"/>
        </w:rPr>
        <w:t xml:space="preserve"> syndrome in anti-NMDAR encephalitis: two patients and insights from molecular imaging. </w:t>
      </w:r>
      <w:proofErr w:type="spellStart"/>
      <w:r w:rsidRPr="00A66803">
        <w:rPr>
          <w:rFonts w:ascii="Calibri" w:hAnsi="Calibri" w:cs="Calibri"/>
          <w:i/>
          <w:iCs/>
          <w:color w:val="000000" w:themeColor="text1"/>
          <w:sz w:val="24"/>
          <w:szCs w:val="24"/>
        </w:rPr>
        <w:t>Neurocase</w:t>
      </w:r>
      <w:proofErr w:type="spellEnd"/>
      <w:r w:rsidRPr="00A66803">
        <w:rPr>
          <w:rFonts w:ascii="Calibri" w:hAnsi="Calibri" w:cs="Calibri"/>
          <w:color w:val="000000" w:themeColor="text1"/>
          <w:sz w:val="24"/>
          <w:szCs w:val="24"/>
        </w:rPr>
        <w:t>, 27, 1: 64-71.</w:t>
      </w:r>
    </w:p>
    <w:p w14:paraId="6499D0D4"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proofErr w:type="spellStart"/>
      <w:r w:rsidRPr="00A66803">
        <w:rPr>
          <w:rFonts w:ascii="Calibri" w:hAnsi="Calibri" w:cs="Calibri"/>
          <w:color w:val="000000" w:themeColor="text1"/>
          <w:sz w:val="24"/>
          <w:szCs w:val="24"/>
        </w:rPr>
        <w:t>Schwitzgebel</w:t>
      </w:r>
      <w:proofErr w:type="spellEnd"/>
      <w:r w:rsidRPr="00A66803">
        <w:rPr>
          <w:rFonts w:ascii="Calibri" w:hAnsi="Calibri" w:cs="Calibri"/>
          <w:color w:val="000000" w:themeColor="text1"/>
          <w:sz w:val="24"/>
          <w:szCs w:val="24"/>
        </w:rPr>
        <w:t xml:space="preserve">, E. 2002. A Phenomenal, Dispositional Account of Belief. </w:t>
      </w:r>
      <w:proofErr w:type="spellStart"/>
      <w:r w:rsidRPr="00A66803">
        <w:rPr>
          <w:rFonts w:ascii="Calibri" w:hAnsi="Calibri" w:cs="Calibri"/>
          <w:i/>
          <w:iCs/>
          <w:color w:val="000000" w:themeColor="text1"/>
          <w:sz w:val="24"/>
          <w:szCs w:val="24"/>
        </w:rPr>
        <w:t>Noûs</w:t>
      </w:r>
      <w:proofErr w:type="spellEnd"/>
      <w:r w:rsidRPr="00A66803">
        <w:rPr>
          <w:rFonts w:ascii="Calibri" w:hAnsi="Calibri" w:cs="Calibri"/>
          <w:color w:val="000000" w:themeColor="text1"/>
          <w:sz w:val="24"/>
          <w:szCs w:val="24"/>
        </w:rPr>
        <w:t>, 36, 2: 249–275.</w:t>
      </w:r>
    </w:p>
    <w:p w14:paraId="7BED4D92"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proofErr w:type="spellStart"/>
      <w:r w:rsidRPr="00A66803">
        <w:rPr>
          <w:rFonts w:ascii="Calibri" w:hAnsi="Calibri" w:cs="Calibri"/>
          <w:color w:val="000000" w:themeColor="text1"/>
          <w:sz w:val="24"/>
          <w:szCs w:val="24"/>
        </w:rPr>
        <w:t>Schwitzgebel</w:t>
      </w:r>
      <w:proofErr w:type="spellEnd"/>
      <w:r w:rsidRPr="00A66803">
        <w:rPr>
          <w:rFonts w:ascii="Calibri" w:hAnsi="Calibri" w:cs="Calibri"/>
          <w:color w:val="000000" w:themeColor="text1"/>
          <w:sz w:val="24"/>
          <w:szCs w:val="24"/>
        </w:rPr>
        <w:t xml:space="preserve">, E. 2013. A Dispositional Approach to Attitudes: Thinking Outside of the Belief Box. Nottelmann, N. ed. </w:t>
      </w:r>
      <w:r w:rsidRPr="00A66803">
        <w:rPr>
          <w:rFonts w:ascii="Calibri" w:hAnsi="Calibri" w:cs="Calibri"/>
          <w:i/>
          <w:iCs/>
          <w:color w:val="000000" w:themeColor="text1"/>
          <w:sz w:val="24"/>
          <w:szCs w:val="24"/>
        </w:rPr>
        <w:t>New Essays on Belief</w:t>
      </w:r>
      <w:r w:rsidRPr="00A66803">
        <w:rPr>
          <w:rFonts w:ascii="Calibri" w:hAnsi="Calibri" w:cs="Calibri"/>
          <w:color w:val="000000" w:themeColor="text1"/>
          <w:sz w:val="24"/>
          <w:szCs w:val="24"/>
        </w:rPr>
        <w:t xml:space="preserve">. </w:t>
      </w:r>
      <w:proofErr w:type="spellStart"/>
      <w:r w:rsidRPr="00A66803">
        <w:rPr>
          <w:rFonts w:ascii="Calibri" w:hAnsi="Calibri" w:cs="Calibri"/>
          <w:color w:val="000000" w:themeColor="text1"/>
          <w:sz w:val="24"/>
          <w:szCs w:val="24"/>
        </w:rPr>
        <w:t>Houndmills</w:t>
      </w:r>
      <w:proofErr w:type="spellEnd"/>
      <w:r w:rsidRPr="00A66803">
        <w:rPr>
          <w:rFonts w:ascii="Calibri" w:hAnsi="Calibri" w:cs="Calibri"/>
          <w:color w:val="000000" w:themeColor="text1"/>
          <w:sz w:val="24"/>
          <w:szCs w:val="24"/>
        </w:rPr>
        <w:t>, Basingstoke: Palgrave Macmillan: 75–99.</w:t>
      </w:r>
    </w:p>
    <w:p w14:paraId="59C5E435" w14:textId="77777777" w:rsidR="000F01B7" w:rsidRPr="00A66803" w:rsidRDefault="000F01B7" w:rsidP="000F01B7">
      <w:pPr>
        <w:pStyle w:val="Reference-Alphabetical"/>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Arturo Silva J. and colleagues. 1992. The Dangerousness of Persons with Misidentification Syndromes. </w:t>
      </w:r>
      <w:r w:rsidRPr="00A66803">
        <w:rPr>
          <w:rFonts w:ascii="Calibri" w:hAnsi="Calibri" w:cs="Calibri"/>
          <w:i/>
          <w:iCs/>
          <w:color w:val="000000" w:themeColor="text1"/>
          <w:sz w:val="24"/>
          <w:szCs w:val="24"/>
        </w:rPr>
        <w:t>Bulletin of American Academy of Psychiatry and Law</w:t>
      </w:r>
      <w:r w:rsidRPr="00A66803">
        <w:rPr>
          <w:rFonts w:ascii="Calibri" w:hAnsi="Calibri" w:cs="Calibri"/>
          <w:color w:val="000000" w:themeColor="text1"/>
          <w:sz w:val="24"/>
          <w:szCs w:val="24"/>
        </w:rPr>
        <w:t>, 20, 1: 77-86.</w:t>
      </w:r>
    </w:p>
    <w:p w14:paraId="17D09CFF"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lang w:val="en-GB"/>
        </w:rPr>
      </w:pPr>
      <w:r w:rsidRPr="00A66803">
        <w:rPr>
          <w:rFonts w:ascii="Calibri" w:hAnsi="Calibri" w:cs="Calibri"/>
          <w:color w:val="000000" w:themeColor="text1"/>
          <w:sz w:val="24"/>
          <w:szCs w:val="24"/>
          <w:lang w:val="en-GB"/>
        </w:rPr>
        <w:t xml:space="preserve">Searle, J. R. 1983.  </w:t>
      </w:r>
      <w:r w:rsidRPr="00A66803">
        <w:rPr>
          <w:rFonts w:ascii="Calibri" w:hAnsi="Calibri" w:cs="Calibri"/>
          <w:i/>
          <w:iCs/>
          <w:color w:val="000000" w:themeColor="text1"/>
          <w:sz w:val="24"/>
          <w:szCs w:val="24"/>
          <w:lang w:val="en-GB"/>
        </w:rPr>
        <w:t>Intentionality</w:t>
      </w:r>
      <w:r w:rsidRPr="00A66803">
        <w:rPr>
          <w:rFonts w:ascii="Calibri" w:hAnsi="Calibri" w:cs="Calibri"/>
          <w:color w:val="000000" w:themeColor="text1"/>
          <w:sz w:val="24"/>
          <w:szCs w:val="24"/>
          <w:lang w:val="en-GB"/>
        </w:rPr>
        <w:t>. Cambridge: Cambridge University Press.</w:t>
      </w:r>
    </w:p>
    <w:p w14:paraId="3923B103"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lang w:val="en-GB"/>
        </w:rPr>
      </w:pPr>
      <w:r w:rsidRPr="00A66803">
        <w:rPr>
          <w:rFonts w:ascii="Calibri" w:hAnsi="Calibri" w:cs="Calibri"/>
          <w:color w:val="000000" w:themeColor="text1"/>
          <w:sz w:val="24"/>
          <w:szCs w:val="24"/>
          <w:lang w:val="en-GB"/>
        </w:rPr>
        <w:t xml:space="preserve">Shoemaker, S. 1981. Some Varieties of Functionalism. </w:t>
      </w:r>
      <w:r w:rsidRPr="00A66803">
        <w:rPr>
          <w:rFonts w:ascii="Calibri" w:hAnsi="Calibri" w:cs="Calibri"/>
          <w:i/>
          <w:iCs/>
          <w:color w:val="000000" w:themeColor="text1"/>
          <w:sz w:val="24"/>
          <w:szCs w:val="24"/>
          <w:lang w:val="en-GB"/>
        </w:rPr>
        <w:t>Philosophical Topics</w:t>
      </w:r>
      <w:r w:rsidRPr="00A66803">
        <w:rPr>
          <w:rFonts w:ascii="Calibri" w:hAnsi="Calibri" w:cs="Calibri"/>
          <w:color w:val="000000" w:themeColor="text1"/>
          <w:sz w:val="24"/>
          <w:szCs w:val="24"/>
          <w:lang w:val="en-GB"/>
        </w:rPr>
        <w:t xml:space="preserve">, 12, 1: 83-118, reprinted in his 2003, expanded edition. </w:t>
      </w:r>
      <w:r w:rsidRPr="00A66803">
        <w:rPr>
          <w:rFonts w:ascii="Calibri" w:hAnsi="Calibri" w:cs="Calibri"/>
          <w:i/>
          <w:iCs/>
          <w:color w:val="000000" w:themeColor="text1"/>
          <w:sz w:val="24"/>
          <w:szCs w:val="24"/>
          <w:lang w:val="en-GB"/>
        </w:rPr>
        <w:t>Identity, Cause and Mind</w:t>
      </w:r>
      <w:r w:rsidRPr="00A66803">
        <w:rPr>
          <w:rFonts w:ascii="Calibri" w:hAnsi="Calibri" w:cs="Calibri"/>
          <w:color w:val="000000" w:themeColor="text1"/>
          <w:sz w:val="24"/>
          <w:szCs w:val="24"/>
          <w:lang w:val="en-GB"/>
        </w:rPr>
        <w:t>. Cambridge: Cambridge University Press: 261-286.</w:t>
      </w:r>
    </w:p>
    <w:p w14:paraId="294A99C8"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lang w:val="en-GB"/>
        </w:rPr>
      </w:pPr>
      <w:r w:rsidRPr="00A66803">
        <w:rPr>
          <w:rFonts w:ascii="Calibri" w:hAnsi="Calibri" w:cs="Calibri"/>
          <w:color w:val="000000" w:themeColor="text1"/>
          <w:sz w:val="24"/>
          <w:szCs w:val="24"/>
          <w:lang w:val="en-GB"/>
        </w:rPr>
        <w:t xml:space="preserve">Sperber, D.  1997. Intuitive and Reflective Beliefs. </w:t>
      </w:r>
      <w:r w:rsidRPr="00A66803">
        <w:rPr>
          <w:rFonts w:ascii="Calibri" w:hAnsi="Calibri" w:cs="Calibri"/>
          <w:i/>
          <w:iCs/>
          <w:color w:val="000000" w:themeColor="text1"/>
          <w:sz w:val="24"/>
          <w:szCs w:val="24"/>
          <w:lang w:val="en-GB"/>
        </w:rPr>
        <w:t>Mind and Language</w:t>
      </w:r>
      <w:r w:rsidRPr="00A66803">
        <w:rPr>
          <w:rFonts w:ascii="Calibri" w:hAnsi="Calibri" w:cs="Calibri"/>
          <w:color w:val="000000" w:themeColor="text1"/>
          <w:sz w:val="24"/>
          <w:szCs w:val="24"/>
          <w:lang w:val="en-GB"/>
        </w:rPr>
        <w:t>, 12, 1: 67-83.</w:t>
      </w:r>
    </w:p>
    <w:p w14:paraId="2DFA5165"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lang w:val="en-GB"/>
        </w:rPr>
      </w:pPr>
      <w:r w:rsidRPr="00A66803">
        <w:rPr>
          <w:rFonts w:ascii="Calibri" w:hAnsi="Calibri" w:cs="Calibri"/>
          <w:color w:val="000000" w:themeColor="text1"/>
          <w:sz w:val="24"/>
          <w:szCs w:val="24"/>
          <w:lang w:val="en-GB"/>
        </w:rPr>
        <w:t xml:space="preserve">Stone, T. &amp; Young, A. W. 1997. Delusions and Brain Injury: The Philosophy and Psychology of Belief. </w:t>
      </w:r>
      <w:r w:rsidRPr="00A66803">
        <w:rPr>
          <w:rFonts w:ascii="Calibri" w:hAnsi="Calibri" w:cs="Calibri"/>
          <w:i/>
          <w:iCs/>
          <w:color w:val="000000" w:themeColor="text1"/>
          <w:sz w:val="24"/>
          <w:szCs w:val="24"/>
          <w:lang w:val="en-GB"/>
        </w:rPr>
        <w:t>Mind and Language</w:t>
      </w:r>
      <w:r w:rsidRPr="00A66803">
        <w:rPr>
          <w:rFonts w:ascii="Calibri" w:hAnsi="Calibri" w:cs="Calibri"/>
          <w:color w:val="000000" w:themeColor="text1"/>
          <w:sz w:val="24"/>
          <w:szCs w:val="24"/>
          <w:lang w:val="en-GB"/>
        </w:rPr>
        <w:t>, 12, 3/4: 327-64.</w:t>
      </w:r>
    </w:p>
    <w:p w14:paraId="77114AF5"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lang w:val="en-GB"/>
        </w:rPr>
      </w:pPr>
      <w:r w:rsidRPr="00A66803">
        <w:rPr>
          <w:rFonts w:ascii="Calibri" w:hAnsi="Calibri" w:cs="Calibri"/>
          <w:color w:val="000000" w:themeColor="text1"/>
          <w:sz w:val="24"/>
          <w:szCs w:val="24"/>
          <w:lang w:val="en-GB"/>
        </w:rPr>
        <w:t xml:space="preserve">Todd, J. 1957. The Syndrome of Capgras. </w:t>
      </w:r>
      <w:r w:rsidRPr="00A66803">
        <w:rPr>
          <w:rFonts w:ascii="Calibri" w:hAnsi="Calibri" w:cs="Calibri"/>
          <w:i/>
          <w:iCs/>
          <w:color w:val="000000" w:themeColor="text1"/>
          <w:sz w:val="24"/>
          <w:szCs w:val="24"/>
          <w:lang w:val="en-GB"/>
        </w:rPr>
        <w:t>The Psychiatric Quarterly</w:t>
      </w:r>
      <w:r w:rsidRPr="00A66803">
        <w:rPr>
          <w:rFonts w:ascii="Calibri" w:hAnsi="Calibri" w:cs="Calibri"/>
          <w:color w:val="000000" w:themeColor="text1"/>
          <w:sz w:val="24"/>
          <w:szCs w:val="24"/>
          <w:lang w:val="en-GB"/>
        </w:rPr>
        <w:t>, 31: 250-65.</w:t>
      </w:r>
    </w:p>
    <w:p w14:paraId="6D758CD7"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r w:rsidRPr="00A66803">
        <w:rPr>
          <w:rFonts w:ascii="Calibri" w:hAnsi="Calibri" w:cs="Calibri"/>
          <w:color w:val="000000" w:themeColor="text1"/>
          <w:sz w:val="24"/>
          <w:szCs w:val="24"/>
        </w:rPr>
        <w:t xml:space="preserve">Van Leeuwen, N.  2023. </w:t>
      </w:r>
      <w:r w:rsidRPr="00A66803">
        <w:rPr>
          <w:rFonts w:ascii="Calibri" w:hAnsi="Calibri" w:cs="Calibri"/>
          <w:i/>
          <w:iCs/>
          <w:color w:val="000000" w:themeColor="text1"/>
          <w:sz w:val="24"/>
          <w:szCs w:val="24"/>
        </w:rPr>
        <w:t>Religion as Make-Believe</w:t>
      </w:r>
      <w:r>
        <w:rPr>
          <w:rFonts w:ascii="Calibri" w:hAnsi="Calibri" w:cs="Calibri"/>
          <w:i/>
          <w:iCs/>
          <w:color w:val="000000" w:themeColor="text1"/>
          <w:sz w:val="24"/>
          <w:szCs w:val="24"/>
        </w:rPr>
        <w:t>: A Theory of Belief, Imagination, and Group Identity</w:t>
      </w:r>
      <w:r w:rsidRPr="00A66803">
        <w:rPr>
          <w:rFonts w:ascii="Calibri" w:hAnsi="Calibri" w:cs="Calibri"/>
          <w:color w:val="000000" w:themeColor="text1"/>
          <w:sz w:val="24"/>
          <w:szCs w:val="24"/>
        </w:rPr>
        <w:t>. Cambridge, Massachusetts: Harvard University Press.</w:t>
      </w:r>
    </w:p>
    <w:p w14:paraId="51A90D44"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lang w:val="en-GB"/>
        </w:rPr>
      </w:pPr>
      <w:r w:rsidRPr="00A66803">
        <w:rPr>
          <w:rFonts w:ascii="Calibri" w:hAnsi="Calibri" w:cs="Calibri"/>
          <w:color w:val="000000" w:themeColor="text1"/>
          <w:sz w:val="24"/>
          <w:szCs w:val="24"/>
          <w:lang w:val="en-GB"/>
        </w:rPr>
        <w:t xml:space="preserve">von Hippel, W. &amp; Trivers, R.  2011. The evolution and psychology of self-deception. </w:t>
      </w:r>
      <w:proofErr w:type="spellStart"/>
      <w:r w:rsidRPr="00A66803">
        <w:rPr>
          <w:rFonts w:ascii="Calibri" w:hAnsi="Calibri" w:cs="Calibri"/>
          <w:color w:val="000000" w:themeColor="text1"/>
          <w:sz w:val="24"/>
          <w:szCs w:val="24"/>
          <w:lang w:val="en-GB"/>
        </w:rPr>
        <w:t>Behavioral</w:t>
      </w:r>
      <w:proofErr w:type="spellEnd"/>
      <w:r w:rsidRPr="00A66803">
        <w:rPr>
          <w:rFonts w:ascii="Calibri" w:hAnsi="Calibri" w:cs="Calibri"/>
          <w:color w:val="000000" w:themeColor="text1"/>
          <w:sz w:val="24"/>
          <w:szCs w:val="24"/>
          <w:lang w:val="en-GB"/>
        </w:rPr>
        <w:t xml:space="preserve"> and Brain Sciences, 34: 1-56.</w:t>
      </w:r>
    </w:p>
    <w:p w14:paraId="5D6EB89A" w14:textId="77777777" w:rsidR="000F01B7" w:rsidRPr="00BA4186" w:rsidRDefault="000F01B7" w:rsidP="000F01B7">
      <w:pPr>
        <w:pStyle w:val="Reference-Alphabetical"/>
        <w:spacing w:line="480" w:lineRule="auto"/>
        <w:jc w:val="both"/>
        <w:rPr>
          <w:rFonts w:ascii="Calibri" w:hAnsi="Calibri" w:cs="Calibri"/>
          <w:color w:val="000000" w:themeColor="text1"/>
          <w:sz w:val="24"/>
          <w:szCs w:val="24"/>
          <w:lang w:val="en-GB"/>
        </w:rPr>
      </w:pPr>
      <w:r>
        <w:rPr>
          <w:rFonts w:ascii="Calibri" w:hAnsi="Calibri" w:cs="Calibri"/>
          <w:color w:val="000000" w:themeColor="text1"/>
          <w:sz w:val="24"/>
          <w:szCs w:val="24"/>
          <w:lang w:val="en-GB"/>
        </w:rPr>
        <w:lastRenderedPageBreak/>
        <w:t xml:space="preserve">Walton, K. (1990). </w:t>
      </w:r>
      <w:r>
        <w:rPr>
          <w:rFonts w:ascii="Calibri" w:hAnsi="Calibri" w:cs="Calibri"/>
          <w:i/>
          <w:iCs/>
          <w:color w:val="000000" w:themeColor="text1"/>
          <w:sz w:val="24"/>
          <w:szCs w:val="24"/>
          <w:lang w:val="en-GB"/>
        </w:rPr>
        <w:t xml:space="preserve">Mimesis as Make-Believe: On the Foundations of the Representational Arts. </w:t>
      </w:r>
      <w:r>
        <w:rPr>
          <w:rFonts w:ascii="Calibri" w:hAnsi="Calibri" w:cs="Calibri"/>
          <w:color w:val="000000" w:themeColor="text1"/>
          <w:sz w:val="24"/>
          <w:szCs w:val="24"/>
          <w:lang w:val="en-GB"/>
        </w:rPr>
        <w:t xml:space="preserve">Harvard University Press. </w:t>
      </w:r>
    </w:p>
    <w:p w14:paraId="7BACD00C"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lang w:val="en-GB"/>
        </w:rPr>
      </w:pPr>
      <w:r w:rsidRPr="00A66803">
        <w:rPr>
          <w:rFonts w:ascii="Calibri" w:hAnsi="Calibri" w:cs="Calibri"/>
          <w:color w:val="000000" w:themeColor="text1"/>
          <w:sz w:val="24"/>
          <w:szCs w:val="24"/>
          <w:lang w:val="en-GB"/>
        </w:rPr>
        <w:t xml:space="preserve">Wessely, S. and </w:t>
      </w:r>
      <w:proofErr w:type="gramStart"/>
      <w:r w:rsidRPr="00A66803">
        <w:rPr>
          <w:rFonts w:ascii="Calibri" w:hAnsi="Calibri" w:cs="Calibri"/>
          <w:color w:val="000000" w:themeColor="text1"/>
          <w:sz w:val="24"/>
          <w:szCs w:val="24"/>
          <w:lang w:val="en-GB"/>
        </w:rPr>
        <w:t>colleagues  1993</w:t>
      </w:r>
      <w:proofErr w:type="gramEnd"/>
      <w:r w:rsidRPr="00A66803">
        <w:rPr>
          <w:rFonts w:ascii="Calibri" w:hAnsi="Calibri" w:cs="Calibri"/>
          <w:color w:val="000000" w:themeColor="text1"/>
          <w:sz w:val="24"/>
          <w:szCs w:val="24"/>
          <w:lang w:val="en-GB"/>
        </w:rPr>
        <w:t xml:space="preserve">. Acting on Delusions. 1: Prevalence.  </w:t>
      </w:r>
      <w:r w:rsidRPr="00A66803">
        <w:rPr>
          <w:rFonts w:ascii="Calibri" w:hAnsi="Calibri" w:cs="Calibri"/>
          <w:i/>
          <w:iCs/>
          <w:color w:val="000000" w:themeColor="text1"/>
          <w:sz w:val="24"/>
          <w:szCs w:val="24"/>
          <w:lang w:val="en-GB"/>
        </w:rPr>
        <w:t>British Journal of Psychiatry</w:t>
      </w:r>
      <w:r w:rsidRPr="00A66803">
        <w:rPr>
          <w:rFonts w:ascii="Calibri" w:hAnsi="Calibri" w:cs="Calibri"/>
          <w:color w:val="000000" w:themeColor="text1"/>
          <w:sz w:val="24"/>
          <w:szCs w:val="24"/>
          <w:lang w:val="en-GB"/>
        </w:rPr>
        <w:t>, 163: 69-76.</w:t>
      </w:r>
    </w:p>
    <w:p w14:paraId="2FB64FFA" w14:textId="77777777" w:rsidR="000F01B7" w:rsidRPr="00A66803" w:rsidRDefault="000F01B7" w:rsidP="000F01B7">
      <w:pPr>
        <w:pStyle w:val="Reference-Alphabetical"/>
        <w:spacing w:line="480" w:lineRule="auto"/>
        <w:ind w:left="720" w:hanging="720"/>
        <w:jc w:val="both"/>
        <w:rPr>
          <w:rFonts w:ascii="Calibri" w:hAnsi="Calibri" w:cs="Calibri"/>
          <w:color w:val="000000" w:themeColor="text1"/>
          <w:sz w:val="24"/>
          <w:szCs w:val="24"/>
          <w:lang w:val="en-GB"/>
        </w:rPr>
      </w:pPr>
      <w:r w:rsidRPr="00A66803">
        <w:rPr>
          <w:rFonts w:ascii="Calibri" w:hAnsi="Calibri" w:cs="Calibri"/>
          <w:color w:val="000000" w:themeColor="text1"/>
          <w:sz w:val="24"/>
          <w:szCs w:val="24"/>
          <w:lang w:val="en-GB"/>
        </w:rPr>
        <w:t xml:space="preserve">Williams, D. 2022. Signalling, commitment and strategic absurdities. </w:t>
      </w:r>
      <w:r w:rsidRPr="00A66803">
        <w:rPr>
          <w:rFonts w:ascii="Calibri" w:hAnsi="Calibri" w:cs="Calibri"/>
          <w:i/>
          <w:iCs/>
          <w:color w:val="000000" w:themeColor="text1"/>
          <w:sz w:val="24"/>
          <w:szCs w:val="24"/>
          <w:lang w:val="en-GB"/>
        </w:rPr>
        <w:t>Mind and Language</w:t>
      </w:r>
      <w:r w:rsidRPr="00A66803">
        <w:rPr>
          <w:rFonts w:ascii="Calibri" w:hAnsi="Calibri" w:cs="Calibri"/>
          <w:color w:val="000000" w:themeColor="text1"/>
          <w:sz w:val="24"/>
          <w:szCs w:val="24"/>
          <w:lang w:val="en-GB"/>
        </w:rPr>
        <w:t>, 37: 1011-29.</w:t>
      </w:r>
    </w:p>
    <w:p w14:paraId="0026E7CA" w14:textId="77777777" w:rsidR="000F01B7" w:rsidRPr="00A66803" w:rsidRDefault="000F01B7" w:rsidP="000F01B7">
      <w:pPr>
        <w:pStyle w:val="Reference-Alphabetical"/>
        <w:spacing w:line="480" w:lineRule="auto"/>
        <w:rPr>
          <w:rFonts w:ascii="Calibri" w:hAnsi="Calibri" w:cs="Calibri"/>
          <w:color w:val="000000" w:themeColor="text1"/>
          <w:sz w:val="24"/>
          <w:szCs w:val="24"/>
        </w:rPr>
      </w:pPr>
      <w:r w:rsidRPr="00A66803">
        <w:rPr>
          <w:rFonts w:ascii="Calibri" w:hAnsi="Calibri" w:cs="Calibri"/>
          <w:color w:val="000000" w:themeColor="text1"/>
          <w:sz w:val="24"/>
          <w:szCs w:val="24"/>
        </w:rPr>
        <w:t xml:space="preserve">Young, A. W. 1999. Delusions. </w:t>
      </w:r>
      <w:r w:rsidRPr="00A66803">
        <w:rPr>
          <w:rFonts w:ascii="Calibri" w:hAnsi="Calibri" w:cs="Calibri"/>
          <w:i/>
          <w:iCs/>
          <w:color w:val="000000" w:themeColor="text1"/>
          <w:sz w:val="24"/>
          <w:szCs w:val="24"/>
        </w:rPr>
        <w:t>The Monist</w:t>
      </w:r>
      <w:r w:rsidRPr="00A66803">
        <w:rPr>
          <w:rFonts w:ascii="Calibri" w:hAnsi="Calibri" w:cs="Calibri"/>
          <w:color w:val="000000" w:themeColor="text1"/>
          <w:sz w:val="24"/>
          <w:szCs w:val="24"/>
        </w:rPr>
        <w:t>, 82, 4: 571–589.</w:t>
      </w:r>
    </w:p>
    <w:p w14:paraId="6F96EC2C" w14:textId="77777777" w:rsidR="000F01B7" w:rsidRPr="00A66803" w:rsidRDefault="000F01B7" w:rsidP="000F01B7">
      <w:pPr>
        <w:pStyle w:val="Reference-Alphabetical"/>
        <w:spacing w:line="480" w:lineRule="auto"/>
        <w:rPr>
          <w:rFonts w:ascii="Calibri" w:hAnsi="Calibri" w:cs="Calibri"/>
          <w:color w:val="000000" w:themeColor="text1"/>
          <w:sz w:val="24"/>
          <w:szCs w:val="24"/>
        </w:rPr>
      </w:pPr>
      <w:r w:rsidRPr="00A66803">
        <w:rPr>
          <w:rFonts w:ascii="Calibri" w:hAnsi="Calibri" w:cs="Calibri"/>
          <w:color w:val="000000" w:themeColor="text1"/>
          <w:sz w:val="24"/>
          <w:szCs w:val="24"/>
        </w:rPr>
        <w:t>Young, A. W.</w:t>
      </w:r>
      <w:proofErr w:type="gramStart"/>
      <w:r w:rsidRPr="00A66803">
        <w:rPr>
          <w:rFonts w:ascii="Calibri" w:hAnsi="Calibri" w:cs="Calibri"/>
          <w:color w:val="000000" w:themeColor="text1"/>
          <w:sz w:val="24"/>
          <w:szCs w:val="24"/>
        </w:rPr>
        <w:t>,  and</w:t>
      </w:r>
      <w:proofErr w:type="gramEnd"/>
      <w:r w:rsidRPr="00A66803">
        <w:rPr>
          <w:rFonts w:ascii="Calibri" w:hAnsi="Calibri" w:cs="Calibri"/>
          <w:color w:val="000000" w:themeColor="text1"/>
          <w:sz w:val="24"/>
          <w:szCs w:val="24"/>
        </w:rPr>
        <w:t xml:space="preserve"> colleagues, 1992. </w:t>
      </w:r>
      <w:proofErr w:type="spellStart"/>
      <w:r w:rsidRPr="00A66803">
        <w:rPr>
          <w:rFonts w:ascii="Calibri" w:hAnsi="Calibri" w:cs="Calibri"/>
          <w:color w:val="000000" w:themeColor="text1"/>
          <w:sz w:val="24"/>
          <w:szCs w:val="24"/>
        </w:rPr>
        <w:t>Cotard</w:t>
      </w:r>
      <w:proofErr w:type="spellEnd"/>
      <w:r w:rsidRPr="00A66803">
        <w:rPr>
          <w:rFonts w:ascii="Calibri" w:hAnsi="Calibri" w:cs="Calibri"/>
          <w:color w:val="000000" w:themeColor="text1"/>
          <w:sz w:val="24"/>
          <w:szCs w:val="24"/>
        </w:rPr>
        <w:t xml:space="preserve"> delusion after brain injury.  </w:t>
      </w:r>
      <w:r w:rsidRPr="00A66803">
        <w:rPr>
          <w:rFonts w:ascii="Calibri" w:hAnsi="Calibri" w:cs="Calibri"/>
          <w:i/>
          <w:iCs/>
          <w:color w:val="000000" w:themeColor="text1"/>
          <w:sz w:val="24"/>
          <w:szCs w:val="24"/>
        </w:rPr>
        <w:t>Psychological Medicine</w:t>
      </w:r>
      <w:r w:rsidRPr="00A66803">
        <w:rPr>
          <w:rFonts w:ascii="Calibri" w:hAnsi="Calibri" w:cs="Calibri"/>
          <w:color w:val="000000" w:themeColor="text1"/>
          <w:sz w:val="24"/>
          <w:szCs w:val="24"/>
        </w:rPr>
        <w:t>, 22: 799-804.</w:t>
      </w:r>
    </w:p>
    <w:p w14:paraId="0BEF523E"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lang w:val="en-GB"/>
        </w:rPr>
      </w:pPr>
      <w:r w:rsidRPr="00A66803">
        <w:rPr>
          <w:rFonts w:ascii="Calibri" w:hAnsi="Calibri" w:cs="Calibri"/>
          <w:color w:val="000000" w:themeColor="text1"/>
          <w:sz w:val="24"/>
          <w:szCs w:val="24"/>
          <w:lang w:val="en-GB"/>
        </w:rPr>
        <w:t xml:space="preserve">Young, A W. &amp; Leafhead, K. M. 1996. Betwixt Life and Death: Case Studies of the </w:t>
      </w:r>
      <w:proofErr w:type="spellStart"/>
      <w:r w:rsidRPr="00A66803">
        <w:rPr>
          <w:rFonts w:ascii="Calibri" w:hAnsi="Calibri" w:cs="Calibri"/>
          <w:color w:val="000000" w:themeColor="text1"/>
          <w:sz w:val="24"/>
          <w:szCs w:val="24"/>
          <w:lang w:val="en-GB"/>
        </w:rPr>
        <w:t>Cotard</w:t>
      </w:r>
      <w:proofErr w:type="spellEnd"/>
      <w:r w:rsidRPr="00A66803">
        <w:rPr>
          <w:rFonts w:ascii="Calibri" w:hAnsi="Calibri" w:cs="Calibri"/>
          <w:color w:val="000000" w:themeColor="text1"/>
          <w:sz w:val="24"/>
          <w:szCs w:val="24"/>
          <w:lang w:val="en-GB"/>
        </w:rPr>
        <w:t xml:space="preserve"> Delusion.  Halligan, P and Marshall, J. eds. </w:t>
      </w:r>
      <w:r w:rsidRPr="00A66803">
        <w:rPr>
          <w:rFonts w:ascii="Calibri" w:hAnsi="Calibri" w:cs="Calibri"/>
          <w:i/>
          <w:iCs/>
          <w:color w:val="000000" w:themeColor="text1"/>
          <w:sz w:val="24"/>
          <w:szCs w:val="24"/>
          <w:lang w:val="en-GB"/>
        </w:rPr>
        <w:t xml:space="preserve">Method in Madness: Case Studies in Cognitive Neuropsychiatry. </w:t>
      </w:r>
      <w:r w:rsidRPr="00A66803">
        <w:rPr>
          <w:rFonts w:ascii="Calibri" w:hAnsi="Calibri" w:cs="Calibri"/>
          <w:color w:val="000000" w:themeColor="text1"/>
          <w:sz w:val="24"/>
          <w:szCs w:val="24"/>
          <w:lang w:val="en-GB"/>
        </w:rPr>
        <w:t>Hove: Psychology Press. 147–171.</w:t>
      </w:r>
    </w:p>
    <w:p w14:paraId="7732D8C8" w14:textId="77777777" w:rsidR="000F01B7" w:rsidRPr="00A66803" w:rsidRDefault="000F01B7" w:rsidP="000F01B7">
      <w:pPr>
        <w:pStyle w:val="Reference-Alphabetical"/>
        <w:spacing w:line="480" w:lineRule="auto"/>
        <w:ind w:left="720" w:hanging="720"/>
        <w:jc w:val="both"/>
        <w:rPr>
          <w:rFonts w:ascii="Calibri" w:hAnsi="Calibri" w:cs="Calibri"/>
          <w:color w:val="000000" w:themeColor="text1"/>
          <w:sz w:val="24"/>
          <w:szCs w:val="24"/>
        </w:rPr>
      </w:pPr>
    </w:p>
    <w:p w14:paraId="74B35CB3" w14:textId="77777777" w:rsidR="000F01B7" w:rsidRPr="00A66803" w:rsidRDefault="000F01B7" w:rsidP="000F01B7">
      <w:pPr>
        <w:pStyle w:val="Reference-Alphabetical"/>
        <w:spacing w:line="480" w:lineRule="auto"/>
        <w:jc w:val="both"/>
        <w:rPr>
          <w:rFonts w:ascii="Calibri" w:hAnsi="Calibri" w:cs="Calibri"/>
          <w:color w:val="000000" w:themeColor="text1"/>
          <w:sz w:val="24"/>
          <w:szCs w:val="24"/>
        </w:rPr>
      </w:pPr>
    </w:p>
    <w:p w14:paraId="1FF83C62" w14:textId="77777777" w:rsidR="000F01B7" w:rsidRPr="00A66803" w:rsidRDefault="000F01B7" w:rsidP="000F01B7">
      <w:pPr>
        <w:spacing w:line="480" w:lineRule="auto"/>
        <w:rPr>
          <w:rFonts w:ascii="Calibri" w:hAnsi="Calibri" w:cs="Calibri"/>
        </w:rPr>
      </w:pPr>
    </w:p>
    <w:p w14:paraId="2FCC572C" w14:textId="77777777" w:rsidR="00B14BE4" w:rsidRDefault="00B14BE4"/>
    <w:sectPr w:rsidR="00B14BE4" w:rsidSect="000F01B7">
      <w:footerReference w:type="even" r:id="rId4"/>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57995756"/>
      <w:docPartObj>
        <w:docPartGallery w:val="Page Numbers (Bottom of Page)"/>
        <w:docPartUnique/>
      </w:docPartObj>
    </w:sdtPr>
    <w:sdtContent>
      <w:p w14:paraId="11315119" w14:textId="77777777" w:rsidR="000F01B7" w:rsidRDefault="000F01B7" w:rsidP="00185EE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00E93A" w14:textId="77777777" w:rsidR="000F01B7" w:rsidRDefault="000F01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10271331"/>
      <w:docPartObj>
        <w:docPartGallery w:val="Page Numbers (Bottom of Page)"/>
        <w:docPartUnique/>
      </w:docPartObj>
    </w:sdtPr>
    <w:sdtContent>
      <w:p w14:paraId="2FBD030C" w14:textId="77777777" w:rsidR="000F01B7" w:rsidRDefault="000F01B7" w:rsidP="00185EE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2ABB8E" w14:textId="77777777" w:rsidR="000F01B7" w:rsidRDefault="000F01B7">
    <w:pPr>
      <w:pStyle w:val="Footer"/>
    </w:pPr>
  </w:p>
</w:ft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B7"/>
    <w:rsid w:val="000F01B7"/>
    <w:rsid w:val="008B34CE"/>
    <w:rsid w:val="00A82643"/>
    <w:rsid w:val="00B14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C69F9B7"/>
  <w15:chartTrackingRefBased/>
  <w15:docId w15:val="{DEC4EA37-2FC5-C049-B6AA-BF71ABE3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1B7"/>
  </w:style>
  <w:style w:type="paragraph" w:styleId="Heading1">
    <w:name w:val="heading 1"/>
    <w:basedOn w:val="Normal"/>
    <w:next w:val="Normal"/>
    <w:link w:val="Heading1Char"/>
    <w:uiPriority w:val="9"/>
    <w:qFormat/>
    <w:rsid w:val="000F01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1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1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1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1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1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1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1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1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1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1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1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1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1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1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1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1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1B7"/>
    <w:rPr>
      <w:rFonts w:eastAsiaTheme="majorEastAsia" w:cstheme="majorBidi"/>
      <w:color w:val="272727" w:themeColor="text1" w:themeTint="D8"/>
    </w:rPr>
  </w:style>
  <w:style w:type="paragraph" w:styleId="Title">
    <w:name w:val="Title"/>
    <w:basedOn w:val="Normal"/>
    <w:next w:val="Normal"/>
    <w:link w:val="TitleChar"/>
    <w:uiPriority w:val="10"/>
    <w:qFormat/>
    <w:rsid w:val="000F01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1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1B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1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1B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01B7"/>
    <w:rPr>
      <w:i/>
      <w:iCs/>
      <w:color w:val="404040" w:themeColor="text1" w:themeTint="BF"/>
    </w:rPr>
  </w:style>
  <w:style w:type="paragraph" w:styleId="ListParagraph">
    <w:name w:val="List Paragraph"/>
    <w:basedOn w:val="Normal"/>
    <w:uiPriority w:val="34"/>
    <w:qFormat/>
    <w:rsid w:val="000F01B7"/>
    <w:pPr>
      <w:ind w:left="720"/>
      <w:contextualSpacing/>
    </w:pPr>
  </w:style>
  <w:style w:type="character" w:styleId="IntenseEmphasis">
    <w:name w:val="Intense Emphasis"/>
    <w:basedOn w:val="DefaultParagraphFont"/>
    <w:uiPriority w:val="21"/>
    <w:qFormat/>
    <w:rsid w:val="000F01B7"/>
    <w:rPr>
      <w:i/>
      <w:iCs/>
      <w:color w:val="0F4761" w:themeColor="accent1" w:themeShade="BF"/>
    </w:rPr>
  </w:style>
  <w:style w:type="paragraph" w:styleId="IntenseQuote">
    <w:name w:val="Intense Quote"/>
    <w:basedOn w:val="Normal"/>
    <w:next w:val="Normal"/>
    <w:link w:val="IntenseQuoteChar"/>
    <w:uiPriority w:val="30"/>
    <w:qFormat/>
    <w:rsid w:val="000F01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1B7"/>
    <w:rPr>
      <w:i/>
      <w:iCs/>
      <w:color w:val="0F4761" w:themeColor="accent1" w:themeShade="BF"/>
    </w:rPr>
  </w:style>
  <w:style w:type="character" w:styleId="IntenseReference">
    <w:name w:val="Intense Reference"/>
    <w:basedOn w:val="DefaultParagraphFont"/>
    <w:uiPriority w:val="32"/>
    <w:qFormat/>
    <w:rsid w:val="000F01B7"/>
    <w:rPr>
      <w:b/>
      <w:bCs/>
      <w:smallCaps/>
      <w:color w:val="0F4761" w:themeColor="accent1" w:themeShade="BF"/>
      <w:spacing w:val="5"/>
    </w:rPr>
  </w:style>
  <w:style w:type="paragraph" w:styleId="Footer">
    <w:name w:val="footer"/>
    <w:basedOn w:val="Normal"/>
    <w:link w:val="FooterChar"/>
    <w:uiPriority w:val="99"/>
    <w:unhideWhenUsed/>
    <w:rsid w:val="000F01B7"/>
    <w:pPr>
      <w:tabs>
        <w:tab w:val="center" w:pos="4513"/>
        <w:tab w:val="right" w:pos="9026"/>
      </w:tabs>
    </w:pPr>
  </w:style>
  <w:style w:type="character" w:customStyle="1" w:styleId="FooterChar">
    <w:name w:val="Footer Char"/>
    <w:basedOn w:val="DefaultParagraphFont"/>
    <w:link w:val="Footer"/>
    <w:uiPriority w:val="99"/>
    <w:rsid w:val="000F01B7"/>
  </w:style>
  <w:style w:type="character" w:styleId="PageNumber">
    <w:name w:val="page number"/>
    <w:basedOn w:val="DefaultParagraphFont"/>
    <w:uiPriority w:val="99"/>
    <w:semiHidden/>
    <w:unhideWhenUsed/>
    <w:rsid w:val="000F01B7"/>
  </w:style>
  <w:style w:type="character" w:styleId="CommentReference">
    <w:name w:val="annotation reference"/>
    <w:basedOn w:val="DefaultParagraphFont"/>
    <w:uiPriority w:val="99"/>
    <w:semiHidden/>
    <w:unhideWhenUsed/>
    <w:rsid w:val="000F01B7"/>
    <w:rPr>
      <w:sz w:val="16"/>
      <w:szCs w:val="16"/>
    </w:rPr>
  </w:style>
  <w:style w:type="paragraph" w:styleId="CommentText">
    <w:name w:val="annotation text"/>
    <w:basedOn w:val="Normal"/>
    <w:link w:val="CommentTextChar"/>
    <w:uiPriority w:val="99"/>
    <w:unhideWhenUsed/>
    <w:rsid w:val="000F01B7"/>
    <w:rPr>
      <w:rFonts w:ascii="Times New Roman" w:eastAsiaTheme="minorEastAsia" w:hAnsi="Times New Roman"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0F01B7"/>
    <w:rPr>
      <w:rFonts w:ascii="Times New Roman" w:eastAsiaTheme="minorEastAsia" w:hAnsi="Times New Roman" w:cs="Times New Roman"/>
      <w:kern w:val="0"/>
      <w:sz w:val="20"/>
      <w:szCs w:val="20"/>
      <w:lang w:val="en-US"/>
      <w14:ligatures w14:val="none"/>
    </w:rPr>
  </w:style>
  <w:style w:type="paragraph" w:customStyle="1" w:styleId="Reference-Alphabetical">
    <w:name w:val="Reference-Alphabetical"/>
    <w:basedOn w:val="Normal"/>
    <w:uiPriority w:val="93"/>
    <w:qFormat/>
    <w:rsid w:val="000F01B7"/>
    <w:pPr>
      <w:spacing w:line="360" w:lineRule="auto"/>
      <w:ind w:left="284" w:hanging="284"/>
    </w:pPr>
    <w:rPr>
      <w:rFonts w:ascii="Times New Roman" w:eastAsiaTheme="minorEastAsia" w:hAnsi="Times New Roman" w:cs="Times New Roman"/>
      <w:kern w:val="0"/>
      <w:sz w:val="20"/>
      <w:szCs w:val="20"/>
      <w:lang w:val="en-US"/>
      <w14:ligatures w14:val="none"/>
    </w:rPr>
  </w:style>
  <w:style w:type="paragraph" w:styleId="Revision">
    <w:name w:val="Revision"/>
    <w:hidden/>
    <w:uiPriority w:val="99"/>
    <w:semiHidden/>
    <w:rsid w:val="000F01B7"/>
  </w:style>
  <w:style w:type="paragraph" w:styleId="CommentSubject">
    <w:name w:val="annotation subject"/>
    <w:basedOn w:val="CommentText"/>
    <w:next w:val="CommentText"/>
    <w:link w:val="CommentSubjectChar"/>
    <w:uiPriority w:val="99"/>
    <w:semiHidden/>
    <w:unhideWhenUsed/>
    <w:rsid w:val="000F01B7"/>
    <w:rPr>
      <w:rFonts w:asciiTheme="minorHAnsi" w:eastAsiaTheme="minorHAnsi" w:hAnsiTheme="minorHAnsi" w:cstheme="minorBidi"/>
      <w:b/>
      <w:bCs/>
      <w:kern w:val="2"/>
      <w:lang w:val="en-GB"/>
      <w14:ligatures w14:val="standardContextual"/>
    </w:rPr>
  </w:style>
  <w:style w:type="character" w:customStyle="1" w:styleId="CommentSubjectChar">
    <w:name w:val="Comment Subject Char"/>
    <w:basedOn w:val="CommentTextChar"/>
    <w:link w:val="CommentSubject"/>
    <w:uiPriority w:val="99"/>
    <w:semiHidden/>
    <w:rsid w:val="000F01B7"/>
    <w:rPr>
      <w:rFonts w:ascii="Times New Roman" w:eastAsiaTheme="minorEastAsia" w:hAnsi="Times New Roman" w:cs="Times New Roman"/>
      <w:b/>
      <w:bCs/>
      <w:kern w:val="0"/>
      <w:sz w:val="20"/>
      <w:szCs w:val="20"/>
      <w:lang w:val="en-US"/>
      <w14:ligatures w14:val="none"/>
    </w:rPr>
  </w:style>
  <w:style w:type="table" w:styleId="TableGrid">
    <w:name w:val="Table Grid"/>
    <w:basedOn w:val="TableNormal"/>
    <w:uiPriority w:val="39"/>
    <w:rsid w:val="000F0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9160</Words>
  <Characters>48915</Characters>
  <Application>Microsoft Office Word</Application>
  <DocSecurity>0</DocSecurity>
  <Lines>719</Lines>
  <Paragraphs>155</Paragraphs>
  <ScaleCrop>false</ScaleCrop>
  <Company/>
  <LinksUpToDate>false</LinksUpToDate>
  <CharactersWithSpaces>57920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Noordhof</dc:creator>
  <cp:keywords/>
  <dc:description/>
  <cp:lastModifiedBy>Paul Noordhof</cp:lastModifiedBy>
  <cp:revision>2</cp:revision>
  <dcterms:created xsi:type="dcterms:W3CDTF">2026-08-04T19:32:00Z</dcterms:created>
  <dcterms:modified xsi:type="dcterms:W3CDTF">2026-08-04T19:35:00Z</dcterms:modified>
</cp:coreProperties>
</file>