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621AB" w14:textId="757D1782" w:rsidR="00343D0F" w:rsidRDefault="00343D0F" w:rsidP="003C550C">
      <w:pPr>
        <w:pStyle w:val="Heading1"/>
      </w:pPr>
      <w:r>
        <w:t xml:space="preserve">Archival </w:t>
      </w:r>
      <w:r w:rsidR="007B2A78">
        <w:t>d</w:t>
      </w:r>
      <w:r>
        <w:t xml:space="preserve">ebts, </w:t>
      </w:r>
      <w:r w:rsidR="007B2A78">
        <w:t>h</w:t>
      </w:r>
      <w:r>
        <w:t xml:space="preserve">igh </w:t>
      </w:r>
      <w:r w:rsidR="007B2A78">
        <w:t>s</w:t>
      </w:r>
      <w:r>
        <w:t xml:space="preserve">takes, and </w:t>
      </w:r>
      <w:r w:rsidR="007B2A78">
        <w:t>i</w:t>
      </w:r>
      <w:r>
        <w:t xml:space="preserve">ntersubjectivities in </w:t>
      </w:r>
      <w:r w:rsidR="007B2A78">
        <w:t>t</w:t>
      </w:r>
      <w:r>
        <w:t xml:space="preserve">rauma-informed </w:t>
      </w:r>
      <w:r w:rsidR="007B2A78">
        <w:t>a</w:t>
      </w:r>
      <w:r>
        <w:t xml:space="preserve">pproaches to </w:t>
      </w:r>
      <w:r w:rsidR="007B2A78">
        <w:t>a</w:t>
      </w:r>
      <w:r>
        <w:t xml:space="preserve">rchives of </w:t>
      </w:r>
      <w:r w:rsidR="007B2A78">
        <w:t>c</w:t>
      </w:r>
      <w:r>
        <w:t xml:space="preserve">hild </w:t>
      </w:r>
      <w:r w:rsidR="007B2A78">
        <w:t>s</w:t>
      </w:r>
      <w:r>
        <w:t xml:space="preserve">exual </w:t>
      </w:r>
      <w:r w:rsidR="007B2A78">
        <w:t>a</w:t>
      </w:r>
      <w:r>
        <w:t xml:space="preserve">buse </w:t>
      </w:r>
    </w:p>
    <w:p w14:paraId="29FDCD35" w14:textId="77777777" w:rsidR="00343D0F" w:rsidRDefault="00343D0F" w:rsidP="00343D0F">
      <w:pPr>
        <w:pStyle w:val="Heading2"/>
        <w:rPr>
          <w:highlight w:val="white"/>
        </w:rPr>
      </w:pPr>
    </w:p>
    <w:p w14:paraId="606EB943" w14:textId="0962AFC5" w:rsidR="00343D0F" w:rsidRDefault="00343D0F" w:rsidP="00C07D0F">
      <w:pPr>
        <w:pStyle w:val="Heading2"/>
        <w:spacing w:line="480" w:lineRule="auto"/>
        <w:rPr>
          <w:highlight w:val="white"/>
        </w:rPr>
      </w:pPr>
      <w:r>
        <w:rPr>
          <w:highlight w:val="white"/>
        </w:rPr>
        <w:t>Introduction</w:t>
      </w:r>
    </w:p>
    <w:p w14:paraId="12C61F2D" w14:textId="6AAFEB60" w:rsidR="00343D0F" w:rsidRDefault="00343D0F" w:rsidP="00C07D0F">
      <w:pPr>
        <w:shd w:val="clear" w:color="auto" w:fill="FFFFFF"/>
        <w:spacing w:line="480" w:lineRule="auto"/>
        <w:rPr>
          <w:color w:val="222222"/>
          <w:highlight w:val="white"/>
        </w:rPr>
      </w:pPr>
      <w:r>
        <w:rPr>
          <w:color w:val="222222"/>
          <w:highlight w:val="white"/>
        </w:rPr>
        <w:t>Trauma-informed practices are long established in relation to child sexual abuse (CSA), underpinned by approaches to psychological support, physical aftercare, and recovery that recognise the serious life-long impacts of adverse childhood experiences.</w:t>
      </w:r>
      <w:r>
        <w:rPr>
          <w:rStyle w:val="EndnoteReference"/>
          <w:color w:val="222222"/>
          <w:highlight w:val="white"/>
        </w:rPr>
        <w:endnoteReference w:id="1"/>
      </w:r>
      <w:r>
        <w:rPr>
          <w:color w:val="222222"/>
          <w:highlight w:val="white"/>
        </w:rPr>
        <w:t xml:space="preserve"> Nevertheless, many CSA survivors have been (and continue to be) disempowered, disbelieved, silenced, and shamed by health, social care, police, and justice systems, as both children and adults.</w:t>
      </w:r>
      <w:r>
        <w:rPr>
          <w:rStyle w:val="EndnoteReference"/>
          <w:color w:val="222222"/>
          <w:highlight w:val="white"/>
        </w:rPr>
        <w:endnoteReference w:id="2"/>
      </w:r>
      <w:r>
        <w:rPr>
          <w:color w:val="222222"/>
          <w:highlight w:val="white"/>
        </w:rPr>
        <w:t xml:space="preserve"> Harms have been reinscribed by the recordkeeping practices of these agencies, which centre institutions and professional interests and marginalise lived </w:t>
      </w:r>
      <w:r w:rsidRPr="00D71458">
        <w:rPr>
          <w:color w:val="000000" w:themeColor="text1"/>
          <w:highlight w:val="white"/>
        </w:rPr>
        <w:t>experiences and personal narratives.</w:t>
      </w:r>
      <w:r w:rsidRPr="00D71458">
        <w:rPr>
          <w:rStyle w:val="EndnoteReference"/>
          <w:color w:val="000000" w:themeColor="text1"/>
          <w:highlight w:val="white"/>
        </w:rPr>
        <w:endnoteReference w:id="3"/>
      </w:r>
      <w:r w:rsidRPr="00D71458">
        <w:rPr>
          <w:color w:val="000000" w:themeColor="text1"/>
          <w:highlight w:val="white"/>
        </w:rPr>
        <w:t xml:space="preserve"> Records of abuse may never have been created; may have been lost through negligence; or destroyed under records </w:t>
      </w:r>
      <w:r w:rsidR="007B2A78">
        <w:rPr>
          <w:color w:val="000000" w:themeColor="text1"/>
          <w:highlight w:val="white"/>
        </w:rPr>
        <w:t xml:space="preserve">retention </w:t>
      </w:r>
      <w:r w:rsidRPr="00D71458">
        <w:rPr>
          <w:color w:val="000000" w:themeColor="text1"/>
          <w:highlight w:val="white"/>
        </w:rPr>
        <w:t>schedules.</w:t>
      </w:r>
      <w:r w:rsidRPr="00D71458">
        <w:rPr>
          <w:rStyle w:val="EndnoteReference"/>
          <w:color w:val="000000" w:themeColor="text1"/>
          <w:highlight w:val="white"/>
        </w:rPr>
        <w:endnoteReference w:id="4"/>
      </w:r>
      <w:r w:rsidRPr="00D71458">
        <w:rPr>
          <w:color w:val="000000" w:themeColor="text1"/>
          <w:highlight w:val="white"/>
        </w:rPr>
        <w:t xml:space="preserve"> Abuse often takes place in the home or other non-institutional settings and may not be disclosed until much later in life, leaving no contemporary trace. Accounts of abuse often surface in non-traditional, non-linear</w:t>
      </w:r>
      <w:r w:rsidR="005421A3">
        <w:rPr>
          <w:color w:val="000000" w:themeColor="text1"/>
          <w:highlight w:val="white"/>
        </w:rPr>
        <w:t>,</w:t>
      </w:r>
      <w:r w:rsidRPr="00D71458">
        <w:rPr>
          <w:color w:val="000000" w:themeColor="text1"/>
          <w:highlight w:val="white"/>
        </w:rPr>
        <w:t xml:space="preserve"> and even non-textual forms: through autobiographies and memoirs; as strands in oral life histories; or through creative outputs when words fail or are insufficient.</w:t>
      </w:r>
      <w:r w:rsidRPr="00D71458">
        <w:rPr>
          <w:rStyle w:val="EndnoteReference"/>
          <w:color w:val="000000" w:themeColor="text1"/>
          <w:highlight w:val="white"/>
        </w:rPr>
        <w:endnoteReference w:id="5"/>
      </w:r>
      <w:r w:rsidRPr="00D71458">
        <w:rPr>
          <w:color w:val="000000" w:themeColor="text1"/>
          <w:highlight w:val="white"/>
        </w:rPr>
        <w:t xml:space="preserve"> Thus, existing archives do not reflect the complexities of survivor experiences and perspectives; they constrain survivor-centred research; and limit fresh historical and present-day analyses of CSA as a public health crisis. </w:t>
      </w:r>
    </w:p>
    <w:p w14:paraId="55A6C109" w14:textId="77777777" w:rsidR="00343D0F" w:rsidRDefault="00343D0F" w:rsidP="00C07D0F">
      <w:pPr>
        <w:shd w:val="clear" w:color="auto" w:fill="FFFFFF"/>
        <w:spacing w:line="480" w:lineRule="auto"/>
        <w:rPr>
          <w:color w:val="222222"/>
          <w:highlight w:val="white"/>
        </w:rPr>
      </w:pPr>
    </w:p>
    <w:p w14:paraId="37081035" w14:textId="31F2691C" w:rsidR="00626C8D" w:rsidRDefault="00343D0F" w:rsidP="00C07D0F">
      <w:pPr>
        <w:shd w:val="clear" w:color="auto" w:fill="FFFFFF"/>
        <w:spacing w:line="480" w:lineRule="auto"/>
        <w:rPr>
          <w:color w:val="000000" w:themeColor="text1"/>
          <w:highlight w:val="white"/>
        </w:rPr>
      </w:pPr>
      <w:r>
        <w:rPr>
          <w:color w:val="222222"/>
          <w:highlight w:val="white"/>
        </w:rPr>
        <w:t xml:space="preserve">In this article we ask instead: What might survivor-centred archives of CSA look like? How might archives of survivance come into being and be sustained? We </w:t>
      </w:r>
      <w:r w:rsidRPr="00D71458">
        <w:rPr>
          <w:color w:val="000000" w:themeColor="text1"/>
          <w:highlight w:val="white"/>
        </w:rPr>
        <w:t xml:space="preserve">describe our initial </w:t>
      </w:r>
      <w:r w:rsidRPr="00D71458">
        <w:rPr>
          <w:color w:val="000000" w:themeColor="text1"/>
          <w:highlight w:val="white"/>
        </w:rPr>
        <w:lastRenderedPageBreak/>
        <w:t xml:space="preserve">attempts to </w:t>
      </w:r>
      <w:r>
        <w:rPr>
          <w:color w:val="000000" w:themeColor="text1"/>
          <w:highlight w:val="white"/>
        </w:rPr>
        <w:t>form such counter-</w:t>
      </w:r>
      <w:r w:rsidRPr="00D71458">
        <w:rPr>
          <w:color w:val="000000" w:themeColor="text1"/>
          <w:highlight w:val="white"/>
        </w:rPr>
        <w:t>archives, centring CSA survivors in active, generative, and collaborative trauma-informed practices.</w:t>
      </w:r>
      <w:r w:rsidR="00407091">
        <w:rPr>
          <w:color w:val="000000" w:themeColor="text1"/>
          <w:highlight w:val="white"/>
        </w:rPr>
        <w:t xml:space="preserve"> </w:t>
      </w:r>
      <w:r w:rsidR="00637661">
        <w:rPr>
          <w:color w:val="000000" w:themeColor="text1"/>
          <w:highlight w:val="white"/>
        </w:rPr>
        <w:t xml:space="preserve">We use the term </w:t>
      </w:r>
      <w:r w:rsidR="00175C74">
        <w:rPr>
          <w:color w:val="000000" w:themeColor="text1"/>
          <w:highlight w:val="white"/>
        </w:rPr>
        <w:t>‘trauma-informed practice’</w:t>
      </w:r>
      <w:r w:rsidR="00637661">
        <w:rPr>
          <w:color w:val="000000" w:themeColor="text1"/>
          <w:highlight w:val="white"/>
        </w:rPr>
        <w:t xml:space="preserve"> as </w:t>
      </w:r>
      <w:r w:rsidR="00F16195">
        <w:rPr>
          <w:color w:val="000000" w:themeColor="text1"/>
          <w:highlight w:val="white"/>
        </w:rPr>
        <w:t xml:space="preserve">set out in the </w:t>
      </w:r>
      <w:r w:rsidR="00175C74">
        <w:rPr>
          <w:color w:val="000000" w:themeColor="text1"/>
          <w:highlight w:val="white"/>
        </w:rPr>
        <w:t xml:space="preserve">UK government working definition. Namely, </w:t>
      </w:r>
      <w:r w:rsidR="00442D26">
        <w:rPr>
          <w:color w:val="000000" w:themeColor="text1"/>
          <w:highlight w:val="white"/>
        </w:rPr>
        <w:t xml:space="preserve">it is an approach to practice </w:t>
      </w:r>
      <w:r w:rsidR="00F16195">
        <w:rPr>
          <w:color w:val="000000" w:themeColor="text1"/>
          <w:highlight w:val="white"/>
        </w:rPr>
        <w:t>that arises</w:t>
      </w:r>
      <w:r w:rsidR="00442D26">
        <w:rPr>
          <w:color w:val="000000" w:themeColor="text1"/>
          <w:highlight w:val="white"/>
        </w:rPr>
        <w:t xml:space="preserve"> </w:t>
      </w:r>
      <w:r w:rsidR="00F16195">
        <w:rPr>
          <w:color w:val="000000" w:themeColor="text1"/>
          <w:highlight w:val="white"/>
        </w:rPr>
        <w:t>from</w:t>
      </w:r>
      <w:r w:rsidR="00442D26">
        <w:rPr>
          <w:color w:val="000000" w:themeColor="text1"/>
          <w:highlight w:val="white"/>
        </w:rPr>
        <w:t xml:space="preserve"> </w:t>
      </w:r>
      <w:r w:rsidR="00F16195">
        <w:rPr>
          <w:color w:val="000000" w:themeColor="text1"/>
          <w:highlight w:val="white"/>
        </w:rPr>
        <w:t>recognition</w:t>
      </w:r>
      <w:r w:rsidR="00442D26">
        <w:rPr>
          <w:color w:val="000000" w:themeColor="text1"/>
          <w:highlight w:val="white"/>
        </w:rPr>
        <w:t xml:space="preserve"> of the multiple impacts of trauma on a person’s </w:t>
      </w:r>
      <w:r w:rsidR="007D754F">
        <w:rPr>
          <w:color w:val="000000" w:themeColor="text1"/>
          <w:highlight w:val="white"/>
        </w:rPr>
        <w:t xml:space="preserve">development, health and wellbeing. </w:t>
      </w:r>
      <w:r w:rsidR="007666CC">
        <w:rPr>
          <w:color w:val="000000" w:themeColor="text1"/>
          <w:highlight w:val="white"/>
        </w:rPr>
        <w:t>It prioritises</w:t>
      </w:r>
      <w:r w:rsidR="00DB1FE5">
        <w:rPr>
          <w:color w:val="000000" w:themeColor="text1"/>
          <w:highlight w:val="white"/>
        </w:rPr>
        <w:t xml:space="preserve"> trustworthiness</w:t>
      </w:r>
      <w:r w:rsidR="00831D25">
        <w:rPr>
          <w:color w:val="000000" w:themeColor="text1"/>
          <w:highlight w:val="white"/>
        </w:rPr>
        <w:t>, safety, choice, collaboration, empowerment</w:t>
      </w:r>
      <w:r w:rsidR="005421A3">
        <w:rPr>
          <w:color w:val="000000" w:themeColor="text1"/>
          <w:highlight w:val="white"/>
        </w:rPr>
        <w:t>,</w:t>
      </w:r>
      <w:r w:rsidR="00831D25">
        <w:rPr>
          <w:color w:val="000000" w:themeColor="text1"/>
          <w:highlight w:val="white"/>
        </w:rPr>
        <w:t xml:space="preserve"> and cultural consideration</w:t>
      </w:r>
      <w:r w:rsidR="007666CC">
        <w:rPr>
          <w:color w:val="000000" w:themeColor="text1"/>
          <w:highlight w:val="white"/>
        </w:rPr>
        <w:t xml:space="preserve"> when working with those affected by trauma, so as to reduce the risk of </w:t>
      </w:r>
      <w:proofErr w:type="spellStart"/>
      <w:r w:rsidR="007666CC">
        <w:rPr>
          <w:color w:val="000000" w:themeColor="text1"/>
          <w:highlight w:val="white"/>
        </w:rPr>
        <w:t>retraumati</w:t>
      </w:r>
      <w:r w:rsidR="00A12784">
        <w:rPr>
          <w:color w:val="000000" w:themeColor="text1"/>
          <w:highlight w:val="white"/>
        </w:rPr>
        <w:t>z</w:t>
      </w:r>
      <w:r w:rsidR="007666CC">
        <w:rPr>
          <w:color w:val="000000" w:themeColor="text1"/>
          <w:highlight w:val="white"/>
        </w:rPr>
        <w:t>ation</w:t>
      </w:r>
      <w:proofErr w:type="spellEnd"/>
      <w:r w:rsidR="00831D25">
        <w:rPr>
          <w:color w:val="000000" w:themeColor="text1"/>
          <w:highlight w:val="white"/>
        </w:rPr>
        <w:t>.</w:t>
      </w:r>
      <w:r w:rsidR="00DF2911">
        <w:rPr>
          <w:rStyle w:val="EndnoteReference"/>
          <w:color w:val="000000" w:themeColor="text1"/>
          <w:highlight w:val="white"/>
        </w:rPr>
        <w:endnoteReference w:id="6"/>
      </w:r>
      <w:r w:rsidRPr="00D71458">
        <w:rPr>
          <w:color w:val="000000" w:themeColor="text1"/>
          <w:highlight w:val="white"/>
        </w:rPr>
        <w:t xml:space="preserve"> </w:t>
      </w:r>
      <w:r w:rsidR="00626C8D">
        <w:rPr>
          <w:color w:val="000000" w:themeColor="text1"/>
          <w:highlight w:val="white"/>
        </w:rPr>
        <w:t xml:space="preserve"> Originally developed for us</w:t>
      </w:r>
      <w:r w:rsidR="007666CC">
        <w:rPr>
          <w:color w:val="000000" w:themeColor="text1"/>
          <w:highlight w:val="white"/>
        </w:rPr>
        <w:t>e</w:t>
      </w:r>
      <w:r w:rsidR="00626C8D">
        <w:rPr>
          <w:color w:val="000000" w:themeColor="text1"/>
          <w:highlight w:val="white"/>
        </w:rPr>
        <w:t xml:space="preserve"> in health and social care interventions, the principles of </w:t>
      </w:r>
      <w:r w:rsidR="001A0A5E">
        <w:rPr>
          <w:color w:val="000000" w:themeColor="text1"/>
          <w:highlight w:val="white"/>
        </w:rPr>
        <w:t>trauma-informed practice are now widely</w:t>
      </w:r>
      <w:r w:rsidR="00495CC6">
        <w:rPr>
          <w:color w:val="000000" w:themeColor="text1"/>
          <w:highlight w:val="white"/>
        </w:rPr>
        <w:t xml:space="preserve"> deployed in work with the public</w:t>
      </w:r>
      <w:r w:rsidR="005421A3">
        <w:rPr>
          <w:color w:val="000000" w:themeColor="text1"/>
          <w:highlight w:val="white"/>
        </w:rPr>
        <w:t>,</w:t>
      </w:r>
      <w:r w:rsidR="001A0A5E">
        <w:rPr>
          <w:color w:val="000000" w:themeColor="text1"/>
          <w:highlight w:val="white"/>
        </w:rPr>
        <w:t xml:space="preserve"> including in archival practice.</w:t>
      </w:r>
      <w:r w:rsidR="001A0A5E">
        <w:rPr>
          <w:rStyle w:val="EndnoteReference"/>
          <w:color w:val="000000" w:themeColor="text1"/>
          <w:highlight w:val="white"/>
        </w:rPr>
        <w:endnoteReference w:id="7"/>
      </w:r>
    </w:p>
    <w:p w14:paraId="4FC3E4B5" w14:textId="77777777" w:rsidR="00626C8D" w:rsidRDefault="00626C8D" w:rsidP="00C07D0F">
      <w:pPr>
        <w:shd w:val="clear" w:color="auto" w:fill="FFFFFF"/>
        <w:spacing w:line="480" w:lineRule="auto"/>
        <w:rPr>
          <w:color w:val="000000" w:themeColor="text1"/>
          <w:highlight w:val="white"/>
        </w:rPr>
      </w:pPr>
    </w:p>
    <w:p w14:paraId="10C59DD1" w14:textId="2A28FBD5" w:rsidR="00EE158A" w:rsidRDefault="00343D0F" w:rsidP="00C07D0F">
      <w:pPr>
        <w:shd w:val="clear" w:color="auto" w:fill="FFFFFF"/>
        <w:spacing w:line="480" w:lineRule="auto"/>
        <w:rPr>
          <w:color w:val="000000" w:themeColor="text1"/>
          <w:highlight w:val="white"/>
        </w:rPr>
      </w:pPr>
      <w:r w:rsidRPr="00D71458">
        <w:rPr>
          <w:color w:val="000000" w:themeColor="text1"/>
          <w:highlight w:val="white"/>
        </w:rPr>
        <w:t xml:space="preserve">Two case studies are discussed: the </w:t>
      </w:r>
      <w:r>
        <w:rPr>
          <w:color w:val="000000" w:themeColor="text1"/>
          <w:highlight w:val="white"/>
        </w:rPr>
        <w:t xml:space="preserve">personal papers </w:t>
      </w:r>
      <w:r w:rsidRPr="00D71458">
        <w:rPr>
          <w:color w:val="000000" w:themeColor="text1"/>
          <w:highlight w:val="white"/>
        </w:rPr>
        <w:t xml:space="preserve">of survivor-activist </w:t>
      </w:r>
      <w:proofErr w:type="spellStart"/>
      <w:r w:rsidRPr="00D71458">
        <w:rPr>
          <w:color w:val="000000" w:themeColor="text1"/>
          <w:highlight w:val="white"/>
        </w:rPr>
        <w:t>Rasjidah</w:t>
      </w:r>
      <w:proofErr w:type="spellEnd"/>
      <w:r w:rsidRPr="00D71458">
        <w:rPr>
          <w:color w:val="000000" w:themeColor="text1"/>
          <w:highlight w:val="white"/>
        </w:rPr>
        <w:t xml:space="preserve"> St. John (1929-2017) and </w:t>
      </w:r>
      <w:r w:rsidR="005C7D16">
        <w:rPr>
          <w:color w:val="000000" w:themeColor="text1"/>
          <w:highlight w:val="white"/>
        </w:rPr>
        <w:t xml:space="preserve">an </w:t>
      </w:r>
      <w:r w:rsidRPr="00D71458">
        <w:rPr>
          <w:color w:val="000000" w:themeColor="text1"/>
          <w:highlight w:val="white"/>
        </w:rPr>
        <w:t xml:space="preserve">archive of </w:t>
      </w:r>
      <w:proofErr w:type="spellStart"/>
      <w:r w:rsidRPr="00D71458">
        <w:rPr>
          <w:color w:val="000000" w:themeColor="text1"/>
          <w:highlight w:val="white"/>
        </w:rPr>
        <w:t>LOUDfence</w:t>
      </w:r>
      <w:proofErr w:type="spellEnd"/>
      <w:r w:rsidRPr="00D71458">
        <w:rPr>
          <w:color w:val="000000" w:themeColor="text1"/>
          <w:highlight w:val="white"/>
        </w:rPr>
        <w:t xml:space="preserve"> UK, a protest and healing movement for survivors of CSA in religious settings, originating in Australia and implanted in Britain in 2020.</w:t>
      </w:r>
      <w:r w:rsidRPr="00D71458">
        <w:rPr>
          <w:rStyle w:val="EndnoteReference"/>
          <w:color w:val="000000" w:themeColor="text1"/>
          <w:highlight w:val="white"/>
        </w:rPr>
        <w:endnoteReference w:id="8"/>
      </w:r>
      <w:r w:rsidRPr="00D71458">
        <w:rPr>
          <w:color w:val="000000" w:themeColor="text1"/>
          <w:highlight w:val="white"/>
        </w:rPr>
        <w:t xml:space="preserve"> Through our respective work on a personal historical archive (</w:t>
      </w:r>
      <w:r w:rsidR="00EE158A">
        <w:rPr>
          <w:color w:val="000000" w:themeColor="text1"/>
          <w:highlight w:val="white"/>
        </w:rPr>
        <w:t xml:space="preserve">Victoria </w:t>
      </w:r>
      <w:r w:rsidR="002D5994">
        <w:rPr>
          <w:color w:val="000000" w:themeColor="text1"/>
          <w:highlight w:val="white"/>
        </w:rPr>
        <w:t>Hoyle</w:t>
      </w:r>
      <w:r w:rsidRPr="00D71458">
        <w:rPr>
          <w:color w:val="000000" w:themeColor="text1"/>
          <w:highlight w:val="white"/>
        </w:rPr>
        <w:t xml:space="preserve">) and </w:t>
      </w:r>
      <w:r w:rsidR="005C7D16">
        <w:rPr>
          <w:color w:val="000000" w:themeColor="text1"/>
          <w:highlight w:val="white"/>
        </w:rPr>
        <w:t xml:space="preserve">an </w:t>
      </w:r>
      <w:r w:rsidRPr="00D71458">
        <w:rPr>
          <w:color w:val="000000" w:themeColor="text1"/>
          <w:highlight w:val="white"/>
        </w:rPr>
        <w:t>archive of an ephemeral, evolving contemporary movement (</w:t>
      </w:r>
      <w:r w:rsidR="00EE158A">
        <w:rPr>
          <w:color w:val="000000" w:themeColor="text1"/>
          <w:highlight w:val="white"/>
        </w:rPr>
        <w:t xml:space="preserve">Alana </w:t>
      </w:r>
      <w:r w:rsidR="002D5994">
        <w:rPr>
          <w:color w:val="000000" w:themeColor="text1"/>
          <w:highlight w:val="white"/>
        </w:rPr>
        <w:t>Harris</w:t>
      </w:r>
      <w:r w:rsidRPr="00D71458">
        <w:rPr>
          <w:color w:val="000000" w:themeColor="text1"/>
          <w:highlight w:val="white"/>
        </w:rPr>
        <w:t>), we explore survivor-centred approaches to creating, identifying, and depositing archives of CSA activism and our struggles with intellectual and relational questions about current and inter-generational debts, duties, and</w:t>
      </w:r>
      <w:r>
        <w:rPr>
          <w:color w:val="000000" w:themeColor="text1"/>
          <w:highlight w:val="white"/>
        </w:rPr>
        <w:t xml:space="preserve"> intersubjectivities</w:t>
      </w:r>
      <w:r w:rsidRPr="00D71458">
        <w:rPr>
          <w:color w:val="000000" w:themeColor="text1"/>
          <w:highlight w:val="white"/>
        </w:rPr>
        <w:t>. Both archives were constructed through collaboration - with activists; with family members</w:t>
      </w:r>
      <w:r>
        <w:rPr>
          <w:color w:val="000000" w:themeColor="text1"/>
          <w:highlight w:val="white"/>
        </w:rPr>
        <w:t xml:space="preserve">; </w:t>
      </w:r>
      <w:r w:rsidRPr="00D71458">
        <w:rPr>
          <w:color w:val="000000" w:themeColor="text1"/>
          <w:highlight w:val="white"/>
        </w:rPr>
        <w:t>with archivists; and with our universities</w:t>
      </w:r>
      <w:r>
        <w:rPr>
          <w:color w:val="000000" w:themeColor="text1"/>
          <w:highlight w:val="white"/>
        </w:rPr>
        <w:t xml:space="preserve">’ </w:t>
      </w:r>
      <w:r w:rsidRPr="00D71458">
        <w:rPr>
          <w:color w:val="000000" w:themeColor="text1"/>
          <w:highlight w:val="white"/>
        </w:rPr>
        <w:t>legal and ethics teams. We consider the positive and negative affordances of these complex, often fraught relationships, and the functional constraints they place on</w:t>
      </w:r>
      <w:r>
        <w:rPr>
          <w:color w:val="000000" w:themeColor="text1"/>
          <w:highlight w:val="white"/>
        </w:rPr>
        <w:t xml:space="preserve"> the mobili</w:t>
      </w:r>
      <w:r w:rsidR="00A12784">
        <w:rPr>
          <w:color w:val="000000" w:themeColor="text1"/>
          <w:highlight w:val="white"/>
        </w:rPr>
        <w:t>z</w:t>
      </w:r>
      <w:r>
        <w:rPr>
          <w:color w:val="000000" w:themeColor="text1"/>
          <w:highlight w:val="white"/>
        </w:rPr>
        <w:t>ation of</w:t>
      </w:r>
      <w:r w:rsidRPr="00D71458">
        <w:rPr>
          <w:color w:val="000000" w:themeColor="text1"/>
          <w:highlight w:val="white"/>
        </w:rPr>
        <w:t xml:space="preserve"> trauma-informed practices. </w:t>
      </w:r>
    </w:p>
    <w:p w14:paraId="2FBAD5BF" w14:textId="77777777" w:rsidR="00EE158A" w:rsidRDefault="00EE158A" w:rsidP="00C07D0F">
      <w:pPr>
        <w:shd w:val="clear" w:color="auto" w:fill="FFFFFF"/>
        <w:spacing w:line="480" w:lineRule="auto"/>
        <w:rPr>
          <w:color w:val="000000" w:themeColor="text1"/>
          <w:highlight w:val="white"/>
        </w:rPr>
      </w:pPr>
    </w:p>
    <w:p w14:paraId="4733ACC6" w14:textId="27C5C278" w:rsidR="00343D0F" w:rsidRPr="00947763" w:rsidRDefault="00343D0F" w:rsidP="00C07D0F">
      <w:pPr>
        <w:shd w:val="clear" w:color="auto" w:fill="FFFFFF"/>
        <w:spacing w:line="480" w:lineRule="auto"/>
        <w:rPr>
          <w:color w:val="000000" w:themeColor="text1"/>
          <w:highlight w:val="white"/>
        </w:rPr>
      </w:pPr>
      <w:r w:rsidRPr="00D71458">
        <w:rPr>
          <w:color w:val="000000" w:themeColor="text1"/>
          <w:highlight w:val="white"/>
        </w:rPr>
        <w:t>Throughout we reflect on an ethics of care and personal responsibility, as well as our affective responses during the projects.</w:t>
      </w:r>
      <w:r w:rsidR="00264212">
        <w:rPr>
          <w:color w:val="000000" w:themeColor="text1"/>
          <w:highlight w:val="white"/>
        </w:rPr>
        <w:t xml:space="preserve"> </w:t>
      </w:r>
      <w:r w:rsidR="00264212" w:rsidRPr="00264212">
        <w:rPr>
          <w:color w:val="000000" w:themeColor="text1"/>
          <w:highlight w:val="white"/>
        </w:rPr>
        <w:t>We</w:t>
      </w:r>
      <w:r w:rsidR="0027370D">
        <w:rPr>
          <w:color w:val="000000" w:themeColor="text1"/>
          <w:highlight w:val="white"/>
        </w:rPr>
        <w:t xml:space="preserve"> strive to</w:t>
      </w:r>
      <w:r w:rsidR="00264212" w:rsidRPr="00264212">
        <w:rPr>
          <w:color w:val="000000" w:themeColor="text1"/>
          <w:highlight w:val="white"/>
        </w:rPr>
        <w:t xml:space="preserve"> acknowledge our position as allies of </w:t>
      </w:r>
      <w:r w:rsidR="00264212" w:rsidRPr="00264212">
        <w:rPr>
          <w:color w:val="000000" w:themeColor="text1"/>
          <w:highlight w:val="white"/>
        </w:rPr>
        <w:lastRenderedPageBreak/>
        <w:t xml:space="preserve">survivors rather than </w:t>
      </w:r>
      <w:r w:rsidR="005421A3">
        <w:rPr>
          <w:color w:val="000000" w:themeColor="text1"/>
          <w:highlight w:val="white"/>
        </w:rPr>
        <w:t>victim/</w:t>
      </w:r>
      <w:r w:rsidR="00264212" w:rsidRPr="00264212">
        <w:rPr>
          <w:color w:val="000000" w:themeColor="text1"/>
          <w:highlight w:val="white"/>
        </w:rPr>
        <w:t>survivors ourselves</w:t>
      </w:r>
      <w:r w:rsidR="005421A3">
        <w:rPr>
          <w:color w:val="000000" w:themeColor="text1"/>
          <w:highlight w:val="white"/>
        </w:rPr>
        <w:t>,</w:t>
      </w:r>
      <w:r w:rsidR="00264212" w:rsidRPr="00264212">
        <w:rPr>
          <w:color w:val="000000" w:themeColor="text1"/>
          <w:highlight w:val="white"/>
        </w:rPr>
        <w:t xml:space="preserve"> and the ‘regrettably hierarchical relationship’ that our privilege – as white, middle-class, </w:t>
      </w:r>
      <w:r w:rsidR="004B7A7B">
        <w:rPr>
          <w:color w:val="000000" w:themeColor="text1"/>
          <w:highlight w:val="white"/>
        </w:rPr>
        <w:t xml:space="preserve">full-time </w:t>
      </w:r>
      <w:r w:rsidR="00264212" w:rsidRPr="00264212">
        <w:rPr>
          <w:color w:val="000000" w:themeColor="text1"/>
          <w:highlight w:val="white"/>
        </w:rPr>
        <w:t>academics –</w:t>
      </w:r>
      <w:r w:rsidR="0005467F">
        <w:rPr>
          <w:color w:val="000000" w:themeColor="text1"/>
          <w:highlight w:val="white"/>
        </w:rPr>
        <w:t xml:space="preserve"> </w:t>
      </w:r>
      <w:r w:rsidR="00264212" w:rsidRPr="00264212">
        <w:rPr>
          <w:color w:val="000000" w:themeColor="text1"/>
          <w:highlight w:val="white"/>
        </w:rPr>
        <w:t>place</w:t>
      </w:r>
      <w:r w:rsidR="0005467F">
        <w:rPr>
          <w:color w:val="000000" w:themeColor="text1"/>
          <w:highlight w:val="white"/>
        </w:rPr>
        <w:t>s</w:t>
      </w:r>
      <w:r w:rsidR="00264212" w:rsidRPr="00264212">
        <w:rPr>
          <w:color w:val="000000" w:themeColor="text1"/>
          <w:highlight w:val="white"/>
        </w:rPr>
        <w:t xml:space="preserve"> us in. </w:t>
      </w:r>
      <w:r w:rsidR="0005467F">
        <w:rPr>
          <w:color w:val="000000" w:themeColor="text1"/>
          <w:highlight w:val="white"/>
        </w:rPr>
        <w:t xml:space="preserve"> This article </w:t>
      </w:r>
      <w:r w:rsidR="005E0DB1">
        <w:rPr>
          <w:color w:val="000000" w:themeColor="text1"/>
          <w:highlight w:val="white"/>
        </w:rPr>
        <w:t>reveals</w:t>
      </w:r>
      <w:r w:rsidR="00264212" w:rsidRPr="00264212">
        <w:rPr>
          <w:color w:val="000000" w:themeColor="text1"/>
          <w:highlight w:val="white"/>
        </w:rPr>
        <w:t xml:space="preserve"> the</w:t>
      </w:r>
      <w:r w:rsidR="005E0DB1">
        <w:rPr>
          <w:color w:val="000000" w:themeColor="text1"/>
          <w:highlight w:val="white"/>
        </w:rPr>
        <w:t xml:space="preserve"> multiple</w:t>
      </w:r>
      <w:r w:rsidR="00264212" w:rsidRPr="00264212">
        <w:rPr>
          <w:color w:val="000000" w:themeColor="text1"/>
          <w:highlight w:val="white"/>
        </w:rPr>
        <w:t xml:space="preserve"> ways in which our ‘bid to contribute to bringing this hierarchy to an end’ is a </w:t>
      </w:r>
      <w:r w:rsidR="003A16C1">
        <w:rPr>
          <w:color w:val="000000" w:themeColor="text1"/>
          <w:highlight w:val="white"/>
        </w:rPr>
        <w:t xml:space="preserve">process </w:t>
      </w:r>
      <w:r w:rsidR="00264212" w:rsidRPr="00264212">
        <w:rPr>
          <w:color w:val="000000" w:themeColor="text1"/>
          <w:highlight w:val="white"/>
        </w:rPr>
        <w:t xml:space="preserve">of learning that is </w:t>
      </w:r>
      <w:r w:rsidR="003A16C1">
        <w:rPr>
          <w:color w:val="000000" w:themeColor="text1"/>
          <w:highlight w:val="white"/>
        </w:rPr>
        <w:t xml:space="preserve">(and will always be) </w:t>
      </w:r>
      <w:r w:rsidR="00264212" w:rsidRPr="00264212">
        <w:rPr>
          <w:color w:val="000000" w:themeColor="text1"/>
          <w:highlight w:val="white"/>
        </w:rPr>
        <w:t>incomplete.</w:t>
      </w:r>
      <w:r w:rsidR="00264212" w:rsidRPr="00264212">
        <w:rPr>
          <w:color w:val="000000" w:themeColor="text1"/>
          <w:highlight w:val="white"/>
          <w:vertAlign w:val="superscript"/>
        </w:rPr>
        <w:endnoteReference w:id="9"/>
      </w:r>
      <w:r w:rsidR="006C2CC8">
        <w:rPr>
          <w:color w:val="000000" w:themeColor="text1"/>
          <w:highlight w:val="white"/>
        </w:rPr>
        <w:t xml:space="preserve">  </w:t>
      </w:r>
      <w:r w:rsidR="0008561B">
        <w:rPr>
          <w:color w:val="000000" w:themeColor="text1"/>
          <w:highlight w:val="white"/>
        </w:rPr>
        <w:t>We bring to this process our respective expertise</w:t>
      </w:r>
      <w:r w:rsidR="00136603">
        <w:rPr>
          <w:color w:val="000000" w:themeColor="text1"/>
          <w:highlight w:val="white"/>
        </w:rPr>
        <w:t xml:space="preserve">: Victoria is a historian and archivist, whose </w:t>
      </w:r>
      <w:r w:rsidR="00DF76E2">
        <w:rPr>
          <w:color w:val="000000" w:themeColor="text1"/>
          <w:highlight w:val="white"/>
        </w:rPr>
        <w:t xml:space="preserve">previous </w:t>
      </w:r>
      <w:r w:rsidR="00136603">
        <w:rPr>
          <w:color w:val="000000" w:themeColor="text1"/>
          <w:highlight w:val="white"/>
        </w:rPr>
        <w:t xml:space="preserve">work has focused on </w:t>
      </w:r>
      <w:r w:rsidR="00DF76E2">
        <w:rPr>
          <w:color w:val="000000" w:themeColor="text1"/>
          <w:highlight w:val="white"/>
        </w:rPr>
        <w:t>the meanings and values of archival practices</w:t>
      </w:r>
      <w:r w:rsidR="00A44CB3">
        <w:rPr>
          <w:color w:val="000000" w:themeColor="text1"/>
          <w:highlight w:val="white"/>
        </w:rPr>
        <w:t>; Alana is a</w:t>
      </w:r>
      <w:r w:rsidR="005421A3">
        <w:rPr>
          <w:color w:val="000000" w:themeColor="text1"/>
          <w:highlight w:val="white"/>
        </w:rPr>
        <w:t xml:space="preserve"> historian who deploys ethnography, oral history</w:t>
      </w:r>
      <w:r w:rsidR="00E26493">
        <w:rPr>
          <w:color w:val="000000" w:themeColor="text1"/>
          <w:highlight w:val="white"/>
        </w:rPr>
        <w:t xml:space="preserve"> praxis</w:t>
      </w:r>
      <w:r w:rsidR="005421A3">
        <w:rPr>
          <w:color w:val="000000" w:themeColor="text1"/>
          <w:highlight w:val="white"/>
        </w:rPr>
        <w:t>, and creative approaches to materiality in her archival source assemblages.</w:t>
      </w:r>
      <w:r w:rsidR="00A44CB3">
        <w:rPr>
          <w:color w:val="000000" w:themeColor="text1"/>
          <w:highlight w:val="white"/>
        </w:rPr>
        <w:t xml:space="preserve"> </w:t>
      </w:r>
      <w:r w:rsidR="003A0665">
        <w:rPr>
          <w:color w:val="000000" w:themeColor="text1"/>
          <w:highlight w:val="white"/>
        </w:rPr>
        <w:t>We have both worked on CSA histories and record</w:t>
      </w:r>
      <w:r w:rsidR="00521683">
        <w:rPr>
          <w:color w:val="000000" w:themeColor="text1"/>
          <w:highlight w:val="white"/>
        </w:rPr>
        <w:t>keeping, in close collaboration with survivors, for the better part of a decade.</w:t>
      </w:r>
      <w:r w:rsidR="003A0665">
        <w:rPr>
          <w:color w:val="000000" w:themeColor="text1"/>
          <w:highlight w:val="white"/>
        </w:rPr>
        <w:t xml:space="preserve"> </w:t>
      </w:r>
      <w:r w:rsidR="00A44CB3">
        <w:rPr>
          <w:color w:val="000000" w:themeColor="text1"/>
          <w:highlight w:val="white"/>
        </w:rPr>
        <w:t xml:space="preserve">However, we </w:t>
      </w:r>
      <w:r w:rsidR="00C11E6F">
        <w:rPr>
          <w:color w:val="000000" w:themeColor="text1"/>
          <w:highlight w:val="white"/>
        </w:rPr>
        <w:t>recognise</w:t>
      </w:r>
      <w:r w:rsidR="00A44CB3">
        <w:rPr>
          <w:color w:val="000000" w:themeColor="text1"/>
          <w:highlight w:val="white"/>
        </w:rPr>
        <w:t xml:space="preserve"> </w:t>
      </w:r>
      <w:r w:rsidR="00C11E6F">
        <w:rPr>
          <w:color w:val="000000" w:themeColor="text1"/>
          <w:highlight w:val="white"/>
        </w:rPr>
        <w:t>that</w:t>
      </w:r>
      <w:r w:rsidR="00A44CB3">
        <w:rPr>
          <w:color w:val="000000" w:themeColor="text1"/>
          <w:highlight w:val="white"/>
        </w:rPr>
        <w:t xml:space="preserve"> </w:t>
      </w:r>
      <w:r w:rsidR="00FA0953">
        <w:rPr>
          <w:color w:val="000000" w:themeColor="text1"/>
          <w:highlight w:val="white"/>
        </w:rPr>
        <w:t xml:space="preserve">these professional and scholarly </w:t>
      </w:r>
      <w:r w:rsidR="003C79F3">
        <w:rPr>
          <w:color w:val="000000" w:themeColor="text1"/>
          <w:highlight w:val="white"/>
        </w:rPr>
        <w:t>orientations</w:t>
      </w:r>
      <w:r w:rsidR="00FA0953">
        <w:rPr>
          <w:color w:val="000000" w:themeColor="text1"/>
          <w:highlight w:val="white"/>
        </w:rPr>
        <w:t xml:space="preserve"> </w:t>
      </w:r>
      <w:r w:rsidR="00C11E6F">
        <w:rPr>
          <w:color w:val="000000" w:themeColor="text1"/>
          <w:highlight w:val="white"/>
        </w:rPr>
        <w:t>can be</w:t>
      </w:r>
      <w:r w:rsidR="00FA0953">
        <w:rPr>
          <w:color w:val="000000" w:themeColor="text1"/>
          <w:highlight w:val="white"/>
        </w:rPr>
        <w:t xml:space="preserve"> limiting as well as </w:t>
      </w:r>
      <w:r w:rsidR="003C79F3">
        <w:rPr>
          <w:color w:val="000000" w:themeColor="text1"/>
          <w:highlight w:val="white"/>
        </w:rPr>
        <w:t xml:space="preserve">supportive of our work. </w:t>
      </w:r>
      <w:r>
        <w:rPr>
          <w:color w:val="222222"/>
          <w:highlight w:val="white"/>
        </w:rPr>
        <w:t>Our analyses draw upon calls within archival studies for trauma-informed approaches and harm-reduction when archiving sensitive and difficult material.</w:t>
      </w:r>
      <w:r>
        <w:rPr>
          <w:rStyle w:val="EndnoteReference"/>
          <w:color w:val="222222"/>
          <w:highlight w:val="white"/>
        </w:rPr>
        <w:endnoteReference w:id="10"/>
      </w:r>
      <w:r>
        <w:rPr>
          <w:color w:val="222222"/>
          <w:highlight w:val="white"/>
        </w:rPr>
        <w:t xml:space="preserve"> Specifically, we aim to delineate approaches for collaboration with a specific community - survivors of CSA - where recordkeeping has ‘high-stakes.’</w:t>
      </w:r>
      <w:r>
        <w:rPr>
          <w:rStyle w:val="EndnoteReference"/>
          <w:color w:val="222222"/>
          <w:highlight w:val="white"/>
        </w:rPr>
        <w:endnoteReference w:id="11"/>
      </w:r>
      <w:r>
        <w:rPr>
          <w:color w:val="222222"/>
          <w:highlight w:val="white"/>
        </w:rPr>
        <w:t xml:space="preserve"> </w:t>
      </w:r>
      <w:r>
        <w:rPr>
          <w:lang w:eastAsia="en-US"/>
        </w:rPr>
        <w:t xml:space="preserve">While trauma ‘exists everywhere,’ as Wright and Laurent state, and trauma-informed archival </w:t>
      </w:r>
      <w:r w:rsidRPr="00A968B3">
        <w:rPr>
          <w:color w:val="000000" w:themeColor="text1"/>
          <w:lang w:eastAsia="en-US"/>
        </w:rPr>
        <w:t>practices have universal value for archivists, archive users</w:t>
      </w:r>
      <w:r w:rsidR="00E26493">
        <w:rPr>
          <w:color w:val="000000" w:themeColor="text1"/>
          <w:lang w:eastAsia="en-US"/>
        </w:rPr>
        <w:t>,</w:t>
      </w:r>
      <w:r w:rsidRPr="00A968B3">
        <w:rPr>
          <w:color w:val="000000" w:themeColor="text1"/>
          <w:lang w:eastAsia="en-US"/>
        </w:rPr>
        <w:t xml:space="preserve"> and researchers, the need to develop and apply them to work with </w:t>
      </w:r>
      <w:r>
        <w:rPr>
          <w:color w:val="000000" w:themeColor="text1"/>
          <w:lang w:eastAsia="en-US"/>
        </w:rPr>
        <w:t>survivors</w:t>
      </w:r>
      <w:r w:rsidRPr="00A968B3">
        <w:rPr>
          <w:color w:val="000000" w:themeColor="text1"/>
          <w:lang w:eastAsia="en-US"/>
        </w:rPr>
        <w:t xml:space="preserve"> of sexual abuse</w:t>
      </w:r>
      <w:r>
        <w:rPr>
          <w:color w:val="000000" w:themeColor="text1"/>
          <w:lang w:eastAsia="en-US"/>
        </w:rPr>
        <w:t xml:space="preserve"> and their archives</w:t>
      </w:r>
      <w:r w:rsidRPr="00A968B3">
        <w:rPr>
          <w:color w:val="000000" w:themeColor="text1"/>
          <w:lang w:eastAsia="en-US"/>
        </w:rPr>
        <w:t xml:space="preserve"> is particularly acute.</w:t>
      </w:r>
      <w:r w:rsidRPr="00A968B3">
        <w:rPr>
          <w:rStyle w:val="EndnoteReference"/>
          <w:color w:val="000000" w:themeColor="text1"/>
          <w:lang w:eastAsia="en-US"/>
        </w:rPr>
        <w:endnoteReference w:id="12"/>
      </w:r>
      <w:r w:rsidRPr="00A968B3">
        <w:rPr>
          <w:color w:val="000000" w:themeColor="text1"/>
          <w:lang w:eastAsia="en-US"/>
        </w:rPr>
        <w:t xml:space="preserve"> </w:t>
      </w:r>
      <w:r w:rsidR="0094391E">
        <w:rPr>
          <w:color w:val="000000" w:themeColor="text1"/>
          <w:lang w:eastAsia="en-US"/>
        </w:rPr>
        <w:t>While extensive scholarship deals with issues of memory, trauma</w:t>
      </w:r>
      <w:r w:rsidR="00E26493">
        <w:rPr>
          <w:color w:val="000000" w:themeColor="text1"/>
          <w:lang w:eastAsia="en-US"/>
        </w:rPr>
        <w:t>,</w:t>
      </w:r>
      <w:r w:rsidR="0094391E">
        <w:rPr>
          <w:color w:val="000000" w:themeColor="text1"/>
          <w:lang w:eastAsia="en-US"/>
        </w:rPr>
        <w:t xml:space="preserve"> and archives in relation to </w:t>
      </w:r>
      <w:r w:rsidR="00317556">
        <w:rPr>
          <w:color w:val="000000" w:themeColor="text1"/>
          <w:lang w:eastAsia="en-US"/>
        </w:rPr>
        <w:t>genocide, war</w:t>
      </w:r>
      <w:r w:rsidR="00E26493">
        <w:rPr>
          <w:color w:val="000000" w:themeColor="text1"/>
          <w:lang w:eastAsia="en-US"/>
        </w:rPr>
        <w:t>,</w:t>
      </w:r>
      <w:r w:rsidR="00317556">
        <w:rPr>
          <w:color w:val="000000" w:themeColor="text1"/>
          <w:lang w:eastAsia="en-US"/>
        </w:rPr>
        <w:t xml:space="preserve"> and human rights violations</w:t>
      </w:r>
      <w:r w:rsidR="00116241">
        <w:rPr>
          <w:color w:val="000000" w:themeColor="text1"/>
          <w:lang w:eastAsia="en-US"/>
        </w:rPr>
        <w:t>, this work does not take into account the specificities of CSA experience.</w:t>
      </w:r>
      <w:r w:rsidR="0064470F">
        <w:rPr>
          <w:rStyle w:val="EndnoteReference"/>
          <w:color w:val="000000" w:themeColor="text1"/>
          <w:lang w:eastAsia="en-US"/>
        </w:rPr>
        <w:endnoteReference w:id="13"/>
      </w:r>
      <w:r w:rsidR="00317556">
        <w:rPr>
          <w:color w:val="000000" w:themeColor="text1"/>
          <w:lang w:eastAsia="en-US"/>
        </w:rPr>
        <w:t xml:space="preserve"> </w:t>
      </w:r>
      <w:r w:rsidR="00A92748">
        <w:rPr>
          <w:color w:val="000000" w:themeColor="text1"/>
          <w:lang w:eastAsia="en-US"/>
        </w:rPr>
        <w:t>Traditional a</w:t>
      </w:r>
      <w:r w:rsidR="008973AA">
        <w:rPr>
          <w:color w:val="000000" w:themeColor="text1"/>
          <w:lang w:eastAsia="en-US"/>
        </w:rPr>
        <w:t>rchiving practices</w:t>
      </w:r>
      <w:r w:rsidR="00ED2865">
        <w:rPr>
          <w:color w:val="000000" w:themeColor="text1"/>
          <w:lang w:eastAsia="en-US"/>
        </w:rPr>
        <w:t xml:space="preserve"> - </w:t>
      </w:r>
      <w:r w:rsidR="008973AA">
        <w:rPr>
          <w:color w:val="000000" w:themeColor="text1"/>
          <w:lang w:eastAsia="en-US"/>
        </w:rPr>
        <w:t xml:space="preserve">where </w:t>
      </w:r>
      <w:r w:rsidR="00996D95">
        <w:rPr>
          <w:color w:val="000000" w:themeColor="text1"/>
          <w:lang w:eastAsia="en-US"/>
        </w:rPr>
        <w:t xml:space="preserve">survivors are denied </w:t>
      </w:r>
      <w:r w:rsidR="008973AA">
        <w:rPr>
          <w:color w:val="000000" w:themeColor="text1"/>
          <w:lang w:eastAsia="en-US"/>
        </w:rPr>
        <w:t>control of the</w:t>
      </w:r>
      <w:r w:rsidR="00A92748">
        <w:rPr>
          <w:color w:val="000000" w:themeColor="text1"/>
          <w:lang w:eastAsia="en-US"/>
        </w:rPr>
        <w:t>ir</w:t>
      </w:r>
      <w:r w:rsidR="008973AA">
        <w:rPr>
          <w:color w:val="000000" w:themeColor="text1"/>
          <w:lang w:eastAsia="en-US"/>
        </w:rPr>
        <w:t xml:space="preserve"> narrative</w:t>
      </w:r>
      <w:r w:rsidR="00084B63">
        <w:rPr>
          <w:color w:val="000000" w:themeColor="text1"/>
          <w:lang w:eastAsia="en-US"/>
        </w:rPr>
        <w:t xml:space="preserve">s in </w:t>
      </w:r>
      <w:r w:rsidR="008973AA">
        <w:rPr>
          <w:color w:val="000000" w:themeColor="text1"/>
          <w:lang w:eastAsia="en-US"/>
        </w:rPr>
        <w:t>records</w:t>
      </w:r>
      <w:r w:rsidR="00E44D9B">
        <w:rPr>
          <w:color w:val="000000" w:themeColor="text1"/>
          <w:lang w:eastAsia="en-US"/>
        </w:rPr>
        <w:t xml:space="preserve"> which</w:t>
      </w:r>
      <w:r w:rsidR="00CA3586">
        <w:rPr>
          <w:color w:val="000000" w:themeColor="text1"/>
          <w:lang w:eastAsia="en-US"/>
        </w:rPr>
        <w:t xml:space="preserve"> are opaque or only </w:t>
      </w:r>
      <w:r w:rsidR="00ED2865">
        <w:rPr>
          <w:color w:val="000000" w:themeColor="text1"/>
          <w:lang w:eastAsia="en-US"/>
        </w:rPr>
        <w:t>contain the perspectives of people who failed to protect them - can</w:t>
      </w:r>
      <w:r w:rsidR="00E44D9B">
        <w:rPr>
          <w:color w:val="000000" w:themeColor="text1"/>
          <w:lang w:eastAsia="en-US"/>
        </w:rPr>
        <w:t xml:space="preserve"> </w:t>
      </w:r>
      <w:r w:rsidR="00084B63">
        <w:rPr>
          <w:color w:val="000000" w:themeColor="text1"/>
          <w:lang w:eastAsia="en-US"/>
        </w:rPr>
        <w:t>replicate the</w:t>
      </w:r>
      <w:r w:rsidR="002370CC">
        <w:rPr>
          <w:color w:val="000000" w:themeColor="text1"/>
          <w:lang w:eastAsia="en-US"/>
        </w:rPr>
        <w:t xml:space="preserve"> fundamental </w:t>
      </w:r>
      <w:r w:rsidR="002D77CD">
        <w:rPr>
          <w:color w:val="000000" w:themeColor="text1"/>
          <w:lang w:eastAsia="en-US"/>
        </w:rPr>
        <w:t xml:space="preserve">deprivation of </w:t>
      </w:r>
      <w:r w:rsidR="00E26493">
        <w:rPr>
          <w:color w:val="000000" w:themeColor="text1"/>
          <w:lang w:eastAsia="en-US"/>
        </w:rPr>
        <w:t xml:space="preserve">agency and </w:t>
      </w:r>
      <w:r w:rsidR="002D77CD">
        <w:rPr>
          <w:color w:val="000000" w:themeColor="text1"/>
          <w:lang w:eastAsia="en-US"/>
        </w:rPr>
        <w:t>autonomy</w:t>
      </w:r>
      <w:r w:rsidR="003068DE">
        <w:rPr>
          <w:color w:val="000000" w:themeColor="text1"/>
          <w:lang w:eastAsia="en-US"/>
        </w:rPr>
        <w:t xml:space="preserve"> during CSA.</w:t>
      </w:r>
      <w:r w:rsidR="00222515">
        <w:rPr>
          <w:color w:val="000000" w:themeColor="text1"/>
          <w:lang w:eastAsia="en-US"/>
        </w:rPr>
        <w:t xml:space="preserve"> Survivors may also have experienced repeated institutional betrayals</w:t>
      </w:r>
      <w:r w:rsidR="004A1067">
        <w:rPr>
          <w:color w:val="000000" w:themeColor="text1"/>
          <w:lang w:eastAsia="en-US"/>
        </w:rPr>
        <w:t xml:space="preserve">, which make seeking out and using archives </w:t>
      </w:r>
      <w:r w:rsidR="002C2160">
        <w:rPr>
          <w:color w:val="000000" w:themeColor="text1"/>
          <w:lang w:eastAsia="en-US"/>
        </w:rPr>
        <w:t>high-risk activities</w:t>
      </w:r>
      <w:r w:rsidR="00D02333">
        <w:rPr>
          <w:color w:val="000000" w:themeColor="text1"/>
          <w:lang w:eastAsia="en-US"/>
        </w:rPr>
        <w:t xml:space="preserve"> in the first place</w:t>
      </w:r>
      <w:r w:rsidR="002C2160">
        <w:rPr>
          <w:color w:val="000000" w:themeColor="text1"/>
          <w:lang w:eastAsia="en-US"/>
        </w:rPr>
        <w:t xml:space="preserve">. </w:t>
      </w:r>
      <w:r w:rsidR="00D02333">
        <w:rPr>
          <w:color w:val="000000" w:themeColor="text1"/>
          <w:lang w:eastAsia="en-US"/>
        </w:rPr>
        <w:t>This is compounded when a</w:t>
      </w:r>
      <w:r w:rsidR="009D4ED2">
        <w:rPr>
          <w:color w:val="000000" w:themeColor="text1"/>
          <w:lang w:eastAsia="en-US"/>
        </w:rPr>
        <w:t>ccess protocols often</w:t>
      </w:r>
      <w:r w:rsidR="00133F95">
        <w:rPr>
          <w:color w:val="000000" w:themeColor="text1"/>
          <w:lang w:eastAsia="en-US"/>
        </w:rPr>
        <w:t xml:space="preserve"> </w:t>
      </w:r>
      <w:r w:rsidR="00135C2D">
        <w:rPr>
          <w:color w:val="000000" w:themeColor="text1"/>
          <w:lang w:eastAsia="en-US"/>
        </w:rPr>
        <w:t>force</w:t>
      </w:r>
      <w:r w:rsidR="00133F95">
        <w:rPr>
          <w:color w:val="000000" w:themeColor="text1"/>
          <w:lang w:eastAsia="en-US"/>
        </w:rPr>
        <w:t xml:space="preserve"> them to</w:t>
      </w:r>
      <w:r w:rsidR="00842155">
        <w:rPr>
          <w:color w:val="000000" w:themeColor="text1"/>
          <w:lang w:eastAsia="en-US"/>
        </w:rPr>
        <w:t xml:space="preserve"> expose </w:t>
      </w:r>
      <w:r w:rsidR="009D4ED2">
        <w:rPr>
          <w:color w:val="000000" w:themeColor="text1"/>
          <w:lang w:eastAsia="en-US"/>
        </w:rPr>
        <w:t xml:space="preserve">personal </w:t>
      </w:r>
      <w:r w:rsidR="00842155">
        <w:rPr>
          <w:color w:val="000000" w:themeColor="text1"/>
          <w:lang w:eastAsia="en-US"/>
        </w:rPr>
        <w:t>histories to</w:t>
      </w:r>
      <w:r w:rsidR="009D4ED2">
        <w:rPr>
          <w:color w:val="000000" w:themeColor="text1"/>
          <w:lang w:eastAsia="en-US"/>
        </w:rPr>
        <w:t xml:space="preserve"> </w:t>
      </w:r>
      <w:r w:rsidR="009D4ED2">
        <w:rPr>
          <w:color w:val="000000" w:themeColor="text1"/>
          <w:lang w:eastAsia="en-US"/>
        </w:rPr>
        <w:lastRenderedPageBreak/>
        <w:t>strangers</w:t>
      </w:r>
      <w:r w:rsidR="00485B90">
        <w:rPr>
          <w:color w:val="000000" w:themeColor="text1"/>
          <w:lang w:eastAsia="en-US"/>
        </w:rPr>
        <w:t>, who have ultimate authority over what will be preserved, seen</w:t>
      </w:r>
      <w:r w:rsidR="00E26493">
        <w:rPr>
          <w:color w:val="000000" w:themeColor="text1"/>
          <w:lang w:eastAsia="en-US"/>
        </w:rPr>
        <w:t>,</w:t>
      </w:r>
      <w:r w:rsidR="00485B90">
        <w:rPr>
          <w:color w:val="000000" w:themeColor="text1"/>
          <w:lang w:eastAsia="en-US"/>
        </w:rPr>
        <w:t xml:space="preserve"> or </w:t>
      </w:r>
      <w:r w:rsidR="00E44D9B">
        <w:rPr>
          <w:color w:val="000000" w:themeColor="text1"/>
          <w:lang w:eastAsia="en-US"/>
        </w:rPr>
        <w:t>shared.</w:t>
      </w:r>
      <w:r w:rsidR="00842155">
        <w:rPr>
          <w:color w:val="000000" w:themeColor="text1"/>
          <w:lang w:eastAsia="en-US"/>
        </w:rPr>
        <w:t xml:space="preserve"> </w:t>
      </w:r>
      <w:r w:rsidR="00084B63">
        <w:rPr>
          <w:color w:val="000000" w:themeColor="text1"/>
          <w:lang w:eastAsia="en-US"/>
        </w:rPr>
        <w:t xml:space="preserve"> </w:t>
      </w:r>
      <w:r>
        <w:rPr>
          <w:color w:val="000000" w:themeColor="text1"/>
          <w:lang w:eastAsia="en-US"/>
        </w:rPr>
        <w:t>Core p</w:t>
      </w:r>
      <w:r w:rsidRPr="00A968B3">
        <w:rPr>
          <w:color w:val="000000" w:themeColor="text1"/>
          <w:lang w:eastAsia="en-US"/>
        </w:rPr>
        <w:t xml:space="preserve">rinciples such as safety, trust, transparency, choice, collaboration, and empowerment align closely with survivor concerns </w:t>
      </w:r>
      <w:r>
        <w:rPr>
          <w:color w:val="000000" w:themeColor="text1"/>
          <w:lang w:eastAsia="en-US"/>
        </w:rPr>
        <w:t xml:space="preserve">around </w:t>
      </w:r>
      <w:r w:rsidRPr="00A968B3">
        <w:rPr>
          <w:color w:val="000000" w:themeColor="text1"/>
          <w:lang w:eastAsia="en-US"/>
        </w:rPr>
        <w:t xml:space="preserve">consent, agency, confidentiality, and restorative justice. The influential and much </w:t>
      </w:r>
      <w:r>
        <w:rPr>
          <w:color w:val="000000" w:themeColor="text1"/>
          <w:lang w:eastAsia="en-US"/>
        </w:rPr>
        <w:t>deployed</w:t>
      </w:r>
      <w:r w:rsidRPr="00A968B3">
        <w:rPr>
          <w:color w:val="000000" w:themeColor="text1"/>
          <w:lang w:eastAsia="en-US"/>
        </w:rPr>
        <w:t xml:space="preserve"> </w:t>
      </w:r>
      <w:r w:rsidRPr="00A968B3">
        <w:rPr>
          <w:i/>
          <w:iCs/>
          <w:color w:val="000000" w:themeColor="text1"/>
          <w:lang w:eastAsia="en-US"/>
        </w:rPr>
        <w:t>Survivors Voices</w:t>
      </w:r>
      <w:r w:rsidRPr="00A968B3">
        <w:rPr>
          <w:color w:val="000000" w:themeColor="text1"/>
          <w:lang w:eastAsia="en-US"/>
        </w:rPr>
        <w:t xml:space="preserve"> </w:t>
      </w:r>
      <w:r w:rsidRPr="00A968B3">
        <w:rPr>
          <w:i/>
          <w:iCs/>
          <w:color w:val="000000" w:themeColor="text1"/>
          <w:lang w:eastAsia="en-US"/>
        </w:rPr>
        <w:t>Charter for Engaging Survivors</w:t>
      </w:r>
      <w:r w:rsidRPr="00A968B3">
        <w:rPr>
          <w:color w:val="000000" w:themeColor="text1"/>
          <w:lang w:eastAsia="en-US"/>
        </w:rPr>
        <w:t xml:space="preserve"> and </w:t>
      </w:r>
      <w:r w:rsidRPr="00A968B3">
        <w:rPr>
          <w:i/>
          <w:iCs/>
          <w:color w:val="000000" w:themeColor="text1"/>
          <w:lang w:eastAsia="en-US"/>
        </w:rPr>
        <w:t>Survivor Involvement Ladder</w:t>
      </w:r>
      <w:r w:rsidRPr="00A968B3">
        <w:rPr>
          <w:color w:val="000000" w:themeColor="text1"/>
          <w:lang w:eastAsia="en-US"/>
        </w:rPr>
        <w:t xml:space="preserve"> offer pithy and practical encapsulations of these precepts.</w:t>
      </w:r>
      <w:r w:rsidRPr="00A968B3">
        <w:rPr>
          <w:rStyle w:val="EndnoteReference"/>
          <w:color w:val="000000" w:themeColor="text1"/>
          <w:lang w:eastAsia="en-US"/>
        </w:rPr>
        <w:endnoteReference w:id="14"/>
      </w:r>
      <w:r w:rsidRPr="00A968B3">
        <w:rPr>
          <w:color w:val="000000" w:themeColor="text1"/>
          <w:lang w:eastAsia="en-US"/>
        </w:rPr>
        <w:t xml:space="preserve"> </w:t>
      </w:r>
      <w:r>
        <w:rPr>
          <w:color w:val="222222"/>
          <w:highlight w:val="white"/>
        </w:rPr>
        <w:t xml:space="preserve">Thus we speak of ‘stakeholders,’ a word which – despite an association with tokenistic bureaucratic consultation exercises – captures the </w:t>
      </w:r>
      <w:r w:rsidR="00E26493">
        <w:rPr>
          <w:color w:val="222222"/>
          <w:highlight w:val="white"/>
        </w:rPr>
        <w:t xml:space="preserve">investment and </w:t>
      </w:r>
      <w:r>
        <w:rPr>
          <w:color w:val="222222"/>
          <w:highlight w:val="white"/>
        </w:rPr>
        <w:t xml:space="preserve">status of multiple parties in our work. Our aim is to begin mapping our vision of counter-archives of </w:t>
      </w:r>
      <w:r w:rsidRPr="00D71458">
        <w:rPr>
          <w:color w:val="000000" w:themeColor="text1"/>
          <w:highlight w:val="white"/>
        </w:rPr>
        <w:t xml:space="preserve">CSA </w:t>
      </w:r>
      <w:r>
        <w:rPr>
          <w:color w:val="000000" w:themeColor="text1"/>
          <w:highlight w:val="white"/>
        </w:rPr>
        <w:t>that can</w:t>
      </w:r>
      <w:r w:rsidRPr="00D71458">
        <w:rPr>
          <w:color w:val="000000" w:themeColor="text1"/>
          <w:highlight w:val="white"/>
        </w:rPr>
        <w:t xml:space="preserve"> hold </w:t>
      </w:r>
      <w:r>
        <w:rPr>
          <w:color w:val="000000" w:themeColor="text1"/>
          <w:highlight w:val="white"/>
        </w:rPr>
        <w:t xml:space="preserve">the </w:t>
      </w:r>
      <w:r w:rsidRPr="00D71458">
        <w:rPr>
          <w:color w:val="000000" w:themeColor="text1"/>
          <w:highlight w:val="white"/>
        </w:rPr>
        <w:t>personal memories, collective traumas, creative responses, and reformist hopes</w:t>
      </w:r>
      <w:r>
        <w:rPr>
          <w:color w:val="000000" w:themeColor="text1"/>
          <w:highlight w:val="white"/>
        </w:rPr>
        <w:t xml:space="preserve"> of ‘high stakeholders.’</w:t>
      </w:r>
      <w:r w:rsidRPr="00D71458">
        <w:rPr>
          <w:color w:val="000000" w:themeColor="text1"/>
          <w:highlight w:val="white"/>
        </w:rPr>
        <w:t xml:space="preserve"> </w:t>
      </w:r>
      <w:r>
        <w:rPr>
          <w:color w:val="000000" w:themeColor="text1"/>
          <w:highlight w:val="white"/>
        </w:rPr>
        <w:t xml:space="preserve">We conclude with </w:t>
      </w:r>
      <w:r w:rsidRPr="00D71458">
        <w:rPr>
          <w:color w:val="000000" w:themeColor="text1"/>
          <w:highlight w:val="white"/>
        </w:rPr>
        <w:t xml:space="preserve">the developing philosophy and </w:t>
      </w:r>
      <w:r>
        <w:rPr>
          <w:color w:val="000000" w:themeColor="text1"/>
          <w:highlight w:val="white"/>
        </w:rPr>
        <w:t xml:space="preserve">ethical practices </w:t>
      </w:r>
      <w:r w:rsidRPr="00D71458">
        <w:rPr>
          <w:color w:val="000000" w:themeColor="text1"/>
          <w:highlight w:val="white"/>
        </w:rPr>
        <w:t xml:space="preserve">of our long-term collaborative project </w:t>
      </w:r>
      <w:r w:rsidRPr="00947763">
        <w:rPr>
          <w:i/>
          <w:iCs/>
          <w:color w:val="000000" w:themeColor="text1"/>
          <w:highlight w:val="white"/>
        </w:rPr>
        <w:t>Remembering Together</w:t>
      </w:r>
      <w:r w:rsidRPr="00D71458">
        <w:rPr>
          <w:color w:val="000000" w:themeColor="text1"/>
          <w:highlight w:val="white"/>
        </w:rPr>
        <w:t xml:space="preserve"> which aims to </w:t>
      </w:r>
      <w:r>
        <w:rPr>
          <w:color w:val="000000" w:themeColor="text1"/>
          <w:highlight w:val="white"/>
        </w:rPr>
        <w:t xml:space="preserve">create the conditions for an </w:t>
      </w:r>
      <w:r w:rsidRPr="00D71458">
        <w:rPr>
          <w:color w:val="000000" w:themeColor="text1"/>
          <w:highlight w:val="white"/>
        </w:rPr>
        <w:t xml:space="preserve">expansive, assembled repository of liberatory memory and campaigning justice for survivors of child sexual violence and their allies. </w:t>
      </w:r>
    </w:p>
    <w:p w14:paraId="2477F51C" w14:textId="77777777" w:rsidR="00343D0F" w:rsidRDefault="00343D0F" w:rsidP="00C07D0F">
      <w:pPr>
        <w:pStyle w:val="Heading3"/>
        <w:spacing w:line="480" w:lineRule="auto"/>
        <w:rPr>
          <w:highlight w:val="white"/>
        </w:rPr>
      </w:pPr>
      <w:r>
        <w:rPr>
          <w:highlight w:val="white"/>
        </w:rPr>
        <w:t>Child sexual abuse in the archive</w:t>
      </w:r>
    </w:p>
    <w:p w14:paraId="2902EA19" w14:textId="0D9E3188" w:rsidR="00343D0F" w:rsidRDefault="00343D0F" w:rsidP="00C07D0F">
      <w:pPr>
        <w:spacing w:line="480" w:lineRule="auto"/>
        <w:rPr>
          <w:highlight w:val="white"/>
          <w:lang w:eastAsia="en-US"/>
        </w:rPr>
      </w:pPr>
      <w:r>
        <w:rPr>
          <w:highlight w:val="white"/>
          <w:lang w:eastAsia="en-US"/>
        </w:rPr>
        <w:t>Records of child sexual abuse do exist</w:t>
      </w:r>
      <w:r w:rsidR="00475983">
        <w:rPr>
          <w:highlight w:val="white"/>
          <w:lang w:eastAsia="en-US"/>
        </w:rPr>
        <w:t xml:space="preserve"> in the UK</w:t>
      </w:r>
      <w:r>
        <w:rPr>
          <w:highlight w:val="white"/>
          <w:lang w:eastAsia="en-US"/>
        </w:rPr>
        <w:t>. As historians have demonstrated, legal, government, and media records can all be used to identify and make visible the multiple categories of sexual crimes against children which we now term ‘child sexual abuse.’</w:t>
      </w:r>
      <w:r>
        <w:rPr>
          <w:rStyle w:val="EndnoteReference"/>
          <w:highlight w:val="white"/>
          <w:lang w:eastAsia="en-US"/>
        </w:rPr>
        <w:endnoteReference w:id="15"/>
      </w:r>
      <w:r>
        <w:rPr>
          <w:highlight w:val="white"/>
          <w:lang w:eastAsia="en-US"/>
        </w:rPr>
        <w:t xml:space="preserve"> The records of institutions and the state can be read against the grain to recover the histories of children and (to a lesser extent) adult survivors.</w:t>
      </w:r>
      <w:r>
        <w:rPr>
          <w:rStyle w:val="EndnoteReference"/>
          <w:highlight w:val="white"/>
          <w:lang w:eastAsia="en-US"/>
        </w:rPr>
        <w:endnoteReference w:id="16"/>
      </w:r>
      <w:r>
        <w:rPr>
          <w:highlight w:val="white"/>
          <w:lang w:eastAsia="en-US"/>
        </w:rPr>
        <w:t xml:space="preserve"> However, these archives are limited by a number of factors. </w:t>
      </w:r>
    </w:p>
    <w:p w14:paraId="6FDB7A06" w14:textId="77777777" w:rsidR="00343D0F" w:rsidRDefault="00343D0F" w:rsidP="00C07D0F">
      <w:pPr>
        <w:spacing w:line="480" w:lineRule="auto"/>
        <w:rPr>
          <w:highlight w:val="white"/>
          <w:lang w:eastAsia="en-US"/>
        </w:rPr>
      </w:pPr>
    </w:p>
    <w:p w14:paraId="51E53A2E" w14:textId="6172DB56" w:rsidR="00343D0F" w:rsidRPr="005D7D9F" w:rsidRDefault="00343D0F" w:rsidP="00C07D0F">
      <w:pPr>
        <w:spacing w:line="480" w:lineRule="auto"/>
        <w:rPr>
          <w:color w:val="000000" w:themeColor="text1"/>
          <w:lang w:eastAsia="en-US"/>
        </w:rPr>
      </w:pPr>
      <w:r w:rsidRPr="005D7D9F">
        <w:rPr>
          <w:color w:val="000000" w:themeColor="text1"/>
          <w:highlight w:val="white"/>
          <w:lang w:eastAsia="en-US"/>
        </w:rPr>
        <w:t>Principally, they</w:t>
      </w:r>
      <w:r>
        <w:rPr>
          <w:color w:val="000000" w:themeColor="text1"/>
          <w:highlight w:val="white"/>
          <w:lang w:eastAsia="en-US"/>
        </w:rPr>
        <w:t xml:space="preserve"> have been (and</w:t>
      </w:r>
      <w:r w:rsidRPr="005D7D9F">
        <w:rPr>
          <w:color w:val="000000" w:themeColor="text1"/>
          <w:highlight w:val="white"/>
          <w:lang w:eastAsia="en-US"/>
        </w:rPr>
        <w:t xml:space="preserve"> </w:t>
      </w:r>
      <w:r>
        <w:rPr>
          <w:color w:val="000000" w:themeColor="text1"/>
          <w:highlight w:val="white"/>
          <w:lang w:eastAsia="en-US"/>
        </w:rPr>
        <w:t>continue to be)</w:t>
      </w:r>
      <w:r w:rsidRPr="005D7D9F">
        <w:rPr>
          <w:color w:val="000000" w:themeColor="text1"/>
          <w:highlight w:val="white"/>
          <w:lang w:eastAsia="en-US"/>
        </w:rPr>
        <w:t xml:space="preserve"> produced by agents of power within systems of social control and risk management which prioritise the interests and perspectives of parents, practitioners, state agencies, the police, and politicians (</w:t>
      </w:r>
      <w:r>
        <w:rPr>
          <w:color w:val="000000" w:themeColor="text1"/>
          <w:highlight w:val="white"/>
          <w:lang w:eastAsia="en-US"/>
        </w:rPr>
        <w:t xml:space="preserve">all of </w:t>
      </w:r>
      <w:r w:rsidRPr="005D7D9F">
        <w:rPr>
          <w:color w:val="000000" w:themeColor="text1"/>
          <w:highlight w:val="white"/>
          <w:lang w:eastAsia="en-US"/>
        </w:rPr>
        <w:t>who</w:t>
      </w:r>
      <w:r>
        <w:rPr>
          <w:color w:val="000000" w:themeColor="text1"/>
          <w:highlight w:val="white"/>
          <w:lang w:eastAsia="en-US"/>
        </w:rPr>
        <w:t>m</w:t>
      </w:r>
      <w:r w:rsidRPr="005D7D9F">
        <w:rPr>
          <w:color w:val="000000" w:themeColor="text1"/>
          <w:highlight w:val="white"/>
          <w:lang w:eastAsia="en-US"/>
        </w:rPr>
        <w:t xml:space="preserve"> might also be perpetrators).</w:t>
      </w:r>
      <w:r w:rsidRPr="005D7D9F">
        <w:rPr>
          <w:rStyle w:val="EndnoteReference"/>
          <w:color w:val="000000" w:themeColor="text1"/>
          <w:highlight w:val="white"/>
          <w:lang w:eastAsia="en-US"/>
        </w:rPr>
        <w:endnoteReference w:id="17"/>
      </w:r>
      <w:r w:rsidRPr="005D7D9F">
        <w:rPr>
          <w:color w:val="000000" w:themeColor="text1"/>
          <w:highlight w:val="white"/>
          <w:lang w:eastAsia="en-US"/>
        </w:rPr>
        <w:t xml:space="preserve"> These institutions and officials have exercised editorial control of the archive, </w:t>
      </w:r>
      <w:r w:rsidRPr="005D7D9F">
        <w:rPr>
          <w:color w:val="000000" w:themeColor="text1"/>
          <w:highlight w:val="white"/>
          <w:lang w:eastAsia="en-US"/>
        </w:rPr>
        <w:lastRenderedPageBreak/>
        <w:t xml:space="preserve">at points of creation and subsequent preservation, meaning that we are </w:t>
      </w:r>
      <w:r w:rsidR="00E26493">
        <w:rPr>
          <w:color w:val="000000" w:themeColor="text1"/>
          <w:highlight w:val="white"/>
          <w:lang w:eastAsia="en-US"/>
        </w:rPr>
        <w:t xml:space="preserve">only </w:t>
      </w:r>
      <w:r w:rsidRPr="005D7D9F">
        <w:rPr>
          <w:color w:val="000000" w:themeColor="text1"/>
          <w:highlight w:val="white"/>
          <w:lang w:eastAsia="en-US"/>
        </w:rPr>
        <w:t>able to recover</w:t>
      </w:r>
      <w:r w:rsidR="00E26493">
        <w:rPr>
          <w:color w:val="000000" w:themeColor="text1"/>
          <w:highlight w:val="white"/>
          <w:lang w:eastAsia="en-US"/>
        </w:rPr>
        <w:t xml:space="preserve"> </w:t>
      </w:r>
      <w:r w:rsidRPr="005D7D9F">
        <w:rPr>
          <w:color w:val="000000" w:themeColor="text1"/>
          <w:highlight w:val="white"/>
          <w:lang w:eastAsia="en-US"/>
        </w:rPr>
        <w:t>what has been deemed acceptable and necessary to know</w:t>
      </w:r>
      <w:r>
        <w:rPr>
          <w:color w:val="000000" w:themeColor="text1"/>
          <w:highlight w:val="white"/>
          <w:lang w:eastAsia="en-US"/>
        </w:rPr>
        <w:t>,</w:t>
      </w:r>
      <w:r w:rsidRPr="005D7D9F">
        <w:rPr>
          <w:color w:val="000000" w:themeColor="text1"/>
          <w:highlight w:val="white"/>
          <w:lang w:eastAsia="en-US"/>
        </w:rPr>
        <w:t xml:space="preserve"> presented in forms and formats </w:t>
      </w:r>
      <w:r>
        <w:rPr>
          <w:color w:val="000000" w:themeColor="text1"/>
          <w:highlight w:val="white"/>
          <w:lang w:eastAsia="en-US"/>
        </w:rPr>
        <w:t xml:space="preserve">that are </w:t>
      </w:r>
      <w:r w:rsidRPr="005D7D9F">
        <w:rPr>
          <w:color w:val="000000" w:themeColor="text1"/>
          <w:highlight w:val="white"/>
          <w:lang w:eastAsia="en-US"/>
        </w:rPr>
        <w:t>rhetorically ‘legible</w:t>
      </w:r>
      <w:r>
        <w:rPr>
          <w:color w:val="000000" w:themeColor="text1"/>
          <w:highlight w:val="white"/>
          <w:lang w:eastAsia="en-US"/>
        </w:rPr>
        <w:t>.</w:t>
      </w:r>
      <w:r w:rsidRPr="005D7D9F">
        <w:rPr>
          <w:color w:val="000000" w:themeColor="text1"/>
          <w:highlight w:val="white"/>
          <w:lang w:eastAsia="en-US"/>
        </w:rPr>
        <w:t>’</w:t>
      </w:r>
      <w:r w:rsidRPr="005D7D9F">
        <w:rPr>
          <w:color w:val="000000" w:themeColor="text1"/>
          <w:lang w:eastAsia="en-US"/>
        </w:rPr>
        <w:t xml:space="preserve"> </w:t>
      </w:r>
      <w:r w:rsidRPr="005D7D9F">
        <w:rPr>
          <w:color w:val="000000" w:themeColor="text1"/>
          <w:highlight w:val="white"/>
          <w:lang w:eastAsia="en-US"/>
        </w:rPr>
        <w:t>Given the persistent (and ongoing) failure of authoritative adults to listen to and take seriously disclosures of child sexual abuse, this inevitably produces a deficient archive. Even if a disclosure of sexual abuse was captured and investigated, the resulting record is unlikely to reflect the trauma and emotional and embodied experiences of the survivor. This can be seen in the profound disconnect between the archives submitted as evidence to the Independent Inquiry into Child Sexual Abuse (2015-2022)</w:t>
      </w:r>
      <w:r>
        <w:rPr>
          <w:color w:val="000000" w:themeColor="text1"/>
          <w:highlight w:val="white"/>
          <w:lang w:eastAsia="en-US"/>
        </w:rPr>
        <w:t xml:space="preserve"> and </w:t>
      </w:r>
      <w:r w:rsidRPr="005D7D9F">
        <w:rPr>
          <w:color w:val="000000" w:themeColor="text1"/>
          <w:highlight w:val="white"/>
          <w:lang w:eastAsia="en-US"/>
        </w:rPr>
        <w:t>the oral testimonies of victim-survivors given to the accompanying Truth Project</w:t>
      </w:r>
      <w:r>
        <w:rPr>
          <w:color w:val="000000" w:themeColor="text1"/>
          <w:highlight w:val="white"/>
          <w:lang w:eastAsia="en-US"/>
        </w:rPr>
        <w:t>.</w:t>
      </w:r>
      <w:r>
        <w:rPr>
          <w:rStyle w:val="EndnoteReference"/>
          <w:color w:val="000000" w:themeColor="text1"/>
          <w:highlight w:val="white"/>
          <w:lang w:eastAsia="en-US"/>
        </w:rPr>
        <w:endnoteReference w:id="18"/>
      </w:r>
      <w:r>
        <w:rPr>
          <w:color w:val="000000" w:themeColor="text1"/>
          <w:highlight w:val="white"/>
          <w:lang w:eastAsia="en-US"/>
        </w:rPr>
        <w:t xml:space="preserve"> Subsequently, oral testimonies given by survivors during legal or reparative proceedings are too often treated as ephemeral rather than archival. This has been most recently evidenced by</w:t>
      </w:r>
      <w:r w:rsidRPr="005D7D9F">
        <w:rPr>
          <w:color w:val="000000" w:themeColor="text1"/>
          <w:highlight w:val="white"/>
          <w:lang w:eastAsia="en-US"/>
        </w:rPr>
        <w:t xml:space="preserve"> the public outcry at the destruction of survivors’ interviews</w:t>
      </w:r>
      <w:r w:rsidRPr="005D7D9F">
        <w:rPr>
          <w:color w:val="000000" w:themeColor="text1"/>
          <w:lang w:eastAsia="en-US"/>
        </w:rPr>
        <w:t xml:space="preserve"> for the </w:t>
      </w:r>
      <w:r w:rsidR="00151B29">
        <w:rPr>
          <w:color w:val="000000" w:themeColor="text1"/>
          <w:lang w:eastAsia="en-US"/>
        </w:rPr>
        <w:t>Republic of Ireland’s</w:t>
      </w:r>
      <w:r w:rsidRPr="005D7D9F">
        <w:rPr>
          <w:color w:val="000000" w:themeColor="text1"/>
          <w:lang w:eastAsia="en-US"/>
        </w:rPr>
        <w:t xml:space="preserve"> Mother and Baby Home Commission once their purpose as a</w:t>
      </w:r>
      <w:r w:rsidR="00E26493">
        <w:rPr>
          <w:color w:val="000000" w:themeColor="text1"/>
          <w:lang w:eastAsia="en-US"/>
        </w:rPr>
        <w:t xml:space="preserve"> legal</w:t>
      </w:r>
      <w:r w:rsidRPr="005D7D9F">
        <w:rPr>
          <w:color w:val="000000" w:themeColor="text1"/>
          <w:lang w:eastAsia="en-US"/>
        </w:rPr>
        <w:t xml:space="preserve"> </w:t>
      </w:r>
      <w:r w:rsidR="00E26493">
        <w:rPr>
          <w:color w:val="000000" w:themeColor="text1"/>
          <w:lang w:eastAsia="en-US"/>
        </w:rPr>
        <w:t xml:space="preserve">document and </w:t>
      </w:r>
      <w:r w:rsidRPr="005D7D9F">
        <w:rPr>
          <w:color w:val="000000" w:themeColor="text1"/>
          <w:lang w:eastAsia="en-US"/>
        </w:rPr>
        <w:t>aide memoir for official reports was fulfilled.</w:t>
      </w:r>
      <w:r w:rsidRPr="005D7D9F">
        <w:rPr>
          <w:rStyle w:val="EndnoteReference"/>
          <w:color w:val="000000" w:themeColor="text1"/>
          <w:lang w:eastAsia="en-US"/>
        </w:rPr>
        <w:endnoteReference w:id="19"/>
      </w:r>
      <w:r>
        <w:rPr>
          <w:color w:val="000000" w:themeColor="text1"/>
          <w:lang w:eastAsia="en-US"/>
        </w:rPr>
        <w:t xml:space="preserve"> </w:t>
      </w:r>
    </w:p>
    <w:p w14:paraId="61F5D63E" w14:textId="77777777" w:rsidR="00343D0F" w:rsidRPr="00093134" w:rsidRDefault="00343D0F" w:rsidP="00C07D0F">
      <w:pPr>
        <w:spacing w:line="480" w:lineRule="auto"/>
        <w:rPr>
          <w:color w:val="EE0000"/>
          <w:highlight w:val="white"/>
          <w:lang w:eastAsia="en-US"/>
        </w:rPr>
      </w:pPr>
    </w:p>
    <w:p w14:paraId="2F28F911" w14:textId="555A997E" w:rsidR="00343D0F" w:rsidRDefault="00343D0F" w:rsidP="00C07D0F">
      <w:pPr>
        <w:spacing w:line="480" w:lineRule="auto"/>
        <w:rPr>
          <w:highlight w:val="white"/>
          <w:lang w:eastAsia="en-US"/>
        </w:rPr>
      </w:pPr>
      <w:r>
        <w:rPr>
          <w:highlight w:val="white"/>
          <w:lang w:eastAsia="en-US"/>
        </w:rPr>
        <w:t xml:space="preserve">Further, where archives of CSA do exist, their personal and sensitive nature means that access to them is strictly limited under data protection legislation. While confidentiality is essential in such cases, total closure means that our understanding of the harms of CSA over the last 100 </w:t>
      </w:r>
      <w:r w:rsidRPr="005D7D9F">
        <w:rPr>
          <w:color w:val="000000" w:themeColor="text1"/>
          <w:highlight w:val="white"/>
          <w:lang w:eastAsia="en-US"/>
        </w:rPr>
        <w:t xml:space="preserve">years can only be informed by </w:t>
      </w:r>
      <w:r w:rsidR="00E26493">
        <w:rPr>
          <w:color w:val="000000" w:themeColor="text1"/>
          <w:highlight w:val="white"/>
          <w:lang w:eastAsia="en-US"/>
        </w:rPr>
        <w:t xml:space="preserve">the </w:t>
      </w:r>
      <w:r w:rsidRPr="005D7D9F">
        <w:rPr>
          <w:color w:val="000000" w:themeColor="text1"/>
          <w:highlight w:val="white"/>
          <w:lang w:eastAsia="en-US"/>
        </w:rPr>
        <w:t xml:space="preserve">reports and outcomes of official Inquiries in highly litigious and juridical settings. However, the evidence upon which these publications draw </w:t>
      </w:r>
      <w:r>
        <w:rPr>
          <w:highlight w:val="white"/>
          <w:lang w:eastAsia="en-US"/>
        </w:rPr>
        <w:t>cannot be verified or scrutinised. Although survivors have the right to view records about their own experiences, the barriers to doing so are very high. The difficulties in identifying and accessing social care records (which have been widely researched in Australia, the UK and in other parts of Europe) are shared.</w:t>
      </w:r>
      <w:r>
        <w:rPr>
          <w:rStyle w:val="EndnoteReference"/>
          <w:highlight w:val="white"/>
          <w:lang w:eastAsia="en-US"/>
        </w:rPr>
        <w:endnoteReference w:id="20"/>
      </w:r>
      <w:r>
        <w:rPr>
          <w:highlight w:val="white"/>
          <w:lang w:eastAsia="en-US"/>
        </w:rPr>
        <w:t xml:space="preserve"> Indeed, they frequently overlap, as children may have been abused in out-of-home care or taken into care because of abuse. </w:t>
      </w:r>
      <w:r>
        <w:rPr>
          <w:highlight w:val="white"/>
          <w:lang w:eastAsia="en-US"/>
        </w:rPr>
        <w:lastRenderedPageBreak/>
        <w:t xml:space="preserve">Survivors must first know that such records exist and where they might be found – a challenge since most are inadequately organised or catalogued. Where records survive and can be navigated, systems and structures must then be in place to provide mediated access to them, which will involve the redaction of critical elements of the record such as the names of witnesses, practitioners, and even perpetrators. The experience of viewing such records is likely to be both upsetting and discordant with a survivor’s own memory. </w:t>
      </w:r>
    </w:p>
    <w:p w14:paraId="51E7D445" w14:textId="77777777" w:rsidR="00343D0F" w:rsidRDefault="00343D0F" w:rsidP="00C07D0F">
      <w:pPr>
        <w:spacing w:line="480" w:lineRule="auto"/>
        <w:rPr>
          <w:highlight w:val="white"/>
          <w:lang w:eastAsia="en-US"/>
        </w:rPr>
      </w:pPr>
    </w:p>
    <w:p w14:paraId="45C745C4" w14:textId="0FBF4D9E" w:rsidR="00343D0F" w:rsidRDefault="00343D0F" w:rsidP="00C07D0F">
      <w:pPr>
        <w:spacing w:line="480" w:lineRule="auto"/>
        <w:rPr>
          <w:highlight w:val="white"/>
          <w:lang w:eastAsia="en-US"/>
        </w:rPr>
      </w:pPr>
      <w:r>
        <w:rPr>
          <w:color w:val="000000" w:themeColor="text1"/>
          <w:lang w:eastAsia="en-US"/>
        </w:rPr>
        <w:t xml:space="preserve">Consequently, there is a significant balance of ‘archival debt’ in relation to child sexual abuse. </w:t>
      </w:r>
      <w:r w:rsidR="0082700C">
        <w:rPr>
          <w:color w:val="000000" w:themeColor="text1"/>
          <w:lang w:eastAsia="en-US"/>
        </w:rPr>
        <w:t xml:space="preserve">Such </w:t>
      </w:r>
      <w:r w:rsidR="001F4C30">
        <w:rPr>
          <w:color w:val="000000" w:themeColor="text1"/>
          <w:lang w:eastAsia="en-US"/>
        </w:rPr>
        <w:t>debt accrues where ‘</w:t>
      </w:r>
      <w:r w:rsidR="0082700C" w:rsidRPr="0082700C">
        <w:rPr>
          <w:color w:val="000000" w:themeColor="text1"/>
          <w:lang w:eastAsia="en-US"/>
        </w:rPr>
        <w:t>records and people</w:t>
      </w:r>
      <w:r w:rsidR="001F4C30">
        <w:rPr>
          <w:color w:val="000000" w:themeColor="text1"/>
          <w:lang w:eastAsia="en-US"/>
        </w:rPr>
        <w:t>…</w:t>
      </w:r>
      <w:r w:rsidR="0082700C" w:rsidRPr="0082700C">
        <w:rPr>
          <w:color w:val="000000" w:themeColor="text1"/>
          <w:lang w:eastAsia="en-US"/>
        </w:rPr>
        <w:t>have received less attention and care than they are due</w:t>
      </w:r>
      <w:r w:rsidR="001F4C30">
        <w:rPr>
          <w:color w:val="000000" w:themeColor="text1"/>
          <w:lang w:eastAsia="en-US"/>
        </w:rPr>
        <w:t>.</w:t>
      </w:r>
      <w:r w:rsidR="00331AE8">
        <w:rPr>
          <w:color w:val="000000" w:themeColor="text1"/>
          <w:lang w:eastAsia="en-US"/>
        </w:rPr>
        <w:t>’</w:t>
      </w:r>
      <w:r w:rsidR="00331AE8">
        <w:rPr>
          <w:rStyle w:val="EndnoteReference"/>
          <w:color w:val="000000" w:themeColor="text1"/>
          <w:lang w:eastAsia="en-US"/>
        </w:rPr>
        <w:endnoteReference w:id="21"/>
      </w:r>
      <w:r w:rsidR="0082700C">
        <w:rPr>
          <w:color w:val="000000" w:themeColor="text1"/>
          <w:lang w:eastAsia="en-US"/>
        </w:rPr>
        <w:t xml:space="preserve"> </w:t>
      </w:r>
      <w:r>
        <w:rPr>
          <w:color w:val="000000" w:themeColor="text1"/>
          <w:lang w:eastAsia="en-US"/>
        </w:rPr>
        <w:t xml:space="preserve">As Cuellar et al. have described, this debt </w:t>
      </w:r>
      <w:r w:rsidR="001F4C30">
        <w:rPr>
          <w:color w:val="000000" w:themeColor="text1"/>
          <w:lang w:eastAsia="en-US"/>
        </w:rPr>
        <w:t xml:space="preserve">often </w:t>
      </w:r>
      <w:r w:rsidR="00331AE8">
        <w:rPr>
          <w:color w:val="000000" w:themeColor="text1"/>
          <w:lang w:eastAsia="en-US"/>
        </w:rPr>
        <w:t xml:space="preserve">originates </w:t>
      </w:r>
      <w:r>
        <w:rPr>
          <w:color w:val="000000" w:themeColor="text1"/>
          <w:lang w:eastAsia="en-US"/>
        </w:rPr>
        <w:t>from ‘the hallmarks of patriarchal white supremacist culture, like power hoarding, objectivity, individualism, and defensiveness.’</w:t>
      </w:r>
      <w:r>
        <w:rPr>
          <w:rStyle w:val="EndnoteReference"/>
          <w:color w:val="000000" w:themeColor="text1"/>
          <w:lang w:eastAsia="en-US"/>
        </w:rPr>
        <w:endnoteReference w:id="22"/>
      </w:r>
      <w:r>
        <w:rPr>
          <w:color w:val="000000" w:themeColor="text1"/>
          <w:lang w:eastAsia="en-US"/>
        </w:rPr>
        <w:t xml:space="preserve"> </w:t>
      </w:r>
      <w:r>
        <w:rPr>
          <w:highlight w:val="white"/>
          <w:lang w:eastAsia="en-US"/>
        </w:rPr>
        <w:t>During participatory research workshops with survivors and their allies</w:t>
      </w:r>
      <w:r w:rsidR="002D4663">
        <w:rPr>
          <w:highlight w:val="white"/>
          <w:lang w:eastAsia="en-US"/>
        </w:rPr>
        <w:t xml:space="preserve"> conducted by both Victoria and Alana during previous projects</w:t>
      </w:r>
      <w:r>
        <w:rPr>
          <w:highlight w:val="white"/>
          <w:lang w:eastAsia="en-US"/>
        </w:rPr>
        <w:t xml:space="preserve">, archives and archival processes were repeatedly raised as a concern across multiple dimensions. The value and necessity of archives for self-narrative, for memory work, and for empowered embodiment were emphasised (Figure 1). At the same time, the barriers, negative affordances, and the violence of the archive as it is currently conceived and circumscribed were foregrounded (Figure 2). Survivor participants highlighted the lack of child-created records, as well as the impediments they faced from data protection and recordkeeping bureaucracies. The vital work that must be done by archivists and recordkeepers to make recompense for the archival debt within their institutional archives was noted. However, discussions coalesced around the need for, and possibility of, survivor-centred counter-archives – trauma-informed repositories of survivors’ voices, where experiences, feelings, expressive materiality, and memories might be preserved on their own terms. Such archives </w:t>
      </w:r>
      <w:r>
        <w:rPr>
          <w:highlight w:val="white"/>
          <w:lang w:eastAsia="en-US"/>
        </w:rPr>
        <w:lastRenderedPageBreak/>
        <w:t xml:space="preserve">would not address archival debt through ‘repayment’ strategies but would generate new assets.  </w:t>
      </w:r>
    </w:p>
    <w:p w14:paraId="35B101C1" w14:textId="77777777" w:rsidR="00343D0F" w:rsidRDefault="00343D0F" w:rsidP="00C07D0F">
      <w:pPr>
        <w:spacing w:line="480" w:lineRule="auto"/>
        <w:rPr>
          <w:highlight w:val="white"/>
          <w:lang w:eastAsia="en-US"/>
        </w:rPr>
      </w:pPr>
      <w:r>
        <w:rPr>
          <w:noProof/>
          <w:color w:val="222222"/>
          <w:lang w:val="en-US"/>
        </w:rPr>
        <w:drawing>
          <wp:inline distT="0" distB="0" distL="0" distR="0" wp14:anchorId="63796DEA" wp14:editId="005BE6A6">
            <wp:extent cx="5731510" cy="4498975"/>
            <wp:effectExtent l="0" t="0" r="2540" b="0"/>
            <wp:docPr id="1666706905" name="Picture 1" descr="A poster of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706905" name="Picture 1" descr="A poster of a group of peopl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498975"/>
                    </a:xfrm>
                    <a:prstGeom prst="rect">
                      <a:avLst/>
                    </a:prstGeom>
                  </pic:spPr>
                </pic:pic>
              </a:graphicData>
            </a:graphic>
          </wp:inline>
        </w:drawing>
      </w:r>
      <w:r>
        <w:rPr>
          <w:highlight w:val="white"/>
          <w:lang w:eastAsia="en-US"/>
        </w:rPr>
        <w:t xml:space="preserve"> </w:t>
      </w:r>
    </w:p>
    <w:p w14:paraId="0268C8C9" w14:textId="0AD3F39D" w:rsidR="00BB6C1A" w:rsidRPr="0028282C" w:rsidRDefault="00BB6C1A" w:rsidP="00C07D0F">
      <w:pPr>
        <w:spacing w:line="480" w:lineRule="auto"/>
        <w:rPr>
          <w:b/>
          <w:bCs/>
          <w:color w:val="EE0000"/>
          <w:highlight w:val="white"/>
          <w:lang w:eastAsia="en-US"/>
        </w:rPr>
      </w:pPr>
      <w:r w:rsidRPr="0028282C">
        <w:rPr>
          <w:b/>
          <w:bCs/>
          <w:color w:val="EE0000"/>
          <w:highlight w:val="white"/>
          <w:lang w:eastAsia="en-US"/>
        </w:rPr>
        <w:t>[INSERT FIGURE 1]</w:t>
      </w:r>
    </w:p>
    <w:p w14:paraId="629D2220" w14:textId="61AE9A78" w:rsidR="00343D0F" w:rsidRPr="00064DAE" w:rsidRDefault="00343D0F" w:rsidP="00C07D0F">
      <w:pPr>
        <w:spacing w:line="480" w:lineRule="auto"/>
        <w:rPr>
          <w:color w:val="000000" w:themeColor="text1"/>
          <w:highlight w:val="white"/>
          <w:lang w:eastAsia="en-US"/>
        </w:rPr>
      </w:pPr>
      <w:r w:rsidRPr="00064DAE">
        <w:rPr>
          <w:color w:val="000000" w:themeColor="text1"/>
          <w:highlight w:val="white"/>
          <w:lang w:eastAsia="en-US"/>
        </w:rPr>
        <w:t xml:space="preserve">Figure 1: Visual note from ‘(Re)sounding Silence: </w:t>
      </w:r>
      <w:r>
        <w:rPr>
          <w:color w:val="000000" w:themeColor="text1"/>
          <w:highlight w:val="white"/>
          <w:lang w:eastAsia="en-US"/>
        </w:rPr>
        <w:t>A</w:t>
      </w:r>
      <w:r w:rsidRPr="00064DAE">
        <w:rPr>
          <w:color w:val="000000" w:themeColor="text1"/>
          <w:highlight w:val="white"/>
          <w:lang w:eastAsia="en-US"/>
        </w:rPr>
        <w:t xml:space="preserve">ctive </w:t>
      </w:r>
      <w:r>
        <w:rPr>
          <w:color w:val="000000" w:themeColor="text1"/>
          <w:highlight w:val="white"/>
          <w:lang w:eastAsia="en-US"/>
        </w:rPr>
        <w:t>L</w:t>
      </w:r>
      <w:r w:rsidRPr="00064DAE">
        <w:rPr>
          <w:color w:val="000000" w:themeColor="text1"/>
          <w:highlight w:val="white"/>
          <w:lang w:eastAsia="en-US"/>
        </w:rPr>
        <w:t xml:space="preserve">istening as </w:t>
      </w:r>
      <w:r>
        <w:rPr>
          <w:color w:val="000000" w:themeColor="text1"/>
          <w:highlight w:val="white"/>
          <w:lang w:eastAsia="en-US"/>
        </w:rPr>
        <w:t>A</w:t>
      </w:r>
      <w:r w:rsidRPr="00064DAE">
        <w:rPr>
          <w:color w:val="000000" w:themeColor="text1"/>
          <w:highlight w:val="white"/>
          <w:lang w:eastAsia="en-US"/>
        </w:rPr>
        <w:t xml:space="preserve">ctivism against </w:t>
      </w:r>
      <w:r>
        <w:rPr>
          <w:color w:val="000000" w:themeColor="text1"/>
          <w:highlight w:val="white"/>
          <w:lang w:eastAsia="en-US"/>
        </w:rPr>
        <w:t>A</w:t>
      </w:r>
      <w:r w:rsidRPr="00064DAE">
        <w:rPr>
          <w:color w:val="000000" w:themeColor="text1"/>
          <w:highlight w:val="white"/>
          <w:lang w:eastAsia="en-US"/>
        </w:rPr>
        <w:t>buse’ workshop, King’s College London, November 2022.</w:t>
      </w:r>
    </w:p>
    <w:p w14:paraId="41331DBC" w14:textId="77777777" w:rsidR="00343D0F" w:rsidRDefault="00343D0F" w:rsidP="00C07D0F">
      <w:pPr>
        <w:spacing w:line="480" w:lineRule="auto"/>
        <w:rPr>
          <w:highlight w:val="white"/>
          <w:lang w:eastAsia="en-US"/>
        </w:rPr>
      </w:pPr>
    </w:p>
    <w:p w14:paraId="610895A7" w14:textId="77777777" w:rsidR="00343D0F" w:rsidRDefault="00343D0F" w:rsidP="00C07D0F">
      <w:pPr>
        <w:spacing w:line="480" w:lineRule="auto"/>
        <w:rPr>
          <w:highlight w:val="white"/>
          <w:lang w:eastAsia="en-US"/>
        </w:rPr>
      </w:pPr>
      <w:r>
        <w:rPr>
          <w:noProof/>
          <w:lang w:eastAsia="en-US"/>
          <w14:ligatures w14:val="standardContextual"/>
        </w:rPr>
        <w:lastRenderedPageBreak/>
        <w:drawing>
          <wp:inline distT="0" distB="0" distL="0" distR="0" wp14:anchorId="2E1AAB3C" wp14:editId="5027E447">
            <wp:extent cx="5731510" cy="3221990"/>
            <wp:effectExtent l="0" t="0" r="2540" b="0"/>
            <wp:docPr id="1817851084" name="Picture 1" descr="A cartoon of a hand reaching out a file cabin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51084" name="Picture 1" descr="A cartoon of a hand reaching out a file cabine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221990"/>
                    </a:xfrm>
                    <a:prstGeom prst="rect">
                      <a:avLst/>
                    </a:prstGeom>
                  </pic:spPr>
                </pic:pic>
              </a:graphicData>
            </a:graphic>
          </wp:inline>
        </w:drawing>
      </w:r>
    </w:p>
    <w:p w14:paraId="2FDEA71F" w14:textId="5EB0144A" w:rsidR="00BB6C1A" w:rsidRPr="007B2A78" w:rsidRDefault="00BB6C1A" w:rsidP="00C07D0F">
      <w:pPr>
        <w:spacing w:line="480" w:lineRule="auto"/>
        <w:rPr>
          <w:b/>
          <w:bCs/>
          <w:color w:val="EE0000"/>
          <w:highlight w:val="white"/>
          <w:lang w:eastAsia="en-US"/>
        </w:rPr>
      </w:pPr>
      <w:r w:rsidRPr="007B2A78">
        <w:rPr>
          <w:b/>
          <w:bCs/>
          <w:color w:val="EE0000"/>
          <w:highlight w:val="white"/>
          <w:lang w:eastAsia="en-US"/>
        </w:rPr>
        <w:t>[INSERT FIGURE 2]</w:t>
      </w:r>
    </w:p>
    <w:p w14:paraId="21621823" w14:textId="78249E6D" w:rsidR="00343D0F" w:rsidRDefault="00343D0F" w:rsidP="00C07D0F">
      <w:pPr>
        <w:spacing w:line="480" w:lineRule="auto"/>
        <w:rPr>
          <w:highlight w:val="white"/>
          <w:lang w:eastAsia="en-US"/>
        </w:rPr>
      </w:pPr>
      <w:r>
        <w:rPr>
          <w:highlight w:val="white"/>
          <w:lang w:eastAsia="en-US"/>
        </w:rPr>
        <w:t xml:space="preserve">Figure 2: Visual note from ‘Remembering Together: Histories of Child Sexual Abuse’ workshop, Birkbeck, University of London, December 2022. </w:t>
      </w:r>
    </w:p>
    <w:p w14:paraId="4B44C2D7" w14:textId="77777777" w:rsidR="00343D0F" w:rsidRDefault="00343D0F" w:rsidP="00C07D0F">
      <w:pPr>
        <w:spacing w:line="480" w:lineRule="auto"/>
        <w:rPr>
          <w:highlight w:val="white"/>
          <w:lang w:eastAsia="en-US"/>
        </w:rPr>
      </w:pPr>
    </w:p>
    <w:p w14:paraId="27F3A0ED" w14:textId="39116DE1" w:rsidR="00343D0F" w:rsidRDefault="00343D0F" w:rsidP="00C07D0F">
      <w:pPr>
        <w:spacing w:line="480" w:lineRule="auto"/>
        <w:rPr>
          <w:color w:val="000000" w:themeColor="text1"/>
          <w:highlight w:val="white"/>
          <w:lang w:eastAsia="en-US"/>
        </w:rPr>
      </w:pPr>
      <w:r>
        <w:rPr>
          <w:color w:val="000000" w:themeColor="text1"/>
          <w:highlight w:val="white"/>
          <w:lang w:eastAsia="en-US"/>
        </w:rPr>
        <w:t>T</w:t>
      </w:r>
      <w:r w:rsidRPr="00064DAE">
        <w:rPr>
          <w:color w:val="000000" w:themeColor="text1"/>
          <w:highlight w:val="white"/>
          <w:lang w:eastAsia="en-US"/>
        </w:rPr>
        <w:t>he creation and preservation of survivor-centred archives raise multiple and challenging questions. What trauma-informed frameworks are needed to integrate survivors’ diverse experiences, interests, and needs</w:t>
      </w:r>
      <w:r>
        <w:rPr>
          <w:color w:val="000000" w:themeColor="text1"/>
          <w:highlight w:val="white"/>
          <w:lang w:eastAsia="en-US"/>
        </w:rPr>
        <w:t>, to avoid reproducing archival inequities</w:t>
      </w:r>
      <w:r w:rsidRPr="00064DAE">
        <w:rPr>
          <w:color w:val="000000" w:themeColor="text1"/>
          <w:highlight w:val="white"/>
          <w:lang w:eastAsia="en-US"/>
        </w:rPr>
        <w:t xml:space="preserve">? Survivors are not homogenous in any dimension of identity; they are diverse in age, gender, sexuality, race, ethnicity, ability, belief, and opinion. They are at different stages of understanding and recovery from their experiences of abuse, which impact them </w:t>
      </w:r>
      <w:r>
        <w:rPr>
          <w:color w:val="000000" w:themeColor="text1"/>
          <w:highlight w:val="white"/>
          <w:lang w:eastAsia="en-US"/>
        </w:rPr>
        <w:t xml:space="preserve">variously </w:t>
      </w:r>
      <w:r w:rsidRPr="00064DAE">
        <w:rPr>
          <w:color w:val="000000" w:themeColor="text1"/>
          <w:highlight w:val="white"/>
          <w:lang w:eastAsia="en-US"/>
        </w:rPr>
        <w:t>over time.</w:t>
      </w:r>
      <w:r w:rsidRPr="00064DAE">
        <w:rPr>
          <w:rStyle w:val="EndnoteReference"/>
          <w:color w:val="000000" w:themeColor="text1"/>
          <w:highlight w:val="white"/>
          <w:lang w:eastAsia="en-US"/>
        </w:rPr>
        <w:endnoteReference w:id="23"/>
      </w:r>
      <w:r w:rsidRPr="00064DAE">
        <w:rPr>
          <w:color w:val="000000" w:themeColor="text1"/>
          <w:highlight w:val="white"/>
          <w:lang w:eastAsia="en-US"/>
        </w:rPr>
        <w:t xml:space="preserve"> Over half of survivors of sexual abuse have also experienced other forms of childhood abuse, such as physical or emotional abuse, or witnessing adult violence in the home.</w:t>
      </w:r>
      <w:r w:rsidRPr="00064DAE">
        <w:rPr>
          <w:rStyle w:val="EndnoteReference"/>
          <w:color w:val="000000" w:themeColor="text1"/>
          <w:highlight w:val="white"/>
          <w:lang w:eastAsia="en-US"/>
        </w:rPr>
        <w:endnoteReference w:id="24"/>
      </w:r>
      <w:r w:rsidRPr="00064DAE">
        <w:rPr>
          <w:color w:val="000000" w:themeColor="text1"/>
          <w:highlight w:val="white"/>
          <w:lang w:eastAsia="en-US"/>
        </w:rPr>
        <w:t xml:space="preserve"> Research shows that as a result, mental health and wellbeing may be effected, leading to PTSD and CPTSD, depression and anxiety conditions, eating disorders, and dissociative behaviours.</w:t>
      </w:r>
      <w:r w:rsidRPr="00064DAE">
        <w:rPr>
          <w:rStyle w:val="EndnoteReference"/>
          <w:color w:val="000000" w:themeColor="text1"/>
          <w:highlight w:val="white"/>
          <w:lang w:eastAsia="en-US"/>
        </w:rPr>
        <w:endnoteReference w:id="25"/>
      </w:r>
      <w:r w:rsidRPr="00064DAE">
        <w:rPr>
          <w:color w:val="000000" w:themeColor="text1"/>
          <w:highlight w:val="white"/>
          <w:lang w:eastAsia="en-US"/>
        </w:rPr>
        <w:t xml:space="preserve"> While some survivors have developed mechanisms of resilience and integrated their experiences, </w:t>
      </w:r>
      <w:r w:rsidRPr="00064DAE">
        <w:rPr>
          <w:color w:val="000000" w:themeColor="text1"/>
          <w:highlight w:val="white"/>
          <w:lang w:eastAsia="en-US"/>
        </w:rPr>
        <w:lastRenderedPageBreak/>
        <w:t>others may be emotionally and psychologically vulnerable. Re-traumati</w:t>
      </w:r>
      <w:r w:rsidR="00A12784">
        <w:rPr>
          <w:color w:val="000000" w:themeColor="text1"/>
          <w:highlight w:val="white"/>
          <w:lang w:eastAsia="en-US"/>
        </w:rPr>
        <w:t>z</w:t>
      </w:r>
      <w:r w:rsidRPr="00064DAE">
        <w:rPr>
          <w:color w:val="000000" w:themeColor="text1"/>
          <w:highlight w:val="white"/>
          <w:lang w:eastAsia="en-US"/>
        </w:rPr>
        <w:t xml:space="preserve">ation may occur when memories are revisited. </w:t>
      </w:r>
    </w:p>
    <w:p w14:paraId="48717060" w14:textId="77777777" w:rsidR="00343D0F" w:rsidRDefault="00343D0F" w:rsidP="00C07D0F">
      <w:pPr>
        <w:spacing w:line="480" w:lineRule="auto"/>
        <w:rPr>
          <w:color w:val="000000" w:themeColor="text1"/>
          <w:highlight w:val="white"/>
          <w:lang w:eastAsia="en-US"/>
        </w:rPr>
      </w:pPr>
    </w:p>
    <w:p w14:paraId="42F0E944" w14:textId="05F2A31E" w:rsidR="00343D0F" w:rsidRPr="00064DAE" w:rsidRDefault="00343D0F" w:rsidP="00C07D0F">
      <w:pPr>
        <w:spacing w:line="480" w:lineRule="auto"/>
        <w:rPr>
          <w:color w:val="000000" w:themeColor="text1"/>
          <w:highlight w:val="white"/>
          <w:lang w:eastAsia="en-US"/>
        </w:rPr>
      </w:pPr>
      <w:r w:rsidRPr="00064DAE">
        <w:rPr>
          <w:color w:val="000000" w:themeColor="text1"/>
          <w:highlight w:val="white"/>
          <w:lang w:eastAsia="en-US"/>
        </w:rPr>
        <w:t>How might understanding this intersectionality of CSA experience lead to a more inclusive, authentic, sensitive archive? There may be instances where inclusivity is tested, as when survivors share beliefs or opinions which are antithetical or offensive to those of others. Public discourse around child sexual abuse in the UK is frequently aligned with prejudicial narratives around race, religion, and gender identity. Conspiracy theories about sexual violence against children have also gained ground in recent years, associated with other social issues such as immigration and multi-culturalism and frequently make recourse to the trope of the ‘monstrous other</w:t>
      </w:r>
      <w:r>
        <w:rPr>
          <w:color w:val="000000" w:themeColor="text1"/>
          <w:highlight w:val="white"/>
          <w:lang w:eastAsia="en-US"/>
        </w:rPr>
        <w:t>.</w:t>
      </w:r>
      <w:r w:rsidRPr="00064DAE">
        <w:rPr>
          <w:color w:val="000000" w:themeColor="text1"/>
          <w:highlight w:val="white"/>
          <w:lang w:eastAsia="en-US"/>
        </w:rPr>
        <w:t>’</w:t>
      </w:r>
      <w:r w:rsidRPr="00064DAE">
        <w:rPr>
          <w:rStyle w:val="EndnoteReference"/>
          <w:color w:val="000000" w:themeColor="text1"/>
          <w:highlight w:val="white"/>
          <w:lang w:eastAsia="en-US"/>
        </w:rPr>
        <w:endnoteReference w:id="26"/>
      </w:r>
      <w:r w:rsidRPr="00064DAE">
        <w:rPr>
          <w:color w:val="000000" w:themeColor="text1"/>
          <w:highlight w:val="white"/>
          <w:lang w:eastAsia="en-US"/>
        </w:rPr>
        <w:t xml:space="preserve"> How does a trauma-informed approach respond to these sense-making </w:t>
      </w:r>
      <w:r w:rsidR="00071053" w:rsidRPr="00064DAE">
        <w:rPr>
          <w:color w:val="000000" w:themeColor="text1"/>
          <w:highlight w:val="white"/>
          <w:lang w:eastAsia="en-US"/>
        </w:rPr>
        <w:t>st</w:t>
      </w:r>
      <w:r w:rsidR="00071053">
        <w:rPr>
          <w:color w:val="000000" w:themeColor="text1"/>
          <w:highlight w:val="white"/>
          <w:lang w:eastAsia="en-US"/>
        </w:rPr>
        <w:t>rategies</w:t>
      </w:r>
      <w:r w:rsidRPr="00064DAE">
        <w:rPr>
          <w:color w:val="000000" w:themeColor="text1"/>
          <w:highlight w:val="white"/>
          <w:lang w:eastAsia="en-US"/>
        </w:rPr>
        <w:t>, which may have meaning to some survivors? Conflicts may arise out of different approaches to action, expression, emotional repertoires, and the ‘right’ way of being a survivor. There may also be legal issues arising from survivor’s memories and testimonies, which can in</w:t>
      </w:r>
      <w:r>
        <w:rPr>
          <w:color w:val="000000" w:themeColor="text1"/>
          <w:highlight w:val="white"/>
          <w:lang w:eastAsia="en-US"/>
        </w:rPr>
        <w:t>tegrate</w:t>
      </w:r>
      <w:r w:rsidRPr="00064DAE">
        <w:rPr>
          <w:color w:val="000000" w:themeColor="text1"/>
          <w:highlight w:val="white"/>
          <w:lang w:eastAsia="en-US"/>
        </w:rPr>
        <w:t xml:space="preserve"> information about other survivors without their knowledge, and about alleged perpetrators who have never been charged. How can such issues of confidentiality, consent, new disclosures, and cultural competence be encoded and sustained</w:t>
      </w:r>
      <w:r w:rsidR="009F0FE7">
        <w:rPr>
          <w:color w:val="000000" w:themeColor="text1"/>
          <w:highlight w:val="white"/>
          <w:lang w:eastAsia="en-US"/>
        </w:rPr>
        <w:t xml:space="preserve">? These questions are heightened </w:t>
      </w:r>
      <w:r w:rsidR="00782B39">
        <w:rPr>
          <w:color w:val="000000" w:themeColor="text1"/>
          <w:highlight w:val="white"/>
          <w:lang w:eastAsia="en-US"/>
        </w:rPr>
        <w:t xml:space="preserve">and compounded </w:t>
      </w:r>
      <w:r w:rsidR="009F0FE7">
        <w:rPr>
          <w:color w:val="000000" w:themeColor="text1"/>
          <w:highlight w:val="white"/>
          <w:lang w:eastAsia="en-US"/>
        </w:rPr>
        <w:t xml:space="preserve">further when we </w:t>
      </w:r>
      <w:proofErr w:type="gramStart"/>
      <w:r w:rsidR="009F0FE7">
        <w:rPr>
          <w:color w:val="000000" w:themeColor="text1"/>
          <w:highlight w:val="white"/>
          <w:lang w:eastAsia="en-US"/>
        </w:rPr>
        <w:t>take into account</w:t>
      </w:r>
      <w:proofErr w:type="gramEnd"/>
      <w:r w:rsidR="009F0FE7">
        <w:rPr>
          <w:color w:val="000000" w:themeColor="text1"/>
          <w:highlight w:val="white"/>
          <w:lang w:eastAsia="en-US"/>
        </w:rPr>
        <w:t xml:space="preserve"> how </w:t>
      </w:r>
      <w:r w:rsidR="00F1245F">
        <w:rPr>
          <w:color w:val="000000" w:themeColor="text1"/>
          <w:highlight w:val="white"/>
          <w:lang w:eastAsia="en-US"/>
        </w:rPr>
        <w:t xml:space="preserve">information spreads via </w:t>
      </w:r>
      <w:r w:rsidR="00CE4DB7">
        <w:rPr>
          <w:color w:val="000000" w:themeColor="text1"/>
          <w:highlight w:val="white"/>
          <w:lang w:eastAsia="en-US"/>
        </w:rPr>
        <w:t>social media and onli</w:t>
      </w:r>
      <w:r w:rsidR="00F1245F">
        <w:rPr>
          <w:color w:val="000000" w:themeColor="text1"/>
          <w:highlight w:val="white"/>
          <w:lang w:eastAsia="en-US"/>
        </w:rPr>
        <w:t>ne worlds.</w:t>
      </w:r>
    </w:p>
    <w:p w14:paraId="2F31C01A" w14:textId="77777777" w:rsidR="00343D0F" w:rsidRDefault="00343D0F" w:rsidP="00C07D0F">
      <w:pPr>
        <w:pStyle w:val="Heading2"/>
        <w:spacing w:line="480" w:lineRule="auto"/>
        <w:rPr>
          <w:highlight w:val="white"/>
        </w:rPr>
      </w:pPr>
      <w:r>
        <w:rPr>
          <w:highlight w:val="white"/>
        </w:rPr>
        <w:t>Methodology</w:t>
      </w:r>
    </w:p>
    <w:p w14:paraId="22A37C97" w14:textId="7C72073F" w:rsidR="00343D0F" w:rsidRPr="00676F0D" w:rsidRDefault="00343D0F" w:rsidP="00C07D0F">
      <w:pPr>
        <w:spacing w:line="480" w:lineRule="auto"/>
        <w:rPr>
          <w:highlight w:val="white"/>
          <w:lang w:eastAsia="en-US"/>
        </w:rPr>
      </w:pPr>
      <w:r>
        <w:rPr>
          <w:highlight w:val="white"/>
          <w:lang w:eastAsia="en-US"/>
        </w:rPr>
        <w:t>We began to consider these questions through two pilot studies intended to generate learnings that could then be deployed to a broader range of survivor-centred archives.</w:t>
      </w:r>
      <w:r w:rsidR="00D72FF2">
        <w:rPr>
          <w:highlight w:val="white"/>
          <w:lang w:eastAsia="en-US"/>
        </w:rPr>
        <w:t xml:space="preserve"> They were initially designed independently, before our current collaboration</w:t>
      </w:r>
      <w:r w:rsidR="00E33940">
        <w:rPr>
          <w:highlight w:val="white"/>
          <w:lang w:eastAsia="en-US"/>
        </w:rPr>
        <w:t xml:space="preserve"> (which began in September 2024)</w:t>
      </w:r>
      <w:r w:rsidR="00D67FC1">
        <w:rPr>
          <w:highlight w:val="white"/>
          <w:lang w:eastAsia="en-US"/>
        </w:rPr>
        <w:t xml:space="preserve">, but were formed around </w:t>
      </w:r>
      <w:r w:rsidR="00782B39">
        <w:rPr>
          <w:highlight w:val="white"/>
          <w:lang w:eastAsia="en-US"/>
        </w:rPr>
        <w:t xml:space="preserve">common </w:t>
      </w:r>
      <w:r w:rsidR="00D67FC1">
        <w:rPr>
          <w:highlight w:val="white"/>
          <w:lang w:eastAsia="en-US"/>
        </w:rPr>
        <w:t>concerns and questions.</w:t>
      </w:r>
      <w:r w:rsidR="00D72FF2">
        <w:rPr>
          <w:highlight w:val="white"/>
          <w:lang w:eastAsia="en-US"/>
        </w:rPr>
        <w:t xml:space="preserve"> </w:t>
      </w:r>
      <w:r>
        <w:rPr>
          <w:highlight w:val="white"/>
          <w:lang w:eastAsia="en-US"/>
        </w:rPr>
        <w:t xml:space="preserve"> Records of survivor-</w:t>
      </w:r>
      <w:r>
        <w:rPr>
          <w:highlight w:val="white"/>
          <w:lang w:eastAsia="en-US"/>
        </w:rPr>
        <w:lastRenderedPageBreak/>
        <w:t>activism were selected as the starting point in our inquir</w:t>
      </w:r>
      <w:r w:rsidR="00655401">
        <w:rPr>
          <w:highlight w:val="white"/>
          <w:lang w:eastAsia="en-US"/>
        </w:rPr>
        <w:t>ies</w:t>
      </w:r>
      <w:r>
        <w:rPr>
          <w:highlight w:val="white"/>
          <w:lang w:eastAsia="en-US"/>
        </w:rPr>
        <w:t xml:space="preserve"> for two primary reasons: urgency and ethics. </w:t>
      </w:r>
      <w:r w:rsidRPr="00C72986">
        <w:rPr>
          <w:highlight w:val="white"/>
          <w:lang w:eastAsia="en-US"/>
        </w:rPr>
        <w:t>Survivors’ campaigning was (and remains) often transient and poorly funded, leaving no major archival deposits</w:t>
      </w:r>
      <w:r>
        <w:rPr>
          <w:highlight w:val="white"/>
          <w:lang w:eastAsia="en-US"/>
        </w:rPr>
        <w:t xml:space="preserve"> in the UK</w:t>
      </w:r>
      <w:r w:rsidRPr="00C72986">
        <w:rPr>
          <w:highlight w:val="white"/>
          <w:lang w:eastAsia="en-US"/>
        </w:rPr>
        <w:t xml:space="preserve"> to date. Ephemeral remains can be found in the archives of larger campaigning and feminist organisations, but no single access point is available. Many records remain in private hands, in sheds</w:t>
      </w:r>
      <w:r>
        <w:rPr>
          <w:highlight w:val="white"/>
          <w:lang w:eastAsia="en-US"/>
        </w:rPr>
        <w:t>,</w:t>
      </w:r>
      <w:r w:rsidRPr="00C72986">
        <w:rPr>
          <w:highlight w:val="white"/>
          <w:lang w:eastAsia="en-US"/>
        </w:rPr>
        <w:t xml:space="preserve"> and on USB sticks. </w:t>
      </w:r>
      <w:r>
        <w:rPr>
          <w:highlight w:val="white"/>
          <w:lang w:eastAsia="en-US"/>
        </w:rPr>
        <w:t>There is risk of irreparable loss a</w:t>
      </w:r>
      <w:r w:rsidRPr="00C72986">
        <w:rPr>
          <w:highlight w:val="white"/>
          <w:lang w:eastAsia="en-US"/>
        </w:rPr>
        <w:t xml:space="preserve">s activists age or pass away. Archives are also routinely destroyed when </w:t>
      </w:r>
      <w:r>
        <w:rPr>
          <w:highlight w:val="white"/>
          <w:lang w:eastAsia="en-US"/>
        </w:rPr>
        <w:t xml:space="preserve">small and grassroots </w:t>
      </w:r>
      <w:r w:rsidRPr="00C72986">
        <w:rPr>
          <w:highlight w:val="white"/>
          <w:lang w:eastAsia="en-US"/>
        </w:rPr>
        <w:t xml:space="preserve">organisations, under increasing </w:t>
      </w:r>
      <w:r>
        <w:rPr>
          <w:highlight w:val="white"/>
          <w:lang w:eastAsia="en-US"/>
        </w:rPr>
        <w:t xml:space="preserve">financial pressure, merge or close. Without these records, the role that survivor-activists played in changing responses to CSA over the last 60 years are obscured. Dominant political and media narratives are perpetuated at the expense of ‘experts </w:t>
      </w:r>
      <w:r w:rsidRPr="00064DAE">
        <w:rPr>
          <w:color w:val="000000" w:themeColor="text1"/>
          <w:highlight w:val="white"/>
          <w:lang w:eastAsia="en-US"/>
        </w:rPr>
        <w:t>by experience’ whose persistent activism has been marginalised and undervalued. At the same time, by virtue of their activities, survivor-activists have already chosen to make their experiences of CSA public and have become, through campaigning, more accustomed to sharing their memories and articulating their feelings in a range of ways. Although this does not protect against re-traumati</w:t>
      </w:r>
      <w:r w:rsidR="00A12784">
        <w:rPr>
          <w:color w:val="000000" w:themeColor="text1"/>
          <w:highlight w:val="white"/>
          <w:lang w:eastAsia="en-US"/>
        </w:rPr>
        <w:t>z</w:t>
      </w:r>
      <w:r w:rsidRPr="00064DAE">
        <w:rPr>
          <w:color w:val="000000" w:themeColor="text1"/>
          <w:highlight w:val="white"/>
          <w:lang w:eastAsia="en-US"/>
        </w:rPr>
        <w:t>ation, and individuals respond differently to an archival project (as demonstrated below), robust resilience mechanisms are already established, consent to certain disclosures has been sustained and tested in the field, and forms of psychological and emotional support are more likely to be in place.</w:t>
      </w:r>
    </w:p>
    <w:p w14:paraId="4D45CB8B" w14:textId="686DD437" w:rsidR="00782B39" w:rsidRDefault="00782B39" w:rsidP="00C07D0F">
      <w:pPr>
        <w:spacing w:line="480" w:lineRule="auto"/>
        <w:rPr>
          <w:highlight w:val="white"/>
          <w:lang w:eastAsia="en-US"/>
        </w:rPr>
      </w:pPr>
    </w:p>
    <w:p w14:paraId="1FBC7E21" w14:textId="7D6CF659" w:rsidR="00343D0F" w:rsidRPr="008174FC" w:rsidRDefault="00F97C52" w:rsidP="00C07D0F">
      <w:pPr>
        <w:spacing w:line="480" w:lineRule="auto"/>
        <w:rPr>
          <w:highlight w:val="white"/>
          <w:lang w:eastAsia="en-US"/>
        </w:rPr>
      </w:pPr>
      <w:r>
        <w:rPr>
          <w:highlight w:val="white"/>
          <w:lang w:eastAsia="en-US"/>
        </w:rPr>
        <w:t xml:space="preserve">Both projects </w:t>
      </w:r>
      <w:r w:rsidR="00967803">
        <w:rPr>
          <w:highlight w:val="white"/>
          <w:lang w:eastAsia="en-US"/>
        </w:rPr>
        <w:t xml:space="preserve">use complimentary but distinctive ethnographic methods. </w:t>
      </w:r>
      <w:r w:rsidR="00891BEA">
        <w:rPr>
          <w:highlight w:val="white"/>
          <w:lang w:eastAsia="en-US"/>
        </w:rPr>
        <w:t xml:space="preserve">Victoria’s </w:t>
      </w:r>
      <w:r w:rsidR="00E90D1E">
        <w:rPr>
          <w:highlight w:val="white"/>
          <w:lang w:eastAsia="en-US"/>
        </w:rPr>
        <w:t>project with the</w:t>
      </w:r>
      <w:r w:rsidR="00891BEA">
        <w:rPr>
          <w:highlight w:val="white"/>
          <w:lang w:eastAsia="en-US"/>
        </w:rPr>
        <w:t xml:space="preserve"> </w:t>
      </w:r>
      <w:proofErr w:type="spellStart"/>
      <w:r w:rsidR="00891BEA">
        <w:rPr>
          <w:highlight w:val="white"/>
          <w:lang w:eastAsia="en-US"/>
        </w:rPr>
        <w:t>Rasjidah</w:t>
      </w:r>
      <w:proofErr w:type="spellEnd"/>
      <w:r w:rsidR="00891BEA">
        <w:rPr>
          <w:highlight w:val="white"/>
          <w:lang w:eastAsia="en-US"/>
        </w:rPr>
        <w:t xml:space="preserve"> St. John </w:t>
      </w:r>
      <w:r w:rsidR="00E90D1E">
        <w:rPr>
          <w:highlight w:val="white"/>
          <w:lang w:eastAsia="en-US"/>
        </w:rPr>
        <w:t xml:space="preserve">takes an </w:t>
      </w:r>
      <w:r w:rsidR="000765E5">
        <w:rPr>
          <w:highlight w:val="white"/>
          <w:lang w:eastAsia="en-US"/>
        </w:rPr>
        <w:t xml:space="preserve">archival </w:t>
      </w:r>
      <w:r w:rsidR="00E90D1E">
        <w:rPr>
          <w:highlight w:val="white"/>
          <w:lang w:eastAsia="en-US"/>
        </w:rPr>
        <w:t xml:space="preserve">ethnographic approach, using the archive as a site of </w:t>
      </w:r>
      <w:r w:rsidR="000765E5">
        <w:rPr>
          <w:highlight w:val="white"/>
          <w:lang w:eastAsia="en-US"/>
        </w:rPr>
        <w:t>investigation</w:t>
      </w:r>
      <w:r w:rsidR="00606123">
        <w:rPr>
          <w:highlight w:val="white"/>
          <w:lang w:eastAsia="en-US"/>
        </w:rPr>
        <w:t xml:space="preserve">. It combines a close reading of the archive as a constructed narrative of </w:t>
      </w:r>
      <w:proofErr w:type="spellStart"/>
      <w:r w:rsidR="00606123">
        <w:rPr>
          <w:highlight w:val="white"/>
          <w:lang w:eastAsia="en-US"/>
        </w:rPr>
        <w:t>Rasjidah’s</w:t>
      </w:r>
      <w:proofErr w:type="spellEnd"/>
      <w:r w:rsidR="00606123">
        <w:rPr>
          <w:highlight w:val="white"/>
          <w:lang w:eastAsia="en-US"/>
        </w:rPr>
        <w:t xml:space="preserve"> </w:t>
      </w:r>
      <w:r w:rsidR="00B67697">
        <w:rPr>
          <w:highlight w:val="white"/>
          <w:lang w:eastAsia="en-US"/>
        </w:rPr>
        <w:t>activism with autoethnographic reflection and</w:t>
      </w:r>
      <w:r w:rsidR="00192554">
        <w:rPr>
          <w:highlight w:val="white"/>
          <w:lang w:eastAsia="en-US"/>
        </w:rPr>
        <w:t xml:space="preserve"> a</w:t>
      </w:r>
      <w:r w:rsidR="00C43F70">
        <w:rPr>
          <w:highlight w:val="white"/>
          <w:lang w:eastAsia="en-US"/>
        </w:rPr>
        <w:t>n oral history</w:t>
      </w:r>
      <w:r w:rsidR="00B67697">
        <w:rPr>
          <w:highlight w:val="white"/>
          <w:lang w:eastAsia="en-US"/>
        </w:rPr>
        <w:t xml:space="preserve"> interview </w:t>
      </w:r>
      <w:r w:rsidR="00D4494C">
        <w:rPr>
          <w:highlight w:val="white"/>
          <w:lang w:eastAsia="en-US"/>
        </w:rPr>
        <w:t>with her family.</w:t>
      </w:r>
      <w:r w:rsidR="00D4494C">
        <w:rPr>
          <w:rStyle w:val="EndnoteReference"/>
          <w:highlight w:val="white"/>
          <w:lang w:eastAsia="en-US"/>
        </w:rPr>
        <w:endnoteReference w:id="27"/>
      </w:r>
      <w:r w:rsidR="000765E5">
        <w:rPr>
          <w:highlight w:val="white"/>
          <w:lang w:eastAsia="en-US"/>
        </w:rPr>
        <w:t xml:space="preserve"> </w:t>
      </w:r>
      <w:r w:rsidR="00192554">
        <w:rPr>
          <w:highlight w:val="white"/>
          <w:lang w:eastAsia="en-US"/>
        </w:rPr>
        <w:t xml:space="preserve">It </w:t>
      </w:r>
      <w:r w:rsidR="00343D0F">
        <w:rPr>
          <w:highlight w:val="white"/>
          <w:lang w:eastAsia="en-US"/>
        </w:rPr>
        <w:t>was granted ethical approval by the University of York Arts and Humanities Ethics Committee in July 2025</w:t>
      </w:r>
      <w:r w:rsidR="00343D0F" w:rsidRPr="00D5029D">
        <w:rPr>
          <w:color w:val="000000" w:themeColor="text1"/>
          <w:lang w:eastAsia="en-US"/>
        </w:rPr>
        <w:t xml:space="preserve">. The </w:t>
      </w:r>
      <w:proofErr w:type="spellStart"/>
      <w:r w:rsidR="00343D0F" w:rsidRPr="00D5029D">
        <w:rPr>
          <w:color w:val="000000" w:themeColor="text1"/>
          <w:lang w:eastAsia="en-US"/>
        </w:rPr>
        <w:t>LOUDfence</w:t>
      </w:r>
      <w:proofErr w:type="spellEnd"/>
      <w:r w:rsidR="00343D0F" w:rsidRPr="00D5029D">
        <w:rPr>
          <w:color w:val="000000" w:themeColor="text1"/>
          <w:lang w:eastAsia="en-US"/>
        </w:rPr>
        <w:t xml:space="preserve"> project </w:t>
      </w:r>
      <w:r w:rsidR="007E1162">
        <w:rPr>
          <w:color w:val="000000" w:themeColor="text1"/>
          <w:lang w:eastAsia="en-US"/>
        </w:rPr>
        <w:t>takes a</w:t>
      </w:r>
      <w:r w:rsidR="00B65278">
        <w:rPr>
          <w:color w:val="000000" w:themeColor="text1"/>
          <w:lang w:eastAsia="en-US"/>
        </w:rPr>
        <w:t xml:space="preserve"> participatory action</w:t>
      </w:r>
      <w:r w:rsidR="007E1162">
        <w:rPr>
          <w:color w:val="000000" w:themeColor="text1"/>
          <w:lang w:eastAsia="en-US"/>
        </w:rPr>
        <w:t xml:space="preserve"> </w:t>
      </w:r>
      <w:r w:rsidR="007E1162">
        <w:rPr>
          <w:color w:val="000000" w:themeColor="text1"/>
          <w:lang w:eastAsia="en-US"/>
        </w:rPr>
        <w:lastRenderedPageBreak/>
        <w:t>ethnographic approach</w:t>
      </w:r>
      <w:r w:rsidR="00566C3A">
        <w:rPr>
          <w:color w:val="000000" w:themeColor="text1"/>
          <w:lang w:eastAsia="en-US"/>
        </w:rPr>
        <w:t xml:space="preserve">, </w:t>
      </w:r>
      <w:r w:rsidR="007E1162">
        <w:rPr>
          <w:color w:val="000000" w:themeColor="text1"/>
          <w:lang w:eastAsia="en-US"/>
        </w:rPr>
        <w:t xml:space="preserve">digitally archiving the </w:t>
      </w:r>
      <w:r w:rsidR="00CE49F2">
        <w:rPr>
          <w:color w:val="000000" w:themeColor="text1"/>
          <w:lang w:eastAsia="en-US"/>
        </w:rPr>
        <w:t xml:space="preserve">activist movement </w:t>
      </w:r>
      <w:r w:rsidR="00D4116B">
        <w:rPr>
          <w:color w:val="000000" w:themeColor="text1"/>
          <w:lang w:eastAsia="en-US"/>
        </w:rPr>
        <w:t>via</w:t>
      </w:r>
      <w:r w:rsidR="00CE49F2">
        <w:rPr>
          <w:color w:val="000000" w:themeColor="text1"/>
          <w:lang w:eastAsia="en-US"/>
        </w:rPr>
        <w:t xml:space="preserve"> </w:t>
      </w:r>
      <w:r w:rsidR="00782B39">
        <w:rPr>
          <w:color w:val="000000" w:themeColor="text1"/>
          <w:lang w:eastAsia="en-US"/>
        </w:rPr>
        <w:t xml:space="preserve">ethnographic observation and photovoice capture of </w:t>
      </w:r>
      <w:r w:rsidR="00D4116B">
        <w:rPr>
          <w:color w:val="000000" w:themeColor="text1"/>
          <w:lang w:eastAsia="en-US"/>
        </w:rPr>
        <w:t xml:space="preserve">events </w:t>
      </w:r>
      <w:r>
        <w:rPr>
          <w:color w:val="000000" w:themeColor="text1"/>
          <w:lang w:eastAsia="en-US"/>
        </w:rPr>
        <w:t xml:space="preserve">and </w:t>
      </w:r>
      <w:r w:rsidR="00782B39">
        <w:rPr>
          <w:color w:val="000000" w:themeColor="text1"/>
          <w:lang w:eastAsia="en-US"/>
        </w:rPr>
        <w:t xml:space="preserve">was </w:t>
      </w:r>
      <w:r w:rsidR="00B65278">
        <w:rPr>
          <w:color w:val="000000" w:themeColor="text1"/>
          <w:lang w:eastAsia="en-US"/>
        </w:rPr>
        <w:t xml:space="preserve">further developed </w:t>
      </w:r>
      <w:r>
        <w:rPr>
          <w:color w:val="000000" w:themeColor="text1"/>
          <w:lang w:eastAsia="en-US"/>
        </w:rPr>
        <w:t>through</w:t>
      </w:r>
      <w:r w:rsidR="00D4116B">
        <w:rPr>
          <w:color w:val="000000" w:themeColor="text1"/>
          <w:lang w:eastAsia="en-US"/>
        </w:rPr>
        <w:t xml:space="preserve"> oral history </w:t>
      </w:r>
      <w:r w:rsidR="006A5E3D">
        <w:rPr>
          <w:color w:val="000000" w:themeColor="text1"/>
          <w:lang w:eastAsia="en-US"/>
        </w:rPr>
        <w:t>interviews. It</w:t>
      </w:r>
      <w:r w:rsidR="00D4116B">
        <w:rPr>
          <w:color w:val="000000" w:themeColor="text1"/>
          <w:lang w:eastAsia="en-US"/>
        </w:rPr>
        <w:t xml:space="preserve"> </w:t>
      </w:r>
      <w:r w:rsidR="00343D0F" w:rsidRPr="00D5029D">
        <w:rPr>
          <w:color w:val="000000" w:themeColor="text1"/>
          <w:lang w:eastAsia="en-US"/>
        </w:rPr>
        <w:t xml:space="preserve">was granted ethics </w:t>
      </w:r>
      <w:r w:rsidR="00782B39">
        <w:rPr>
          <w:color w:val="000000" w:themeColor="text1"/>
          <w:lang w:eastAsia="en-US"/>
        </w:rPr>
        <w:t xml:space="preserve">permission </w:t>
      </w:r>
      <w:r w:rsidR="00343D0F" w:rsidRPr="00D5029D">
        <w:rPr>
          <w:color w:val="000000" w:themeColor="text1"/>
          <w:lang w:eastAsia="en-US"/>
        </w:rPr>
        <w:t>at King’s College London in April 2024</w:t>
      </w:r>
      <w:r w:rsidR="00782B39">
        <w:rPr>
          <w:color w:val="000000" w:themeColor="text1"/>
          <w:lang w:eastAsia="en-US"/>
        </w:rPr>
        <w:t>,</w:t>
      </w:r>
      <w:r w:rsidR="00343D0F" w:rsidRPr="00D5029D">
        <w:rPr>
          <w:color w:val="000000" w:themeColor="text1"/>
          <w:lang w:eastAsia="en-US"/>
        </w:rPr>
        <w:t xml:space="preserve"> </w:t>
      </w:r>
      <w:r w:rsidR="00343D0F">
        <w:rPr>
          <w:color w:val="000000" w:themeColor="text1"/>
          <w:lang w:eastAsia="en-US"/>
        </w:rPr>
        <w:t xml:space="preserve">after </w:t>
      </w:r>
      <w:r w:rsidR="00343D0F" w:rsidRPr="00D5029D">
        <w:rPr>
          <w:color w:val="000000" w:themeColor="text1"/>
          <w:lang w:eastAsia="en-US"/>
        </w:rPr>
        <w:t>a</w:t>
      </w:r>
      <w:r w:rsidR="009F7A2D">
        <w:rPr>
          <w:color w:val="000000" w:themeColor="text1"/>
          <w:lang w:eastAsia="en-US"/>
        </w:rPr>
        <w:t xml:space="preserve"> </w:t>
      </w:r>
      <w:r w:rsidR="00343D0F" w:rsidRPr="00D5029D">
        <w:rPr>
          <w:color w:val="000000" w:themeColor="text1"/>
          <w:lang w:eastAsia="en-US"/>
        </w:rPr>
        <w:t>contentious and complicated process</w:t>
      </w:r>
      <w:r w:rsidR="00343D0F">
        <w:rPr>
          <w:color w:val="000000" w:themeColor="text1"/>
          <w:lang w:eastAsia="en-US"/>
        </w:rPr>
        <w:t xml:space="preserve"> (as discussed below).</w:t>
      </w:r>
    </w:p>
    <w:p w14:paraId="1D3F78CE" w14:textId="77777777" w:rsidR="00343D0F" w:rsidRPr="00C846CF" w:rsidRDefault="00343D0F" w:rsidP="00C07D0F">
      <w:pPr>
        <w:spacing w:line="480" w:lineRule="auto"/>
        <w:rPr>
          <w:highlight w:val="white"/>
          <w:lang w:eastAsia="en-US"/>
        </w:rPr>
      </w:pPr>
    </w:p>
    <w:p w14:paraId="270A2EE2" w14:textId="6EBDF68F" w:rsidR="00343D0F" w:rsidRDefault="00343D0F" w:rsidP="00C07D0F">
      <w:pPr>
        <w:pStyle w:val="Heading3"/>
        <w:spacing w:line="480" w:lineRule="auto"/>
        <w:rPr>
          <w:highlight w:val="white"/>
        </w:rPr>
      </w:pPr>
      <w:r>
        <w:rPr>
          <w:highlight w:val="white"/>
        </w:rPr>
        <w:t xml:space="preserve">Case </w:t>
      </w:r>
      <w:r w:rsidR="007B2A78">
        <w:rPr>
          <w:highlight w:val="white"/>
        </w:rPr>
        <w:t>s</w:t>
      </w:r>
      <w:r>
        <w:rPr>
          <w:highlight w:val="white"/>
        </w:rPr>
        <w:t xml:space="preserve">tudy 1: </w:t>
      </w:r>
      <w:proofErr w:type="spellStart"/>
      <w:r>
        <w:rPr>
          <w:highlight w:val="white"/>
        </w:rPr>
        <w:t>Rasjidah</w:t>
      </w:r>
      <w:proofErr w:type="spellEnd"/>
      <w:r>
        <w:rPr>
          <w:highlight w:val="white"/>
        </w:rPr>
        <w:t xml:space="preserve"> St. John (1929-2017)</w:t>
      </w:r>
    </w:p>
    <w:p w14:paraId="4CB568D8" w14:textId="048CDE26" w:rsidR="00343D0F" w:rsidRPr="004F0DDB" w:rsidRDefault="00343D0F" w:rsidP="00C07D0F">
      <w:pPr>
        <w:spacing w:line="480" w:lineRule="auto"/>
        <w:rPr>
          <w:color w:val="000000" w:themeColor="text1"/>
          <w:lang w:eastAsia="en-US"/>
        </w:rPr>
      </w:pPr>
      <w:proofErr w:type="spellStart"/>
      <w:r w:rsidRPr="00430674">
        <w:rPr>
          <w:color w:val="000000" w:themeColor="text1"/>
          <w:lang w:eastAsia="en-US"/>
        </w:rPr>
        <w:t>Rasjidah</w:t>
      </w:r>
      <w:proofErr w:type="spellEnd"/>
      <w:r w:rsidRPr="00430674">
        <w:rPr>
          <w:color w:val="000000" w:themeColor="text1"/>
          <w:lang w:eastAsia="en-US"/>
        </w:rPr>
        <w:t xml:space="preserve"> Rebecca Valerie St. John</w:t>
      </w:r>
      <w:r>
        <w:rPr>
          <w:color w:val="000000" w:themeColor="text1"/>
          <w:lang w:eastAsia="en-US"/>
        </w:rPr>
        <w:t xml:space="preserve"> </w:t>
      </w:r>
      <w:r w:rsidR="00136F46">
        <w:rPr>
          <w:color w:val="000000" w:themeColor="text1"/>
          <w:lang w:eastAsia="en-US"/>
        </w:rPr>
        <w:t xml:space="preserve">(hereafter </w:t>
      </w:r>
      <w:proofErr w:type="spellStart"/>
      <w:r w:rsidR="00136F46">
        <w:rPr>
          <w:color w:val="000000" w:themeColor="text1"/>
          <w:lang w:eastAsia="en-US"/>
        </w:rPr>
        <w:t>Rasjidah</w:t>
      </w:r>
      <w:proofErr w:type="spellEnd"/>
      <w:r w:rsidR="005A427E">
        <w:rPr>
          <w:color w:val="000000" w:themeColor="text1"/>
          <w:lang w:eastAsia="en-US"/>
        </w:rPr>
        <w:t xml:space="preserve"> or RSJ</w:t>
      </w:r>
      <w:r>
        <w:rPr>
          <w:color w:val="000000" w:themeColor="text1"/>
          <w:lang w:eastAsia="en-US"/>
        </w:rPr>
        <w:t>)</w:t>
      </w:r>
      <w:r w:rsidRPr="00430674">
        <w:rPr>
          <w:color w:val="000000" w:themeColor="text1"/>
          <w:lang w:eastAsia="en-US"/>
        </w:rPr>
        <w:t xml:space="preserve"> was a London-based feminist and survivor-activist who campaigned for CSA justice and prevention. In the early 1970s,</w:t>
      </w:r>
      <w:r w:rsidRPr="004F0DDB">
        <w:rPr>
          <w:color w:val="000000" w:themeColor="text1"/>
          <w:lang w:eastAsia="en-US"/>
        </w:rPr>
        <w:t xml:space="preserve"> after</w:t>
      </w:r>
      <w:r w:rsidRPr="00430674">
        <w:rPr>
          <w:color w:val="000000" w:themeColor="text1"/>
          <w:lang w:eastAsia="en-US"/>
        </w:rPr>
        <w:t xml:space="preserve"> discovering a young family member's sexual abuse by a male relative</w:t>
      </w:r>
      <w:r w:rsidRPr="004F0DDB">
        <w:rPr>
          <w:color w:val="000000" w:themeColor="text1"/>
          <w:lang w:eastAsia="en-US"/>
        </w:rPr>
        <w:t xml:space="preserve">, she made </w:t>
      </w:r>
      <w:r w:rsidRPr="00430674">
        <w:rPr>
          <w:color w:val="000000" w:themeColor="text1"/>
          <w:lang w:eastAsia="en-US"/>
        </w:rPr>
        <w:t xml:space="preserve">her own disclosure of intrafamilial </w:t>
      </w:r>
      <w:r>
        <w:rPr>
          <w:color w:val="000000" w:themeColor="text1"/>
          <w:lang w:eastAsia="en-US"/>
        </w:rPr>
        <w:t>CSA</w:t>
      </w:r>
      <w:r w:rsidRPr="00430674">
        <w:rPr>
          <w:color w:val="000000" w:themeColor="text1"/>
          <w:lang w:eastAsia="en-US"/>
        </w:rPr>
        <w:t>.</w:t>
      </w:r>
      <w:r w:rsidRPr="004F0DDB">
        <w:rPr>
          <w:color w:val="000000" w:themeColor="text1"/>
          <w:vertAlign w:val="superscript"/>
          <w:lang w:eastAsia="en-US"/>
        </w:rPr>
        <w:endnoteReference w:id="28"/>
      </w:r>
      <w:r w:rsidRPr="004F0DDB">
        <w:rPr>
          <w:color w:val="000000" w:themeColor="text1"/>
          <w:lang w:eastAsia="en-US"/>
        </w:rPr>
        <w:t xml:space="preserve"> In her</w:t>
      </w:r>
      <w:r>
        <w:rPr>
          <w:color w:val="000000" w:themeColor="text1"/>
          <w:lang w:eastAsia="en-US"/>
        </w:rPr>
        <w:t xml:space="preserve"> </w:t>
      </w:r>
      <w:r w:rsidRPr="004F0DDB">
        <w:rPr>
          <w:color w:val="000000" w:themeColor="text1"/>
          <w:lang w:eastAsia="en-US"/>
        </w:rPr>
        <w:t>reported words, t</w:t>
      </w:r>
      <w:r w:rsidRPr="00430674">
        <w:rPr>
          <w:color w:val="000000" w:themeColor="text1"/>
          <w:lang w:eastAsia="en-US"/>
        </w:rPr>
        <w:t>hese revelations caused her to 'rise up angry, and stay there,' galvanising thirty years of campaigning.</w:t>
      </w:r>
      <w:r w:rsidRPr="004F0DDB">
        <w:rPr>
          <w:color w:val="000000" w:themeColor="text1"/>
          <w:vertAlign w:val="superscript"/>
          <w:lang w:eastAsia="en-US"/>
        </w:rPr>
        <w:endnoteReference w:id="29"/>
      </w:r>
      <w:r w:rsidRPr="004F0DDB">
        <w:rPr>
          <w:color w:val="000000" w:themeColor="text1"/>
          <w:vertAlign w:val="superscript"/>
          <w:lang w:eastAsia="en-US"/>
        </w:rPr>
        <w:t xml:space="preserve"> </w:t>
      </w:r>
      <w:r w:rsidRPr="00430674">
        <w:rPr>
          <w:color w:val="000000" w:themeColor="text1"/>
          <w:lang w:eastAsia="en-US"/>
        </w:rPr>
        <w:t xml:space="preserve">During the late 1970s-early 1980s, she developed connections with women's information services and Rape Crisis centres. </w:t>
      </w:r>
      <w:r w:rsidRPr="004F0DDB">
        <w:rPr>
          <w:color w:val="000000" w:themeColor="text1"/>
          <w:lang w:eastAsia="en-US"/>
        </w:rPr>
        <w:t xml:space="preserve">Subsequently, </w:t>
      </w:r>
      <w:r w:rsidRPr="00430674">
        <w:rPr>
          <w:color w:val="000000" w:themeColor="text1"/>
          <w:lang w:eastAsia="en-US"/>
        </w:rPr>
        <w:t xml:space="preserve">she founded and edited the Incest Survivor's Campaign newsletter and Incest and Child Sexual Assault newsletter, which became </w:t>
      </w:r>
      <w:r w:rsidRPr="004F0DDB">
        <w:rPr>
          <w:color w:val="000000" w:themeColor="text1"/>
          <w:lang w:eastAsia="en-US"/>
        </w:rPr>
        <w:t xml:space="preserve">the </w:t>
      </w:r>
      <w:r w:rsidRPr="00430674">
        <w:rPr>
          <w:color w:val="000000" w:themeColor="text1"/>
          <w:lang w:eastAsia="en-US"/>
        </w:rPr>
        <w:t xml:space="preserve">Action Against Child Sexual Abuse newsletter in the mid-1990s. </w:t>
      </w:r>
      <w:r w:rsidRPr="004F0DDB">
        <w:rPr>
          <w:color w:val="000000" w:themeColor="text1"/>
          <w:lang w:eastAsia="en-US"/>
        </w:rPr>
        <w:t xml:space="preserve">During this time </w:t>
      </w:r>
      <w:proofErr w:type="spellStart"/>
      <w:r w:rsidR="005A427E">
        <w:rPr>
          <w:color w:val="000000" w:themeColor="text1"/>
          <w:lang w:eastAsia="en-US"/>
        </w:rPr>
        <w:t>Rasjidah</w:t>
      </w:r>
      <w:proofErr w:type="spellEnd"/>
      <w:r w:rsidRPr="00430674">
        <w:rPr>
          <w:color w:val="000000" w:themeColor="text1"/>
          <w:lang w:eastAsia="en-US"/>
        </w:rPr>
        <w:t xml:space="preserve"> </w:t>
      </w:r>
      <w:r w:rsidRPr="004F0DDB">
        <w:rPr>
          <w:color w:val="000000" w:themeColor="text1"/>
          <w:lang w:eastAsia="en-US"/>
        </w:rPr>
        <w:t>became</w:t>
      </w:r>
      <w:r w:rsidRPr="00430674">
        <w:rPr>
          <w:color w:val="000000" w:themeColor="text1"/>
          <w:lang w:eastAsia="en-US"/>
        </w:rPr>
        <w:t xml:space="preserve"> a key figure in London's survivor-activist movement, with extensive networks across survivor groups, support organisations, and social care advocates. </w:t>
      </w:r>
      <w:r w:rsidRPr="004F0DDB">
        <w:rPr>
          <w:color w:val="000000" w:themeColor="text1"/>
          <w:lang w:eastAsia="en-US"/>
        </w:rPr>
        <w:t>From the early 1990s to the late 2000s she operated the Information Service on Incest and Child Sexual Abuse (ISICSA) from her flat, frequently taking phone calls from adult survivors of CSA seeking guidance</w:t>
      </w:r>
      <w:r>
        <w:rPr>
          <w:color w:val="000000" w:themeColor="text1"/>
          <w:lang w:eastAsia="en-US"/>
        </w:rPr>
        <w:t xml:space="preserve"> and advice</w:t>
      </w:r>
      <w:r w:rsidRPr="004F0DDB">
        <w:rPr>
          <w:color w:val="000000" w:themeColor="text1"/>
          <w:lang w:eastAsia="en-US"/>
        </w:rPr>
        <w:t xml:space="preserve">. She died </w:t>
      </w:r>
      <w:r w:rsidR="001A024D">
        <w:rPr>
          <w:color w:val="000000" w:themeColor="text1"/>
          <w:lang w:eastAsia="en-US"/>
        </w:rPr>
        <w:t xml:space="preserve">in 2017 </w:t>
      </w:r>
      <w:r w:rsidRPr="004F0DDB">
        <w:rPr>
          <w:color w:val="000000" w:themeColor="text1"/>
          <w:lang w:eastAsia="en-US"/>
        </w:rPr>
        <w:t>at the age of 87.</w:t>
      </w:r>
    </w:p>
    <w:p w14:paraId="66841104" w14:textId="77777777" w:rsidR="00343D0F" w:rsidRPr="004F0DDB" w:rsidRDefault="00343D0F" w:rsidP="00C07D0F">
      <w:pPr>
        <w:spacing w:line="480" w:lineRule="auto"/>
        <w:rPr>
          <w:color w:val="000000" w:themeColor="text1"/>
          <w:lang w:eastAsia="en-US"/>
        </w:rPr>
      </w:pPr>
    </w:p>
    <w:p w14:paraId="738DAB87" w14:textId="72F10835" w:rsidR="00343D0F" w:rsidRPr="00430674" w:rsidRDefault="00343D0F" w:rsidP="00C07D0F">
      <w:pPr>
        <w:spacing w:line="480" w:lineRule="auto"/>
        <w:rPr>
          <w:color w:val="000000" w:themeColor="text1"/>
          <w:lang w:eastAsia="en-US"/>
        </w:rPr>
      </w:pPr>
      <w:r w:rsidRPr="004F0DDB">
        <w:rPr>
          <w:color w:val="000000" w:themeColor="text1"/>
          <w:lang w:eastAsia="en-US"/>
        </w:rPr>
        <w:t xml:space="preserve">Her executors, recognising the importance of her activism, retained her papers but without knowing where they might go or who might be interested in them. </w:t>
      </w:r>
      <w:r w:rsidR="00975CDC">
        <w:rPr>
          <w:color w:val="000000" w:themeColor="text1"/>
          <w:lang w:eastAsia="en-US"/>
        </w:rPr>
        <w:t>Victoria</w:t>
      </w:r>
      <w:r w:rsidR="00243394">
        <w:rPr>
          <w:color w:val="000000" w:themeColor="text1"/>
          <w:lang w:eastAsia="en-US"/>
        </w:rPr>
        <w:t xml:space="preserve"> </w:t>
      </w:r>
      <w:r w:rsidRPr="00430674">
        <w:rPr>
          <w:color w:val="000000" w:themeColor="text1"/>
          <w:lang w:eastAsia="en-US"/>
        </w:rPr>
        <w:t xml:space="preserve">discovered </w:t>
      </w:r>
      <w:proofErr w:type="spellStart"/>
      <w:r w:rsidR="005A427E">
        <w:rPr>
          <w:color w:val="000000" w:themeColor="text1"/>
          <w:lang w:eastAsia="en-US"/>
        </w:rPr>
        <w:t>Rasjidah</w:t>
      </w:r>
      <w:proofErr w:type="spellEnd"/>
      <w:r w:rsidRPr="00430674">
        <w:rPr>
          <w:color w:val="000000" w:themeColor="text1"/>
          <w:lang w:eastAsia="en-US"/>
        </w:rPr>
        <w:t xml:space="preserve"> through newsletter</w:t>
      </w:r>
      <w:r>
        <w:rPr>
          <w:color w:val="000000" w:themeColor="text1"/>
          <w:lang w:eastAsia="en-US"/>
        </w:rPr>
        <w:t xml:space="preserve">s </w:t>
      </w:r>
      <w:r w:rsidRPr="00430674">
        <w:rPr>
          <w:color w:val="000000" w:themeColor="text1"/>
          <w:lang w:eastAsia="en-US"/>
        </w:rPr>
        <w:t>at Feminist Archive North in September 2023 while developing a project</w:t>
      </w:r>
      <w:r w:rsidRPr="004F0DDB">
        <w:rPr>
          <w:color w:val="000000" w:themeColor="text1"/>
          <w:lang w:eastAsia="en-US"/>
        </w:rPr>
        <w:t xml:space="preserve"> on the history of CSA activism</w:t>
      </w:r>
      <w:r w:rsidR="00975CDC">
        <w:rPr>
          <w:color w:val="000000" w:themeColor="text1"/>
          <w:lang w:eastAsia="en-US"/>
        </w:rPr>
        <w:t xml:space="preserve"> – unaware</w:t>
      </w:r>
      <w:r w:rsidR="00684386">
        <w:rPr>
          <w:color w:val="000000" w:themeColor="text1"/>
          <w:lang w:eastAsia="en-US"/>
        </w:rPr>
        <w:t xml:space="preserve">, at the time, </w:t>
      </w:r>
      <w:r w:rsidR="00975CDC">
        <w:rPr>
          <w:color w:val="000000" w:themeColor="text1"/>
          <w:lang w:eastAsia="en-US"/>
        </w:rPr>
        <w:t>that</w:t>
      </w:r>
      <w:r w:rsidR="00684386">
        <w:rPr>
          <w:color w:val="000000" w:themeColor="text1"/>
          <w:lang w:eastAsia="en-US"/>
        </w:rPr>
        <w:t xml:space="preserve"> Alana was also </w:t>
      </w:r>
      <w:r w:rsidR="00684386">
        <w:rPr>
          <w:color w:val="000000" w:themeColor="text1"/>
          <w:lang w:eastAsia="en-US"/>
        </w:rPr>
        <w:lastRenderedPageBreak/>
        <w:t>beginning to work in this area</w:t>
      </w:r>
      <w:r w:rsidRPr="00430674">
        <w:rPr>
          <w:color w:val="000000" w:themeColor="text1"/>
          <w:lang w:eastAsia="en-US"/>
        </w:rPr>
        <w:t xml:space="preserve">. After </w:t>
      </w:r>
      <w:r w:rsidRPr="004F0DDB">
        <w:rPr>
          <w:color w:val="000000" w:themeColor="text1"/>
          <w:lang w:eastAsia="en-US"/>
        </w:rPr>
        <w:t xml:space="preserve">contacting the family via </w:t>
      </w:r>
      <w:proofErr w:type="spellStart"/>
      <w:r w:rsidRPr="004F0DDB">
        <w:rPr>
          <w:color w:val="000000" w:themeColor="text1"/>
          <w:lang w:eastAsia="en-US"/>
        </w:rPr>
        <w:t>Rasjidah’s</w:t>
      </w:r>
      <w:proofErr w:type="spellEnd"/>
      <w:r w:rsidRPr="00430674">
        <w:rPr>
          <w:color w:val="000000" w:themeColor="text1"/>
          <w:lang w:eastAsia="en-US"/>
        </w:rPr>
        <w:t xml:space="preserve"> solicitors, the archive was temporarily deposited at </w:t>
      </w:r>
      <w:r w:rsidRPr="004F0DDB">
        <w:rPr>
          <w:color w:val="000000" w:themeColor="text1"/>
          <w:lang w:eastAsia="en-US"/>
        </w:rPr>
        <w:t xml:space="preserve">the </w:t>
      </w:r>
      <w:r w:rsidRPr="00430674">
        <w:rPr>
          <w:color w:val="000000" w:themeColor="text1"/>
          <w:lang w:eastAsia="en-US"/>
        </w:rPr>
        <w:t xml:space="preserve">Borthwick Institute </w:t>
      </w:r>
      <w:r w:rsidRPr="004F0DDB">
        <w:rPr>
          <w:color w:val="000000" w:themeColor="text1"/>
          <w:lang w:eastAsia="en-US"/>
        </w:rPr>
        <w:t xml:space="preserve">at the University of York </w:t>
      </w:r>
      <w:r w:rsidRPr="00430674">
        <w:rPr>
          <w:color w:val="000000" w:themeColor="text1"/>
          <w:lang w:eastAsia="en-US"/>
        </w:rPr>
        <w:t>in May 2024.</w:t>
      </w:r>
      <w:r w:rsidRPr="004F0DDB">
        <w:rPr>
          <w:color w:val="000000" w:themeColor="text1"/>
          <w:lang w:eastAsia="en-US"/>
        </w:rPr>
        <w:t xml:space="preserve"> </w:t>
      </w:r>
      <w:r>
        <w:rPr>
          <w:color w:val="000000" w:themeColor="text1"/>
          <w:lang w:eastAsia="en-US"/>
        </w:rPr>
        <w:t xml:space="preserve">It </w:t>
      </w:r>
      <w:r w:rsidRPr="004F0DDB">
        <w:rPr>
          <w:color w:val="000000" w:themeColor="text1"/>
          <w:lang w:eastAsia="en-US"/>
        </w:rPr>
        <w:t xml:space="preserve">comprises four banker’s boxes and is currently kept in arrival order and packaging, including Asda shopping bags and reusable totes. </w:t>
      </w:r>
      <w:r w:rsidRPr="00430674">
        <w:rPr>
          <w:color w:val="000000" w:themeColor="text1"/>
          <w:lang w:eastAsia="en-US"/>
        </w:rPr>
        <w:t xml:space="preserve">Primarily paper-based with some photographs and digital media, </w:t>
      </w:r>
      <w:r w:rsidRPr="004F0DDB">
        <w:rPr>
          <w:color w:val="000000" w:themeColor="text1"/>
          <w:lang w:eastAsia="en-US"/>
        </w:rPr>
        <w:t>around half is</w:t>
      </w:r>
      <w:r w:rsidRPr="00430674">
        <w:rPr>
          <w:color w:val="000000" w:themeColor="text1"/>
          <w:lang w:eastAsia="en-US"/>
        </w:rPr>
        <w:t xml:space="preserve"> grey literature and ephemera</w:t>
      </w:r>
      <w:r>
        <w:rPr>
          <w:color w:val="000000" w:themeColor="text1"/>
          <w:lang w:eastAsia="en-US"/>
        </w:rPr>
        <w:t xml:space="preserve"> that</w:t>
      </w:r>
      <w:r w:rsidRPr="00430674">
        <w:rPr>
          <w:color w:val="000000" w:themeColor="text1"/>
          <w:lang w:eastAsia="en-US"/>
        </w:rPr>
        <w:t xml:space="preserve"> </w:t>
      </w:r>
      <w:proofErr w:type="spellStart"/>
      <w:r w:rsidRPr="004F0DDB">
        <w:rPr>
          <w:color w:val="000000" w:themeColor="text1"/>
          <w:lang w:eastAsia="en-US"/>
        </w:rPr>
        <w:t>Rasjidah</w:t>
      </w:r>
      <w:proofErr w:type="spellEnd"/>
      <w:r w:rsidRPr="004F0DDB">
        <w:rPr>
          <w:color w:val="000000" w:themeColor="text1"/>
          <w:lang w:eastAsia="en-US"/>
        </w:rPr>
        <w:t xml:space="preserve"> </w:t>
      </w:r>
      <w:r w:rsidRPr="00430674">
        <w:rPr>
          <w:color w:val="000000" w:themeColor="text1"/>
          <w:lang w:eastAsia="en-US"/>
        </w:rPr>
        <w:t>created or collected. The remainder includes diaries, notebooks, letters, and fragmentary autobiographical writings</w:t>
      </w:r>
      <w:r w:rsidRPr="004F0DDB">
        <w:rPr>
          <w:color w:val="000000" w:themeColor="text1"/>
          <w:lang w:eastAsia="en-US"/>
        </w:rPr>
        <w:t>, the intended purpose of which is unclear</w:t>
      </w:r>
      <w:r w:rsidRPr="00430674">
        <w:rPr>
          <w:color w:val="000000" w:themeColor="text1"/>
          <w:lang w:eastAsia="en-US"/>
        </w:rPr>
        <w:t xml:space="preserve">. </w:t>
      </w:r>
      <w:r w:rsidRPr="004F0DDB">
        <w:rPr>
          <w:color w:val="000000" w:themeColor="text1"/>
          <w:lang w:eastAsia="en-US"/>
        </w:rPr>
        <w:t>The</w:t>
      </w:r>
      <w:r w:rsidRPr="00430674">
        <w:rPr>
          <w:color w:val="000000" w:themeColor="text1"/>
          <w:lang w:eastAsia="en-US"/>
        </w:rPr>
        <w:t xml:space="preserve"> papers reveal </w:t>
      </w:r>
      <w:r w:rsidRPr="004F0DDB">
        <w:rPr>
          <w:color w:val="000000" w:themeColor="text1"/>
          <w:lang w:eastAsia="en-US"/>
        </w:rPr>
        <w:t xml:space="preserve">her </w:t>
      </w:r>
      <w:r w:rsidRPr="00430674">
        <w:rPr>
          <w:color w:val="000000" w:themeColor="text1"/>
          <w:lang w:eastAsia="en-US"/>
        </w:rPr>
        <w:t xml:space="preserve">complex, sometimes contradictory positions: resisting Lesbian feminism as central to 1980s </w:t>
      </w:r>
      <w:r>
        <w:rPr>
          <w:color w:val="000000" w:themeColor="text1"/>
          <w:lang w:eastAsia="en-US"/>
        </w:rPr>
        <w:t>women’s liberation</w:t>
      </w:r>
      <w:r w:rsidRPr="00430674">
        <w:rPr>
          <w:color w:val="000000" w:themeColor="text1"/>
          <w:lang w:eastAsia="en-US"/>
        </w:rPr>
        <w:t xml:space="preserve">, rejecting therapy as necessary for survivors in the 1990s, and later expressing Islamophobic views. </w:t>
      </w:r>
      <w:r w:rsidRPr="004F0DDB">
        <w:rPr>
          <w:color w:val="000000" w:themeColor="text1"/>
          <w:lang w:eastAsia="en-US"/>
        </w:rPr>
        <w:t>Throughout</w:t>
      </w:r>
      <w:r>
        <w:rPr>
          <w:color w:val="000000" w:themeColor="text1"/>
          <w:lang w:eastAsia="en-US"/>
        </w:rPr>
        <w:t>,</w:t>
      </w:r>
      <w:r w:rsidRPr="004F0DDB">
        <w:rPr>
          <w:color w:val="000000" w:themeColor="text1"/>
          <w:lang w:eastAsia="en-US"/>
        </w:rPr>
        <w:t xml:space="preserve"> her</w:t>
      </w:r>
      <w:r w:rsidRPr="00430674">
        <w:rPr>
          <w:color w:val="000000" w:themeColor="text1"/>
          <w:lang w:eastAsia="en-US"/>
        </w:rPr>
        <w:t xml:space="preserve"> personal writing is raw and unfiltered,</w:t>
      </w:r>
      <w:r w:rsidRPr="004F0DDB">
        <w:rPr>
          <w:color w:val="000000" w:themeColor="text1"/>
          <w:lang w:eastAsia="en-US"/>
        </w:rPr>
        <w:t xml:space="preserve"> and</w:t>
      </w:r>
      <w:r w:rsidRPr="00430674">
        <w:rPr>
          <w:color w:val="000000" w:themeColor="text1"/>
          <w:lang w:eastAsia="en-US"/>
        </w:rPr>
        <w:t xml:space="preserve"> sometimes </w:t>
      </w:r>
      <w:r w:rsidRPr="004F0DDB">
        <w:rPr>
          <w:color w:val="000000" w:themeColor="text1"/>
          <w:lang w:eastAsia="en-US"/>
        </w:rPr>
        <w:t>offensive or insensitive</w:t>
      </w:r>
      <w:r w:rsidRPr="00430674">
        <w:rPr>
          <w:color w:val="000000" w:themeColor="text1"/>
          <w:lang w:eastAsia="en-US"/>
        </w:rPr>
        <w:t>.</w:t>
      </w:r>
    </w:p>
    <w:p w14:paraId="1CFA5B86" w14:textId="77777777" w:rsidR="00343D0F" w:rsidRPr="001032F8" w:rsidRDefault="00343D0F" w:rsidP="00C07D0F">
      <w:pPr>
        <w:spacing w:line="480" w:lineRule="auto"/>
        <w:rPr>
          <w:highlight w:val="white"/>
          <w:lang w:eastAsia="en-US"/>
        </w:rPr>
      </w:pPr>
    </w:p>
    <w:p w14:paraId="4B95D25C" w14:textId="4AAD73F4" w:rsidR="00343D0F" w:rsidRDefault="00343D0F" w:rsidP="00C07D0F">
      <w:pPr>
        <w:pStyle w:val="Heading3"/>
        <w:spacing w:line="480" w:lineRule="auto"/>
        <w:rPr>
          <w:highlight w:val="white"/>
        </w:rPr>
      </w:pPr>
      <w:r>
        <w:rPr>
          <w:highlight w:val="white"/>
        </w:rPr>
        <w:t xml:space="preserve">Case </w:t>
      </w:r>
      <w:r w:rsidR="007B2A78">
        <w:rPr>
          <w:highlight w:val="white"/>
        </w:rPr>
        <w:t>s</w:t>
      </w:r>
      <w:r>
        <w:rPr>
          <w:highlight w:val="white"/>
        </w:rPr>
        <w:t xml:space="preserve">tudy 2: </w:t>
      </w:r>
      <w:proofErr w:type="spellStart"/>
      <w:r>
        <w:rPr>
          <w:highlight w:val="white"/>
        </w:rPr>
        <w:t>LOUDfence</w:t>
      </w:r>
      <w:proofErr w:type="spellEnd"/>
      <w:r>
        <w:rPr>
          <w:highlight w:val="white"/>
        </w:rPr>
        <w:t xml:space="preserve"> UK</w:t>
      </w:r>
    </w:p>
    <w:p w14:paraId="4DB3F37B" w14:textId="77777777" w:rsidR="00343D0F" w:rsidRPr="00906151" w:rsidRDefault="00343D0F" w:rsidP="00C07D0F">
      <w:pPr>
        <w:spacing w:line="480" w:lineRule="auto"/>
        <w:rPr>
          <w:color w:val="000000" w:themeColor="text1"/>
          <w:lang w:val="en-US"/>
        </w:rPr>
      </w:pPr>
      <w:proofErr w:type="spellStart"/>
      <w:r w:rsidRPr="00906151">
        <w:rPr>
          <w:color w:val="000000" w:themeColor="text1"/>
          <w:lang w:val="en-US"/>
        </w:rPr>
        <w:t>LOUDfence</w:t>
      </w:r>
      <w:proofErr w:type="spellEnd"/>
      <w:r>
        <w:rPr>
          <w:color w:val="000000" w:themeColor="text1"/>
          <w:lang w:val="en-US"/>
        </w:rPr>
        <w:t xml:space="preserve"> (LF)</w:t>
      </w:r>
      <w:r w:rsidRPr="00906151">
        <w:rPr>
          <w:color w:val="000000" w:themeColor="text1"/>
          <w:lang w:val="en-US"/>
        </w:rPr>
        <w:t xml:space="preserve"> started in Ballarat (Australia) in May 2015 in the context of the Royal Commission into Institutional Responses to Child Sexual Abuse.</w:t>
      </w:r>
      <w:r w:rsidRPr="00906151">
        <w:rPr>
          <w:rStyle w:val="EndnoteReference"/>
          <w:color w:val="000000" w:themeColor="text1"/>
          <w:lang w:val="en-US"/>
        </w:rPr>
        <w:endnoteReference w:id="30"/>
      </w:r>
      <w:r w:rsidRPr="00906151">
        <w:rPr>
          <w:color w:val="000000" w:themeColor="text1"/>
          <w:lang w:val="en-US"/>
        </w:rPr>
        <w:t xml:space="preserve"> A local woman, Maureen ‘Mauz’ Hatcher, devised a simple and initially stand-alone community action </w:t>
      </w:r>
      <w:r>
        <w:rPr>
          <w:color w:val="000000" w:themeColor="text1"/>
          <w:lang w:val="en-US"/>
        </w:rPr>
        <w:t>to signal</w:t>
      </w:r>
      <w:r w:rsidRPr="00906151">
        <w:rPr>
          <w:color w:val="000000" w:themeColor="text1"/>
          <w:lang w:val="en-US"/>
        </w:rPr>
        <w:t xml:space="preserve"> solidarity </w:t>
      </w:r>
      <w:r>
        <w:rPr>
          <w:color w:val="000000" w:themeColor="text1"/>
          <w:lang w:val="en-US"/>
        </w:rPr>
        <w:t>with</w:t>
      </w:r>
      <w:r w:rsidRPr="00906151">
        <w:rPr>
          <w:color w:val="000000" w:themeColor="text1"/>
          <w:lang w:val="en-US"/>
        </w:rPr>
        <w:t xml:space="preserve"> victims and survivors of sexual violence.</w:t>
      </w:r>
      <w:r w:rsidRPr="00906151">
        <w:rPr>
          <w:rStyle w:val="EndnoteReference"/>
          <w:color w:val="000000" w:themeColor="text1"/>
          <w:lang w:val="en-US"/>
        </w:rPr>
        <w:endnoteReference w:id="31"/>
      </w:r>
      <w:r w:rsidRPr="00906151">
        <w:rPr>
          <w:color w:val="000000" w:themeColor="text1"/>
          <w:lang w:val="en-US"/>
        </w:rPr>
        <w:t xml:space="preserve"> This </w:t>
      </w:r>
      <w:r>
        <w:rPr>
          <w:color w:val="000000" w:themeColor="text1"/>
          <w:lang w:val="en-US"/>
        </w:rPr>
        <w:t xml:space="preserve">DIY </w:t>
      </w:r>
      <w:r w:rsidRPr="00906151">
        <w:rPr>
          <w:color w:val="000000" w:themeColor="text1"/>
          <w:lang w:val="en-US"/>
        </w:rPr>
        <w:t xml:space="preserve">installation – the tying of coloured ribbons </w:t>
      </w:r>
      <w:r>
        <w:rPr>
          <w:color w:val="000000" w:themeColor="text1"/>
          <w:lang w:val="en-US"/>
        </w:rPr>
        <w:t>to speak</w:t>
      </w:r>
      <w:r w:rsidRPr="00906151">
        <w:rPr>
          <w:color w:val="000000" w:themeColor="text1"/>
          <w:lang w:val="en-US"/>
        </w:rPr>
        <w:t xml:space="preserve"> ‘loudly’</w:t>
      </w:r>
      <w:r>
        <w:rPr>
          <w:color w:val="000000" w:themeColor="text1"/>
          <w:lang w:val="en-US"/>
        </w:rPr>
        <w:t xml:space="preserve"> to disavowal, denial, and silence </w:t>
      </w:r>
      <w:r w:rsidRPr="00906151">
        <w:rPr>
          <w:color w:val="000000" w:themeColor="text1"/>
          <w:lang w:val="en-US"/>
        </w:rPr>
        <w:t xml:space="preserve">– initially </w:t>
      </w:r>
      <w:proofErr w:type="spellStart"/>
      <w:r w:rsidRPr="00906151">
        <w:rPr>
          <w:color w:val="000000" w:themeColor="text1"/>
          <w:lang w:val="en-US"/>
        </w:rPr>
        <w:t>centred</w:t>
      </w:r>
      <w:proofErr w:type="spellEnd"/>
      <w:r w:rsidRPr="00906151">
        <w:rPr>
          <w:color w:val="000000" w:themeColor="text1"/>
          <w:lang w:val="en-US"/>
        </w:rPr>
        <w:t xml:space="preserve"> on a local Christian Brothers’ Catholic primary school</w:t>
      </w:r>
      <w:r>
        <w:rPr>
          <w:color w:val="000000" w:themeColor="text1"/>
          <w:lang w:val="en-US"/>
        </w:rPr>
        <w:t xml:space="preserve">, but soon spread to the </w:t>
      </w:r>
      <w:r w:rsidRPr="00906151">
        <w:rPr>
          <w:color w:val="000000" w:themeColor="text1"/>
          <w:lang w:val="en-US"/>
        </w:rPr>
        <w:t>secondary school gates, the diocesan Cathedral fence, and then home letterboxes, and community spaces within Ballarat</w:t>
      </w:r>
      <w:r>
        <w:rPr>
          <w:color w:val="000000" w:themeColor="text1"/>
          <w:lang w:val="en-US"/>
        </w:rPr>
        <w:t xml:space="preserve"> and eventually around Australia. It has attained widespread recognition there as an instantly recognizable and powerful CSA witness and activist movement</w:t>
      </w:r>
      <w:r w:rsidRPr="00906151">
        <w:rPr>
          <w:color w:val="000000" w:themeColor="text1"/>
          <w:lang w:val="en-US"/>
        </w:rPr>
        <w:t>.</w:t>
      </w:r>
      <w:r w:rsidRPr="00906151">
        <w:rPr>
          <w:rStyle w:val="EndnoteReference"/>
          <w:color w:val="000000" w:themeColor="text1"/>
          <w:lang w:val="en-US"/>
        </w:rPr>
        <w:endnoteReference w:id="32"/>
      </w:r>
    </w:p>
    <w:p w14:paraId="0B908A48" w14:textId="77777777" w:rsidR="00343D0F" w:rsidRPr="00906151" w:rsidRDefault="00343D0F" w:rsidP="00C07D0F">
      <w:pPr>
        <w:spacing w:line="480" w:lineRule="auto"/>
        <w:rPr>
          <w:color w:val="000000" w:themeColor="text1"/>
          <w:lang w:val="en-US"/>
        </w:rPr>
      </w:pPr>
    </w:p>
    <w:p w14:paraId="4315A268" w14:textId="1145AFDC" w:rsidR="00343D0F" w:rsidRPr="00120E45" w:rsidRDefault="00343D0F" w:rsidP="00C07D0F">
      <w:pPr>
        <w:spacing w:line="480" w:lineRule="auto"/>
        <w:rPr>
          <w:color w:val="000000" w:themeColor="text1"/>
          <w:lang w:val="en-US"/>
        </w:rPr>
      </w:pPr>
      <w:r w:rsidRPr="00906151">
        <w:rPr>
          <w:color w:val="000000" w:themeColor="text1"/>
          <w:lang w:val="en-US"/>
        </w:rPr>
        <w:t xml:space="preserve">The first UK </w:t>
      </w:r>
      <w:r>
        <w:rPr>
          <w:color w:val="000000" w:themeColor="text1"/>
          <w:lang w:val="en-US"/>
        </w:rPr>
        <w:t xml:space="preserve">LF </w:t>
      </w:r>
      <w:r w:rsidRPr="00906151">
        <w:rPr>
          <w:color w:val="000000" w:themeColor="text1"/>
          <w:lang w:val="en-US"/>
        </w:rPr>
        <w:t>was held in Cumbria in November 2020</w:t>
      </w:r>
      <w:r>
        <w:rPr>
          <w:color w:val="000000" w:themeColor="text1"/>
          <w:lang w:val="en-US"/>
        </w:rPr>
        <w:t xml:space="preserve"> in protest against the Anglican Bishop of Car</w:t>
      </w:r>
      <w:r w:rsidR="00243394">
        <w:rPr>
          <w:color w:val="000000" w:themeColor="text1"/>
          <w:lang w:val="en-US"/>
        </w:rPr>
        <w:t>lisle</w:t>
      </w:r>
      <w:r>
        <w:rPr>
          <w:color w:val="000000" w:themeColor="text1"/>
          <w:lang w:val="en-US"/>
        </w:rPr>
        <w:t xml:space="preserve"> by Antonia Sobocki, </w:t>
      </w:r>
      <w:r w:rsidRPr="00906151">
        <w:rPr>
          <w:color w:val="000000" w:themeColor="text1"/>
          <w:lang w:val="en-US"/>
        </w:rPr>
        <w:t xml:space="preserve">a Catholic survivor of familial abuse, and some older </w:t>
      </w:r>
      <w:r w:rsidRPr="00906151">
        <w:rPr>
          <w:color w:val="000000" w:themeColor="text1"/>
          <w:lang w:val="en-US"/>
        </w:rPr>
        <w:lastRenderedPageBreak/>
        <w:t xml:space="preserve">Anglican women </w:t>
      </w:r>
      <w:proofErr w:type="spellStart"/>
      <w:r>
        <w:rPr>
          <w:color w:val="000000" w:themeColor="text1"/>
          <w:lang w:val="en-US"/>
        </w:rPr>
        <w:t>neighbours</w:t>
      </w:r>
      <w:proofErr w:type="spellEnd"/>
      <w:r>
        <w:rPr>
          <w:color w:val="000000" w:themeColor="text1"/>
          <w:lang w:val="en-US"/>
        </w:rPr>
        <w:t xml:space="preserve"> </w:t>
      </w:r>
      <w:r w:rsidRPr="00906151">
        <w:rPr>
          <w:color w:val="000000" w:themeColor="text1"/>
          <w:lang w:val="en-US"/>
        </w:rPr>
        <w:t xml:space="preserve">in </w:t>
      </w:r>
      <w:r w:rsidR="00243394">
        <w:rPr>
          <w:color w:val="000000" w:themeColor="text1"/>
          <w:lang w:val="en-US"/>
        </w:rPr>
        <w:t>her</w:t>
      </w:r>
      <w:r w:rsidRPr="00906151">
        <w:rPr>
          <w:color w:val="000000" w:themeColor="text1"/>
          <w:lang w:val="en-US"/>
        </w:rPr>
        <w:t xml:space="preserve"> village.</w:t>
      </w:r>
      <w:r w:rsidRPr="007B761D">
        <w:rPr>
          <w:rStyle w:val="EndnoteReference"/>
          <w:color w:val="000000" w:themeColor="text1"/>
          <w:lang w:val="en-US"/>
        </w:rPr>
        <w:endnoteReference w:id="33"/>
      </w:r>
      <w:r w:rsidRPr="007B761D">
        <w:rPr>
          <w:color w:val="000000" w:themeColor="text1"/>
          <w:lang w:val="en-US"/>
        </w:rPr>
        <w:t xml:space="preserve"> </w:t>
      </w:r>
      <w:r w:rsidRPr="00906151">
        <w:rPr>
          <w:color w:val="000000" w:themeColor="text1"/>
          <w:lang w:val="en-US"/>
        </w:rPr>
        <w:t xml:space="preserve">More than thirty </w:t>
      </w:r>
      <w:r>
        <w:rPr>
          <w:color w:val="000000" w:themeColor="text1"/>
          <w:lang w:val="en-US"/>
        </w:rPr>
        <w:t>LF</w:t>
      </w:r>
      <w:r w:rsidRPr="00906151">
        <w:rPr>
          <w:color w:val="000000" w:themeColor="text1"/>
          <w:lang w:val="en-US"/>
        </w:rPr>
        <w:t xml:space="preserve"> installations have </w:t>
      </w:r>
      <w:r>
        <w:rPr>
          <w:color w:val="000000" w:themeColor="text1"/>
          <w:lang w:val="en-US"/>
        </w:rPr>
        <w:t>since</w:t>
      </w:r>
      <w:r w:rsidRPr="00906151">
        <w:rPr>
          <w:color w:val="000000" w:themeColor="text1"/>
          <w:lang w:val="en-US"/>
        </w:rPr>
        <w:t xml:space="preserve"> been held across England, Scotland and Wales, always undertaken with the permission and collaboration of church officials, safeguarding staff, and with some local victim-survivor involvement. The first UK </w:t>
      </w:r>
      <w:r>
        <w:rPr>
          <w:color w:val="000000" w:themeColor="text1"/>
          <w:lang w:val="en-US"/>
        </w:rPr>
        <w:t>LFs</w:t>
      </w:r>
      <w:r w:rsidRPr="00906151">
        <w:rPr>
          <w:color w:val="000000" w:themeColor="text1"/>
          <w:lang w:val="en-US"/>
        </w:rPr>
        <w:t xml:space="preserve"> were initially in Anglican settings</w:t>
      </w:r>
      <w:r>
        <w:rPr>
          <w:color w:val="000000" w:themeColor="text1"/>
          <w:lang w:val="en-US"/>
        </w:rPr>
        <w:t xml:space="preserve">, with a few </w:t>
      </w:r>
      <w:r w:rsidRPr="00906151">
        <w:rPr>
          <w:color w:val="000000" w:themeColor="text1"/>
          <w:lang w:val="en-US"/>
        </w:rPr>
        <w:t xml:space="preserve">coordinated ecumenical Catholic-Anglican </w:t>
      </w:r>
      <w:r>
        <w:rPr>
          <w:color w:val="000000" w:themeColor="text1"/>
          <w:lang w:val="en-US"/>
        </w:rPr>
        <w:t xml:space="preserve">diocesan </w:t>
      </w:r>
      <w:r w:rsidRPr="00906151">
        <w:rPr>
          <w:color w:val="000000" w:themeColor="text1"/>
          <w:lang w:val="en-US"/>
        </w:rPr>
        <w:t>events, but</w:t>
      </w:r>
      <w:r>
        <w:rPr>
          <w:color w:val="000000" w:themeColor="text1"/>
          <w:lang w:val="en-US"/>
        </w:rPr>
        <w:t xml:space="preserve"> the overwhelming majority of LFs have been in Catholic churches with the </w:t>
      </w:r>
      <w:proofErr w:type="gramStart"/>
      <w:r>
        <w:rPr>
          <w:color w:val="000000" w:themeColor="text1"/>
          <w:lang w:val="en-US"/>
        </w:rPr>
        <w:t>Bishop</w:t>
      </w:r>
      <w:r w:rsidR="00243394">
        <w:rPr>
          <w:color w:val="000000" w:themeColor="text1"/>
          <w:lang w:val="en-US"/>
        </w:rPr>
        <w:t>’</w:t>
      </w:r>
      <w:r>
        <w:rPr>
          <w:color w:val="000000" w:themeColor="text1"/>
          <w:lang w:val="en-US"/>
        </w:rPr>
        <w:t>s</w:t>
      </w:r>
      <w:proofErr w:type="gramEnd"/>
      <w:r>
        <w:rPr>
          <w:color w:val="000000" w:themeColor="text1"/>
          <w:lang w:val="en-US"/>
        </w:rPr>
        <w:t xml:space="preserve"> approval. The invitation of Antonia Sobocki (and another </w:t>
      </w:r>
      <w:r w:rsidR="00243394">
        <w:rPr>
          <w:color w:val="000000" w:themeColor="text1"/>
          <w:lang w:val="en-US"/>
        </w:rPr>
        <w:t>CSA activist,</w:t>
      </w:r>
      <w:r>
        <w:rPr>
          <w:color w:val="000000" w:themeColor="text1"/>
          <w:lang w:val="en-US"/>
        </w:rPr>
        <w:t xml:space="preserve"> Maggie Mathews) to address the </w:t>
      </w:r>
      <w:r w:rsidRPr="00906151">
        <w:rPr>
          <w:color w:val="000000" w:themeColor="text1"/>
          <w:lang w:val="en-US"/>
        </w:rPr>
        <w:t>Pontifical Commission for the Protection of Minors</w:t>
      </w:r>
      <w:r>
        <w:rPr>
          <w:color w:val="000000" w:themeColor="text1"/>
          <w:lang w:val="en-US"/>
        </w:rPr>
        <w:t xml:space="preserve"> and meet Pope Francis in September 2023 gave further impetus and imprimatur to these activities.</w:t>
      </w:r>
      <w:r w:rsidRPr="00906151">
        <w:rPr>
          <w:rStyle w:val="EndnoteReference"/>
          <w:color w:val="000000" w:themeColor="text1"/>
          <w:lang w:val="en-US"/>
        </w:rPr>
        <w:endnoteReference w:id="34"/>
      </w:r>
      <w:r>
        <w:rPr>
          <w:color w:val="000000" w:themeColor="text1"/>
          <w:lang w:val="en-US"/>
        </w:rPr>
        <w:t xml:space="preserve"> Five years on, LF UK has evolved into a form of safeguarding ‘event’ but is also emerging as a ‘methodology’ – with a ritualized, </w:t>
      </w:r>
      <w:r w:rsidRPr="00906151">
        <w:rPr>
          <w:color w:val="000000" w:themeColor="text1"/>
          <w:lang w:val="en-US"/>
        </w:rPr>
        <w:t>non-eucharistic</w:t>
      </w:r>
      <w:r>
        <w:rPr>
          <w:color w:val="000000" w:themeColor="text1"/>
          <w:lang w:val="en-US"/>
        </w:rPr>
        <w:t xml:space="preserve"> liturgy, an bespoke LF ‘hymn’, and creative use of </w:t>
      </w:r>
      <w:r w:rsidRPr="00906151">
        <w:rPr>
          <w:color w:val="000000" w:themeColor="text1"/>
          <w:lang w:val="en-US"/>
        </w:rPr>
        <w:t xml:space="preserve">Catholic </w:t>
      </w:r>
      <w:r>
        <w:rPr>
          <w:color w:val="000000" w:themeColor="text1"/>
          <w:lang w:val="en-US"/>
        </w:rPr>
        <w:t>iconography</w:t>
      </w:r>
      <w:r w:rsidRPr="00906151">
        <w:rPr>
          <w:color w:val="000000" w:themeColor="text1"/>
          <w:lang w:val="en-US"/>
        </w:rPr>
        <w:t>.</w:t>
      </w:r>
      <w:r w:rsidRPr="00906151">
        <w:rPr>
          <w:rStyle w:val="EndnoteReference"/>
          <w:color w:val="000000" w:themeColor="text1"/>
          <w:lang w:val="en-US"/>
        </w:rPr>
        <w:endnoteReference w:id="35"/>
      </w:r>
      <w:r>
        <w:rPr>
          <w:color w:val="000000" w:themeColor="text1"/>
          <w:lang w:val="en-US"/>
        </w:rPr>
        <w:t xml:space="preserve"> </w:t>
      </w:r>
      <w:r w:rsidR="00BC0B63">
        <w:rPr>
          <w:color w:val="000000" w:themeColor="text1"/>
          <w:lang w:val="en-US"/>
        </w:rPr>
        <w:t>Alana</w:t>
      </w:r>
      <w:r w:rsidRPr="00906151">
        <w:rPr>
          <w:color w:val="000000" w:themeColor="text1"/>
          <w:lang w:val="en-US"/>
        </w:rPr>
        <w:t xml:space="preserve"> became aware of the </w:t>
      </w:r>
      <w:r>
        <w:rPr>
          <w:color w:val="000000" w:themeColor="text1"/>
          <w:lang w:val="en-US"/>
        </w:rPr>
        <w:t>LF</w:t>
      </w:r>
      <w:r w:rsidRPr="00906151">
        <w:rPr>
          <w:color w:val="000000" w:themeColor="text1"/>
          <w:lang w:val="en-US"/>
        </w:rPr>
        <w:t xml:space="preserve"> UK movement in early 2023</w:t>
      </w:r>
      <w:r>
        <w:rPr>
          <w:color w:val="000000" w:themeColor="text1"/>
          <w:lang w:val="en-US"/>
        </w:rPr>
        <w:t xml:space="preserve"> </w:t>
      </w:r>
      <w:r w:rsidRPr="00906151">
        <w:rPr>
          <w:color w:val="000000" w:themeColor="text1"/>
          <w:lang w:val="en-US"/>
        </w:rPr>
        <w:t>through</w:t>
      </w:r>
      <w:r>
        <w:rPr>
          <w:color w:val="000000" w:themeColor="text1"/>
          <w:lang w:val="en-US"/>
        </w:rPr>
        <w:t xml:space="preserve"> an academic collaboration with</w:t>
      </w:r>
      <w:r w:rsidR="00D60A39">
        <w:rPr>
          <w:color w:val="000000" w:themeColor="text1"/>
          <w:lang w:val="en-US"/>
        </w:rPr>
        <w:t xml:space="preserve"> the survivor-led research </w:t>
      </w:r>
      <w:proofErr w:type="spellStart"/>
      <w:r w:rsidR="00D60A39">
        <w:rPr>
          <w:color w:val="000000" w:themeColor="text1"/>
          <w:lang w:val="en-US"/>
        </w:rPr>
        <w:t>organisation</w:t>
      </w:r>
      <w:proofErr w:type="spellEnd"/>
      <w:r>
        <w:rPr>
          <w:color w:val="000000" w:themeColor="text1"/>
          <w:lang w:val="en-US"/>
        </w:rPr>
        <w:t xml:space="preserve"> </w:t>
      </w:r>
      <w:r w:rsidRPr="00906151">
        <w:rPr>
          <w:i/>
          <w:iCs/>
          <w:color w:val="000000" w:themeColor="text1"/>
          <w:lang w:val="en-US"/>
        </w:rPr>
        <w:t>Survivors Voices</w:t>
      </w:r>
      <w:r>
        <w:rPr>
          <w:color w:val="000000" w:themeColor="text1"/>
          <w:lang w:val="en-US"/>
        </w:rPr>
        <w:t xml:space="preserve"> and </w:t>
      </w:r>
      <w:r w:rsidRPr="00906151">
        <w:rPr>
          <w:color w:val="000000" w:themeColor="text1"/>
          <w:lang w:val="en-US"/>
        </w:rPr>
        <w:t xml:space="preserve">launched </w:t>
      </w:r>
      <w:r w:rsidR="009E2F68">
        <w:rPr>
          <w:color w:val="000000" w:themeColor="text1"/>
          <w:lang w:val="en-US"/>
        </w:rPr>
        <w:t>the</w:t>
      </w:r>
      <w:r w:rsidRPr="00906151">
        <w:rPr>
          <w:color w:val="000000" w:themeColor="text1"/>
          <w:lang w:val="en-US"/>
        </w:rPr>
        <w:t xml:space="preserve"> ethnographic and </w:t>
      </w:r>
      <w:r>
        <w:rPr>
          <w:color w:val="000000" w:themeColor="text1"/>
          <w:lang w:val="en-US"/>
        </w:rPr>
        <w:t xml:space="preserve">digital </w:t>
      </w:r>
      <w:r w:rsidRPr="00906151">
        <w:rPr>
          <w:color w:val="000000" w:themeColor="text1"/>
          <w:lang w:val="en-US"/>
        </w:rPr>
        <w:t>archiving project in March 2024</w:t>
      </w:r>
      <w:r>
        <w:rPr>
          <w:color w:val="000000" w:themeColor="text1"/>
          <w:lang w:val="en-US"/>
        </w:rPr>
        <w:t xml:space="preserve"> (with a colleague</w:t>
      </w:r>
      <w:r w:rsidR="00243394">
        <w:rPr>
          <w:color w:val="000000" w:themeColor="text1"/>
          <w:lang w:val="en-US"/>
        </w:rPr>
        <w:t xml:space="preserve">, </w:t>
      </w:r>
      <w:r w:rsidR="009F7A2D">
        <w:rPr>
          <w:color w:val="000000" w:themeColor="text1"/>
          <w:lang w:val="en-US"/>
        </w:rPr>
        <w:t>Professor</w:t>
      </w:r>
      <w:r w:rsidR="00243394">
        <w:rPr>
          <w:color w:val="000000" w:themeColor="text1"/>
          <w:lang w:val="en-US"/>
        </w:rPr>
        <w:t xml:space="preserve"> Sarah-Jane Page</w:t>
      </w:r>
      <w:r>
        <w:rPr>
          <w:color w:val="000000" w:themeColor="text1"/>
          <w:lang w:val="en-US"/>
        </w:rPr>
        <w:t xml:space="preserve"> from the University of Nottingham) to</w:t>
      </w:r>
      <w:r w:rsidRPr="00906151">
        <w:rPr>
          <w:color w:val="000000" w:themeColor="text1"/>
          <w:lang w:val="en-US"/>
        </w:rPr>
        <w:t xml:space="preserve"> collect and analyze the </w:t>
      </w:r>
      <w:r w:rsidR="00243394">
        <w:rPr>
          <w:color w:val="000000" w:themeColor="text1"/>
          <w:lang w:val="en-US"/>
        </w:rPr>
        <w:t xml:space="preserve">photographs, </w:t>
      </w:r>
      <w:r w:rsidRPr="00906151">
        <w:rPr>
          <w:color w:val="000000" w:themeColor="text1"/>
          <w:lang w:val="en-US"/>
        </w:rPr>
        <w:t>creative materials</w:t>
      </w:r>
      <w:r w:rsidR="00243394">
        <w:rPr>
          <w:color w:val="000000" w:themeColor="text1"/>
          <w:lang w:val="en-US"/>
        </w:rPr>
        <w:t>,</w:t>
      </w:r>
      <w:r w:rsidRPr="00906151">
        <w:rPr>
          <w:color w:val="000000" w:themeColor="text1"/>
          <w:lang w:val="en-US"/>
        </w:rPr>
        <w:t xml:space="preserve"> and survivo</w:t>
      </w:r>
      <w:r>
        <w:rPr>
          <w:color w:val="000000" w:themeColor="text1"/>
          <w:lang w:val="en-US"/>
        </w:rPr>
        <w:t>r/</w:t>
      </w:r>
      <w:r w:rsidRPr="00906151">
        <w:rPr>
          <w:color w:val="000000" w:themeColor="text1"/>
          <w:lang w:val="en-US"/>
        </w:rPr>
        <w:t xml:space="preserve">ally testimonies generated by </w:t>
      </w:r>
      <w:r>
        <w:rPr>
          <w:color w:val="000000" w:themeColor="text1"/>
          <w:lang w:val="en-US"/>
        </w:rPr>
        <w:t xml:space="preserve">LF </w:t>
      </w:r>
      <w:r w:rsidRPr="00906151">
        <w:rPr>
          <w:color w:val="000000" w:themeColor="text1"/>
          <w:lang w:val="en-US"/>
        </w:rPr>
        <w:t>event</w:t>
      </w:r>
      <w:r>
        <w:rPr>
          <w:color w:val="000000" w:themeColor="text1"/>
          <w:lang w:val="en-US"/>
        </w:rPr>
        <w:t>s.</w:t>
      </w:r>
    </w:p>
    <w:p w14:paraId="300436BD" w14:textId="15DD8D57" w:rsidR="00343D0F" w:rsidRPr="003004B8" w:rsidRDefault="00343D0F" w:rsidP="00C07D0F">
      <w:pPr>
        <w:pStyle w:val="Heading2"/>
        <w:spacing w:line="480" w:lineRule="auto"/>
      </w:pPr>
      <w:r>
        <w:t xml:space="preserve">Archival </w:t>
      </w:r>
      <w:r w:rsidR="007B2A78">
        <w:t>d</w:t>
      </w:r>
      <w:r>
        <w:t xml:space="preserve">ebts and </w:t>
      </w:r>
      <w:r w:rsidR="007B2A78">
        <w:t>h</w:t>
      </w:r>
      <w:r>
        <w:t xml:space="preserve">igh </w:t>
      </w:r>
      <w:r w:rsidR="007B2A78">
        <w:t>s</w:t>
      </w:r>
      <w:r>
        <w:t>takes</w:t>
      </w:r>
    </w:p>
    <w:p w14:paraId="2CB4CB06" w14:textId="681B6CF2" w:rsidR="00343D0F" w:rsidRDefault="00343D0F" w:rsidP="00C07D0F">
      <w:pPr>
        <w:spacing w:line="480" w:lineRule="auto"/>
        <w:rPr>
          <w:color w:val="000000" w:themeColor="text1"/>
          <w:lang w:eastAsia="en-US"/>
        </w:rPr>
      </w:pPr>
      <w:r w:rsidRPr="00A968B3">
        <w:rPr>
          <w:color w:val="000000" w:themeColor="text1"/>
          <w:lang w:eastAsia="en-US"/>
        </w:rPr>
        <w:t>The concept of a survivor-centred archive is ideologically powerful, as</w:t>
      </w:r>
      <w:r>
        <w:rPr>
          <w:color w:val="000000" w:themeColor="text1"/>
          <w:lang w:eastAsia="en-US"/>
        </w:rPr>
        <w:t xml:space="preserve"> both</w:t>
      </w:r>
      <w:r w:rsidRPr="00A968B3">
        <w:rPr>
          <w:color w:val="000000" w:themeColor="text1"/>
          <w:lang w:eastAsia="en-US"/>
        </w:rPr>
        <w:t xml:space="preserve"> a site and a</w:t>
      </w:r>
      <w:r>
        <w:rPr>
          <w:color w:val="000000" w:themeColor="text1"/>
          <w:lang w:eastAsia="en-US"/>
        </w:rPr>
        <w:t xml:space="preserve"> reparative act, </w:t>
      </w:r>
      <w:r w:rsidRPr="00A968B3">
        <w:rPr>
          <w:color w:val="000000" w:themeColor="text1"/>
          <w:lang w:eastAsia="en-US"/>
        </w:rPr>
        <w:t>where those who have been silenced and rendered invisible may reclaim control</w:t>
      </w:r>
      <w:r>
        <w:rPr>
          <w:color w:val="000000" w:themeColor="text1"/>
          <w:lang w:eastAsia="en-US"/>
        </w:rPr>
        <w:t xml:space="preserve"> and </w:t>
      </w:r>
      <w:r w:rsidRPr="00A968B3">
        <w:rPr>
          <w:color w:val="000000" w:themeColor="text1"/>
          <w:lang w:eastAsia="en-US"/>
        </w:rPr>
        <w:t>write their own records, inform</w:t>
      </w:r>
      <w:r>
        <w:rPr>
          <w:color w:val="000000" w:themeColor="text1"/>
          <w:lang w:eastAsia="en-US"/>
        </w:rPr>
        <w:t>ing</w:t>
      </w:r>
      <w:r w:rsidRPr="00A968B3">
        <w:rPr>
          <w:color w:val="000000" w:themeColor="text1"/>
          <w:lang w:eastAsia="en-US"/>
        </w:rPr>
        <w:t xml:space="preserve"> new histories and </w:t>
      </w:r>
      <w:r>
        <w:rPr>
          <w:color w:val="000000" w:themeColor="text1"/>
          <w:lang w:eastAsia="en-US"/>
        </w:rPr>
        <w:t xml:space="preserve">restorative justice </w:t>
      </w:r>
      <w:r w:rsidRPr="00A968B3">
        <w:rPr>
          <w:color w:val="000000" w:themeColor="text1"/>
          <w:lang w:eastAsia="en-US"/>
        </w:rPr>
        <w:t>activities.</w:t>
      </w:r>
      <w:r w:rsidRPr="00A968B3">
        <w:rPr>
          <w:rStyle w:val="EndnoteReference"/>
          <w:color w:val="000000" w:themeColor="text1"/>
          <w:lang w:eastAsia="en-US"/>
        </w:rPr>
        <w:endnoteReference w:id="36"/>
      </w:r>
      <w:r w:rsidRPr="00A968B3">
        <w:rPr>
          <w:color w:val="000000" w:themeColor="text1"/>
          <w:lang w:eastAsia="en-US"/>
        </w:rPr>
        <w:t xml:space="preserve"> </w:t>
      </w:r>
      <w:r>
        <w:rPr>
          <w:color w:val="000000" w:themeColor="text1"/>
          <w:lang w:eastAsia="en-US"/>
        </w:rPr>
        <w:t>The archive h</w:t>
      </w:r>
      <w:r w:rsidRPr="00A3392D">
        <w:rPr>
          <w:color w:val="000000" w:themeColor="text1"/>
          <w:lang w:eastAsia="en-US"/>
        </w:rPr>
        <w:t xml:space="preserve">owever, as a space of imprimatur and power, is a fraught imaginary for survivors: </w:t>
      </w:r>
      <w:r>
        <w:rPr>
          <w:color w:val="000000" w:themeColor="text1"/>
          <w:lang w:eastAsia="en-US"/>
        </w:rPr>
        <w:t xml:space="preserve">promising </w:t>
      </w:r>
      <w:r w:rsidRPr="00A3392D">
        <w:rPr>
          <w:color w:val="000000" w:themeColor="text1"/>
          <w:lang w:eastAsia="en-US"/>
        </w:rPr>
        <w:t xml:space="preserve">the authority to shape how stories are told and retold, centring </w:t>
      </w:r>
      <w:r>
        <w:rPr>
          <w:color w:val="000000" w:themeColor="text1"/>
          <w:lang w:eastAsia="en-US"/>
        </w:rPr>
        <w:t>their needs and those of</w:t>
      </w:r>
      <w:r w:rsidRPr="00A3392D">
        <w:rPr>
          <w:color w:val="000000" w:themeColor="text1"/>
          <w:lang w:eastAsia="en-US"/>
        </w:rPr>
        <w:t xml:space="preserve"> their chosen communities, but accompanied by the threat of institutional co-option, contested ownership, and re-silencing by bureaucratic processes. There is also the </w:t>
      </w:r>
      <w:r w:rsidRPr="00A3392D">
        <w:rPr>
          <w:color w:val="000000" w:themeColor="text1"/>
          <w:lang w:eastAsia="en-US"/>
        </w:rPr>
        <w:lastRenderedPageBreak/>
        <w:t>risk of personal or familial exposure, re-traumati</w:t>
      </w:r>
      <w:r w:rsidR="00A12784">
        <w:rPr>
          <w:color w:val="000000" w:themeColor="text1"/>
          <w:lang w:eastAsia="en-US"/>
        </w:rPr>
        <w:t>z</w:t>
      </w:r>
      <w:r w:rsidRPr="00A3392D">
        <w:rPr>
          <w:color w:val="000000" w:themeColor="text1"/>
          <w:lang w:eastAsia="en-US"/>
        </w:rPr>
        <w:t xml:space="preserve">ation, and emotional and physical harm. The survivor-centred archiving of child sexual abuse (or even involvement in archiving projects) holds within it the possibility of </w:t>
      </w:r>
      <w:r>
        <w:rPr>
          <w:color w:val="000000" w:themeColor="text1"/>
          <w:lang w:eastAsia="en-US"/>
        </w:rPr>
        <w:t xml:space="preserve">public scrutiny </w:t>
      </w:r>
      <w:r w:rsidRPr="00A3392D">
        <w:rPr>
          <w:color w:val="000000" w:themeColor="text1"/>
          <w:lang w:eastAsia="en-US"/>
        </w:rPr>
        <w:t xml:space="preserve">of deep hurts and personal narratives, whether now or in </w:t>
      </w:r>
      <w:r>
        <w:rPr>
          <w:color w:val="000000" w:themeColor="text1"/>
          <w:lang w:eastAsia="en-US"/>
        </w:rPr>
        <w:t xml:space="preserve">an unknown </w:t>
      </w:r>
      <w:r w:rsidRPr="00A3392D">
        <w:rPr>
          <w:color w:val="000000" w:themeColor="text1"/>
          <w:lang w:eastAsia="en-US"/>
        </w:rPr>
        <w:t xml:space="preserve">future. </w:t>
      </w:r>
    </w:p>
    <w:p w14:paraId="2EDD8145" w14:textId="77777777" w:rsidR="00343D0F" w:rsidRDefault="00343D0F" w:rsidP="00C07D0F">
      <w:pPr>
        <w:spacing w:line="480" w:lineRule="auto"/>
        <w:rPr>
          <w:color w:val="000000" w:themeColor="text1"/>
          <w:lang w:eastAsia="en-US"/>
        </w:rPr>
      </w:pPr>
    </w:p>
    <w:p w14:paraId="02B4F09D" w14:textId="7F2F7061" w:rsidR="00343D0F" w:rsidRPr="0082275B" w:rsidRDefault="00343D0F" w:rsidP="00C07D0F">
      <w:pPr>
        <w:spacing w:line="480" w:lineRule="auto"/>
        <w:rPr>
          <w:lang w:eastAsia="en-US"/>
        </w:rPr>
      </w:pPr>
      <w:r w:rsidRPr="00A3392D">
        <w:rPr>
          <w:color w:val="000000" w:themeColor="text1"/>
          <w:lang w:eastAsia="en-US"/>
        </w:rPr>
        <w:t xml:space="preserve">While trauma-informed practice is a strengths-based approach that rightly focuses on the capacity of survivors for self-determination and decision-making, it must also account for the impacts of </w:t>
      </w:r>
      <w:proofErr w:type="gramStart"/>
      <w:r w:rsidRPr="00A3392D">
        <w:rPr>
          <w:color w:val="000000" w:themeColor="text1"/>
          <w:lang w:eastAsia="en-US"/>
        </w:rPr>
        <w:t>trauma</w:t>
      </w:r>
      <w:proofErr w:type="gramEnd"/>
      <w:r w:rsidRPr="00A3392D">
        <w:rPr>
          <w:color w:val="000000" w:themeColor="text1"/>
          <w:lang w:eastAsia="en-US"/>
        </w:rPr>
        <w:t xml:space="preserve"> and the vulnerabilities people live with. Survivors may find the prospect of having their experience</w:t>
      </w:r>
      <w:r w:rsidR="00243394">
        <w:rPr>
          <w:color w:val="000000" w:themeColor="text1"/>
          <w:lang w:eastAsia="en-US"/>
        </w:rPr>
        <w:t>s</w:t>
      </w:r>
      <w:r w:rsidRPr="00A3392D">
        <w:rPr>
          <w:color w:val="000000" w:themeColor="text1"/>
          <w:lang w:eastAsia="en-US"/>
        </w:rPr>
        <w:t xml:space="preserve"> preserved an empowering prospect, without fully appreciating the nature of their consent or the long-term and varied uses to which their records may be put. Indeed, although trauma-informed practice cannot – and is not meant – to be a therapeutic mechanism, it may be perceived or received that way or integrated into activity which has reparative aspirations (see </w:t>
      </w:r>
      <w:r w:rsidR="00F43CB1">
        <w:rPr>
          <w:color w:val="000000" w:themeColor="text1"/>
          <w:lang w:eastAsia="en-US"/>
        </w:rPr>
        <w:t>A</w:t>
      </w:r>
      <w:r w:rsidR="00091585">
        <w:rPr>
          <w:color w:val="000000" w:themeColor="text1"/>
          <w:lang w:eastAsia="en-US"/>
        </w:rPr>
        <w:t>lana</w:t>
      </w:r>
      <w:r w:rsidRPr="00A3392D">
        <w:rPr>
          <w:color w:val="000000" w:themeColor="text1"/>
          <w:lang w:eastAsia="en-US"/>
        </w:rPr>
        <w:t xml:space="preserve">’s experience with LF). </w:t>
      </w:r>
    </w:p>
    <w:p w14:paraId="727F6184" w14:textId="77777777" w:rsidR="00343D0F" w:rsidRDefault="00343D0F" w:rsidP="00C07D0F">
      <w:pPr>
        <w:spacing w:line="480" w:lineRule="auto"/>
        <w:rPr>
          <w:lang w:eastAsia="en-US"/>
        </w:rPr>
      </w:pPr>
    </w:p>
    <w:p w14:paraId="1BCD04C9" w14:textId="68AA7D4C" w:rsidR="00343D0F" w:rsidRPr="00A3392D" w:rsidRDefault="00343D0F" w:rsidP="00491243">
      <w:pPr>
        <w:spacing w:line="480" w:lineRule="auto"/>
        <w:rPr>
          <w:color w:val="000000" w:themeColor="text1"/>
          <w:lang w:eastAsia="en-US"/>
        </w:rPr>
      </w:pPr>
      <w:r w:rsidRPr="00A3392D">
        <w:rPr>
          <w:color w:val="000000" w:themeColor="text1"/>
          <w:lang w:eastAsia="en-US"/>
        </w:rPr>
        <w:t xml:space="preserve">In this context, the </w:t>
      </w:r>
      <w:r>
        <w:rPr>
          <w:color w:val="000000" w:themeColor="text1"/>
          <w:lang w:eastAsia="en-US"/>
        </w:rPr>
        <w:t>responsibilities for ensuring</w:t>
      </w:r>
      <w:r w:rsidRPr="00A3392D">
        <w:rPr>
          <w:color w:val="000000" w:themeColor="text1"/>
          <w:lang w:eastAsia="en-US"/>
        </w:rPr>
        <w:t xml:space="preserve"> safety,</w:t>
      </w:r>
      <w:r>
        <w:rPr>
          <w:color w:val="000000" w:themeColor="text1"/>
          <w:lang w:eastAsia="en-US"/>
        </w:rPr>
        <w:t xml:space="preserve"> building</w:t>
      </w:r>
      <w:r w:rsidRPr="00A3392D">
        <w:rPr>
          <w:color w:val="000000" w:themeColor="text1"/>
          <w:lang w:eastAsia="en-US"/>
        </w:rPr>
        <w:t xml:space="preserve"> trust, and </w:t>
      </w:r>
      <w:r>
        <w:rPr>
          <w:color w:val="000000" w:themeColor="text1"/>
          <w:lang w:eastAsia="en-US"/>
        </w:rPr>
        <w:t xml:space="preserve">embedding </w:t>
      </w:r>
      <w:r w:rsidRPr="00A3392D">
        <w:rPr>
          <w:color w:val="000000" w:themeColor="text1"/>
          <w:lang w:eastAsia="en-US"/>
        </w:rPr>
        <w:t xml:space="preserve">co-production are complex and contingent. In the following discussion we explore how we have sought to </w:t>
      </w:r>
      <w:r>
        <w:rPr>
          <w:color w:val="000000" w:themeColor="text1"/>
          <w:lang w:eastAsia="en-US"/>
        </w:rPr>
        <w:t xml:space="preserve">integrate </w:t>
      </w:r>
      <w:r w:rsidRPr="00A3392D">
        <w:rPr>
          <w:color w:val="000000" w:themeColor="text1"/>
          <w:lang w:eastAsia="en-US"/>
        </w:rPr>
        <w:t xml:space="preserve">trauma-informed </w:t>
      </w:r>
      <w:r w:rsidR="00E8733C">
        <w:rPr>
          <w:color w:val="000000" w:themeColor="text1"/>
          <w:lang w:eastAsia="en-US"/>
        </w:rPr>
        <w:t xml:space="preserve">practices </w:t>
      </w:r>
      <w:r>
        <w:rPr>
          <w:color w:val="000000" w:themeColor="text1"/>
          <w:lang w:eastAsia="en-US"/>
        </w:rPr>
        <w:t>through our pilot studies</w:t>
      </w:r>
      <w:r w:rsidRPr="00A3392D">
        <w:rPr>
          <w:color w:val="000000" w:themeColor="text1"/>
          <w:lang w:eastAsia="en-US"/>
        </w:rPr>
        <w:t xml:space="preserve">, actively learning (and stumbling) while testing the </w:t>
      </w:r>
      <w:r>
        <w:rPr>
          <w:color w:val="000000" w:themeColor="text1"/>
          <w:lang w:eastAsia="en-US"/>
        </w:rPr>
        <w:t>limits</w:t>
      </w:r>
      <w:r w:rsidRPr="00A3392D">
        <w:rPr>
          <w:color w:val="000000" w:themeColor="text1"/>
          <w:lang w:eastAsia="en-US"/>
        </w:rPr>
        <w:t xml:space="preserve"> of our </w:t>
      </w:r>
      <w:r>
        <w:rPr>
          <w:color w:val="000000" w:themeColor="text1"/>
          <w:lang w:eastAsia="en-US"/>
        </w:rPr>
        <w:t xml:space="preserve">personal </w:t>
      </w:r>
      <w:r w:rsidRPr="00A3392D">
        <w:rPr>
          <w:color w:val="000000" w:themeColor="text1"/>
          <w:lang w:eastAsia="en-US"/>
        </w:rPr>
        <w:t>capacity</w:t>
      </w:r>
      <w:r>
        <w:rPr>
          <w:color w:val="000000" w:themeColor="text1"/>
          <w:lang w:eastAsia="en-US"/>
        </w:rPr>
        <w:t xml:space="preserve"> and institutional boundaries</w:t>
      </w:r>
      <w:r w:rsidRPr="00A3392D">
        <w:rPr>
          <w:color w:val="000000" w:themeColor="text1"/>
          <w:lang w:eastAsia="en-US"/>
        </w:rPr>
        <w:t>. We focus on two critical aspects of the projects: the management of relationships, and the development of ethical protocols</w:t>
      </w:r>
      <w:r>
        <w:rPr>
          <w:color w:val="000000" w:themeColor="text1"/>
          <w:lang w:eastAsia="en-US"/>
        </w:rPr>
        <w:t>. W</w:t>
      </w:r>
      <w:r w:rsidRPr="00A3392D">
        <w:rPr>
          <w:color w:val="000000" w:themeColor="text1"/>
          <w:lang w:eastAsia="en-US"/>
        </w:rPr>
        <w:t>e unpack these problematics through heuristics and methodological practices chiefly developed by oral history practitioners in their applications of memory work</w:t>
      </w:r>
      <w:r>
        <w:rPr>
          <w:color w:val="000000" w:themeColor="text1"/>
          <w:lang w:eastAsia="en-US"/>
        </w:rPr>
        <w:t xml:space="preserve">: </w:t>
      </w:r>
      <w:r w:rsidRPr="00A3392D">
        <w:rPr>
          <w:color w:val="000000" w:themeColor="text1"/>
          <w:lang w:eastAsia="en-US"/>
        </w:rPr>
        <w:t>namely ‘intersubjectivity’ and ‘interpretative authority</w:t>
      </w:r>
      <w:r>
        <w:rPr>
          <w:color w:val="000000" w:themeColor="text1"/>
          <w:lang w:eastAsia="en-US"/>
        </w:rPr>
        <w:t>.</w:t>
      </w:r>
      <w:r w:rsidRPr="00A3392D">
        <w:rPr>
          <w:color w:val="000000" w:themeColor="text1"/>
          <w:lang w:eastAsia="en-US"/>
        </w:rPr>
        <w:t>’</w:t>
      </w:r>
      <w:r w:rsidR="00396D7C">
        <w:rPr>
          <w:color w:val="000000" w:themeColor="text1"/>
          <w:lang w:eastAsia="en-US"/>
        </w:rPr>
        <w:t xml:space="preserve"> </w:t>
      </w:r>
      <w:r w:rsidR="00F010D5">
        <w:rPr>
          <w:color w:val="000000" w:themeColor="text1"/>
          <w:lang w:eastAsia="en-US"/>
        </w:rPr>
        <w:t xml:space="preserve">We use the former term to describe the interaction between </w:t>
      </w:r>
      <w:r w:rsidR="003E4459">
        <w:rPr>
          <w:color w:val="000000" w:themeColor="text1"/>
          <w:lang w:eastAsia="en-US"/>
        </w:rPr>
        <w:t>multiple subjectivities in the production of memory and meaning.</w:t>
      </w:r>
      <w:r w:rsidR="00491243">
        <w:rPr>
          <w:color w:val="000000" w:themeColor="text1"/>
          <w:lang w:eastAsia="en-US"/>
        </w:rPr>
        <w:t xml:space="preserve"> In developing the concept in oral history, Lynn Abrams used it to ‘describe the way in which the subjectivity of each </w:t>
      </w:r>
      <w:r w:rsidR="007158B9">
        <w:rPr>
          <w:color w:val="000000" w:themeColor="text1"/>
          <w:lang w:eastAsia="en-US"/>
        </w:rPr>
        <w:t xml:space="preserve">[interviewer and interviewee] is </w:t>
      </w:r>
      <w:r w:rsidR="00491243" w:rsidRPr="00491243">
        <w:rPr>
          <w:color w:val="000000" w:themeColor="text1"/>
          <w:lang w:eastAsia="en-US"/>
        </w:rPr>
        <w:t xml:space="preserve">shaped by the </w:t>
      </w:r>
      <w:r w:rsidR="00491243" w:rsidRPr="00491243">
        <w:rPr>
          <w:color w:val="000000" w:themeColor="text1"/>
          <w:lang w:eastAsia="en-US"/>
        </w:rPr>
        <w:lastRenderedPageBreak/>
        <w:t>encounter with the other</w:t>
      </w:r>
      <w:r w:rsidR="007158B9">
        <w:rPr>
          <w:color w:val="000000" w:themeColor="text1"/>
          <w:lang w:eastAsia="en-US"/>
        </w:rPr>
        <w:t>.’</w:t>
      </w:r>
      <w:r w:rsidR="00FD4E58" w:rsidRPr="00A3392D">
        <w:rPr>
          <w:rStyle w:val="EndnoteReference"/>
          <w:color w:val="000000" w:themeColor="text1"/>
          <w:lang w:eastAsia="en-US"/>
        </w:rPr>
        <w:endnoteReference w:id="37"/>
      </w:r>
      <w:r w:rsidR="007158B9">
        <w:rPr>
          <w:color w:val="000000" w:themeColor="text1"/>
          <w:lang w:eastAsia="en-US"/>
        </w:rPr>
        <w:t xml:space="preserve"> Here we extend that use to include</w:t>
      </w:r>
      <w:r w:rsidR="00607692">
        <w:rPr>
          <w:color w:val="000000" w:themeColor="text1"/>
          <w:lang w:eastAsia="en-US"/>
        </w:rPr>
        <w:t xml:space="preserve"> the interplay of subjectivities</w:t>
      </w:r>
      <w:r w:rsidR="00AD4552">
        <w:rPr>
          <w:color w:val="000000" w:themeColor="text1"/>
          <w:lang w:eastAsia="en-US"/>
        </w:rPr>
        <w:t xml:space="preserve"> at work</w:t>
      </w:r>
      <w:r w:rsidR="00607692">
        <w:rPr>
          <w:color w:val="000000" w:themeColor="text1"/>
          <w:lang w:eastAsia="en-US"/>
        </w:rPr>
        <w:t xml:space="preserve"> in archival creation and preservation. </w:t>
      </w:r>
      <w:r w:rsidR="00515232">
        <w:rPr>
          <w:color w:val="000000" w:themeColor="text1"/>
          <w:lang w:eastAsia="en-US"/>
        </w:rPr>
        <w:t xml:space="preserve">The notion of ‘interpretive authority’ extends this recognition of intersubjectivity beyond the </w:t>
      </w:r>
      <w:r w:rsidR="0087185E">
        <w:rPr>
          <w:color w:val="000000" w:themeColor="text1"/>
          <w:lang w:eastAsia="en-US"/>
        </w:rPr>
        <w:t xml:space="preserve">creation of the oral history or archive itself to </w:t>
      </w:r>
      <w:r w:rsidR="00EA21EE">
        <w:rPr>
          <w:color w:val="000000" w:themeColor="text1"/>
          <w:lang w:eastAsia="en-US"/>
        </w:rPr>
        <w:t>consider how the ‘authority’ to interpret</w:t>
      </w:r>
      <w:r w:rsidR="00EF3675">
        <w:rPr>
          <w:color w:val="000000" w:themeColor="text1"/>
          <w:lang w:eastAsia="en-US"/>
        </w:rPr>
        <w:t xml:space="preserve"> and analysed </w:t>
      </w:r>
      <w:r w:rsidR="00963E4D">
        <w:rPr>
          <w:color w:val="000000" w:themeColor="text1"/>
          <w:lang w:eastAsia="en-US"/>
        </w:rPr>
        <w:t>can also be shared</w:t>
      </w:r>
      <w:r w:rsidR="004C2D81">
        <w:rPr>
          <w:color w:val="000000" w:themeColor="text1"/>
          <w:lang w:eastAsia="en-US"/>
        </w:rPr>
        <w:t xml:space="preserve"> (or, more often, </w:t>
      </w:r>
      <w:r w:rsidR="005F70C7">
        <w:rPr>
          <w:color w:val="000000" w:themeColor="text1"/>
          <w:lang w:eastAsia="en-US"/>
        </w:rPr>
        <w:t xml:space="preserve">unevenly </w:t>
      </w:r>
      <w:r w:rsidR="004C2D81">
        <w:rPr>
          <w:color w:val="000000" w:themeColor="text1"/>
          <w:lang w:eastAsia="en-US"/>
        </w:rPr>
        <w:t>shared)</w:t>
      </w:r>
      <w:r w:rsidR="005F70C7">
        <w:rPr>
          <w:color w:val="000000" w:themeColor="text1"/>
          <w:lang w:eastAsia="en-US"/>
        </w:rPr>
        <w:t>, building on the pioneering work of Michael Frisch.</w:t>
      </w:r>
    </w:p>
    <w:p w14:paraId="233D58EE" w14:textId="3B34FD8C" w:rsidR="00343D0F" w:rsidRDefault="00343D0F" w:rsidP="00C07D0F">
      <w:pPr>
        <w:pStyle w:val="Heading3"/>
        <w:spacing w:line="480" w:lineRule="auto"/>
      </w:pPr>
      <w:r>
        <w:t xml:space="preserve">Intersubjectivities: </w:t>
      </w:r>
      <w:r w:rsidR="007B2A78">
        <w:t>n</w:t>
      </w:r>
      <w:r>
        <w:t xml:space="preserve">avigating </w:t>
      </w:r>
      <w:r w:rsidR="007B2A78">
        <w:t>i</w:t>
      </w:r>
      <w:r>
        <w:t xml:space="preserve">nterpersonal </w:t>
      </w:r>
      <w:r w:rsidR="007B2A78">
        <w:t>r</w:t>
      </w:r>
      <w:r>
        <w:t>elationships</w:t>
      </w:r>
    </w:p>
    <w:p w14:paraId="03896800" w14:textId="77777777" w:rsidR="00343D0F" w:rsidRPr="003462B0" w:rsidRDefault="00343D0F" w:rsidP="00C07D0F">
      <w:pPr>
        <w:spacing w:line="480" w:lineRule="auto"/>
        <w:rPr>
          <w:color w:val="000000" w:themeColor="text1"/>
          <w:lang w:eastAsia="en-US"/>
        </w:rPr>
      </w:pPr>
      <w:r>
        <w:rPr>
          <w:color w:val="000000" w:themeColor="text1"/>
          <w:lang w:eastAsia="en-US"/>
        </w:rPr>
        <w:t xml:space="preserve">Every </w:t>
      </w:r>
      <w:r w:rsidRPr="003462B0">
        <w:rPr>
          <w:color w:val="000000" w:themeColor="text1"/>
          <w:lang w:eastAsia="en-US"/>
        </w:rPr>
        <w:t xml:space="preserve">archive </w:t>
      </w:r>
      <w:r>
        <w:rPr>
          <w:color w:val="000000" w:themeColor="text1"/>
          <w:lang w:eastAsia="en-US"/>
        </w:rPr>
        <w:t xml:space="preserve">of CSA </w:t>
      </w:r>
      <w:r w:rsidRPr="003462B0">
        <w:rPr>
          <w:color w:val="000000" w:themeColor="text1"/>
          <w:lang w:eastAsia="en-US"/>
        </w:rPr>
        <w:t>present</w:t>
      </w:r>
      <w:r>
        <w:rPr>
          <w:color w:val="000000" w:themeColor="text1"/>
          <w:lang w:eastAsia="en-US"/>
        </w:rPr>
        <w:t>s</w:t>
      </w:r>
      <w:r w:rsidRPr="003462B0">
        <w:rPr>
          <w:color w:val="000000" w:themeColor="text1"/>
          <w:lang w:eastAsia="en-US"/>
        </w:rPr>
        <w:t xml:space="preserve"> distinctive relational challenges</w:t>
      </w:r>
      <w:r>
        <w:rPr>
          <w:color w:val="000000" w:themeColor="text1"/>
          <w:lang w:eastAsia="en-US"/>
        </w:rPr>
        <w:t xml:space="preserve"> that arise from the personal, political, and social sensitivities of the material. In our cases, for example, </w:t>
      </w:r>
      <w:r w:rsidRPr="003462B0">
        <w:rPr>
          <w:color w:val="000000" w:themeColor="text1"/>
          <w:lang w:eastAsia="en-US"/>
        </w:rPr>
        <w:t>the</w:t>
      </w:r>
      <w:r>
        <w:rPr>
          <w:color w:val="000000" w:themeColor="text1"/>
          <w:lang w:eastAsia="en-US"/>
        </w:rPr>
        <w:t xml:space="preserve"> fixed</w:t>
      </w:r>
      <w:r w:rsidRPr="003462B0">
        <w:rPr>
          <w:color w:val="000000" w:themeColor="text1"/>
          <w:lang w:eastAsia="en-US"/>
        </w:rPr>
        <w:t xml:space="preserve"> ‘historical’ nature of the RSJ bequest </w:t>
      </w:r>
      <w:r>
        <w:rPr>
          <w:color w:val="000000" w:themeColor="text1"/>
          <w:lang w:eastAsia="en-US"/>
        </w:rPr>
        <w:t>is distinguished from</w:t>
      </w:r>
      <w:r w:rsidRPr="003462B0">
        <w:rPr>
          <w:color w:val="000000" w:themeColor="text1"/>
          <w:lang w:eastAsia="en-US"/>
        </w:rPr>
        <w:t xml:space="preserve"> the evolution of the LF </w:t>
      </w:r>
      <w:r>
        <w:rPr>
          <w:color w:val="000000" w:themeColor="text1"/>
          <w:lang w:eastAsia="en-US"/>
        </w:rPr>
        <w:t>archive as part of an ongoing movement</w:t>
      </w:r>
      <w:r w:rsidRPr="003462B0">
        <w:rPr>
          <w:color w:val="000000" w:themeColor="text1"/>
          <w:lang w:eastAsia="en-US"/>
        </w:rPr>
        <w:t xml:space="preserve">. Nevertheless, comparable </w:t>
      </w:r>
      <w:r>
        <w:rPr>
          <w:color w:val="000000" w:themeColor="text1"/>
          <w:lang w:eastAsia="en-US"/>
        </w:rPr>
        <w:t>issues</w:t>
      </w:r>
      <w:r w:rsidRPr="003462B0">
        <w:rPr>
          <w:color w:val="000000" w:themeColor="text1"/>
          <w:lang w:eastAsia="en-US"/>
        </w:rPr>
        <w:t xml:space="preserve"> </w:t>
      </w:r>
      <w:r>
        <w:rPr>
          <w:color w:val="000000" w:themeColor="text1"/>
          <w:lang w:eastAsia="en-US"/>
        </w:rPr>
        <w:t>arise from our responsibilities to survivors, the resulting interpersonal relationships,</w:t>
      </w:r>
      <w:r w:rsidRPr="003462B0">
        <w:rPr>
          <w:color w:val="000000" w:themeColor="text1"/>
          <w:lang w:eastAsia="en-US"/>
        </w:rPr>
        <w:t xml:space="preserve"> and the continued</w:t>
      </w:r>
      <w:r>
        <w:rPr>
          <w:color w:val="000000" w:themeColor="text1"/>
          <w:lang w:eastAsia="en-US"/>
        </w:rPr>
        <w:t xml:space="preserve"> </w:t>
      </w:r>
      <w:r w:rsidRPr="003462B0">
        <w:rPr>
          <w:color w:val="000000" w:themeColor="text1"/>
          <w:lang w:eastAsia="en-US"/>
        </w:rPr>
        <w:t xml:space="preserve">affiliation/disaffiliation of networks of family, friends, co-labourers, and groups. Our own </w:t>
      </w:r>
      <w:r>
        <w:rPr>
          <w:color w:val="000000" w:themeColor="text1"/>
          <w:lang w:eastAsia="en-US"/>
        </w:rPr>
        <w:t xml:space="preserve">personalities and </w:t>
      </w:r>
      <w:r w:rsidRPr="003462B0">
        <w:rPr>
          <w:color w:val="000000" w:themeColor="text1"/>
          <w:lang w:eastAsia="en-US"/>
        </w:rPr>
        <w:t xml:space="preserve">positionalities as researchers and historian-archivists are </w:t>
      </w:r>
      <w:r>
        <w:rPr>
          <w:color w:val="000000" w:themeColor="text1"/>
          <w:lang w:eastAsia="en-US"/>
        </w:rPr>
        <w:t>further</w:t>
      </w:r>
      <w:r w:rsidRPr="003462B0">
        <w:rPr>
          <w:color w:val="000000" w:themeColor="text1"/>
          <w:lang w:eastAsia="en-US"/>
        </w:rPr>
        <w:t xml:space="preserve"> implicated, as we became involved in</w:t>
      </w:r>
      <w:r>
        <w:rPr>
          <w:color w:val="000000" w:themeColor="text1"/>
          <w:lang w:eastAsia="en-US"/>
        </w:rPr>
        <w:t xml:space="preserve"> – and responsible for – </w:t>
      </w:r>
      <w:r w:rsidRPr="003462B0">
        <w:rPr>
          <w:color w:val="000000" w:themeColor="text1"/>
          <w:lang w:eastAsia="en-US"/>
        </w:rPr>
        <w:t>the conception, co-production, and direction of the archives beyond their original contexts and intentions. In both cases, we have felt ourselves ethically accountable to varied ‘</w:t>
      </w:r>
      <w:r>
        <w:rPr>
          <w:color w:val="000000" w:themeColor="text1"/>
          <w:lang w:eastAsia="en-US"/>
        </w:rPr>
        <w:t>high-</w:t>
      </w:r>
      <w:r w:rsidRPr="003462B0">
        <w:rPr>
          <w:color w:val="000000" w:themeColor="text1"/>
          <w:lang w:eastAsia="en-US"/>
        </w:rPr>
        <w:t>stakeholders’ – including the deceased and unknown third parties – and have been</w:t>
      </w:r>
      <w:r>
        <w:rPr>
          <w:color w:val="000000" w:themeColor="text1"/>
          <w:lang w:eastAsia="en-US"/>
        </w:rPr>
        <w:t xml:space="preserve"> confronted and challenged by the emotional work wrapped into our academic endeavours</w:t>
      </w:r>
      <w:r w:rsidRPr="003462B0">
        <w:rPr>
          <w:color w:val="000000" w:themeColor="text1"/>
          <w:lang w:eastAsia="en-US"/>
        </w:rPr>
        <w:t>.</w:t>
      </w:r>
      <w:r w:rsidRPr="003462B0">
        <w:rPr>
          <w:rStyle w:val="EndnoteReference"/>
          <w:color w:val="000000" w:themeColor="text1"/>
          <w:lang w:eastAsia="en-US"/>
        </w:rPr>
        <w:endnoteReference w:id="38"/>
      </w:r>
      <w:r w:rsidRPr="003462B0">
        <w:rPr>
          <w:color w:val="000000" w:themeColor="text1"/>
          <w:lang w:eastAsia="en-US"/>
        </w:rPr>
        <w:t xml:space="preserve"> </w:t>
      </w:r>
    </w:p>
    <w:p w14:paraId="49676AB1" w14:textId="77777777" w:rsidR="00343D0F" w:rsidRDefault="00343D0F" w:rsidP="00C07D0F">
      <w:pPr>
        <w:spacing w:line="480" w:lineRule="auto"/>
        <w:rPr>
          <w:lang w:eastAsia="en-US"/>
        </w:rPr>
      </w:pPr>
    </w:p>
    <w:p w14:paraId="1F74E5F7" w14:textId="17628B57" w:rsidR="00343D0F" w:rsidRDefault="00343D0F" w:rsidP="00C07D0F">
      <w:pPr>
        <w:spacing w:line="480" w:lineRule="auto"/>
        <w:rPr>
          <w:lang w:eastAsia="en-US"/>
        </w:rPr>
      </w:pPr>
      <w:r>
        <w:rPr>
          <w:lang w:eastAsia="en-US"/>
        </w:rPr>
        <w:t>On the surface the identification and deposit of the RSJ archive appeared to be straightforward and without friction –its acquisition was an arms-length activity that did not constitute ‘research with human participants.’ As such</w:t>
      </w:r>
      <w:r w:rsidR="005F70C7">
        <w:rPr>
          <w:lang w:eastAsia="en-US"/>
        </w:rPr>
        <w:t>,</w:t>
      </w:r>
      <w:r>
        <w:rPr>
          <w:lang w:eastAsia="en-US"/>
        </w:rPr>
        <w:t xml:space="preserve"> it was not originally subject to ethics scrutiny or permissions. </w:t>
      </w:r>
      <w:proofErr w:type="spellStart"/>
      <w:r>
        <w:rPr>
          <w:lang w:eastAsia="en-US"/>
        </w:rPr>
        <w:t>Rasjidah’s</w:t>
      </w:r>
      <w:proofErr w:type="spellEnd"/>
      <w:r>
        <w:rPr>
          <w:lang w:eastAsia="en-US"/>
        </w:rPr>
        <w:t xml:space="preserve"> executors - her closest living family members - were enthusiastic to secure a home for their aunt’s papers and have subsequently affirmed their gratitude at seeing them used as the subject of research. Functionally, temporary deposit at an </w:t>
      </w:r>
      <w:r>
        <w:rPr>
          <w:lang w:eastAsia="en-US"/>
        </w:rPr>
        <w:lastRenderedPageBreak/>
        <w:t>archival institution until 2029 ensured the archive’s preservation and provided time and space to consider its long-term future. This was enabled by</w:t>
      </w:r>
      <w:r w:rsidR="009E02C9">
        <w:rPr>
          <w:lang w:eastAsia="en-US"/>
        </w:rPr>
        <w:t xml:space="preserve"> Victoria</w:t>
      </w:r>
      <w:r>
        <w:rPr>
          <w:lang w:eastAsia="en-US"/>
        </w:rPr>
        <w:t xml:space="preserve">’s institutional affiliation, existing association with the repository, and professional leverage as a former archivist. However, the arrangement entailed the removal of the archive to a site 270 miles from the family, far from </w:t>
      </w:r>
      <w:proofErr w:type="spellStart"/>
      <w:r>
        <w:rPr>
          <w:lang w:eastAsia="en-US"/>
        </w:rPr>
        <w:t>Rasjidah’s</w:t>
      </w:r>
      <w:proofErr w:type="spellEnd"/>
      <w:r>
        <w:rPr>
          <w:lang w:eastAsia="en-US"/>
        </w:rPr>
        <w:t xml:space="preserve"> centre of operations. This is not without precedent – the archives of many London-based feminist organisations are held at the Women’s Library in Glasgow – but it created a logistical and psychological barrier between </w:t>
      </w:r>
      <w:proofErr w:type="spellStart"/>
      <w:r>
        <w:rPr>
          <w:lang w:eastAsia="en-US"/>
        </w:rPr>
        <w:t>Rasjidah’s</w:t>
      </w:r>
      <w:proofErr w:type="spellEnd"/>
      <w:r>
        <w:rPr>
          <w:lang w:eastAsia="en-US"/>
        </w:rPr>
        <w:t xml:space="preserve"> papers and the people and constituencies to whom they have most meaning. The continued respect and honour in which she is held by her family is palpable. In a family interview, one of her nieces began: ‘…a</w:t>
      </w:r>
      <w:r w:rsidRPr="00B72F7B">
        <w:rPr>
          <w:lang w:eastAsia="en-US"/>
        </w:rPr>
        <w:t xml:space="preserve">ll I can say is that that we love </w:t>
      </w:r>
      <w:proofErr w:type="spellStart"/>
      <w:r w:rsidRPr="00B72F7B">
        <w:rPr>
          <w:lang w:eastAsia="en-US"/>
        </w:rPr>
        <w:t>Rasjidah</w:t>
      </w:r>
      <w:proofErr w:type="spellEnd"/>
      <w:r w:rsidRPr="00B72F7B">
        <w:rPr>
          <w:lang w:eastAsia="en-US"/>
        </w:rPr>
        <w:t xml:space="preserve"> very much.</w:t>
      </w:r>
      <w:r>
        <w:rPr>
          <w:lang w:eastAsia="en-US"/>
        </w:rPr>
        <w:t>’</w:t>
      </w:r>
      <w:r>
        <w:rPr>
          <w:rStyle w:val="EndnoteReference"/>
          <w:lang w:eastAsia="en-US"/>
        </w:rPr>
        <w:endnoteReference w:id="39"/>
      </w:r>
      <w:r w:rsidRPr="00B72F7B">
        <w:rPr>
          <w:lang w:eastAsia="en-US"/>
        </w:rPr>
        <w:t> </w:t>
      </w:r>
      <w:r w:rsidR="003B3B34">
        <w:rPr>
          <w:lang w:eastAsia="en-US"/>
        </w:rPr>
        <w:t>Victoria</w:t>
      </w:r>
      <w:r>
        <w:rPr>
          <w:lang w:eastAsia="en-US"/>
        </w:rPr>
        <w:t xml:space="preserve"> sat and conducted this interview at a table pre-set with family photographs and </w:t>
      </w:r>
      <w:proofErr w:type="spellStart"/>
      <w:r>
        <w:rPr>
          <w:lang w:eastAsia="en-US"/>
        </w:rPr>
        <w:t>Rasjidah’s</w:t>
      </w:r>
      <w:proofErr w:type="spellEnd"/>
      <w:r>
        <w:rPr>
          <w:lang w:eastAsia="en-US"/>
        </w:rPr>
        <w:t xml:space="preserve"> handwritten poems, atop a giant piece of paper upon which </w:t>
      </w:r>
      <w:r w:rsidR="009D1E7D">
        <w:rPr>
          <w:lang w:eastAsia="en-US"/>
        </w:rPr>
        <w:t>her family</w:t>
      </w:r>
      <w:r>
        <w:rPr>
          <w:lang w:eastAsia="en-US"/>
        </w:rPr>
        <w:t xml:space="preserve"> had charted a timeline of her life. It became clear as they talked that their life histories were entangled with Rasjidah’s, not only in the usual familial ways, but because of their experiences of CSA. The traumas contained within the archive – </w:t>
      </w:r>
      <w:proofErr w:type="spellStart"/>
      <w:r>
        <w:rPr>
          <w:lang w:eastAsia="en-US"/>
        </w:rPr>
        <w:t>Rasjidah’s</w:t>
      </w:r>
      <w:proofErr w:type="spellEnd"/>
      <w:r>
        <w:rPr>
          <w:lang w:eastAsia="en-US"/>
        </w:rPr>
        <w:t xml:space="preserve"> own and those of others involved in the movement – were the signifier of a longer and deeper familial history of abuse, resilience, and survival. </w:t>
      </w:r>
    </w:p>
    <w:p w14:paraId="62A6EA27" w14:textId="77777777" w:rsidR="00343D0F" w:rsidRDefault="00343D0F" w:rsidP="00C07D0F">
      <w:pPr>
        <w:spacing w:line="480" w:lineRule="auto"/>
        <w:rPr>
          <w:lang w:eastAsia="en-US"/>
        </w:rPr>
      </w:pPr>
    </w:p>
    <w:p w14:paraId="3871C790" w14:textId="20BD65B8" w:rsidR="00343D0F" w:rsidRDefault="00343D0F" w:rsidP="00C07D0F">
      <w:pPr>
        <w:spacing w:line="480" w:lineRule="auto"/>
        <w:rPr>
          <w:lang w:eastAsia="en-US"/>
        </w:rPr>
      </w:pPr>
      <w:r>
        <w:rPr>
          <w:lang w:eastAsia="en-US"/>
        </w:rPr>
        <w:t>This speaks to the ways in which archives of CSA are not circumscribed or contained, because they embody historical wounds with</w:t>
      </w:r>
      <w:r w:rsidR="00F25DB5">
        <w:rPr>
          <w:lang w:eastAsia="en-US"/>
        </w:rPr>
        <w:t xml:space="preserve"> intersubjective and</w:t>
      </w:r>
      <w:r>
        <w:rPr>
          <w:lang w:eastAsia="en-US"/>
        </w:rPr>
        <w:t xml:space="preserve"> intergenerational resonance.</w:t>
      </w:r>
      <w:r>
        <w:rPr>
          <w:rStyle w:val="EndnoteReference"/>
          <w:lang w:eastAsia="en-US"/>
        </w:rPr>
        <w:endnoteReference w:id="40"/>
      </w:r>
      <w:r>
        <w:rPr>
          <w:lang w:eastAsia="en-US"/>
        </w:rPr>
        <w:t xml:space="preserve"> </w:t>
      </w:r>
      <w:r w:rsidR="00EB40D5">
        <w:rPr>
          <w:lang w:eastAsia="en-US"/>
        </w:rPr>
        <w:t xml:space="preserve">In other words, they arise out </w:t>
      </w:r>
      <w:r w:rsidR="00F70775">
        <w:rPr>
          <w:lang w:eastAsia="en-US"/>
        </w:rPr>
        <w:t xml:space="preserve">and are ascribed meaning </w:t>
      </w:r>
      <w:proofErr w:type="gramStart"/>
      <w:r w:rsidR="00F70775">
        <w:rPr>
          <w:lang w:eastAsia="en-US"/>
        </w:rPr>
        <w:t>as a result of</w:t>
      </w:r>
      <w:proofErr w:type="gramEnd"/>
      <w:r w:rsidR="00F70775">
        <w:rPr>
          <w:lang w:eastAsia="en-US"/>
        </w:rPr>
        <w:t xml:space="preserve"> shared – and unfinished – experiences. </w:t>
      </w:r>
      <w:r>
        <w:rPr>
          <w:lang w:eastAsia="en-US"/>
        </w:rPr>
        <w:t xml:space="preserve">Although the RSJ archive appears to have a beginning – when </w:t>
      </w:r>
      <w:proofErr w:type="spellStart"/>
      <w:r>
        <w:rPr>
          <w:lang w:eastAsia="en-US"/>
        </w:rPr>
        <w:t>Rasjidah</w:t>
      </w:r>
      <w:proofErr w:type="spellEnd"/>
      <w:r>
        <w:rPr>
          <w:lang w:eastAsia="en-US"/>
        </w:rPr>
        <w:t xml:space="preserve"> ‘rose up angry’ – and an end with her death forty years later, this is an illusion that is anticipated by the normative ways in which traditional historical biographies are written and personal papers conceptualised.</w:t>
      </w:r>
      <w:r>
        <w:rPr>
          <w:rStyle w:val="EndnoteReference"/>
          <w:lang w:eastAsia="en-US"/>
        </w:rPr>
        <w:endnoteReference w:id="41"/>
      </w:r>
      <w:r>
        <w:rPr>
          <w:lang w:eastAsia="en-US"/>
        </w:rPr>
        <w:t xml:space="preserve">  </w:t>
      </w:r>
      <w:r w:rsidR="00AD575D">
        <w:rPr>
          <w:lang w:eastAsia="en-US"/>
        </w:rPr>
        <w:t>T</w:t>
      </w:r>
      <w:r>
        <w:rPr>
          <w:lang w:eastAsia="en-US"/>
        </w:rPr>
        <w:t xml:space="preserve">he RSJ archive is an instance of </w:t>
      </w:r>
      <w:r w:rsidRPr="00120604">
        <w:rPr>
          <w:lang w:eastAsia="en-US"/>
        </w:rPr>
        <w:t>archival emergence,</w:t>
      </w:r>
      <w:r>
        <w:rPr>
          <w:lang w:eastAsia="en-US"/>
        </w:rPr>
        <w:t xml:space="preserve"> where a set of experiences and relations which are otherwise marginalised or minoritised are </w:t>
      </w:r>
      <w:r>
        <w:rPr>
          <w:lang w:eastAsia="en-US"/>
        </w:rPr>
        <w:lastRenderedPageBreak/>
        <w:t xml:space="preserve">made visible through activism (both </w:t>
      </w:r>
      <w:proofErr w:type="spellStart"/>
      <w:r>
        <w:rPr>
          <w:lang w:eastAsia="en-US"/>
        </w:rPr>
        <w:t>Rasjidah’s</w:t>
      </w:r>
      <w:proofErr w:type="spellEnd"/>
      <w:r>
        <w:rPr>
          <w:lang w:eastAsia="en-US"/>
        </w:rPr>
        <w:t xml:space="preserve"> as the creator, and</w:t>
      </w:r>
      <w:r w:rsidR="00476B82">
        <w:rPr>
          <w:lang w:eastAsia="en-US"/>
        </w:rPr>
        <w:t xml:space="preserve"> Victoria’s</w:t>
      </w:r>
      <w:r>
        <w:rPr>
          <w:lang w:eastAsia="en-US"/>
        </w:rPr>
        <w:t xml:space="preserve"> as the historian-archivist). To some extent this is analogous to the effect of other categories of community and identity archives, combatting symbolic annihilation and providing a point of access to hidden narratives.</w:t>
      </w:r>
      <w:r>
        <w:rPr>
          <w:rStyle w:val="EndnoteReference"/>
          <w:lang w:eastAsia="en-US"/>
        </w:rPr>
        <w:endnoteReference w:id="42"/>
      </w:r>
      <w:r>
        <w:rPr>
          <w:lang w:eastAsia="en-US"/>
        </w:rPr>
        <w:t xml:space="preserve"> However, the implications of this visibility are deeply relational – they resonate through the family, as the archive speaks not only to the traumas at the surface but also those which remain (and will be kept) below. The preservation of the archive creates tension by pulling on these bonds in ways which those who are implicated may not fully understand or imagine. </w:t>
      </w:r>
      <w:r w:rsidR="00113833">
        <w:rPr>
          <w:lang w:eastAsia="en-US"/>
        </w:rPr>
        <w:t xml:space="preserve">Victoria </w:t>
      </w:r>
      <w:r>
        <w:rPr>
          <w:lang w:eastAsia="en-US"/>
        </w:rPr>
        <w:t>saw this reali</w:t>
      </w:r>
      <w:r w:rsidR="00A12784">
        <w:rPr>
          <w:lang w:eastAsia="en-US"/>
        </w:rPr>
        <w:t>z</w:t>
      </w:r>
      <w:r>
        <w:rPr>
          <w:lang w:eastAsia="en-US"/>
        </w:rPr>
        <w:t xml:space="preserve">ation dawn during the family interview, when they began to comprehend the archive becoming public and more widely available. </w:t>
      </w:r>
      <w:r w:rsidR="000B606B">
        <w:rPr>
          <w:lang w:eastAsia="en-US"/>
        </w:rPr>
        <w:t xml:space="preserve">What had been an anticipated result </w:t>
      </w:r>
      <w:r w:rsidR="004A40E1">
        <w:rPr>
          <w:lang w:eastAsia="en-US"/>
        </w:rPr>
        <w:t>from the perspective of an archivist, was a shock for the family</w:t>
      </w:r>
      <w:r w:rsidR="00724008">
        <w:rPr>
          <w:lang w:eastAsia="en-US"/>
        </w:rPr>
        <w:t xml:space="preserve">. </w:t>
      </w:r>
      <w:r>
        <w:rPr>
          <w:lang w:eastAsia="en-US"/>
        </w:rPr>
        <w:t xml:space="preserve">There was fresh recognition of how this might be received by Rasjidah’s distant relatives in Australia, where her experiences of abuse took place, </w:t>
      </w:r>
      <w:proofErr w:type="gramStart"/>
      <w:r>
        <w:rPr>
          <w:lang w:eastAsia="en-US"/>
        </w:rPr>
        <w:t>and also</w:t>
      </w:r>
      <w:proofErr w:type="gramEnd"/>
      <w:r>
        <w:rPr>
          <w:lang w:eastAsia="en-US"/>
        </w:rPr>
        <w:t xml:space="preserve"> how her campaigning work might be connected to the interviewees’ own life stories. Thus, as well as a survivor-centred asset laid down against the ‘archival debt,’ RSJ’s papers continue to be entangled in live relations, conflicts, and tensions</w:t>
      </w:r>
      <w:r w:rsidR="00724008">
        <w:rPr>
          <w:lang w:eastAsia="en-US"/>
        </w:rPr>
        <w:t xml:space="preserve"> which must be negotiated</w:t>
      </w:r>
      <w:r>
        <w:rPr>
          <w:lang w:eastAsia="en-US"/>
        </w:rPr>
        <w:t xml:space="preserve">. </w:t>
      </w:r>
    </w:p>
    <w:p w14:paraId="0001C0A6" w14:textId="77777777" w:rsidR="00343D0F" w:rsidRDefault="00343D0F" w:rsidP="00C07D0F">
      <w:pPr>
        <w:spacing w:line="480" w:lineRule="auto"/>
        <w:rPr>
          <w:lang w:eastAsia="en-US"/>
        </w:rPr>
      </w:pPr>
    </w:p>
    <w:p w14:paraId="5E4851E8" w14:textId="76FDDE29" w:rsidR="00343D0F" w:rsidRDefault="00343D0F" w:rsidP="00C07D0F">
      <w:pPr>
        <w:spacing w:line="480" w:lineRule="auto"/>
        <w:rPr>
          <w:lang w:eastAsia="en-US"/>
        </w:rPr>
      </w:pPr>
      <w:r>
        <w:rPr>
          <w:lang w:eastAsia="en-US"/>
        </w:rPr>
        <w:t>Trauma-informed principles of safety, transparency</w:t>
      </w:r>
      <w:r w:rsidR="005F70C7">
        <w:rPr>
          <w:lang w:eastAsia="en-US"/>
        </w:rPr>
        <w:t>,</w:t>
      </w:r>
      <w:r>
        <w:rPr>
          <w:lang w:eastAsia="en-US"/>
        </w:rPr>
        <w:t xml:space="preserve"> and mutuality are clearly essential in such a case but have not been straightforward or intuitive to enact. Since the project was not subject to ethics clearance, there were few early prompts to discuss or reflect on the work with others; the mechanics of temporary deposit were allowed to proceed as if the archival case was self-evident. At first,</w:t>
      </w:r>
      <w:r w:rsidR="00AB2315">
        <w:rPr>
          <w:color w:val="000000" w:themeColor="text1"/>
          <w:lang w:eastAsia="en-US"/>
        </w:rPr>
        <w:t xml:space="preserve"> Victoria</w:t>
      </w:r>
      <w:r w:rsidRPr="00120604">
        <w:rPr>
          <w:color w:val="000000" w:themeColor="text1"/>
          <w:lang w:eastAsia="en-US"/>
        </w:rPr>
        <w:t xml:space="preserve"> </w:t>
      </w:r>
      <w:r>
        <w:rPr>
          <w:lang w:eastAsia="en-US"/>
        </w:rPr>
        <w:t xml:space="preserve">was not aware of the multiple traumas which surrounded the archive, nor did she fully appreciate the family griefwork it embodied. This meant she could not be fully transparent about the potential effects or implications of her work on </w:t>
      </w:r>
      <w:proofErr w:type="spellStart"/>
      <w:r>
        <w:rPr>
          <w:lang w:eastAsia="en-US"/>
        </w:rPr>
        <w:t>Rasjidah’s</w:t>
      </w:r>
      <w:proofErr w:type="spellEnd"/>
      <w:r>
        <w:rPr>
          <w:lang w:eastAsia="en-US"/>
        </w:rPr>
        <w:t xml:space="preserve"> legacy at the outset but instead had to adapt as new information became available. This was damaging to the development of trust with the family, as new </w:t>
      </w:r>
      <w:r>
        <w:rPr>
          <w:lang w:eastAsia="en-US"/>
        </w:rPr>
        <w:lastRenderedPageBreak/>
        <w:t xml:space="preserve">consequences to the relationship between the archive, the research project, and their lives (and own privacy) became apparent. At the same time, the difference between the progress of academic research and archival practice – which is slow – and the rapidly changing landscapes of feeling was stark. What felt like short breaks in interaction to </w:t>
      </w:r>
      <w:r w:rsidR="007750C6">
        <w:rPr>
          <w:lang w:eastAsia="en-US"/>
        </w:rPr>
        <w:t>Victoria</w:t>
      </w:r>
      <w:r>
        <w:rPr>
          <w:lang w:eastAsia="en-US"/>
        </w:rPr>
        <w:t xml:space="preserve"> were experienced as long silences and delay by the family. This impacted the flow of collaboration and was exacerbated by a geographic distance that meant in-person conversations could only be occasional. Meanwhile, emotions which had been initiated by previous interactions could mature, develop, and be discussed within the family. As the imagined act of archiving </w:t>
      </w:r>
      <w:proofErr w:type="spellStart"/>
      <w:r>
        <w:rPr>
          <w:lang w:eastAsia="en-US"/>
        </w:rPr>
        <w:t>Rasjidah’s</w:t>
      </w:r>
      <w:proofErr w:type="spellEnd"/>
      <w:r>
        <w:rPr>
          <w:lang w:eastAsia="en-US"/>
        </w:rPr>
        <w:t xml:space="preserve"> papers – a gesture of love and respect for their beloved aunt – confronted the realities and exposures of the process, experiences of trauma were revived and recirculated. </w:t>
      </w:r>
    </w:p>
    <w:p w14:paraId="177B1491" w14:textId="77777777" w:rsidR="00343D0F" w:rsidRDefault="00343D0F" w:rsidP="00C07D0F">
      <w:pPr>
        <w:spacing w:line="480" w:lineRule="auto"/>
        <w:rPr>
          <w:lang w:eastAsia="en-US"/>
        </w:rPr>
      </w:pPr>
    </w:p>
    <w:p w14:paraId="67D0B380" w14:textId="7F82BFF4" w:rsidR="00343D0F" w:rsidRDefault="00343D0F" w:rsidP="00C07D0F">
      <w:pPr>
        <w:spacing w:line="480" w:lineRule="auto"/>
        <w:rPr>
          <w:lang w:eastAsia="en-US"/>
        </w:rPr>
      </w:pPr>
      <w:r>
        <w:rPr>
          <w:lang w:eastAsia="en-US"/>
        </w:rPr>
        <w:t xml:space="preserve">Contrastingly, the interactions between </w:t>
      </w:r>
      <w:r w:rsidR="009108BA">
        <w:rPr>
          <w:lang w:eastAsia="en-US"/>
        </w:rPr>
        <w:t>Alana</w:t>
      </w:r>
      <w:r>
        <w:rPr>
          <w:lang w:eastAsia="en-US"/>
        </w:rPr>
        <w:t xml:space="preserve"> and the author of the LF repository, the LF UK ‘founder’ Antonia, were forged through six months of friendship and collaborative activism before the decision was taken to create a repository. The translation from an ad hoc collecting initiative into a formal and funded research project (with ethics clearance) has been complex and emotionally challenging. </w:t>
      </w:r>
      <w:r w:rsidR="00C25069">
        <w:rPr>
          <w:lang w:eastAsia="en-US"/>
        </w:rPr>
        <w:t>Alana</w:t>
      </w:r>
      <w:r>
        <w:rPr>
          <w:lang w:eastAsia="en-US"/>
        </w:rPr>
        <w:t xml:space="preserve"> found herself drawing extensively on principles gleaned from her two decades as an oral history practitioner, and particularly the concept of intersubjectivity – here understood as the co-creation of an archival ‘narrative’ between the parties, where the subjectivity of each is shaped by dialogue and encounter – to negotiate evolving, frayed, and increasingly triangulated relationships.</w:t>
      </w:r>
    </w:p>
    <w:p w14:paraId="4C831183" w14:textId="77777777" w:rsidR="00343D0F" w:rsidRDefault="00343D0F" w:rsidP="00C07D0F">
      <w:pPr>
        <w:spacing w:line="480" w:lineRule="auto"/>
        <w:rPr>
          <w:lang w:eastAsia="en-US"/>
        </w:rPr>
      </w:pPr>
    </w:p>
    <w:p w14:paraId="5B43AA87" w14:textId="0CD8FA98" w:rsidR="00343D0F" w:rsidRDefault="00F95F14" w:rsidP="00C07D0F">
      <w:pPr>
        <w:spacing w:line="480" w:lineRule="auto"/>
        <w:rPr>
          <w:lang w:eastAsia="en-US"/>
        </w:rPr>
      </w:pPr>
      <w:r>
        <w:rPr>
          <w:lang w:eastAsia="en-US"/>
        </w:rPr>
        <w:t>Alana’s</w:t>
      </w:r>
      <w:r w:rsidR="00343D0F">
        <w:rPr>
          <w:lang w:eastAsia="en-US"/>
        </w:rPr>
        <w:t xml:space="preserve"> introduction to Antonia through shared networks and mutual friends from the outset configured the repository creation on a markedly different footing to the RSJ case study. Some of the earliest material intended for the archive had been created by </w:t>
      </w:r>
      <w:r w:rsidR="00FB4005">
        <w:rPr>
          <w:lang w:eastAsia="en-US"/>
        </w:rPr>
        <w:t xml:space="preserve">Alana </w:t>
      </w:r>
      <w:r w:rsidR="00343D0F">
        <w:rPr>
          <w:lang w:eastAsia="en-US"/>
        </w:rPr>
        <w:t xml:space="preserve">herself (messages, ribbons and ephemera photographs, social media posts) and her deepening </w:t>
      </w:r>
      <w:r w:rsidR="00343D0F">
        <w:rPr>
          <w:lang w:eastAsia="en-US"/>
        </w:rPr>
        <w:lastRenderedPageBreak/>
        <w:t xml:space="preserve">friendship with Antonia and first-hand familiarity with the rich survivor testimony generated at each LF event prompted her enthusiasm and repeated recommendation of legacy preservation and impact evaluation. Stakeholder consent to this proposal was thereby advance engineered and virtually assured as – at the point of submission of an internal University funding proposal and ethics application – </w:t>
      </w:r>
      <w:r w:rsidR="00FB4005">
        <w:rPr>
          <w:lang w:eastAsia="en-US"/>
        </w:rPr>
        <w:t>Alana</w:t>
      </w:r>
      <w:r w:rsidR="00343D0F">
        <w:rPr>
          <w:lang w:eastAsia="en-US"/>
        </w:rPr>
        <w:t xml:space="preserve"> was the Chair of the LF CIC Advisory Board. The benefits of mobilising </w:t>
      </w:r>
      <w:r w:rsidR="00FB4005">
        <w:rPr>
          <w:lang w:eastAsia="en-US"/>
        </w:rPr>
        <w:t>Alana’s</w:t>
      </w:r>
      <w:r w:rsidR="00343D0F">
        <w:rPr>
          <w:lang w:eastAsia="en-US"/>
        </w:rPr>
        <w:t xml:space="preserve"> paid research time (alongside her volunteering contributions) and accessing University resources and infrastructure was compelling, and the </w:t>
      </w:r>
      <w:r w:rsidR="005F70C7">
        <w:rPr>
          <w:lang w:eastAsia="en-US"/>
        </w:rPr>
        <w:t xml:space="preserve">LF’s </w:t>
      </w:r>
      <w:r w:rsidR="00343D0F">
        <w:rPr>
          <w:lang w:eastAsia="en-US"/>
        </w:rPr>
        <w:t xml:space="preserve">Board’s assent </w:t>
      </w:r>
      <w:r w:rsidR="005F70C7">
        <w:rPr>
          <w:lang w:eastAsia="en-US"/>
        </w:rPr>
        <w:t xml:space="preserve">to transition into a research project </w:t>
      </w:r>
      <w:r w:rsidR="00343D0F">
        <w:rPr>
          <w:lang w:eastAsia="en-US"/>
        </w:rPr>
        <w:t>was unanimous.</w:t>
      </w:r>
    </w:p>
    <w:p w14:paraId="4DF1D203" w14:textId="77777777" w:rsidR="00343D0F" w:rsidRDefault="00343D0F" w:rsidP="00C07D0F">
      <w:pPr>
        <w:spacing w:line="480" w:lineRule="auto"/>
        <w:rPr>
          <w:lang w:eastAsia="en-US"/>
        </w:rPr>
      </w:pPr>
    </w:p>
    <w:p w14:paraId="5112962E" w14:textId="7C5681D3" w:rsidR="00343D0F" w:rsidRDefault="00343D0F" w:rsidP="00C07D0F">
      <w:pPr>
        <w:spacing w:line="480" w:lineRule="auto"/>
        <w:rPr>
          <w:lang w:eastAsia="en-US"/>
        </w:rPr>
      </w:pPr>
      <w:r>
        <w:rPr>
          <w:lang w:eastAsia="en-US"/>
        </w:rPr>
        <w:t xml:space="preserve">Influenced by well-established feminist writings on intersubjectivity – not least Judith Herman’s trauma-informed research on sexual violence praising ‘investigators </w:t>
      </w:r>
      <w:proofErr w:type="spellStart"/>
      <w:r>
        <w:rPr>
          <w:lang w:eastAsia="en-US"/>
        </w:rPr>
        <w:t>labor</w:t>
      </w:r>
      <w:proofErr w:type="spellEnd"/>
      <w:r>
        <w:rPr>
          <w:lang w:eastAsia="en-US"/>
        </w:rPr>
        <w:t>[</w:t>
      </w:r>
      <w:proofErr w:type="spellStart"/>
      <w:r>
        <w:rPr>
          <w:lang w:eastAsia="en-US"/>
        </w:rPr>
        <w:t>ing</w:t>
      </w:r>
      <w:proofErr w:type="spellEnd"/>
      <w:r>
        <w:rPr>
          <w:lang w:eastAsia="en-US"/>
        </w:rPr>
        <w:t xml:space="preserve">] close to their subjects’ and ‘frankly </w:t>
      </w:r>
      <w:proofErr w:type="spellStart"/>
      <w:r>
        <w:rPr>
          <w:lang w:eastAsia="en-US"/>
        </w:rPr>
        <w:t>honor</w:t>
      </w:r>
      <w:proofErr w:type="spellEnd"/>
      <w:r>
        <w:rPr>
          <w:lang w:eastAsia="en-US"/>
        </w:rPr>
        <w:t>[</w:t>
      </w:r>
      <w:proofErr w:type="spellStart"/>
      <w:r>
        <w:rPr>
          <w:lang w:eastAsia="en-US"/>
        </w:rPr>
        <w:t>ing</w:t>
      </w:r>
      <w:proofErr w:type="spellEnd"/>
      <w:r>
        <w:rPr>
          <w:lang w:eastAsia="en-US"/>
        </w:rPr>
        <w:t xml:space="preserve">] their emotional connection with their informants’ – </w:t>
      </w:r>
      <w:r w:rsidR="00740241">
        <w:rPr>
          <w:lang w:eastAsia="en-US"/>
        </w:rPr>
        <w:t>Alana</w:t>
      </w:r>
      <w:r>
        <w:rPr>
          <w:lang w:eastAsia="en-US"/>
        </w:rPr>
        <w:t xml:space="preserve"> prepared the lengthy ‘high risk’ ethics application.</w:t>
      </w:r>
      <w:r>
        <w:rPr>
          <w:rStyle w:val="EndnoteReference"/>
          <w:lang w:eastAsia="en-US"/>
        </w:rPr>
        <w:endnoteReference w:id="43"/>
      </w:r>
      <w:r>
        <w:rPr>
          <w:lang w:eastAsia="en-US"/>
        </w:rPr>
        <w:t xml:space="preserve"> She acknowledged her implicated positionality and reflected on her simultaneous etic and emic status – and crafted her response to questions about participant vulnerabilities, project mitigations, and safeguards with reference to her standing and investment as a ‘stakeholder’ to guarantee such protections. A robust seam of oral history historiography has fundamentally defanged the chimera of ‘scholarly neutrality’ and, as Tooth Murphy has compelling</w:t>
      </w:r>
      <w:r w:rsidR="007B2A78">
        <w:rPr>
          <w:lang w:eastAsia="en-US"/>
        </w:rPr>
        <w:t>ly</w:t>
      </w:r>
      <w:r>
        <w:rPr>
          <w:lang w:eastAsia="en-US"/>
        </w:rPr>
        <w:t xml:space="preserve"> chartered in their study of ‘listening in and listening out’, insider status (and its constant modulations) is viewed by most practitioners as a legitimate basis for recruitment within vulnerable communities in particular where safety, trust, and rapport are critical.</w:t>
      </w:r>
      <w:r>
        <w:rPr>
          <w:rStyle w:val="EndnoteReference"/>
          <w:lang w:eastAsia="en-US"/>
        </w:rPr>
        <w:endnoteReference w:id="44"/>
      </w:r>
      <w:r>
        <w:rPr>
          <w:lang w:eastAsia="en-US"/>
        </w:rPr>
        <w:t xml:space="preserve"> Field-defining feminist scholar Ann Oakley’s suggestive reflections on qualitative research praxis and the role of ‘gift’ and ‘friendship’ in co-production underpinned the detailed account</w:t>
      </w:r>
      <w:r w:rsidR="00554F28">
        <w:rPr>
          <w:lang w:eastAsia="en-US"/>
        </w:rPr>
        <w:t xml:space="preserve"> Alana</w:t>
      </w:r>
      <w:r>
        <w:rPr>
          <w:lang w:eastAsia="en-US"/>
        </w:rPr>
        <w:t xml:space="preserve"> gave of her ‘recruitment practices’, ‘data collection’, ‘gatekeepers’, and ‘incentivi</w:t>
      </w:r>
      <w:r w:rsidR="00A12784">
        <w:rPr>
          <w:lang w:eastAsia="en-US"/>
        </w:rPr>
        <w:t>z</w:t>
      </w:r>
      <w:r>
        <w:rPr>
          <w:lang w:eastAsia="en-US"/>
        </w:rPr>
        <w:t>ation’ within the paperwork submitted in December 2023.</w:t>
      </w:r>
      <w:r>
        <w:rPr>
          <w:rStyle w:val="EndnoteReference"/>
          <w:lang w:eastAsia="en-US"/>
        </w:rPr>
        <w:endnoteReference w:id="45"/>
      </w:r>
      <w:r>
        <w:rPr>
          <w:lang w:eastAsia="en-US"/>
        </w:rPr>
        <w:t xml:space="preserve"> </w:t>
      </w:r>
    </w:p>
    <w:p w14:paraId="51183B6D" w14:textId="77777777" w:rsidR="00343D0F" w:rsidRDefault="00343D0F" w:rsidP="00C07D0F">
      <w:pPr>
        <w:spacing w:line="480" w:lineRule="auto"/>
        <w:rPr>
          <w:lang w:eastAsia="en-US"/>
        </w:rPr>
      </w:pPr>
    </w:p>
    <w:p w14:paraId="29ACA0D6" w14:textId="1815B51F" w:rsidR="00343D0F" w:rsidRDefault="00343D0F" w:rsidP="00C07D0F">
      <w:pPr>
        <w:spacing w:line="480" w:lineRule="auto"/>
        <w:rPr>
          <w:lang w:eastAsia="en-US"/>
        </w:rPr>
      </w:pPr>
      <w:r>
        <w:rPr>
          <w:lang w:eastAsia="en-US"/>
        </w:rPr>
        <w:t>Two months later, her application was refused by the College’s Ethics Committee, citing ‘significant concerns’ about the ‘dual role of the researcher’ and outlining the need to ‘create clear boundaries to negate any confusion’ and ‘remove any perception of undue influence’. Following this set back – greeted with consternation by all on the LF Advisory Board and impacting on delivery of now-funded activities – the process to secure ethics permission continued to be contentious and protracted. Following two further permission emendations</w:t>
      </w:r>
      <w:r w:rsidR="00A12784">
        <w:rPr>
          <w:lang w:eastAsia="en-US"/>
        </w:rPr>
        <w:t>,</w:t>
      </w:r>
      <w:r>
        <w:rPr>
          <w:lang w:eastAsia="en-US"/>
        </w:rPr>
        <w:t xml:space="preserve"> </w:t>
      </w:r>
      <w:r w:rsidR="009C657F">
        <w:rPr>
          <w:lang w:eastAsia="en-US"/>
        </w:rPr>
        <w:t xml:space="preserve">Alana </w:t>
      </w:r>
      <w:r>
        <w:rPr>
          <w:lang w:eastAsia="en-US"/>
        </w:rPr>
        <w:t xml:space="preserve">resigned her role on the Board; agreed to wear her Staff lanyard to LF events; and was required to signal ‘the secure nature of the research environment’ through affixing a formal notice of research activity at each LF event. This poster – starkly incongruent when displayed amidst colourful ribbons and personal messages of </w:t>
      </w:r>
      <w:r w:rsidR="00A12784">
        <w:rPr>
          <w:lang w:eastAsia="en-US"/>
        </w:rPr>
        <w:t xml:space="preserve">CSA </w:t>
      </w:r>
      <w:r>
        <w:rPr>
          <w:lang w:eastAsia="en-US"/>
        </w:rPr>
        <w:t xml:space="preserve">testimony and solidarity – was on university letterhead, densely worded with serial numbers and complaints mechanisms, and featured ‘researcher’ portraits for ‘identification purposes.’ The bitter irony of this photographic foregrounding of the research team – at a public event celebrating ‘truth telling’ and intended to amplify the sentiments and stories of victim-survivors – was compounded by curtailment and containment of data collection from human participants. Digital archival records generated by fieldwork at LF events must be confined to material objects (ribbons, messages, installation images) and </w:t>
      </w:r>
      <w:r w:rsidR="00A12784">
        <w:rPr>
          <w:lang w:eastAsia="en-US"/>
        </w:rPr>
        <w:t xml:space="preserve">the </w:t>
      </w:r>
      <w:r>
        <w:rPr>
          <w:lang w:eastAsia="en-US"/>
        </w:rPr>
        <w:t xml:space="preserve">(archived) fieldnotes of event activities must be anonymised. Any photographic recordings of participants or their bodies </w:t>
      </w:r>
      <w:r w:rsidR="00A12784">
        <w:rPr>
          <w:lang w:eastAsia="en-US"/>
        </w:rPr>
        <w:t>should be</w:t>
      </w:r>
      <w:r>
        <w:rPr>
          <w:lang w:eastAsia="en-US"/>
        </w:rPr>
        <w:t xml:space="preserve"> incidental and non-identifiable (hands, feet, the back of heads) and any photographs of the LF organisers themselves must be sanctioned by express verbal consent. On one memorable occasion when a victim-survivor attending a LF wanted to provide her </w:t>
      </w:r>
      <w:r w:rsidR="00A12784">
        <w:rPr>
          <w:lang w:eastAsia="en-US"/>
        </w:rPr>
        <w:t xml:space="preserve">verbal </w:t>
      </w:r>
      <w:r>
        <w:rPr>
          <w:lang w:eastAsia="en-US"/>
        </w:rPr>
        <w:t xml:space="preserve">testimony for the archive – a request </w:t>
      </w:r>
      <w:r w:rsidR="00EF7029">
        <w:rPr>
          <w:lang w:eastAsia="en-US"/>
        </w:rPr>
        <w:t>Alana</w:t>
      </w:r>
      <w:r>
        <w:rPr>
          <w:lang w:eastAsia="en-US"/>
        </w:rPr>
        <w:t xml:space="preserve"> could not officially grant as a ‘cooling off’ period of a week was mandated before an oral history interview </w:t>
      </w:r>
      <w:r w:rsidR="00A12784">
        <w:rPr>
          <w:lang w:eastAsia="en-US"/>
        </w:rPr>
        <w:t>could be</w:t>
      </w:r>
      <w:r>
        <w:rPr>
          <w:lang w:eastAsia="en-US"/>
        </w:rPr>
        <w:t xml:space="preserve"> taken (‘to ensure sufficient time and agency to consider how their data will be used’) – the survivor’s chastening retort was: ‘Is </w:t>
      </w:r>
      <w:r>
        <w:rPr>
          <w:lang w:eastAsia="en-US"/>
        </w:rPr>
        <w:lastRenderedPageBreak/>
        <w:t xml:space="preserve">your institution seeking to silence me again?’ As Chatterton, Hodkinson and Pickerill have explored in their reflexive account of the ‘good </w:t>
      </w:r>
      <w:proofErr w:type="gramStart"/>
      <w:r>
        <w:rPr>
          <w:lang w:eastAsia="en-US"/>
        </w:rPr>
        <w:t>intentions’</w:t>
      </w:r>
      <w:proofErr w:type="gramEnd"/>
      <w:r>
        <w:rPr>
          <w:lang w:eastAsia="en-US"/>
        </w:rPr>
        <w:t xml:space="preserve"> and ‘messy’ realties of scholar activism, constraints placed on academics by risk management, promotional advancement, and grant capture imperatives cut against participatory methods and shared ownership practices. For them – as for </w:t>
      </w:r>
      <w:r w:rsidR="00EF7029">
        <w:rPr>
          <w:lang w:eastAsia="en-US"/>
        </w:rPr>
        <w:t>Alana</w:t>
      </w:r>
      <w:r>
        <w:rPr>
          <w:lang w:eastAsia="en-US"/>
        </w:rPr>
        <w:t xml:space="preserve"> – this g</w:t>
      </w:r>
      <w:r w:rsidRPr="003C7494">
        <w:rPr>
          <w:lang w:eastAsia="en-US"/>
        </w:rPr>
        <w:t>enerat</w:t>
      </w:r>
      <w:r>
        <w:rPr>
          <w:lang w:eastAsia="en-US"/>
        </w:rPr>
        <w:t>es</w:t>
      </w:r>
      <w:r w:rsidRPr="003C7494">
        <w:rPr>
          <w:lang w:eastAsia="en-US"/>
        </w:rPr>
        <w:t xml:space="preserve"> tension</w:t>
      </w:r>
      <w:r>
        <w:rPr>
          <w:lang w:eastAsia="en-US"/>
        </w:rPr>
        <w:t>s</w:t>
      </w:r>
      <w:r w:rsidRPr="003C7494">
        <w:rPr>
          <w:lang w:eastAsia="en-US"/>
        </w:rPr>
        <w:t xml:space="preserve"> and frustration</w:t>
      </w:r>
      <w:r>
        <w:rPr>
          <w:lang w:eastAsia="en-US"/>
        </w:rPr>
        <w:t>s</w:t>
      </w:r>
      <w:r w:rsidRPr="003C7494">
        <w:rPr>
          <w:lang w:eastAsia="en-US"/>
        </w:rPr>
        <w:t>, damag</w:t>
      </w:r>
      <w:r>
        <w:rPr>
          <w:lang w:eastAsia="en-US"/>
        </w:rPr>
        <w:t>es</w:t>
      </w:r>
      <w:r w:rsidRPr="003C7494">
        <w:rPr>
          <w:lang w:eastAsia="en-US"/>
        </w:rPr>
        <w:t xml:space="preserve"> </w:t>
      </w:r>
      <w:proofErr w:type="gramStart"/>
      <w:r w:rsidRPr="003C7494">
        <w:rPr>
          <w:lang w:eastAsia="en-US"/>
        </w:rPr>
        <w:t>trust</w:t>
      </w:r>
      <w:r>
        <w:rPr>
          <w:lang w:eastAsia="en-US"/>
        </w:rPr>
        <w:t>,</w:t>
      </w:r>
      <w:r w:rsidRPr="003C7494">
        <w:rPr>
          <w:lang w:eastAsia="en-US"/>
        </w:rPr>
        <w:t xml:space="preserve"> and</w:t>
      </w:r>
      <w:proofErr w:type="gramEnd"/>
      <w:r w:rsidRPr="003C7494">
        <w:rPr>
          <w:lang w:eastAsia="en-US"/>
        </w:rPr>
        <w:t xml:space="preserve"> </w:t>
      </w:r>
      <w:r>
        <w:rPr>
          <w:lang w:eastAsia="en-US"/>
        </w:rPr>
        <w:t xml:space="preserve">potentially </w:t>
      </w:r>
      <w:r w:rsidRPr="003C7494">
        <w:rPr>
          <w:lang w:eastAsia="en-US"/>
        </w:rPr>
        <w:t>disempower</w:t>
      </w:r>
      <w:r>
        <w:rPr>
          <w:lang w:eastAsia="en-US"/>
        </w:rPr>
        <w:t xml:space="preserve">s or even dispossesses </w:t>
      </w:r>
      <w:r w:rsidRPr="003C7494">
        <w:rPr>
          <w:lang w:eastAsia="en-US"/>
        </w:rPr>
        <w:t>those with lived</w:t>
      </w:r>
      <w:r>
        <w:rPr>
          <w:lang w:eastAsia="en-US"/>
        </w:rPr>
        <w:t xml:space="preserve"> </w:t>
      </w:r>
      <w:r w:rsidRPr="003C7494">
        <w:rPr>
          <w:lang w:eastAsia="en-US"/>
        </w:rPr>
        <w:t>experience.</w:t>
      </w:r>
      <w:r>
        <w:rPr>
          <w:rStyle w:val="EndnoteReference"/>
          <w:lang w:eastAsia="en-US"/>
        </w:rPr>
        <w:endnoteReference w:id="46"/>
      </w:r>
      <w:r>
        <w:rPr>
          <w:lang w:eastAsia="en-US"/>
        </w:rPr>
        <w:t xml:space="preserve"> In adhering to her ethics clearance</w:t>
      </w:r>
      <w:r w:rsidR="00EF7029">
        <w:rPr>
          <w:lang w:eastAsia="en-US"/>
        </w:rPr>
        <w:t xml:space="preserve"> Alana</w:t>
      </w:r>
      <w:r>
        <w:rPr>
          <w:lang w:eastAsia="en-US"/>
        </w:rPr>
        <w:t xml:space="preserve"> has been required to draw – and occasionally police – new boundaries in her relationships with Antonia and the </w:t>
      </w:r>
      <w:r w:rsidR="00A12784">
        <w:rPr>
          <w:lang w:eastAsia="en-US"/>
        </w:rPr>
        <w:t xml:space="preserve">LF </w:t>
      </w:r>
      <w:r>
        <w:rPr>
          <w:lang w:eastAsia="en-US"/>
        </w:rPr>
        <w:t xml:space="preserve">Advisory Board members. While the reasons for these relational adjustments have been intellectually understood and pragmatically accepted, emotional reactions and trauma triggers have been activated too. The strains on an interpersonal dynamic foundational to the archive’s creation, and pivotal to its continued acquisition, have been multiple and, at times, almost irreparable. </w:t>
      </w:r>
    </w:p>
    <w:p w14:paraId="5EA2FC38" w14:textId="77777777" w:rsidR="00343D0F" w:rsidRDefault="00343D0F" w:rsidP="00C07D0F">
      <w:pPr>
        <w:spacing w:line="480" w:lineRule="auto"/>
        <w:rPr>
          <w:lang w:eastAsia="en-US"/>
        </w:rPr>
      </w:pPr>
    </w:p>
    <w:p w14:paraId="2DB2DF50" w14:textId="6F76EDE1" w:rsidR="00343D0F" w:rsidRPr="006D08E9" w:rsidRDefault="00343D0F" w:rsidP="00C07D0F">
      <w:pPr>
        <w:pStyle w:val="Heading3"/>
        <w:spacing w:line="480" w:lineRule="auto"/>
      </w:pPr>
      <w:r w:rsidRPr="006D08E9">
        <w:t xml:space="preserve">Interpretative </w:t>
      </w:r>
      <w:r w:rsidR="007B2A78">
        <w:t>a</w:t>
      </w:r>
      <w:r w:rsidRPr="006D08E9">
        <w:t>uthority</w:t>
      </w:r>
      <w:r>
        <w:t xml:space="preserve">, </w:t>
      </w:r>
      <w:r w:rsidR="007B2A78">
        <w:t>c</w:t>
      </w:r>
      <w:r>
        <w:t>onsent</w:t>
      </w:r>
      <w:r w:rsidR="00A12784">
        <w:t>,</w:t>
      </w:r>
      <w:r>
        <w:t xml:space="preserve"> and </w:t>
      </w:r>
      <w:r w:rsidR="007B2A78">
        <w:t>o</w:t>
      </w:r>
      <w:r>
        <w:t>wnership</w:t>
      </w:r>
    </w:p>
    <w:p w14:paraId="741BA3F1" w14:textId="75165957" w:rsidR="00343D0F" w:rsidRDefault="00343D0F" w:rsidP="00C07D0F">
      <w:pPr>
        <w:spacing w:line="480" w:lineRule="auto"/>
      </w:pPr>
      <w:r>
        <w:rPr>
          <w:lang w:val="en-US" w:eastAsia="en-US"/>
        </w:rPr>
        <w:t xml:space="preserve">In contrast, the initial phases of </w:t>
      </w:r>
      <w:r w:rsidR="00E51D5B">
        <w:rPr>
          <w:lang w:val="en-US" w:eastAsia="en-US"/>
        </w:rPr>
        <w:t>Victoria</w:t>
      </w:r>
      <w:r>
        <w:rPr>
          <w:lang w:val="en-US" w:eastAsia="en-US"/>
        </w:rPr>
        <w:t xml:space="preserve">’s work on </w:t>
      </w:r>
      <w:proofErr w:type="spellStart"/>
      <w:r>
        <w:rPr>
          <w:lang w:val="en-US" w:eastAsia="en-US"/>
        </w:rPr>
        <w:t>Rasjidah’s</w:t>
      </w:r>
      <w:proofErr w:type="spellEnd"/>
      <w:r>
        <w:rPr>
          <w:lang w:val="en-US" w:eastAsia="en-US"/>
        </w:rPr>
        <w:t xml:space="preserve"> archive did not require university imprimatur or ethics approval as it related to the papers of a deceased historical subject. This is a standard exemption for research with archives, although as historians have pointed out, archival work is imbricated with ethical and moral implications which are not adequately accounted for.</w:t>
      </w:r>
      <w:r>
        <w:rPr>
          <w:rStyle w:val="EndnoteReference"/>
          <w:lang w:val="en-US" w:eastAsia="en-US"/>
        </w:rPr>
        <w:endnoteReference w:id="47"/>
      </w:r>
      <w:r>
        <w:rPr>
          <w:lang w:val="en-US" w:eastAsia="en-US"/>
        </w:rPr>
        <w:t xml:space="preserve"> This is especially true for contemporary historians: people who knew </w:t>
      </w:r>
      <w:proofErr w:type="spellStart"/>
      <w:r>
        <w:rPr>
          <w:lang w:val="en-US" w:eastAsia="en-US"/>
        </w:rPr>
        <w:t>Rasjidah</w:t>
      </w:r>
      <w:proofErr w:type="spellEnd"/>
      <w:r>
        <w:rPr>
          <w:lang w:val="en-US" w:eastAsia="en-US"/>
        </w:rPr>
        <w:t xml:space="preserve"> care deeply about how she is remembered and represented in the world, and they may also have a vested interest in how those memories are </w:t>
      </w:r>
      <w:proofErr w:type="spellStart"/>
      <w:r>
        <w:rPr>
          <w:lang w:val="en-US" w:eastAsia="en-US"/>
        </w:rPr>
        <w:t>mobili</w:t>
      </w:r>
      <w:r w:rsidR="00A12784">
        <w:rPr>
          <w:lang w:val="en-US" w:eastAsia="en-US"/>
        </w:rPr>
        <w:t>s</w:t>
      </w:r>
      <w:r>
        <w:rPr>
          <w:lang w:val="en-US" w:eastAsia="en-US"/>
        </w:rPr>
        <w:t>ed</w:t>
      </w:r>
      <w:proofErr w:type="spellEnd"/>
      <w:r>
        <w:rPr>
          <w:lang w:val="en-US" w:eastAsia="en-US"/>
        </w:rPr>
        <w:t xml:space="preserve"> and circulated in society. </w:t>
      </w:r>
      <w:r w:rsidR="008D49CF">
        <w:rPr>
          <w:lang w:val="en-US" w:eastAsia="en-US"/>
        </w:rPr>
        <w:t>Victoria</w:t>
      </w:r>
      <w:r>
        <w:rPr>
          <w:lang w:val="en-US" w:eastAsia="en-US"/>
        </w:rPr>
        <w:t xml:space="preserve"> was concerned to take an approach to the treatment of the archive which took this into account, </w:t>
      </w:r>
      <w:r w:rsidR="00E93715">
        <w:rPr>
          <w:lang w:val="en-US" w:eastAsia="en-US"/>
        </w:rPr>
        <w:t>and</w:t>
      </w:r>
      <w:r>
        <w:rPr>
          <w:lang w:val="en-US" w:eastAsia="en-US"/>
        </w:rPr>
        <w:t xml:space="preserve"> which acknowledged, first and foremost, </w:t>
      </w:r>
      <w:proofErr w:type="spellStart"/>
      <w:r>
        <w:rPr>
          <w:lang w:val="en-US" w:eastAsia="en-US"/>
        </w:rPr>
        <w:t>Rasjidah’s</w:t>
      </w:r>
      <w:proofErr w:type="spellEnd"/>
      <w:r>
        <w:rPr>
          <w:lang w:val="en-US" w:eastAsia="en-US"/>
        </w:rPr>
        <w:t xml:space="preserve"> agency while alive and her inability to consent and make choices posthumously. </w:t>
      </w:r>
      <w:r w:rsidR="00D25ADD">
        <w:rPr>
          <w:lang w:val="en-US" w:eastAsia="en-US"/>
        </w:rPr>
        <w:t>Not only is c</w:t>
      </w:r>
      <w:r w:rsidR="00E93715">
        <w:rPr>
          <w:lang w:val="en-US" w:eastAsia="en-US"/>
        </w:rPr>
        <w:t>hoice a key pillar of trauma-informed practice</w:t>
      </w:r>
      <w:r w:rsidR="00A12784">
        <w:rPr>
          <w:lang w:val="en-US" w:eastAsia="en-US"/>
        </w:rPr>
        <w:t>,</w:t>
      </w:r>
      <w:r w:rsidR="00E93715">
        <w:rPr>
          <w:lang w:val="en-US" w:eastAsia="en-US"/>
        </w:rPr>
        <w:t xml:space="preserve"> </w:t>
      </w:r>
      <w:r w:rsidR="00D25ADD">
        <w:rPr>
          <w:lang w:val="en-US" w:eastAsia="en-US"/>
        </w:rPr>
        <w:t xml:space="preserve">but demands for autonomy and agency in recordkeeping </w:t>
      </w:r>
      <w:r w:rsidR="00D25ADD">
        <w:rPr>
          <w:lang w:val="en-US" w:eastAsia="en-US"/>
        </w:rPr>
        <w:lastRenderedPageBreak/>
        <w:t>relating to</w:t>
      </w:r>
      <w:r w:rsidR="008574B1">
        <w:rPr>
          <w:lang w:val="en-US" w:eastAsia="en-US"/>
        </w:rPr>
        <w:t xml:space="preserve"> </w:t>
      </w:r>
      <w:r w:rsidR="00F122EE">
        <w:rPr>
          <w:lang w:val="en-US" w:eastAsia="en-US"/>
        </w:rPr>
        <w:t>adverse</w:t>
      </w:r>
      <w:r w:rsidR="00D25ADD">
        <w:rPr>
          <w:lang w:val="en-US" w:eastAsia="en-US"/>
        </w:rPr>
        <w:t xml:space="preserve"> childhood experience</w:t>
      </w:r>
      <w:r w:rsidR="009F177F">
        <w:rPr>
          <w:lang w:val="en-US" w:eastAsia="en-US"/>
        </w:rPr>
        <w:t xml:space="preserve"> has been well established in research in analogous contexts, such as out-of-home care</w:t>
      </w:r>
      <w:r w:rsidR="00F122EE">
        <w:rPr>
          <w:lang w:val="en-US" w:eastAsia="en-US"/>
        </w:rPr>
        <w:t xml:space="preserve"> in Australia and Canada</w:t>
      </w:r>
      <w:r w:rsidR="009F177F">
        <w:rPr>
          <w:lang w:val="en-US" w:eastAsia="en-US"/>
        </w:rPr>
        <w:t>.</w:t>
      </w:r>
      <w:r w:rsidR="005445F8">
        <w:rPr>
          <w:rStyle w:val="EndnoteReference"/>
          <w:lang w:val="en-US" w:eastAsia="en-US"/>
        </w:rPr>
        <w:endnoteReference w:id="48"/>
      </w:r>
      <w:r w:rsidR="00D25ADD">
        <w:rPr>
          <w:lang w:val="en-US" w:eastAsia="en-US"/>
        </w:rPr>
        <w:t xml:space="preserve"> </w:t>
      </w:r>
      <w:r w:rsidR="008574B1">
        <w:rPr>
          <w:lang w:val="en-US" w:eastAsia="en-US"/>
        </w:rPr>
        <w:t>In this case w</w:t>
      </w:r>
      <w:r>
        <w:rPr>
          <w:lang w:val="en-US" w:eastAsia="en-US"/>
        </w:rPr>
        <w:t xml:space="preserve">e are no longer able to justify the decision to retain and research with her personal papers with reference to her explicit wishes; nor can we collaborate with her in the archive’s management and future use, as we would under a co-productive </w:t>
      </w:r>
      <w:r w:rsidR="0030771C">
        <w:rPr>
          <w:lang w:val="en-US" w:eastAsia="en-US"/>
        </w:rPr>
        <w:t xml:space="preserve">or community-based </w:t>
      </w:r>
      <w:r>
        <w:rPr>
          <w:lang w:val="en-US" w:eastAsia="en-US"/>
        </w:rPr>
        <w:t xml:space="preserve">model. </w:t>
      </w:r>
      <w:r>
        <w:t xml:space="preserve">In the absence of an agreement with </w:t>
      </w:r>
      <w:proofErr w:type="spellStart"/>
      <w:r>
        <w:t>Rasjidah</w:t>
      </w:r>
      <w:proofErr w:type="spellEnd"/>
      <w:r>
        <w:t xml:space="preserve">, </w:t>
      </w:r>
      <w:r w:rsidR="0030771C">
        <w:t>Victoria</w:t>
      </w:r>
      <w:r>
        <w:t xml:space="preserve"> first sought guidance through the papers themselves, considering whether the ways in which they embodied or material</w:t>
      </w:r>
      <w:r w:rsidR="00A12784">
        <w:t>ly</w:t>
      </w:r>
      <w:r>
        <w:t xml:space="preserve"> signalled a desire for preservation and circulation. </w:t>
      </w:r>
    </w:p>
    <w:p w14:paraId="636D3FB2" w14:textId="77777777" w:rsidR="00343D0F" w:rsidRDefault="00343D0F" w:rsidP="00C07D0F">
      <w:pPr>
        <w:spacing w:line="480" w:lineRule="auto"/>
      </w:pPr>
    </w:p>
    <w:p w14:paraId="71318646" w14:textId="756E5BF6" w:rsidR="00343D0F" w:rsidRPr="0045248C" w:rsidRDefault="00343D0F" w:rsidP="00C07D0F">
      <w:pPr>
        <w:spacing w:line="480" w:lineRule="auto"/>
        <w:rPr>
          <w:lang w:val="en-US" w:eastAsia="en-US"/>
        </w:rPr>
      </w:pPr>
      <w:r w:rsidRPr="00292BCB">
        <w:t xml:space="preserve">As early as 1996, </w:t>
      </w:r>
      <w:proofErr w:type="spellStart"/>
      <w:r>
        <w:t>R</w:t>
      </w:r>
      <w:r w:rsidR="00B91D54">
        <w:t>asjidah</w:t>
      </w:r>
      <w:proofErr w:type="spellEnd"/>
      <w:r>
        <w:t xml:space="preserve"> </w:t>
      </w:r>
      <w:r w:rsidRPr="00292BCB">
        <w:t>became concerned with the preservation of the history of the survivor movement. Writing in the Action Against Child Sexual Abuse Newsletter, she asked fellow activists to send her their records and accounts to produce a ‘comprehensive history</w:t>
      </w:r>
      <w:r>
        <w:t>’</w:t>
      </w:r>
      <w:r w:rsidRPr="00292BCB">
        <w:t xml:space="preserve"> of the CSA voluntary sector, </w:t>
      </w:r>
      <w:r>
        <w:t xml:space="preserve">beginning </w:t>
      </w:r>
      <w:r w:rsidRPr="00292BCB">
        <w:t>with the establishment of London Rape Crisis in 1975. She imagined this history would include ‘describing the growing awareness in the Women’s Movement of the high incidence of child sexual abuse, the development of different self-help and support groups, crisis lines and other services set up around the UK.’</w:t>
      </w:r>
      <w:r w:rsidRPr="00292BCB">
        <w:rPr>
          <w:rStyle w:val="EndnoteReference"/>
        </w:rPr>
        <w:endnoteReference w:id="49"/>
      </w:r>
      <w:r w:rsidRPr="00292BCB">
        <w:t xml:space="preserve"> It is not clear that this project ever</w:t>
      </w:r>
      <w:r>
        <w:t xml:space="preserve"> progressed</w:t>
      </w:r>
      <w:r w:rsidRPr="00292BCB">
        <w:t>. However, the impetus remained. In a</w:t>
      </w:r>
      <w:r w:rsidR="0010411C">
        <w:t>n unpublished</w:t>
      </w:r>
      <w:r w:rsidRPr="00292BCB">
        <w:t xml:space="preserve"> </w:t>
      </w:r>
      <w:r>
        <w:t>reflective account of her work written</w:t>
      </w:r>
      <w:r w:rsidRPr="00292BCB">
        <w:t xml:space="preserve"> in January 2000, </w:t>
      </w:r>
      <w:proofErr w:type="spellStart"/>
      <w:r>
        <w:t>Rasjidah</w:t>
      </w:r>
      <w:proofErr w:type="spellEnd"/>
      <w:r>
        <w:t xml:space="preserve"> noted the </w:t>
      </w:r>
      <w:r w:rsidRPr="00292BCB">
        <w:t xml:space="preserve">lack of collective memory in CSA activism: </w:t>
      </w:r>
    </w:p>
    <w:p w14:paraId="13F919E1" w14:textId="77777777" w:rsidR="00343D0F" w:rsidRPr="00292BCB" w:rsidRDefault="00343D0F" w:rsidP="00C07D0F">
      <w:pPr>
        <w:spacing w:line="480" w:lineRule="auto"/>
      </w:pPr>
    </w:p>
    <w:p w14:paraId="56627653" w14:textId="77777777" w:rsidR="00343D0F" w:rsidRPr="00292BCB" w:rsidRDefault="00343D0F" w:rsidP="00C07D0F">
      <w:pPr>
        <w:spacing w:line="480" w:lineRule="auto"/>
        <w:ind w:left="720"/>
      </w:pPr>
      <w:r w:rsidRPr="00292BCB">
        <w:t>…most people today are as ignorant about the subject as everyone was in 1980. All the work, the self-help groups, the books, the news items, the TV documentaries, seem to have made no impact at all. Marches, newsletters. </w:t>
      </w:r>
      <w:r w:rsidRPr="00811B18">
        <w:t>Even survivors who come along and want to start something up believe that they are the first - that nothing at all has ever been done.</w:t>
      </w:r>
      <w:r w:rsidRPr="00292BCB">
        <w:rPr>
          <w:rStyle w:val="EndnoteReference"/>
        </w:rPr>
        <w:endnoteReference w:id="50"/>
      </w:r>
    </w:p>
    <w:p w14:paraId="1A6220BA" w14:textId="77777777" w:rsidR="00343D0F" w:rsidRPr="00292BCB" w:rsidRDefault="00343D0F" w:rsidP="00C07D0F">
      <w:pPr>
        <w:spacing w:line="480" w:lineRule="auto"/>
        <w:ind w:left="720"/>
      </w:pPr>
    </w:p>
    <w:p w14:paraId="418E397D" w14:textId="71EB90ED" w:rsidR="00343D0F" w:rsidRPr="00292BCB" w:rsidRDefault="00343D0F" w:rsidP="00C07D0F">
      <w:pPr>
        <w:spacing w:line="480" w:lineRule="auto"/>
      </w:pPr>
      <w:r w:rsidRPr="00292BCB">
        <w:t>She feared that: ‘It may well be that today’s victims will decide to do as our grandmothers did, tell NO ONE. So that again the textbooks will say “it never happens, Freud was right, girls just imagine these things, the little minxes.”’</w:t>
      </w:r>
      <w:r w:rsidRPr="00292BCB">
        <w:rPr>
          <w:rStyle w:val="EndnoteReference"/>
        </w:rPr>
        <w:endnoteReference w:id="51"/>
      </w:r>
      <w:r>
        <w:t xml:space="preserve"> </w:t>
      </w:r>
      <w:r w:rsidRPr="00292BCB">
        <w:t xml:space="preserve">Towards the end of her life, </w:t>
      </w:r>
      <w:proofErr w:type="spellStart"/>
      <w:r w:rsidR="005A427E">
        <w:t>Rasjidah</w:t>
      </w:r>
      <w:proofErr w:type="spellEnd"/>
      <w:r w:rsidRPr="00292BCB">
        <w:t xml:space="preserve"> organised her activist papers into labelled file folders, bags</w:t>
      </w:r>
      <w:r>
        <w:t>,</w:t>
      </w:r>
      <w:r w:rsidRPr="00292BCB">
        <w:t xml:space="preserve"> and boxes.</w:t>
      </w:r>
      <w:r>
        <w:rPr>
          <w:rStyle w:val="EndnoteReference"/>
        </w:rPr>
        <w:endnoteReference w:id="52"/>
      </w:r>
      <w:r w:rsidRPr="00292BCB">
        <w:t xml:space="preserve"> This appears to have been an intentional archival impulse</w:t>
      </w:r>
      <w:r>
        <w:t xml:space="preserve"> to combat the loss of memory </w:t>
      </w:r>
      <w:r w:rsidRPr="00292BCB">
        <w:t>because, at the same time, she</w:t>
      </w:r>
      <w:r>
        <w:t xml:space="preserve"> systematically</w:t>
      </w:r>
      <w:r w:rsidRPr="00292BCB">
        <w:t xml:space="preserve"> cleared her house of books and other belongings. </w:t>
      </w:r>
      <w:r>
        <w:t>The centrality of her activism and her archive to her life is reflected in the display of her papers that was arranged for mourners at her funeral.</w:t>
      </w:r>
      <w:r>
        <w:rPr>
          <w:rStyle w:val="EndnoteReference"/>
        </w:rPr>
        <w:endnoteReference w:id="53"/>
      </w:r>
      <w:r>
        <w:t xml:space="preserve"> </w:t>
      </w:r>
    </w:p>
    <w:p w14:paraId="084059EA" w14:textId="77777777" w:rsidR="00343D0F" w:rsidRDefault="00343D0F" w:rsidP="00C07D0F">
      <w:pPr>
        <w:spacing w:line="480" w:lineRule="auto"/>
        <w:rPr>
          <w:lang w:val="en-US" w:eastAsia="en-US"/>
        </w:rPr>
      </w:pPr>
    </w:p>
    <w:p w14:paraId="27C60FE5" w14:textId="582C5C6C" w:rsidR="00343D0F" w:rsidRDefault="00343D0F" w:rsidP="00C07D0F">
      <w:pPr>
        <w:spacing w:line="480" w:lineRule="auto"/>
        <w:rPr>
          <w:lang w:val="en-US" w:eastAsia="en-US"/>
        </w:rPr>
      </w:pPr>
      <w:r>
        <w:rPr>
          <w:lang w:val="en-US" w:eastAsia="en-US"/>
        </w:rPr>
        <w:t>In this way</w:t>
      </w:r>
      <w:r w:rsidR="00A12784">
        <w:rPr>
          <w:lang w:val="en-US" w:eastAsia="en-US"/>
        </w:rPr>
        <w:t>,</w:t>
      </w:r>
      <w:r>
        <w:rPr>
          <w:lang w:val="en-US" w:eastAsia="en-US"/>
        </w:rPr>
        <w:t xml:space="preserve"> </w:t>
      </w:r>
      <w:proofErr w:type="spellStart"/>
      <w:r>
        <w:rPr>
          <w:lang w:val="en-US" w:eastAsia="en-US"/>
        </w:rPr>
        <w:t>Rasjidah’s</w:t>
      </w:r>
      <w:proofErr w:type="spellEnd"/>
      <w:r>
        <w:rPr>
          <w:lang w:val="en-US" w:eastAsia="en-US"/>
        </w:rPr>
        <w:t xml:space="preserve"> archive speaks to and prefigures its future: it was left behind for others, presumably in the knowledge that it might be looked at. However, this does not mean that</w:t>
      </w:r>
      <w:r w:rsidR="00704E5F">
        <w:rPr>
          <w:lang w:val="en-US" w:eastAsia="en-US"/>
        </w:rPr>
        <w:t xml:space="preserve"> she </w:t>
      </w:r>
      <w:r>
        <w:rPr>
          <w:lang w:val="en-US" w:eastAsia="en-US"/>
        </w:rPr>
        <w:t xml:space="preserve">imagined her archive in its current circumstances, held by a </w:t>
      </w:r>
      <w:proofErr w:type="gramStart"/>
      <w:r>
        <w:rPr>
          <w:lang w:val="en-US" w:eastAsia="en-US"/>
        </w:rPr>
        <w:t>University</w:t>
      </w:r>
      <w:proofErr w:type="gramEnd"/>
      <w:r>
        <w:rPr>
          <w:lang w:val="en-US" w:eastAsia="en-US"/>
        </w:rPr>
        <w:t xml:space="preserve"> in the north of England and used as the basis for a project on trauma-informed archiving and histories of CSA activism. For legal consent to this, </w:t>
      </w:r>
      <w:r w:rsidR="00D95206">
        <w:rPr>
          <w:lang w:val="en-US" w:eastAsia="en-US"/>
        </w:rPr>
        <w:t>Victoria</w:t>
      </w:r>
      <w:r>
        <w:rPr>
          <w:lang w:val="en-US" w:eastAsia="en-US"/>
        </w:rPr>
        <w:t xml:space="preserve"> must rely on her executors who are, as discussed, implicated in the archive in their own complex and personal ways. Although they are its legal arbiters, they are guided by </w:t>
      </w:r>
      <w:r w:rsidR="00D95206">
        <w:rPr>
          <w:lang w:val="en-US" w:eastAsia="en-US"/>
        </w:rPr>
        <w:t>Victoria</w:t>
      </w:r>
      <w:r>
        <w:rPr>
          <w:lang w:val="en-US" w:eastAsia="en-US"/>
        </w:rPr>
        <w:t xml:space="preserve"> and their sense of her expertise; this, in turn, places an onus on </w:t>
      </w:r>
      <w:r w:rsidR="00D95206">
        <w:rPr>
          <w:lang w:val="en-US" w:eastAsia="en-US"/>
        </w:rPr>
        <w:t>Victoria</w:t>
      </w:r>
      <w:r>
        <w:rPr>
          <w:lang w:val="en-US" w:eastAsia="en-US"/>
        </w:rPr>
        <w:t xml:space="preserve"> to make suggestions as to the disposition and treatment of the records. Her own needs and desires as a researcher –the horizons of possibilities she can imagine</w:t>
      </w:r>
      <w:r w:rsidR="00346303">
        <w:rPr>
          <w:lang w:val="en-US" w:eastAsia="en-US"/>
        </w:rPr>
        <w:t>; the pressures to publish and to produce impactful scholarship</w:t>
      </w:r>
      <w:r>
        <w:rPr>
          <w:lang w:val="en-US" w:eastAsia="en-US"/>
        </w:rPr>
        <w:t xml:space="preserve"> – become as explicit in the future of </w:t>
      </w:r>
      <w:proofErr w:type="spellStart"/>
      <w:r>
        <w:rPr>
          <w:lang w:val="en-US" w:eastAsia="en-US"/>
        </w:rPr>
        <w:t>Rasjidah’s</w:t>
      </w:r>
      <w:proofErr w:type="spellEnd"/>
      <w:r>
        <w:rPr>
          <w:lang w:val="en-US" w:eastAsia="en-US"/>
        </w:rPr>
        <w:t xml:space="preserve"> archival legacy as </w:t>
      </w:r>
      <w:proofErr w:type="spellStart"/>
      <w:r>
        <w:rPr>
          <w:lang w:val="en-US" w:eastAsia="en-US"/>
        </w:rPr>
        <w:t>Rasjidah’s</w:t>
      </w:r>
      <w:proofErr w:type="spellEnd"/>
      <w:r>
        <w:rPr>
          <w:lang w:val="en-US" w:eastAsia="en-US"/>
        </w:rPr>
        <w:t xml:space="preserve"> implied permission and her family’s signature on the deposit agreement. This is not only an ethical responsibility but an emotional one, bound together with the interpersonal and inter-relational concerns that circulate the treatment of the archive. </w:t>
      </w:r>
    </w:p>
    <w:p w14:paraId="745C8C45" w14:textId="77777777" w:rsidR="00343D0F" w:rsidRDefault="00343D0F" w:rsidP="00C07D0F">
      <w:pPr>
        <w:spacing w:line="480" w:lineRule="auto"/>
        <w:rPr>
          <w:lang w:val="en-US" w:eastAsia="en-US"/>
        </w:rPr>
      </w:pPr>
    </w:p>
    <w:p w14:paraId="1D7E293B" w14:textId="3CA19C33" w:rsidR="00343D0F" w:rsidRPr="002D44AB" w:rsidRDefault="00343D0F" w:rsidP="00C07D0F">
      <w:pPr>
        <w:spacing w:line="480" w:lineRule="auto"/>
        <w:rPr>
          <w:lang w:val="en-US" w:eastAsia="en-US"/>
        </w:rPr>
      </w:pPr>
      <w:r>
        <w:rPr>
          <w:lang w:val="en-US" w:eastAsia="en-US"/>
        </w:rPr>
        <w:lastRenderedPageBreak/>
        <w:t xml:space="preserve">Further, </w:t>
      </w:r>
      <w:proofErr w:type="spellStart"/>
      <w:r>
        <w:rPr>
          <w:lang w:val="en-US" w:eastAsia="en-US"/>
        </w:rPr>
        <w:t>Rasjidah</w:t>
      </w:r>
      <w:proofErr w:type="spellEnd"/>
      <w:r>
        <w:rPr>
          <w:lang w:val="en-US" w:eastAsia="en-US"/>
        </w:rPr>
        <w:t>, her family</w:t>
      </w:r>
      <w:r w:rsidR="00A12784">
        <w:rPr>
          <w:lang w:val="en-US" w:eastAsia="en-US"/>
        </w:rPr>
        <w:t>,</w:t>
      </w:r>
      <w:r>
        <w:rPr>
          <w:lang w:val="en-US" w:eastAsia="en-US"/>
        </w:rPr>
        <w:t xml:space="preserve"> and </w:t>
      </w:r>
      <w:r w:rsidR="00773BC3">
        <w:rPr>
          <w:lang w:val="en-US" w:eastAsia="en-US"/>
        </w:rPr>
        <w:t>Victoria</w:t>
      </w:r>
      <w:r>
        <w:rPr>
          <w:lang w:val="en-US" w:eastAsia="en-US"/>
        </w:rPr>
        <w:t xml:space="preserve"> are not the only ‘high stakeholders.’ There are also many other survivors in the archive: those who corresponded with </w:t>
      </w:r>
      <w:proofErr w:type="spellStart"/>
      <w:r>
        <w:rPr>
          <w:lang w:val="en-US" w:eastAsia="en-US"/>
        </w:rPr>
        <w:t>Rasjidah</w:t>
      </w:r>
      <w:proofErr w:type="spellEnd"/>
      <w:r>
        <w:rPr>
          <w:lang w:val="en-US" w:eastAsia="en-US"/>
        </w:rPr>
        <w:t xml:space="preserve"> or whose names and experiences she wrote down in her telephone logs; those who were featured in her many newsletters or who were named in the media reports that she assiduously cut from newspapers. Even when people consented for their names and experiences of CSA to be made public at the time, in the 1980s or 1990s, they could not have imagined becoming part of this aggregation of CSA records in the twenty-first century. They could not have envisioned item cataloguing, digitization,</w:t>
      </w:r>
      <w:r w:rsidR="001B07C4">
        <w:rPr>
          <w:lang w:val="en-US" w:eastAsia="en-US"/>
        </w:rPr>
        <w:t xml:space="preserve"> online access,</w:t>
      </w:r>
      <w:r>
        <w:rPr>
          <w:lang w:val="en-US" w:eastAsia="en-US"/>
        </w:rPr>
        <w:t xml:space="preserve"> funded projects, and the scrutiny of historians. While this is generally true of all those whose lives are captured in the archive without their explicit knowledge, the ethical bar is higher when the information pertains to crimes against children and sexual trauma where exploitation and non-consent characterize the original injustice. Oral historians have long reflected on the practical dilemmas of inadvertent third-party disclosures and the prioritization of informed consent over repository creation, especially in the case of marginalized groups.</w:t>
      </w:r>
      <w:r>
        <w:rPr>
          <w:rStyle w:val="EndnoteReference"/>
          <w:lang w:val="en-US" w:eastAsia="en-US"/>
        </w:rPr>
        <w:endnoteReference w:id="54"/>
      </w:r>
      <w:r>
        <w:rPr>
          <w:lang w:val="en-US" w:eastAsia="en-US"/>
        </w:rPr>
        <w:t xml:space="preserve"> Given the impossibility of asking </w:t>
      </w:r>
      <w:proofErr w:type="spellStart"/>
      <w:r>
        <w:rPr>
          <w:lang w:val="en-US" w:eastAsia="en-US"/>
        </w:rPr>
        <w:t>Rasjidah</w:t>
      </w:r>
      <w:proofErr w:type="spellEnd"/>
      <w:r>
        <w:rPr>
          <w:lang w:val="en-US" w:eastAsia="en-US"/>
        </w:rPr>
        <w:t xml:space="preserve"> or identifying and contacting every person mentioned, </w:t>
      </w:r>
      <w:r w:rsidR="002569A3">
        <w:rPr>
          <w:lang w:val="en-US" w:eastAsia="en-US"/>
        </w:rPr>
        <w:t>Victoria</w:t>
      </w:r>
      <w:r>
        <w:rPr>
          <w:lang w:val="en-US" w:eastAsia="en-US"/>
        </w:rPr>
        <w:t xml:space="preserve"> is now engaged in collaborative and participatory decision-making with contemporary survivor groups, exploring what approaches to an archive of this kind should look like from the perspective of those who may find themselves similarly identified one day.  </w:t>
      </w:r>
    </w:p>
    <w:p w14:paraId="0C008125" w14:textId="77777777" w:rsidR="00343D0F" w:rsidRDefault="00343D0F" w:rsidP="00C07D0F">
      <w:pPr>
        <w:spacing w:line="480" w:lineRule="auto"/>
        <w:rPr>
          <w:lang w:val="en-US" w:eastAsia="en-US"/>
        </w:rPr>
      </w:pPr>
    </w:p>
    <w:p w14:paraId="51F15A9B" w14:textId="26F2EB89" w:rsidR="007D0F93" w:rsidRDefault="00343D0F" w:rsidP="00C07D0F">
      <w:pPr>
        <w:spacing w:line="480" w:lineRule="auto"/>
        <w:rPr>
          <w:lang w:val="en-US" w:eastAsia="en-US"/>
        </w:rPr>
      </w:pPr>
      <w:r>
        <w:rPr>
          <w:lang w:val="en-US" w:eastAsia="en-US"/>
        </w:rPr>
        <w:t xml:space="preserve">Differently freighted questions about shared ownership and interpretative authority arise in the case of the LF archive which, from its genesis and through its </w:t>
      </w:r>
      <w:r w:rsidR="00FC481C">
        <w:rPr>
          <w:lang w:val="en-US" w:eastAsia="en-US"/>
        </w:rPr>
        <w:t xml:space="preserve">rapid </w:t>
      </w:r>
      <w:r>
        <w:rPr>
          <w:lang w:val="en-US" w:eastAsia="en-US"/>
        </w:rPr>
        <w:t xml:space="preserve">growth, bears all the hallmarks and activist priorities of Antonia as its charismatic founder and central protagonist. There are considerable ambiguities and tensions surrounding the ownership and identity of this archival assemblage though, which contains digital materials with varied provenance. On more than one occasion, when introducing </w:t>
      </w:r>
      <w:r w:rsidR="0018555A">
        <w:rPr>
          <w:lang w:val="en-US" w:eastAsia="en-US"/>
        </w:rPr>
        <w:t>Alana</w:t>
      </w:r>
      <w:r>
        <w:rPr>
          <w:lang w:val="en-US" w:eastAsia="en-US"/>
        </w:rPr>
        <w:t xml:space="preserve"> to an officiating priest or diocesan </w:t>
      </w:r>
      <w:proofErr w:type="spellStart"/>
      <w:r>
        <w:rPr>
          <w:lang w:val="en-US" w:eastAsia="en-US"/>
        </w:rPr>
        <w:lastRenderedPageBreak/>
        <w:t>safeguarder</w:t>
      </w:r>
      <w:proofErr w:type="spellEnd"/>
      <w:r>
        <w:rPr>
          <w:lang w:val="en-US" w:eastAsia="en-US"/>
        </w:rPr>
        <w:t xml:space="preserve"> at an event, Antonia contextualized </w:t>
      </w:r>
      <w:r w:rsidR="001871B0">
        <w:rPr>
          <w:lang w:val="en-US" w:eastAsia="en-US"/>
        </w:rPr>
        <w:t xml:space="preserve">her </w:t>
      </w:r>
      <w:r>
        <w:rPr>
          <w:lang w:val="en-US" w:eastAsia="en-US"/>
        </w:rPr>
        <w:t xml:space="preserve">presence by saying: ‘These are the academics creating </w:t>
      </w:r>
      <w:r w:rsidRPr="00865440">
        <w:rPr>
          <w:i/>
          <w:iCs/>
          <w:lang w:val="en-US" w:eastAsia="en-US"/>
        </w:rPr>
        <w:t>my archive</w:t>
      </w:r>
      <w:r>
        <w:rPr>
          <w:lang w:val="en-US" w:eastAsia="en-US"/>
        </w:rPr>
        <w:t xml:space="preserve">.’ Before ethics permission transferred from King’s College London to </w:t>
      </w:r>
      <w:r w:rsidR="00FC481C">
        <w:rPr>
          <w:lang w:val="en-US" w:eastAsia="en-US"/>
        </w:rPr>
        <w:t xml:space="preserve">the University of </w:t>
      </w:r>
      <w:r>
        <w:rPr>
          <w:lang w:val="en-US" w:eastAsia="en-US"/>
        </w:rPr>
        <w:t xml:space="preserve">Nottingham (mandated to secure follow-on funding), an additional ‘data collection consent’ was required for each LF event to be signed by the ‘host’. This vital paperwork required Antonia’s assistance as a liaison and ‘gatekeeper’, as </w:t>
      </w:r>
      <w:r w:rsidR="00E82AC8">
        <w:rPr>
          <w:lang w:val="en-US" w:eastAsia="en-US"/>
        </w:rPr>
        <w:t>Alana</w:t>
      </w:r>
      <w:r>
        <w:rPr>
          <w:lang w:val="en-US" w:eastAsia="en-US"/>
        </w:rPr>
        <w:t xml:space="preserve"> play</w:t>
      </w:r>
      <w:r w:rsidR="001871B0">
        <w:rPr>
          <w:lang w:val="en-US" w:eastAsia="en-US"/>
        </w:rPr>
        <w:t>s</w:t>
      </w:r>
      <w:r>
        <w:rPr>
          <w:lang w:val="en-US" w:eastAsia="en-US"/>
        </w:rPr>
        <w:t xml:space="preserve"> no direct role in planning or fostering trust relationships around an event. </w:t>
      </w:r>
      <w:r w:rsidR="001871B0">
        <w:rPr>
          <w:lang w:val="en-US" w:eastAsia="en-US"/>
        </w:rPr>
        <w:t xml:space="preserve">Her </w:t>
      </w:r>
      <w:r>
        <w:rPr>
          <w:lang w:val="en-US" w:eastAsia="en-US"/>
        </w:rPr>
        <w:t xml:space="preserve">capacity to offer effective reassurances to a host that academic fieldwork will be sensitive, unobtrusive, and non-disruptive was </w:t>
      </w:r>
      <w:r w:rsidR="001871B0">
        <w:rPr>
          <w:lang w:val="en-US" w:eastAsia="en-US"/>
        </w:rPr>
        <w:t xml:space="preserve">therefore </w:t>
      </w:r>
      <w:r>
        <w:rPr>
          <w:lang w:val="en-US" w:eastAsia="en-US"/>
        </w:rPr>
        <w:t xml:space="preserve">hampered </w:t>
      </w:r>
      <w:r w:rsidR="001871B0">
        <w:rPr>
          <w:lang w:val="en-US" w:eastAsia="en-US"/>
        </w:rPr>
        <w:t xml:space="preserve">by organizational distance </w:t>
      </w:r>
      <w:r>
        <w:rPr>
          <w:lang w:val="en-US" w:eastAsia="en-US"/>
        </w:rPr>
        <w:t xml:space="preserve">and </w:t>
      </w:r>
      <w:r w:rsidR="001871B0">
        <w:rPr>
          <w:lang w:val="en-US" w:eastAsia="en-US"/>
        </w:rPr>
        <w:t xml:space="preserve">her </w:t>
      </w:r>
      <w:r>
        <w:rPr>
          <w:lang w:val="en-US" w:eastAsia="en-US"/>
        </w:rPr>
        <w:t xml:space="preserve">funded scholarly outputs </w:t>
      </w:r>
      <w:r w:rsidR="001871B0">
        <w:rPr>
          <w:lang w:val="en-US" w:eastAsia="en-US"/>
        </w:rPr>
        <w:t xml:space="preserve">remain </w:t>
      </w:r>
      <w:r>
        <w:rPr>
          <w:lang w:val="en-US" w:eastAsia="en-US"/>
        </w:rPr>
        <w:t xml:space="preserve">highly dependent on this partnership. The oral history </w:t>
      </w:r>
      <w:r w:rsidR="00D1595F">
        <w:rPr>
          <w:lang w:val="en-US" w:eastAsia="en-US"/>
        </w:rPr>
        <w:t xml:space="preserve">literature </w:t>
      </w:r>
      <w:r>
        <w:rPr>
          <w:lang w:val="en-US" w:eastAsia="en-US"/>
        </w:rPr>
        <w:t>on ‘shared authority’ and interpretative power builds on Frisch’s pioneering reflections on academic-community hierarchies and researcher elitism. The asymmetrical relationship negotiated was, in some ways, the inverse of the typical dynamic contemplated in the literature and fluctuated considerably over time.</w:t>
      </w:r>
      <w:r>
        <w:rPr>
          <w:rStyle w:val="EndnoteReference"/>
          <w:lang w:val="en-US" w:eastAsia="en-US"/>
        </w:rPr>
        <w:endnoteReference w:id="55"/>
      </w:r>
      <w:r>
        <w:rPr>
          <w:lang w:val="en-US" w:eastAsia="en-US"/>
        </w:rPr>
        <w:t xml:space="preserve"> </w:t>
      </w:r>
    </w:p>
    <w:p w14:paraId="33E592AB" w14:textId="7251CE72" w:rsidR="00343D0F" w:rsidRDefault="00343D0F" w:rsidP="00C07D0F">
      <w:pPr>
        <w:spacing w:line="480" w:lineRule="auto"/>
        <w:rPr>
          <w:lang w:val="en-US" w:eastAsia="en-US"/>
        </w:rPr>
      </w:pPr>
    </w:p>
    <w:p w14:paraId="093881CA" w14:textId="39348567" w:rsidR="00343D0F" w:rsidRDefault="00343D0F" w:rsidP="00C07D0F">
      <w:pPr>
        <w:spacing w:line="480" w:lineRule="auto"/>
        <w:rPr>
          <w:lang w:val="en-US" w:eastAsia="en-US"/>
        </w:rPr>
      </w:pPr>
      <w:r>
        <w:rPr>
          <w:lang w:val="en-US" w:eastAsia="en-US"/>
        </w:rPr>
        <w:t>In navigating these unchartered and choppy waters through the emergent oral history heuristic of ‘sharing auth</w:t>
      </w:r>
      <w:r w:rsidRPr="002E449B">
        <w:rPr>
          <w:lang w:val="en-US" w:eastAsia="en-US"/>
        </w:rPr>
        <w:t>ority</w:t>
      </w:r>
      <w:r>
        <w:rPr>
          <w:lang w:val="en-US" w:eastAsia="en-US"/>
        </w:rPr>
        <w:t>,</w:t>
      </w:r>
      <w:r w:rsidRPr="002E449B">
        <w:rPr>
          <w:lang w:val="en-US" w:eastAsia="en-US"/>
        </w:rPr>
        <w:t>’</w:t>
      </w:r>
      <w:r>
        <w:rPr>
          <w:lang w:val="en-US" w:eastAsia="en-US"/>
        </w:rPr>
        <w:t xml:space="preserve"> the presence of these mostly silent but immensely powerful third parties loom large.</w:t>
      </w:r>
      <w:r w:rsidRPr="002E449B">
        <w:rPr>
          <w:rStyle w:val="EndnoteReference"/>
          <w:lang w:val="en-US" w:eastAsia="en-US"/>
        </w:rPr>
        <w:endnoteReference w:id="56"/>
      </w:r>
      <w:r>
        <w:rPr>
          <w:lang w:val="en-US" w:eastAsia="en-US"/>
        </w:rPr>
        <w:t xml:space="preserve"> Undergirding all these practical, intellectual, emotional</w:t>
      </w:r>
      <w:r w:rsidR="007D0F93">
        <w:rPr>
          <w:lang w:val="en-US" w:eastAsia="en-US"/>
        </w:rPr>
        <w:t>,</w:t>
      </w:r>
      <w:r>
        <w:rPr>
          <w:lang w:val="en-US" w:eastAsia="en-US"/>
        </w:rPr>
        <w:t xml:space="preserve"> and interpersonal conundrums about interpretative agency are two Universities and their legal and technical matrices. As codified in the collaborative agreement created in May 2024, a digital, non-public archive of a movement ‘giving visibility and voice to CSA survivors and their allies in Catholic and Anglican Churches’ has been created between the University and </w:t>
      </w:r>
      <w:proofErr w:type="spellStart"/>
      <w:r>
        <w:rPr>
          <w:lang w:val="en-US" w:eastAsia="en-US"/>
        </w:rPr>
        <w:t>LOUDfence</w:t>
      </w:r>
      <w:proofErr w:type="spellEnd"/>
      <w:r>
        <w:rPr>
          <w:lang w:val="en-US" w:eastAsia="en-US"/>
        </w:rPr>
        <w:t xml:space="preserve"> CIC. Further agreements – covering intellectual properties, liability and indemnities, and data control – give structure to the collaborative partnership (slightly differently configured by King’s and Nottingham) but agree that its ‘results’ (defined as ‘improvements’ to intellectual property) will be jointly owned with an equal and undivided </w:t>
      </w:r>
      <w:r>
        <w:rPr>
          <w:lang w:val="en-US" w:eastAsia="en-US"/>
        </w:rPr>
        <w:lastRenderedPageBreak/>
        <w:t xml:space="preserve">ownership. </w:t>
      </w:r>
      <w:r w:rsidR="00A87A72">
        <w:rPr>
          <w:lang w:val="en-US" w:eastAsia="en-US"/>
        </w:rPr>
        <w:t>Alana</w:t>
      </w:r>
      <w:r>
        <w:rPr>
          <w:lang w:val="en-US" w:eastAsia="en-US"/>
        </w:rPr>
        <w:t xml:space="preserve"> is unclear whether the accessioning and cataloguing of photographs (taken by Antonia or others before the commencement of ethics-cleared research) would now belong to the archive, under the guise of an ‘improvement, enhancement, adaptation or modification’ of background research data and IP. Under the data sharing agreement, only </w:t>
      </w:r>
      <w:r w:rsidR="00A87A72">
        <w:rPr>
          <w:lang w:val="en-US" w:eastAsia="en-US"/>
        </w:rPr>
        <w:t>Alana</w:t>
      </w:r>
      <w:r>
        <w:rPr>
          <w:lang w:val="en-US" w:eastAsia="en-US"/>
        </w:rPr>
        <w:t xml:space="preserve"> is eligible to be a ‘data controller’ (with liability for data protection and breaches) and mandated storage is on the institution’s </w:t>
      </w:r>
      <w:proofErr w:type="spellStart"/>
      <w:r>
        <w:rPr>
          <w:lang w:val="en-US" w:eastAsia="en-US"/>
        </w:rPr>
        <w:t>Sharepoint</w:t>
      </w:r>
      <w:proofErr w:type="spellEnd"/>
      <w:r>
        <w:rPr>
          <w:lang w:val="en-US" w:eastAsia="en-US"/>
        </w:rPr>
        <w:t xml:space="preserve"> platform. </w:t>
      </w:r>
      <w:r w:rsidR="00FC481C">
        <w:rPr>
          <w:lang w:val="en-US" w:eastAsia="en-US"/>
        </w:rPr>
        <w:t xml:space="preserve">The </w:t>
      </w:r>
      <w:r>
        <w:rPr>
          <w:lang w:val="en-US" w:eastAsia="en-US"/>
        </w:rPr>
        <w:t>University</w:t>
      </w:r>
      <w:r w:rsidR="00FC481C">
        <w:rPr>
          <w:lang w:val="en-US" w:eastAsia="en-US"/>
        </w:rPr>
        <w:t xml:space="preserve"> of Nottingham</w:t>
      </w:r>
      <w:r>
        <w:rPr>
          <w:lang w:val="en-US" w:eastAsia="en-US"/>
        </w:rPr>
        <w:t xml:space="preserve"> has a similar arrangement in place for materials created/collected for the fieldwork period it funded, and the academic team has negotiated these potentially competing claims to ownership by duplicating materials and creating two identical </w:t>
      </w:r>
      <w:proofErr w:type="spellStart"/>
      <w:r>
        <w:rPr>
          <w:lang w:val="en-US" w:eastAsia="en-US"/>
        </w:rPr>
        <w:t>Sharepoint</w:t>
      </w:r>
      <w:proofErr w:type="spellEnd"/>
      <w:r>
        <w:rPr>
          <w:lang w:val="en-US" w:eastAsia="en-US"/>
        </w:rPr>
        <w:t xml:space="preserve"> archives. Neither repository is </w:t>
      </w:r>
      <w:r w:rsidR="00E15CB4">
        <w:rPr>
          <w:lang w:val="en-US" w:eastAsia="en-US"/>
        </w:rPr>
        <w:t xml:space="preserve">currently </w:t>
      </w:r>
      <w:r>
        <w:rPr>
          <w:lang w:val="en-US" w:eastAsia="en-US"/>
        </w:rPr>
        <w:t>accessible to Antonia or LB Board members</w:t>
      </w:r>
      <w:r w:rsidR="007D0F93">
        <w:rPr>
          <w:lang w:val="en-US" w:eastAsia="en-US"/>
        </w:rPr>
        <w:t xml:space="preserve"> though</w:t>
      </w:r>
      <w:r>
        <w:rPr>
          <w:lang w:val="en-US" w:eastAsia="en-US"/>
        </w:rPr>
        <w:t xml:space="preserve">, as they do not have institutional emails and password authentication software to log into the folders and files. These organizational disparities in professionalized advice, infrastructure, salaried </w:t>
      </w:r>
      <w:proofErr w:type="spellStart"/>
      <w:r>
        <w:rPr>
          <w:lang w:val="en-US" w:eastAsia="en-US"/>
        </w:rPr>
        <w:t>labour</w:t>
      </w:r>
      <w:proofErr w:type="spellEnd"/>
      <w:r>
        <w:rPr>
          <w:lang w:val="en-US" w:eastAsia="en-US"/>
        </w:rPr>
        <w:t xml:space="preserve"> time, and authority markers are unsettling and demonstrate the unforeseen consequences and compromises required from </w:t>
      </w:r>
      <w:r w:rsidR="00A87A72">
        <w:rPr>
          <w:lang w:val="en-US" w:eastAsia="en-US"/>
        </w:rPr>
        <w:t>Alana</w:t>
      </w:r>
      <w:r>
        <w:rPr>
          <w:lang w:val="en-US" w:eastAsia="en-US"/>
        </w:rPr>
        <w:t xml:space="preserve"> in seeking to blend her voluntarist activism with her teaching and research agendas, and the need to access funding from two University institutions. From our initial aspirations to ‘symmetrical intersubjectivity’, as explored by Caswell and Robinson-Sweet, there is a need for vigilance around the specter of ‘credentialed academics min[</w:t>
      </w:r>
      <w:proofErr w:type="spellStart"/>
      <w:r>
        <w:rPr>
          <w:lang w:val="en-US" w:eastAsia="en-US"/>
        </w:rPr>
        <w:t>ing</w:t>
      </w:r>
      <w:proofErr w:type="spellEnd"/>
      <w:r>
        <w:rPr>
          <w:lang w:val="en-US" w:eastAsia="en-US"/>
        </w:rPr>
        <w:t>] minoritized community members as sources.’</w:t>
      </w:r>
      <w:r>
        <w:rPr>
          <w:rStyle w:val="EndnoteReference"/>
          <w:lang w:val="en-US" w:eastAsia="en-US"/>
        </w:rPr>
        <w:endnoteReference w:id="57"/>
      </w:r>
      <w:r>
        <w:rPr>
          <w:lang w:val="en-US" w:eastAsia="en-US"/>
        </w:rPr>
        <w:t xml:space="preserve"> In acknowledging her fears about these hierarchies, inequalities, and legal ambiguities, </w:t>
      </w:r>
      <w:r w:rsidR="003261A0">
        <w:rPr>
          <w:lang w:val="en-US" w:eastAsia="en-US"/>
        </w:rPr>
        <w:t>Alana</w:t>
      </w:r>
      <w:r>
        <w:rPr>
          <w:lang w:val="en-US" w:eastAsia="en-US"/>
        </w:rPr>
        <w:t xml:space="preserve"> is tempted to concur with those who conclude that shared authority with our community partners might be an ‘impossible goal.’</w:t>
      </w:r>
      <w:r>
        <w:rPr>
          <w:rStyle w:val="EndnoteReference"/>
          <w:lang w:val="en-US" w:eastAsia="en-US"/>
        </w:rPr>
        <w:endnoteReference w:id="58"/>
      </w:r>
      <w:r>
        <w:rPr>
          <w:lang w:val="en-US" w:eastAsia="en-US"/>
        </w:rPr>
        <w:t xml:space="preserve"> </w:t>
      </w:r>
    </w:p>
    <w:p w14:paraId="57D7E9CA" w14:textId="77777777" w:rsidR="00343D0F" w:rsidRDefault="00343D0F" w:rsidP="00C07D0F">
      <w:pPr>
        <w:spacing w:line="480" w:lineRule="auto"/>
        <w:rPr>
          <w:lang w:val="en-US" w:eastAsia="en-US"/>
        </w:rPr>
      </w:pPr>
    </w:p>
    <w:p w14:paraId="1130C832" w14:textId="2DA5056B" w:rsidR="00343D0F" w:rsidRDefault="00343D0F" w:rsidP="00C07D0F">
      <w:pPr>
        <w:spacing w:line="480" w:lineRule="auto"/>
        <w:rPr>
          <w:lang w:val="en-US" w:eastAsia="en-US"/>
        </w:rPr>
      </w:pPr>
      <w:r>
        <w:rPr>
          <w:lang w:val="en-US" w:eastAsia="en-US"/>
        </w:rPr>
        <w:t xml:space="preserve">We agonize too about when – and how – to translate our research findings into publications. In line with principles of co-production and mutuality, we have prioritized timely dissemination of insights into accessible and </w:t>
      </w:r>
      <w:proofErr w:type="gramStart"/>
      <w:r>
        <w:rPr>
          <w:lang w:val="en-US" w:eastAsia="en-US"/>
        </w:rPr>
        <w:t>free</w:t>
      </w:r>
      <w:r w:rsidR="00E15CB4">
        <w:rPr>
          <w:lang w:val="en-US" w:eastAsia="en-US"/>
        </w:rPr>
        <w:t>ly</w:t>
      </w:r>
      <w:r>
        <w:rPr>
          <w:lang w:val="en-US" w:eastAsia="en-US"/>
        </w:rPr>
        <w:t>-available</w:t>
      </w:r>
      <w:proofErr w:type="gramEnd"/>
      <w:r>
        <w:rPr>
          <w:lang w:val="en-US" w:eastAsia="en-US"/>
        </w:rPr>
        <w:t>, open access formats.</w:t>
      </w:r>
      <w:r>
        <w:rPr>
          <w:rStyle w:val="EndnoteReference"/>
          <w:lang w:val="en-US" w:eastAsia="en-US"/>
        </w:rPr>
        <w:endnoteReference w:id="59"/>
      </w:r>
      <w:r>
        <w:rPr>
          <w:lang w:val="en-US" w:eastAsia="en-US"/>
        </w:rPr>
        <w:t xml:space="preserve"> </w:t>
      </w:r>
      <w:r>
        <w:rPr>
          <w:lang w:val="en-US" w:eastAsia="en-US"/>
        </w:rPr>
        <w:lastRenderedPageBreak/>
        <w:t xml:space="preserve">Nevertheless, forthcoming and more traditional outputs might have recourse to alienating conceptual frameworks or reach challenging (or even potentially distressing) conclusions. Alongside our prioritization of an ethics of care for our partners, we are also committed to restorative justice principles and collective survivor-led research agendas. </w:t>
      </w:r>
      <w:r w:rsidR="007862DB">
        <w:rPr>
          <w:lang w:val="en-US" w:eastAsia="en-US"/>
        </w:rPr>
        <w:t>Alana</w:t>
      </w:r>
      <w:r>
        <w:rPr>
          <w:lang w:val="en-US" w:eastAsia="en-US"/>
        </w:rPr>
        <w:t xml:space="preserve"> is acutely aware of the considerable risks and emotional costs of (always likely) interpretative conflict around qualitative materials.</w:t>
      </w:r>
      <w:r>
        <w:rPr>
          <w:rStyle w:val="EndnoteReference"/>
          <w:lang w:val="en-US" w:eastAsia="en-US"/>
        </w:rPr>
        <w:endnoteReference w:id="60"/>
      </w:r>
      <w:r>
        <w:rPr>
          <w:lang w:val="en-US" w:eastAsia="en-US"/>
        </w:rPr>
        <w:t xml:space="preserve"> In the production of scholarship on CSA though, there is not only the potential of misrecognition or contradiction of academic interpretations (potentially leading to relationship breakdowns), but also the ‘high stakes’ subjective risks of unintended re-traumatization, emotional harm, and collective damage to a fledgling, stigmatized, and </w:t>
      </w:r>
      <w:proofErr w:type="spellStart"/>
      <w:r>
        <w:rPr>
          <w:lang w:val="en-US" w:eastAsia="en-US"/>
        </w:rPr>
        <w:t>unresourced</w:t>
      </w:r>
      <w:proofErr w:type="spellEnd"/>
      <w:r>
        <w:rPr>
          <w:lang w:val="en-US" w:eastAsia="en-US"/>
        </w:rPr>
        <w:t xml:space="preserve"> movement.</w:t>
      </w:r>
      <w:r>
        <w:rPr>
          <w:rStyle w:val="EndnoteReference"/>
          <w:lang w:val="en-US" w:eastAsia="en-US"/>
        </w:rPr>
        <w:endnoteReference w:id="61"/>
      </w:r>
      <w:r>
        <w:rPr>
          <w:lang w:val="en-US" w:eastAsia="en-US"/>
        </w:rPr>
        <w:t xml:space="preserve"> As Olsson has explored in a recent, provocative piece on interpretative authority, might we need to choose between ‘being a good scholar or a good person?’</w:t>
      </w:r>
      <w:r>
        <w:rPr>
          <w:rStyle w:val="EndnoteReference"/>
          <w:lang w:val="en-US" w:eastAsia="en-US"/>
        </w:rPr>
        <w:endnoteReference w:id="62"/>
      </w:r>
      <w:r>
        <w:rPr>
          <w:lang w:val="en-US" w:eastAsia="en-US"/>
        </w:rPr>
        <w:t xml:space="preserve">  </w:t>
      </w:r>
    </w:p>
    <w:p w14:paraId="177CE987" w14:textId="77777777" w:rsidR="00343D0F" w:rsidRPr="00D63572" w:rsidRDefault="00343D0F" w:rsidP="00C07D0F">
      <w:pPr>
        <w:spacing w:line="480" w:lineRule="auto"/>
        <w:rPr>
          <w:lang w:val="en-US" w:eastAsia="en-US"/>
        </w:rPr>
      </w:pPr>
    </w:p>
    <w:p w14:paraId="2E179ED6" w14:textId="77777777" w:rsidR="00343D0F" w:rsidRDefault="00343D0F" w:rsidP="00C07D0F">
      <w:pPr>
        <w:pStyle w:val="Heading3"/>
        <w:spacing w:line="480" w:lineRule="auto"/>
      </w:pPr>
      <w:r>
        <w:t>Conclusion</w:t>
      </w:r>
    </w:p>
    <w:p w14:paraId="5B353375" w14:textId="77777777" w:rsidR="00343D0F" w:rsidRDefault="00343D0F" w:rsidP="00C07D0F">
      <w:pPr>
        <w:spacing w:line="480" w:lineRule="auto"/>
        <w:rPr>
          <w:lang w:eastAsia="en-US"/>
        </w:rPr>
      </w:pPr>
      <w:r>
        <w:rPr>
          <w:lang w:eastAsia="en-US"/>
        </w:rPr>
        <w:t xml:space="preserve">Our case studies demonstrate the relevance of thinking through the implications and impacts of trauma not only on approaches to and practices of archiving CSA, but on the conditions and interpretative possibilities of the CSA archive itself. While we find the principles of trauma-informed practice a critical starting point in our work, they are repeatedly pushed and challenged by the specificities of working in the context of (and with the content of) sexual violence. The multiple and resonating effects of trauma as they play out in relationships and activities present fundamental ethical and emotional dilemmas which cannot be straightforwardly resolved but must be held and negotiated. Archivists and researchers require a range of theoretical and practical tools to navigate this process. Some of these can be found in existing feminist and liberatory scholarship that draws on ethics of care and oral history methodologies. Survivor-led research guidance, including </w:t>
      </w:r>
      <w:r>
        <w:rPr>
          <w:i/>
          <w:iCs/>
          <w:lang w:eastAsia="en-US"/>
        </w:rPr>
        <w:t xml:space="preserve">Survivors Voices </w:t>
      </w:r>
      <w:r>
        <w:rPr>
          <w:lang w:eastAsia="en-US"/>
        </w:rPr>
        <w:t xml:space="preserve">resources, </w:t>
      </w:r>
      <w:r>
        <w:rPr>
          <w:lang w:eastAsia="en-US"/>
        </w:rPr>
        <w:lastRenderedPageBreak/>
        <w:t xml:space="preserve">offer initial roadmaps, and some institutional safeguards and guidelines are becoming available. </w:t>
      </w:r>
    </w:p>
    <w:p w14:paraId="230406CB" w14:textId="77777777" w:rsidR="00343D0F" w:rsidRDefault="00343D0F" w:rsidP="00C07D0F">
      <w:pPr>
        <w:spacing w:line="480" w:lineRule="auto"/>
        <w:rPr>
          <w:lang w:eastAsia="en-US"/>
        </w:rPr>
      </w:pPr>
    </w:p>
    <w:p w14:paraId="6C8553D0" w14:textId="5C92458E" w:rsidR="00343D0F" w:rsidRDefault="00343D0F" w:rsidP="00C07D0F">
      <w:pPr>
        <w:spacing w:line="480" w:lineRule="auto"/>
        <w:rPr>
          <w:lang w:eastAsia="en-US"/>
        </w:rPr>
      </w:pPr>
      <w:r>
        <w:rPr>
          <w:lang w:eastAsia="en-US"/>
        </w:rPr>
        <w:t xml:space="preserve">However, as we have demonstrated, institutional structures and ethical processes cleave to ways </w:t>
      </w:r>
      <w:r w:rsidRPr="004F60DF">
        <w:rPr>
          <w:lang w:eastAsia="en-US"/>
        </w:rPr>
        <w:t xml:space="preserve">of </w:t>
      </w:r>
      <w:r>
        <w:rPr>
          <w:lang w:eastAsia="en-US"/>
        </w:rPr>
        <w:t xml:space="preserve">approaching archives </w:t>
      </w:r>
      <w:r w:rsidRPr="004F60DF">
        <w:rPr>
          <w:lang w:eastAsia="en-US"/>
        </w:rPr>
        <w:t xml:space="preserve">that </w:t>
      </w:r>
      <w:r>
        <w:rPr>
          <w:lang w:eastAsia="en-US"/>
        </w:rPr>
        <w:t xml:space="preserve">do not account for </w:t>
      </w:r>
      <w:r w:rsidRPr="004F60DF">
        <w:rPr>
          <w:lang w:eastAsia="en-US"/>
        </w:rPr>
        <w:t xml:space="preserve">the </w:t>
      </w:r>
      <w:r>
        <w:rPr>
          <w:lang w:eastAsia="en-US"/>
        </w:rPr>
        <w:t xml:space="preserve">breadth and depth </w:t>
      </w:r>
      <w:r w:rsidRPr="004F60DF">
        <w:rPr>
          <w:lang w:eastAsia="en-US"/>
        </w:rPr>
        <w:t xml:space="preserve">of </w:t>
      </w:r>
      <w:r w:rsidR="00F968F9">
        <w:rPr>
          <w:lang w:eastAsia="en-US"/>
        </w:rPr>
        <w:t xml:space="preserve">interactions </w:t>
      </w:r>
      <w:r>
        <w:rPr>
          <w:lang w:eastAsia="en-US"/>
        </w:rPr>
        <w:t xml:space="preserve">with survivors, or the personal challenges of this kind of research and practice. </w:t>
      </w:r>
      <w:r w:rsidRPr="006D08E9">
        <w:rPr>
          <w:lang w:eastAsia="en-US"/>
        </w:rPr>
        <w:t>Relationships between practitioners and researchers and survivors and their families are tested when they come under the scrutiny</w:t>
      </w:r>
      <w:r>
        <w:rPr>
          <w:lang w:eastAsia="en-US"/>
        </w:rPr>
        <w:t xml:space="preserve"> and </w:t>
      </w:r>
      <w:r w:rsidRPr="006D08E9">
        <w:rPr>
          <w:lang w:eastAsia="en-US"/>
        </w:rPr>
        <w:t xml:space="preserve">oversight of institutions. In both </w:t>
      </w:r>
      <w:r w:rsidR="003B6DFF">
        <w:rPr>
          <w:lang w:eastAsia="en-US"/>
        </w:rPr>
        <w:t xml:space="preserve">pilot </w:t>
      </w:r>
      <w:r w:rsidR="008A323E">
        <w:rPr>
          <w:lang w:eastAsia="en-US"/>
        </w:rPr>
        <w:t>studies</w:t>
      </w:r>
      <w:r w:rsidRPr="006D08E9">
        <w:rPr>
          <w:lang w:eastAsia="en-US"/>
        </w:rPr>
        <w:t>,</w:t>
      </w:r>
      <w:r>
        <w:rPr>
          <w:lang w:eastAsia="en-US"/>
        </w:rPr>
        <w:t xml:space="preserve"> our research practice is subject to university rules and external obligations in terms of copyright and intellectual property agreements, data protection and privacy laws, and third-party and contractual obligations. This brings other actors with differing objectives into the relational matrix, with priorities that tend to be more instrumentalist, and extractive than trauma-informed and emancipatory. Risk reduction, reputation management, ‘value for money,’ and the protection of property and capital are more overarching concerns. For </w:t>
      </w:r>
      <w:r w:rsidR="008A323E">
        <w:rPr>
          <w:lang w:eastAsia="en-US"/>
        </w:rPr>
        <w:t>Alana</w:t>
      </w:r>
      <w:r>
        <w:rPr>
          <w:lang w:eastAsia="en-US"/>
        </w:rPr>
        <w:t xml:space="preserve">, securing the necessary permissions, and adhering to their prescriptions, have raised contentious conceptual questions about symmetrical intersubjectivity, ‘insider’ status, and ongoing emotional containment and regulation through boundary work. For </w:t>
      </w:r>
      <w:r w:rsidR="00BB2021">
        <w:rPr>
          <w:lang w:eastAsia="en-US"/>
        </w:rPr>
        <w:t>Victoria</w:t>
      </w:r>
      <w:r>
        <w:rPr>
          <w:lang w:eastAsia="en-US"/>
        </w:rPr>
        <w:t xml:space="preserve">, a converse lack of recognition of the necessity of ethical support had similar effects.  </w:t>
      </w:r>
    </w:p>
    <w:p w14:paraId="51ED49FF" w14:textId="77777777" w:rsidR="00343D0F" w:rsidRDefault="00343D0F" w:rsidP="00C07D0F">
      <w:pPr>
        <w:spacing w:line="480" w:lineRule="auto"/>
        <w:rPr>
          <w:lang w:eastAsia="en-US"/>
        </w:rPr>
      </w:pPr>
    </w:p>
    <w:p w14:paraId="173CAA29" w14:textId="77777777" w:rsidR="00343D0F" w:rsidRDefault="00343D0F" w:rsidP="00C07D0F">
      <w:pPr>
        <w:spacing w:line="480" w:lineRule="auto"/>
        <w:rPr>
          <w:lang w:eastAsia="en-US"/>
        </w:rPr>
      </w:pPr>
      <w:r>
        <w:rPr>
          <w:lang w:eastAsia="en-US"/>
        </w:rPr>
        <w:t>Universally, consideration of relational</w:t>
      </w:r>
      <w:r w:rsidRPr="004F60DF">
        <w:rPr>
          <w:lang w:eastAsia="en-US"/>
        </w:rPr>
        <w:t xml:space="preserve"> and emotional need</w:t>
      </w:r>
      <w:r>
        <w:rPr>
          <w:lang w:eastAsia="en-US"/>
        </w:rPr>
        <w:t>s, human responsiveness, mutual aid, and the asking for, and giving of, trust and care are not provided for (indeed perhaps discouraged) and, in any case, cannot be defined and stipulated</w:t>
      </w:r>
      <w:r w:rsidRPr="004F60DF">
        <w:rPr>
          <w:lang w:eastAsia="en-US"/>
        </w:rPr>
        <w:t>.</w:t>
      </w:r>
      <w:r>
        <w:rPr>
          <w:lang w:eastAsia="en-US"/>
        </w:rPr>
        <w:t xml:space="preserve"> They must be lived and felt. Although this type of archival practice and research – co-produced with partners with lived experience – is increasingly sought by funders and institutions (both academic and otherwise), neither ethical understanding nor the provision and administration of practical </w:t>
      </w:r>
      <w:r>
        <w:rPr>
          <w:lang w:eastAsia="en-US"/>
        </w:rPr>
        <w:lastRenderedPageBreak/>
        <w:t xml:space="preserve">resources has kept pace. This leaves researchers and archivists fighting on two fronts: against the bureaucracy and standards which constrain their ability to build partnerships and to co-produce archives and research; and with the difficulty of identifying and maintaining personal and emotional boundaries without adequate psychological support. Consequently, all those who work with archives of trauma are vulnerable and exposed to trauma, but none more so than the survivors themselves. </w:t>
      </w:r>
    </w:p>
    <w:p w14:paraId="0D58974D" w14:textId="77777777" w:rsidR="00343D0F" w:rsidRDefault="00343D0F" w:rsidP="00C07D0F">
      <w:pPr>
        <w:spacing w:line="480" w:lineRule="auto"/>
        <w:rPr>
          <w:lang w:eastAsia="en-US"/>
        </w:rPr>
      </w:pPr>
    </w:p>
    <w:p w14:paraId="1AB1257D" w14:textId="382AABA5" w:rsidR="00641E5C" w:rsidRDefault="00B36467" w:rsidP="00C07D0F">
      <w:pPr>
        <w:spacing w:line="480" w:lineRule="auto"/>
        <w:rPr>
          <w:lang w:eastAsia="en-US"/>
        </w:rPr>
      </w:pPr>
      <w:r>
        <w:rPr>
          <w:lang w:eastAsia="en-US"/>
        </w:rPr>
        <w:t>Our parallel work on</w:t>
      </w:r>
      <w:r w:rsidR="008E52D9">
        <w:rPr>
          <w:lang w:eastAsia="en-US"/>
        </w:rPr>
        <w:t xml:space="preserve"> </w:t>
      </w:r>
      <w:r w:rsidR="00343D0F">
        <w:rPr>
          <w:lang w:eastAsia="en-US"/>
        </w:rPr>
        <w:t xml:space="preserve">the RSJ and LF archives generated our </w:t>
      </w:r>
      <w:r w:rsidR="008E52D9">
        <w:rPr>
          <w:lang w:eastAsia="en-US"/>
        </w:rPr>
        <w:t>UKRI</w:t>
      </w:r>
      <w:r w:rsidR="00B15341">
        <w:rPr>
          <w:lang w:eastAsia="en-US"/>
        </w:rPr>
        <w:t xml:space="preserve"> </w:t>
      </w:r>
      <w:r w:rsidR="00343D0F">
        <w:rPr>
          <w:lang w:eastAsia="en-US"/>
        </w:rPr>
        <w:t>funded</w:t>
      </w:r>
      <w:r w:rsidR="00B15341">
        <w:rPr>
          <w:lang w:eastAsia="en-US"/>
        </w:rPr>
        <w:t xml:space="preserve"> project</w:t>
      </w:r>
      <w:r w:rsidR="00343D0F">
        <w:rPr>
          <w:lang w:eastAsia="en-US"/>
        </w:rPr>
        <w:t xml:space="preserve"> </w:t>
      </w:r>
      <w:r w:rsidR="00343D0F" w:rsidRPr="004B72B3">
        <w:rPr>
          <w:i/>
          <w:iCs/>
          <w:lang w:eastAsia="en-US"/>
        </w:rPr>
        <w:t>Remembering Together</w:t>
      </w:r>
      <w:r w:rsidR="00B15341">
        <w:rPr>
          <w:i/>
          <w:iCs/>
          <w:lang w:eastAsia="en-US"/>
        </w:rPr>
        <w:t xml:space="preserve"> </w:t>
      </w:r>
      <w:r w:rsidR="00343D0F">
        <w:rPr>
          <w:lang w:eastAsia="en-US"/>
        </w:rPr>
        <w:t>(</w:t>
      </w:r>
      <w:r w:rsidR="005A76BD">
        <w:rPr>
          <w:lang w:eastAsia="en-US"/>
        </w:rPr>
        <w:t xml:space="preserve">Feb </w:t>
      </w:r>
      <w:r w:rsidR="00343D0F">
        <w:rPr>
          <w:lang w:eastAsia="en-US"/>
        </w:rPr>
        <w:t>2026-</w:t>
      </w:r>
      <w:r w:rsidR="005A76BD">
        <w:rPr>
          <w:lang w:eastAsia="en-US"/>
        </w:rPr>
        <w:t xml:space="preserve">Jan </w:t>
      </w:r>
      <w:r w:rsidR="00343D0F">
        <w:rPr>
          <w:lang w:eastAsia="en-US"/>
        </w:rPr>
        <w:t xml:space="preserve">2028), which will produce an archiving toolkit for records of child sexual abuse activism. It will </w:t>
      </w:r>
      <w:r w:rsidR="005A76BD">
        <w:rPr>
          <w:lang w:eastAsia="en-US"/>
        </w:rPr>
        <w:t xml:space="preserve">further </w:t>
      </w:r>
      <w:r w:rsidR="00343D0F">
        <w:rPr>
          <w:lang w:eastAsia="en-US"/>
        </w:rPr>
        <w:t>explore the ethical and emotional challenges outlined here,</w:t>
      </w:r>
      <w:r w:rsidR="00343D0F" w:rsidRPr="00A53C8E">
        <w:rPr>
          <w:lang w:eastAsia="en-US"/>
        </w:rPr>
        <w:t xml:space="preserve"> in collaboration with current survivor-activists and organisations,</w:t>
      </w:r>
      <w:r w:rsidR="00343D0F">
        <w:rPr>
          <w:lang w:eastAsia="en-US"/>
        </w:rPr>
        <w:t xml:space="preserve"> </w:t>
      </w:r>
      <w:r w:rsidR="00343D0F" w:rsidRPr="00A53C8E">
        <w:rPr>
          <w:lang w:eastAsia="en-US"/>
        </w:rPr>
        <w:t>to produce</w:t>
      </w:r>
      <w:r w:rsidR="00343D0F">
        <w:rPr>
          <w:lang w:eastAsia="en-US"/>
        </w:rPr>
        <w:t xml:space="preserve"> </w:t>
      </w:r>
      <w:r w:rsidR="00343D0F" w:rsidRPr="00A53C8E">
        <w:rPr>
          <w:lang w:eastAsia="en-US"/>
        </w:rPr>
        <w:t>detailed protocols and instructions,</w:t>
      </w:r>
      <w:r w:rsidR="00343D0F">
        <w:rPr>
          <w:lang w:eastAsia="en-US"/>
        </w:rPr>
        <w:t xml:space="preserve"> with case examples,</w:t>
      </w:r>
      <w:r w:rsidR="00343D0F" w:rsidRPr="00A53C8E">
        <w:rPr>
          <w:lang w:eastAsia="en-US"/>
        </w:rPr>
        <w:t xml:space="preserve"> to be used by survivors, archivists</w:t>
      </w:r>
      <w:r w:rsidR="00343D0F">
        <w:rPr>
          <w:lang w:eastAsia="en-US"/>
        </w:rPr>
        <w:t>,</w:t>
      </w:r>
      <w:r w:rsidR="00343D0F" w:rsidRPr="00A53C8E">
        <w:rPr>
          <w:lang w:eastAsia="en-US"/>
        </w:rPr>
        <w:t xml:space="preserve"> and researchers to support archival creation, preservation</w:t>
      </w:r>
      <w:r w:rsidR="00343D0F">
        <w:rPr>
          <w:lang w:eastAsia="en-US"/>
        </w:rPr>
        <w:t>,</w:t>
      </w:r>
      <w:r w:rsidR="00343D0F" w:rsidRPr="00A53C8E">
        <w:rPr>
          <w:lang w:eastAsia="en-US"/>
        </w:rPr>
        <w:t xml:space="preserve"> and discovery. </w:t>
      </w:r>
      <w:r w:rsidR="00343D0F">
        <w:rPr>
          <w:lang w:eastAsia="en-US"/>
        </w:rPr>
        <w:t xml:space="preserve">As part of this process, we will continue to expand our understanding of current trauma-informed archival principles, advocating that a specific and nuanced approach to archives of sexual violence and childhood trauma is urgently needed. We are already convinced, drawing on our pilot research, that such a toolkit requires academic-activism; action-based, participatory research methods; and co-ordinated, collaborative, and inherently interdisciplinary exploratory scholarship. </w:t>
      </w:r>
      <w:r w:rsidR="00505709">
        <w:rPr>
          <w:lang w:eastAsia="en-US"/>
        </w:rPr>
        <w:t>Our vision is to honour t</w:t>
      </w:r>
      <w:r w:rsidR="0072230F">
        <w:rPr>
          <w:lang w:eastAsia="en-US"/>
        </w:rPr>
        <w:t xml:space="preserve">he right of survivors to </w:t>
      </w:r>
      <w:r w:rsidR="00476729">
        <w:rPr>
          <w:lang w:eastAsia="en-US"/>
        </w:rPr>
        <w:t>be heard in and through the</w:t>
      </w:r>
      <w:r w:rsidR="00A0309C">
        <w:rPr>
          <w:lang w:eastAsia="en-US"/>
        </w:rPr>
        <w:t>ir</w:t>
      </w:r>
      <w:r w:rsidR="00476729">
        <w:rPr>
          <w:lang w:eastAsia="en-US"/>
        </w:rPr>
        <w:t xml:space="preserve"> archive</w:t>
      </w:r>
      <w:r w:rsidR="00A0309C">
        <w:rPr>
          <w:lang w:eastAsia="en-US"/>
        </w:rPr>
        <w:t>s</w:t>
      </w:r>
      <w:r w:rsidR="00476729">
        <w:rPr>
          <w:lang w:eastAsia="en-US"/>
        </w:rPr>
        <w:t xml:space="preserve">, using our </w:t>
      </w:r>
      <w:r w:rsidR="00A0309C">
        <w:rPr>
          <w:lang w:eastAsia="en-US"/>
        </w:rPr>
        <w:t xml:space="preserve">privileged </w:t>
      </w:r>
      <w:r w:rsidR="00476729">
        <w:rPr>
          <w:lang w:eastAsia="en-US"/>
        </w:rPr>
        <w:t xml:space="preserve">position as </w:t>
      </w:r>
      <w:r w:rsidR="00A0309C">
        <w:rPr>
          <w:lang w:eastAsia="en-US"/>
        </w:rPr>
        <w:t xml:space="preserve">academics and </w:t>
      </w:r>
      <w:r w:rsidR="00476729">
        <w:rPr>
          <w:lang w:eastAsia="en-US"/>
        </w:rPr>
        <w:t>survivor allies to</w:t>
      </w:r>
      <w:r w:rsidR="00A0309C">
        <w:rPr>
          <w:lang w:eastAsia="en-US"/>
        </w:rPr>
        <w:t xml:space="preserve"> pay down a small part of society’s ‘archival debt.’</w:t>
      </w:r>
    </w:p>
    <w:p w14:paraId="2BBFC24A" w14:textId="77777777" w:rsidR="00641E5C" w:rsidRDefault="00641E5C">
      <w:pPr>
        <w:spacing w:after="160" w:line="278" w:lineRule="auto"/>
        <w:rPr>
          <w:lang w:eastAsia="en-US"/>
        </w:rPr>
      </w:pPr>
      <w:r>
        <w:rPr>
          <w:lang w:eastAsia="en-US"/>
        </w:rPr>
        <w:br w:type="page"/>
      </w:r>
    </w:p>
    <w:p w14:paraId="1CF68390" w14:textId="77777777" w:rsidR="00641E5C" w:rsidRDefault="00641E5C" w:rsidP="00641E5C">
      <w:pPr>
        <w:pStyle w:val="Heading2"/>
        <w:spacing w:line="480" w:lineRule="auto"/>
      </w:pPr>
      <w:r>
        <w:lastRenderedPageBreak/>
        <w:t>Notes</w:t>
      </w:r>
    </w:p>
    <w:p w14:paraId="3821ECCD" w14:textId="77777777" w:rsidR="00641E5C" w:rsidRPr="0007585F" w:rsidRDefault="00641E5C" w:rsidP="00641E5C">
      <w:pPr>
        <w:spacing w:line="480" w:lineRule="auto"/>
        <w:rPr>
          <w:lang w:eastAsia="en-US"/>
        </w:rPr>
      </w:pPr>
      <w:r>
        <w:rPr>
          <w:lang w:eastAsia="en-US"/>
        </w:rPr>
        <w:t>[endnotes are at the end of the document, as formatted by Word.]</w:t>
      </w:r>
    </w:p>
    <w:p w14:paraId="088644E0" w14:textId="77777777" w:rsidR="00641E5C" w:rsidRDefault="00641E5C" w:rsidP="00641E5C">
      <w:pPr>
        <w:spacing w:line="480" w:lineRule="auto"/>
        <w:rPr>
          <w:lang w:eastAsia="en-US"/>
        </w:rPr>
      </w:pPr>
    </w:p>
    <w:p w14:paraId="220CF508" w14:textId="77777777" w:rsidR="00641E5C" w:rsidRDefault="00641E5C" w:rsidP="00641E5C">
      <w:pPr>
        <w:pStyle w:val="Heading2"/>
        <w:spacing w:line="480" w:lineRule="auto"/>
      </w:pPr>
      <w:r>
        <w:t>Acknowledgements</w:t>
      </w:r>
    </w:p>
    <w:p w14:paraId="6620FB76" w14:textId="66496206" w:rsidR="00641E5C" w:rsidRDefault="00641E5C" w:rsidP="00641E5C">
      <w:pPr>
        <w:spacing w:line="480" w:lineRule="auto"/>
        <w:rPr>
          <w:lang w:eastAsia="en-US"/>
        </w:rPr>
      </w:pPr>
      <w:r>
        <w:rPr>
          <w:lang w:eastAsia="en-US"/>
        </w:rPr>
        <w:t>We thank our survivor collaborators and co-researchers, and all those who have contributed to the</w:t>
      </w:r>
      <w:r w:rsidR="00CB5318">
        <w:rPr>
          <w:lang w:eastAsia="en-US"/>
        </w:rPr>
        <w:t xml:space="preserve"> </w:t>
      </w:r>
      <w:proofErr w:type="spellStart"/>
      <w:r w:rsidR="00CB5318">
        <w:rPr>
          <w:lang w:eastAsia="en-US"/>
        </w:rPr>
        <w:t>Rasjidah</w:t>
      </w:r>
      <w:proofErr w:type="spellEnd"/>
      <w:r w:rsidR="00CB5318">
        <w:rPr>
          <w:lang w:eastAsia="en-US"/>
        </w:rPr>
        <w:t xml:space="preserve"> St. John and</w:t>
      </w:r>
      <w:r>
        <w:rPr>
          <w:lang w:eastAsia="en-US"/>
        </w:rPr>
        <w:t xml:space="preserve"> </w:t>
      </w:r>
      <w:proofErr w:type="spellStart"/>
      <w:r>
        <w:rPr>
          <w:lang w:eastAsia="en-US"/>
        </w:rPr>
        <w:t>LOUDfence</w:t>
      </w:r>
      <w:proofErr w:type="spellEnd"/>
      <w:r>
        <w:rPr>
          <w:lang w:eastAsia="en-US"/>
        </w:rPr>
        <w:t xml:space="preserve"> </w:t>
      </w:r>
      <w:r w:rsidR="000E7F44">
        <w:rPr>
          <w:lang w:eastAsia="en-US"/>
        </w:rPr>
        <w:t xml:space="preserve">UK </w:t>
      </w:r>
      <w:r>
        <w:rPr>
          <w:lang w:eastAsia="en-US"/>
        </w:rPr>
        <w:t xml:space="preserve">archive. </w:t>
      </w:r>
      <w:r w:rsidR="00CB5318">
        <w:rPr>
          <w:lang w:eastAsia="en-US"/>
        </w:rPr>
        <w:t>Alana</w:t>
      </w:r>
      <w:r w:rsidR="00BB13CF">
        <w:rPr>
          <w:lang w:eastAsia="en-US"/>
        </w:rPr>
        <w:t xml:space="preserve"> would like to thank Antonia Sobecki</w:t>
      </w:r>
      <w:r w:rsidR="00CB5318">
        <w:rPr>
          <w:lang w:eastAsia="en-US"/>
        </w:rPr>
        <w:t xml:space="preserve"> </w:t>
      </w:r>
      <w:r w:rsidR="000E7F44">
        <w:rPr>
          <w:lang w:eastAsia="en-US"/>
        </w:rPr>
        <w:t xml:space="preserve">and </w:t>
      </w:r>
      <w:r w:rsidR="00F968F9">
        <w:rPr>
          <w:lang w:eastAsia="en-US"/>
        </w:rPr>
        <w:t>Professor</w:t>
      </w:r>
      <w:r w:rsidR="000E7F44">
        <w:rPr>
          <w:lang w:eastAsia="en-US"/>
        </w:rPr>
        <w:t xml:space="preserve"> Sarah-Jane Page </w:t>
      </w:r>
      <w:r w:rsidR="00BB13CF">
        <w:rPr>
          <w:lang w:eastAsia="en-US"/>
        </w:rPr>
        <w:t xml:space="preserve">for reading </w:t>
      </w:r>
      <w:r w:rsidR="008E32F8">
        <w:rPr>
          <w:lang w:eastAsia="en-US"/>
        </w:rPr>
        <w:t xml:space="preserve">and commenting on this article. </w:t>
      </w:r>
      <w:r>
        <w:rPr>
          <w:lang w:eastAsia="en-US"/>
        </w:rPr>
        <w:t xml:space="preserve">We would also like to acknowledge the generosity and openness of </w:t>
      </w:r>
      <w:proofErr w:type="spellStart"/>
      <w:r>
        <w:rPr>
          <w:lang w:eastAsia="en-US"/>
        </w:rPr>
        <w:t>Rasjidah</w:t>
      </w:r>
      <w:proofErr w:type="spellEnd"/>
      <w:r>
        <w:rPr>
          <w:lang w:eastAsia="en-US"/>
        </w:rPr>
        <w:t xml:space="preserve"> St. John’s family, who made possible the preservation and use of her archive</w:t>
      </w:r>
      <w:r w:rsidR="008E32F8">
        <w:rPr>
          <w:lang w:eastAsia="en-US"/>
        </w:rPr>
        <w:t>, and gave consent for their</w:t>
      </w:r>
      <w:r w:rsidR="001D16BD">
        <w:rPr>
          <w:lang w:eastAsia="en-US"/>
        </w:rPr>
        <w:t xml:space="preserve"> oral history</w:t>
      </w:r>
      <w:r w:rsidR="008E32F8">
        <w:rPr>
          <w:lang w:eastAsia="en-US"/>
        </w:rPr>
        <w:t xml:space="preserve"> </w:t>
      </w:r>
      <w:r w:rsidR="001D16BD">
        <w:rPr>
          <w:lang w:eastAsia="en-US"/>
        </w:rPr>
        <w:t xml:space="preserve">interview </w:t>
      </w:r>
      <w:r w:rsidR="008E32F8">
        <w:rPr>
          <w:lang w:eastAsia="en-US"/>
        </w:rPr>
        <w:t xml:space="preserve">to be used in publications. </w:t>
      </w:r>
    </w:p>
    <w:p w14:paraId="1A5BC99E" w14:textId="77777777" w:rsidR="00641E5C" w:rsidRDefault="00641E5C" w:rsidP="00641E5C">
      <w:pPr>
        <w:spacing w:line="480" w:lineRule="auto"/>
      </w:pPr>
    </w:p>
    <w:p w14:paraId="4E526D84" w14:textId="77777777" w:rsidR="00641E5C" w:rsidRDefault="00641E5C" w:rsidP="00641E5C">
      <w:pPr>
        <w:pStyle w:val="Heading2"/>
        <w:spacing w:line="480" w:lineRule="auto"/>
      </w:pPr>
      <w:r>
        <w:t>Disclosure statement</w:t>
      </w:r>
    </w:p>
    <w:p w14:paraId="4B4046DB" w14:textId="77777777" w:rsidR="00641E5C" w:rsidRDefault="00641E5C" w:rsidP="00641E5C">
      <w:pPr>
        <w:spacing w:line="480" w:lineRule="auto"/>
      </w:pPr>
    </w:p>
    <w:p w14:paraId="7BEB1A98" w14:textId="77777777" w:rsidR="00641E5C" w:rsidRDefault="00641E5C" w:rsidP="00641E5C">
      <w:pPr>
        <w:spacing w:line="480" w:lineRule="auto"/>
        <w:rPr>
          <w:lang w:eastAsia="en-US"/>
        </w:rPr>
      </w:pPr>
      <w:r w:rsidRPr="004672B9">
        <w:rPr>
          <w:lang w:eastAsia="en-US"/>
        </w:rPr>
        <w:t xml:space="preserve">The authors </w:t>
      </w:r>
      <w:r>
        <w:rPr>
          <w:lang w:eastAsia="en-US"/>
        </w:rPr>
        <w:t>state that</w:t>
      </w:r>
      <w:r w:rsidRPr="004672B9">
        <w:rPr>
          <w:lang w:eastAsia="en-US"/>
        </w:rPr>
        <w:t xml:space="preserve"> there are no competing interests to declare.</w:t>
      </w:r>
    </w:p>
    <w:p w14:paraId="05682DA9" w14:textId="77777777" w:rsidR="00641E5C" w:rsidRDefault="00641E5C" w:rsidP="00641E5C">
      <w:pPr>
        <w:spacing w:line="480" w:lineRule="auto"/>
        <w:rPr>
          <w:lang w:eastAsia="en-US"/>
        </w:rPr>
      </w:pPr>
    </w:p>
    <w:p w14:paraId="08AC6A5D" w14:textId="77777777" w:rsidR="00641E5C" w:rsidRDefault="00641E5C" w:rsidP="00641E5C">
      <w:pPr>
        <w:pStyle w:val="Heading2"/>
        <w:spacing w:line="480" w:lineRule="auto"/>
      </w:pPr>
      <w:r>
        <w:t xml:space="preserve">Funding </w:t>
      </w:r>
    </w:p>
    <w:p w14:paraId="59792D94" w14:textId="77777777" w:rsidR="00641E5C" w:rsidRDefault="00641E5C" w:rsidP="00641E5C">
      <w:pPr>
        <w:spacing w:line="480" w:lineRule="auto"/>
        <w:rPr>
          <w:lang w:eastAsia="en-US"/>
        </w:rPr>
      </w:pPr>
      <w:r w:rsidRPr="008053E1">
        <w:rPr>
          <w:lang w:eastAsia="en-US"/>
        </w:rPr>
        <w:t xml:space="preserve">This work was supported by the </w:t>
      </w:r>
      <w:r>
        <w:rPr>
          <w:lang w:eastAsia="en-US"/>
        </w:rPr>
        <w:t xml:space="preserve">University of York Arts and Humanities Research Impact Fund, a King’s College London Arts and Humanities Research Grant (Impact and Knowledge Engagement Stream) and a University of Nottingham School of Sociology and Social Policy </w:t>
      </w:r>
      <w:proofErr w:type="spellStart"/>
      <w:r>
        <w:rPr>
          <w:lang w:eastAsia="en-US"/>
        </w:rPr>
        <w:t>Seedcorn</w:t>
      </w:r>
      <w:proofErr w:type="spellEnd"/>
      <w:r>
        <w:rPr>
          <w:lang w:eastAsia="en-US"/>
        </w:rPr>
        <w:t xml:space="preserve"> grant.</w:t>
      </w:r>
    </w:p>
    <w:p w14:paraId="18D65EA9" w14:textId="77777777" w:rsidR="00641E5C" w:rsidRDefault="00641E5C" w:rsidP="00641E5C">
      <w:pPr>
        <w:spacing w:line="480" w:lineRule="auto"/>
        <w:rPr>
          <w:lang w:eastAsia="en-US"/>
        </w:rPr>
      </w:pPr>
    </w:p>
    <w:p w14:paraId="72FA2F57" w14:textId="77777777" w:rsidR="00641E5C" w:rsidRDefault="00641E5C" w:rsidP="00641E5C">
      <w:pPr>
        <w:pStyle w:val="Heading2"/>
        <w:spacing w:line="480" w:lineRule="auto"/>
      </w:pPr>
      <w:r>
        <w:lastRenderedPageBreak/>
        <w:t>Note on contributors</w:t>
      </w:r>
    </w:p>
    <w:p w14:paraId="02F7146B" w14:textId="77777777" w:rsidR="00641E5C" w:rsidRDefault="00641E5C" w:rsidP="00641E5C">
      <w:pPr>
        <w:spacing w:line="480" w:lineRule="auto"/>
        <w:rPr>
          <w:lang w:eastAsia="en-US"/>
        </w:rPr>
      </w:pPr>
      <w:r w:rsidRPr="00A217A6">
        <w:rPr>
          <w:b/>
          <w:bCs/>
          <w:lang w:eastAsia="en-US"/>
        </w:rPr>
        <w:t>Victoria Hoyle</w:t>
      </w:r>
      <w:r>
        <w:rPr>
          <w:lang w:eastAsia="en-US"/>
        </w:rPr>
        <w:t xml:space="preserve"> </w:t>
      </w:r>
      <w:r w:rsidRPr="006B65E3">
        <w:rPr>
          <w:lang w:eastAsia="en-US"/>
        </w:rPr>
        <w:t>is Senior Lecturer in Public History and Director of the Institute for the Public</w:t>
      </w:r>
      <w:r>
        <w:rPr>
          <w:lang w:eastAsia="en-US"/>
        </w:rPr>
        <w:t xml:space="preserve"> </w:t>
      </w:r>
      <w:r w:rsidRPr="006B65E3">
        <w:rPr>
          <w:lang w:eastAsia="en-US"/>
        </w:rPr>
        <w:t>Understanding of the Past at the University of York, UK. Her research focuses on</w:t>
      </w:r>
      <w:r>
        <w:rPr>
          <w:lang w:eastAsia="en-US"/>
        </w:rPr>
        <w:t xml:space="preserve"> twentieth century</w:t>
      </w:r>
      <w:r w:rsidRPr="006B65E3">
        <w:rPr>
          <w:lang w:eastAsia="en-US"/>
        </w:rPr>
        <w:t xml:space="preserve"> histories of child</w:t>
      </w:r>
      <w:r>
        <w:rPr>
          <w:lang w:eastAsia="en-US"/>
        </w:rPr>
        <w:t xml:space="preserve"> </w:t>
      </w:r>
      <w:r w:rsidRPr="006B65E3">
        <w:rPr>
          <w:lang w:eastAsia="en-US"/>
        </w:rPr>
        <w:t>welfare</w:t>
      </w:r>
      <w:r>
        <w:rPr>
          <w:lang w:eastAsia="en-US"/>
        </w:rPr>
        <w:t>,</w:t>
      </w:r>
      <w:r w:rsidRPr="006B65E3">
        <w:rPr>
          <w:lang w:eastAsia="en-US"/>
        </w:rPr>
        <w:t xml:space="preserve"> abuse</w:t>
      </w:r>
      <w:r>
        <w:rPr>
          <w:lang w:eastAsia="en-US"/>
        </w:rPr>
        <w:t xml:space="preserve"> and sexual violence</w:t>
      </w:r>
      <w:r w:rsidRPr="006B65E3">
        <w:rPr>
          <w:lang w:eastAsia="en-US"/>
        </w:rPr>
        <w:t xml:space="preserve">, with a particular interest in issues of </w:t>
      </w:r>
      <w:r>
        <w:rPr>
          <w:lang w:eastAsia="en-US"/>
        </w:rPr>
        <w:t xml:space="preserve">archives and </w:t>
      </w:r>
      <w:r w:rsidRPr="006B65E3">
        <w:rPr>
          <w:lang w:eastAsia="en-US"/>
        </w:rPr>
        <w:t xml:space="preserve">recordkeeping. Her first book </w:t>
      </w:r>
      <w:r w:rsidRPr="00C978ED">
        <w:rPr>
          <w:i/>
          <w:iCs/>
          <w:lang w:eastAsia="en-US"/>
        </w:rPr>
        <w:t>The Remaking of Archival Values</w:t>
      </w:r>
      <w:r w:rsidRPr="006B65E3">
        <w:rPr>
          <w:lang w:eastAsia="en-US"/>
        </w:rPr>
        <w:t xml:space="preserve"> was published by Routledge in 2022. She was formerly an archivist in</w:t>
      </w:r>
      <w:r>
        <w:rPr>
          <w:lang w:eastAsia="en-US"/>
        </w:rPr>
        <w:t xml:space="preserve"> </w:t>
      </w:r>
      <w:r w:rsidRPr="006B65E3">
        <w:rPr>
          <w:lang w:eastAsia="en-US"/>
        </w:rPr>
        <w:t>local government archives</w:t>
      </w:r>
      <w:r>
        <w:rPr>
          <w:lang w:eastAsia="en-US"/>
        </w:rPr>
        <w:t>.</w:t>
      </w:r>
    </w:p>
    <w:p w14:paraId="5BD7116E" w14:textId="77777777" w:rsidR="00641E5C" w:rsidRDefault="00641E5C" w:rsidP="00641E5C">
      <w:pPr>
        <w:spacing w:line="480" w:lineRule="auto"/>
        <w:rPr>
          <w:lang w:eastAsia="en-US"/>
        </w:rPr>
      </w:pPr>
    </w:p>
    <w:p w14:paraId="64C48A85" w14:textId="4FC87432" w:rsidR="00641E5C" w:rsidRPr="00617B34" w:rsidRDefault="00641E5C" w:rsidP="00641E5C">
      <w:pPr>
        <w:spacing w:line="480" w:lineRule="auto"/>
        <w:rPr>
          <w:color w:val="000000" w:themeColor="text1"/>
          <w:lang w:eastAsia="en-US"/>
        </w:rPr>
      </w:pPr>
      <w:r w:rsidRPr="00617B34">
        <w:rPr>
          <w:b/>
          <w:bCs/>
          <w:color w:val="000000" w:themeColor="text1"/>
          <w:lang w:eastAsia="en-US"/>
        </w:rPr>
        <w:t>Alana Harris</w:t>
      </w:r>
      <w:r w:rsidRPr="00617B34">
        <w:rPr>
          <w:color w:val="000000" w:themeColor="text1"/>
          <w:lang w:eastAsia="en-US"/>
        </w:rPr>
        <w:t xml:space="preserve"> is </w:t>
      </w:r>
      <w:r>
        <w:rPr>
          <w:color w:val="000000" w:themeColor="text1"/>
          <w:lang w:eastAsia="en-US"/>
        </w:rPr>
        <w:t xml:space="preserve">Professor of Gender and Modern Religious History at King’s College London, UK. Her research centres on histories of childhood, lived religion and belief as a category of analysis, grassroots activism, and co-participatory creative and public histories. She was the Arts and Humanities lead on the UKRI-funded ‘Violence and Mental Health Network’ focused on intimate partner violence and has researched and published on child sexual abuse and feminist </w:t>
      </w:r>
      <w:r w:rsidR="00F968F9">
        <w:rPr>
          <w:color w:val="000000" w:themeColor="text1"/>
          <w:lang w:eastAsia="en-US"/>
        </w:rPr>
        <w:t xml:space="preserve">and ecumenical </w:t>
      </w:r>
      <w:r>
        <w:rPr>
          <w:color w:val="000000" w:themeColor="text1"/>
          <w:lang w:eastAsia="en-US"/>
        </w:rPr>
        <w:t>theology in the Catholic and Anglican churches.</w:t>
      </w:r>
    </w:p>
    <w:p w14:paraId="273B9D3E" w14:textId="77777777" w:rsidR="00343D0F" w:rsidRDefault="00343D0F" w:rsidP="00C07D0F">
      <w:pPr>
        <w:spacing w:line="480" w:lineRule="auto"/>
        <w:rPr>
          <w:lang w:eastAsia="en-US"/>
        </w:rPr>
      </w:pPr>
    </w:p>
    <w:p w14:paraId="16286DB9" w14:textId="77777777" w:rsidR="00343D0F" w:rsidRDefault="00343D0F">
      <w:pPr>
        <w:spacing w:after="160" w:line="278" w:lineRule="auto"/>
        <w:rPr>
          <w:rFonts w:asciiTheme="majorHAnsi" w:eastAsiaTheme="majorEastAsia" w:hAnsiTheme="majorHAnsi" w:cstheme="majorBidi"/>
          <w:color w:val="0F4761" w:themeColor="accent1" w:themeShade="BF"/>
          <w:sz w:val="32"/>
          <w:szCs w:val="32"/>
        </w:rPr>
      </w:pPr>
      <w:r>
        <w:br w:type="page"/>
      </w:r>
    </w:p>
    <w:p w14:paraId="69151CBB" w14:textId="0081FF36" w:rsidR="00343D0F" w:rsidRDefault="00343D0F" w:rsidP="00343D0F">
      <w:pPr>
        <w:pStyle w:val="Heading2"/>
      </w:pPr>
      <w:r>
        <w:lastRenderedPageBreak/>
        <w:t>Bibliography</w:t>
      </w:r>
    </w:p>
    <w:p w14:paraId="69FC2C54" w14:textId="77777777" w:rsidR="00343D0F" w:rsidRDefault="00343D0F" w:rsidP="00343D0F">
      <w:r>
        <w:t xml:space="preserve">Abrams, Lynn. </w:t>
      </w:r>
      <w:r w:rsidRPr="00B83201">
        <w:rPr>
          <w:i/>
          <w:iCs/>
        </w:rPr>
        <w:t>Oral History Theory</w:t>
      </w:r>
      <w:r>
        <w:t>. Abingdon: Routledge, 2010.</w:t>
      </w:r>
    </w:p>
    <w:p w14:paraId="0A3D7460" w14:textId="77777777" w:rsidR="00343D0F" w:rsidRDefault="00343D0F" w:rsidP="00343D0F"/>
    <w:p w14:paraId="72A642E4" w14:textId="77777777" w:rsidR="00343D0F" w:rsidRPr="00CE7B9D" w:rsidRDefault="00343D0F" w:rsidP="00343D0F">
      <w:r w:rsidRPr="00CE7B9D">
        <w:t>Action Against Child Sexual Abuse Newsletter, Issue 5, Jan 1996, FAN/PER/23, Feminist Archive North, Brotherton Library, University of Leeds.</w:t>
      </w:r>
    </w:p>
    <w:p w14:paraId="6F61119F" w14:textId="77777777" w:rsidR="00343D0F" w:rsidRPr="00CE7B9D" w:rsidRDefault="00343D0F" w:rsidP="00343D0F"/>
    <w:p w14:paraId="79EDF712" w14:textId="77777777" w:rsidR="00343D0F" w:rsidRPr="00CE7B9D" w:rsidRDefault="00343D0F" w:rsidP="00343D0F">
      <w:r w:rsidRPr="00CE7B9D">
        <w:t xml:space="preserve">Allard, Danielle, Shawna Ferris, Amy Lebovitch, Jenn Clamen, and Micheline Hughes. </w:t>
      </w:r>
      <w:r>
        <w:t>“</w:t>
      </w:r>
      <w:r w:rsidRPr="00CE7B9D">
        <w:t>High-</w:t>
      </w:r>
      <w:r>
        <w:t>S</w:t>
      </w:r>
      <w:r w:rsidRPr="00CE7B9D">
        <w:t>takes Recordkeeping and Relationality: Conversations from the Sex Work Activist Histories Project.</w:t>
      </w:r>
      <w:r>
        <w:t>”</w:t>
      </w:r>
      <w:r w:rsidRPr="00CE7B9D">
        <w:t> </w:t>
      </w:r>
      <w:r w:rsidRPr="00CE7B9D">
        <w:rPr>
          <w:i/>
          <w:iCs/>
        </w:rPr>
        <w:t>The Canadian Journal of Information and Library Science</w:t>
      </w:r>
      <w:r w:rsidRPr="00CE7B9D">
        <w:t> 47, no. 1</w:t>
      </w:r>
      <w:r>
        <w:t xml:space="preserve"> (2024)</w:t>
      </w:r>
      <w:r w:rsidRPr="00CE7B9D">
        <w:t>: 52-64.</w:t>
      </w:r>
      <w:r w:rsidRPr="000A064B">
        <w:t xml:space="preserve"> https://doi.org/10.5206/cjils-rcsib.v47i1.17365</w:t>
      </w:r>
      <w:r>
        <w:t>.</w:t>
      </w:r>
    </w:p>
    <w:p w14:paraId="392C668D" w14:textId="77777777" w:rsidR="00343D0F" w:rsidRPr="00CE7B9D" w:rsidRDefault="00343D0F" w:rsidP="00343D0F"/>
    <w:p w14:paraId="7766F02F" w14:textId="77777777" w:rsidR="00343D0F" w:rsidRPr="00CE7B9D" w:rsidRDefault="00343D0F" w:rsidP="00343D0F">
      <w:proofErr w:type="spellStart"/>
      <w:r w:rsidRPr="00CE7B9D">
        <w:t>Allnock</w:t>
      </w:r>
      <w:proofErr w:type="spellEnd"/>
      <w:r w:rsidRPr="00CE7B9D">
        <w:t xml:space="preserve">, Debbie, and Pam Miller. </w:t>
      </w:r>
      <w:r w:rsidRPr="00CE7B9D">
        <w:rPr>
          <w:i/>
          <w:iCs/>
        </w:rPr>
        <w:t>No One Noticed, No One Heard: A Study of Disclosures of Childhood Abuse.</w:t>
      </w:r>
      <w:r w:rsidRPr="00CE7B9D">
        <w:t xml:space="preserve"> London: NSPCC, 2013. </w:t>
      </w:r>
    </w:p>
    <w:p w14:paraId="4319276C" w14:textId="77777777" w:rsidR="00343D0F" w:rsidRPr="00CE7B9D" w:rsidRDefault="00343D0F" w:rsidP="00343D0F"/>
    <w:p w14:paraId="370A26E3" w14:textId="77777777" w:rsidR="00343D0F" w:rsidRPr="00CE7B9D" w:rsidRDefault="00343D0F" w:rsidP="00343D0F">
      <w:proofErr w:type="spellStart"/>
      <w:r w:rsidRPr="00CE7B9D">
        <w:t>Allnock</w:t>
      </w:r>
      <w:proofErr w:type="spellEnd"/>
      <w:r w:rsidRPr="00CE7B9D">
        <w:t>,</w:t>
      </w:r>
      <w:r>
        <w:t xml:space="preserve"> Debbie</w:t>
      </w:r>
      <w:r w:rsidRPr="00CE7B9D">
        <w:t xml:space="preserve">, </w:t>
      </w:r>
      <w:r>
        <w:t xml:space="preserve">Helen </w:t>
      </w:r>
      <w:r w:rsidRPr="00CE7B9D">
        <w:t>Beckett,</w:t>
      </w:r>
      <w:r>
        <w:t xml:space="preserve"> Claudia</w:t>
      </w:r>
      <w:r w:rsidRPr="00CE7B9D">
        <w:t xml:space="preserve"> Soares,</w:t>
      </w:r>
      <w:r>
        <w:t xml:space="preserve"> Camille</w:t>
      </w:r>
      <w:r w:rsidRPr="00CE7B9D">
        <w:t xml:space="preserve"> Warrington,</w:t>
      </w:r>
      <w:r>
        <w:t xml:space="preserve"> Joanne Walker,</w:t>
      </w:r>
      <w:r w:rsidRPr="00CE7B9D">
        <w:t xml:space="preserve"> and </w:t>
      </w:r>
      <w:r>
        <w:t xml:space="preserve">Lindsay </w:t>
      </w:r>
      <w:r w:rsidRPr="00CE7B9D">
        <w:t xml:space="preserve">Starbuck. </w:t>
      </w:r>
      <w:r w:rsidRPr="002E5C3A">
        <w:rPr>
          <w:i/>
          <w:iCs/>
        </w:rPr>
        <w:t>Learning from the Experts: Understanding the Mental Health and Emotional Wellbeing Needs of Those Who Experience Sexual Abuse during Adolescence</w:t>
      </w:r>
      <w:r w:rsidRPr="00CE7B9D">
        <w:t>. Luton: University of Bedfordshire</w:t>
      </w:r>
      <w:r>
        <w:t>, 2022.</w:t>
      </w:r>
    </w:p>
    <w:p w14:paraId="1B82A557" w14:textId="77777777" w:rsidR="00343D0F" w:rsidRPr="00CE7B9D" w:rsidRDefault="00343D0F" w:rsidP="00343D0F"/>
    <w:p w14:paraId="7E0DAA08" w14:textId="77777777" w:rsidR="00343D0F" w:rsidRPr="00CE7B9D" w:rsidRDefault="00343D0F" w:rsidP="00343D0F">
      <w:r w:rsidRPr="00CE7B9D">
        <w:t xml:space="preserve">Archive of </w:t>
      </w:r>
      <w:proofErr w:type="spellStart"/>
      <w:r w:rsidRPr="00CE7B9D">
        <w:t>Rasjidah</w:t>
      </w:r>
      <w:proofErr w:type="spellEnd"/>
      <w:r w:rsidRPr="00CE7B9D">
        <w:t xml:space="preserve"> St. John, c. 1975-2017. Borthwick Institute for Archives, University of York. </w:t>
      </w:r>
    </w:p>
    <w:p w14:paraId="6D40F448" w14:textId="77777777" w:rsidR="00343D0F" w:rsidRPr="00CE7B9D" w:rsidRDefault="00343D0F" w:rsidP="00343D0F"/>
    <w:p w14:paraId="6FE86644" w14:textId="77777777" w:rsidR="00343D0F" w:rsidRPr="00CE7B9D" w:rsidRDefault="00343D0F" w:rsidP="00343D0F">
      <w:r w:rsidRPr="00CE7B9D">
        <w:t xml:space="preserve">Beecher, Ruth, and Victoria Hoyle. “‘Acting on Behalf of the Children’ in the Cleveland Inquiry: Ethical Methodologies for Researching and Writing Histories of Sexual Violence,” </w:t>
      </w:r>
      <w:r w:rsidRPr="00CE7B9D">
        <w:rPr>
          <w:i/>
          <w:iCs/>
        </w:rPr>
        <w:t>History Workshop Journal</w:t>
      </w:r>
      <w:r w:rsidRPr="00CE7B9D">
        <w:t xml:space="preserve">, </w:t>
      </w:r>
      <w:r>
        <w:t>forthcoming</w:t>
      </w:r>
      <w:r w:rsidRPr="00CE7B9D">
        <w:t>.</w:t>
      </w:r>
    </w:p>
    <w:p w14:paraId="41A81F23" w14:textId="77777777" w:rsidR="00343D0F" w:rsidRPr="00CE7B9D" w:rsidRDefault="00343D0F" w:rsidP="00343D0F"/>
    <w:p w14:paraId="69BF52DC" w14:textId="77777777" w:rsidR="00343D0F" w:rsidRDefault="00343D0F" w:rsidP="00343D0F">
      <w:r w:rsidRPr="00CE7B9D">
        <w:t xml:space="preserve">Bingham, Adrian. </w:t>
      </w:r>
      <w:r>
        <w:t>“‘</w:t>
      </w:r>
      <w:r w:rsidRPr="00CE7B9D">
        <w:t xml:space="preserve">It Would be Better for the Newspapers to Call a Spade a Spade’: </w:t>
      </w:r>
      <w:r>
        <w:t>T</w:t>
      </w:r>
      <w:r w:rsidRPr="00CE7B9D">
        <w:t>he British Press and Child Sexual Abuse, c. 1918–90</w:t>
      </w:r>
      <w:r>
        <w:t>.”</w:t>
      </w:r>
      <w:r w:rsidRPr="00CE7B9D">
        <w:t xml:space="preserve"> </w:t>
      </w:r>
      <w:r w:rsidRPr="00CE7B9D">
        <w:rPr>
          <w:i/>
          <w:iCs/>
        </w:rPr>
        <w:t>History Workshop Journal</w:t>
      </w:r>
      <w:r w:rsidRPr="00CE7B9D">
        <w:t xml:space="preserve"> 88</w:t>
      </w:r>
      <w:r>
        <w:t xml:space="preserve"> (2019)</w:t>
      </w:r>
      <w:r w:rsidRPr="00CE7B9D">
        <w:t xml:space="preserve">: 89-110. </w:t>
      </w:r>
      <w:r w:rsidRPr="002874FA">
        <w:t>https://doi.org/10.1093/hwj/dbz006</w:t>
      </w:r>
      <w:r>
        <w:t xml:space="preserve">. </w:t>
      </w:r>
    </w:p>
    <w:p w14:paraId="6BDAB742" w14:textId="77777777" w:rsidR="00343D0F" w:rsidRDefault="00343D0F" w:rsidP="00343D0F"/>
    <w:p w14:paraId="40B54A0D" w14:textId="77777777" w:rsidR="00343D0F" w:rsidRDefault="00343D0F" w:rsidP="00343D0F">
      <w:r w:rsidRPr="006552B0">
        <w:t>Borland,</w:t>
      </w:r>
      <w:r>
        <w:t xml:space="preserve"> Katherine.</w:t>
      </w:r>
      <w:r w:rsidRPr="006552B0">
        <w:t xml:space="preserve"> </w:t>
      </w:r>
      <w:r>
        <w:t>“‘</w:t>
      </w:r>
      <w:r w:rsidRPr="006552B0">
        <w:t xml:space="preserve">That’s </w:t>
      </w:r>
      <w:r>
        <w:t>N</w:t>
      </w:r>
      <w:r w:rsidRPr="006552B0">
        <w:t xml:space="preserve">ot </w:t>
      </w:r>
      <w:r>
        <w:t>W</w:t>
      </w:r>
      <w:r w:rsidRPr="006552B0">
        <w:t xml:space="preserve">hat I </w:t>
      </w:r>
      <w:r>
        <w:t>S</w:t>
      </w:r>
      <w:r w:rsidRPr="006552B0">
        <w:t xml:space="preserve">aid’: </w:t>
      </w:r>
      <w:r>
        <w:t>I</w:t>
      </w:r>
      <w:r w:rsidRPr="006552B0">
        <w:t xml:space="preserve">nterpretive </w:t>
      </w:r>
      <w:r>
        <w:t>C</w:t>
      </w:r>
      <w:r w:rsidRPr="006552B0">
        <w:t xml:space="preserve">onflict in </w:t>
      </w:r>
      <w:r>
        <w:t>O</w:t>
      </w:r>
      <w:r w:rsidRPr="006552B0">
        <w:t xml:space="preserve">ral </w:t>
      </w:r>
      <w:r>
        <w:t>N</w:t>
      </w:r>
      <w:r w:rsidRPr="006552B0">
        <w:t xml:space="preserve">arrative </w:t>
      </w:r>
      <w:r>
        <w:t>R</w:t>
      </w:r>
      <w:r w:rsidRPr="006552B0">
        <w:t>esearch</w:t>
      </w:r>
      <w:r>
        <w:t>.”</w:t>
      </w:r>
      <w:r w:rsidRPr="006552B0">
        <w:t xml:space="preserve"> </w:t>
      </w:r>
      <w:r>
        <w:t>I</w:t>
      </w:r>
      <w:r w:rsidRPr="006552B0">
        <w:t xml:space="preserve">n </w:t>
      </w:r>
      <w:r w:rsidRPr="00F55B75">
        <w:rPr>
          <w:i/>
          <w:iCs/>
        </w:rPr>
        <w:t>The Oral History Reader</w:t>
      </w:r>
      <w:r w:rsidRPr="006552B0">
        <w:t xml:space="preserve"> (3rd </w:t>
      </w:r>
      <w:r>
        <w:t>E</w:t>
      </w:r>
      <w:r w:rsidRPr="006552B0">
        <w:t>dition)</w:t>
      </w:r>
      <w:r>
        <w:t xml:space="preserve">, edited by Robert </w:t>
      </w:r>
      <w:r w:rsidRPr="006552B0">
        <w:t>Perks and</w:t>
      </w:r>
      <w:r>
        <w:t xml:space="preserve"> Alistair</w:t>
      </w:r>
      <w:r w:rsidRPr="006552B0">
        <w:t xml:space="preserve"> Thomson</w:t>
      </w:r>
      <w:r>
        <w:t xml:space="preserve">, Chapter 27. Abingdon, Oxon: Routledge, 2016. </w:t>
      </w:r>
      <w:r w:rsidRPr="006552B0">
        <w:t xml:space="preserve"> </w:t>
      </w:r>
    </w:p>
    <w:p w14:paraId="05E69DEE" w14:textId="77777777" w:rsidR="00343D0F" w:rsidRDefault="00343D0F" w:rsidP="00343D0F"/>
    <w:p w14:paraId="7B4578B1" w14:textId="77777777" w:rsidR="00343D0F" w:rsidRDefault="00343D0F" w:rsidP="00343D0F">
      <w:r>
        <w:t>Breathnach, Ciara. “</w:t>
      </w:r>
      <w:r w:rsidRPr="0087132A">
        <w:t>A Dark, Difficult, and Shameful Chapter</w:t>
      </w:r>
      <w:r>
        <w:t xml:space="preserve">.” </w:t>
      </w:r>
      <w:r w:rsidRPr="00875F5A">
        <w:rPr>
          <w:i/>
          <w:iCs/>
        </w:rPr>
        <w:t>History Workshop Magazine</w:t>
      </w:r>
      <w:r>
        <w:t xml:space="preserve">, 2021. </w:t>
      </w:r>
      <w:r w:rsidRPr="00875F5A">
        <w:t>https://www.historyworkshop.org.uk/family-childhood/mother-and-baby-homes-report/</w:t>
      </w:r>
    </w:p>
    <w:p w14:paraId="33341836" w14:textId="77777777" w:rsidR="00343D0F" w:rsidRPr="00CE7B9D" w:rsidRDefault="00343D0F" w:rsidP="00343D0F"/>
    <w:p w14:paraId="70919779" w14:textId="77777777" w:rsidR="00343D0F" w:rsidRDefault="00343D0F" w:rsidP="00343D0F">
      <w:r w:rsidRPr="00CE7B9D">
        <w:t xml:space="preserve">Caswell, Michelle. "Seeing </w:t>
      </w:r>
      <w:r>
        <w:t>Y</w:t>
      </w:r>
      <w:r w:rsidRPr="00CE7B9D">
        <w:t xml:space="preserve">ourself in </w:t>
      </w:r>
      <w:r>
        <w:t>H</w:t>
      </w:r>
      <w:r w:rsidRPr="00CE7B9D">
        <w:t xml:space="preserve">istory: </w:t>
      </w:r>
      <w:r>
        <w:t>C</w:t>
      </w:r>
      <w:r w:rsidRPr="00CE7B9D">
        <w:t xml:space="preserve">ommunity </w:t>
      </w:r>
      <w:r>
        <w:t>A</w:t>
      </w:r>
      <w:r w:rsidRPr="00CE7B9D">
        <w:t xml:space="preserve">rchives and the </w:t>
      </w:r>
      <w:r>
        <w:t>F</w:t>
      </w:r>
      <w:r w:rsidRPr="00CE7B9D">
        <w:t xml:space="preserve">ight </w:t>
      </w:r>
      <w:r>
        <w:t>A</w:t>
      </w:r>
      <w:r w:rsidRPr="00CE7B9D">
        <w:t xml:space="preserve">gainst </w:t>
      </w:r>
      <w:r>
        <w:t>S</w:t>
      </w:r>
      <w:r w:rsidRPr="00CE7B9D">
        <w:t xml:space="preserve">ymbolic </w:t>
      </w:r>
      <w:r>
        <w:t>A</w:t>
      </w:r>
      <w:r w:rsidRPr="00CE7B9D">
        <w:t>nnihilation." </w:t>
      </w:r>
      <w:r w:rsidRPr="00CE7B9D">
        <w:rPr>
          <w:i/>
          <w:iCs/>
        </w:rPr>
        <w:t>The Public Historian</w:t>
      </w:r>
      <w:r w:rsidRPr="00CE7B9D">
        <w:t> 36, no. 4 (2014): 26-37.</w:t>
      </w:r>
      <w:r>
        <w:t xml:space="preserve"> </w:t>
      </w:r>
      <w:r w:rsidRPr="001E3EC7">
        <w:t>https://www.jstor.org/stable/10.1525/tph.2014.36.4.26</w:t>
      </w:r>
      <w:r>
        <w:t xml:space="preserve">. </w:t>
      </w:r>
    </w:p>
    <w:p w14:paraId="74B40460" w14:textId="77777777" w:rsidR="0092254A" w:rsidRDefault="0092254A" w:rsidP="00343D0F"/>
    <w:p w14:paraId="4CF21375" w14:textId="0CF20258" w:rsidR="0092254A" w:rsidRPr="00CE7B9D" w:rsidRDefault="0092254A" w:rsidP="00343D0F">
      <w:r w:rsidRPr="0092254A">
        <w:t>Caswell, Michelle. "Toward a survivor-</w:t>
      </w:r>
      <w:proofErr w:type="spellStart"/>
      <w:r w:rsidRPr="0092254A">
        <w:t>centered</w:t>
      </w:r>
      <w:proofErr w:type="spellEnd"/>
      <w:r w:rsidRPr="0092254A">
        <w:t xml:space="preserve"> approach to records documenting human rights abuse: lessons from community archives." </w:t>
      </w:r>
      <w:r w:rsidRPr="0092254A">
        <w:rPr>
          <w:i/>
          <w:iCs/>
        </w:rPr>
        <w:t>Archival Science</w:t>
      </w:r>
      <w:r w:rsidRPr="0092254A">
        <w:t> 14, no. 3 (2014): 307-322.</w:t>
      </w:r>
      <w:r w:rsidR="00926FA8">
        <w:t xml:space="preserve"> </w:t>
      </w:r>
      <w:hyperlink r:id="rId10" w:history="1">
        <w:r w:rsidR="00926FA8" w:rsidRPr="007574E9">
          <w:rPr>
            <w:rStyle w:val="Hyperlink"/>
          </w:rPr>
          <w:t>https://doi.org/10.1007/s10502-014-9220-6</w:t>
        </w:r>
      </w:hyperlink>
      <w:r w:rsidR="00926FA8">
        <w:t xml:space="preserve">. </w:t>
      </w:r>
    </w:p>
    <w:p w14:paraId="1C6CDE37" w14:textId="77777777" w:rsidR="00343D0F" w:rsidRPr="00CE7B9D" w:rsidRDefault="00343D0F" w:rsidP="00343D0F">
      <w:pPr>
        <w:rPr>
          <w:color w:val="EE0000"/>
        </w:rPr>
      </w:pPr>
    </w:p>
    <w:p w14:paraId="1795B521" w14:textId="77777777" w:rsidR="00343D0F" w:rsidRDefault="00343D0F" w:rsidP="00343D0F">
      <w:r w:rsidRPr="00BC39BD">
        <w:t>Caswell</w:t>
      </w:r>
      <w:r>
        <w:t>, Michelle,</w:t>
      </w:r>
      <w:r w:rsidRPr="00BC39BD">
        <w:t xml:space="preserve"> and Anna Robinson-Sweet</w:t>
      </w:r>
      <w:r>
        <w:t>. “‘</w:t>
      </w:r>
      <w:r w:rsidRPr="00BC39BD">
        <w:t>We Bounce off Each Other’s Vibe</w:t>
      </w:r>
      <w:r>
        <w:t>’</w:t>
      </w:r>
      <w:r w:rsidRPr="00BC39BD">
        <w:t xml:space="preserve">: The </w:t>
      </w:r>
      <w:r>
        <w:t>I</w:t>
      </w:r>
      <w:r w:rsidRPr="00BC39BD">
        <w:t>mportance of Symmetrical Intersubjectivity between Interviewer and Narrator</w:t>
      </w:r>
      <w:r>
        <w:t>.”</w:t>
      </w:r>
      <w:r w:rsidRPr="00BC39BD">
        <w:t xml:space="preserve"> </w:t>
      </w:r>
      <w:r w:rsidRPr="00BC39BD">
        <w:rPr>
          <w:i/>
          <w:iCs/>
        </w:rPr>
        <w:t>The Oral History Review</w:t>
      </w:r>
      <w:r w:rsidRPr="00BC39BD">
        <w:t xml:space="preserve"> 51</w:t>
      </w:r>
      <w:r>
        <w:t xml:space="preserve"> no. </w:t>
      </w:r>
      <w:r w:rsidRPr="00BC39BD">
        <w:t>1</w:t>
      </w:r>
      <w:r>
        <w:t xml:space="preserve"> </w:t>
      </w:r>
      <w:r w:rsidRPr="00BC39BD">
        <w:t>(2024)</w:t>
      </w:r>
      <w:r>
        <w:t xml:space="preserve">: </w:t>
      </w:r>
      <w:r w:rsidRPr="00BC39BD">
        <w:t>179-202</w:t>
      </w:r>
      <w:r>
        <w:t xml:space="preserve">. </w:t>
      </w:r>
      <w:r w:rsidRPr="00A10B73">
        <w:t>https://doi.org/10.1080/00940798.2024.2316904</w:t>
      </w:r>
      <w:r>
        <w:t>.</w:t>
      </w:r>
    </w:p>
    <w:p w14:paraId="655281F6" w14:textId="77777777" w:rsidR="00343D0F" w:rsidRDefault="00343D0F" w:rsidP="00343D0F"/>
    <w:p w14:paraId="2950A571" w14:textId="77777777" w:rsidR="00343D0F" w:rsidRDefault="00343D0F" w:rsidP="00343D0F">
      <w:proofErr w:type="spellStart"/>
      <w:r w:rsidRPr="00CE7B9D">
        <w:lastRenderedPageBreak/>
        <w:t>Chevous</w:t>
      </w:r>
      <w:proofErr w:type="spellEnd"/>
      <w:r w:rsidRPr="00CE7B9D">
        <w:t>, Jane, Alana Harris, and Antonia Sobocki. “‘A Solidarity Dance’: Feminist Approaches to Abuse.” In Feminist Theologies: A Companion, edited by Katharine Massam, Kerrie Handasyde, and Stephen Burns, </w:t>
      </w:r>
      <w:r w:rsidRPr="00A734B3">
        <w:t>135-48</w:t>
      </w:r>
      <w:r w:rsidRPr="00CE7B9D">
        <w:t>. London: SCM Press, 2024.</w:t>
      </w:r>
    </w:p>
    <w:p w14:paraId="15E7A92F" w14:textId="77777777" w:rsidR="00343D0F" w:rsidRDefault="00343D0F" w:rsidP="00343D0F"/>
    <w:p w14:paraId="73522E56" w14:textId="77777777" w:rsidR="00343D0F" w:rsidRPr="00CE7B9D" w:rsidRDefault="00343D0F" w:rsidP="00343D0F">
      <w:r w:rsidRPr="00F77C67">
        <w:t>Chatterton,</w:t>
      </w:r>
      <w:r>
        <w:t xml:space="preserve"> Paul,</w:t>
      </w:r>
      <w:r w:rsidRPr="00F77C67">
        <w:t xml:space="preserve"> Stuart Hodkinson</w:t>
      </w:r>
      <w:r>
        <w:t>,</w:t>
      </w:r>
      <w:r w:rsidRPr="00F77C67">
        <w:t xml:space="preserve"> and Jenny Pickerill</w:t>
      </w:r>
      <w:r>
        <w:t>.</w:t>
      </w:r>
      <w:r w:rsidRPr="00F77C67">
        <w:t xml:space="preserve"> </w:t>
      </w:r>
      <w:r>
        <w:t>“</w:t>
      </w:r>
      <w:r w:rsidRPr="00F77C67">
        <w:t>Beyond Scholar Activism: Making Strategic Interventions Inside and Outside the Neoliberal University</w:t>
      </w:r>
      <w:r>
        <w:t>.”</w:t>
      </w:r>
      <w:r w:rsidRPr="00F77C67">
        <w:t xml:space="preserve"> </w:t>
      </w:r>
      <w:r w:rsidRPr="00F77C67">
        <w:rPr>
          <w:i/>
          <w:iCs/>
        </w:rPr>
        <w:t>ACME: An International E-Journal for Critical Geographies</w:t>
      </w:r>
      <w:r w:rsidRPr="00F77C67">
        <w:t xml:space="preserve"> 9</w:t>
      </w:r>
      <w:r>
        <w:t xml:space="preserve">, no. 2 </w:t>
      </w:r>
      <w:r w:rsidRPr="00F77C67">
        <w:t>(2010)</w:t>
      </w:r>
      <w:r>
        <w:t>:</w:t>
      </w:r>
      <w:r w:rsidRPr="00F77C67">
        <w:t xml:space="preserve"> 245-75.</w:t>
      </w:r>
      <w:r>
        <w:t xml:space="preserve"> </w:t>
      </w:r>
      <w:r w:rsidRPr="00120214">
        <w:t>https://doi.org/10.14288/acme.v9i2.868</w:t>
      </w:r>
      <w:r>
        <w:t>.</w:t>
      </w:r>
    </w:p>
    <w:p w14:paraId="32C89746" w14:textId="77777777" w:rsidR="00343D0F" w:rsidRDefault="00343D0F" w:rsidP="00343D0F">
      <w:pPr>
        <w:rPr>
          <w:color w:val="EE0000"/>
        </w:rPr>
      </w:pPr>
    </w:p>
    <w:p w14:paraId="71D85BF5" w14:textId="725B85D4" w:rsidR="00A2012E" w:rsidRPr="007B2A78" w:rsidRDefault="00331AE8" w:rsidP="00A2012E">
      <w:r w:rsidRPr="007B2A78">
        <w:t>Chow, June, Jennifer Douglas and Rebecka Sheffield. “</w:t>
      </w:r>
      <w:r w:rsidR="00A2012E" w:rsidRPr="007B2A78">
        <w:t xml:space="preserve">Paying Our Archival Debt: Envisioning New Relationships for Sustainable Community Archiving.” In the Field – The ACA Blog, </w:t>
      </w:r>
      <w:r w:rsidR="008D6FF0" w:rsidRPr="007B2A78">
        <w:t>Sep 25</w:t>
      </w:r>
      <w:proofErr w:type="gramStart"/>
      <w:r w:rsidR="008D6FF0" w:rsidRPr="007B2A78">
        <w:t xml:space="preserve"> 2024</w:t>
      </w:r>
      <w:proofErr w:type="gramEnd"/>
      <w:r w:rsidR="008D6FF0" w:rsidRPr="007B2A78">
        <w:t xml:space="preserve">. </w:t>
      </w:r>
      <w:hyperlink r:id="rId11" w:history="1">
        <w:r w:rsidR="008D6FF0" w:rsidRPr="007B2A78">
          <w:rPr>
            <w:rStyle w:val="Hyperlink"/>
            <w:color w:val="auto"/>
          </w:rPr>
          <w:t>https://archivists.ca/Blog/13410913</w:t>
        </w:r>
      </w:hyperlink>
      <w:r w:rsidR="008D6FF0" w:rsidRPr="007B2A78">
        <w:t xml:space="preserve">. </w:t>
      </w:r>
    </w:p>
    <w:p w14:paraId="5BA05830" w14:textId="144CC396" w:rsidR="00331AE8" w:rsidRPr="00CE7B9D" w:rsidRDefault="00331AE8" w:rsidP="00343D0F">
      <w:pPr>
        <w:rPr>
          <w:color w:val="EE0000"/>
        </w:rPr>
      </w:pPr>
    </w:p>
    <w:p w14:paraId="54601FFC" w14:textId="77777777" w:rsidR="00343D0F" w:rsidRDefault="00343D0F" w:rsidP="00343D0F">
      <w:r w:rsidRPr="00F3268F">
        <w:t>Clites, Brian J. “Priests on the Prowl: Monster Talk within the Discourse of Clergy Sexual Abuse.” </w:t>
      </w:r>
      <w:r w:rsidRPr="00F3268F">
        <w:rPr>
          <w:i/>
          <w:iCs/>
        </w:rPr>
        <w:t>Religion</w:t>
      </w:r>
      <w:r>
        <w:t xml:space="preserve"> (2025):</w:t>
      </w:r>
      <w:r w:rsidRPr="00F3268F">
        <w:t xml:space="preserve"> 1–22. doi:10.1080/0048721X.2025.2538956.</w:t>
      </w:r>
    </w:p>
    <w:p w14:paraId="06B7F24C" w14:textId="77777777" w:rsidR="00343D0F" w:rsidRPr="00CE7B9D" w:rsidRDefault="00343D0F" w:rsidP="00343D0F">
      <w:pPr>
        <w:rPr>
          <w:lang w:eastAsia="en-US"/>
        </w:rPr>
      </w:pPr>
    </w:p>
    <w:p w14:paraId="59D708BA" w14:textId="77777777" w:rsidR="00343D0F" w:rsidRPr="00CE7B9D" w:rsidRDefault="00343D0F" w:rsidP="00343D0F">
      <w:pPr>
        <w:rPr>
          <w:lang w:eastAsia="en-US"/>
        </w:rPr>
      </w:pPr>
      <w:proofErr w:type="spellStart"/>
      <w:r w:rsidRPr="00CE7B9D">
        <w:rPr>
          <w:lang w:eastAsia="en-US"/>
        </w:rPr>
        <w:t>Chakarabarty</w:t>
      </w:r>
      <w:proofErr w:type="spellEnd"/>
      <w:r w:rsidRPr="00CE7B9D">
        <w:rPr>
          <w:lang w:eastAsia="en-US"/>
        </w:rPr>
        <w:t>, Dipesh. </w:t>
      </w:r>
      <w:r w:rsidRPr="00CE7B9D">
        <w:rPr>
          <w:i/>
          <w:iCs/>
          <w:lang w:eastAsia="en-US"/>
        </w:rPr>
        <w:t>Provincializing Europe: Postcolonial Thought and Historical Difference</w:t>
      </w:r>
      <w:r w:rsidRPr="00CE7B9D">
        <w:rPr>
          <w:lang w:eastAsia="en-US"/>
        </w:rPr>
        <w:t xml:space="preserve">. Princeton, NJ: Princeton University Press, 2000. </w:t>
      </w:r>
    </w:p>
    <w:p w14:paraId="2976AD79" w14:textId="77777777" w:rsidR="00343D0F" w:rsidRPr="00CE7B9D" w:rsidRDefault="00343D0F" w:rsidP="00343D0F">
      <w:pPr>
        <w:rPr>
          <w:lang w:eastAsia="en-US"/>
        </w:rPr>
      </w:pPr>
    </w:p>
    <w:p w14:paraId="48E9D5FF" w14:textId="77777777" w:rsidR="00343D0F" w:rsidRPr="00CE7B9D" w:rsidRDefault="00343D0F" w:rsidP="00343D0F">
      <w:pPr>
        <w:rPr>
          <w:lang w:eastAsia="en-US"/>
        </w:rPr>
      </w:pPr>
      <w:r w:rsidRPr="00CE7B9D">
        <w:rPr>
          <w:lang w:eastAsia="en-US"/>
        </w:rPr>
        <w:t xml:space="preserve">Cuellar, Jillian, Audra Eagle Yun, Jennifer Meehan, and Jessica Tai. "Defining </w:t>
      </w:r>
      <w:r>
        <w:rPr>
          <w:lang w:eastAsia="en-US"/>
        </w:rPr>
        <w:t>A</w:t>
      </w:r>
      <w:r w:rsidRPr="00CE7B9D">
        <w:rPr>
          <w:lang w:eastAsia="en-US"/>
        </w:rPr>
        <w:t xml:space="preserve">rchival </w:t>
      </w:r>
      <w:r>
        <w:rPr>
          <w:lang w:eastAsia="en-US"/>
        </w:rPr>
        <w:t>D</w:t>
      </w:r>
      <w:r w:rsidRPr="00CE7B9D">
        <w:rPr>
          <w:lang w:eastAsia="en-US"/>
        </w:rPr>
        <w:t xml:space="preserve">ebt: </w:t>
      </w:r>
      <w:r>
        <w:rPr>
          <w:lang w:eastAsia="en-US"/>
        </w:rPr>
        <w:t>B</w:t>
      </w:r>
      <w:r w:rsidRPr="00CE7B9D">
        <w:rPr>
          <w:lang w:eastAsia="en-US"/>
        </w:rPr>
        <w:t xml:space="preserve">uilding </w:t>
      </w:r>
      <w:r>
        <w:rPr>
          <w:lang w:eastAsia="en-US"/>
        </w:rPr>
        <w:t>N</w:t>
      </w:r>
      <w:r w:rsidRPr="00CE7B9D">
        <w:rPr>
          <w:lang w:eastAsia="en-US"/>
        </w:rPr>
        <w:t xml:space="preserve">ew </w:t>
      </w:r>
      <w:r>
        <w:rPr>
          <w:lang w:eastAsia="en-US"/>
        </w:rPr>
        <w:t>F</w:t>
      </w:r>
      <w:r w:rsidRPr="00CE7B9D">
        <w:rPr>
          <w:lang w:eastAsia="en-US"/>
        </w:rPr>
        <w:t xml:space="preserve">utures for </w:t>
      </w:r>
      <w:r>
        <w:rPr>
          <w:lang w:eastAsia="en-US"/>
        </w:rPr>
        <w:t>A</w:t>
      </w:r>
      <w:r w:rsidRPr="00CE7B9D">
        <w:rPr>
          <w:lang w:eastAsia="en-US"/>
        </w:rPr>
        <w:t>rchives." </w:t>
      </w:r>
      <w:r w:rsidRPr="00CE7B9D">
        <w:rPr>
          <w:i/>
          <w:iCs/>
          <w:lang w:eastAsia="en-US"/>
        </w:rPr>
        <w:t>Journal of Contemporary Archival Studies</w:t>
      </w:r>
      <w:r w:rsidRPr="00CE7B9D">
        <w:rPr>
          <w:lang w:eastAsia="en-US"/>
        </w:rPr>
        <w:t> 10, no. 1 (2023): 8.</w:t>
      </w:r>
      <w:r>
        <w:rPr>
          <w:lang w:eastAsia="en-US"/>
        </w:rPr>
        <w:t xml:space="preserve"> </w:t>
      </w:r>
      <w:r w:rsidRPr="008E4596">
        <w:rPr>
          <w:lang w:eastAsia="en-US"/>
        </w:rPr>
        <w:t>https://elischolar.library.yale.edu/jcas/vol10/iss1/8</w:t>
      </w:r>
      <w:r>
        <w:rPr>
          <w:lang w:eastAsia="en-US"/>
        </w:rPr>
        <w:t xml:space="preserve">. </w:t>
      </w:r>
    </w:p>
    <w:p w14:paraId="4DC365B6" w14:textId="77777777" w:rsidR="00343D0F" w:rsidRPr="00CE7B9D" w:rsidRDefault="00343D0F" w:rsidP="00343D0F">
      <w:pPr>
        <w:rPr>
          <w:lang w:eastAsia="en-US"/>
        </w:rPr>
      </w:pPr>
    </w:p>
    <w:p w14:paraId="5C21DB4B" w14:textId="77777777" w:rsidR="00343D0F" w:rsidRPr="00373873" w:rsidRDefault="00343D0F" w:rsidP="00343D0F">
      <w:r>
        <w:rPr>
          <w:lang w:eastAsia="en-US"/>
        </w:rPr>
        <w:t>Debney, Patricia, and Alana Harris. “</w:t>
      </w:r>
      <w:r w:rsidRPr="00373873">
        <w:t>Praying for ‘</w:t>
      </w:r>
      <w:r>
        <w:t>N</w:t>
      </w:r>
      <w:r w:rsidRPr="00373873">
        <w:t xml:space="preserve">o </w:t>
      </w:r>
      <w:r>
        <w:t>M</w:t>
      </w:r>
      <w:r w:rsidRPr="00373873">
        <w:t xml:space="preserve">ore </w:t>
      </w:r>
      <w:r>
        <w:t>E</w:t>
      </w:r>
      <w:r w:rsidRPr="00373873">
        <w:t xml:space="preserve">mpty </w:t>
      </w:r>
      <w:r>
        <w:t>S</w:t>
      </w:r>
      <w:r w:rsidRPr="00373873">
        <w:t xml:space="preserve">hoes’ </w:t>
      </w:r>
      <w:r>
        <w:t>A</w:t>
      </w:r>
      <w:r w:rsidRPr="00373873">
        <w:t xml:space="preserve">longside </w:t>
      </w:r>
      <w:r>
        <w:t>S</w:t>
      </w:r>
      <w:r w:rsidRPr="00373873">
        <w:t xml:space="preserve">urvivors of </w:t>
      </w:r>
      <w:r>
        <w:t>C</w:t>
      </w:r>
      <w:r w:rsidRPr="00373873">
        <w:t xml:space="preserve">hild </w:t>
      </w:r>
      <w:r>
        <w:t>S</w:t>
      </w:r>
      <w:r w:rsidRPr="00373873">
        <w:t xml:space="preserve">exual </w:t>
      </w:r>
      <w:r>
        <w:t>A</w:t>
      </w:r>
      <w:r w:rsidRPr="00373873">
        <w:t>buse</w:t>
      </w:r>
      <w:r>
        <w:t xml:space="preserve">.” </w:t>
      </w:r>
      <w:r w:rsidRPr="00743279">
        <w:rPr>
          <w:i/>
          <w:iCs/>
        </w:rPr>
        <w:t>The Tablet</w:t>
      </w:r>
      <w:r>
        <w:t xml:space="preserve">, 25 April 2024. </w:t>
      </w:r>
      <w:r w:rsidRPr="00743279">
        <w:t>https://www.thetablet.co.uk/blogs/praying-for-no-more-empty-shoes-alongside-survivors-of-child-sexual-abuse/</w:t>
      </w:r>
      <w:r>
        <w:t>.</w:t>
      </w:r>
    </w:p>
    <w:p w14:paraId="19E6C6D5" w14:textId="77777777" w:rsidR="00343D0F" w:rsidRDefault="00343D0F" w:rsidP="00343D0F">
      <w:pPr>
        <w:rPr>
          <w:lang w:eastAsia="en-US"/>
        </w:rPr>
      </w:pPr>
    </w:p>
    <w:p w14:paraId="45669326" w14:textId="77777777" w:rsidR="00343D0F" w:rsidRDefault="00343D0F" w:rsidP="00343D0F">
      <w:pPr>
        <w:rPr>
          <w:lang w:eastAsia="en-US"/>
        </w:rPr>
      </w:pPr>
      <w:r w:rsidRPr="00CE7B9D">
        <w:rPr>
          <w:lang w:eastAsia="en-US"/>
        </w:rPr>
        <w:t>Delap, Lucy.</w:t>
      </w:r>
      <w:r>
        <w:rPr>
          <w:lang w:eastAsia="en-US"/>
        </w:rPr>
        <w:t xml:space="preserve"> “‘</w:t>
      </w:r>
      <w:r w:rsidRPr="00CE7B9D">
        <w:rPr>
          <w:lang w:eastAsia="en-US"/>
        </w:rPr>
        <w:t>Disgusting Details Which Are Best Forgotten</w:t>
      </w:r>
      <w:r>
        <w:rPr>
          <w:lang w:eastAsia="en-US"/>
        </w:rPr>
        <w:t>’</w:t>
      </w:r>
      <w:r w:rsidRPr="00CE7B9D">
        <w:rPr>
          <w:lang w:eastAsia="en-US"/>
        </w:rPr>
        <w:t>: Disclosures of Child Sexual Abuse in Twentieth Century Britain</w:t>
      </w:r>
      <w:r>
        <w:rPr>
          <w:lang w:eastAsia="en-US"/>
        </w:rPr>
        <w:t>.”</w:t>
      </w:r>
      <w:r w:rsidRPr="00CE7B9D">
        <w:rPr>
          <w:lang w:eastAsia="en-US"/>
        </w:rPr>
        <w:t> </w:t>
      </w:r>
      <w:r w:rsidRPr="00CE7B9D">
        <w:rPr>
          <w:i/>
          <w:iCs/>
          <w:lang w:eastAsia="en-US"/>
        </w:rPr>
        <w:t>Journal of British Studies</w:t>
      </w:r>
      <w:r w:rsidRPr="00CE7B9D">
        <w:rPr>
          <w:lang w:eastAsia="en-US"/>
        </w:rPr>
        <w:t> 57, no. 1</w:t>
      </w:r>
      <w:r>
        <w:rPr>
          <w:lang w:eastAsia="en-US"/>
        </w:rPr>
        <w:t xml:space="preserve"> (2018): </w:t>
      </w:r>
      <w:r w:rsidRPr="00CE7B9D">
        <w:rPr>
          <w:lang w:eastAsia="en-US"/>
        </w:rPr>
        <w:t>79-107.</w:t>
      </w:r>
      <w:r w:rsidRPr="00AF52A2">
        <w:t xml:space="preserve"> </w:t>
      </w:r>
      <w:r w:rsidRPr="00AF52A2">
        <w:rPr>
          <w:lang w:eastAsia="en-US"/>
        </w:rPr>
        <w:t>doi:10.1017/jbr.2017.181</w:t>
      </w:r>
      <w:r>
        <w:rPr>
          <w:lang w:eastAsia="en-US"/>
        </w:rPr>
        <w:t xml:space="preserve">. </w:t>
      </w:r>
    </w:p>
    <w:p w14:paraId="715160D5" w14:textId="77777777" w:rsidR="00651D01" w:rsidRDefault="00651D01" w:rsidP="00343D0F">
      <w:pPr>
        <w:rPr>
          <w:lang w:eastAsia="en-US"/>
        </w:rPr>
      </w:pPr>
    </w:p>
    <w:p w14:paraId="15601137" w14:textId="41EFDFE5" w:rsidR="00651D01" w:rsidRPr="00CE7B9D" w:rsidRDefault="00651D01" w:rsidP="00343D0F">
      <w:pPr>
        <w:rPr>
          <w:lang w:eastAsia="en-US"/>
        </w:rPr>
      </w:pPr>
      <w:r w:rsidRPr="00651D01">
        <w:rPr>
          <w:lang w:eastAsia="en-US"/>
        </w:rPr>
        <w:t>Evans, Joanne, Sue McKemmish, Elizabeth Daniels, and Gavan McCarthy. "Self-</w:t>
      </w:r>
      <w:r w:rsidR="0014035B">
        <w:rPr>
          <w:lang w:eastAsia="en-US"/>
        </w:rPr>
        <w:t>D</w:t>
      </w:r>
      <w:r w:rsidRPr="00651D01">
        <w:rPr>
          <w:lang w:eastAsia="en-US"/>
        </w:rPr>
        <w:t xml:space="preserve">etermination and </w:t>
      </w:r>
      <w:r w:rsidR="0014035B">
        <w:rPr>
          <w:lang w:eastAsia="en-US"/>
        </w:rPr>
        <w:t>A</w:t>
      </w:r>
      <w:r w:rsidRPr="00651D01">
        <w:rPr>
          <w:lang w:eastAsia="en-US"/>
        </w:rPr>
        <w:t xml:space="preserve">rchival </w:t>
      </w:r>
      <w:r w:rsidR="0014035B">
        <w:rPr>
          <w:lang w:eastAsia="en-US"/>
        </w:rPr>
        <w:t>A</w:t>
      </w:r>
      <w:r w:rsidRPr="00651D01">
        <w:rPr>
          <w:lang w:eastAsia="en-US"/>
        </w:rPr>
        <w:t xml:space="preserve">utonomy: </w:t>
      </w:r>
      <w:r w:rsidR="0014035B">
        <w:rPr>
          <w:lang w:eastAsia="en-US"/>
        </w:rPr>
        <w:t>A</w:t>
      </w:r>
      <w:r w:rsidRPr="00651D01">
        <w:rPr>
          <w:lang w:eastAsia="en-US"/>
        </w:rPr>
        <w:t xml:space="preserve">dvocating </w:t>
      </w:r>
      <w:r w:rsidR="0014035B">
        <w:rPr>
          <w:lang w:eastAsia="en-US"/>
        </w:rPr>
        <w:t>A</w:t>
      </w:r>
      <w:r w:rsidRPr="00651D01">
        <w:rPr>
          <w:lang w:eastAsia="en-US"/>
        </w:rPr>
        <w:t>ctivism." </w:t>
      </w:r>
      <w:r w:rsidRPr="00651D01">
        <w:rPr>
          <w:i/>
          <w:iCs/>
          <w:lang w:eastAsia="en-US"/>
        </w:rPr>
        <w:t xml:space="preserve">Archival </w:t>
      </w:r>
      <w:r w:rsidR="0014035B">
        <w:rPr>
          <w:i/>
          <w:iCs/>
          <w:lang w:eastAsia="en-US"/>
        </w:rPr>
        <w:t>S</w:t>
      </w:r>
      <w:r w:rsidRPr="00651D01">
        <w:rPr>
          <w:i/>
          <w:iCs/>
          <w:lang w:eastAsia="en-US"/>
        </w:rPr>
        <w:t>cience</w:t>
      </w:r>
      <w:r w:rsidRPr="00651D01">
        <w:rPr>
          <w:lang w:eastAsia="en-US"/>
        </w:rPr>
        <w:t> 15, no. 4 (2015): 337-368.</w:t>
      </w:r>
      <w:r w:rsidR="001973CF">
        <w:rPr>
          <w:lang w:eastAsia="en-US"/>
        </w:rPr>
        <w:t xml:space="preserve"> </w:t>
      </w:r>
      <w:hyperlink r:id="rId12" w:history="1">
        <w:r w:rsidR="001973CF" w:rsidRPr="0068726D">
          <w:rPr>
            <w:rStyle w:val="Hyperlink"/>
            <w:lang w:eastAsia="en-US"/>
          </w:rPr>
          <w:t>https://doi.org/10.1007/s10502-015-9244-6</w:t>
        </w:r>
      </w:hyperlink>
      <w:r w:rsidR="001973CF">
        <w:rPr>
          <w:lang w:eastAsia="en-US"/>
        </w:rPr>
        <w:t xml:space="preserve">. </w:t>
      </w:r>
    </w:p>
    <w:p w14:paraId="0B27F45F" w14:textId="77777777" w:rsidR="00343D0F" w:rsidRPr="00CE7B9D" w:rsidRDefault="00343D0F" w:rsidP="00343D0F">
      <w:pPr>
        <w:rPr>
          <w:lang w:eastAsia="en-US"/>
        </w:rPr>
      </w:pPr>
    </w:p>
    <w:p w14:paraId="16D692A4" w14:textId="77777777" w:rsidR="00343D0F" w:rsidRPr="00CE7B9D" w:rsidRDefault="00343D0F" w:rsidP="00343D0F">
      <w:pPr>
        <w:rPr>
          <w:lang w:eastAsia="en-US"/>
        </w:rPr>
      </w:pPr>
      <w:r w:rsidRPr="00CE7B9D">
        <w:rPr>
          <w:lang w:eastAsia="en-US"/>
        </w:rPr>
        <w:t>Faggioli, Massimo, and Alana Harris. "Pursuing the Long Shadow over the "Domestic Church": Toward a Global History of Abuse in Catholic Settings." </w:t>
      </w:r>
      <w:r w:rsidRPr="00CE7B9D">
        <w:rPr>
          <w:i/>
          <w:iCs/>
          <w:lang w:eastAsia="en-US"/>
        </w:rPr>
        <w:t>The Catholic Historical Review</w:t>
      </w:r>
      <w:r w:rsidRPr="00CE7B9D">
        <w:rPr>
          <w:lang w:eastAsia="en-US"/>
        </w:rPr>
        <w:t> 110, no. 2 (2024): 339-368. https://dx.doi.org/10.1353/cat.2024.a927998.</w:t>
      </w:r>
    </w:p>
    <w:p w14:paraId="40C464E9" w14:textId="77777777" w:rsidR="00343D0F" w:rsidRPr="00CE7B9D" w:rsidRDefault="00343D0F" w:rsidP="00343D0F">
      <w:pPr>
        <w:rPr>
          <w:lang w:eastAsia="en-US"/>
        </w:rPr>
      </w:pPr>
    </w:p>
    <w:p w14:paraId="4960157C" w14:textId="77777777" w:rsidR="00343D0F" w:rsidRDefault="00343D0F" w:rsidP="00343D0F">
      <w:pPr>
        <w:rPr>
          <w:lang w:eastAsia="en-US"/>
        </w:rPr>
      </w:pPr>
      <w:r w:rsidRPr="00CE7B9D">
        <w:rPr>
          <w:lang w:eastAsia="en-US"/>
        </w:rPr>
        <w:t xml:space="preserve">Faller, Kathleen </w:t>
      </w:r>
      <w:proofErr w:type="spellStart"/>
      <w:r w:rsidRPr="00CE7B9D">
        <w:rPr>
          <w:lang w:eastAsia="en-US"/>
        </w:rPr>
        <w:t>Coulborn</w:t>
      </w:r>
      <w:proofErr w:type="spellEnd"/>
      <w:r w:rsidRPr="00CE7B9D">
        <w:rPr>
          <w:lang w:eastAsia="en-US"/>
        </w:rPr>
        <w:t>. “The Child Sexual Abuse Disclosure Controversy: New Perspectives on an Abiding Problem.’ </w:t>
      </w:r>
      <w:r w:rsidRPr="00CE7B9D">
        <w:rPr>
          <w:i/>
          <w:iCs/>
          <w:lang w:eastAsia="en-US"/>
        </w:rPr>
        <w:t>Child Abuse &amp; Neglect</w:t>
      </w:r>
      <w:r w:rsidRPr="00CE7B9D">
        <w:rPr>
          <w:lang w:eastAsia="en-US"/>
        </w:rPr>
        <w:t xml:space="preserve"> 99 (2020): 104285. </w:t>
      </w:r>
      <w:r w:rsidRPr="00C412B0">
        <w:rPr>
          <w:lang w:eastAsia="en-US"/>
        </w:rPr>
        <w:t>https://doi.org/10.1016/j.chiabu.2019.104285</w:t>
      </w:r>
      <w:r w:rsidRPr="00CE7B9D">
        <w:rPr>
          <w:lang w:eastAsia="en-US"/>
        </w:rPr>
        <w:t>.</w:t>
      </w:r>
    </w:p>
    <w:p w14:paraId="062523E5" w14:textId="77777777" w:rsidR="00343D0F" w:rsidRDefault="00343D0F" w:rsidP="00343D0F">
      <w:pPr>
        <w:rPr>
          <w:lang w:eastAsia="en-US"/>
        </w:rPr>
      </w:pPr>
    </w:p>
    <w:p w14:paraId="59DEC69B" w14:textId="77777777" w:rsidR="00343D0F" w:rsidRDefault="00343D0F" w:rsidP="00343D0F">
      <w:r w:rsidRPr="006552B0">
        <w:t>Fobear,</w:t>
      </w:r>
      <w:r>
        <w:t xml:space="preserve"> Katherine.</w:t>
      </w:r>
      <w:r w:rsidRPr="006552B0">
        <w:t xml:space="preserve"> </w:t>
      </w:r>
      <w:r>
        <w:t>“</w:t>
      </w:r>
      <w:r w:rsidRPr="006552B0">
        <w:t>Do you Understand? Unsettling Interpretative Authority in Feminist Oral History</w:t>
      </w:r>
      <w:r>
        <w:t>.”</w:t>
      </w:r>
      <w:r w:rsidRPr="006552B0">
        <w:t xml:space="preserve"> </w:t>
      </w:r>
      <w:r w:rsidRPr="004B3E90">
        <w:rPr>
          <w:i/>
          <w:iCs/>
        </w:rPr>
        <w:t>Journal of Feminist Scholarship</w:t>
      </w:r>
      <w:r w:rsidRPr="006552B0">
        <w:t xml:space="preserve"> 10</w:t>
      </w:r>
      <w:r>
        <w:t xml:space="preserve"> </w:t>
      </w:r>
      <w:r w:rsidRPr="006552B0">
        <w:t>(2016)</w:t>
      </w:r>
      <w:r>
        <w:t>:</w:t>
      </w:r>
      <w:r w:rsidRPr="006552B0">
        <w:t xml:space="preserve"> 61-77.</w:t>
      </w:r>
    </w:p>
    <w:p w14:paraId="52760DE9" w14:textId="77777777" w:rsidR="00343D0F" w:rsidRDefault="00343D0F" w:rsidP="00343D0F">
      <w:pPr>
        <w:rPr>
          <w:lang w:eastAsia="en-US"/>
        </w:rPr>
      </w:pPr>
    </w:p>
    <w:p w14:paraId="1600892D" w14:textId="77777777" w:rsidR="00343D0F" w:rsidRPr="00351F94" w:rsidRDefault="00343D0F" w:rsidP="00343D0F">
      <w:pPr>
        <w:rPr>
          <w:lang w:eastAsia="en-US"/>
        </w:rPr>
      </w:pPr>
      <w:r w:rsidRPr="00C412B0">
        <w:rPr>
          <w:lang w:eastAsia="en-US"/>
        </w:rPr>
        <w:t>Frisch,</w:t>
      </w:r>
      <w:r>
        <w:rPr>
          <w:lang w:eastAsia="en-US"/>
        </w:rPr>
        <w:t xml:space="preserve"> Michael.</w:t>
      </w:r>
      <w:r w:rsidRPr="00C412B0">
        <w:rPr>
          <w:lang w:eastAsia="en-US"/>
        </w:rPr>
        <w:t xml:space="preserve"> </w:t>
      </w:r>
      <w:r w:rsidRPr="00C412B0">
        <w:rPr>
          <w:i/>
          <w:iCs/>
          <w:lang w:eastAsia="en-US"/>
        </w:rPr>
        <w:t xml:space="preserve">A Shared Authority: Essays on the </w:t>
      </w:r>
      <w:r>
        <w:rPr>
          <w:i/>
          <w:iCs/>
          <w:lang w:eastAsia="en-US"/>
        </w:rPr>
        <w:t>C</w:t>
      </w:r>
      <w:r w:rsidRPr="00C412B0">
        <w:rPr>
          <w:i/>
          <w:iCs/>
          <w:lang w:eastAsia="en-US"/>
        </w:rPr>
        <w:t xml:space="preserve">raft and </w:t>
      </w:r>
      <w:r>
        <w:rPr>
          <w:i/>
          <w:iCs/>
          <w:lang w:eastAsia="en-US"/>
        </w:rPr>
        <w:t>M</w:t>
      </w:r>
      <w:r w:rsidRPr="00C412B0">
        <w:rPr>
          <w:i/>
          <w:iCs/>
          <w:lang w:eastAsia="en-US"/>
        </w:rPr>
        <w:t xml:space="preserve">eaning of </w:t>
      </w:r>
      <w:r>
        <w:rPr>
          <w:i/>
          <w:iCs/>
          <w:lang w:eastAsia="en-US"/>
        </w:rPr>
        <w:t>O</w:t>
      </w:r>
      <w:r w:rsidRPr="00C412B0">
        <w:rPr>
          <w:i/>
          <w:iCs/>
          <w:lang w:eastAsia="en-US"/>
        </w:rPr>
        <w:t xml:space="preserve">ral and </w:t>
      </w:r>
      <w:r>
        <w:rPr>
          <w:i/>
          <w:iCs/>
          <w:lang w:eastAsia="en-US"/>
        </w:rPr>
        <w:t>P</w:t>
      </w:r>
      <w:r w:rsidRPr="00C412B0">
        <w:rPr>
          <w:i/>
          <w:iCs/>
          <w:lang w:eastAsia="en-US"/>
        </w:rPr>
        <w:t xml:space="preserve">ublic </w:t>
      </w:r>
      <w:r>
        <w:rPr>
          <w:i/>
          <w:iCs/>
          <w:lang w:eastAsia="en-US"/>
        </w:rPr>
        <w:t>H</w:t>
      </w:r>
      <w:r w:rsidRPr="00C412B0">
        <w:rPr>
          <w:i/>
          <w:iCs/>
          <w:lang w:eastAsia="en-US"/>
        </w:rPr>
        <w:t>istory</w:t>
      </w:r>
      <w:r>
        <w:rPr>
          <w:lang w:eastAsia="en-US"/>
        </w:rPr>
        <w:t>. New York: S</w:t>
      </w:r>
      <w:r w:rsidRPr="00A16599">
        <w:rPr>
          <w:lang w:eastAsia="en-US"/>
        </w:rPr>
        <w:t>tate University of New York Press</w:t>
      </w:r>
      <w:r>
        <w:rPr>
          <w:lang w:eastAsia="en-US"/>
        </w:rPr>
        <w:t>, 1990.</w:t>
      </w:r>
    </w:p>
    <w:p w14:paraId="2D9B3B8C" w14:textId="77777777" w:rsidR="00343D0F" w:rsidRDefault="00343D0F" w:rsidP="00343D0F">
      <w:pPr>
        <w:rPr>
          <w:lang w:eastAsia="en-US"/>
        </w:rPr>
      </w:pPr>
    </w:p>
    <w:p w14:paraId="3748262D" w14:textId="77777777" w:rsidR="00343D0F" w:rsidRDefault="00343D0F" w:rsidP="00343D0F">
      <w:pPr>
        <w:rPr>
          <w:lang w:eastAsia="en-US"/>
        </w:rPr>
      </w:pPr>
      <w:r w:rsidRPr="00A36E7F">
        <w:rPr>
          <w:lang w:eastAsia="en-US"/>
        </w:rPr>
        <w:lastRenderedPageBreak/>
        <w:t xml:space="preserve">Fox, </w:t>
      </w:r>
      <w:r>
        <w:rPr>
          <w:lang w:eastAsia="en-US"/>
        </w:rPr>
        <w:t>Sarah. “</w:t>
      </w:r>
      <w:r w:rsidRPr="00A36E7F">
        <w:rPr>
          <w:lang w:eastAsia="en-US"/>
        </w:rPr>
        <w:t>Archival Intimacies: Empathy and Historical Practice in 2023</w:t>
      </w:r>
      <w:r>
        <w:rPr>
          <w:lang w:eastAsia="en-US"/>
        </w:rPr>
        <w:t>.”</w:t>
      </w:r>
      <w:r w:rsidRPr="00A36E7F">
        <w:rPr>
          <w:lang w:eastAsia="en-US"/>
        </w:rPr>
        <w:t xml:space="preserve"> </w:t>
      </w:r>
      <w:r w:rsidRPr="00A36E7F">
        <w:rPr>
          <w:i/>
          <w:iCs/>
          <w:lang w:eastAsia="en-US"/>
        </w:rPr>
        <w:t>Transactions of the R</w:t>
      </w:r>
      <w:r>
        <w:rPr>
          <w:i/>
          <w:iCs/>
          <w:lang w:eastAsia="en-US"/>
        </w:rPr>
        <w:t>oyal Historical Society</w:t>
      </w:r>
      <w:r w:rsidRPr="00A36E7F">
        <w:rPr>
          <w:lang w:eastAsia="en-US"/>
        </w:rPr>
        <w:t xml:space="preserve"> 1 (2023)</w:t>
      </w:r>
      <w:r>
        <w:rPr>
          <w:lang w:eastAsia="en-US"/>
        </w:rPr>
        <w:t xml:space="preserve">: </w:t>
      </w:r>
      <w:r w:rsidRPr="00A36E7F">
        <w:rPr>
          <w:lang w:eastAsia="en-US"/>
        </w:rPr>
        <w:t>241-264</w:t>
      </w:r>
      <w:r>
        <w:rPr>
          <w:lang w:eastAsia="en-US"/>
        </w:rPr>
        <w:t xml:space="preserve">. </w:t>
      </w:r>
      <w:r w:rsidRPr="00DB4682">
        <w:rPr>
          <w:lang w:eastAsia="en-US"/>
        </w:rPr>
        <w:t>https://doi.org/10.1017/S0080440123000099</w:t>
      </w:r>
      <w:r>
        <w:rPr>
          <w:lang w:eastAsia="en-US"/>
        </w:rPr>
        <w:t>.</w:t>
      </w:r>
    </w:p>
    <w:p w14:paraId="65ED6EA7" w14:textId="77777777" w:rsidR="00343D0F" w:rsidRDefault="00343D0F" w:rsidP="00343D0F">
      <w:pPr>
        <w:rPr>
          <w:lang w:eastAsia="en-US"/>
        </w:rPr>
      </w:pPr>
    </w:p>
    <w:p w14:paraId="60BAE27E" w14:textId="77777777" w:rsidR="00343D0F" w:rsidRDefault="00343D0F" w:rsidP="00343D0F">
      <w:pPr>
        <w:rPr>
          <w:lang w:eastAsia="en-US"/>
        </w:rPr>
      </w:pPr>
      <w:r w:rsidRPr="00204E9D">
        <w:rPr>
          <w:lang w:eastAsia="en-US"/>
        </w:rPr>
        <w:t>Gluck, Sherna Berger, and Daphne Patai</w:t>
      </w:r>
      <w:r>
        <w:rPr>
          <w:lang w:eastAsia="en-US"/>
        </w:rPr>
        <w:t xml:space="preserve"> (eds.)</w:t>
      </w:r>
      <w:r w:rsidRPr="00204E9D">
        <w:rPr>
          <w:lang w:eastAsia="en-US"/>
        </w:rPr>
        <w:t>. </w:t>
      </w:r>
      <w:r w:rsidRPr="00204E9D">
        <w:rPr>
          <w:i/>
          <w:iCs/>
          <w:lang w:eastAsia="en-US"/>
        </w:rPr>
        <w:t xml:space="preserve">Women's </w:t>
      </w:r>
      <w:r>
        <w:rPr>
          <w:i/>
          <w:iCs/>
          <w:lang w:eastAsia="en-US"/>
        </w:rPr>
        <w:t>W</w:t>
      </w:r>
      <w:r w:rsidRPr="00204E9D">
        <w:rPr>
          <w:i/>
          <w:iCs/>
          <w:lang w:eastAsia="en-US"/>
        </w:rPr>
        <w:t xml:space="preserve">ords: The </w:t>
      </w:r>
      <w:r>
        <w:rPr>
          <w:i/>
          <w:iCs/>
          <w:lang w:eastAsia="en-US"/>
        </w:rPr>
        <w:t>F</w:t>
      </w:r>
      <w:r w:rsidRPr="00204E9D">
        <w:rPr>
          <w:i/>
          <w:iCs/>
          <w:lang w:eastAsia="en-US"/>
        </w:rPr>
        <w:t xml:space="preserve">eminist </w:t>
      </w:r>
      <w:r>
        <w:rPr>
          <w:i/>
          <w:iCs/>
          <w:lang w:eastAsia="en-US"/>
        </w:rPr>
        <w:t>P</w:t>
      </w:r>
      <w:r w:rsidRPr="00204E9D">
        <w:rPr>
          <w:i/>
          <w:iCs/>
          <w:lang w:eastAsia="en-US"/>
        </w:rPr>
        <w:t xml:space="preserve">ractice of </w:t>
      </w:r>
      <w:r>
        <w:rPr>
          <w:i/>
          <w:iCs/>
          <w:lang w:eastAsia="en-US"/>
        </w:rPr>
        <w:t>O</w:t>
      </w:r>
      <w:r w:rsidRPr="00204E9D">
        <w:rPr>
          <w:i/>
          <w:iCs/>
          <w:lang w:eastAsia="en-US"/>
        </w:rPr>
        <w:t xml:space="preserve">ral </w:t>
      </w:r>
      <w:r>
        <w:rPr>
          <w:i/>
          <w:iCs/>
          <w:lang w:eastAsia="en-US"/>
        </w:rPr>
        <w:t>H</w:t>
      </w:r>
      <w:r w:rsidRPr="00204E9D">
        <w:rPr>
          <w:i/>
          <w:iCs/>
          <w:lang w:eastAsia="en-US"/>
        </w:rPr>
        <w:t>istory</w:t>
      </w:r>
      <w:r w:rsidRPr="00204E9D">
        <w:rPr>
          <w:lang w:eastAsia="en-US"/>
        </w:rPr>
        <w:t xml:space="preserve">. </w:t>
      </w:r>
      <w:r>
        <w:rPr>
          <w:lang w:eastAsia="en-US"/>
        </w:rPr>
        <w:t xml:space="preserve">London: </w:t>
      </w:r>
      <w:r w:rsidRPr="00204E9D">
        <w:rPr>
          <w:lang w:eastAsia="en-US"/>
        </w:rPr>
        <w:t>Routledge, 2016.</w:t>
      </w:r>
    </w:p>
    <w:p w14:paraId="7C8FF634" w14:textId="77777777" w:rsidR="00343D0F" w:rsidRDefault="00343D0F" w:rsidP="00343D0F">
      <w:pPr>
        <w:rPr>
          <w:lang w:eastAsia="en-US"/>
        </w:rPr>
      </w:pPr>
    </w:p>
    <w:p w14:paraId="39E52173" w14:textId="77777777" w:rsidR="00343D0F" w:rsidRPr="00CE7B9D" w:rsidRDefault="00343D0F" w:rsidP="00343D0F">
      <w:pPr>
        <w:rPr>
          <w:lang w:eastAsia="en-US"/>
        </w:rPr>
      </w:pPr>
      <w:r w:rsidRPr="00E139A5">
        <w:rPr>
          <w:lang w:eastAsia="en-US"/>
        </w:rPr>
        <w:t>Hamilton,</w:t>
      </w:r>
      <w:r>
        <w:rPr>
          <w:lang w:eastAsia="en-US"/>
        </w:rPr>
        <w:t xml:space="preserve"> Carrie.</w:t>
      </w:r>
      <w:r w:rsidRPr="00E139A5">
        <w:rPr>
          <w:lang w:eastAsia="en-US"/>
        </w:rPr>
        <w:t xml:space="preserve"> </w:t>
      </w:r>
      <w:r>
        <w:rPr>
          <w:lang w:eastAsia="en-US"/>
        </w:rPr>
        <w:t>“</w:t>
      </w:r>
      <w:r w:rsidRPr="00E139A5">
        <w:rPr>
          <w:lang w:eastAsia="en-US"/>
        </w:rPr>
        <w:t xml:space="preserve">On being a </w:t>
      </w:r>
      <w:r>
        <w:rPr>
          <w:lang w:eastAsia="en-US"/>
        </w:rPr>
        <w:t>‘</w:t>
      </w:r>
      <w:r w:rsidRPr="00E139A5">
        <w:rPr>
          <w:lang w:eastAsia="en-US"/>
        </w:rPr>
        <w:t>Good</w:t>
      </w:r>
      <w:r>
        <w:rPr>
          <w:lang w:eastAsia="en-US"/>
        </w:rPr>
        <w:t>’</w:t>
      </w:r>
      <w:r w:rsidRPr="00E139A5">
        <w:rPr>
          <w:lang w:eastAsia="en-US"/>
        </w:rPr>
        <w:t xml:space="preserve"> Interviewer: Empathy, Ethics and the Politics of Oral History</w:t>
      </w:r>
      <w:r>
        <w:rPr>
          <w:lang w:eastAsia="en-US"/>
        </w:rPr>
        <w:t>.”</w:t>
      </w:r>
      <w:r w:rsidRPr="00E139A5">
        <w:rPr>
          <w:lang w:eastAsia="en-US"/>
        </w:rPr>
        <w:t> </w:t>
      </w:r>
      <w:r w:rsidRPr="00224972">
        <w:rPr>
          <w:i/>
          <w:iCs/>
          <w:lang w:eastAsia="en-US"/>
        </w:rPr>
        <w:t>Oral History</w:t>
      </w:r>
      <w:r w:rsidRPr="00E139A5">
        <w:rPr>
          <w:lang w:eastAsia="en-US"/>
        </w:rPr>
        <w:t xml:space="preserve"> 36</w:t>
      </w:r>
      <w:r>
        <w:rPr>
          <w:lang w:eastAsia="en-US"/>
        </w:rPr>
        <w:t xml:space="preserve">, no. 2 </w:t>
      </w:r>
      <w:r w:rsidRPr="00E139A5">
        <w:rPr>
          <w:lang w:eastAsia="en-US"/>
        </w:rPr>
        <w:t>(2008)</w:t>
      </w:r>
      <w:r>
        <w:rPr>
          <w:lang w:eastAsia="en-US"/>
        </w:rPr>
        <w:t>:</w:t>
      </w:r>
      <w:r w:rsidRPr="00E139A5">
        <w:rPr>
          <w:lang w:eastAsia="en-US"/>
        </w:rPr>
        <w:t xml:space="preserve"> 35-43</w:t>
      </w:r>
      <w:r>
        <w:rPr>
          <w:lang w:eastAsia="en-US"/>
        </w:rPr>
        <w:t xml:space="preserve">. </w:t>
      </w:r>
      <w:r w:rsidRPr="007D4A11">
        <w:rPr>
          <w:lang w:eastAsia="en-US"/>
        </w:rPr>
        <w:t>https://www.jstor.org/stable/40179990</w:t>
      </w:r>
      <w:r>
        <w:rPr>
          <w:lang w:eastAsia="en-US"/>
        </w:rPr>
        <w:t xml:space="preserve">. </w:t>
      </w:r>
    </w:p>
    <w:p w14:paraId="26411CA9" w14:textId="77777777" w:rsidR="00343D0F" w:rsidRPr="00CE7B9D" w:rsidRDefault="00343D0F" w:rsidP="00343D0F">
      <w:pPr>
        <w:rPr>
          <w:lang w:eastAsia="en-US"/>
        </w:rPr>
      </w:pPr>
    </w:p>
    <w:p w14:paraId="2AF537BE" w14:textId="77777777" w:rsidR="00343D0F" w:rsidRDefault="00343D0F" w:rsidP="00343D0F">
      <w:pPr>
        <w:rPr>
          <w:lang w:eastAsia="en-US"/>
        </w:rPr>
      </w:pPr>
      <w:r w:rsidRPr="00CE7B9D">
        <w:rPr>
          <w:lang w:eastAsia="en-US"/>
        </w:rPr>
        <w:t xml:space="preserve">Harris, Alana. </w:t>
      </w:r>
      <w:r>
        <w:rPr>
          <w:lang w:eastAsia="en-US"/>
        </w:rPr>
        <w:t>“</w:t>
      </w:r>
      <w:r w:rsidRPr="00CE7B9D">
        <w:rPr>
          <w:lang w:eastAsia="en-US"/>
        </w:rPr>
        <w:t>Listening in Stereo and Communicating in Semaphore: Child Sexual Abuse Survivor-Led Strategies for Culture Change in the Catholic Church.</w:t>
      </w:r>
      <w:r>
        <w:rPr>
          <w:lang w:eastAsia="en-US"/>
        </w:rPr>
        <w:t>”</w:t>
      </w:r>
      <w:r w:rsidRPr="00CE7B9D">
        <w:rPr>
          <w:lang w:eastAsia="en-US"/>
        </w:rPr>
        <w:t> </w:t>
      </w:r>
      <w:r w:rsidRPr="00CE7B9D">
        <w:rPr>
          <w:i/>
          <w:iCs/>
          <w:lang w:eastAsia="en-US"/>
        </w:rPr>
        <w:t>Journal of Moral Theology</w:t>
      </w:r>
      <w:r w:rsidRPr="00CE7B9D">
        <w:rPr>
          <w:lang w:eastAsia="en-US"/>
        </w:rPr>
        <w:t> 13, no. SI2</w:t>
      </w:r>
      <w:r>
        <w:rPr>
          <w:lang w:eastAsia="en-US"/>
        </w:rPr>
        <w:t xml:space="preserve"> (2024):</w:t>
      </w:r>
      <w:r w:rsidRPr="00CE7B9D">
        <w:rPr>
          <w:lang w:eastAsia="en-US"/>
        </w:rPr>
        <w:t xml:space="preserve"> 217-238.</w:t>
      </w:r>
      <w:r>
        <w:rPr>
          <w:lang w:eastAsia="en-US"/>
        </w:rPr>
        <w:t xml:space="preserve"> </w:t>
      </w:r>
      <w:r w:rsidRPr="001B5B92">
        <w:rPr>
          <w:lang w:eastAsia="en-US"/>
        </w:rPr>
        <w:t>https://doi.org/10.55476/001c.125232</w:t>
      </w:r>
      <w:r>
        <w:rPr>
          <w:lang w:eastAsia="en-US"/>
        </w:rPr>
        <w:t xml:space="preserve">. </w:t>
      </w:r>
    </w:p>
    <w:p w14:paraId="05CCD434" w14:textId="77777777" w:rsidR="0062085D" w:rsidRDefault="0062085D" w:rsidP="00343D0F">
      <w:pPr>
        <w:rPr>
          <w:lang w:eastAsia="en-US"/>
        </w:rPr>
      </w:pPr>
    </w:p>
    <w:p w14:paraId="6443D258" w14:textId="6A8D33AB" w:rsidR="0062085D" w:rsidRPr="00CE7B9D" w:rsidRDefault="0062085D" w:rsidP="00343D0F">
      <w:pPr>
        <w:rPr>
          <w:lang w:eastAsia="en-US"/>
        </w:rPr>
      </w:pPr>
      <w:r w:rsidRPr="0062085D">
        <w:rPr>
          <w:lang w:eastAsia="en-US"/>
        </w:rPr>
        <w:t>Hawkes, Martine. </w:t>
      </w:r>
      <w:r w:rsidRPr="0062085D">
        <w:rPr>
          <w:i/>
          <w:iCs/>
          <w:lang w:eastAsia="en-US"/>
        </w:rPr>
        <w:t xml:space="preserve">Archiving </w:t>
      </w:r>
      <w:r>
        <w:rPr>
          <w:i/>
          <w:iCs/>
          <w:lang w:eastAsia="en-US"/>
        </w:rPr>
        <w:t>L</w:t>
      </w:r>
      <w:r w:rsidRPr="0062085D">
        <w:rPr>
          <w:i/>
          <w:iCs/>
          <w:lang w:eastAsia="en-US"/>
        </w:rPr>
        <w:t xml:space="preserve">oss: Holding </w:t>
      </w:r>
      <w:r>
        <w:rPr>
          <w:i/>
          <w:iCs/>
          <w:lang w:eastAsia="en-US"/>
        </w:rPr>
        <w:t>P</w:t>
      </w:r>
      <w:r w:rsidRPr="0062085D">
        <w:rPr>
          <w:i/>
          <w:iCs/>
          <w:lang w:eastAsia="en-US"/>
        </w:rPr>
        <w:t xml:space="preserve">laces for </w:t>
      </w:r>
      <w:r>
        <w:rPr>
          <w:i/>
          <w:iCs/>
          <w:lang w:eastAsia="en-US"/>
        </w:rPr>
        <w:t>D</w:t>
      </w:r>
      <w:r w:rsidRPr="0062085D">
        <w:rPr>
          <w:i/>
          <w:iCs/>
          <w:lang w:eastAsia="en-US"/>
        </w:rPr>
        <w:t xml:space="preserve">ifficult </w:t>
      </w:r>
      <w:r>
        <w:rPr>
          <w:i/>
          <w:iCs/>
          <w:lang w:eastAsia="en-US"/>
        </w:rPr>
        <w:t>M</w:t>
      </w:r>
      <w:r w:rsidRPr="0062085D">
        <w:rPr>
          <w:i/>
          <w:iCs/>
          <w:lang w:eastAsia="en-US"/>
        </w:rPr>
        <w:t>emories</w:t>
      </w:r>
      <w:r w:rsidRPr="0062085D">
        <w:rPr>
          <w:lang w:eastAsia="en-US"/>
        </w:rPr>
        <w:t xml:space="preserve">. </w:t>
      </w:r>
      <w:r>
        <w:rPr>
          <w:lang w:eastAsia="en-US"/>
        </w:rPr>
        <w:t xml:space="preserve">London: </w:t>
      </w:r>
      <w:r w:rsidRPr="0062085D">
        <w:rPr>
          <w:lang w:eastAsia="en-US"/>
        </w:rPr>
        <w:t>Routledge, 2018.</w:t>
      </w:r>
    </w:p>
    <w:p w14:paraId="1C683E48" w14:textId="77777777" w:rsidR="00343D0F" w:rsidRPr="00CE7B9D" w:rsidRDefault="00343D0F" w:rsidP="00343D0F">
      <w:pPr>
        <w:rPr>
          <w:lang w:eastAsia="en-US"/>
        </w:rPr>
      </w:pPr>
    </w:p>
    <w:p w14:paraId="662A03DB" w14:textId="77777777" w:rsidR="00343D0F" w:rsidRPr="00CE7B9D" w:rsidRDefault="00343D0F" w:rsidP="00343D0F">
      <w:pPr>
        <w:rPr>
          <w:lang w:eastAsia="en-US"/>
        </w:rPr>
      </w:pPr>
      <w:r w:rsidRPr="00CE7B9D">
        <w:rPr>
          <w:lang w:eastAsia="en-US"/>
        </w:rPr>
        <w:t xml:space="preserve">Herman, Judith. </w:t>
      </w:r>
      <w:r w:rsidRPr="00CE7B9D">
        <w:rPr>
          <w:i/>
          <w:iCs/>
          <w:lang w:eastAsia="en-US"/>
        </w:rPr>
        <w:t>Trauma and Recovery: The Aftermath of Violence – From Domestic Abuse to Political Terror</w:t>
      </w:r>
      <w:r w:rsidRPr="00CE7B9D">
        <w:rPr>
          <w:lang w:eastAsia="en-US"/>
        </w:rPr>
        <w:t xml:space="preserve">. New York: Basic Books, 1992. </w:t>
      </w:r>
    </w:p>
    <w:p w14:paraId="74E2CF22" w14:textId="77777777" w:rsidR="00343D0F" w:rsidRPr="00CE7B9D" w:rsidRDefault="00343D0F" w:rsidP="00343D0F">
      <w:pPr>
        <w:rPr>
          <w:lang w:eastAsia="en-US"/>
        </w:rPr>
      </w:pPr>
    </w:p>
    <w:p w14:paraId="3C313EBE" w14:textId="77777777" w:rsidR="00343D0F" w:rsidRDefault="00343D0F" w:rsidP="00343D0F">
      <w:pPr>
        <w:rPr>
          <w:lang w:eastAsia="en-US"/>
        </w:rPr>
      </w:pPr>
      <w:r w:rsidRPr="00CE7B9D">
        <w:rPr>
          <w:lang w:eastAsia="en-US"/>
        </w:rPr>
        <w:t>Hoyle, Victoria, Elizabeth Shepherd, Elizabeth Lomas, and Andrew Flinn. "Recordkeeping and the Life‐Long Memory and Identity Needs of Care‐Experienced Children and Young People." </w:t>
      </w:r>
      <w:r w:rsidRPr="00CE7B9D">
        <w:rPr>
          <w:i/>
          <w:iCs/>
          <w:lang w:eastAsia="en-US"/>
        </w:rPr>
        <w:t>Child &amp; Family Social Work</w:t>
      </w:r>
      <w:r w:rsidRPr="00CE7B9D">
        <w:rPr>
          <w:lang w:eastAsia="en-US"/>
        </w:rPr>
        <w:t> 25, no. 4 (2020): 935-945.</w:t>
      </w:r>
      <w:r w:rsidRPr="00CE7B9D">
        <w:t xml:space="preserve"> </w:t>
      </w:r>
      <w:r w:rsidRPr="00CE7B9D">
        <w:rPr>
          <w:lang w:eastAsia="en-US"/>
        </w:rPr>
        <w:t xml:space="preserve">https://doi.org/10.1111/cfs.12778. </w:t>
      </w:r>
    </w:p>
    <w:p w14:paraId="4840CE5F" w14:textId="77777777" w:rsidR="00343D0F" w:rsidRDefault="00343D0F" w:rsidP="00343D0F">
      <w:pPr>
        <w:rPr>
          <w:lang w:eastAsia="en-US"/>
        </w:rPr>
      </w:pPr>
    </w:p>
    <w:p w14:paraId="7939FA0F" w14:textId="7DAA0BBC" w:rsidR="00343D0F" w:rsidRPr="00CE7B9D" w:rsidRDefault="00343D0F" w:rsidP="00343D0F">
      <w:pPr>
        <w:rPr>
          <w:lang w:eastAsia="en-US"/>
        </w:rPr>
      </w:pPr>
      <w:r>
        <w:rPr>
          <w:lang w:eastAsia="en-US"/>
        </w:rPr>
        <w:t>Interview with Mauz Hatcher with</w:t>
      </w:r>
      <w:r w:rsidR="00335D8B">
        <w:rPr>
          <w:lang w:eastAsia="en-US"/>
        </w:rPr>
        <w:t xml:space="preserve"> Alana Harris</w:t>
      </w:r>
      <w:r w:rsidR="005421A3">
        <w:rPr>
          <w:lang w:eastAsia="en-US"/>
        </w:rPr>
        <w:t xml:space="preserve">, </w:t>
      </w:r>
      <w:r>
        <w:rPr>
          <w:lang w:eastAsia="en-US"/>
        </w:rPr>
        <w:t>online TEAMS, 22</w:t>
      </w:r>
      <w:r w:rsidRPr="00486F62">
        <w:rPr>
          <w:vertAlign w:val="superscript"/>
          <w:lang w:eastAsia="en-US"/>
        </w:rPr>
        <w:t>nd</w:t>
      </w:r>
      <w:r>
        <w:rPr>
          <w:lang w:eastAsia="en-US"/>
        </w:rPr>
        <w:t xml:space="preserve"> May 2025.</w:t>
      </w:r>
    </w:p>
    <w:p w14:paraId="403B12B3" w14:textId="77777777" w:rsidR="00343D0F" w:rsidRPr="00CE7B9D" w:rsidRDefault="00343D0F" w:rsidP="00343D0F">
      <w:pPr>
        <w:rPr>
          <w:lang w:eastAsia="en-US"/>
        </w:rPr>
      </w:pPr>
    </w:p>
    <w:p w14:paraId="3549439B" w14:textId="1CE08668" w:rsidR="00343D0F" w:rsidRPr="00CE7B9D" w:rsidRDefault="00343D0F" w:rsidP="00343D0F">
      <w:pPr>
        <w:rPr>
          <w:lang w:eastAsia="en-US"/>
        </w:rPr>
      </w:pPr>
      <w:r w:rsidRPr="00CE7B9D">
        <w:rPr>
          <w:lang w:eastAsia="en-US"/>
        </w:rPr>
        <w:t>Interview with RSJ</w:t>
      </w:r>
      <w:r>
        <w:rPr>
          <w:lang w:eastAsia="en-US"/>
        </w:rPr>
        <w:t xml:space="preserve"> Family Members with</w:t>
      </w:r>
      <w:r w:rsidR="00335D8B">
        <w:rPr>
          <w:lang w:eastAsia="en-US"/>
        </w:rPr>
        <w:t xml:space="preserve"> Victoria Hoyle</w:t>
      </w:r>
      <w:r w:rsidR="005421A3">
        <w:rPr>
          <w:lang w:eastAsia="en-US"/>
        </w:rPr>
        <w:t xml:space="preserve">, </w:t>
      </w:r>
      <w:r>
        <w:rPr>
          <w:lang w:eastAsia="en-US"/>
        </w:rPr>
        <w:t>Hastings, UK,</w:t>
      </w:r>
      <w:r w:rsidRPr="00CE7B9D">
        <w:rPr>
          <w:lang w:eastAsia="en-US"/>
        </w:rPr>
        <w:t xml:space="preserve"> 29</w:t>
      </w:r>
      <w:r w:rsidRPr="00CE7B9D">
        <w:rPr>
          <w:vertAlign w:val="superscript"/>
          <w:lang w:eastAsia="en-US"/>
        </w:rPr>
        <w:t>th</w:t>
      </w:r>
      <w:r w:rsidRPr="00CE7B9D">
        <w:rPr>
          <w:lang w:eastAsia="en-US"/>
        </w:rPr>
        <w:t xml:space="preserve"> July 2025. </w:t>
      </w:r>
    </w:p>
    <w:p w14:paraId="56B35E55" w14:textId="77777777" w:rsidR="00343D0F" w:rsidRPr="00CE7B9D" w:rsidRDefault="00343D0F" w:rsidP="00343D0F">
      <w:pPr>
        <w:rPr>
          <w:lang w:eastAsia="en-US"/>
        </w:rPr>
      </w:pPr>
    </w:p>
    <w:p w14:paraId="3A36D898" w14:textId="77777777" w:rsidR="00343D0F" w:rsidRPr="00CE7B9D" w:rsidRDefault="00343D0F" w:rsidP="00343D0F">
      <w:pPr>
        <w:rPr>
          <w:lang w:eastAsia="en-US"/>
        </w:rPr>
      </w:pPr>
      <w:r w:rsidRPr="00CE7B9D">
        <w:rPr>
          <w:lang w:eastAsia="en-US"/>
        </w:rPr>
        <w:t xml:space="preserve">Jackson, Louise A. </w:t>
      </w:r>
      <w:r w:rsidRPr="00CE7B9D">
        <w:rPr>
          <w:i/>
          <w:iCs/>
          <w:lang w:eastAsia="en-US"/>
        </w:rPr>
        <w:t xml:space="preserve">Child </w:t>
      </w:r>
      <w:r>
        <w:rPr>
          <w:i/>
          <w:iCs/>
          <w:lang w:eastAsia="en-US"/>
        </w:rPr>
        <w:t>S</w:t>
      </w:r>
      <w:r w:rsidRPr="00CE7B9D">
        <w:rPr>
          <w:i/>
          <w:iCs/>
          <w:lang w:eastAsia="en-US"/>
        </w:rPr>
        <w:t xml:space="preserve">exual </w:t>
      </w:r>
      <w:r>
        <w:rPr>
          <w:i/>
          <w:iCs/>
          <w:lang w:eastAsia="en-US"/>
        </w:rPr>
        <w:t>A</w:t>
      </w:r>
      <w:r w:rsidRPr="00CE7B9D">
        <w:rPr>
          <w:i/>
          <w:iCs/>
          <w:lang w:eastAsia="en-US"/>
        </w:rPr>
        <w:t>buse in Victorian England</w:t>
      </w:r>
      <w:r w:rsidRPr="00CE7B9D">
        <w:rPr>
          <w:lang w:eastAsia="en-US"/>
        </w:rPr>
        <w:t>. London: Routledge</w:t>
      </w:r>
      <w:r>
        <w:rPr>
          <w:lang w:eastAsia="en-US"/>
        </w:rPr>
        <w:t xml:space="preserve"> (2013).</w:t>
      </w:r>
    </w:p>
    <w:p w14:paraId="65200068" w14:textId="77777777" w:rsidR="00343D0F" w:rsidRPr="00CE7B9D" w:rsidRDefault="00343D0F" w:rsidP="00343D0F">
      <w:pPr>
        <w:rPr>
          <w:lang w:eastAsia="en-US"/>
        </w:rPr>
      </w:pPr>
    </w:p>
    <w:p w14:paraId="17BC70AC" w14:textId="77777777" w:rsidR="00343D0F" w:rsidRPr="00CE7B9D" w:rsidRDefault="00343D0F" w:rsidP="00343D0F">
      <w:pPr>
        <w:rPr>
          <w:lang w:eastAsia="en-US"/>
        </w:rPr>
      </w:pPr>
      <w:r w:rsidRPr="00CE7B9D">
        <w:rPr>
          <w:lang w:eastAsia="en-US"/>
        </w:rPr>
        <w:t xml:space="preserve">Jay, Alexis, </w:t>
      </w:r>
      <w:r>
        <w:rPr>
          <w:lang w:eastAsia="en-US"/>
        </w:rPr>
        <w:t xml:space="preserve">Malcolm </w:t>
      </w:r>
      <w:r w:rsidRPr="00CE7B9D">
        <w:rPr>
          <w:lang w:eastAsia="en-US"/>
        </w:rPr>
        <w:t xml:space="preserve">Evans, </w:t>
      </w:r>
      <w:r>
        <w:rPr>
          <w:lang w:eastAsia="en-US"/>
        </w:rPr>
        <w:t xml:space="preserve">Ivor </w:t>
      </w:r>
      <w:r w:rsidRPr="00CE7B9D">
        <w:rPr>
          <w:lang w:eastAsia="en-US"/>
        </w:rPr>
        <w:t>Frank</w:t>
      </w:r>
      <w:r>
        <w:rPr>
          <w:lang w:eastAsia="en-US"/>
        </w:rPr>
        <w:t xml:space="preserve">, </w:t>
      </w:r>
      <w:r w:rsidRPr="00CE7B9D">
        <w:rPr>
          <w:lang w:eastAsia="en-US"/>
        </w:rPr>
        <w:t xml:space="preserve">and </w:t>
      </w:r>
      <w:r>
        <w:rPr>
          <w:lang w:eastAsia="en-US"/>
        </w:rPr>
        <w:t xml:space="preserve">Drusilla </w:t>
      </w:r>
      <w:proofErr w:type="spellStart"/>
      <w:r w:rsidRPr="00CE7B9D">
        <w:rPr>
          <w:lang w:eastAsia="en-US"/>
        </w:rPr>
        <w:t>Sharpling</w:t>
      </w:r>
      <w:proofErr w:type="spellEnd"/>
      <w:r>
        <w:rPr>
          <w:lang w:eastAsia="en-US"/>
        </w:rPr>
        <w:t>.</w:t>
      </w:r>
      <w:r w:rsidRPr="00CE7B9D">
        <w:rPr>
          <w:lang w:eastAsia="en-US"/>
        </w:rPr>
        <w:t xml:space="preserve"> </w:t>
      </w:r>
      <w:r w:rsidRPr="00297137">
        <w:rPr>
          <w:i/>
          <w:iCs/>
          <w:lang w:eastAsia="en-US"/>
        </w:rPr>
        <w:t>The Report of the Independent Inquiry into Child Sexual Abuse.</w:t>
      </w:r>
      <w:r w:rsidRPr="00CE7B9D">
        <w:rPr>
          <w:lang w:eastAsia="en-US"/>
        </w:rPr>
        <w:t xml:space="preserve"> London: Independent Inquiry into Child Sexual Abuse</w:t>
      </w:r>
      <w:r>
        <w:rPr>
          <w:lang w:eastAsia="en-US"/>
        </w:rPr>
        <w:t xml:space="preserve">, 2022. </w:t>
      </w:r>
    </w:p>
    <w:p w14:paraId="333B36A0" w14:textId="77777777" w:rsidR="00343D0F" w:rsidRDefault="00343D0F" w:rsidP="00343D0F">
      <w:pPr>
        <w:rPr>
          <w:lang w:eastAsia="en-US"/>
        </w:rPr>
      </w:pPr>
    </w:p>
    <w:p w14:paraId="0FD31CA8" w14:textId="59531C4C" w:rsidR="002600AF" w:rsidRDefault="002600AF" w:rsidP="00343D0F">
      <w:pPr>
        <w:rPr>
          <w:lang w:eastAsia="en-US"/>
        </w:rPr>
      </w:pPr>
      <w:r w:rsidRPr="002600AF">
        <w:rPr>
          <w:lang w:eastAsia="en-US"/>
        </w:rPr>
        <w:t>Lawford-Smith, Holly, and William Tuckwell. "What is an ally?" </w:t>
      </w:r>
      <w:r w:rsidRPr="002600AF">
        <w:rPr>
          <w:i/>
          <w:iCs/>
          <w:lang w:eastAsia="en-US"/>
        </w:rPr>
        <w:t>Critical Review of International Social and Political Philosophy</w:t>
      </w:r>
      <w:r w:rsidRPr="002600AF">
        <w:rPr>
          <w:lang w:eastAsia="en-US"/>
        </w:rPr>
        <w:t> (2024): 1-24.</w:t>
      </w:r>
      <w:r w:rsidR="006C2CC8">
        <w:rPr>
          <w:lang w:eastAsia="en-US"/>
        </w:rPr>
        <w:t xml:space="preserve"> </w:t>
      </w:r>
      <w:r w:rsidR="006C2CC8" w:rsidRPr="006C2CC8">
        <w:rPr>
          <w:lang w:eastAsia="en-US"/>
        </w:rPr>
        <w:t>https://doi.org/10.1080/13698230.2024.2309050</w:t>
      </w:r>
      <w:r w:rsidR="006C2CC8">
        <w:rPr>
          <w:lang w:eastAsia="en-US"/>
        </w:rPr>
        <w:t>.</w:t>
      </w:r>
    </w:p>
    <w:p w14:paraId="30C4AD1D" w14:textId="77777777" w:rsidR="002600AF" w:rsidRPr="00CE7B9D" w:rsidRDefault="002600AF" w:rsidP="00343D0F">
      <w:pPr>
        <w:rPr>
          <w:lang w:eastAsia="en-US"/>
        </w:rPr>
      </w:pPr>
    </w:p>
    <w:p w14:paraId="5885BFEE" w14:textId="0D453448" w:rsidR="003F7A04" w:rsidRDefault="003F7A04" w:rsidP="00343D0F">
      <w:r w:rsidRPr="003F7A04">
        <w:t xml:space="preserve">Luft, Aliza. "How </w:t>
      </w:r>
      <w:r>
        <w:t>D</w:t>
      </w:r>
      <w:r w:rsidRPr="003F7A04">
        <w:t xml:space="preserve">o </w:t>
      </w:r>
      <w:r>
        <w:t>Y</w:t>
      </w:r>
      <w:r w:rsidRPr="003F7A04">
        <w:t xml:space="preserve">ou </w:t>
      </w:r>
      <w:r>
        <w:t>R</w:t>
      </w:r>
      <w:r w:rsidRPr="003F7A04">
        <w:t xml:space="preserve">epair a </w:t>
      </w:r>
      <w:r>
        <w:t>B</w:t>
      </w:r>
      <w:r w:rsidRPr="003F7A04">
        <w:t xml:space="preserve">roken </w:t>
      </w:r>
      <w:r>
        <w:t>W</w:t>
      </w:r>
      <w:r w:rsidRPr="003F7A04">
        <w:t>orld? Conflict (</w:t>
      </w:r>
      <w:proofErr w:type="spellStart"/>
      <w:r w:rsidRPr="003F7A04">
        <w:t>ing</w:t>
      </w:r>
      <w:proofErr w:type="spellEnd"/>
      <w:r w:rsidRPr="003F7A04">
        <w:t xml:space="preserve">) </w:t>
      </w:r>
      <w:r>
        <w:t>A</w:t>
      </w:r>
      <w:r w:rsidRPr="003F7A04">
        <w:t xml:space="preserve">rchives </w:t>
      </w:r>
      <w:r>
        <w:t>A</w:t>
      </w:r>
      <w:r w:rsidRPr="003F7A04">
        <w:t>fter the Holocaust." </w:t>
      </w:r>
      <w:r w:rsidRPr="003F7A04">
        <w:rPr>
          <w:i/>
          <w:iCs/>
        </w:rPr>
        <w:t>Qualitative Sociology</w:t>
      </w:r>
      <w:r w:rsidR="00263402">
        <w:rPr>
          <w:i/>
          <w:iCs/>
        </w:rPr>
        <w:t>,</w:t>
      </w:r>
      <w:r w:rsidRPr="003F7A04">
        <w:t> 43, no. 3 (2020): 317-343.</w:t>
      </w:r>
      <w:r w:rsidR="00263402">
        <w:t xml:space="preserve"> </w:t>
      </w:r>
      <w:r w:rsidR="00263402" w:rsidRPr="00263402">
        <w:t>https://doi.org/10.1007/s11133-020-09458-9</w:t>
      </w:r>
      <w:r w:rsidR="00263402">
        <w:t>.</w:t>
      </w:r>
    </w:p>
    <w:p w14:paraId="07D0A382" w14:textId="77777777" w:rsidR="003F7A04" w:rsidRDefault="003F7A04" w:rsidP="00343D0F"/>
    <w:p w14:paraId="07B0EA8C" w14:textId="13508399" w:rsidR="00E35808" w:rsidRDefault="00E35808" w:rsidP="00343D0F">
      <w:r w:rsidRPr="00E35808">
        <w:t>McCracken, Krista, and Skylee-Storm Hogan. "Residential school community archives: Spaces of trauma and community healing." </w:t>
      </w:r>
      <w:r w:rsidRPr="00E35808">
        <w:rPr>
          <w:i/>
          <w:iCs/>
        </w:rPr>
        <w:t>Journal of Critical Library and Information Studies</w:t>
      </w:r>
      <w:r w:rsidRPr="00E35808">
        <w:t> 3, no. 2 (2021)</w:t>
      </w:r>
      <w:r>
        <w:t xml:space="preserve">. </w:t>
      </w:r>
      <w:hyperlink r:id="rId13" w:history="1">
        <w:r w:rsidR="00B5108A" w:rsidRPr="00B5108A">
          <w:rPr>
            <w:rStyle w:val="Hyperlink"/>
          </w:rPr>
          <w:t>https://doi.org/10.24242/jclis.v3i2.115</w:t>
        </w:r>
      </w:hyperlink>
      <w:r w:rsidR="00B5108A">
        <w:t xml:space="preserve">. </w:t>
      </w:r>
    </w:p>
    <w:p w14:paraId="0249C398" w14:textId="77777777" w:rsidR="00E35808" w:rsidRDefault="00E35808" w:rsidP="00343D0F"/>
    <w:p w14:paraId="01AB5E30" w14:textId="4EA985FB" w:rsidR="00343D0F" w:rsidRPr="00CE7B9D" w:rsidRDefault="00343D0F" w:rsidP="00343D0F">
      <w:r w:rsidRPr="00CE7B9D">
        <w:t>McDonald, Dave</w:t>
      </w:r>
      <w:r>
        <w:t>.</w:t>
      </w:r>
      <w:r w:rsidRPr="00CE7B9D">
        <w:t xml:space="preserve"> </w:t>
      </w:r>
      <w:r>
        <w:t>“</w:t>
      </w:r>
      <w:r w:rsidRPr="00CE7B9D">
        <w:t xml:space="preserve">The Work of Acknowledgement: </w:t>
      </w:r>
      <w:r>
        <w:t>‘</w:t>
      </w:r>
      <w:r w:rsidRPr="00CE7B9D">
        <w:t>Loud Fence’ as a Community-Level Response to Institutional Child Sexual Abuse Testimony</w:t>
      </w:r>
      <w:r>
        <w:t>.”</w:t>
      </w:r>
      <w:r w:rsidRPr="00CE7B9D">
        <w:t xml:space="preserve"> </w:t>
      </w:r>
      <w:r w:rsidRPr="00CE7B9D">
        <w:rPr>
          <w:i/>
          <w:iCs/>
        </w:rPr>
        <w:t>Social and Legal Studies</w:t>
      </w:r>
      <w:r w:rsidRPr="00CE7B9D">
        <w:t>, 33</w:t>
      </w:r>
      <w:r>
        <w:t xml:space="preserve">, no. 2 </w:t>
      </w:r>
      <w:r w:rsidRPr="00CE7B9D">
        <w:t>(2023)</w:t>
      </w:r>
      <w:r>
        <w:t>:</w:t>
      </w:r>
      <w:r w:rsidRPr="00CE7B9D">
        <w:t xml:space="preserve"> 213-35.</w:t>
      </w:r>
      <w:r>
        <w:t xml:space="preserve"> </w:t>
      </w:r>
      <w:r w:rsidRPr="00972CBC">
        <w:t>https://doi.org/10.1177/09646639231171679</w:t>
      </w:r>
      <w:r>
        <w:t xml:space="preserve">. </w:t>
      </w:r>
    </w:p>
    <w:p w14:paraId="2649048C" w14:textId="77777777" w:rsidR="00343D0F" w:rsidRPr="00CE7B9D" w:rsidRDefault="00343D0F" w:rsidP="00343D0F"/>
    <w:p w14:paraId="5A402FAC" w14:textId="77777777" w:rsidR="00343D0F" w:rsidRPr="00CE7B9D" w:rsidRDefault="00343D0F" w:rsidP="00343D0F">
      <w:pPr>
        <w:rPr>
          <w:lang w:eastAsia="en-US"/>
        </w:rPr>
      </w:pPr>
      <w:r w:rsidRPr="00CE7B9D">
        <w:lastRenderedPageBreak/>
        <w:t>McPhillips, Kathleen</w:t>
      </w:r>
      <w:r>
        <w:t>.</w:t>
      </w:r>
      <w:r w:rsidRPr="00CE7B9D">
        <w:t xml:space="preserve"> </w:t>
      </w:r>
      <w:r>
        <w:t>“‘</w:t>
      </w:r>
      <w:r w:rsidRPr="00CE7B9D">
        <w:t>Soul Murder</w:t>
      </w:r>
      <w:r>
        <w:t>’</w:t>
      </w:r>
      <w:r w:rsidRPr="00CE7B9D">
        <w:t>: Investigating Spiritual Trauma at the Royal Commission</w:t>
      </w:r>
      <w:r>
        <w:t>.”</w:t>
      </w:r>
      <w:r w:rsidRPr="00CE7B9D">
        <w:t xml:space="preserve"> </w:t>
      </w:r>
      <w:r w:rsidRPr="00CE7B9D">
        <w:rPr>
          <w:i/>
          <w:iCs/>
        </w:rPr>
        <w:t>Journal of Australian Studies</w:t>
      </w:r>
      <w:r w:rsidRPr="00CE7B9D">
        <w:t>, 42</w:t>
      </w:r>
      <w:r>
        <w:t xml:space="preserve">, no. 2 </w:t>
      </w:r>
      <w:r w:rsidRPr="00CE7B9D">
        <w:t>(2018)</w:t>
      </w:r>
      <w:r>
        <w:t xml:space="preserve">: </w:t>
      </w:r>
      <w:r w:rsidRPr="00CE7B9D">
        <w:t>231-42.</w:t>
      </w:r>
      <w:r w:rsidRPr="00B26214">
        <w:rPr>
          <w:rFonts w:ascii="Open Sans" w:hAnsi="Open Sans" w:cs="Open Sans"/>
          <w:color w:val="333333"/>
          <w:shd w:val="clear" w:color="auto" w:fill="EAEAEA"/>
        </w:rPr>
        <w:t xml:space="preserve"> </w:t>
      </w:r>
      <w:r w:rsidRPr="00B26214">
        <w:t>https://doi.org/10.1080/14443058.2018.1458329</w:t>
      </w:r>
      <w:r>
        <w:t xml:space="preserve">. </w:t>
      </w:r>
    </w:p>
    <w:p w14:paraId="6B71CEE5" w14:textId="77777777" w:rsidR="00343D0F" w:rsidRPr="00CE7B9D" w:rsidRDefault="00343D0F" w:rsidP="00343D0F">
      <w:pPr>
        <w:rPr>
          <w:lang w:eastAsia="en-US"/>
        </w:rPr>
      </w:pPr>
    </w:p>
    <w:p w14:paraId="081B193C" w14:textId="18BFA45C" w:rsidR="00343D0F" w:rsidRDefault="00343D0F" w:rsidP="00343D0F">
      <w:pPr>
        <w:rPr>
          <w:lang w:eastAsia="en-US"/>
        </w:rPr>
      </w:pPr>
      <w:r w:rsidRPr="008A4BFB">
        <w:rPr>
          <w:lang w:eastAsia="en-US"/>
        </w:rPr>
        <w:t>Oakley, A</w:t>
      </w:r>
      <w:r>
        <w:rPr>
          <w:lang w:eastAsia="en-US"/>
        </w:rPr>
        <w:t>nn</w:t>
      </w:r>
      <w:r w:rsidRPr="008A4BFB">
        <w:rPr>
          <w:lang w:eastAsia="en-US"/>
        </w:rPr>
        <w:t xml:space="preserve">. </w:t>
      </w:r>
      <w:r>
        <w:rPr>
          <w:lang w:eastAsia="en-US"/>
        </w:rPr>
        <w:t>“</w:t>
      </w:r>
      <w:r w:rsidRPr="008A4BFB">
        <w:rPr>
          <w:lang w:eastAsia="en-US"/>
        </w:rPr>
        <w:t>Interviewing Women Again: Power, Time and the Gift.</w:t>
      </w:r>
      <w:r>
        <w:rPr>
          <w:lang w:eastAsia="en-US"/>
        </w:rPr>
        <w:t>”</w:t>
      </w:r>
      <w:r w:rsidRPr="008A4BFB">
        <w:rPr>
          <w:lang w:eastAsia="en-US"/>
        </w:rPr>
        <w:t> </w:t>
      </w:r>
      <w:r w:rsidRPr="008A4BFB">
        <w:rPr>
          <w:i/>
          <w:iCs/>
          <w:lang w:eastAsia="en-US"/>
        </w:rPr>
        <w:t>Sociology</w:t>
      </w:r>
      <w:r>
        <w:rPr>
          <w:lang w:eastAsia="en-US"/>
        </w:rPr>
        <w:t xml:space="preserve"> 50, no. 1</w:t>
      </w:r>
      <w:r w:rsidRPr="008A4BFB">
        <w:rPr>
          <w:lang w:eastAsia="en-US"/>
        </w:rPr>
        <w:t xml:space="preserve"> </w:t>
      </w:r>
      <w:r>
        <w:rPr>
          <w:lang w:eastAsia="en-US"/>
        </w:rPr>
        <w:t xml:space="preserve">(2015): </w:t>
      </w:r>
      <w:r w:rsidRPr="008A4BFB">
        <w:rPr>
          <w:lang w:eastAsia="en-US"/>
        </w:rPr>
        <w:t>195-213. </w:t>
      </w:r>
      <w:hyperlink r:id="rId14" w:history="1">
        <w:r w:rsidR="0016771B" w:rsidRPr="0068726D">
          <w:rPr>
            <w:rStyle w:val="Hyperlink"/>
            <w:lang w:eastAsia="en-US"/>
          </w:rPr>
          <w:t>https://doi.org/10.1177/0038038515580253</w:t>
        </w:r>
      </w:hyperlink>
      <w:r>
        <w:rPr>
          <w:lang w:eastAsia="en-US"/>
        </w:rPr>
        <w:t>.</w:t>
      </w:r>
    </w:p>
    <w:p w14:paraId="295D5F46" w14:textId="77777777" w:rsidR="0016771B" w:rsidRDefault="0016771B" w:rsidP="00343D0F">
      <w:pPr>
        <w:rPr>
          <w:lang w:eastAsia="en-US"/>
        </w:rPr>
      </w:pPr>
    </w:p>
    <w:p w14:paraId="6B4302A3" w14:textId="26D2454D" w:rsidR="0016771B" w:rsidRPr="0028282C" w:rsidRDefault="0016771B" w:rsidP="0016771B">
      <w:pPr>
        <w:rPr>
          <w:lang w:eastAsia="en-US"/>
        </w:rPr>
      </w:pPr>
      <w:r>
        <w:rPr>
          <w:lang w:eastAsia="en-US"/>
        </w:rPr>
        <w:t xml:space="preserve">Office for Health Improvement and Disparities. </w:t>
      </w:r>
      <w:r w:rsidRPr="0028282C">
        <w:rPr>
          <w:i/>
          <w:iCs/>
          <w:lang w:eastAsia="en-US"/>
        </w:rPr>
        <w:t>Working definition of trauma-informed practice</w:t>
      </w:r>
      <w:r>
        <w:rPr>
          <w:i/>
          <w:iCs/>
          <w:lang w:eastAsia="en-US"/>
        </w:rPr>
        <w:t xml:space="preserve">. </w:t>
      </w:r>
      <w:r w:rsidR="005961B1">
        <w:rPr>
          <w:lang w:eastAsia="en-US"/>
        </w:rPr>
        <w:t xml:space="preserve">London: </w:t>
      </w:r>
      <w:r w:rsidR="00563336">
        <w:rPr>
          <w:lang w:eastAsia="en-US"/>
        </w:rPr>
        <w:t xml:space="preserve">OHID, </w:t>
      </w:r>
      <w:r w:rsidR="00A27D0C">
        <w:rPr>
          <w:lang w:eastAsia="en-US"/>
        </w:rPr>
        <w:t>2022.</w:t>
      </w:r>
      <w:r w:rsidR="00563336">
        <w:rPr>
          <w:lang w:eastAsia="en-US"/>
        </w:rPr>
        <w:t xml:space="preserve"> </w:t>
      </w:r>
      <w:hyperlink r:id="rId15" w:history="1">
        <w:r w:rsidR="005961B1" w:rsidRPr="0068726D">
          <w:rPr>
            <w:rStyle w:val="Hyperlink"/>
            <w:lang w:eastAsia="en-US"/>
          </w:rPr>
          <w:t>https://www.gov.uk/government/publications/working-definition-of-trauma-informed-practice/working-definition-of-trauma-informed-practice</w:t>
        </w:r>
      </w:hyperlink>
      <w:r w:rsidR="005961B1">
        <w:rPr>
          <w:lang w:eastAsia="en-US"/>
        </w:rPr>
        <w:t xml:space="preserve">. </w:t>
      </w:r>
    </w:p>
    <w:p w14:paraId="4308F8D2" w14:textId="04C914FD" w:rsidR="0016771B" w:rsidRDefault="0016771B" w:rsidP="00343D0F">
      <w:pPr>
        <w:rPr>
          <w:lang w:eastAsia="en-US"/>
        </w:rPr>
      </w:pPr>
    </w:p>
    <w:p w14:paraId="12A3D7F5" w14:textId="77777777" w:rsidR="00343D0F" w:rsidRDefault="00343D0F" w:rsidP="00343D0F">
      <w:pPr>
        <w:rPr>
          <w:lang w:eastAsia="en-US"/>
        </w:rPr>
      </w:pPr>
    </w:p>
    <w:p w14:paraId="32A09E95" w14:textId="77777777" w:rsidR="00343D0F" w:rsidRDefault="00343D0F" w:rsidP="00343D0F">
      <w:pPr>
        <w:rPr>
          <w:lang w:eastAsia="en-US"/>
        </w:rPr>
      </w:pPr>
      <w:r w:rsidRPr="00CE7B9D">
        <w:rPr>
          <w:lang w:eastAsia="en-US"/>
        </w:rPr>
        <w:t xml:space="preserve">Office for National Statistics. </w:t>
      </w:r>
      <w:r w:rsidRPr="001B6C66">
        <w:rPr>
          <w:i/>
          <w:iCs/>
          <w:lang w:eastAsia="en-US"/>
        </w:rPr>
        <w:t>Child Sexual Abuse in England and Wales: Year Ending March 2019.</w:t>
      </w:r>
      <w:r w:rsidRPr="00CE7B9D">
        <w:rPr>
          <w:lang w:eastAsia="en-US"/>
        </w:rPr>
        <w:t xml:space="preserve"> Titchfield: ONS</w:t>
      </w:r>
      <w:r>
        <w:rPr>
          <w:lang w:eastAsia="en-US"/>
        </w:rPr>
        <w:t>, 2020.</w:t>
      </w:r>
    </w:p>
    <w:p w14:paraId="56F08608" w14:textId="77777777" w:rsidR="00343D0F" w:rsidRDefault="00343D0F" w:rsidP="00343D0F">
      <w:pPr>
        <w:rPr>
          <w:lang w:eastAsia="en-US"/>
        </w:rPr>
      </w:pPr>
    </w:p>
    <w:p w14:paraId="6452BAD1" w14:textId="77777777" w:rsidR="00343D0F" w:rsidRPr="00EB52B0" w:rsidRDefault="00343D0F" w:rsidP="00343D0F">
      <w:pPr>
        <w:rPr>
          <w:color w:val="2E2E2E"/>
        </w:rPr>
      </w:pPr>
      <w:r w:rsidRPr="00831D37">
        <w:rPr>
          <w:color w:val="2E2E2E"/>
        </w:rPr>
        <w:t>Olsson,</w:t>
      </w:r>
      <w:r>
        <w:rPr>
          <w:color w:val="2E2E2E"/>
        </w:rPr>
        <w:t xml:space="preserve"> Annika.</w:t>
      </w:r>
      <w:r w:rsidRPr="00831D37">
        <w:rPr>
          <w:color w:val="2E2E2E"/>
        </w:rPr>
        <w:t xml:space="preserve"> </w:t>
      </w:r>
      <w:r>
        <w:rPr>
          <w:color w:val="2E2E2E"/>
        </w:rPr>
        <w:t>“</w:t>
      </w:r>
      <w:r w:rsidRPr="00831D37">
        <w:rPr>
          <w:color w:val="2E2E2E"/>
        </w:rPr>
        <w:t xml:space="preserve">Being a </w:t>
      </w:r>
      <w:r>
        <w:rPr>
          <w:color w:val="2E2E2E"/>
        </w:rPr>
        <w:t>G</w:t>
      </w:r>
      <w:r w:rsidRPr="00831D37">
        <w:rPr>
          <w:color w:val="2E2E2E"/>
        </w:rPr>
        <w:t xml:space="preserve">ood </w:t>
      </w:r>
      <w:r>
        <w:rPr>
          <w:color w:val="2E2E2E"/>
        </w:rPr>
        <w:t>S</w:t>
      </w:r>
      <w:r w:rsidRPr="00831D37">
        <w:rPr>
          <w:color w:val="2E2E2E"/>
        </w:rPr>
        <w:t xml:space="preserve">cholar or a </w:t>
      </w:r>
      <w:r>
        <w:rPr>
          <w:color w:val="2E2E2E"/>
        </w:rPr>
        <w:t>G</w:t>
      </w:r>
      <w:r w:rsidRPr="00831D37">
        <w:rPr>
          <w:color w:val="2E2E2E"/>
        </w:rPr>
        <w:t xml:space="preserve">ood </w:t>
      </w:r>
      <w:r>
        <w:rPr>
          <w:color w:val="2E2E2E"/>
        </w:rPr>
        <w:t>P</w:t>
      </w:r>
      <w:r w:rsidRPr="00831D37">
        <w:rPr>
          <w:color w:val="2E2E2E"/>
        </w:rPr>
        <w:t>erson? Shared/</w:t>
      </w:r>
      <w:r>
        <w:rPr>
          <w:color w:val="2E2E2E"/>
        </w:rPr>
        <w:t>S</w:t>
      </w:r>
      <w:r w:rsidRPr="00831D37">
        <w:rPr>
          <w:color w:val="2E2E2E"/>
        </w:rPr>
        <w:t xml:space="preserve">haring </w:t>
      </w:r>
      <w:r>
        <w:rPr>
          <w:color w:val="2E2E2E"/>
        </w:rPr>
        <w:t>A</w:t>
      </w:r>
      <w:r w:rsidRPr="00831D37">
        <w:rPr>
          <w:color w:val="2E2E2E"/>
        </w:rPr>
        <w:t xml:space="preserve">uthority and the </w:t>
      </w:r>
      <w:r>
        <w:rPr>
          <w:color w:val="2E2E2E"/>
        </w:rPr>
        <w:t>P</w:t>
      </w:r>
      <w:r w:rsidRPr="00831D37">
        <w:rPr>
          <w:color w:val="2E2E2E"/>
        </w:rPr>
        <w:t xml:space="preserve">ractice of </w:t>
      </w:r>
      <w:r>
        <w:rPr>
          <w:color w:val="2E2E2E"/>
        </w:rPr>
        <w:t>T</w:t>
      </w:r>
      <w:r w:rsidRPr="00831D37">
        <w:rPr>
          <w:color w:val="2E2E2E"/>
        </w:rPr>
        <w:t xml:space="preserve">aking </w:t>
      </w:r>
      <w:r>
        <w:rPr>
          <w:color w:val="2E2E2E"/>
        </w:rPr>
        <w:t>S</w:t>
      </w:r>
      <w:r w:rsidRPr="00831D37">
        <w:rPr>
          <w:color w:val="2E2E2E"/>
        </w:rPr>
        <w:t xml:space="preserve">cholarship for </w:t>
      </w:r>
      <w:r>
        <w:rPr>
          <w:color w:val="2E2E2E"/>
        </w:rPr>
        <w:t>G</w:t>
      </w:r>
      <w:r w:rsidRPr="00831D37">
        <w:rPr>
          <w:color w:val="2E2E2E"/>
        </w:rPr>
        <w:t>ranted</w:t>
      </w:r>
      <w:r>
        <w:rPr>
          <w:color w:val="2E2E2E"/>
        </w:rPr>
        <w:t>.”</w:t>
      </w:r>
      <w:r w:rsidRPr="00831D37">
        <w:rPr>
          <w:color w:val="2E2E2E"/>
        </w:rPr>
        <w:t xml:space="preserve"> </w:t>
      </w:r>
      <w:r w:rsidRPr="00EB52B0">
        <w:rPr>
          <w:i/>
          <w:iCs/>
          <w:color w:val="2E2E2E"/>
        </w:rPr>
        <w:t>Oral History</w:t>
      </w:r>
      <w:r>
        <w:rPr>
          <w:color w:val="2E2E2E"/>
        </w:rPr>
        <w:t xml:space="preserve"> </w:t>
      </w:r>
      <w:r w:rsidRPr="00831D37">
        <w:rPr>
          <w:color w:val="2E2E2E"/>
        </w:rPr>
        <w:t>52</w:t>
      </w:r>
      <w:r>
        <w:rPr>
          <w:color w:val="2E2E2E"/>
        </w:rPr>
        <w:t xml:space="preserve">, no. </w:t>
      </w:r>
      <w:r w:rsidRPr="00831D37">
        <w:rPr>
          <w:color w:val="2E2E2E"/>
        </w:rPr>
        <w:t>1</w:t>
      </w:r>
      <w:r>
        <w:rPr>
          <w:color w:val="2E2E2E"/>
        </w:rPr>
        <w:t xml:space="preserve"> </w:t>
      </w:r>
      <w:r w:rsidRPr="00831D37">
        <w:rPr>
          <w:color w:val="2E2E2E"/>
        </w:rPr>
        <w:t>(2024)</w:t>
      </w:r>
      <w:r>
        <w:rPr>
          <w:color w:val="2E2E2E"/>
        </w:rPr>
        <w:t>:</w:t>
      </w:r>
      <w:r w:rsidRPr="00831D37">
        <w:rPr>
          <w:color w:val="2E2E2E"/>
        </w:rPr>
        <w:t xml:space="preserve"> 57-68</w:t>
      </w:r>
      <w:r>
        <w:rPr>
          <w:color w:val="2E2E2E"/>
        </w:rPr>
        <w:t>.</w:t>
      </w:r>
    </w:p>
    <w:p w14:paraId="54D5E2EE" w14:textId="77777777" w:rsidR="00343D0F" w:rsidRPr="00CE7B9D" w:rsidRDefault="00343D0F" w:rsidP="00343D0F">
      <w:pPr>
        <w:rPr>
          <w:lang w:eastAsia="en-US"/>
        </w:rPr>
      </w:pPr>
    </w:p>
    <w:p w14:paraId="2C6F99BB" w14:textId="095E7373" w:rsidR="00343D0F" w:rsidRDefault="00343D0F" w:rsidP="00343D0F">
      <w:pPr>
        <w:rPr>
          <w:lang w:eastAsia="en-US"/>
        </w:rPr>
      </w:pPr>
      <w:r w:rsidRPr="00CE7B9D">
        <w:rPr>
          <w:lang w:eastAsia="en-US"/>
        </w:rPr>
        <w:t>Payne, Krystal. “Archival Harm Reduction: A Theoretical Framework for Utilizing Harm-Reduction Concepts in Archival Practice.” </w:t>
      </w:r>
      <w:proofErr w:type="spellStart"/>
      <w:r w:rsidRPr="00CE7B9D">
        <w:rPr>
          <w:i/>
          <w:iCs/>
          <w:lang w:eastAsia="en-US"/>
        </w:rPr>
        <w:t>Archivaria</w:t>
      </w:r>
      <w:proofErr w:type="spellEnd"/>
      <w:r w:rsidRPr="00CE7B9D">
        <w:rPr>
          <w:lang w:eastAsia="en-US"/>
        </w:rPr>
        <w:t xml:space="preserve"> 94 (2022) 154-181. </w:t>
      </w:r>
      <w:hyperlink r:id="rId16" w:history="1">
        <w:r w:rsidR="005714CF" w:rsidRPr="0068726D">
          <w:rPr>
            <w:rStyle w:val="Hyperlink"/>
            <w:lang w:eastAsia="en-US"/>
          </w:rPr>
          <w:t>https://archivaria.ca/index.php/archivaria/article/view/13871</w:t>
        </w:r>
      </w:hyperlink>
      <w:r w:rsidRPr="00CE7B9D">
        <w:rPr>
          <w:lang w:eastAsia="en-US"/>
        </w:rPr>
        <w:t>.</w:t>
      </w:r>
    </w:p>
    <w:p w14:paraId="40F72B9B" w14:textId="77777777" w:rsidR="005714CF" w:rsidRDefault="005714CF" w:rsidP="00343D0F">
      <w:pPr>
        <w:rPr>
          <w:lang w:eastAsia="en-US"/>
        </w:rPr>
      </w:pPr>
    </w:p>
    <w:p w14:paraId="4C039051" w14:textId="5202E8AF" w:rsidR="005714CF" w:rsidRDefault="005714CF" w:rsidP="00343D0F">
      <w:pPr>
        <w:rPr>
          <w:lang w:eastAsia="en-US"/>
        </w:rPr>
      </w:pPr>
      <w:proofErr w:type="spellStart"/>
      <w:r w:rsidRPr="005714CF">
        <w:rPr>
          <w:lang w:eastAsia="en-US"/>
        </w:rPr>
        <w:t>Punathil</w:t>
      </w:r>
      <w:proofErr w:type="spellEnd"/>
      <w:r w:rsidRPr="005714CF">
        <w:rPr>
          <w:lang w:eastAsia="en-US"/>
        </w:rPr>
        <w:t>, Salah. “Archival Ethnography and Ethnography of Archiving: Towards an Anthropology of Riot Inquiry Commission Reports in Postcolonial India.” </w:t>
      </w:r>
      <w:r w:rsidRPr="005714CF">
        <w:rPr>
          <w:i/>
          <w:iCs/>
          <w:lang w:eastAsia="en-US"/>
        </w:rPr>
        <w:t>History and Anthropology</w:t>
      </w:r>
      <w:r w:rsidRPr="005714CF">
        <w:rPr>
          <w:lang w:eastAsia="en-US"/>
        </w:rPr>
        <w:t> 32</w:t>
      </w:r>
      <w:r>
        <w:rPr>
          <w:lang w:eastAsia="en-US"/>
        </w:rPr>
        <w:t>, no. 3 (2021)</w:t>
      </w:r>
      <w:r w:rsidRPr="005714CF">
        <w:rPr>
          <w:lang w:eastAsia="en-US"/>
        </w:rPr>
        <w:t>: 312–30. doi:10.1080/02757206.2020.1854750.</w:t>
      </w:r>
    </w:p>
    <w:p w14:paraId="50696988" w14:textId="77777777" w:rsidR="00343D0F" w:rsidRDefault="00343D0F" w:rsidP="00343D0F">
      <w:pPr>
        <w:rPr>
          <w:lang w:eastAsia="en-US"/>
        </w:rPr>
      </w:pPr>
    </w:p>
    <w:p w14:paraId="770274FF" w14:textId="77777777" w:rsidR="00343D0F" w:rsidRDefault="00343D0F" w:rsidP="00343D0F">
      <w:pPr>
        <w:rPr>
          <w:lang w:eastAsia="en-US"/>
        </w:rPr>
      </w:pPr>
      <w:r w:rsidRPr="00E139A5">
        <w:rPr>
          <w:lang w:eastAsia="en-US"/>
        </w:rPr>
        <w:t>Rickard,</w:t>
      </w:r>
      <w:r>
        <w:rPr>
          <w:lang w:eastAsia="en-US"/>
        </w:rPr>
        <w:t xml:space="preserve"> Wendy.</w:t>
      </w:r>
      <w:r w:rsidRPr="00E139A5">
        <w:rPr>
          <w:lang w:eastAsia="en-US"/>
        </w:rPr>
        <w:t xml:space="preserve"> </w:t>
      </w:r>
      <w:r>
        <w:rPr>
          <w:lang w:eastAsia="en-US"/>
        </w:rPr>
        <w:t>“‘</w:t>
      </w:r>
      <w:r w:rsidRPr="00E139A5">
        <w:rPr>
          <w:lang w:eastAsia="en-US"/>
        </w:rPr>
        <w:t xml:space="preserve">More </w:t>
      </w:r>
      <w:r>
        <w:rPr>
          <w:lang w:eastAsia="en-US"/>
        </w:rPr>
        <w:t>D</w:t>
      </w:r>
      <w:r w:rsidRPr="00E139A5">
        <w:rPr>
          <w:lang w:eastAsia="en-US"/>
        </w:rPr>
        <w:t xml:space="preserve">angerous </w:t>
      </w:r>
      <w:r>
        <w:rPr>
          <w:lang w:eastAsia="en-US"/>
        </w:rPr>
        <w:t>T</w:t>
      </w:r>
      <w:r w:rsidRPr="00E139A5">
        <w:rPr>
          <w:lang w:eastAsia="en-US"/>
        </w:rPr>
        <w:t xml:space="preserve">han </w:t>
      </w:r>
      <w:r>
        <w:rPr>
          <w:lang w:eastAsia="en-US"/>
        </w:rPr>
        <w:t>T</w:t>
      </w:r>
      <w:r w:rsidRPr="00E139A5">
        <w:rPr>
          <w:lang w:eastAsia="en-US"/>
        </w:rPr>
        <w:t>herapy</w:t>
      </w:r>
      <w:proofErr w:type="gramStart"/>
      <w:r w:rsidRPr="00E139A5">
        <w:rPr>
          <w:lang w:eastAsia="en-US"/>
        </w:rPr>
        <w:t>’?:</w:t>
      </w:r>
      <w:proofErr w:type="gramEnd"/>
      <w:r w:rsidRPr="00E139A5">
        <w:rPr>
          <w:lang w:eastAsia="en-US"/>
        </w:rPr>
        <w:t xml:space="preserve"> Interviewees’ </w:t>
      </w:r>
      <w:r>
        <w:rPr>
          <w:lang w:eastAsia="en-US"/>
        </w:rPr>
        <w:t>R</w:t>
      </w:r>
      <w:r w:rsidRPr="00E139A5">
        <w:rPr>
          <w:lang w:eastAsia="en-US"/>
        </w:rPr>
        <w:t xml:space="preserve">eflections on </w:t>
      </w:r>
      <w:r>
        <w:rPr>
          <w:lang w:eastAsia="en-US"/>
        </w:rPr>
        <w:t>R</w:t>
      </w:r>
      <w:r w:rsidRPr="00E139A5">
        <w:rPr>
          <w:lang w:eastAsia="en-US"/>
        </w:rPr>
        <w:t xml:space="preserve">ecording </w:t>
      </w:r>
      <w:r>
        <w:rPr>
          <w:lang w:eastAsia="en-US"/>
        </w:rPr>
        <w:t>T</w:t>
      </w:r>
      <w:r w:rsidRPr="00E139A5">
        <w:rPr>
          <w:lang w:eastAsia="en-US"/>
        </w:rPr>
        <w:t xml:space="preserve">raumatic or </w:t>
      </w:r>
      <w:r>
        <w:rPr>
          <w:lang w:eastAsia="en-US"/>
        </w:rPr>
        <w:t>T</w:t>
      </w:r>
      <w:r w:rsidRPr="00E139A5">
        <w:rPr>
          <w:lang w:eastAsia="en-US"/>
        </w:rPr>
        <w:t xml:space="preserve">aboo </w:t>
      </w:r>
      <w:r>
        <w:rPr>
          <w:lang w:eastAsia="en-US"/>
        </w:rPr>
        <w:t>I</w:t>
      </w:r>
      <w:r w:rsidRPr="00E139A5">
        <w:rPr>
          <w:lang w:eastAsia="en-US"/>
        </w:rPr>
        <w:t>ssues</w:t>
      </w:r>
      <w:r>
        <w:rPr>
          <w:lang w:eastAsia="en-US"/>
        </w:rPr>
        <w:t>.”</w:t>
      </w:r>
      <w:r w:rsidRPr="00E139A5">
        <w:rPr>
          <w:lang w:eastAsia="en-US"/>
        </w:rPr>
        <w:t> </w:t>
      </w:r>
      <w:r w:rsidRPr="00E53C63">
        <w:rPr>
          <w:i/>
          <w:iCs/>
          <w:lang w:eastAsia="en-US"/>
        </w:rPr>
        <w:t>Oral History</w:t>
      </w:r>
      <w:r w:rsidRPr="00E139A5">
        <w:rPr>
          <w:lang w:eastAsia="en-US"/>
        </w:rPr>
        <w:t> 26</w:t>
      </w:r>
      <w:r>
        <w:rPr>
          <w:lang w:eastAsia="en-US"/>
        </w:rPr>
        <w:t xml:space="preserve">, no. 2 </w:t>
      </w:r>
      <w:r w:rsidRPr="00E139A5">
        <w:rPr>
          <w:lang w:eastAsia="en-US"/>
        </w:rPr>
        <w:t>(1998)</w:t>
      </w:r>
      <w:r>
        <w:rPr>
          <w:lang w:eastAsia="en-US"/>
        </w:rPr>
        <w:t xml:space="preserve">: </w:t>
      </w:r>
      <w:r w:rsidRPr="00E139A5">
        <w:rPr>
          <w:lang w:eastAsia="en-US"/>
        </w:rPr>
        <w:t>34-48</w:t>
      </w:r>
      <w:r>
        <w:rPr>
          <w:lang w:eastAsia="en-US"/>
        </w:rPr>
        <w:t xml:space="preserve">. </w:t>
      </w:r>
      <w:r w:rsidRPr="00224972">
        <w:rPr>
          <w:lang w:eastAsia="en-US"/>
        </w:rPr>
        <w:t>https://www.jstor.org/stable/40179520</w:t>
      </w:r>
      <w:r>
        <w:rPr>
          <w:lang w:eastAsia="en-US"/>
        </w:rPr>
        <w:t xml:space="preserve">. </w:t>
      </w:r>
    </w:p>
    <w:p w14:paraId="344F5EBD" w14:textId="77777777" w:rsidR="00343D0F" w:rsidRPr="00CE7B9D" w:rsidRDefault="00343D0F" w:rsidP="00343D0F">
      <w:pPr>
        <w:rPr>
          <w:lang w:eastAsia="en-US"/>
        </w:rPr>
      </w:pPr>
    </w:p>
    <w:p w14:paraId="63F23520" w14:textId="77777777" w:rsidR="00343D0F" w:rsidRDefault="00343D0F" w:rsidP="00343D0F">
      <w:pPr>
        <w:rPr>
          <w:lang w:eastAsia="en-US"/>
        </w:rPr>
      </w:pPr>
      <w:r w:rsidRPr="00CE7B9D">
        <w:rPr>
          <w:lang w:eastAsia="en-US"/>
        </w:rPr>
        <w:t>Reeves, Elizabeth. “A Synthesis of the Literature on Trauma-Informed Care.” </w:t>
      </w:r>
      <w:r w:rsidRPr="00CE7B9D">
        <w:rPr>
          <w:i/>
          <w:iCs/>
          <w:lang w:eastAsia="en-US"/>
        </w:rPr>
        <w:t>Issues in Mental Health Nursing</w:t>
      </w:r>
      <w:r w:rsidRPr="00CE7B9D">
        <w:rPr>
          <w:lang w:eastAsia="en-US"/>
        </w:rPr>
        <w:t xml:space="preserve"> 36, no. 9 (2015): 698–709. </w:t>
      </w:r>
      <w:proofErr w:type="spellStart"/>
      <w:r w:rsidRPr="00CE7B9D">
        <w:rPr>
          <w:lang w:eastAsia="en-US"/>
        </w:rPr>
        <w:t>doi</w:t>
      </w:r>
      <w:proofErr w:type="spellEnd"/>
      <w:r w:rsidRPr="00CE7B9D">
        <w:rPr>
          <w:lang w:eastAsia="en-US"/>
        </w:rPr>
        <w:t>: 10.3109/01612840.2015.1025319.</w:t>
      </w:r>
    </w:p>
    <w:p w14:paraId="5DECFCDE" w14:textId="77777777" w:rsidR="00343D0F" w:rsidRDefault="00343D0F" w:rsidP="00343D0F">
      <w:pPr>
        <w:rPr>
          <w:lang w:eastAsia="en-US"/>
        </w:rPr>
      </w:pPr>
    </w:p>
    <w:p w14:paraId="67ADAE3B" w14:textId="77777777" w:rsidR="00343D0F" w:rsidRPr="00B770FE" w:rsidRDefault="00343D0F" w:rsidP="00343D0F">
      <w:pPr>
        <w:rPr>
          <w:lang w:eastAsia="en-US"/>
        </w:rPr>
      </w:pPr>
      <w:r>
        <w:rPr>
          <w:lang w:eastAsia="en-US"/>
        </w:rPr>
        <w:t xml:space="preserve">Robinson-Sweet, Anna. “Truth and Reconciliation: Archivists as Reparations Activists.” </w:t>
      </w:r>
      <w:r w:rsidRPr="00B770FE">
        <w:rPr>
          <w:i/>
          <w:iCs/>
          <w:lang w:eastAsia="en-US"/>
        </w:rPr>
        <w:t>The American Archivist</w:t>
      </w:r>
      <w:r w:rsidRPr="00B770FE">
        <w:rPr>
          <w:lang w:eastAsia="en-US"/>
        </w:rPr>
        <w:t xml:space="preserve"> 81, </w:t>
      </w:r>
      <w:r>
        <w:rPr>
          <w:lang w:eastAsia="en-US"/>
        </w:rPr>
        <w:t>n</w:t>
      </w:r>
      <w:r w:rsidRPr="00B770FE">
        <w:rPr>
          <w:lang w:eastAsia="en-US"/>
        </w:rPr>
        <w:t xml:space="preserve">o. 1 </w:t>
      </w:r>
      <w:r>
        <w:rPr>
          <w:lang w:eastAsia="en-US"/>
        </w:rPr>
        <w:t>(</w:t>
      </w:r>
      <w:r w:rsidRPr="00B770FE">
        <w:rPr>
          <w:lang w:eastAsia="en-US"/>
        </w:rPr>
        <w:t>2018</w:t>
      </w:r>
      <w:r>
        <w:rPr>
          <w:lang w:eastAsia="en-US"/>
        </w:rPr>
        <w:t>):</w:t>
      </w:r>
      <w:r w:rsidRPr="00B770FE">
        <w:rPr>
          <w:lang w:eastAsia="en-US"/>
        </w:rPr>
        <w:t xml:space="preserve"> 23–37</w:t>
      </w:r>
      <w:r>
        <w:rPr>
          <w:lang w:eastAsia="en-US"/>
        </w:rPr>
        <w:t xml:space="preserve">. </w:t>
      </w:r>
    </w:p>
    <w:p w14:paraId="0D02089E" w14:textId="77777777" w:rsidR="00343D0F" w:rsidRPr="00CE7B9D" w:rsidRDefault="00343D0F" w:rsidP="00343D0F">
      <w:pPr>
        <w:rPr>
          <w:lang w:eastAsia="en-US"/>
        </w:rPr>
      </w:pPr>
    </w:p>
    <w:p w14:paraId="2211608E" w14:textId="77777777" w:rsidR="00343D0F" w:rsidRDefault="00343D0F" w:rsidP="00343D0F">
      <w:pPr>
        <w:rPr>
          <w:lang w:eastAsia="en-US"/>
        </w:rPr>
      </w:pPr>
      <w:r w:rsidRPr="00A70577">
        <w:rPr>
          <w:lang w:eastAsia="en-US"/>
        </w:rPr>
        <w:t>Rothberg, Michael. </w:t>
      </w:r>
      <w:r w:rsidRPr="00A70577">
        <w:rPr>
          <w:i/>
          <w:iCs/>
          <w:lang w:eastAsia="en-US"/>
        </w:rPr>
        <w:t xml:space="preserve">The </w:t>
      </w:r>
      <w:r>
        <w:rPr>
          <w:i/>
          <w:iCs/>
          <w:lang w:eastAsia="en-US"/>
        </w:rPr>
        <w:t>I</w:t>
      </w:r>
      <w:r w:rsidRPr="00A70577">
        <w:rPr>
          <w:i/>
          <w:iCs/>
          <w:lang w:eastAsia="en-US"/>
        </w:rPr>
        <w:t>mplicated</w:t>
      </w:r>
      <w:r>
        <w:rPr>
          <w:i/>
          <w:iCs/>
          <w:lang w:eastAsia="en-US"/>
        </w:rPr>
        <w:t xml:space="preserve"> S</w:t>
      </w:r>
      <w:r w:rsidRPr="00A70577">
        <w:rPr>
          <w:i/>
          <w:iCs/>
          <w:lang w:eastAsia="en-US"/>
        </w:rPr>
        <w:t xml:space="preserve">ubject: Beyond </w:t>
      </w:r>
      <w:r>
        <w:rPr>
          <w:i/>
          <w:iCs/>
          <w:lang w:eastAsia="en-US"/>
        </w:rPr>
        <w:t>V</w:t>
      </w:r>
      <w:r w:rsidRPr="00A70577">
        <w:rPr>
          <w:i/>
          <w:iCs/>
          <w:lang w:eastAsia="en-US"/>
        </w:rPr>
        <w:t xml:space="preserve">ictims and </w:t>
      </w:r>
      <w:r>
        <w:rPr>
          <w:i/>
          <w:iCs/>
          <w:lang w:eastAsia="en-US"/>
        </w:rPr>
        <w:t>P</w:t>
      </w:r>
      <w:r w:rsidRPr="00A70577">
        <w:rPr>
          <w:i/>
          <w:iCs/>
          <w:lang w:eastAsia="en-US"/>
        </w:rPr>
        <w:t>erpetrators</w:t>
      </w:r>
      <w:r w:rsidRPr="00A70577">
        <w:rPr>
          <w:lang w:eastAsia="en-US"/>
        </w:rPr>
        <w:t xml:space="preserve">. </w:t>
      </w:r>
      <w:r>
        <w:rPr>
          <w:lang w:eastAsia="en-US"/>
        </w:rPr>
        <w:t xml:space="preserve">California: </w:t>
      </w:r>
      <w:r w:rsidRPr="00A70577">
        <w:rPr>
          <w:lang w:eastAsia="en-US"/>
        </w:rPr>
        <w:t>Stanford University Press, 2019.</w:t>
      </w:r>
    </w:p>
    <w:p w14:paraId="0FB1E22F" w14:textId="77777777" w:rsidR="00343D0F" w:rsidRPr="00CE7B9D" w:rsidRDefault="00343D0F" w:rsidP="00343D0F">
      <w:pPr>
        <w:rPr>
          <w:lang w:eastAsia="en-US"/>
        </w:rPr>
      </w:pPr>
    </w:p>
    <w:p w14:paraId="363EDA33" w14:textId="77777777" w:rsidR="00343D0F" w:rsidRDefault="00343D0F" w:rsidP="00343D0F">
      <w:pPr>
        <w:rPr>
          <w:lang w:eastAsia="en-US"/>
        </w:rPr>
      </w:pPr>
      <w:r w:rsidRPr="00CE7B9D">
        <w:rPr>
          <w:lang w:eastAsia="en-US"/>
        </w:rPr>
        <w:t>Sexton, Anna. “Introducing the Legacies and Trajectories of Trauma to the Archival Field.” </w:t>
      </w:r>
      <w:r w:rsidRPr="00CE7B9D">
        <w:rPr>
          <w:i/>
          <w:iCs/>
          <w:lang w:eastAsia="en-US"/>
        </w:rPr>
        <w:t>Archival Science</w:t>
      </w:r>
      <w:r w:rsidRPr="00CE7B9D">
        <w:rPr>
          <w:lang w:eastAsia="en-US"/>
        </w:rPr>
        <w:t xml:space="preserve"> 25, no. 3 (2025). </w:t>
      </w:r>
      <w:r w:rsidRPr="000A01E9">
        <w:rPr>
          <w:lang w:eastAsia="en-US"/>
        </w:rPr>
        <w:t>https://doi.org/10.1007/s10502-024-09471-9</w:t>
      </w:r>
      <w:r w:rsidRPr="00CE7B9D">
        <w:rPr>
          <w:lang w:eastAsia="en-US"/>
        </w:rPr>
        <w:t>.</w:t>
      </w:r>
    </w:p>
    <w:p w14:paraId="2445A80D" w14:textId="77777777" w:rsidR="00343D0F" w:rsidRDefault="00343D0F" w:rsidP="00343D0F">
      <w:pPr>
        <w:rPr>
          <w:lang w:eastAsia="en-US"/>
        </w:rPr>
      </w:pPr>
    </w:p>
    <w:p w14:paraId="1F4CC62E" w14:textId="77777777" w:rsidR="00343D0F" w:rsidRPr="00CE7B9D" w:rsidRDefault="00343D0F" w:rsidP="00343D0F">
      <w:pPr>
        <w:rPr>
          <w:lang w:eastAsia="en-US"/>
        </w:rPr>
      </w:pPr>
      <w:r w:rsidRPr="004715AB">
        <w:rPr>
          <w:lang w:eastAsia="en-US"/>
        </w:rPr>
        <w:t>Sheftel</w:t>
      </w:r>
      <w:r>
        <w:rPr>
          <w:lang w:eastAsia="en-US"/>
        </w:rPr>
        <w:t>, Anna,</w:t>
      </w:r>
      <w:r w:rsidRPr="004715AB">
        <w:rPr>
          <w:lang w:eastAsia="en-US"/>
        </w:rPr>
        <w:t xml:space="preserve"> and Stacey Zembrzycki</w:t>
      </w:r>
      <w:r>
        <w:rPr>
          <w:lang w:eastAsia="en-US"/>
        </w:rPr>
        <w:t>.</w:t>
      </w:r>
      <w:r w:rsidRPr="004715AB">
        <w:rPr>
          <w:lang w:eastAsia="en-US"/>
        </w:rPr>
        <w:t xml:space="preserve"> </w:t>
      </w:r>
      <w:r>
        <w:rPr>
          <w:lang w:eastAsia="en-US"/>
        </w:rPr>
        <w:t>“</w:t>
      </w:r>
      <w:r w:rsidRPr="004715AB">
        <w:rPr>
          <w:lang w:eastAsia="en-US"/>
        </w:rPr>
        <w:t>Who’s Afraid of Oral History? Fifty Years of Debates and Anxiety about Ethics</w:t>
      </w:r>
      <w:r>
        <w:rPr>
          <w:lang w:eastAsia="en-US"/>
        </w:rPr>
        <w:t>.”</w:t>
      </w:r>
      <w:r w:rsidRPr="004715AB">
        <w:rPr>
          <w:lang w:eastAsia="en-US"/>
        </w:rPr>
        <w:t xml:space="preserve"> </w:t>
      </w:r>
      <w:r w:rsidRPr="004715AB">
        <w:rPr>
          <w:i/>
          <w:iCs/>
          <w:lang w:eastAsia="en-US"/>
        </w:rPr>
        <w:t>Oral History Review</w:t>
      </w:r>
      <w:r w:rsidRPr="004715AB">
        <w:rPr>
          <w:lang w:eastAsia="en-US"/>
        </w:rPr>
        <w:t xml:space="preserve"> 43</w:t>
      </w:r>
      <w:r>
        <w:rPr>
          <w:lang w:eastAsia="en-US"/>
        </w:rPr>
        <w:t xml:space="preserve">, no. 2 </w:t>
      </w:r>
      <w:r w:rsidRPr="004715AB">
        <w:rPr>
          <w:lang w:eastAsia="en-US"/>
        </w:rPr>
        <w:t>(2016), 338–</w:t>
      </w:r>
      <w:r>
        <w:rPr>
          <w:lang w:eastAsia="en-US"/>
        </w:rPr>
        <w:t xml:space="preserve">66. </w:t>
      </w:r>
      <w:r w:rsidRPr="000A01E9">
        <w:rPr>
          <w:lang w:eastAsia="en-US"/>
        </w:rPr>
        <w:t>https://doi.org/10.1093/ohr/ohw071</w:t>
      </w:r>
      <w:r>
        <w:rPr>
          <w:lang w:eastAsia="en-US"/>
        </w:rPr>
        <w:t>.</w:t>
      </w:r>
    </w:p>
    <w:p w14:paraId="5F5B82D0" w14:textId="77777777" w:rsidR="00343D0F" w:rsidRPr="00CE7B9D" w:rsidRDefault="00343D0F" w:rsidP="00343D0F">
      <w:pPr>
        <w:rPr>
          <w:lang w:eastAsia="en-US"/>
        </w:rPr>
      </w:pPr>
    </w:p>
    <w:p w14:paraId="54B656EE" w14:textId="77777777" w:rsidR="00343D0F" w:rsidRDefault="00343D0F" w:rsidP="00343D0F">
      <w:pPr>
        <w:rPr>
          <w:color w:val="2E2E2E"/>
        </w:rPr>
      </w:pPr>
      <w:proofErr w:type="spellStart"/>
      <w:r w:rsidRPr="00831D37">
        <w:rPr>
          <w:color w:val="2E2E2E"/>
        </w:rPr>
        <w:t>Sitzia</w:t>
      </w:r>
      <w:proofErr w:type="spellEnd"/>
      <w:r w:rsidRPr="00831D37">
        <w:rPr>
          <w:color w:val="2E2E2E"/>
        </w:rPr>
        <w:t>,</w:t>
      </w:r>
      <w:r>
        <w:rPr>
          <w:color w:val="2E2E2E"/>
        </w:rPr>
        <w:t xml:space="preserve"> Lorraine.</w:t>
      </w:r>
      <w:r w:rsidRPr="00831D37">
        <w:rPr>
          <w:color w:val="2E2E2E"/>
        </w:rPr>
        <w:t xml:space="preserve"> </w:t>
      </w:r>
      <w:r>
        <w:rPr>
          <w:color w:val="2E2E2E"/>
        </w:rPr>
        <w:t>“</w:t>
      </w:r>
      <w:r w:rsidRPr="00831D37">
        <w:rPr>
          <w:color w:val="2E2E2E"/>
        </w:rPr>
        <w:t xml:space="preserve">A </w:t>
      </w:r>
      <w:r>
        <w:rPr>
          <w:color w:val="2E2E2E"/>
        </w:rPr>
        <w:t>S</w:t>
      </w:r>
      <w:r w:rsidRPr="00831D37">
        <w:rPr>
          <w:color w:val="2E2E2E"/>
        </w:rPr>
        <w:t xml:space="preserve">hared </w:t>
      </w:r>
      <w:r>
        <w:rPr>
          <w:color w:val="2E2E2E"/>
        </w:rPr>
        <w:t>A</w:t>
      </w:r>
      <w:r w:rsidRPr="00831D37">
        <w:rPr>
          <w:color w:val="2E2E2E"/>
        </w:rPr>
        <w:t xml:space="preserve">uthority: </w:t>
      </w:r>
      <w:r>
        <w:rPr>
          <w:color w:val="2E2E2E"/>
        </w:rPr>
        <w:t>A</w:t>
      </w:r>
      <w:r w:rsidRPr="00831D37">
        <w:rPr>
          <w:color w:val="2E2E2E"/>
        </w:rPr>
        <w:t xml:space="preserve">n </w:t>
      </w:r>
      <w:r>
        <w:rPr>
          <w:color w:val="2E2E2E"/>
        </w:rPr>
        <w:t>I</w:t>
      </w:r>
      <w:r w:rsidRPr="00831D37">
        <w:rPr>
          <w:color w:val="2E2E2E"/>
        </w:rPr>
        <w:t xml:space="preserve">mpossible </w:t>
      </w:r>
      <w:r>
        <w:rPr>
          <w:color w:val="2E2E2E"/>
        </w:rPr>
        <w:t>G</w:t>
      </w:r>
      <w:r w:rsidRPr="00831D37">
        <w:rPr>
          <w:color w:val="2E2E2E"/>
        </w:rPr>
        <w:t>oal?</w:t>
      </w:r>
      <w:r>
        <w:rPr>
          <w:color w:val="2E2E2E"/>
        </w:rPr>
        <w:t>”</w:t>
      </w:r>
      <w:r w:rsidRPr="00831D37">
        <w:rPr>
          <w:color w:val="2E2E2E"/>
        </w:rPr>
        <w:t xml:space="preserve"> </w:t>
      </w:r>
      <w:r w:rsidRPr="00831D37">
        <w:rPr>
          <w:i/>
          <w:iCs/>
          <w:color w:val="2E2E2E"/>
        </w:rPr>
        <w:t>Oral History Review</w:t>
      </w:r>
      <w:r>
        <w:rPr>
          <w:color w:val="2E2E2E"/>
        </w:rPr>
        <w:t xml:space="preserve"> </w:t>
      </w:r>
      <w:r w:rsidRPr="00831D37">
        <w:rPr>
          <w:color w:val="2E2E2E"/>
        </w:rPr>
        <w:t>30, no</w:t>
      </w:r>
      <w:r>
        <w:rPr>
          <w:color w:val="2E2E2E"/>
        </w:rPr>
        <w:t>.</w:t>
      </w:r>
      <w:r w:rsidRPr="00831D37">
        <w:rPr>
          <w:color w:val="2E2E2E"/>
        </w:rPr>
        <w:t xml:space="preserve"> 1 </w:t>
      </w:r>
      <w:r>
        <w:rPr>
          <w:color w:val="2E2E2E"/>
        </w:rPr>
        <w:t>(</w:t>
      </w:r>
      <w:r w:rsidRPr="00831D37">
        <w:rPr>
          <w:color w:val="2E2E2E"/>
        </w:rPr>
        <w:t>2003</w:t>
      </w:r>
      <w:r>
        <w:rPr>
          <w:color w:val="2E2E2E"/>
        </w:rPr>
        <w:t xml:space="preserve">): </w:t>
      </w:r>
      <w:r w:rsidRPr="00831D37">
        <w:rPr>
          <w:color w:val="2E2E2E"/>
        </w:rPr>
        <w:t>87-101</w:t>
      </w:r>
      <w:r>
        <w:rPr>
          <w:color w:val="2E2E2E"/>
        </w:rPr>
        <w:t xml:space="preserve">. </w:t>
      </w:r>
      <w:r w:rsidRPr="00EB52B0">
        <w:rPr>
          <w:color w:val="2E2E2E"/>
        </w:rPr>
        <w:t>https://www.jstor.org/stable/3675353</w:t>
      </w:r>
      <w:r>
        <w:rPr>
          <w:color w:val="2E2E2E"/>
        </w:rPr>
        <w:t>.</w:t>
      </w:r>
    </w:p>
    <w:p w14:paraId="7231BB7B" w14:textId="77777777" w:rsidR="00343D0F" w:rsidRDefault="00343D0F" w:rsidP="00343D0F">
      <w:pPr>
        <w:rPr>
          <w:color w:val="2E2E2E"/>
        </w:rPr>
      </w:pPr>
    </w:p>
    <w:p w14:paraId="78F24169" w14:textId="77777777" w:rsidR="00343D0F" w:rsidRDefault="00343D0F" w:rsidP="00343D0F">
      <w:pPr>
        <w:rPr>
          <w:color w:val="2E2E2E"/>
        </w:rPr>
      </w:pPr>
      <w:r>
        <w:rPr>
          <w:color w:val="2E2E2E"/>
        </w:rPr>
        <w:lastRenderedPageBreak/>
        <w:t>Survivors Voices, “</w:t>
      </w:r>
      <w:r w:rsidRPr="00E71E53">
        <w:rPr>
          <w:color w:val="2E2E2E"/>
        </w:rPr>
        <w:t>Turning Pain into Power: A Charter for Organisations Engaging Abuse Survivors in Projects, Research &amp; Service Development</w:t>
      </w:r>
      <w:r>
        <w:rPr>
          <w:color w:val="2E2E2E"/>
        </w:rPr>
        <w:t xml:space="preserve">.” Survivors Voices, 2021. </w:t>
      </w:r>
      <w:r w:rsidRPr="006B6E73">
        <w:rPr>
          <w:color w:val="2E2E2E"/>
        </w:rPr>
        <w:t>https://survivorsvoices.org/charter/</w:t>
      </w:r>
      <w:r>
        <w:rPr>
          <w:color w:val="2E2E2E"/>
        </w:rPr>
        <w:t>.</w:t>
      </w:r>
    </w:p>
    <w:p w14:paraId="00C4505C" w14:textId="77777777" w:rsidR="00343D0F" w:rsidRDefault="00343D0F" w:rsidP="00343D0F">
      <w:pPr>
        <w:rPr>
          <w:color w:val="2E2E2E"/>
        </w:rPr>
      </w:pPr>
    </w:p>
    <w:p w14:paraId="064B8C9A" w14:textId="77777777" w:rsidR="00343D0F" w:rsidRDefault="00343D0F" w:rsidP="00343D0F">
      <w:pPr>
        <w:rPr>
          <w:color w:val="2E2E2E"/>
        </w:rPr>
      </w:pPr>
      <w:r>
        <w:rPr>
          <w:color w:val="2E2E2E"/>
        </w:rPr>
        <w:t xml:space="preserve">Survivors Voices, “The Survivor Involvement Ladder.” Survivors Voices, 2022. </w:t>
      </w:r>
      <w:r w:rsidRPr="006B6E73">
        <w:rPr>
          <w:color w:val="2E2E2E"/>
        </w:rPr>
        <w:t>https://survivorsvoices.org/involvement-ladder/</w:t>
      </w:r>
      <w:r>
        <w:rPr>
          <w:color w:val="2E2E2E"/>
        </w:rPr>
        <w:t xml:space="preserve">. </w:t>
      </w:r>
    </w:p>
    <w:p w14:paraId="1B5DA5BF" w14:textId="77777777" w:rsidR="00343D0F" w:rsidRDefault="00343D0F" w:rsidP="00343D0F">
      <w:pPr>
        <w:rPr>
          <w:color w:val="2E2E2E"/>
        </w:rPr>
      </w:pPr>
    </w:p>
    <w:p w14:paraId="72AC5F64" w14:textId="77777777" w:rsidR="00343D0F" w:rsidRDefault="00343D0F" w:rsidP="00343D0F">
      <w:pPr>
        <w:rPr>
          <w:color w:val="2E2E2E"/>
        </w:rPr>
      </w:pPr>
      <w:r w:rsidRPr="00B47729">
        <w:rPr>
          <w:color w:val="2E2E2E"/>
        </w:rPr>
        <w:t>Summerfield, P</w:t>
      </w:r>
      <w:r>
        <w:rPr>
          <w:color w:val="2E2E2E"/>
        </w:rPr>
        <w:t>enny.</w:t>
      </w:r>
      <w:r w:rsidRPr="00B47729">
        <w:rPr>
          <w:color w:val="2E2E2E"/>
        </w:rPr>
        <w:t xml:space="preserve"> </w:t>
      </w:r>
      <w:r>
        <w:rPr>
          <w:color w:val="2E2E2E"/>
        </w:rPr>
        <w:t>“</w:t>
      </w:r>
      <w:r w:rsidRPr="00B47729">
        <w:rPr>
          <w:color w:val="2E2E2E"/>
        </w:rPr>
        <w:t>Dis/composing the Subject: Intersubjectivities in Oral History</w:t>
      </w:r>
      <w:r>
        <w:rPr>
          <w:color w:val="2E2E2E"/>
        </w:rPr>
        <w:t>.”</w:t>
      </w:r>
      <w:r w:rsidRPr="00B47729">
        <w:rPr>
          <w:color w:val="2E2E2E"/>
        </w:rPr>
        <w:t xml:space="preserve"> </w:t>
      </w:r>
      <w:r>
        <w:rPr>
          <w:color w:val="2E2E2E"/>
        </w:rPr>
        <w:t>I</w:t>
      </w:r>
      <w:r w:rsidRPr="00B47729">
        <w:rPr>
          <w:color w:val="2E2E2E"/>
        </w:rPr>
        <w:t xml:space="preserve">n </w:t>
      </w:r>
      <w:r w:rsidRPr="00B47729">
        <w:rPr>
          <w:i/>
          <w:iCs/>
          <w:color w:val="2E2E2E"/>
        </w:rPr>
        <w:t>Feminism and Autobiography: Texts, Theories, Methods</w:t>
      </w:r>
      <w:r>
        <w:rPr>
          <w:color w:val="2E2E2E"/>
        </w:rPr>
        <w:t xml:space="preserve">, edited by </w:t>
      </w:r>
      <w:r w:rsidRPr="00B47729">
        <w:rPr>
          <w:color w:val="2E2E2E"/>
        </w:rPr>
        <w:t>T</w:t>
      </w:r>
      <w:r>
        <w:rPr>
          <w:color w:val="2E2E2E"/>
        </w:rPr>
        <w:t xml:space="preserve">ess </w:t>
      </w:r>
      <w:r w:rsidRPr="00B47729">
        <w:rPr>
          <w:color w:val="2E2E2E"/>
        </w:rPr>
        <w:t>Cosslett, C</w:t>
      </w:r>
      <w:r>
        <w:rPr>
          <w:color w:val="2E2E2E"/>
        </w:rPr>
        <w:t xml:space="preserve">elia </w:t>
      </w:r>
      <w:r w:rsidRPr="00B47729">
        <w:rPr>
          <w:color w:val="2E2E2E"/>
        </w:rPr>
        <w:t>Lury and P</w:t>
      </w:r>
      <w:r>
        <w:rPr>
          <w:color w:val="2E2E2E"/>
        </w:rPr>
        <w:t xml:space="preserve">enny </w:t>
      </w:r>
      <w:r w:rsidRPr="00B47729">
        <w:rPr>
          <w:color w:val="2E2E2E"/>
        </w:rPr>
        <w:t>Summerfield</w:t>
      </w:r>
      <w:r>
        <w:rPr>
          <w:color w:val="2E2E2E"/>
        </w:rPr>
        <w:t>, 93-108.</w:t>
      </w:r>
      <w:r w:rsidRPr="00B47729">
        <w:rPr>
          <w:color w:val="2E2E2E"/>
        </w:rPr>
        <w:t> London: Routledge,</w:t>
      </w:r>
      <w:r>
        <w:rPr>
          <w:color w:val="2E2E2E"/>
        </w:rPr>
        <w:t xml:space="preserve"> 2000.</w:t>
      </w:r>
    </w:p>
    <w:p w14:paraId="59D4796C" w14:textId="77777777" w:rsidR="00343D0F" w:rsidRDefault="00343D0F" w:rsidP="00343D0F">
      <w:pPr>
        <w:rPr>
          <w:color w:val="2E2E2E"/>
        </w:rPr>
      </w:pPr>
    </w:p>
    <w:p w14:paraId="474310A8" w14:textId="77777777" w:rsidR="00343D0F" w:rsidRDefault="00343D0F" w:rsidP="00343D0F">
      <w:pPr>
        <w:rPr>
          <w:color w:val="2E2E2E"/>
        </w:rPr>
      </w:pPr>
      <w:r w:rsidRPr="00CE7B9D">
        <w:rPr>
          <w:color w:val="2E2E2E"/>
        </w:rPr>
        <w:t>Tooth Murphy, Amy</w:t>
      </w:r>
      <w:r>
        <w:rPr>
          <w:color w:val="2E2E2E"/>
        </w:rPr>
        <w:t>.</w:t>
      </w:r>
      <w:r w:rsidRPr="00CE7B9D">
        <w:rPr>
          <w:color w:val="2E2E2E"/>
        </w:rPr>
        <w:t xml:space="preserve"> </w:t>
      </w:r>
      <w:r>
        <w:rPr>
          <w:color w:val="2E2E2E"/>
        </w:rPr>
        <w:t>“</w:t>
      </w:r>
      <w:r w:rsidRPr="00CE7B9D">
        <w:rPr>
          <w:color w:val="2E2E2E"/>
        </w:rPr>
        <w:t xml:space="preserve">Listening </w:t>
      </w:r>
      <w:r>
        <w:rPr>
          <w:color w:val="2E2E2E"/>
        </w:rPr>
        <w:t>I</w:t>
      </w:r>
      <w:r w:rsidRPr="00CE7B9D">
        <w:rPr>
          <w:color w:val="2E2E2E"/>
        </w:rPr>
        <w:t xml:space="preserve">n, </w:t>
      </w:r>
      <w:r>
        <w:rPr>
          <w:color w:val="2E2E2E"/>
        </w:rPr>
        <w:t>L</w:t>
      </w:r>
      <w:r w:rsidRPr="00CE7B9D">
        <w:rPr>
          <w:color w:val="2E2E2E"/>
        </w:rPr>
        <w:t xml:space="preserve">istening </w:t>
      </w:r>
      <w:r>
        <w:rPr>
          <w:color w:val="2E2E2E"/>
        </w:rPr>
        <w:t>O</w:t>
      </w:r>
      <w:r w:rsidRPr="00CE7B9D">
        <w:rPr>
          <w:color w:val="2E2E2E"/>
        </w:rPr>
        <w:t xml:space="preserve">ut: </w:t>
      </w:r>
      <w:r>
        <w:rPr>
          <w:color w:val="2E2E2E"/>
        </w:rPr>
        <w:t>I</w:t>
      </w:r>
      <w:r w:rsidRPr="00CE7B9D">
        <w:rPr>
          <w:color w:val="2E2E2E"/>
        </w:rPr>
        <w:t xml:space="preserve">ntersubjectivity and the </w:t>
      </w:r>
      <w:r>
        <w:rPr>
          <w:color w:val="2E2E2E"/>
        </w:rPr>
        <w:t>I</w:t>
      </w:r>
      <w:r w:rsidRPr="00CE7B9D">
        <w:rPr>
          <w:color w:val="2E2E2E"/>
        </w:rPr>
        <w:t xml:space="preserve">mpact of </w:t>
      </w:r>
      <w:r>
        <w:rPr>
          <w:color w:val="2E2E2E"/>
        </w:rPr>
        <w:t>I</w:t>
      </w:r>
      <w:r w:rsidRPr="00CE7B9D">
        <w:rPr>
          <w:color w:val="2E2E2E"/>
        </w:rPr>
        <w:t xml:space="preserve">nsider and </w:t>
      </w:r>
      <w:r>
        <w:rPr>
          <w:color w:val="2E2E2E"/>
        </w:rPr>
        <w:t>O</w:t>
      </w:r>
      <w:r w:rsidRPr="00CE7B9D">
        <w:rPr>
          <w:color w:val="2E2E2E"/>
        </w:rPr>
        <w:t xml:space="preserve">utsider </w:t>
      </w:r>
      <w:r>
        <w:rPr>
          <w:color w:val="2E2E2E"/>
        </w:rPr>
        <w:t>S</w:t>
      </w:r>
      <w:r w:rsidRPr="00CE7B9D">
        <w:rPr>
          <w:color w:val="2E2E2E"/>
        </w:rPr>
        <w:t xml:space="preserve">tatus in </w:t>
      </w:r>
      <w:r>
        <w:rPr>
          <w:color w:val="2E2E2E"/>
        </w:rPr>
        <w:t>O</w:t>
      </w:r>
      <w:r w:rsidRPr="00CE7B9D">
        <w:rPr>
          <w:color w:val="2E2E2E"/>
        </w:rPr>
        <w:t xml:space="preserve">ral </w:t>
      </w:r>
      <w:r>
        <w:rPr>
          <w:color w:val="2E2E2E"/>
        </w:rPr>
        <w:t>H</w:t>
      </w:r>
      <w:r w:rsidRPr="00CE7B9D">
        <w:rPr>
          <w:color w:val="2E2E2E"/>
        </w:rPr>
        <w:t xml:space="preserve">istory </w:t>
      </w:r>
      <w:r>
        <w:rPr>
          <w:color w:val="2E2E2E"/>
        </w:rPr>
        <w:t>I</w:t>
      </w:r>
      <w:r w:rsidRPr="00CE7B9D">
        <w:rPr>
          <w:color w:val="2E2E2E"/>
        </w:rPr>
        <w:t>nterviews</w:t>
      </w:r>
      <w:r>
        <w:rPr>
          <w:color w:val="2E2E2E"/>
        </w:rPr>
        <w:t>.”</w:t>
      </w:r>
      <w:r w:rsidRPr="00CE7B9D">
        <w:rPr>
          <w:color w:val="2E2E2E"/>
        </w:rPr>
        <w:t> </w:t>
      </w:r>
      <w:r w:rsidRPr="00CE7B9D">
        <w:rPr>
          <w:rStyle w:val="Emphasis"/>
          <w:rFonts w:eastAsiaTheme="majorEastAsia"/>
          <w:color w:val="2E2E2E"/>
        </w:rPr>
        <w:t>Oral History</w:t>
      </w:r>
      <w:r w:rsidRPr="00CE7B9D">
        <w:rPr>
          <w:color w:val="2E2E2E"/>
        </w:rPr>
        <w:t xml:space="preserve"> 48, </w:t>
      </w:r>
      <w:r>
        <w:rPr>
          <w:color w:val="2E2E2E"/>
        </w:rPr>
        <w:t>n</w:t>
      </w:r>
      <w:r w:rsidRPr="00CE7B9D">
        <w:rPr>
          <w:color w:val="2E2E2E"/>
        </w:rPr>
        <w:t>o. 1 (2020</w:t>
      </w:r>
      <w:r>
        <w:rPr>
          <w:color w:val="2E2E2E"/>
        </w:rPr>
        <w:t xml:space="preserve">): </w:t>
      </w:r>
      <w:r w:rsidRPr="00CE7B9D">
        <w:rPr>
          <w:color w:val="2E2E2E"/>
        </w:rPr>
        <w:t>35-44</w:t>
      </w:r>
      <w:r>
        <w:rPr>
          <w:color w:val="2E2E2E"/>
        </w:rPr>
        <w:t xml:space="preserve">. </w:t>
      </w:r>
      <w:r w:rsidRPr="000A01E9">
        <w:rPr>
          <w:color w:val="2E2E2E"/>
        </w:rPr>
        <w:t>https://www.jstor.org/stable/48568046</w:t>
      </w:r>
      <w:r>
        <w:rPr>
          <w:color w:val="2E2E2E"/>
        </w:rPr>
        <w:t>.</w:t>
      </w:r>
    </w:p>
    <w:p w14:paraId="72E2D080" w14:textId="77777777" w:rsidR="00343D0F" w:rsidRDefault="00343D0F" w:rsidP="00343D0F">
      <w:pPr>
        <w:rPr>
          <w:color w:val="2E2E2E"/>
        </w:rPr>
      </w:pPr>
    </w:p>
    <w:p w14:paraId="0265A5AE" w14:textId="77777777" w:rsidR="00343D0F" w:rsidRDefault="00343D0F" w:rsidP="00343D0F">
      <w:pPr>
        <w:rPr>
          <w:color w:val="2E2E2E"/>
        </w:rPr>
      </w:pPr>
      <w:proofErr w:type="spellStart"/>
      <w:r w:rsidRPr="004715AB">
        <w:rPr>
          <w:lang w:eastAsia="en-US"/>
        </w:rPr>
        <w:t>Traies</w:t>
      </w:r>
      <w:proofErr w:type="spellEnd"/>
      <w:r w:rsidRPr="004715AB">
        <w:rPr>
          <w:lang w:eastAsia="en-US"/>
        </w:rPr>
        <w:t>,</w:t>
      </w:r>
      <w:r>
        <w:rPr>
          <w:lang w:eastAsia="en-US"/>
        </w:rPr>
        <w:t xml:space="preserve"> Jane.</w:t>
      </w:r>
      <w:r w:rsidRPr="004715AB">
        <w:rPr>
          <w:lang w:eastAsia="en-US"/>
        </w:rPr>
        <w:t xml:space="preserve"> </w:t>
      </w:r>
      <w:r>
        <w:rPr>
          <w:lang w:eastAsia="en-US"/>
        </w:rPr>
        <w:t>“</w:t>
      </w:r>
      <w:r w:rsidRPr="004715AB">
        <w:rPr>
          <w:lang w:eastAsia="en-US"/>
        </w:rPr>
        <w:t xml:space="preserve">The </w:t>
      </w:r>
      <w:r>
        <w:rPr>
          <w:lang w:eastAsia="en-US"/>
        </w:rPr>
        <w:t>P</w:t>
      </w:r>
      <w:r w:rsidRPr="004715AB">
        <w:rPr>
          <w:lang w:eastAsia="en-US"/>
        </w:rPr>
        <w:t xml:space="preserve">erils of the </w:t>
      </w:r>
      <w:r>
        <w:rPr>
          <w:lang w:eastAsia="en-US"/>
        </w:rPr>
        <w:t>R</w:t>
      </w:r>
      <w:r w:rsidRPr="004715AB">
        <w:rPr>
          <w:lang w:eastAsia="en-US"/>
        </w:rPr>
        <w:t xml:space="preserve">ecording: </w:t>
      </w:r>
      <w:r>
        <w:rPr>
          <w:lang w:eastAsia="en-US"/>
        </w:rPr>
        <w:t>E</w:t>
      </w:r>
      <w:r w:rsidRPr="004715AB">
        <w:rPr>
          <w:lang w:eastAsia="en-US"/>
        </w:rPr>
        <w:t xml:space="preserve">thical </w:t>
      </w:r>
      <w:r>
        <w:rPr>
          <w:lang w:eastAsia="en-US"/>
        </w:rPr>
        <w:t>I</w:t>
      </w:r>
      <w:r w:rsidRPr="004715AB">
        <w:rPr>
          <w:lang w:eastAsia="en-US"/>
        </w:rPr>
        <w:t xml:space="preserve">ssues in </w:t>
      </w:r>
      <w:r>
        <w:rPr>
          <w:lang w:eastAsia="en-US"/>
        </w:rPr>
        <w:t>O</w:t>
      </w:r>
      <w:r w:rsidRPr="004715AB">
        <w:rPr>
          <w:lang w:eastAsia="en-US"/>
        </w:rPr>
        <w:t xml:space="preserve">ral </w:t>
      </w:r>
      <w:r>
        <w:rPr>
          <w:lang w:eastAsia="en-US"/>
        </w:rPr>
        <w:t>H</w:t>
      </w:r>
      <w:r w:rsidRPr="004715AB">
        <w:rPr>
          <w:lang w:eastAsia="en-US"/>
        </w:rPr>
        <w:t xml:space="preserve">istory with </w:t>
      </w:r>
      <w:r>
        <w:rPr>
          <w:lang w:eastAsia="en-US"/>
        </w:rPr>
        <w:t>V</w:t>
      </w:r>
      <w:r w:rsidRPr="004715AB">
        <w:rPr>
          <w:lang w:eastAsia="en-US"/>
        </w:rPr>
        <w:t xml:space="preserve">ulnerable </w:t>
      </w:r>
      <w:r>
        <w:rPr>
          <w:lang w:eastAsia="en-US"/>
        </w:rPr>
        <w:t>P</w:t>
      </w:r>
      <w:r w:rsidRPr="004715AB">
        <w:rPr>
          <w:lang w:eastAsia="en-US"/>
        </w:rPr>
        <w:t>opulations</w:t>
      </w:r>
      <w:r>
        <w:rPr>
          <w:lang w:eastAsia="en-US"/>
        </w:rPr>
        <w:t>.”</w:t>
      </w:r>
      <w:r w:rsidRPr="004715AB">
        <w:rPr>
          <w:lang w:eastAsia="en-US"/>
        </w:rPr>
        <w:t xml:space="preserve"> </w:t>
      </w:r>
      <w:r w:rsidRPr="000A01E9">
        <w:rPr>
          <w:i/>
          <w:iCs/>
          <w:lang w:eastAsia="en-US"/>
        </w:rPr>
        <w:t>Oral History</w:t>
      </w:r>
      <w:r w:rsidRPr="004715AB">
        <w:rPr>
          <w:lang w:eastAsia="en-US"/>
        </w:rPr>
        <w:t xml:space="preserve"> 48, </w:t>
      </w:r>
      <w:r>
        <w:rPr>
          <w:lang w:eastAsia="en-US"/>
        </w:rPr>
        <w:t>n</w:t>
      </w:r>
      <w:r w:rsidRPr="004715AB">
        <w:rPr>
          <w:lang w:eastAsia="en-US"/>
        </w:rPr>
        <w:t xml:space="preserve">o. 1 </w:t>
      </w:r>
      <w:r>
        <w:rPr>
          <w:lang w:eastAsia="en-US"/>
        </w:rPr>
        <w:t>(</w:t>
      </w:r>
      <w:r w:rsidRPr="004715AB">
        <w:rPr>
          <w:lang w:eastAsia="en-US"/>
        </w:rPr>
        <w:t>2020</w:t>
      </w:r>
      <w:r>
        <w:rPr>
          <w:lang w:eastAsia="en-US"/>
        </w:rPr>
        <w:t xml:space="preserve">): </w:t>
      </w:r>
      <w:r w:rsidRPr="004715AB">
        <w:rPr>
          <w:lang w:eastAsia="en-US"/>
        </w:rPr>
        <w:t>75-85.</w:t>
      </w:r>
      <w:r>
        <w:rPr>
          <w:lang w:eastAsia="en-US"/>
        </w:rPr>
        <w:t xml:space="preserve"> </w:t>
      </w:r>
      <w:r w:rsidRPr="00C412B0">
        <w:rPr>
          <w:lang w:eastAsia="en-US"/>
        </w:rPr>
        <w:t>https://www.jstor.org/stable/10.2307/48568050</w:t>
      </w:r>
      <w:r>
        <w:rPr>
          <w:lang w:eastAsia="en-US"/>
        </w:rPr>
        <w:t xml:space="preserve">. </w:t>
      </w:r>
    </w:p>
    <w:p w14:paraId="1091BC56" w14:textId="77777777" w:rsidR="00343D0F" w:rsidRDefault="00343D0F" w:rsidP="00343D0F">
      <w:pPr>
        <w:rPr>
          <w:color w:val="2E2E2E"/>
        </w:rPr>
      </w:pPr>
    </w:p>
    <w:p w14:paraId="41F2E498" w14:textId="77777777" w:rsidR="00343D0F" w:rsidRDefault="00343D0F" w:rsidP="00343D0F">
      <w:proofErr w:type="spellStart"/>
      <w:r>
        <w:t>Tureby</w:t>
      </w:r>
      <w:proofErr w:type="spellEnd"/>
      <w:r>
        <w:t xml:space="preserve">, Malin Thor, and Annika Olsson. “Editorial Introduction: Revisiting Shared Authority.” </w:t>
      </w:r>
      <w:r>
        <w:rPr>
          <w:i/>
          <w:iCs/>
        </w:rPr>
        <w:t>Oral History</w:t>
      </w:r>
      <w:r>
        <w:t xml:space="preserve"> 52, no. 1 (2024): 2-6.</w:t>
      </w:r>
    </w:p>
    <w:p w14:paraId="1E38724A" w14:textId="77777777" w:rsidR="00343D0F" w:rsidRDefault="00343D0F" w:rsidP="00343D0F">
      <w:pPr>
        <w:rPr>
          <w:color w:val="2E2E2E"/>
        </w:rPr>
      </w:pPr>
    </w:p>
    <w:p w14:paraId="768536E7" w14:textId="77777777" w:rsidR="00343D0F" w:rsidRPr="00CE7B9D" w:rsidRDefault="00343D0F" w:rsidP="00343D0F">
      <w:pPr>
        <w:rPr>
          <w:lang w:eastAsia="en-US"/>
        </w:rPr>
      </w:pPr>
      <w:r>
        <w:rPr>
          <w:color w:val="2E2E2E"/>
        </w:rPr>
        <w:t xml:space="preserve">Vatican News, “Protection of Minors: Pope Meets with Two Women from </w:t>
      </w:r>
      <w:proofErr w:type="spellStart"/>
      <w:r>
        <w:rPr>
          <w:color w:val="2E2E2E"/>
        </w:rPr>
        <w:t>LOUDfence</w:t>
      </w:r>
      <w:proofErr w:type="spellEnd"/>
      <w:r>
        <w:rPr>
          <w:color w:val="2E2E2E"/>
        </w:rPr>
        <w:t xml:space="preserve"> during Plenary.” 23 September 2023. </w:t>
      </w:r>
      <w:r w:rsidRPr="00CD5808">
        <w:rPr>
          <w:color w:val="2E2E2E"/>
        </w:rPr>
        <w:t>https://www.vaticannews.va/en/vatican-city/news/2023-09/protection-minors-plenary-annual-report-audience-loudfence.html</w:t>
      </w:r>
      <w:r>
        <w:rPr>
          <w:color w:val="2E2E2E"/>
        </w:rPr>
        <w:t xml:space="preserve">. </w:t>
      </w:r>
    </w:p>
    <w:p w14:paraId="6F983AB2" w14:textId="77777777" w:rsidR="00343D0F" w:rsidRPr="00CE7B9D" w:rsidRDefault="00343D0F" w:rsidP="00343D0F">
      <w:pPr>
        <w:rPr>
          <w:lang w:eastAsia="en-US"/>
        </w:rPr>
      </w:pPr>
    </w:p>
    <w:p w14:paraId="3E10A564" w14:textId="77777777" w:rsidR="00343D0F" w:rsidRDefault="00343D0F" w:rsidP="00343D0F">
      <w:pPr>
        <w:rPr>
          <w:lang w:eastAsia="en-US"/>
        </w:rPr>
      </w:pPr>
      <w:r>
        <w:rPr>
          <w:lang w:eastAsia="en-US"/>
        </w:rPr>
        <w:t xml:space="preserve">Wills, Clair. </w:t>
      </w:r>
      <w:r w:rsidRPr="00E93610">
        <w:rPr>
          <w:i/>
          <w:iCs/>
          <w:lang w:eastAsia="en-US"/>
        </w:rPr>
        <w:t>Missing Persons, Or My Grandmother’s Secrets</w:t>
      </w:r>
      <w:r>
        <w:rPr>
          <w:lang w:eastAsia="en-US"/>
        </w:rPr>
        <w:t xml:space="preserve">. London: Allen Lane, 2024. </w:t>
      </w:r>
    </w:p>
    <w:p w14:paraId="1FA5C85E" w14:textId="77777777" w:rsidR="00343D0F" w:rsidRDefault="00343D0F" w:rsidP="00343D0F">
      <w:pPr>
        <w:rPr>
          <w:lang w:eastAsia="en-US"/>
        </w:rPr>
      </w:pPr>
    </w:p>
    <w:p w14:paraId="36048C3A" w14:textId="77777777" w:rsidR="00343D0F" w:rsidRDefault="00343D0F" w:rsidP="00343D0F">
      <w:pPr>
        <w:rPr>
          <w:lang w:eastAsia="en-US"/>
        </w:rPr>
      </w:pPr>
      <w:r w:rsidRPr="007F3DA7">
        <w:rPr>
          <w:lang w:eastAsia="en-US"/>
        </w:rPr>
        <w:t>Wilson, Jacqueline, Nell Musgrove, and David McGinniss. “Activism and Institutional Care: History, Heritage and Social Memory.” </w:t>
      </w:r>
      <w:r w:rsidRPr="007F3DA7">
        <w:rPr>
          <w:i/>
          <w:iCs/>
          <w:lang w:eastAsia="en-US"/>
        </w:rPr>
        <w:t>International Journal of Heritage Studies</w:t>
      </w:r>
      <w:r>
        <w:rPr>
          <w:lang w:eastAsia="en-US"/>
        </w:rPr>
        <w:t xml:space="preserve"> (2024)</w:t>
      </w:r>
      <w:r w:rsidRPr="007F3DA7">
        <w:rPr>
          <w:lang w:eastAsia="en-US"/>
        </w:rPr>
        <w:t>, 1–5. doi:10.1080/13527258.2024.2386703.</w:t>
      </w:r>
    </w:p>
    <w:p w14:paraId="67844AE2" w14:textId="77777777" w:rsidR="00343D0F" w:rsidRPr="00CE7B9D" w:rsidRDefault="00343D0F" w:rsidP="00343D0F">
      <w:pPr>
        <w:rPr>
          <w:lang w:eastAsia="en-US"/>
        </w:rPr>
      </w:pPr>
    </w:p>
    <w:p w14:paraId="5939BAAF" w14:textId="77777777" w:rsidR="00343D0F" w:rsidRDefault="00343D0F" w:rsidP="00343D0F">
      <w:pPr>
        <w:rPr>
          <w:lang w:eastAsia="en-US"/>
        </w:rPr>
      </w:pPr>
      <w:r w:rsidRPr="00CE7B9D">
        <w:rPr>
          <w:lang w:eastAsia="en-US"/>
        </w:rPr>
        <w:t>Wright, Kirsten, and Nicola Laurent. “Safety, Collaboration, and Empowerment: Trauma-Informed Archival Practice.” </w:t>
      </w:r>
      <w:proofErr w:type="spellStart"/>
      <w:r w:rsidRPr="00CE7B9D">
        <w:rPr>
          <w:i/>
          <w:iCs/>
          <w:lang w:eastAsia="en-US"/>
        </w:rPr>
        <w:t>Archivaria</w:t>
      </w:r>
      <w:proofErr w:type="spellEnd"/>
      <w:r w:rsidRPr="00CE7B9D">
        <w:rPr>
          <w:lang w:eastAsia="en-US"/>
        </w:rPr>
        <w:t> 91 (2021): 38-73.</w:t>
      </w:r>
      <w:r w:rsidRPr="00CE7B9D">
        <w:rPr>
          <w:shd w:val="clear" w:color="auto" w:fill="FFFFFF"/>
        </w:rPr>
        <w:t xml:space="preserve"> </w:t>
      </w:r>
      <w:r w:rsidRPr="00CE7B9D">
        <w:rPr>
          <w:lang w:eastAsia="en-US"/>
        </w:rPr>
        <w:t xml:space="preserve">https://archivaria.ca/index.php/archivaria/article/view/13787. </w:t>
      </w:r>
    </w:p>
    <w:p w14:paraId="16BBABB6" w14:textId="77777777" w:rsidR="00343D0F" w:rsidRDefault="00343D0F" w:rsidP="00343D0F">
      <w:pPr>
        <w:rPr>
          <w:lang w:eastAsia="en-US"/>
        </w:rPr>
      </w:pPr>
    </w:p>
    <w:p w14:paraId="38B71A51" w14:textId="77777777" w:rsidR="00343D0F" w:rsidRPr="00CE7B9D" w:rsidRDefault="00343D0F" w:rsidP="00343D0F">
      <w:pPr>
        <w:rPr>
          <w:lang w:eastAsia="en-US"/>
        </w:rPr>
      </w:pPr>
      <w:r w:rsidRPr="00B7048C">
        <w:rPr>
          <w:lang w:eastAsia="en-US"/>
        </w:rPr>
        <w:t xml:space="preserve">Yow, Valerie. </w:t>
      </w:r>
      <w:r>
        <w:rPr>
          <w:lang w:eastAsia="en-US"/>
        </w:rPr>
        <w:t>“‘</w:t>
      </w:r>
      <w:r w:rsidRPr="00B7048C">
        <w:rPr>
          <w:lang w:eastAsia="en-US"/>
        </w:rPr>
        <w:t xml:space="preserve">Do I </w:t>
      </w:r>
      <w:r>
        <w:rPr>
          <w:lang w:eastAsia="en-US"/>
        </w:rPr>
        <w:t>L</w:t>
      </w:r>
      <w:r w:rsidRPr="00B7048C">
        <w:rPr>
          <w:lang w:eastAsia="en-US"/>
        </w:rPr>
        <w:t xml:space="preserve">ike </w:t>
      </w:r>
      <w:r>
        <w:rPr>
          <w:lang w:eastAsia="en-US"/>
        </w:rPr>
        <w:t>T</w:t>
      </w:r>
      <w:r w:rsidRPr="00B7048C">
        <w:rPr>
          <w:lang w:eastAsia="en-US"/>
        </w:rPr>
        <w:t xml:space="preserve">hem </w:t>
      </w:r>
      <w:r>
        <w:rPr>
          <w:lang w:eastAsia="en-US"/>
        </w:rPr>
        <w:t>T</w:t>
      </w:r>
      <w:r w:rsidRPr="00B7048C">
        <w:rPr>
          <w:lang w:eastAsia="en-US"/>
        </w:rPr>
        <w:t xml:space="preserve">oo </w:t>
      </w:r>
      <w:r>
        <w:rPr>
          <w:lang w:eastAsia="en-US"/>
        </w:rPr>
        <w:t>M</w:t>
      </w:r>
      <w:r w:rsidRPr="00B7048C">
        <w:rPr>
          <w:lang w:eastAsia="en-US"/>
        </w:rPr>
        <w:t>uch?</w:t>
      </w:r>
      <w:r>
        <w:rPr>
          <w:lang w:eastAsia="en-US"/>
        </w:rPr>
        <w:t>’</w:t>
      </w:r>
      <w:r w:rsidRPr="00B7048C">
        <w:rPr>
          <w:lang w:eastAsia="en-US"/>
        </w:rPr>
        <w:t xml:space="preserve">: </w:t>
      </w:r>
      <w:r>
        <w:rPr>
          <w:lang w:eastAsia="en-US"/>
        </w:rPr>
        <w:t>E</w:t>
      </w:r>
      <w:r w:rsidRPr="00B7048C">
        <w:rPr>
          <w:lang w:eastAsia="en-US"/>
        </w:rPr>
        <w:t xml:space="preserve">ffects of the </w:t>
      </w:r>
      <w:r>
        <w:rPr>
          <w:lang w:eastAsia="en-US"/>
        </w:rPr>
        <w:t>O</w:t>
      </w:r>
      <w:r w:rsidRPr="00B7048C">
        <w:rPr>
          <w:lang w:eastAsia="en-US"/>
        </w:rPr>
        <w:t xml:space="preserve">ral </w:t>
      </w:r>
      <w:r>
        <w:rPr>
          <w:lang w:eastAsia="en-US"/>
        </w:rPr>
        <w:t>H</w:t>
      </w:r>
      <w:r w:rsidRPr="00B7048C">
        <w:rPr>
          <w:lang w:eastAsia="en-US"/>
        </w:rPr>
        <w:t xml:space="preserve">istory </w:t>
      </w:r>
      <w:r>
        <w:rPr>
          <w:lang w:eastAsia="en-US"/>
        </w:rPr>
        <w:t>I</w:t>
      </w:r>
      <w:r w:rsidRPr="00B7048C">
        <w:rPr>
          <w:lang w:eastAsia="en-US"/>
        </w:rPr>
        <w:t xml:space="preserve">nterview on the </w:t>
      </w:r>
      <w:r>
        <w:rPr>
          <w:lang w:eastAsia="en-US"/>
        </w:rPr>
        <w:t>I</w:t>
      </w:r>
      <w:r w:rsidRPr="00B7048C">
        <w:rPr>
          <w:lang w:eastAsia="en-US"/>
        </w:rPr>
        <w:t xml:space="preserve">nterviewer and </w:t>
      </w:r>
      <w:r>
        <w:rPr>
          <w:lang w:eastAsia="en-US"/>
        </w:rPr>
        <w:t>V</w:t>
      </w:r>
      <w:r w:rsidRPr="00B7048C">
        <w:rPr>
          <w:lang w:eastAsia="en-US"/>
        </w:rPr>
        <w:t>ice-</w:t>
      </w:r>
      <w:r>
        <w:rPr>
          <w:lang w:eastAsia="en-US"/>
        </w:rPr>
        <w:t>V</w:t>
      </w:r>
      <w:r w:rsidRPr="00B7048C">
        <w:rPr>
          <w:lang w:eastAsia="en-US"/>
        </w:rPr>
        <w:t>ersa." </w:t>
      </w:r>
      <w:r w:rsidRPr="00B7048C">
        <w:rPr>
          <w:i/>
          <w:iCs/>
          <w:lang w:eastAsia="en-US"/>
        </w:rPr>
        <w:t>The Oral History Review</w:t>
      </w:r>
      <w:r w:rsidRPr="00B7048C">
        <w:rPr>
          <w:lang w:eastAsia="en-US"/>
        </w:rPr>
        <w:t> 24, no. 1 (1997): 55-79.</w:t>
      </w:r>
      <w:r w:rsidRPr="0019038A">
        <w:t xml:space="preserve"> </w:t>
      </w:r>
      <w:r w:rsidRPr="0019038A">
        <w:rPr>
          <w:lang w:eastAsia="en-US"/>
        </w:rPr>
        <w:t>https://doi.org/10.1093/ohr/24.1.55</w:t>
      </w:r>
      <w:r>
        <w:rPr>
          <w:lang w:eastAsia="en-US"/>
        </w:rPr>
        <w:t>.</w:t>
      </w:r>
    </w:p>
    <w:p w14:paraId="27DBEB5D" w14:textId="670102B9" w:rsidR="00343D0F" w:rsidRDefault="00343D0F"/>
    <w:sectPr w:rsidR="00343D0F" w:rsidSect="00343D0F">
      <w:footerReference w:type="default" r:id="rId17"/>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77DE7" w14:textId="77777777" w:rsidR="008A7620" w:rsidRDefault="008A7620" w:rsidP="00343D0F">
      <w:r>
        <w:separator/>
      </w:r>
    </w:p>
  </w:endnote>
  <w:endnote w:type="continuationSeparator" w:id="0">
    <w:p w14:paraId="7D2D93EC" w14:textId="77777777" w:rsidR="008A7620" w:rsidRDefault="008A7620" w:rsidP="00343D0F">
      <w:r>
        <w:continuationSeparator/>
      </w:r>
    </w:p>
  </w:endnote>
  <w:endnote w:id="1">
    <w:p w14:paraId="256D5C93" w14:textId="77777777" w:rsidR="00343D0F" w:rsidRDefault="00343D0F" w:rsidP="00343D0F">
      <w:pPr>
        <w:pStyle w:val="EndnoteText"/>
      </w:pPr>
      <w:r w:rsidRPr="001000CE">
        <w:rPr>
          <w:rStyle w:val="EndnoteReference"/>
          <w:vertAlign w:val="baseline"/>
        </w:rPr>
        <w:endnoteRef/>
      </w:r>
      <w:r w:rsidRPr="001000CE">
        <w:t xml:space="preserve"> </w:t>
      </w:r>
      <w:r>
        <w:t xml:space="preserve">Reeves, “Synthesis,” 698; Herman, </w:t>
      </w:r>
      <w:r w:rsidRPr="0019088B">
        <w:rPr>
          <w:i/>
          <w:iCs/>
        </w:rPr>
        <w:t>Trauma and Recovery</w:t>
      </w:r>
      <w:r>
        <w:t xml:space="preserve">, 96-97. </w:t>
      </w:r>
    </w:p>
  </w:endnote>
  <w:endnote w:id="2">
    <w:p w14:paraId="6F8532A4" w14:textId="77777777" w:rsidR="00343D0F" w:rsidRDefault="00343D0F" w:rsidP="00343D0F">
      <w:pPr>
        <w:pStyle w:val="EndnoteText"/>
      </w:pPr>
      <w:r w:rsidRPr="0025440F">
        <w:rPr>
          <w:rStyle w:val="EndnoteReference"/>
          <w:vertAlign w:val="baseline"/>
        </w:rPr>
        <w:endnoteRef/>
      </w:r>
      <w:r>
        <w:t xml:space="preserve"> Faller, “Controversy,” 1; Allnock &amp; Miller, </w:t>
      </w:r>
      <w:r w:rsidRPr="009E6D2B">
        <w:rPr>
          <w:i/>
          <w:iCs/>
        </w:rPr>
        <w:t xml:space="preserve">No </w:t>
      </w:r>
      <w:r>
        <w:rPr>
          <w:i/>
          <w:iCs/>
        </w:rPr>
        <w:t>O</w:t>
      </w:r>
      <w:r w:rsidRPr="009E6D2B">
        <w:rPr>
          <w:i/>
          <w:iCs/>
        </w:rPr>
        <w:t xml:space="preserve">ne </w:t>
      </w:r>
      <w:r>
        <w:rPr>
          <w:i/>
          <w:iCs/>
        </w:rPr>
        <w:t>N</w:t>
      </w:r>
      <w:r w:rsidRPr="009E6D2B">
        <w:rPr>
          <w:i/>
          <w:iCs/>
        </w:rPr>
        <w:t>oticed</w:t>
      </w:r>
      <w:r>
        <w:t>.</w:t>
      </w:r>
    </w:p>
  </w:endnote>
  <w:endnote w:id="3">
    <w:p w14:paraId="63F4A31B" w14:textId="77777777" w:rsidR="00343D0F" w:rsidRDefault="00343D0F" w:rsidP="00343D0F">
      <w:pPr>
        <w:pStyle w:val="EndnoteText"/>
      </w:pPr>
      <w:r w:rsidRPr="00286927">
        <w:rPr>
          <w:rStyle w:val="EndnoteReference"/>
          <w:vertAlign w:val="baseline"/>
        </w:rPr>
        <w:endnoteRef/>
      </w:r>
      <w:r w:rsidRPr="00286927">
        <w:t xml:space="preserve"> </w:t>
      </w:r>
      <w:r>
        <w:t>Beecher and Hoyle, “Acting on Behalf,” 1-3.</w:t>
      </w:r>
    </w:p>
  </w:endnote>
  <w:endnote w:id="4">
    <w:p w14:paraId="3B222172" w14:textId="77777777" w:rsidR="00343D0F" w:rsidRDefault="00343D0F" w:rsidP="00343D0F">
      <w:pPr>
        <w:pStyle w:val="EndnoteText"/>
      </w:pPr>
      <w:r w:rsidRPr="00286927">
        <w:rPr>
          <w:rStyle w:val="EndnoteReference"/>
          <w:vertAlign w:val="baseline"/>
        </w:rPr>
        <w:endnoteRef/>
      </w:r>
      <w:r w:rsidRPr="00286927">
        <w:t xml:space="preserve"> </w:t>
      </w:r>
      <w:r>
        <w:t>Hoyle et al., “Recordkeeping,” 936.</w:t>
      </w:r>
    </w:p>
  </w:endnote>
  <w:endnote w:id="5">
    <w:p w14:paraId="2769D5B4" w14:textId="77777777" w:rsidR="00343D0F" w:rsidRDefault="00343D0F" w:rsidP="00343D0F">
      <w:pPr>
        <w:pStyle w:val="EndnoteText"/>
      </w:pPr>
      <w:r w:rsidRPr="00B51033">
        <w:rPr>
          <w:rStyle w:val="EndnoteReference"/>
          <w:vertAlign w:val="baseline"/>
        </w:rPr>
        <w:endnoteRef/>
      </w:r>
      <w:r>
        <w:t xml:space="preserve"> Faggioli and Harris, “Long Shadow.”</w:t>
      </w:r>
    </w:p>
  </w:endnote>
  <w:endnote w:id="6">
    <w:p w14:paraId="0BBB5DA5" w14:textId="5C2A7307" w:rsidR="00DF2911" w:rsidRDefault="00DF2911">
      <w:pPr>
        <w:pStyle w:val="EndnoteText"/>
      </w:pPr>
      <w:r w:rsidRPr="0028282C">
        <w:rPr>
          <w:rStyle w:val="EndnoteReference"/>
          <w:vertAlign w:val="baseline"/>
        </w:rPr>
        <w:endnoteRef/>
      </w:r>
      <w:r w:rsidRPr="001973CF">
        <w:t xml:space="preserve"> </w:t>
      </w:r>
      <w:r>
        <w:t>Office for Health Improvement and Disparities, “Guidance.”</w:t>
      </w:r>
    </w:p>
  </w:endnote>
  <w:endnote w:id="7">
    <w:p w14:paraId="26C84ABD" w14:textId="6CCAD3F2" w:rsidR="001A0A5E" w:rsidRDefault="001A0A5E">
      <w:pPr>
        <w:pStyle w:val="EndnoteText"/>
      </w:pPr>
      <w:r w:rsidRPr="0028282C">
        <w:rPr>
          <w:rStyle w:val="EndnoteReference"/>
          <w:vertAlign w:val="baseline"/>
        </w:rPr>
        <w:endnoteRef/>
      </w:r>
      <w:r w:rsidRPr="001973CF">
        <w:t xml:space="preserve"> </w:t>
      </w:r>
      <w:r w:rsidRPr="00C61217">
        <w:t>Wright</w:t>
      </w:r>
      <w:r>
        <w:t xml:space="preserve"> and </w:t>
      </w:r>
      <w:r w:rsidRPr="00C61217">
        <w:t>Laurent</w:t>
      </w:r>
      <w:r>
        <w:t>,</w:t>
      </w:r>
      <w:r w:rsidRPr="00C61217">
        <w:t xml:space="preserve"> </w:t>
      </w:r>
      <w:r>
        <w:t>“</w:t>
      </w:r>
      <w:r w:rsidRPr="00C61217">
        <w:t>Safety</w:t>
      </w:r>
      <w:r w:rsidR="00573B83">
        <w:t>.</w:t>
      </w:r>
      <w:r>
        <w:t>”</w:t>
      </w:r>
    </w:p>
  </w:endnote>
  <w:endnote w:id="8">
    <w:p w14:paraId="22381237" w14:textId="77777777" w:rsidR="00343D0F" w:rsidRDefault="00343D0F" w:rsidP="00343D0F">
      <w:pPr>
        <w:pStyle w:val="EndnoteText"/>
      </w:pPr>
      <w:r w:rsidRPr="00B13DA9">
        <w:rPr>
          <w:rStyle w:val="EndnoteReference"/>
          <w:vertAlign w:val="baseline"/>
        </w:rPr>
        <w:endnoteRef/>
      </w:r>
      <w:r>
        <w:t xml:space="preserve"> Chevous, Harris and Sobocki, “Solidarity Dance”; Harris, “Listening.” </w:t>
      </w:r>
    </w:p>
  </w:endnote>
  <w:endnote w:id="9">
    <w:p w14:paraId="5B1DCC7A" w14:textId="77777777" w:rsidR="00264212" w:rsidRDefault="00264212" w:rsidP="00264212">
      <w:pPr>
        <w:pStyle w:val="EndnoteText"/>
      </w:pPr>
      <w:r w:rsidRPr="0028282C">
        <w:rPr>
          <w:rStyle w:val="EndnoteReference"/>
          <w:vertAlign w:val="baseline"/>
        </w:rPr>
        <w:endnoteRef/>
      </w:r>
      <w:r w:rsidRPr="001973CF">
        <w:t xml:space="preserve"> </w:t>
      </w:r>
      <w:r>
        <w:t>Lawford-Smith and Tuckwell, “Ally,” 1.</w:t>
      </w:r>
    </w:p>
  </w:endnote>
  <w:endnote w:id="10">
    <w:p w14:paraId="5C1F87D1" w14:textId="77777777" w:rsidR="00343D0F" w:rsidRDefault="00343D0F" w:rsidP="00343D0F">
      <w:pPr>
        <w:pStyle w:val="EndnoteText"/>
      </w:pPr>
      <w:r w:rsidRPr="00E45181">
        <w:rPr>
          <w:rStyle w:val="EndnoteReference"/>
          <w:vertAlign w:val="baseline"/>
        </w:rPr>
        <w:endnoteRef/>
      </w:r>
      <w:r>
        <w:t xml:space="preserve"> </w:t>
      </w:r>
      <w:r w:rsidRPr="00C61217">
        <w:t>Wright</w:t>
      </w:r>
      <w:r>
        <w:t xml:space="preserve"> and </w:t>
      </w:r>
      <w:r w:rsidRPr="00C61217">
        <w:t>Laurent</w:t>
      </w:r>
      <w:r>
        <w:t>,</w:t>
      </w:r>
      <w:r w:rsidRPr="00C61217">
        <w:t xml:space="preserve"> </w:t>
      </w:r>
      <w:r>
        <w:t>“</w:t>
      </w:r>
      <w:r w:rsidRPr="00C61217">
        <w:t>Safety</w:t>
      </w:r>
      <w:r>
        <w:t xml:space="preserve">”; </w:t>
      </w:r>
      <w:r w:rsidRPr="00B25AD7">
        <w:t xml:space="preserve">Sexton, </w:t>
      </w:r>
      <w:r>
        <w:t>“</w:t>
      </w:r>
      <w:r w:rsidRPr="00B25AD7">
        <w:t xml:space="preserve">Introducing the </w:t>
      </w:r>
      <w:r>
        <w:t>L</w:t>
      </w:r>
      <w:r w:rsidRPr="00B25AD7">
        <w:t>egacies</w:t>
      </w:r>
      <w:r>
        <w:t>”; Payne, “Harm reduction.”</w:t>
      </w:r>
    </w:p>
  </w:endnote>
  <w:endnote w:id="11">
    <w:p w14:paraId="40AA53D6" w14:textId="77777777" w:rsidR="00343D0F" w:rsidRDefault="00343D0F" w:rsidP="00343D0F">
      <w:pPr>
        <w:pStyle w:val="EndnoteText"/>
      </w:pPr>
      <w:r w:rsidRPr="00446353">
        <w:rPr>
          <w:rStyle w:val="EndnoteReference"/>
          <w:vertAlign w:val="baseline"/>
        </w:rPr>
        <w:endnoteRef/>
      </w:r>
      <w:r>
        <w:t xml:space="preserve"> Allard et al., “High-Stakes Recordkeeping,” 53-54. </w:t>
      </w:r>
    </w:p>
  </w:endnote>
  <w:endnote w:id="12">
    <w:p w14:paraId="615F1CB2" w14:textId="77777777" w:rsidR="00343D0F" w:rsidRDefault="00343D0F" w:rsidP="00343D0F">
      <w:pPr>
        <w:pStyle w:val="EndnoteText"/>
      </w:pPr>
      <w:r w:rsidRPr="002523EB">
        <w:rPr>
          <w:rStyle w:val="EndnoteReference"/>
          <w:vertAlign w:val="baseline"/>
        </w:rPr>
        <w:endnoteRef/>
      </w:r>
      <w:r w:rsidRPr="002523EB">
        <w:t xml:space="preserve"> </w:t>
      </w:r>
      <w:r>
        <w:t xml:space="preserve">Wright &amp; Laurent, “Safety,” 40. </w:t>
      </w:r>
    </w:p>
  </w:endnote>
  <w:endnote w:id="13">
    <w:p w14:paraId="2F16A88B" w14:textId="15D228EB" w:rsidR="0064470F" w:rsidRDefault="0064470F">
      <w:pPr>
        <w:pStyle w:val="EndnoteText"/>
      </w:pPr>
      <w:r w:rsidRPr="0028282C">
        <w:rPr>
          <w:rStyle w:val="EndnoteReference"/>
          <w:vertAlign w:val="baseline"/>
        </w:rPr>
        <w:endnoteRef/>
      </w:r>
      <w:r w:rsidRPr="001973CF">
        <w:t xml:space="preserve"> </w:t>
      </w:r>
      <w:r w:rsidR="00263402">
        <w:t xml:space="preserve">E.g. </w:t>
      </w:r>
      <w:r w:rsidR="00800B5E">
        <w:t xml:space="preserve">Caswell, “Survivor-centred”; </w:t>
      </w:r>
      <w:r w:rsidR="00B9574E">
        <w:t>Hawkes</w:t>
      </w:r>
      <w:r w:rsidR="00B9574E" w:rsidRPr="0028282C">
        <w:rPr>
          <w:i/>
          <w:iCs/>
        </w:rPr>
        <w:t>, Archiving Loss</w:t>
      </w:r>
      <w:r w:rsidR="00263402">
        <w:t>; Luft, “Broken World.”</w:t>
      </w:r>
    </w:p>
  </w:endnote>
  <w:endnote w:id="14">
    <w:p w14:paraId="18DCBE58" w14:textId="77777777" w:rsidR="00343D0F" w:rsidRDefault="00343D0F" w:rsidP="00343D0F">
      <w:pPr>
        <w:pStyle w:val="EndnoteText"/>
      </w:pPr>
      <w:r w:rsidRPr="0001581D">
        <w:rPr>
          <w:rStyle w:val="EndnoteReference"/>
          <w:vertAlign w:val="baseline"/>
        </w:rPr>
        <w:endnoteRef/>
      </w:r>
      <w:r>
        <w:t xml:space="preserve"> </w:t>
      </w:r>
      <w:r w:rsidRPr="0001581D">
        <w:t>https://survivorsvoices.org/charter/</w:t>
      </w:r>
      <w:r>
        <w:t xml:space="preserve">; </w:t>
      </w:r>
      <w:r w:rsidRPr="0001581D">
        <w:t>https://survivorsvoices.org/involvement-ladder</w:t>
      </w:r>
      <w:r>
        <w:t xml:space="preserve">. </w:t>
      </w:r>
    </w:p>
  </w:endnote>
  <w:endnote w:id="15">
    <w:p w14:paraId="677EFC19" w14:textId="77777777" w:rsidR="00343D0F" w:rsidRDefault="00343D0F" w:rsidP="00343D0F">
      <w:pPr>
        <w:pStyle w:val="EndnoteText"/>
      </w:pPr>
      <w:r w:rsidRPr="00770288">
        <w:rPr>
          <w:rStyle w:val="EndnoteReference"/>
          <w:vertAlign w:val="baseline"/>
        </w:rPr>
        <w:endnoteRef/>
      </w:r>
      <w:r>
        <w:t xml:space="preserve"> Jackson, </w:t>
      </w:r>
      <w:r w:rsidRPr="00770288">
        <w:rPr>
          <w:i/>
          <w:iCs/>
        </w:rPr>
        <w:t>Child Sexual Abuse</w:t>
      </w:r>
      <w:r>
        <w:t>; Bingham, “British Press”; Delap, “Disclosures.”</w:t>
      </w:r>
    </w:p>
  </w:endnote>
  <w:endnote w:id="16">
    <w:p w14:paraId="0D9A4BE3" w14:textId="77777777" w:rsidR="00343D0F" w:rsidRDefault="00343D0F" w:rsidP="00343D0F">
      <w:pPr>
        <w:pStyle w:val="EndnoteText"/>
      </w:pPr>
      <w:r w:rsidRPr="005451EE">
        <w:rPr>
          <w:rStyle w:val="EndnoteReference"/>
          <w:vertAlign w:val="baseline"/>
        </w:rPr>
        <w:endnoteRef/>
      </w:r>
      <w:r>
        <w:t xml:space="preserve"> Beecher and Hoyle, “Acting on Behalf,” 4-5.  </w:t>
      </w:r>
    </w:p>
  </w:endnote>
  <w:endnote w:id="17">
    <w:p w14:paraId="735E0027" w14:textId="77777777" w:rsidR="00343D0F" w:rsidRDefault="00343D0F" w:rsidP="00343D0F">
      <w:pPr>
        <w:pStyle w:val="EndnoteText"/>
      </w:pPr>
      <w:r w:rsidRPr="00BD2B4B">
        <w:rPr>
          <w:rStyle w:val="EndnoteReference"/>
          <w:vertAlign w:val="baseline"/>
        </w:rPr>
        <w:endnoteRef/>
      </w:r>
      <w:r>
        <w:t xml:space="preserve"> Rothberg, </w:t>
      </w:r>
      <w:r w:rsidRPr="00BD2B4B">
        <w:rPr>
          <w:i/>
          <w:iCs/>
        </w:rPr>
        <w:t>Implicated Subject.</w:t>
      </w:r>
    </w:p>
  </w:endnote>
  <w:endnote w:id="18">
    <w:p w14:paraId="7838DD50" w14:textId="77777777" w:rsidR="00343D0F" w:rsidRDefault="00343D0F" w:rsidP="00343D0F">
      <w:pPr>
        <w:pStyle w:val="EndnoteText"/>
      </w:pPr>
      <w:r w:rsidRPr="009E2A72">
        <w:rPr>
          <w:rStyle w:val="EndnoteReference"/>
          <w:vertAlign w:val="baseline"/>
        </w:rPr>
        <w:endnoteRef/>
      </w:r>
      <w:r w:rsidRPr="009E2A72">
        <w:t xml:space="preserve"> </w:t>
      </w:r>
      <w:r>
        <w:t>Jay et al., ‘Report.’</w:t>
      </w:r>
    </w:p>
  </w:endnote>
  <w:endnote w:id="19">
    <w:p w14:paraId="388F3DB9" w14:textId="77777777" w:rsidR="00343D0F" w:rsidRDefault="00343D0F" w:rsidP="00343D0F">
      <w:pPr>
        <w:pStyle w:val="EndnoteText"/>
      </w:pPr>
      <w:r w:rsidRPr="00875F5A">
        <w:rPr>
          <w:rStyle w:val="EndnoteReference"/>
          <w:vertAlign w:val="baseline"/>
        </w:rPr>
        <w:endnoteRef/>
      </w:r>
      <w:r w:rsidRPr="00875F5A">
        <w:t xml:space="preserve"> </w:t>
      </w:r>
      <w:r>
        <w:t>Breathnach, “Shameful Chapter.”</w:t>
      </w:r>
    </w:p>
  </w:endnote>
  <w:endnote w:id="20">
    <w:p w14:paraId="6A3FBF31" w14:textId="77777777" w:rsidR="00343D0F" w:rsidRPr="00D659F0" w:rsidRDefault="00343D0F" w:rsidP="00343D0F">
      <w:pPr>
        <w:pStyle w:val="EndnoteText"/>
        <w:rPr>
          <w:color w:val="EE0000"/>
        </w:rPr>
      </w:pPr>
      <w:r w:rsidRPr="00A57388">
        <w:rPr>
          <w:rStyle w:val="EndnoteReference"/>
          <w:vertAlign w:val="baseline"/>
        </w:rPr>
        <w:endnoteRef/>
      </w:r>
      <w:r>
        <w:t xml:space="preserve"> Wilson, Musgrove and McGinniss, “Activism and Institutional Care.”</w:t>
      </w:r>
    </w:p>
  </w:endnote>
  <w:endnote w:id="21">
    <w:p w14:paraId="6CA2AC8D" w14:textId="3012A78A" w:rsidR="00331AE8" w:rsidRDefault="00331AE8">
      <w:pPr>
        <w:pStyle w:val="EndnoteText"/>
      </w:pPr>
      <w:r w:rsidRPr="0028282C">
        <w:rPr>
          <w:rStyle w:val="EndnoteReference"/>
          <w:vertAlign w:val="baseline"/>
        </w:rPr>
        <w:endnoteRef/>
      </w:r>
      <w:r w:rsidRPr="00331AE8">
        <w:t xml:space="preserve"> </w:t>
      </w:r>
      <w:r>
        <w:t>Chow, Douglas and Sheffield, “Archival Debt.”</w:t>
      </w:r>
    </w:p>
  </w:endnote>
  <w:endnote w:id="22">
    <w:p w14:paraId="2A96A49A" w14:textId="77777777" w:rsidR="00343D0F" w:rsidRDefault="00343D0F" w:rsidP="00343D0F">
      <w:pPr>
        <w:pStyle w:val="EndnoteText"/>
      </w:pPr>
      <w:r w:rsidRPr="00ED0174">
        <w:rPr>
          <w:rStyle w:val="EndnoteReference"/>
          <w:vertAlign w:val="baseline"/>
        </w:rPr>
        <w:endnoteRef/>
      </w:r>
      <w:r w:rsidRPr="00ED0174">
        <w:t xml:space="preserve"> </w:t>
      </w:r>
      <w:r>
        <w:t xml:space="preserve">Cuellar et al., “Archival Debt,” 1-2. </w:t>
      </w:r>
    </w:p>
  </w:endnote>
  <w:endnote w:id="23">
    <w:p w14:paraId="70356DB3" w14:textId="77777777" w:rsidR="00343D0F" w:rsidRDefault="00343D0F" w:rsidP="00343D0F">
      <w:pPr>
        <w:pStyle w:val="EndnoteText"/>
      </w:pPr>
      <w:r w:rsidRPr="00D81700">
        <w:rPr>
          <w:rStyle w:val="EndnoteReference"/>
          <w:vertAlign w:val="baseline"/>
        </w:rPr>
        <w:endnoteRef/>
      </w:r>
      <w:r>
        <w:t xml:space="preserve"> Jay et al., </w:t>
      </w:r>
      <w:r w:rsidRPr="00D81700">
        <w:rPr>
          <w:i/>
          <w:iCs/>
        </w:rPr>
        <w:t>Report</w:t>
      </w:r>
      <w:r>
        <w:t>.</w:t>
      </w:r>
    </w:p>
  </w:endnote>
  <w:endnote w:id="24">
    <w:p w14:paraId="4CBE705A" w14:textId="77777777" w:rsidR="00343D0F" w:rsidRDefault="00343D0F" w:rsidP="00343D0F">
      <w:pPr>
        <w:pStyle w:val="EndnoteText"/>
      </w:pPr>
      <w:r w:rsidRPr="001B6C66">
        <w:rPr>
          <w:rStyle w:val="EndnoteReference"/>
          <w:vertAlign w:val="baseline"/>
        </w:rPr>
        <w:endnoteRef/>
      </w:r>
      <w:r w:rsidRPr="001B6C66">
        <w:t xml:space="preserve"> </w:t>
      </w:r>
      <w:r>
        <w:t xml:space="preserve">Office of National Statistics, </w:t>
      </w:r>
      <w:r w:rsidRPr="001B6C66">
        <w:rPr>
          <w:i/>
          <w:iCs/>
        </w:rPr>
        <w:t>Child Sexual Abuse</w:t>
      </w:r>
      <w:r>
        <w:t>.</w:t>
      </w:r>
    </w:p>
  </w:endnote>
  <w:endnote w:id="25">
    <w:p w14:paraId="40E8FE25" w14:textId="77777777" w:rsidR="00343D0F" w:rsidRDefault="00343D0F" w:rsidP="00343D0F">
      <w:pPr>
        <w:pStyle w:val="EndnoteText"/>
      </w:pPr>
      <w:r w:rsidRPr="002E5C3A">
        <w:rPr>
          <w:rStyle w:val="EndnoteReference"/>
          <w:vertAlign w:val="baseline"/>
        </w:rPr>
        <w:endnoteRef/>
      </w:r>
      <w:r w:rsidRPr="002E5C3A">
        <w:t xml:space="preserve"> </w:t>
      </w:r>
      <w:r>
        <w:t>Allnock et al., “Learning.”</w:t>
      </w:r>
    </w:p>
  </w:endnote>
  <w:endnote w:id="26">
    <w:p w14:paraId="456A95ED" w14:textId="77777777" w:rsidR="00343D0F" w:rsidRPr="00197CE6" w:rsidRDefault="00343D0F" w:rsidP="00343D0F">
      <w:pPr>
        <w:pStyle w:val="EndnoteText"/>
        <w:rPr>
          <w:rFonts w:ascii="Arial" w:hAnsi="Arial" w:cs="Arial"/>
        </w:rPr>
      </w:pPr>
      <w:r w:rsidRPr="00530E61">
        <w:rPr>
          <w:rStyle w:val="EndnoteReference"/>
          <w:vertAlign w:val="baseline"/>
        </w:rPr>
        <w:endnoteRef/>
      </w:r>
      <w:r>
        <w:t xml:space="preserve"> Clites, “Priests,” 2.</w:t>
      </w:r>
    </w:p>
  </w:endnote>
  <w:endnote w:id="27">
    <w:p w14:paraId="5132CCDF" w14:textId="36398778" w:rsidR="00D4494C" w:rsidRPr="00D4494C" w:rsidRDefault="00D4494C">
      <w:pPr>
        <w:pStyle w:val="EndnoteText"/>
      </w:pPr>
      <w:r w:rsidRPr="0028282C">
        <w:rPr>
          <w:rStyle w:val="EndnoteReference"/>
          <w:vertAlign w:val="baseline"/>
        </w:rPr>
        <w:endnoteRef/>
      </w:r>
      <w:r w:rsidRPr="00D4494C">
        <w:t xml:space="preserve"> </w:t>
      </w:r>
      <w:r w:rsidR="009F6D27">
        <w:t>Punat</w:t>
      </w:r>
      <w:r w:rsidR="0058384A">
        <w:t>h</w:t>
      </w:r>
      <w:r w:rsidR="009F6D27">
        <w:t xml:space="preserve">il, “Archival Ethnography,” </w:t>
      </w:r>
      <w:r w:rsidR="005714CF">
        <w:t>321.</w:t>
      </w:r>
    </w:p>
  </w:endnote>
  <w:endnote w:id="28">
    <w:p w14:paraId="25067FB0" w14:textId="77777777" w:rsidR="00343D0F" w:rsidRDefault="00343D0F" w:rsidP="00343D0F">
      <w:pPr>
        <w:pStyle w:val="EndnoteText"/>
      </w:pPr>
      <w:r w:rsidRPr="00311069">
        <w:rPr>
          <w:rStyle w:val="EndnoteReference"/>
          <w:vertAlign w:val="baseline"/>
        </w:rPr>
        <w:endnoteRef/>
      </w:r>
      <w:r>
        <w:t xml:space="preserve"> Interview with RSJ Family.</w:t>
      </w:r>
    </w:p>
  </w:endnote>
  <w:endnote w:id="29">
    <w:p w14:paraId="055D4D92" w14:textId="77777777" w:rsidR="00343D0F" w:rsidRDefault="00343D0F" w:rsidP="00343D0F">
      <w:pPr>
        <w:pStyle w:val="EndnoteText"/>
      </w:pPr>
      <w:r w:rsidRPr="00311069">
        <w:rPr>
          <w:rStyle w:val="EndnoteReference"/>
          <w:vertAlign w:val="baseline"/>
        </w:rPr>
        <w:endnoteRef/>
      </w:r>
      <w:r>
        <w:t xml:space="preserve"> Ibid. </w:t>
      </w:r>
    </w:p>
  </w:endnote>
  <w:endnote w:id="30">
    <w:p w14:paraId="67758A37" w14:textId="77777777" w:rsidR="00343D0F" w:rsidRPr="009A251F" w:rsidRDefault="00343D0F" w:rsidP="00343D0F">
      <w:pPr>
        <w:pStyle w:val="EndnoteText"/>
      </w:pPr>
      <w:r w:rsidRPr="00985CF9">
        <w:rPr>
          <w:rStyle w:val="EndnoteReference"/>
          <w:vertAlign w:val="baseline"/>
        </w:rPr>
        <w:endnoteRef/>
      </w:r>
      <w:r>
        <w:t xml:space="preserve"> McPhillips, “Soul Murder.”</w:t>
      </w:r>
    </w:p>
  </w:endnote>
  <w:endnote w:id="31">
    <w:p w14:paraId="23445851" w14:textId="77777777" w:rsidR="00343D0F" w:rsidRDefault="00343D0F" w:rsidP="00343D0F">
      <w:pPr>
        <w:pStyle w:val="EndnoteText"/>
      </w:pPr>
      <w:r w:rsidRPr="00985CF9">
        <w:rPr>
          <w:rStyle w:val="EndnoteReference"/>
          <w:vertAlign w:val="baseline"/>
        </w:rPr>
        <w:endnoteRef/>
      </w:r>
      <w:r w:rsidRPr="00985CF9">
        <w:t xml:space="preserve"> </w:t>
      </w:r>
      <w:r>
        <w:t>Interview with Mauz Hatcher.</w:t>
      </w:r>
    </w:p>
  </w:endnote>
  <w:endnote w:id="32">
    <w:p w14:paraId="0FFCEA54" w14:textId="77777777" w:rsidR="00343D0F" w:rsidRPr="009A251F" w:rsidRDefault="00343D0F" w:rsidP="00343D0F">
      <w:pPr>
        <w:pStyle w:val="EndnoteText"/>
      </w:pPr>
      <w:r w:rsidRPr="00985CF9">
        <w:rPr>
          <w:rStyle w:val="EndnoteReference"/>
          <w:vertAlign w:val="baseline"/>
        </w:rPr>
        <w:endnoteRef/>
      </w:r>
      <w:r>
        <w:t xml:space="preserve"> McDonald, “The Work of Acknowledgement.”</w:t>
      </w:r>
    </w:p>
  </w:endnote>
  <w:endnote w:id="33">
    <w:p w14:paraId="74B65641" w14:textId="77777777" w:rsidR="00343D0F" w:rsidRDefault="00343D0F" w:rsidP="00343D0F">
      <w:pPr>
        <w:pStyle w:val="EndnoteText"/>
      </w:pPr>
      <w:r w:rsidRPr="00C36E90">
        <w:rPr>
          <w:rStyle w:val="EndnoteReference"/>
          <w:vertAlign w:val="baseline"/>
        </w:rPr>
        <w:endnoteRef/>
      </w:r>
      <w:r w:rsidRPr="00C36E90">
        <w:t xml:space="preserve"> </w:t>
      </w:r>
      <w:r>
        <w:t xml:space="preserve">Chevous, </w:t>
      </w:r>
      <w:r w:rsidRPr="00763AAC">
        <w:t>Harris</w:t>
      </w:r>
      <w:r>
        <w:t xml:space="preserve"> and Sobocki, “Solidarity Dance.”</w:t>
      </w:r>
    </w:p>
  </w:endnote>
  <w:endnote w:id="34">
    <w:p w14:paraId="1217EF3B" w14:textId="77777777" w:rsidR="00343D0F" w:rsidRDefault="00343D0F" w:rsidP="00343D0F">
      <w:pPr>
        <w:pStyle w:val="EndnoteText"/>
      </w:pPr>
      <w:r w:rsidRPr="00301A0D">
        <w:rPr>
          <w:rStyle w:val="EndnoteReference"/>
          <w:vertAlign w:val="baseline"/>
        </w:rPr>
        <w:endnoteRef/>
      </w:r>
      <w:r w:rsidRPr="00301A0D">
        <w:t xml:space="preserve"> Vatican News, “Protection of Minors.”</w:t>
      </w:r>
    </w:p>
  </w:endnote>
  <w:endnote w:id="35">
    <w:p w14:paraId="3B416866" w14:textId="1BFCE517" w:rsidR="00343D0F" w:rsidRPr="00B666CD" w:rsidRDefault="00343D0F" w:rsidP="00343D0F">
      <w:pPr>
        <w:pStyle w:val="EndnoteText"/>
      </w:pPr>
      <w:r w:rsidRPr="00B666CD">
        <w:rPr>
          <w:rStyle w:val="EndnoteReference"/>
          <w:vertAlign w:val="baseline"/>
        </w:rPr>
        <w:endnoteRef/>
      </w:r>
      <w:r>
        <w:t xml:space="preserve"> </w:t>
      </w:r>
      <w:r w:rsidR="00926FA8">
        <w:t>Caswell, “Survivor-centred</w:t>
      </w:r>
      <w:r w:rsidR="008D1C9F">
        <w:t xml:space="preserve">”; </w:t>
      </w:r>
      <w:r w:rsidRPr="00B666CD">
        <w:rPr>
          <w:color w:val="333333"/>
          <w:shd w:val="clear" w:color="auto" w:fill="FFFFFF"/>
        </w:rPr>
        <w:t>Harris, “Listening.”</w:t>
      </w:r>
    </w:p>
  </w:endnote>
  <w:endnote w:id="36">
    <w:p w14:paraId="574EF336" w14:textId="77777777" w:rsidR="00343D0F" w:rsidRDefault="00343D0F" w:rsidP="00343D0F">
      <w:pPr>
        <w:pStyle w:val="EndnoteText"/>
      </w:pPr>
      <w:r w:rsidRPr="00D22F11">
        <w:rPr>
          <w:rStyle w:val="EndnoteReference"/>
          <w:vertAlign w:val="baseline"/>
        </w:rPr>
        <w:endnoteRef/>
      </w:r>
      <w:r w:rsidRPr="00D22F11">
        <w:t xml:space="preserve"> </w:t>
      </w:r>
      <w:r>
        <w:t>Robinson-Sweet, “Truth and Reconciliation.”</w:t>
      </w:r>
    </w:p>
  </w:endnote>
  <w:endnote w:id="37">
    <w:p w14:paraId="7E055943" w14:textId="77777777" w:rsidR="00FD4E58" w:rsidRDefault="00FD4E58" w:rsidP="00FD4E58">
      <w:pPr>
        <w:pStyle w:val="EndnoteText"/>
      </w:pPr>
      <w:r w:rsidRPr="00304BAB">
        <w:rPr>
          <w:rStyle w:val="EndnoteReference"/>
          <w:vertAlign w:val="baseline"/>
        </w:rPr>
        <w:endnoteRef/>
      </w:r>
      <w:r>
        <w:t xml:space="preserve"> </w:t>
      </w:r>
      <w:r w:rsidRPr="00304BAB">
        <w:t xml:space="preserve">Abrams, </w:t>
      </w:r>
      <w:r w:rsidRPr="00B83201">
        <w:rPr>
          <w:i/>
          <w:iCs/>
        </w:rPr>
        <w:t>Oral History Theory</w:t>
      </w:r>
      <w:r w:rsidRPr="00304BAB">
        <w:t>,</w:t>
      </w:r>
      <w:r>
        <w:t xml:space="preserve"> 58.</w:t>
      </w:r>
    </w:p>
  </w:endnote>
  <w:endnote w:id="38">
    <w:p w14:paraId="3098F58A" w14:textId="77777777" w:rsidR="00343D0F" w:rsidRDefault="00343D0F" w:rsidP="00343D0F">
      <w:pPr>
        <w:pStyle w:val="EndnoteText"/>
      </w:pPr>
      <w:r w:rsidRPr="00E139A5">
        <w:rPr>
          <w:rStyle w:val="EndnoteReference"/>
          <w:vertAlign w:val="baseline"/>
        </w:rPr>
        <w:endnoteRef/>
      </w:r>
      <w:r w:rsidRPr="00E139A5">
        <w:t xml:space="preserve"> Rickard, “More dangerous than therapy”</w:t>
      </w:r>
      <w:r>
        <w:t xml:space="preserve">; </w:t>
      </w:r>
      <w:r w:rsidRPr="00E139A5">
        <w:t>Hamilton,</w:t>
      </w:r>
      <w:r>
        <w:t xml:space="preserve"> </w:t>
      </w:r>
      <w:r w:rsidRPr="00E139A5">
        <w:t>“Good</w:t>
      </w:r>
      <w:r>
        <w:t xml:space="preserve"> </w:t>
      </w:r>
      <w:r w:rsidRPr="00E139A5">
        <w:t>Interviewer</w:t>
      </w:r>
      <w:r>
        <w:t>.”</w:t>
      </w:r>
      <w:r w:rsidRPr="00E139A5">
        <w:t xml:space="preserve"> </w:t>
      </w:r>
    </w:p>
  </w:endnote>
  <w:endnote w:id="39">
    <w:p w14:paraId="77108094" w14:textId="77777777" w:rsidR="00343D0F" w:rsidRDefault="00343D0F" w:rsidP="00343D0F">
      <w:pPr>
        <w:pStyle w:val="EndnoteText"/>
      </w:pPr>
      <w:r w:rsidRPr="006614C1">
        <w:rPr>
          <w:rStyle w:val="EndnoteReference"/>
          <w:vertAlign w:val="baseline"/>
        </w:rPr>
        <w:endnoteRef/>
      </w:r>
      <w:r w:rsidRPr="006614C1">
        <w:t xml:space="preserve"> </w:t>
      </w:r>
      <w:r>
        <w:t>Interview with RSJ Family.</w:t>
      </w:r>
    </w:p>
  </w:endnote>
  <w:endnote w:id="40">
    <w:p w14:paraId="4F21989D" w14:textId="77777777" w:rsidR="00343D0F" w:rsidRDefault="00343D0F" w:rsidP="00343D0F">
      <w:pPr>
        <w:pStyle w:val="EndnoteText"/>
      </w:pPr>
      <w:r w:rsidRPr="007D15B9">
        <w:rPr>
          <w:rStyle w:val="EndnoteReference"/>
          <w:vertAlign w:val="baseline"/>
        </w:rPr>
        <w:endnoteRef/>
      </w:r>
      <w:r>
        <w:t xml:space="preserve"> </w:t>
      </w:r>
      <w:r w:rsidRPr="00A66BD5">
        <w:t>Chakarabarty, </w:t>
      </w:r>
      <w:r w:rsidRPr="00A66BD5">
        <w:rPr>
          <w:i/>
          <w:iCs/>
        </w:rPr>
        <w:t>Provincializing Europe</w:t>
      </w:r>
      <w:r>
        <w:rPr>
          <w:i/>
          <w:iCs/>
        </w:rPr>
        <w:t xml:space="preserve">, </w:t>
      </w:r>
      <w:r w:rsidRPr="00A66BD5">
        <w:t>97, 99, 106–107</w:t>
      </w:r>
      <w:r>
        <w:t>.</w:t>
      </w:r>
    </w:p>
  </w:endnote>
  <w:endnote w:id="41">
    <w:p w14:paraId="56E899C6" w14:textId="77777777" w:rsidR="00343D0F" w:rsidRDefault="00343D0F" w:rsidP="00343D0F">
      <w:pPr>
        <w:pStyle w:val="EndnoteText"/>
      </w:pPr>
      <w:r w:rsidRPr="00DC59A0">
        <w:rPr>
          <w:rStyle w:val="EndnoteReference"/>
          <w:vertAlign w:val="baseline"/>
        </w:rPr>
        <w:endnoteRef/>
      </w:r>
      <w:r w:rsidRPr="00DC59A0">
        <w:t xml:space="preserve"> </w:t>
      </w:r>
      <w:r>
        <w:t xml:space="preserve">For an exploration of alternatives, see Wills, </w:t>
      </w:r>
      <w:r>
        <w:rPr>
          <w:i/>
          <w:iCs/>
        </w:rPr>
        <w:t>Missing Persons</w:t>
      </w:r>
      <w:r>
        <w:t>.</w:t>
      </w:r>
    </w:p>
  </w:endnote>
  <w:endnote w:id="42">
    <w:p w14:paraId="3460197F" w14:textId="77777777" w:rsidR="00343D0F" w:rsidRDefault="00343D0F" w:rsidP="00343D0F">
      <w:pPr>
        <w:pStyle w:val="EndnoteText"/>
      </w:pPr>
      <w:r w:rsidRPr="00E93610">
        <w:rPr>
          <w:rStyle w:val="EndnoteReference"/>
          <w:vertAlign w:val="baseline"/>
        </w:rPr>
        <w:endnoteRef/>
      </w:r>
      <w:r>
        <w:t xml:space="preserve"> Caswell, “Symbolic Annihilation,” 27-28. </w:t>
      </w:r>
    </w:p>
  </w:endnote>
  <w:endnote w:id="43">
    <w:p w14:paraId="65BEEB6F" w14:textId="77777777" w:rsidR="00343D0F" w:rsidRPr="00773B80" w:rsidRDefault="00343D0F" w:rsidP="00343D0F">
      <w:pPr>
        <w:pStyle w:val="EndnoteText"/>
        <w:rPr>
          <w:i/>
          <w:iCs/>
        </w:rPr>
      </w:pPr>
      <w:r w:rsidRPr="00773B80">
        <w:rPr>
          <w:rStyle w:val="EndnoteReference"/>
          <w:vertAlign w:val="baseline"/>
        </w:rPr>
        <w:endnoteRef/>
      </w:r>
      <w:r w:rsidRPr="00773B80">
        <w:rPr>
          <w:rStyle w:val="EndnoteReference"/>
          <w:vertAlign w:val="baseline"/>
        </w:rPr>
        <w:t xml:space="preserve"> </w:t>
      </w:r>
      <w:r w:rsidRPr="00773B80">
        <w:t xml:space="preserve">Herman, </w:t>
      </w:r>
      <w:r w:rsidRPr="00773B80">
        <w:rPr>
          <w:i/>
          <w:iCs/>
        </w:rPr>
        <w:t>Trauma and Recovery</w:t>
      </w:r>
      <w:r w:rsidRPr="00773B80">
        <w:t xml:space="preserve">, 40; Summerfield, “Dis/composing the Subject”; Gluck and Patai, </w:t>
      </w:r>
      <w:r w:rsidRPr="00773B80">
        <w:rPr>
          <w:i/>
          <w:iCs/>
        </w:rPr>
        <w:t>Women’s</w:t>
      </w:r>
    </w:p>
    <w:p w14:paraId="685AFA68" w14:textId="77777777" w:rsidR="00343D0F" w:rsidRPr="00773B80" w:rsidRDefault="00343D0F" w:rsidP="00343D0F">
      <w:pPr>
        <w:pStyle w:val="EndnoteText"/>
        <w:rPr>
          <w:i/>
          <w:iCs/>
        </w:rPr>
      </w:pPr>
      <w:r w:rsidRPr="00773B80">
        <w:rPr>
          <w:i/>
          <w:iCs/>
        </w:rPr>
        <w:t>Words.</w:t>
      </w:r>
    </w:p>
  </w:endnote>
  <w:endnote w:id="44">
    <w:p w14:paraId="05455601" w14:textId="77777777" w:rsidR="00343D0F" w:rsidRDefault="00343D0F" w:rsidP="00343D0F">
      <w:pPr>
        <w:pStyle w:val="EndnoteText"/>
      </w:pPr>
      <w:r w:rsidRPr="00B157D5">
        <w:rPr>
          <w:rStyle w:val="EndnoteReference"/>
          <w:vertAlign w:val="baseline"/>
        </w:rPr>
        <w:endnoteRef/>
      </w:r>
      <w:r>
        <w:t xml:space="preserve"> </w:t>
      </w:r>
      <w:r w:rsidRPr="00B157D5">
        <w:t>Tooth Murphy, “Listening In, Listening Out,” 37.</w:t>
      </w:r>
    </w:p>
  </w:endnote>
  <w:endnote w:id="45">
    <w:p w14:paraId="50011F42" w14:textId="77777777" w:rsidR="00343D0F" w:rsidRDefault="00343D0F" w:rsidP="00343D0F">
      <w:pPr>
        <w:pStyle w:val="EndnoteText"/>
      </w:pPr>
      <w:r w:rsidRPr="008A4BFB">
        <w:rPr>
          <w:rStyle w:val="EndnoteReference"/>
          <w:vertAlign w:val="baseline"/>
        </w:rPr>
        <w:endnoteRef/>
      </w:r>
      <w:r w:rsidRPr="008A4BFB">
        <w:t xml:space="preserve"> </w:t>
      </w:r>
      <w:r>
        <w:t>Oakley “Interviewing Women.”</w:t>
      </w:r>
    </w:p>
  </w:endnote>
  <w:endnote w:id="46">
    <w:p w14:paraId="5618F7F9" w14:textId="77777777" w:rsidR="00343D0F" w:rsidRPr="007644DD" w:rsidRDefault="00343D0F" w:rsidP="00343D0F">
      <w:pPr>
        <w:pStyle w:val="EndnoteText"/>
      </w:pPr>
      <w:r w:rsidRPr="00B44980">
        <w:rPr>
          <w:rStyle w:val="EndnoteReference"/>
          <w:vertAlign w:val="baseline"/>
        </w:rPr>
        <w:endnoteRef/>
      </w:r>
      <w:r w:rsidRPr="00B44980">
        <w:t xml:space="preserve"> Chatterton, Hodkinson and Pickerill, “Beyond Scholar Activism.”</w:t>
      </w:r>
    </w:p>
  </w:endnote>
  <w:endnote w:id="47">
    <w:p w14:paraId="16EDF2DC" w14:textId="77777777" w:rsidR="00343D0F" w:rsidRDefault="00343D0F" w:rsidP="00343D0F">
      <w:pPr>
        <w:pStyle w:val="EndnoteText"/>
      </w:pPr>
      <w:r w:rsidRPr="00A36E7F">
        <w:rPr>
          <w:rStyle w:val="EndnoteReference"/>
          <w:vertAlign w:val="baseline"/>
        </w:rPr>
        <w:endnoteRef/>
      </w:r>
      <w:r w:rsidRPr="00A36E7F">
        <w:t xml:space="preserve"> </w:t>
      </w:r>
      <w:r>
        <w:t xml:space="preserve">See </w:t>
      </w:r>
      <w:r w:rsidRPr="00A36E7F">
        <w:t>Fox, ‘Archival Intimacies</w:t>
      </w:r>
      <w:r>
        <w:t>.”</w:t>
      </w:r>
    </w:p>
  </w:endnote>
  <w:endnote w:id="48">
    <w:p w14:paraId="6464B871" w14:textId="4A67384E" w:rsidR="005445F8" w:rsidRDefault="005445F8">
      <w:pPr>
        <w:pStyle w:val="EndnoteText"/>
      </w:pPr>
      <w:r w:rsidRPr="0028282C">
        <w:rPr>
          <w:rStyle w:val="EndnoteReference"/>
          <w:vertAlign w:val="baseline"/>
        </w:rPr>
        <w:endnoteRef/>
      </w:r>
      <w:r w:rsidRPr="00651D01">
        <w:t xml:space="preserve"> </w:t>
      </w:r>
      <w:r w:rsidR="000F03E8">
        <w:t xml:space="preserve">Evans et al., “Archival </w:t>
      </w:r>
      <w:r w:rsidR="00651D01">
        <w:t>Autonomy”</w:t>
      </w:r>
      <w:r w:rsidR="00E35808">
        <w:t>; McCracken and Hogan, “Residential school.”</w:t>
      </w:r>
    </w:p>
  </w:endnote>
  <w:endnote w:id="49">
    <w:p w14:paraId="418AAEE0" w14:textId="77777777" w:rsidR="00343D0F" w:rsidRDefault="00343D0F" w:rsidP="00343D0F">
      <w:pPr>
        <w:pStyle w:val="EndnoteText"/>
      </w:pPr>
      <w:r w:rsidRPr="00DB4682">
        <w:rPr>
          <w:rStyle w:val="EndnoteReference"/>
          <w:vertAlign w:val="baseline"/>
        </w:rPr>
        <w:endnoteRef/>
      </w:r>
      <w:r>
        <w:t xml:space="preserve"> Action Against CSA Newsletter, 1</w:t>
      </w:r>
    </w:p>
  </w:endnote>
  <w:endnote w:id="50">
    <w:p w14:paraId="00638FC3" w14:textId="77777777" w:rsidR="00343D0F" w:rsidRDefault="00343D0F" w:rsidP="00343D0F">
      <w:pPr>
        <w:pStyle w:val="EndnoteText"/>
      </w:pPr>
      <w:r w:rsidRPr="00316F54">
        <w:rPr>
          <w:rStyle w:val="EndnoteReference"/>
          <w:vertAlign w:val="baseline"/>
        </w:rPr>
        <w:endnoteRef/>
      </w:r>
      <w:r w:rsidRPr="00316F54">
        <w:t xml:space="preserve"> </w:t>
      </w:r>
      <w:r>
        <w:t xml:space="preserve">RSJ Archive, Autobiographical note fragment, 9 Jan 2000, Box 1. </w:t>
      </w:r>
    </w:p>
  </w:endnote>
  <w:endnote w:id="51">
    <w:p w14:paraId="068ECACA" w14:textId="77777777" w:rsidR="00343D0F" w:rsidRDefault="00343D0F" w:rsidP="00343D0F">
      <w:pPr>
        <w:pStyle w:val="EndnoteText"/>
      </w:pPr>
      <w:r w:rsidRPr="00316F54">
        <w:rPr>
          <w:rStyle w:val="EndnoteReference"/>
          <w:vertAlign w:val="baseline"/>
        </w:rPr>
        <w:endnoteRef/>
      </w:r>
      <w:r w:rsidRPr="00316F54">
        <w:t xml:space="preserve"> </w:t>
      </w:r>
      <w:r>
        <w:t xml:space="preserve">Ibid. </w:t>
      </w:r>
    </w:p>
  </w:endnote>
  <w:endnote w:id="52">
    <w:p w14:paraId="2F065B89" w14:textId="77777777" w:rsidR="00343D0F" w:rsidRDefault="00343D0F" w:rsidP="00343D0F">
      <w:pPr>
        <w:pStyle w:val="EndnoteText"/>
      </w:pPr>
      <w:r w:rsidRPr="00316F54">
        <w:rPr>
          <w:rStyle w:val="EndnoteReference"/>
          <w:vertAlign w:val="baseline"/>
        </w:rPr>
        <w:endnoteRef/>
      </w:r>
      <w:r>
        <w:t xml:space="preserve"> Interview with RSJ Family.</w:t>
      </w:r>
    </w:p>
  </w:endnote>
  <w:endnote w:id="53">
    <w:p w14:paraId="21F268CE" w14:textId="77777777" w:rsidR="00343D0F" w:rsidRDefault="00343D0F" w:rsidP="00343D0F">
      <w:pPr>
        <w:pStyle w:val="EndnoteText"/>
      </w:pPr>
      <w:r w:rsidRPr="00316F54">
        <w:rPr>
          <w:rStyle w:val="EndnoteReference"/>
          <w:vertAlign w:val="baseline"/>
        </w:rPr>
        <w:endnoteRef/>
      </w:r>
      <w:r w:rsidRPr="00316F54">
        <w:t xml:space="preserve"> </w:t>
      </w:r>
      <w:r>
        <w:t xml:space="preserve">Ibid. </w:t>
      </w:r>
    </w:p>
  </w:endnote>
  <w:endnote w:id="54">
    <w:p w14:paraId="6BAB65D0" w14:textId="77777777" w:rsidR="00343D0F" w:rsidRDefault="00343D0F" w:rsidP="00343D0F">
      <w:pPr>
        <w:pStyle w:val="EndnoteText"/>
      </w:pPr>
      <w:r w:rsidRPr="004715AB">
        <w:rPr>
          <w:rStyle w:val="EndnoteReference"/>
          <w:vertAlign w:val="baseline"/>
        </w:rPr>
        <w:endnoteRef/>
      </w:r>
      <w:r w:rsidRPr="004715AB">
        <w:t xml:space="preserve"> </w:t>
      </w:r>
      <w:r w:rsidRPr="00351765">
        <w:t xml:space="preserve">Sheftel and Zembrzycki, </w:t>
      </w:r>
      <w:r>
        <w:t>“</w:t>
      </w:r>
      <w:r w:rsidRPr="00351765">
        <w:t>Who’s Afraid of Oral History?</w:t>
      </w:r>
      <w:r>
        <w:t xml:space="preserve">”; </w:t>
      </w:r>
      <w:r w:rsidRPr="00351765">
        <w:t xml:space="preserve">Traies, </w:t>
      </w:r>
      <w:r>
        <w:t>“</w:t>
      </w:r>
      <w:r w:rsidRPr="00351765">
        <w:t xml:space="preserve">The </w:t>
      </w:r>
      <w:r>
        <w:t>P</w:t>
      </w:r>
      <w:r w:rsidRPr="00351765">
        <w:t xml:space="preserve">erils of the </w:t>
      </w:r>
      <w:r>
        <w:t>R</w:t>
      </w:r>
      <w:r w:rsidRPr="00351765">
        <w:t>ecording</w:t>
      </w:r>
      <w:r>
        <w:t>.”</w:t>
      </w:r>
    </w:p>
  </w:endnote>
  <w:endnote w:id="55">
    <w:p w14:paraId="296DBCE2" w14:textId="77777777" w:rsidR="00343D0F" w:rsidRPr="00351F94" w:rsidRDefault="00343D0F" w:rsidP="00343D0F">
      <w:pPr>
        <w:pStyle w:val="EndnoteText"/>
      </w:pPr>
      <w:r w:rsidRPr="002434CB">
        <w:rPr>
          <w:rStyle w:val="EndnoteReference"/>
          <w:vertAlign w:val="baseline"/>
        </w:rPr>
        <w:endnoteRef/>
      </w:r>
      <w:r>
        <w:t xml:space="preserve"> </w:t>
      </w:r>
      <w:r w:rsidRPr="002434CB">
        <w:t xml:space="preserve">Frisch, </w:t>
      </w:r>
      <w:r w:rsidRPr="002434CB">
        <w:rPr>
          <w:i/>
          <w:iCs/>
        </w:rPr>
        <w:t>A Shared Authority</w:t>
      </w:r>
      <w:r w:rsidRPr="002434CB">
        <w:t>.</w:t>
      </w:r>
    </w:p>
  </w:endnote>
  <w:endnote w:id="56">
    <w:p w14:paraId="71F403F0" w14:textId="77777777" w:rsidR="00343D0F" w:rsidRPr="00C30969" w:rsidRDefault="00343D0F" w:rsidP="00343D0F">
      <w:pPr>
        <w:pStyle w:val="EndnoteText"/>
      </w:pPr>
      <w:r w:rsidRPr="00FA1591">
        <w:rPr>
          <w:rStyle w:val="EndnoteReference"/>
          <w:vertAlign w:val="baseline"/>
        </w:rPr>
        <w:endnoteRef/>
      </w:r>
      <w:r w:rsidRPr="00FA1591">
        <w:t xml:space="preserve"> Tureby and Olsson, “Revisiting Shared Authority.”</w:t>
      </w:r>
    </w:p>
  </w:endnote>
  <w:endnote w:id="57">
    <w:p w14:paraId="39480639" w14:textId="77777777" w:rsidR="00343D0F" w:rsidRPr="00BC6F7E" w:rsidRDefault="00343D0F" w:rsidP="00343D0F">
      <w:pPr>
        <w:pStyle w:val="EndnoteText"/>
      </w:pPr>
      <w:r w:rsidRPr="00FA1591">
        <w:rPr>
          <w:rStyle w:val="EndnoteReference"/>
          <w:vertAlign w:val="baseline"/>
        </w:rPr>
        <w:endnoteRef/>
      </w:r>
      <w:r>
        <w:t xml:space="preserve"> </w:t>
      </w:r>
      <w:r w:rsidRPr="00FA1591">
        <w:t>Caswell and Robinson-Sweet, ‘Importance of Symmetrical Intersubjectivity,” 195.</w:t>
      </w:r>
    </w:p>
  </w:endnote>
  <w:endnote w:id="58">
    <w:p w14:paraId="1B239240" w14:textId="77777777" w:rsidR="00343D0F" w:rsidRPr="00A44404" w:rsidRDefault="00343D0F" w:rsidP="00343D0F">
      <w:pPr>
        <w:rPr>
          <w:sz w:val="20"/>
          <w:szCs w:val="20"/>
        </w:rPr>
      </w:pPr>
      <w:r w:rsidRPr="00696D74">
        <w:rPr>
          <w:rStyle w:val="EndnoteReference"/>
          <w:sz w:val="20"/>
          <w:szCs w:val="20"/>
          <w:vertAlign w:val="baseline"/>
        </w:rPr>
        <w:endnoteRef/>
      </w:r>
      <w:r>
        <w:t xml:space="preserve"> </w:t>
      </w:r>
      <w:r w:rsidRPr="00A44404">
        <w:rPr>
          <w:sz w:val="20"/>
          <w:szCs w:val="20"/>
        </w:rPr>
        <w:t>Sitzia, “An Impossible Goal,” 87; Olsson, “Being a good scholar.”</w:t>
      </w:r>
    </w:p>
  </w:endnote>
  <w:endnote w:id="59">
    <w:p w14:paraId="3EAE570D" w14:textId="77777777" w:rsidR="00343D0F" w:rsidRDefault="00343D0F" w:rsidP="00343D0F">
      <w:pPr>
        <w:pStyle w:val="EndnoteText"/>
      </w:pPr>
      <w:r w:rsidRPr="00696D74">
        <w:rPr>
          <w:rStyle w:val="EndnoteReference"/>
          <w:vertAlign w:val="baseline"/>
        </w:rPr>
        <w:endnoteRef/>
      </w:r>
      <w:r>
        <w:t xml:space="preserve"> </w:t>
      </w:r>
      <w:r w:rsidRPr="00696D74">
        <w:t>For example, Debney and Harris, “Praying.”</w:t>
      </w:r>
    </w:p>
  </w:endnote>
  <w:endnote w:id="60">
    <w:p w14:paraId="414E513C" w14:textId="77777777" w:rsidR="00343D0F" w:rsidRPr="005E5A24" w:rsidRDefault="00343D0F" w:rsidP="00343D0F">
      <w:pPr>
        <w:pStyle w:val="EndnoteText"/>
      </w:pPr>
      <w:r w:rsidRPr="00696D74">
        <w:rPr>
          <w:rStyle w:val="EndnoteReference"/>
          <w:vertAlign w:val="baseline"/>
        </w:rPr>
        <w:endnoteRef/>
      </w:r>
      <w:r w:rsidRPr="00696D74">
        <w:rPr>
          <w:rStyle w:val="EndnoteReference"/>
          <w:vertAlign w:val="baseline"/>
        </w:rPr>
        <w:t xml:space="preserve"> </w:t>
      </w:r>
      <w:r w:rsidRPr="00696D74">
        <w:t>Borland, “Interpretive Conflict”; Fobear, “Do you Understand?”</w:t>
      </w:r>
    </w:p>
  </w:endnote>
  <w:endnote w:id="61">
    <w:p w14:paraId="748F3785" w14:textId="77777777" w:rsidR="00343D0F" w:rsidRPr="006C13B5" w:rsidRDefault="00343D0F" w:rsidP="00343D0F">
      <w:pPr>
        <w:rPr>
          <w:lang w:val="en-US" w:eastAsia="en-US"/>
        </w:rPr>
      </w:pPr>
      <w:r w:rsidRPr="00226B86">
        <w:rPr>
          <w:rStyle w:val="EndnoteReference"/>
          <w:sz w:val="20"/>
          <w:szCs w:val="20"/>
          <w:vertAlign w:val="baseline"/>
        </w:rPr>
        <w:endnoteRef/>
      </w:r>
      <w:r>
        <w:t xml:space="preserve"> </w:t>
      </w:r>
      <w:r w:rsidRPr="00226B86">
        <w:rPr>
          <w:sz w:val="20"/>
          <w:szCs w:val="20"/>
        </w:rPr>
        <w:t>Yow, “Do I Like Them Too Much?”</w:t>
      </w:r>
    </w:p>
  </w:endnote>
  <w:endnote w:id="62">
    <w:p w14:paraId="3551E985" w14:textId="77777777" w:rsidR="00343D0F" w:rsidRDefault="00343D0F" w:rsidP="00343D0F">
      <w:pPr>
        <w:pStyle w:val="EndnoteText"/>
      </w:pPr>
      <w:r w:rsidRPr="00D659CB">
        <w:rPr>
          <w:rStyle w:val="EndnoteReference"/>
          <w:vertAlign w:val="baseline"/>
        </w:rPr>
        <w:endnoteRef/>
      </w:r>
      <w:r>
        <w:t xml:space="preserve"> </w:t>
      </w:r>
      <w:r w:rsidRPr="00D659CB">
        <w:t>Olsson, “Being a Good Scholar.”</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9696213"/>
      <w:docPartObj>
        <w:docPartGallery w:val="Page Numbers (Bottom of Page)"/>
        <w:docPartUnique/>
      </w:docPartObj>
    </w:sdtPr>
    <w:sdtEndPr>
      <w:rPr>
        <w:noProof/>
      </w:rPr>
    </w:sdtEndPr>
    <w:sdtContent>
      <w:p w14:paraId="05E1AC62" w14:textId="0BD29D3A" w:rsidR="00343D0F" w:rsidRDefault="00343D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1A9D28" w14:textId="77777777" w:rsidR="00343D0F" w:rsidRDefault="00343D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76572" w14:textId="77777777" w:rsidR="008A7620" w:rsidRDefault="008A7620" w:rsidP="00343D0F">
      <w:r>
        <w:separator/>
      </w:r>
    </w:p>
  </w:footnote>
  <w:footnote w:type="continuationSeparator" w:id="0">
    <w:p w14:paraId="4F219C8C" w14:textId="77777777" w:rsidR="008A7620" w:rsidRDefault="008A7620" w:rsidP="00343D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C4E87"/>
    <w:multiLevelType w:val="hybridMultilevel"/>
    <w:tmpl w:val="A97C9280"/>
    <w:lvl w:ilvl="0" w:tplc="59D2465C">
      <w:start w:val="1958"/>
      <w:numFmt w:val="bullet"/>
      <w:lvlText w:val="-"/>
      <w:lvlJc w:val="left"/>
      <w:pPr>
        <w:ind w:left="720" w:hanging="360"/>
      </w:pPr>
      <w:rPr>
        <w:rFonts w:ascii="Times New Roman" w:eastAsia="Times New Roman" w:hAnsi="Times New Roman" w:cs="Times New Roman" w:hint="default"/>
        <w:b/>
        <w:color w:val="EE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676E98"/>
    <w:multiLevelType w:val="multilevel"/>
    <w:tmpl w:val="0338B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A321AF"/>
    <w:multiLevelType w:val="multilevel"/>
    <w:tmpl w:val="C4188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7B30F2"/>
    <w:multiLevelType w:val="hybridMultilevel"/>
    <w:tmpl w:val="A4BC533A"/>
    <w:lvl w:ilvl="0" w:tplc="759EB252">
      <w:start w:val="4"/>
      <w:numFmt w:val="bullet"/>
      <w:lvlText w:val=""/>
      <w:lvlJc w:val="left"/>
      <w:pPr>
        <w:ind w:left="720" w:hanging="360"/>
      </w:pPr>
      <w:rPr>
        <w:rFonts w:ascii="Wingdings" w:eastAsia="Times New Roman" w:hAnsi="Wingdings"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8E7E93"/>
    <w:multiLevelType w:val="hybridMultilevel"/>
    <w:tmpl w:val="2D86B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4D61E8"/>
    <w:multiLevelType w:val="multilevel"/>
    <w:tmpl w:val="B7581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3032F6"/>
    <w:multiLevelType w:val="multilevel"/>
    <w:tmpl w:val="FC1C4B0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CD47C9"/>
    <w:multiLevelType w:val="hybridMultilevel"/>
    <w:tmpl w:val="6A2EE14C"/>
    <w:lvl w:ilvl="0" w:tplc="1ACA27B4">
      <w:start w:val="1974"/>
      <w:numFmt w:val="bullet"/>
      <w:lvlText w:val="-"/>
      <w:lvlJc w:val="left"/>
      <w:pPr>
        <w:ind w:left="720" w:hanging="360"/>
      </w:pPr>
      <w:rPr>
        <w:rFonts w:ascii="Arial" w:eastAsia="Times New Roman" w:hAnsi="Arial" w:cs="Arial" w:hint="default"/>
        <w:color w:val="2222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9715953">
    <w:abstractNumId w:val="4"/>
  </w:num>
  <w:num w:numId="2" w16cid:durableId="489639447">
    <w:abstractNumId w:val="7"/>
  </w:num>
  <w:num w:numId="3" w16cid:durableId="762145070">
    <w:abstractNumId w:val="6"/>
  </w:num>
  <w:num w:numId="4" w16cid:durableId="223612002">
    <w:abstractNumId w:val="3"/>
  </w:num>
  <w:num w:numId="5" w16cid:durableId="1162428541">
    <w:abstractNumId w:val="2"/>
  </w:num>
  <w:num w:numId="6" w16cid:durableId="258831761">
    <w:abstractNumId w:val="1"/>
  </w:num>
  <w:num w:numId="7" w16cid:durableId="978415012">
    <w:abstractNumId w:val="5"/>
  </w:num>
  <w:num w:numId="8" w16cid:durableId="1136947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D0F"/>
    <w:rsid w:val="00044737"/>
    <w:rsid w:val="0005467F"/>
    <w:rsid w:val="0005760E"/>
    <w:rsid w:val="00067101"/>
    <w:rsid w:val="00071053"/>
    <w:rsid w:val="000765E5"/>
    <w:rsid w:val="00084B63"/>
    <w:rsid w:val="0008561B"/>
    <w:rsid w:val="00091585"/>
    <w:rsid w:val="000B606B"/>
    <w:rsid w:val="000C5E0C"/>
    <w:rsid w:val="000E7F44"/>
    <w:rsid w:val="000F03E8"/>
    <w:rsid w:val="0010411C"/>
    <w:rsid w:val="00113833"/>
    <w:rsid w:val="00116241"/>
    <w:rsid w:val="00127BA3"/>
    <w:rsid w:val="00133616"/>
    <w:rsid w:val="00133F95"/>
    <w:rsid w:val="00135C2D"/>
    <w:rsid w:val="00136603"/>
    <w:rsid w:val="00136F46"/>
    <w:rsid w:val="0014035B"/>
    <w:rsid w:val="00151B29"/>
    <w:rsid w:val="0016771B"/>
    <w:rsid w:val="00175C74"/>
    <w:rsid w:val="0018555A"/>
    <w:rsid w:val="001871B0"/>
    <w:rsid w:val="00187ED5"/>
    <w:rsid w:val="00192554"/>
    <w:rsid w:val="00195E22"/>
    <w:rsid w:val="001973CF"/>
    <w:rsid w:val="001A024D"/>
    <w:rsid w:val="001A0A5E"/>
    <w:rsid w:val="001B07C4"/>
    <w:rsid w:val="001D16BD"/>
    <w:rsid w:val="001E750B"/>
    <w:rsid w:val="001F4C30"/>
    <w:rsid w:val="0020095E"/>
    <w:rsid w:val="00222515"/>
    <w:rsid w:val="00235A28"/>
    <w:rsid w:val="002370CC"/>
    <w:rsid w:val="00243394"/>
    <w:rsid w:val="002569A3"/>
    <w:rsid w:val="00257641"/>
    <w:rsid w:val="002600AF"/>
    <w:rsid w:val="00263402"/>
    <w:rsid w:val="00264212"/>
    <w:rsid w:val="0026567A"/>
    <w:rsid w:val="0027370D"/>
    <w:rsid w:val="0028282C"/>
    <w:rsid w:val="002C2160"/>
    <w:rsid w:val="002D4663"/>
    <w:rsid w:val="002D5994"/>
    <w:rsid w:val="002D77CD"/>
    <w:rsid w:val="003068DE"/>
    <w:rsid w:val="0030771C"/>
    <w:rsid w:val="00317556"/>
    <w:rsid w:val="003261A0"/>
    <w:rsid w:val="00331AE8"/>
    <w:rsid w:val="00335D8B"/>
    <w:rsid w:val="00343D0F"/>
    <w:rsid w:val="00346303"/>
    <w:rsid w:val="003600FA"/>
    <w:rsid w:val="00360EE3"/>
    <w:rsid w:val="003750D3"/>
    <w:rsid w:val="003816AB"/>
    <w:rsid w:val="003874EB"/>
    <w:rsid w:val="00396D7C"/>
    <w:rsid w:val="003A0665"/>
    <w:rsid w:val="003A1161"/>
    <w:rsid w:val="003A16C1"/>
    <w:rsid w:val="003A543D"/>
    <w:rsid w:val="003B3B34"/>
    <w:rsid w:val="003B6DFF"/>
    <w:rsid w:val="003C550C"/>
    <w:rsid w:val="003C79F3"/>
    <w:rsid w:val="003D3A49"/>
    <w:rsid w:val="003D6268"/>
    <w:rsid w:val="003E4459"/>
    <w:rsid w:val="003F7A04"/>
    <w:rsid w:val="00407091"/>
    <w:rsid w:val="00415705"/>
    <w:rsid w:val="00442D26"/>
    <w:rsid w:val="00475983"/>
    <w:rsid w:val="00476729"/>
    <w:rsid w:val="00476B82"/>
    <w:rsid w:val="00485B90"/>
    <w:rsid w:val="00491243"/>
    <w:rsid w:val="00495CC6"/>
    <w:rsid w:val="004A1067"/>
    <w:rsid w:val="004A40E1"/>
    <w:rsid w:val="004B7A7B"/>
    <w:rsid w:val="004C2D81"/>
    <w:rsid w:val="00504510"/>
    <w:rsid w:val="00504CC8"/>
    <w:rsid w:val="00505709"/>
    <w:rsid w:val="00515232"/>
    <w:rsid w:val="00521683"/>
    <w:rsid w:val="005353A1"/>
    <w:rsid w:val="005421A3"/>
    <w:rsid w:val="005445F8"/>
    <w:rsid w:val="00554F28"/>
    <w:rsid w:val="00563336"/>
    <w:rsid w:val="00566C3A"/>
    <w:rsid w:val="005714CF"/>
    <w:rsid w:val="00573B83"/>
    <w:rsid w:val="0058384A"/>
    <w:rsid w:val="005961B1"/>
    <w:rsid w:val="005A427E"/>
    <w:rsid w:val="005A76BD"/>
    <w:rsid w:val="005B2155"/>
    <w:rsid w:val="005C7D16"/>
    <w:rsid w:val="005E0DB1"/>
    <w:rsid w:val="005F70C7"/>
    <w:rsid w:val="00606123"/>
    <w:rsid w:val="00607452"/>
    <w:rsid w:val="00607692"/>
    <w:rsid w:val="0062085D"/>
    <w:rsid w:val="00626C8D"/>
    <w:rsid w:val="00637661"/>
    <w:rsid w:val="00641E5C"/>
    <w:rsid w:val="0064470F"/>
    <w:rsid w:val="00651D01"/>
    <w:rsid w:val="00655401"/>
    <w:rsid w:val="00684386"/>
    <w:rsid w:val="006A5E3D"/>
    <w:rsid w:val="006C039C"/>
    <w:rsid w:val="006C2CC8"/>
    <w:rsid w:val="006C352A"/>
    <w:rsid w:val="006D3625"/>
    <w:rsid w:val="00704E5F"/>
    <w:rsid w:val="007158B9"/>
    <w:rsid w:val="0072230F"/>
    <w:rsid w:val="00724008"/>
    <w:rsid w:val="00740241"/>
    <w:rsid w:val="007666CC"/>
    <w:rsid w:val="00773BC3"/>
    <w:rsid w:val="007750C6"/>
    <w:rsid w:val="00782B39"/>
    <w:rsid w:val="007862DB"/>
    <w:rsid w:val="007A032A"/>
    <w:rsid w:val="007B2A78"/>
    <w:rsid w:val="007D0F93"/>
    <w:rsid w:val="007D754F"/>
    <w:rsid w:val="007E1162"/>
    <w:rsid w:val="007F4FBC"/>
    <w:rsid w:val="00800B5E"/>
    <w:rsid w:val="00801F01"/>
    <w:rsid w:val="00807047"/>
    <w:rsid w:val="0082700C"/>
    <w:rsid w:val="00831D25"/>
    <w:rsid w:val="00842155"/>
    <w:rsid w:val="008449A6"/>
    <w:rsid w:val="008574B1"/>
    <w:rsid w:val="0087185E"/>
    <w:rsid w:val="0089165E"/>
    <w:rsid w:val="00891BEA"/>
    <w:rsid w:val="008973AA"/>
    <w:rsid w:val="008A323E"/>
    <w:rsid w:val="008A7620"/>
    <w:rsid w:val="008D1C9F"/>
    <w:rsid w:val="008D49CF"/>
    <w:rsid w:val="008D6FF0"/>
    <w:rsid w:val="008E1D31"/>
    <w:rsid w:val="008E32F8"/>
    <w:rsid w:val="008E52D9"/>
    <w:rsid w:val="009108BA"/>
    <w:rsid w:val="009141A6"/>
    <w:rsid w:val="0092254A"/>
    <w:rsid w:val="00926FA8"/>
    <w:rsid w:val="0094391E"/>
    <w:rsid w:val="00952C7B"/>
    <w:rsid w:val="00963E4D"/>
    <w:rsid w:val="00967803"/>
    <w:rsid w:val="00975CDC"/>
    <w:rsid w:val="00996D95"/>
    <w:rsid w:val="00997C91"/>
    <w:rsid w:val="009B28ED"/>
    <w:rsid w:val="009C64C7"/>
    <w:rsid w:val="009C657F"/>
    <w:rsid w:val="009D1E7D"/>
    <w:rsid w:val="009D4ED2"/>
    <w:rsid w:val="009E02C9"/>
    <w:rsid w:val="009E2F68"/>
    <w:rsid w:val="009F0FE7"/>
    <w:rsid w:val="009F177F"/>
    <w:rsid w:val="009F6D27"/>
    <w:rsid w:val="009F7A2D"/>
    <w:rsid w:val="00A0309C"/>
    <w:rsid w:val="00A12784"/>
    <w:rsid w:val="00A2012E"/>
    <w:rsid w:val="00A27D0C"/>
    <w:rsid w:val="00A44CB3"/>
    <w:rsid w:val="00A65913"/>
    <w:rsid w:val="00A87A72"/>
    <w:rsid w:val="00A92748"/>
    <w:rsid w:val="00AB2315"/>
    <w:rsid w:val="00AB2AE8"/>
    <w:rsid w:val="00AB3724"/>
    <w:rsid w:val="00AD4552"/>
    <w:rsid w:val="00AD575D"/>
    <w:rsid w:val="00AF5E72"/>
    <w:rsid w:val="00B15341"/>
    <w:rsid w:val="00B36467"/>
    <w:rsid w:val="00B5108A"/>
    <w:rsid w:val="00B57A20"/>
    <w:rsid w:val="00B65278"/>
    <w:rsid w:val="00B67697"/>
    <w:rsid w:val="00B91D54"/>
    <w:rsid w:val="00B9574E"/>
    <w:rsid w:val="00BB13CF"/>
    <w:rsid w:val="00BB2021"/>
    <w:rsid w:val="00BB6C1A"/>
    <w:rsid w:val="00BC0B63"/>
    <w:rsid w:val="00C07D0F"/>
    <w:rsid w:val="00C11E6F"/>
    <w:rsid w:val="00C25069"/>
    <w:rsid w:val="00C2539D"/>
    <w:rsid w:val="00C43F70"/>
    <w:rsid w:val="00C55157"/>
    <w:rsid w:val="00CA3586"/>
    <w:rsid w:val="00CA67C3"/>
    <w:rsid w:val="00CB5318"/>
    <w:rsid w:val="00CE49F2"/>
    <w:rsid w:val="00CE4DB7"/>
    <w:rsid w:val="00D02333"/>
    <w:rsid w:val="00D1595F"/>
    <w:rsid w:val="00D240AD"/>
    <w:rsid w:val="00D2439A"/>
    <w:rsid w:val="00D25ADD"/>
    <w:rsid w:val="00D4116B"/>
    <w:rsid w:val="00D4494C"/>
    <w:rsid w:val="00D4764C"/>
    <w:rsid w:val="00D60A39"/>
    <w:rsid w:val="00D67FC1"/>
    <w:rsid w:val="00D72FF2"/>
    <w:rsid w:val="00D95206"/>
    <w:rsid w:val="00DB1FE5"/>
    <w:rsid w:val="00DE1E38"/>
    <w:rsid w:val="00DF2911"/>
    <w:rsid w:val="00DF76E2"/>
    <w:rsid w:val="00E02F3C"/>
    <w:rsid w:val="00E14CAA"/>
    <w:rsid w:val="00E15CB4"/>
    <w:rsid w:val="00E26493"/>
    <w:rsid w:val="00E33940"/>
    <w:rsid w:val="00E35808"/>
    <w:rsid w:val="00E44D9B"/>
    <w:rsid w:val="00E51D5B"/>
    <w:rsid w:val="00E82AC8"/>
    <w:rsid w:val="00E8314D"/>
    <w:rsid w:val="00E8733C"/>
    <w:rsid w:val="00E879EF"/>
    <w:rsid w:val="00E90D1E"/>
    <w:rsid w:val="00E93715"/>
    <w:rsid w:val="00EA21EE"/>
    <w:rsid w:val="00EB40D5"/>
    <w:rsid w:val="00EC5E6F"/>
    <w:rsid w:val="00ED2865"/>
    <w:rsid w:val="00ED7901"/>
    <w:rsid w:val="00EE158A"/>
    <w:rsid w:val="00EF3675"/>
    <w:rsid w:val="00EF7029"/>
    <w:rsid w:val="00F010D5"/>
    <w:rsid w:val="00F122EE"/>
    <w:rsid w:val="00F1245F"/>
    <w:rsid w:val="00F16195"/>
    <w:rsid w:val="00F16360"/>
    <w:rsid w:val="00F25DB5"/>
    <w:rsid w:val="00F43CB1"/>
    <w:rsid w:val="00F70775"/>
    <w:rsid w:val="00F74526"/>
    <w:rsid w:val="00F91AC9"/>
    <w:rsid w:val="00F95F14"/>
    <w:rsid w:val="00F968F9"/>
    <w:rsid w:val="00F97C52"/>
    <w:rsid w:val="00FA0953"/>
    <w:rsid w:val="00FB4005"/>
    <w:rsid w:val="00FB4ED4"/>
    <w:rsid w:val="00FC481C"/>
    <w:rsid w:val="00FD4E58"/>
    <w:rsid w:val="00FE447C"/>
    <w:rsid w:val="00FE59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70925"/>
  <w15:chartTrackingRefBased/>
  <w15:docId w15:val="{44A70CB4-28A8-46E5-910A-FC018E6C3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D0F"/>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343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43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43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43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3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3D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3D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3D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3D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43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43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43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3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3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3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3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3D0F"/>
    <w:rPr>
      <w:rFonts w:eastAsiaTheme="majorEastAsia" w:cstheme="majorBidi"/>
      <w:color w:val="272727" w:themeColor="text1" w:themeTint="D8"/>
    </w:rPr>
  </w:style>
  <w:style w:type="paragraph" w:styleId="Title">
    <w:name w:val="Title"/>
    <w:basedOn w:val="Normal"/>
    <w:next w:val="Normal"/>
    <w:link w:val="TitleChar"/>
    <w:uiPriority w:val="10"/>
    <w:qFormat/>
    <w:rsid w:val="00343D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3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3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3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3D0F"/>
    <w:pPr>
      <w:spacing w:before="160"/>
      <w:jc w:val="center"/>
    </w:pPr>
    <w:rPr>
      <w:i/>
      <w:iCs/>
      <w:color w:val="404040" w:themeColor="text1" w:themeTint="BF"/>
    </w:rPr>
  </w:style>
  <w:style w:type="character" w:customStyle="1" w:styleId="QuoteChar">
    <w:name w:val="Quote Char"/>
    <w:basedOn w:val="DefaultParagraphFont"/>
    <w:link w:val="Quote"/>
    <w:uiPriority w:val="29"/>
    <w:rsid w:val="00343D0F"/>
    <w:rPr>
      <w:i/>
      <w:iCs/>
      <w:color w:val="404040" w:themeColor="text1" w:themeTint="BF"/>
    </w:rPr>
  </w:style>
  <w:style w:type="paragraph" w:styleId="ListParagraph">
    <w:name w:val="List Paragraph"/>
    <w:basedOn w:val="Normal"/>
    <w:uiPriority w:val="34"/>
    <w:qFormat/>
    <w:rsid w:val="00343D0F"/>
    <w:pPr>
      <w:ind w:left="720"/>
      <w:contextualSpacing/>
    </w:pPr>
  </w:style>
  <w:style w:type="character" w:styleId="IntenseEmphasis">
    <w:name w:val="Intense Emphasis"/>
    <w:basedOn w:val="DefaultParagraphFont"/>
    <w:uiPriority w:val="21"/>
    <w:qFormat/>
    <w:rsid w:val="00343D0F"/>
    <w:rPr>
      <w:i/>
      <w:iCs/>
      <w:color w:val="0F4761" w:themeColor="accent1" w:themeShade="BF"/>
    </w:rPr>
  </w:style>
  <w:style w:type="paragraph" w:styleId="IntenseQuote">
    <w:name w:val="Intense Quote"/>
    <w:basedOn w:val="Normal"/>
    <w:next w:val="Normal"/>
    <w:link w:val="IntenseQuoteChar"/>
    <w:uiPriority w:val="30"/>
    <w:qFormat/>
    <w:rsid w:val="00343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3D0F"/>
    <w:rPr>
      <w:i/>
      <w:iCs/>
      <w:color w:val="0F4761" w:themeColor="accent1" w:themeShade="BF"/>
    </w:rPr>
  </w:style>
  <w:style w:type="character" w:styleId="IntenseReference">
    <w:name w:val="Intense Reference"/>
    <w:basedOn w:val="DefaultParagraphFont"/>
    <w:uiPriority w:val="32"/>
    <w:qFormat/>
    <w:rsid w:val="00343D0F"/>
    <w:rPr>
      <w:b/>
      <w:bCs/>
      <w:smallCaps/>
      <w:color w:val="0F4761" w:themeColor="accent1" w:themeShade="BF"/>
      <w:spacing w:val="5"/>
    </w:rPr>
  </w:style>
  <w:style w:type="paragraph" w:styleId="FootnoteText">
    <w:name w:val="footnote text"/>
    <w:basedOn w:val="Normal"/>
    <w:link w:val="FootnoteTextChar"/>
    <w:uiPriority w:val="99"/>
    <w:semiHidden/>
    <w:unhideWhenUsed/>
    <w:rsid w:val="00343D0F"/>
    <w:rPr>
      <w:sz w:val="20"/>
      <w:szCs w:val="20"/>
    </w:rPr>
  </w:style>
  <w:style w:type="character" w:customStyle="1" w:styleId="FootnoteTextChar">
    <w:name w:val="Footnote Text Char"/>
    <w:basedOn w:val="DefaultParagraphFont"/>
    <w:link w:val="FootnoteText"/>
    <w:uiPriority w:val="99"/>
    <w:semiHidden/>
    <w:rsid w:val="00343D0F"/>
    <w:rPr>
      <w:rFonts w:ascii="Times New Roman" w:eastAsia="Times New Roman" w:hAnsi="Times New Roman" w:cs="Times New Roman"/>
      <w:kern w:val="0"/>
      <w:sz w:val="20"/>
      <w:szCs w:val="20"/>
      <w:lang w:eastAsia="en-GB"/>
      <w14:ligatures w14:val="none"/>
    </w:rPr>
  </w:style>
  <w:style w:type="character" w:styleId="FootnoteReference">
    <w:name w:val="footnote reference"/>
    <w:basedOn w:val="DefaultParagraphFont"/>
    <w:uiPriority w:val="99"/>
    <w:semiHidden/>
    <w:unhideWhenUsed/>
    <w:rsid w:val="00343D0F"/>
    <w:rPr>
      <w:vertAlign w:val="superscript"/>
    </w:rPr>
  </w:style>
  <w:style w:type="character" w:styleId="Hyperlink">
    <w:name w:val="Hyperlink"/>
    <w:basedOn w:val="DefaultParagraphFont"/>
    <w:uiPriority w:val="99"/>
    <w:unhideWhenUsed/>
    <w:rsid w:val="00343D0F"/>
    <w:rPr>
      <w:color w:val="467886" w:themeColor="hyperlink"/>
      <w:u w:val="single"/>
    </w:rPr>
  </w:style>
  <w:style w:type="character" w:styleId="UnresolvedMention">
    <w:name w:val="Unresolved Mention"/>
    <w:basedOn w:val="DefaultParagraphFont"/>
    <w:uiPriority w:val="99"/>
    <w:semiHidden/>
    <w:unhideWhenUsed/>
    <w:rsid w:val="00343D0F"/>
    <w:rPr>
      <w:color w:val="605E5C"/>
      <w:shd w:val="clear" w:color="auto" w:fill="E1DFDD"/>
    </w:rPr>
  </w:style>
  <w:style w:type="paragraph" w:styleId="EndnoteText">
    <w:name w:val="endnote text"/>
    <w:basedOn w:val="Normal"/>
    <w:link w:val="EndnoteTextChar"/>
    <w:uiPriority w:val="99"/>
    <w:unhideWhenUsed/>
    <w:rsid w:val="00343D0F"/>
    <w:rPr>
      <w:sz w:val="20"/>
      <w:szCs w:val="20"/>
    </w:rPr>
  </w:style>
  <w:style w:type="character" w:customStyle="1" w:styleId="EndnoteTextChar">
    <w:name w:val="Endnote Text Char"/>
    <w:basedOn w:val="DefaultParagraphFont"/>
    <w:link w:val="EndnoteText"/>
    <w:uiPriority w:val="99"/>
    <w:rsid w:val="00343D0F"/>
    <w:rPr>
      <w:rFonts w:ascii="Times New Roman" w:eastAsia="Times New Roman" w:hAnsi="Times New Roman" w:cs="Times New Roman"/>
      <w:kern w:val="0"/>
      <w:sz w:val="20"/>
      <w:szCs w:val="20"/>
      <w:lang w:eastAsia="en-GB"/>
      <w14:ligatures w14:val="none"/>
    </w:rPr>
  </w:style>
  <w:style w:type="character" w:styleId="EndnoteReference">
    <w:name w:val="endnote reference"/>
    <w:basedOn w:val="DefaultParagraphFont"/>
    <w:uiPriority w:val="99"/>
    <w:semiHidden/>
    <w:unhideWhenUsed/>
    <w:rsid w:val="00343D0F"/>
    <w:rPr>
      <w:vertAlign w:val="superscript"/>
    </w:rPr>
  </w:style>
  <w:style w:type="paragraph" w:styleId="NormalWeb">
    <w:name w:val="Normal (Web)"/>
    <w:basedOn w:val="Normal"/>
    <w:uiPriority w:val="99"/>
    <w:semiHidden/>
    <w:unhideWhenUsed/>
    <w:rsid w:val="00343D0F"/>
  </w:style>
  <w:style w:type="character" w:styleId="CommentReference">
    <w:name w:val="annotation reference"/>
    <w:basedOn w:val="DefaultParagraphFont"/>
    <w:uiPriority w:val="99"/>
    <w:semiHidden/>
    <w:unhideWhenUsed/>
    <w:rsid w:val="00343D0F"/>
    <w:rPr>
      <w:sz w:val="16"/>
      <w:szCs w:val="16"/>
    </w:rPr>
  </w:style>
  <w:style w:type="paragraph" w:styleId="CommentText">
    <w:name w:val="annotation text"/>
    <w:basedOn w:val="Normal"/>
    <w:link w:val="CommentTextChar"/>
    <w:uiPriority w:val="99"/>
    <w:unhideWhenUsed/>
    <w:rsid w:val="00343D0F"/>
    <w:rPr>
      <w:sz w:val="20"/>
      <w:szCs w:val="20"/>
    </w:rPr>
  </w:style>
  <w:style w:type="character" w:customStyle="1" w:styleId="CommentTextChar">
    <w:name w:val="Comment Text Char"/>
    <w:basedOn w:val="DefaultParagraphFont"/>
    <w:link w:val="CommentText"/>
    <w:uiPriority w:val="99"/>
    <w:rsid w:val="00343D0F"/>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343D0F"/>
    <w:rPr>
      <w:b/>
      <w:bCs/>
    </w:rPr>
  </w:style>
  <w:style w:type="character" w:customStyle="1" w:styleId="CommentSubjectChar">
    <w:name w:val="Comment Subject Char"/>
    <w:basedOn w:val="CommentTextChar"/>
    <w:link w:val="CommentSubject"/>
    <w:uiPriority w:val="99"/>
    <w:semiHidden/>
    <w:rsid w:val="00343D0F"/>
    <w:rPr>
      <w:rFonts w:ascii="Times New Roman" w:eastAsia="Times New Roman" w:hAnsi="Times New Roman" w:cs="Times New Roman"/>
      <w:b/>
      <w:bCs/>
      <w:kern w:val="0"/>
      <w:sz w:val="20"/>
      <w:szCs w:val="20"/>
      <w:lang w:eastAsia="en-GB"/>
      <w14:ligatures w14:val="none"/>
    </w:rPr>
  </w:style>
  <w:style w:type="paragraph" w:customStyle="1" w:styleId="dx-doi">
    <w:name w:val="dx-doi"/>
    <w:basedOn w:val="Normal"/>
    <w:rsid w:val="00343D0F"/>
    <w:pPr>
      <w:spacing w:before="100" w:beforeAutospacing="1" w:after="100" w:afterAutospacing="1"/>
    </w:pPr>
  </w:style>
  <w:style w:type="character" w:styleId="FollowedHyperlink">
    <w:name w:val="FollowedHyperlink"/>
    <w:basedOn w:val="DefaultParagraphFont"/>
    <w:uiPriority w:val="99"/>
    <w:semiHidden/>
    <w:unhideWhenUsed/>
    <w:rsid w:val="00343D0F"/>
    <w:rPr>
      <w:color w:val="96607D" w:themeColor="followedHyperlink"/>
      <w:u w:val="single"/>
    </w:rPr>
  </w:style>
  <w:style w:type="character" w:styleId="Emphasis">
    <w:name w:val="Emphasis"/>
    <w:basedOn w:val="DefaultParagraphFont"/>
    <w:uiPriority w:val="20"/>
    <w:qFormat/>
    <w:rsid w:val="00343D0F"/>
    <w:rPr>
      <w:i/>
      <w:iCs/>
    </w:rPr>
  </w:style>
  <w:style w:type="paragraph" w:customStyle="1" w:styleId="Default">
    <w:name w:val="Default"/>
    <w:rsid w:val="00343D0F"/>
    <w:pPr>
      <w:autoSpaceDE w:val="0"/>
      <w:autoSpaceDN w:val="0"/>
      <w:adjustRightInd w:val="0"/>
      <w:spacing w:after="0" w:line="240" w:lineRule="auto"/>
    </w:pPr>
    <w:rPr>
      <w:rFonts w:ascii="Times New Roman" w:hAnsi="Times New Roman" w:cs="Times New Roman"/>
      <w:color w:val="000000"/>
      <w:kern w:val="0"/>
    </w:rPr>
  </w:style>
  <w:style w:type="character" w:customStyle="1" w:styleId="apple-converted-space">
    <w:name w:val="apple-converted-space"/>
    <w:basedOn w:val="DefaultParagraphFont"/>
    <w:rsid w:val="00343D0F"/>
  </w:style>
  <w:style w:type="paragraph" w:styleId="Revision">
    <w:name w:val="Revision"/>
    <w:hidden/>
    <w:uiPriority w:val="99"/>
    <w:semiHidden/>
    <w:rsid w:val="00343D0F"/>
    <w:pPr>
      <w:spacing w:after="0"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343D0F"/>
    <w:pPr>
      <w:tabs>
        <w:tab w:val="center" w:pos="4513"/>
        <w:tab w:val="right" w:pos="9026"/>
      </w:tabs>
    </w:pPr>
  </w:style>
  <w:style w:type="character" w:customStyle="1" w:styleId="HeaderChar">
    <w:name w:val="Header Char"/>
    <w:basedOn w:val="DefaultParagraphFont"/>
    <w:link w:val="Header"/>
    <w:uiPriority w:val="99"/>
    <w:rsid w:val="00343D0F"/>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343D0F"/>
    <w:pPr>
      <w:tabs>
        <w:tab w:val="center" w:pos="4513"/>
        <w:tab w:val="right" w:pos="9026"/>
      </w:tabs>
    </w:pPr>
  </w:style>
  <w:style w:type="character" w:customStyle="1" w:styleId="FooterChar">
    <w:name w:val="Footer Char"/>
    <w:basedOn w:val="DefaultParagraphFont"/>
    <w:link w:val="Footer"/>
    <w:uiPriority w:val="99"/>
    <w:rsid w:val="00343D0F"/>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24242/jclis.v3i2.11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07/s10502-015-9244-6"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archivaria.ca/index.php/archivaria/article/view/138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chivists.ca/Blog/13410913" TargetMode="External"/><Relationship Id="rId5" Type="http://schemas.openxmlformats.org/officeDocument/2006/relationships/webSettings" Target="webSettings.xml"/><Relationship Id="rId15" Type="http://schemas.openxmlformats.org/officeDocument/2006/relationships/hyperlink" Target="https://www.gov.uk/government/publications/working-definition-of-trauma-informed-practice/working-definition-of-trauma-informed-practice" TargetMode="External"/><Relationship Id="rId10" Type="http://schemas.openxmlformats.org/officeDocument/2006/relationships/hyperlink" Target="https://doi.org/10.1007/s10502-014-9220-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177/00380385155802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DEF84-B3D8-4DD0-8ACF-6AB359A28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10608</Words>
  <Characters>60470</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Hoyle</dc:creator>
  <cp:keywords/>
  <dc:description/>
  <cp:lastModifiedBy>Victoria Hoyle</cp:lastModifiedBy>
  <cp:revision>3</cp:revision>
  <dcterms:created xsi:type="dcterms:W3CDTF">2026-04-24T11:00:00Z</dcterms:created>
  <dcterms:modified xsi:type="dcterms:W3CDTF">2026-04-24T11:00:00Z</dcterms:modified>
</cp:coreProperties>
</file>