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6E31" w14:textId="17C17058" w:rsidR="006B3C6C" w:rsidRDefault="003855D9">
      <w:pPr>
        <w:rPr>
          <w:rFonts w:asciiTheme="majorHAnsi" w:hAnsiTheme="majorHAnsi" w:cstheme="majorHAnsi"/>
          <w:b/>
          <w:bCs/>
          <w:sz w:val="36"/>
          <w:szCs w:val="36"/>
        </w:rPr>
      </w:pPr>
      <w:r>
        <w:rPr>
          <w:rFonts w:asciiTheme="majorHAnsi" w:hAnsiTheme="majorHAnsi" w:cstheme="majorHAnsi"/>
          <w:b/>
          <w:bCs/>
          <w:sz w:val="36"/>
          <w:szCs w:val="36"/>
        </w:rPr>
        <w:t xml:space="preserve">Pre-notification </w:t>
      </w:r>
      <w:r w:rsidR="007379F9">
        <w:rPr>
          <w:rFonts w:asciiTheme="majorHAnsi" w:hAnsiTheme="majorHAnsi" w:cstheme="majorHAnsi"/>
          <w:b/>
          <w:bCs/>
          <w:sz w:val="36"/>
          <w:szCs w:val="36"/>
        </w:rPr>
        <w:t xml:space="preserve">of trial participants to </w:t>
      </w:r>
      <w:r>
        <w:rPr>
          <w:rFonts w:asciiTheme="majorHAnsi" w:hAnsiTheme="majorHAnsi" w:cstheme="majorHAnsi"/>
          <w:b/>
          <w:bCs/>
          <w:sz w:val="36"/>
          <w:szCs w:val="36"/>
        </w:rPr>
        <w:t xml:space="preserve">improve </w:t>
      </w:r>
      <w:r w:rsidR="007379F9">
        <w:rPr>
          <w:rFonts w:asciiTheme="majorHAnsi" w:hAnsiTheme="majorHAnsi" w:cstheme="majorHAnsi"/>
          <w:b/>
          <w:bCs/>
          <w:sz w:val="36"/>
          <w:szCs w:val="36"/>
        </w:rPr>
        <w:t>response rates</w:t>
      </w:r>
      <w:r>
        <w:rPr>
          <w:rFonts w:asciiTheme="majorHAnsi" w:hAnsiTheme="majorHAnsi" w:cstheme="majorHAnsi"/>
          <w:b/>
          <w:bCs/>
          <w:sz w:val="36"/>
          <w:szCs w:val="36"/>
        </w:rPr>
        <w:t xml:space="preserve"> retention </w:t>
      </w:r>
      <w:r w:rsidR="00F01FF1">
        <w:rPr>
          <w:rFonts w:asciiTheme="majorHAnsi" w:hAnsiTheme="majorHAnsi" w:cstheme="majorHAnsi"/>
          <w:b/>
          <w:bCs/>
          <w:sz w:val="36"/>
          <w:szCs w:val="36"/>
        </w:rPr>
        <w:t>(SWAT 28)</w:t>
      </w:r>
      <w:r w:rsidR="007379F9">
        <w:rPr>
          <w:rFonts w:asciiTheme="majorHAnsi" w:hAnsiTheme="majorHAnsi" w:cstheme="majorHAnsi"/>
          <w:b/>
          <w:bCs/>
          <w:sz w:val="36"/>
          <w:szCs w:val="36"/>
        </w:rPr>
        <w:t xml:space="preserve">; a study within a trial (SWAT) embedded </w:t>
      </w:r>
      <w:r w:rsidR="00F01FF1">
        <w:rPr>
          <w:rFonts w:asciiTheme="majorHAnsi" w:hAnsiTheme="majorHAnsi" w:cstheme="majorHAnsi"/>
          <w:b/>
          <w:bCs/>
          <w:sz w:val="36"/>
          <w:szCs w:val="36"/>
        </w:rPr>
        <w:t xml:space="preserve">in PROFHER-2 </w:t>
      </w:r>
    </w:p>
    <w:p w14:paraId="30CF298F" w14:textId="6B33C9B3" w:rsidR="003855D9" w:rsidRDefault="003855D9">
      <w:pPr>
        <w:rPr>
          <w:rFonts w:asciiTheme="majorHAnsi" w:hAnsiTheme="majorHAnsi" w:cstheme="majorHAnsi"/>
          <w:b/>
          <w:bCs/>
        </w:rPr>
      </w:pPr>
    </w:p>
    <w:p w14:paraId="578BDB59" w14:textId="1054C1AA" w:rsidR="00E60841" w:rsidRDefault="00E60841">
      <w:pPr>
        <w:rPr>
          <w:rFonts w:asciiTheme="majorHAnsi" w:hAnsiTheme="majorHAnsi" w:cstheme="majorHAnsi"/>
          <w:b/>
          <w:bCs/>
        </w:rPr>
      </w:pPr>
      <w:r>
        <w:rPr>
          <w:rFonts w:asciiTheme="majorHAnsi" w:hAnsiTheme="majorHAnsi" w:cstheme="majorHAnsi"/>
          <w:b/>
          <w:bCs/>
        </w:rPr>
        <w:t xml:space="preserve">Authorship: </w:t>
      </w:r>
    </w:p>
    <w:p w14:paraId="096D95B0" w14:textId="5F6ADA53" w:rsidR="00E60841" w:rsidRDefault="00E00B22">
      <w:pPr>
        <w:rPr>
          <w:rFonts w:asciiTheme="majorHAnsi" w:hAnsiTheme="majorHAnsi" w:cstheme="majorHAnsi"/>
        </w:rPr>
      </w:pPr>
      <w:r>
        <w:rPr>
          <w:rFonts w:asciiTheme="majorHAnsi" w:hAnsiTheme="majorHAnsi" w:cstheme="majorHAnsi"/>
        </w:rPr>
        <w:t>Elizabeth Coleman</w:t>
      </w:r>
      <w:r w:rsidRPr="00E00B22">
        <w:rPr>
          <w:rFonts w:asciiTheme="majorHAnsi" w:hAnsiTheme="majorHAnsi" w:cstheme="majorHAnsi"/>
          <w:vertAlign w:val="superscript"/>
        </w:rPr>
        <w:t>1</w:t>
      </w:r>
      <w:r>
        <w:rPr>
          <w:rFonts w:asciiTheme="majorHAnsi" w:hAnsiTheme="majorHAnsi" w:cstheme="majorHAnsi"/>
        </w:rPr>
        <w:t>, Luke Strachan</w:t>
      </w:r>
      <w:r w:rsidRPr="00E00B22">
        <w:rPr>
          <w:rFonts w:asciiTheme="majorHAnsi" w:hAnsiTheme="majorHAnsi" w:cstheme="majorHAnsi"/>
          <w:vertAlign w:val="superscript"/>
        </w:rPr>
        <w:t>1</w:t>
      </w:r>
      <w:r>
        <w:rPr>
          <w:rFonts w:asciiTheme="majorHAnsi" w:hAnsiTheme="majorHAnsi" w:cstheme="majorHAnsi"/>
        </w:rPr>
        <w:t>, Catherine Arundel</w:t>
      </w:r>
      <w:r w:rsidRPr="00E00B22">
        <w:rPr>
          <w:rFonts w:asciiTheme="majorHAnsi" w:hAnsiTheme="majorHAnsi" w:cstheme="majorHAnsi"/>
          <w:vertAlign w:val="superscript"/>
        </w:rPr>
        <w:t>1</w:t>
      </w:r>
      <w:r>
        <w:rPr>
          <w:rFonts w:asciiTheme="majorHAnsi" w:hAnsiTheme="majorHAnsi" w:cstheme="majorHAnsi"/>
        </w:rPr>
        <w:t>, Natasha Mitchell</w:t>
      </w:r>
      <w:r w:rsidRPr="00E00B22">
        <w:rPr>
          <w:rFonts w:asciiTheme="majorHAnsi" w:hAnsiTheme="majorHAnsi" w:cstheme="majorHAnsi"/>
          <w:vertAlign w:val="superscript"/>
        </w:rPr>
        <w:t>1</w:t>
      </w:r>
      <w:r>
        <w:rPr>
          <w:rFonts w:asciiTheme="majorHAnsi" w:hAnsiTheme="majorHAnsi" w:cstheme="majorHAnsi"/>
        </w:rPr>
        <w:t>, Amar Rangan</w:t>
      </w:r>
      <w:r w:rsidR="005E7B51" w:rsidRPr="005E7B51">
        <w:rPr>
          <w:rFonts w:asciiTheme="majorHAnsi" w:hAnsiTheme="majorHAnsi" w:cstheme="majorHAnsi"/>
          <w:vertAlign w:val="superscript"/>
        </w:rPr>
        <w:t>2</w:t>
      </w:r>
      <w:r>
        <w:rPr>
          <w:rFonts w:asciiTheme="majorHAnsi" w:hAnsiTheme="majorHAnsi" w:cstheme="majorHAnsi"/>
        </w:rPr>
        <w:t xml:space="preserve"> </w:t>
      </w:r>
    </w:p>
    <w:p w14:paraId="2BE6A4B8" w14:textId="7662EACA" w:rsidR="005E7B51" w:rsidRDefault="005E7B51">
      <w:pPr>
        <w:rPr>
          <w:rFonts w:asciiTheme="majorHAnsi" w:hAnsiTheme="majorHAnsi" w:cstheme="majorHAnsi"/>
        </w:rPr>
      </w:pPr>
      <w:r>
        <w:rPr>
          <w:rFonts w:asciiTheme="majorHAnsi" w:hAnsiTheme="majorHAnsi" w:cstheme="majorHAnsi"/>
        </w:rPr>
        <w:t>1:</w:t>
      </w:r>
      <w:r w:rsidR="000632A6">
        <w:rPr>
          <w:rFonts w:asciiTheme="majorHAnsi" w:hAnsiTheme="majorHAnsi" w:cstheme="majorHAnsi"/>
        </w:rPr>
        <w:t xml:space="preserve"> York Trials Unit, Department of Health Sciences, University of York, York, YO10 5DD</w:t>
      </w:r>
    </w:p>
    <w:p w14:paraId="7D7E240C" w14:textId="1714CB09" w:rsidR="005E7B51" w:rsidRPr="00E00B22" w:rsidRDefault="005E7B51">
      <w:pPr>
        <w:rPr>
          <w:rFonts w:asciiTheme="majorHAnsi" w:hAnsiTheme="majorHAnsi" w:cstheme="majorHAnsi"/>
        </w:rPr>
      </w:pPr>
      <w:r>
        <w:rPr>
          <w:rFonts w:asciiTheme="majorHAnsi" w:hAnsiTheme="majorHAnsi" w:cstheme="majorHAnsi"/>
        </w:rPr>
        <w:t xml:space="preserve">2: </w:t>
      </w:r>
      <w:r w:rsidR="000632A6">
        <w:rPr>
          <w:rFonts w:asciiTheme="majorHAnsi" w:hAnsiTheme="majorHAnsi" w:cstheme="majorHAnsi"/>
        </w:rPr>
        <w:t>Department of Health Sciences &amp; HYMS, University of York, York, YO10 5DD</w:t>
      </w:r>
    </w:p>
    <w:p w14:paraId="3C0C509F" w14:textId="77777777" w:rsidR="00E60841" w:rsidRPr="00F01FF1" w:rsidRDefault="00E60841">
      <w:pPr>
        <w:rPr>
          <w:rFonts w:asciiTheme="majorHAnsi" w:hAnsiTheme="majorHAnsi" w:cstheme="majorHAnsi"/>
          <w:b/>
          <w:bCs/>
        </w:rPr>
      </w:pPr>
    </w:p>
    <w:p w14:paraId="66C4C22F" w14:textId="38C2E61F" w:rsidR="003855D9" w:rsidRPr="00634602" w:rsidRDefault="003855D9">
      <w:pPr>
        <w:rPr>
          <w:rFonts w:cstheme="minorHAnsi"/>
          <w:b/>
          <w:bCs/>
          <w:sz w:val="28"/>
          <w:szCs w:val="28"/>
        </w:rPr>
      </w:pPr>
      <w:r w:rsidRPr="00634602">
        <w:rPr>
          <w:rFonts w:cstheme="minorHAnsi"/>
          <w:b/>
          <w:bCs/>
          <w:sz w:val="28"/>
          <w:szCs w:val="28"/>
        </w:rPr>
        <w:t>Abstract</w:t>
      </w:r>
    </w:p>
    <w:p w14:paraId="3A8B1E97" w14:textId="77777777" w:rsidR="00A710BF" w:rsidRPr="00A710BF" w:rsidRDefault="00A710BF" w:rsidP="00A710BF">
      <w:pPr>
        <w:rPr>
          <w:rFonts w:cstheme="minorHAnsi"/>
          <w:b/>
          <w:bCs/>
        </w:rPr>
      </w:pPr>
      <w:r w:rsidRPr="00A710BF">
        <w:rPr>
          <w:rFonts w:cstheme="minorHAnsi"/>
          <w:b/>
          <w:bCs/>
        </w:rPr>
        <w:t>Background:</w:t>
      </w:r>
    </w:p>
    <w:p w14:paraId="06214FC4" w14:textId="77777777" w:rsidR="00A710BF" w:rsidRPr="00A710BF" w:rsidRDefault="00A710BF" w:rsidP="00A710BF">
      <w:pPr>
        <w:rPr>
          <w:rFonts w:cstheme="minorHAnsi"/>
        </w:rPr>
      </w:pPr>
      <w:r w:rsidRPr="00A710BF">
        <w:rPr>
          <w:rFonts w:cstheme="minorHAnsi"/>
        </w:rPr>
        <w:t xml:space="preserve">Randomised Controlled Trials (RCTs) are the most robust methods to test new or existing interventions. Recruitment and retention are crucial aspects to their success but are often challenging. Methodological changes to RCTs are often tested by Studies Within A Trial (SWATs). To date there is mixed evidence supporting the use of prenotification newsletters to boost retention. This SWAT aimed to assess this intervention within the PROFHER-2 trial. </w:t>
      </w:r>
    </w:p>
    <w:p w14:paraId="46FDBB90" w14:textId="77777777" w:rsidR="00A710BF" w:rsidRPr="00A710BF" w:rsidRDefault="00A710BF" w:rsidP="00A710BF">
      <w:pPr>
        <w:rPr>
          <w:rFonts w:cstheme="minorHAnsi"/>
          <w:b/>
          <w:bCs/>
        </w:rPr>
      </w:pPr>
    </w:p>
    <w:p w14:paraId="0F116758" w14:textId="77777777" w:rsidR="00A710BF" w:rsidRPr="00A710BF" w:rsidRDefault="00A710BF" w:rsidP="00A710BF">
      <w:pPr>
        <w:rPr>
          <w:rFonts w:cstheme="minorHAnsi"/>
          <w:b/>
          <w:bCs/>
        </w:rPr>
      </w:pPr>
      <w:r w:rsidRPr="00A710BF">
        <w:rPr>
          <w:rFonts w:cstheme="minorHAnsi"/>
          <w:b/>
          <w:bCs/>
        </w:rPr>
        <w:t>Methods:</w:t>
      </w:r>
    </w:p>
    <w:p w14:paraId="29B66141" w14:textId="5CA772C7" w:rsidR="00A710BF" w:rsidRPr="00A710BF" w:rsidRDefault="00A710BF" w:rsidP="00A710BF">
      <w:pPr>
        <w:rPr>
          <w:rFonts w:cstheme="minorHAnsi"/>
        </w:rPr>
      </w:pPr>
      <w:r w:rsidRPr="00A710BF">
        <w:rPr>
          <w:rFonts w:cstheme="minorHAnsi"/>
        </w:rPr>
        <w:t>A two-arm parallel group SWAT embedded at the 24-month follow-up for PROFHER-2 – a RCT evaluating treatment methods for a 3- or 4- part proximal humerus fractures in patients over 65years. Participants were randomised (1:1) to either receive a newsletter 2-to-4 weeks prior to their 24-month questionnaire, or not. The results have been combined in a meta-analysis with existing evidence.</w:t>
      </w:r>
    </w:p>
    <w:p w14:paraId="54BDBCA0" w14:textId="77777777" w:rsidR="00A710BF" w:rsidRPr="00A710BF" w:rsidRDefault="00A710BF" w:rsidP="00A710BF">
      <w:pPr>
        <w:rPr>
          <w:rFonts w:cstheme="minorHAnsi"/>
          <w:b/>
          <w:bCs/>
        </w:rPr>
      </w:pPr>
    </w:p>
    <w:p w14:paraId="0DFA20F1" w14:textId="77777777" w:rsidR="00A710BF" w:rsidRPr="00A710BF" w:rsidRDefault="00A710BF" w:rsidP="00A710BF">
      <w:pPr>
        <w:rPr>
          <w:rFonts w:cstheme="minorHAnsi"/>
          <w:b/>
          <w:bCs/>
        </w:rPr>
      </w:pPr>
      <w:r w:rsidRPr="00A710BF">
        <w:rPr>
          <w:rFonts w:cstheme="minorHAnsi"/>
          <w:b/>
          <w:bCs/>
        </w:rPr>
        <w:t>Results:</w:t>
      </w:r>
    </w:p>
    <w:p w14:paraId="4FCE76B8" w14:textId="77777777" w:rsidR="00A710BF" w:rsidRPr="00A710BF" w:rsidRDefault="00A710BF" w:rsidP="00A710BF">
      <w:pPr>
        <w:rPr>
          <w:rFonts w:cstheme="minorHAnsi"/>
        </w:rPr>
      </w:pPr>
      <w:r w:rsidRPr="00A710BF">
        <w:rPr>
          <w:rFonts w:cstheme="minorHAnsi"/>
        </w:rPr>
        <w:t xml:space="preserve">There was no evidence of a difference in retention (OR 2.17, 95% CI 0.21-22.02, p=0.51). Similarly, there was no statistically significant difference in the completion of the primary outcome of the returned questionnaires (OR 0.72, 95% CI 0.04–12.70, p=0.82), nor the proximity of completion (HR 1.23, 95% CI 0.74 – 2.05, p = 0.43). This result is </w:t>
      </w:r>
      <w:proofErr w:type="gramStart"/>
      <w:r w:rsidRPr="00A710BF">
        <w:rPr>
          <w:rFonts w:cstheme="minorHAnsi"/>
        </w:rPr>
        <w:t>similar to</w:t>
      </w:r>
      <w:proofErr w:type="gramEnd"/>
      <w:r w:rsidRPr="00A710BF">
        <w:rPr>
          <w:rFonts w:cstheme="minorHAnsi"/>
        </w:rPr>
        <w:t xml:space="preserve"> that seen in two of the four previous evaluations of this SWAT. </w:t>
      </w:r>
    </w:p>
    <w:p w14:paraId="3EAD6163" w14:textId="77777777" w:rsidR="00A710BF" w:rsidRPr="00A710BF" w:rsidRDefault="00A710BF" w:rsidP="00A710BF">
      <w:pPr>
        <w:rPr>
          <w:rFonts w:cstheme="minorHAnsi"/>
          <w:b/>
          <w:bCs/>
        </w:rPr>
      </w:pPr>
    </w:p>
    <w:p w14:paraId="1C7DE610" w14:textId="77777777" w:rsidR="00A710BF" w:rsidRPr="00A710BF" w:rsidRDefault="00A710BF" w:rsidP="00A710BF">
      <w:pPr>
        <w:rPr>
          <w:rFonts w:cstheme="minorHAnsi"/>
          <w:b/>
          <w:bCs/>
        </w:rPr>
      </w:pPr>
      <w:r w:rsidRPr="00A710BF">
        <w:rPr>
          <w:rFonts w:cstheme="minorHAnsi"/>
          <w:b/>
          <w:bCs/>
        </w:rPr>
        <w:t>Conclusion:</w:t>
      </w:r>
    </w:p>
    <w:p w14:paraId="24EFB826" w14:textId="77777777" w:rsidR="00A710BF" w:rsidRPr="00A710BF" w:rsidRDefault="00A710BF" w:rsidP="00A710BF">
      <w:pPr>
        <w:rPr>
          <w:rFonts w:cstheme="minorHAnsi"/>
        </w:rPr>
      </w:pPr>
      <w:r w:rsidRPr="00A710BF">
        <w:rPr>
          <w:rFonts w:cstheme="minorHAnsi"/>
        </w:rPr>
        <w:t xml:space="preserve">Sending a newsletter as a prenotification to a questionnaire in a RCT does not improve the retention rates. However, the sample size for this piece of work is small, and the retention rates were high (94%). When combined with the existing evidence, there is no evidence of an effect. </w:t>
      </w:r>
    </w:p>
    <w:p w14:paraId="4C845B47" w14:textId="77777777" w:rsidR="00C9670B" w:rsidRDefault="00C9670B">
      <w:pPr>
        <w:rPr>
          <w:rFonts w:cstheme="minorHAnsi"/>
          <w:b/>
          <w:bCs/>
        </w:rPr>
      </w:pPr>
    </w:p>
    <w:p w14:paraId="068FB65B" w14:textId="1E946381" w:rsidR="00F01FF1" w:rsidRDefault="00F01FF1">
      <w:pPr>
        <w:rPr>
          <w:rFonts w:cstheme="minorHAnsi"/>
          <w:b/>
          <w:bCs/>
        </w:rPr>
      </w:pPr>
      <w:r>
        <w:rPr>
          <w:rFonts w:cstheme="minorHAnsi"/>
          <w:b/>
          <w:bCs/>
        </w:rPr>
        <w:t>Keywords: SWAT, Study within a trial, retention methods, embedded randomi</w:t>
      </w:r>
      <w:r w:rsidR="00B27924">
        <w:rPr>
          <w:rFonts w:cstheme="minorHAnsi"/>
          <w:b/>
          <w:bCs/>
        </w:rPr>
        <w:t>s</w:t>
      </w:r>
      <w:r>
        <w:rPr>
          <w:rFonts w:cstheme="minorHAnsi"/>
          <w:b/>
          <w:bCs/>
        </w:rPr>
        <w:t>ed controlled trial, newsletter</w:t>
      </w:r>
    </w:p>
    <w:p w14:paraId="2B0BB1D6" w14:textId="7FD9801F" w:rsidR="00C9670B" w:rsidRDefault="00C9670B">
      <w:pPr>
        <w:rPr>
          <w:rFonts w:cstheme="minorHAnsi"/>
          <w:b/>
          <w:bCs/>
        </w:rPr>
        <w:sectPr w:rsidR="00C9670B" w:rsidSect="003855D9">
          <w:pgSz w:w="11906" w:h="16838"/>
          <w:pgMar w:top="1440" w:right="1440" w:bottom="1440" w:left="1440" w:header="708" w:footer="708" w:gutter="0"/>
          <w:cols w:space="708"/>
          <w:docGrid w:linePitch="360"/>
        </w:sectPr>
      </w:pPr>
    </w:p>
    <w:p w14:paraId="2859193F" w14:textId="77777777" w:rsidR="00431942" w:rsidRDefault="00431942">
      <w:pPr>
        <w:rPr>
          <w:rFonts w:cstheme="minorHAnsi"/>
          <w:b/>
          <w:bCs/>
        </w:rPr>
        <w:sectPr w:rsidR="00431942" w:rsidSect="00634602">
          <w:type w:val="continuous"/>
          <w:pgSz w:w="11906" w:h="16838"/>
          <w:pgMar w:top="1440" w:right="1440" w:bottom="1440" w:left="1440" w:header="708" w:footer="708" w:gutter="0"/>
          <w:cols w:num="2" w:space="708"/>
          <w:docGrid w:linePitch="360"/>
        </w:sectPr>
      </w:pPr>
    </w:p>
    <w:p w14:paraId="0767A6F1" w14:textId="72FF9863" w:rsidR="00634602" w:rsidRDefault="00E27724">
      <w:pPr>
        <w:rPr>
          <w:rFonts w:cstheme="minorHAnsi"/>
          <w:b/>
          <w:bCs/>
          <w:sz w:val="28"/>
          <w:szCs w:val="28"/>
        </w:rPr>
      </w:pPr>
      <w:r>
        <w:rPr>
          <w:rFonts w:cstheme="minorHAnsi"/>
          <w:b/>
          <w:bCs/>
          <w:sz w:val="28"/>
          <w:szCs w:val="28"/>
        </w:rPr>
        <w:br w:type="page"/>
      </w:r>
      <w:r w:rsidR="00431942">
        <w:rPr>
          <w:rFonts w:cstheme="minorHAnsi"/>
          <w:b/>
          <w:bCs/>
          <w:sz w:val="28"/>
          <w:szCs w:val="28"/>
        </w:rPr>
        <w:lastRenderedPageBreak/>
        <w:t>Introduction:</w:t>
      </w:r>
    </w:p>
    <w:p w14:paraId="4B5E165D" w14:textId="470000C1" w:rsidR="00431942" w:rsidRDefault="00E27724">
      <w:pPr>
        <w:rPr>
          <w:rFonts w:cstheme="minorHAnsi"/>
        </w:rPr>
      </w:pPr>
      <w:r>
        <w:rPr>
          <w:rFonts w:cstheme="minorHAnsi"/>
        </w:rPr>
        <w:t xml:space="preserve">When evaluating a new or existing intervention for a healthcare treatment, or in other research areas, the most robust method is using a Randomised Controlled Trial (RCT). RCTs rely on participant recruitment, and retention to be able to answer their study questions, but these are often </w:t>
      </w:r>
      <w:r w:rsidR="00F93FFC">
        <w:rPr>
          <w:rFonts w:cstheme="minorHAnsi"/>
        </w:rPr>
        <w:t>challenging</w:t>
      </w:r>
      <w:r>
        <w:rPr>
          <w:rFonts w:cstheme="minorHAnsi"/>
        </w:rPr>
        <w:t>. [</w:t>
      </w:r>
      <w:r w:rsidR="0078506A">
        <w:rPr>
          <w:rFonts w:cstheme="minorHAnsi"/>
        </w:rPr>
        <w:t>1, 2</w:t>
      </w:r>
      <w:r>
        <w:rPr>
          <w:rFonts w:cstheme="minorHAnsi"/>
        </w:rPr>
        <w:t xml:space="preserve">] </w:t>
      </w:r>
      <w:r w:rsidR="00163AA3">
        <w:rPr>
          <w:rFonts w:cstheme="minorHAnsi"/>
        </w:rPr>
        <w:t>Methodological changes to elements within RCTs can be tested to improve both recruitment and retention, and one method to test these changes is using a Study Within A Trial (SWAT)</w:t>
      </w:r>
      <w:r w:rsidR="00CA3E06">
        <w:rPr>
          <w:rFonts w:cstheme="minorHAnsi"/>
        </w:rPr>
        <w:t>.</w:t>
      </w:r>
      <w:r w:rsidR="002F613A">
        <w:rPr>
          <w:rFonts w:cstheme="minorHAnsi"/>
        </w:rPr>
        <w:t xml:space="preserve"> [</w:t>
      </w:r>
      <w:r w:rsidR="0078506A">
        <w:rPr>
          <w:rFonts w:cstheme="minorHAnsi"/>
        </w:rPr>
        <w:t>3</w:t>
      </w:r>
      <w:r w:rsidR="002F613A">
        <w:rPr>
          <w:rFonts w:cstheme="minorHAnsi"/>
        </w:rPr>
        <w:t>]</w:t>
      </w:r>
      <w:r w:rsidR="00163AA3">
        <w:rPr>
          <w:rFonts w:cstheme="minorHAnsi"/>
        </w:rPr>
        <w:t xml:space="preserve"> </w:t>
      </w:r>
      <w:r w:rsidR="009329E0">
        <w:rPr>
          <w:rFonts w:cstheme="minorHAnsi"/>
        </w:rPr>
        <w:t xml:space="preserve">SWATs are self-contained research studies, which evaluate alternative ways of delivering elements of a trial process and are embedded within a host trial. </w:t>
      </w:r>
    </w:p>
    <w:p w14:paraId="6E534162" w14:textId="3AAFFF1D" w:rsidR="00163AA3" w:rsidRDefault="00163AA3">
      <w:pPr>
        <w:rPr>
          <w:rFonts w:cstheme="minorHAnsi"/>
        </w:rPr>
      </w:pPr>
      <w:r>
        <w:rPr>
          <w:rFonts w:cstheme="minorHAnsi"/>
        </w:rPr>
        <w:t>Pre-notification has been shown to increase the return rates of questionnaires [</w:t>
      </w:r>
      <w:r w:rsidR="0078506A">
        <w:rPr>
          <w:rFonts w:cstheme="minorHAnsi"/>
        </w:rPr>
        <w:t>4</w:t>
      </w:r>
      <w:r>
        <w:rPr>
          <w:rFonts w:cstheme="minorHAnsi"/>
        </w:rPr>
        <w:t>], and newsletters are often used to increase engagement with participant</w:t>
      </w:r>
      <w:r w:rsidR="00B27924">
        <w:rPr>
          <w:rFonts w:cstheme="minorHAnsi"/>
        </w:rPr>
        <w:t>s</w:t>
      </w:r>
      <w:r>
        <w:rPr>
          <w:rFonts w:cstheme="minorHAnsi"/>
        </w:rPr>
        <w:t xml:space="preserve"> in a trial</w:t>
      </w:r>
      <w:r w:rsidR="00F93FFC">
        <w:rPr>
          <w:rFonts w:cstheme="minorHAnsi"/>
        </w:rPr>
        <w:t>. T</w:t>
      </w:r>
      <w:r w:rsidR="002F613A">
        <w:rPr>
          <w:rFonts w:cstheme="minorHAnsi"/>
        </w:rPr>
        <w:t xml:space="preserve">he impact of their use is </w:t>
      </w:r>
      <w:r w:rsidR="00F93FFC">
        <w:rPr>
          <w:rFonts w:cstheme="minorHAnsi"/>
        </w:rPr>
        <w:t xml:space="preserve">however </w:t>
      </w:r>
      <w:r w:rsidR="002F613A">
        <w:rPr>
          <w:rFonts w:cstheme="minorHAnsi"/>
        </w:rPr>
        <w:t>unclear</w:t>
      </w:r>
      <w:r>
        <w:rPr>
          <w:rFonts w:cstheme="minorHAnsi"/>
        </w:rPr>
        <w:t xml:space="preserve"> [</w:t>
      </w:r>
      <w:r w:rsidR="0078506A">
        <w:rPr>
          <w:rFonts w:cstheme="minorHAnsi"/>
        </w:rPr>
        <w:t>5, 6, 7</w:t>
      </w:r>
      <w:r>
        <w:rPr>
          <w:rFonts w:cstheme="minorHAnsi"/>
        </w:rPr>
        <w:t>]</w:t>
      </w:r>
      <w:r w:rsidR="00F93FFC">
        <w:rPr>
          <w:rFonts w:cstheme="minorHAnsi"/>
        </w:rPr>
        <w:t xml:space="preserve"> with </w:t>
      </w:r>
      <w:r>
        <w:rPr>
          <w:rFonts w:cstheme="minorHAnsi"/>
        </w:rPr>
        <w:t>insufficient evidence</w:t>
      </w:r>
      <w:r w:rsidR="00F93FFC">
        <w:rPr>
          <w:rFonts w:cstheme="minorHAnsi"/>
        </w:rPr>
        <w:t xml:space="preserve"> available currently</w:t>
      </w:r>
      <w:r>
        <w:rPr>
          <w:rFonts w:cstheme="minorHAnsi"/>
        </w:rPr>
        <w:t xml:space="preserve"> to determine if sending</w:t>
      </w:r>
      <w:r w:rsidR="00A72729">
        <w:rPr>
          <w:rFonts w:cstheme="minorHAnsi"/>
        </w:rPr>
        <w:t xml:space="preserve"> a pre-notification newsletter to</w:t>
      </w:r>
      <w:r>
        <w:rPr>
          <w:rFonts w:cstheme="minorHAnsi"/>
        </w:rPr>
        <w:t xml:space="preserve"> participants in advance of their upcoming follow-up</w:t>
      </w:r>
      <w:r w:rsidR="00CB2189">
        <w:rPr>
          <w:rFonts w:cstheme="minorHAnsi"/>
        </w:rPr>
        <w:t xml:space="preserve"> postal questionnaire</w:t>
      </w:r>
      <w:r>
        <w:rPr>
          <w:rFonts w:cstheme="minorHAnsi"/>
        </w:rPr>
        <w:t xml:space="preserve"> increases retention. This SWAT aims to evaluate the </w:t>
      </w:r>
      <w:r w:rsidR="007379F9">
        <w:rPr>
          <w:rFonts w:cstheme="minorHAnsi"/>
        </w:rPr>
        <w:t xml:space="preserve">research question: does sending a prenotification newsletter to participants increase the retention rate compared to not sending one, </w:t>
      </w:r>
      <w:r w:rsidR="00B27924">
        <w:rPr>
          <w:rFonts w:cstheme="minorHAnsi"/>
        </w:rPr>
        <w:t>for</w:t>
      </w:r>
      <w:r w:rsidR="007379F9">
        <w:rPr>
          <w:rFonts w:cstheme="minorHAnsi"/>
        </w:rPr>
        <w:t xml:space="preserve"> participants in the PROFHER-2 trial? </w:t>
      </w:r>
      <w:r w:rsidR="00CB2189">
        <w:rPr>
          <w:rFonts w:cstheme="minorHAnsi"/>
        </w:rPr>
        <w:t>Individually SWATs are not usually sufficiently powered to detect small differences in retention rates and therefore require replication and collation through meta-analysis [3]. This SWAT will therefore</w:t>
      </w:r>
      <w:r w:rsidR="007379F9">
        <w:rPr>
          <w:rFonts w:cstheme="minorHAnsi"/>
        </w:rPr>
        <w:t xml:space="preserve"> also</w:t>
      </w:r>
      <w:r>
        <w:rPr>
          <w:rFonts w:cstheme="minorHAnsi"/>
        </w:rPr>
        <w:t xml:space="preserve"> add to the existing evidence bas</w:t>
      </w:r>
      <w:r w:rsidR="0078506A">
        <w:rPr>
          <w:rFonts w:cstheme="minorHAnsi"/>
        </w:rPr>
        <w:t>e for newsletters as a</w:t>
      </w:r>
      <w:r w:rsidR="00CB2189">
        <w:rPr>
          <w:rFonts w:cstheme="minorHAnsi"/>
        </w:rPr>
        <w:t xml:space="preserve"> participant</w:t>
      </w:r>
      <w:r w:rsidR="0078506A">
        <w:rPr>
          <w:rFonts w:cstheme="minorHAnsi"/>
        </w:rPr>
        <w:t xml:space="preserve"> prenotification aid</w:t>
      </w:r>
      <w:r>
        <w:rPr>
          <w:rFonts w:cstheme="minorHAnsi"/>
        </w:rPr>
        <w:t xml:space="preserve"> </w:t>
      </w:r>
    </w:p>
    <w:p w14:paraId="49D2DF9F" w14:textId="77777777" w:rsidR="00163AA3" w:rsidRDefault="00163AA3">
      <w:pPr>
        <w:rPr>
          <w:rFonts w:cstheme="minorHAnsi"/>
        </w:rPr>
      </w:pPr>
    </w:p>
    <w:p w14:paraId="7B20B34D" w14:textId="411064E3" w:rsidR="00431942" w:rsidRDefault="00431942">
      <w:pPr>
        <w:rPr>
          <w:rFonts w:cstheme="minorHAnsi"/>
          <w:b/>
          <w:bCs/>
          <w:sz w:val="28"/>
          <w:szCs w:val="28"/>
        </w:rPr>
      </w:pPr>
      <w:r>
        <w:rPr>
          <w:rFonts w:cstheme="minorHAnsi"/>
          <w:b/>
          <w:bCs/>
          <w:sz w:val="28"/>
          <w:szCs w:val="28"/>
        </w:rPr>
        <w:t>Methods</w:t>
      </w:r>
      <w:r w:rsidR="00B03A24">
        <w:rPr>
          <w:rFonts w:cstheme="minorHAnsi"/>
          <w:b/>
          <w:bCs/>
          <w:sz w:val="28"/>
          <w:szCs w:val="28"/>
        </w:rPr>
        <w:t>:</w:t>
      </w:r>
    </w:p>
    <w:p w14:paraId="71C10F69" w14:textId="108A27B9" w:rsidR="00B03A24" w:rsidRDefault="00B42474">
      <w:pPr>
        <w:rPr>
          <w:rFonts w:cstheme="minorHAnsi"/>
        </w:rPr>
      </w:pPr>
      <w:r w:rsidRPr="00B42474">
        <w:rPr>
          <w:rFonts w:cstheme="minorHAnsi"/>
          <w:b/>
          <w:bCs/>
        </w:rPr>
        <w:t>Trial design:</w:t>
      </w:r>
      <w:r>
        <w:rPr>
          <w:rFonts w:cstheme="minorHAnsi"/>
        </w:rPr>
        <w:t xml:space="preserve"> </w:t>
      </w:r>
    </w:p>
    <w:p w14:paraId="5E835B7F" w14:textId="72EDA4C0" w:rsidR="00E76BE8" w:rsidRDefault="00163AA3">
      <w:pPr>
        <w:rPr>
          <w:rFonts w:cstheme="minorHAnsi"/>
        </w:rPr>
      </w:pPr>
      <w:r>
        <w:rPr>
          <w:rFonts w:cstheme="minorHAnsi"/>
        </w:rPr>
        <w:t>This two-arm parallel group SWAT was embedded within the PROFHER-2 RCT</w:t>
      </w:r>
      <w:r w:rsidR="007379F9">
        <w:rPr>
          <w:rFonts w:cstheme="minorHAnsi"/>
        </w:rPr>
        <w:t xml:space="preserve"> (</w:t>
      </w:r>
      <w:r w:rsidR="007379F9" w:rsidRPr="007379F9">
        <w:rPr>
          <w:rFonts w:cstheme="minorHAnsi"/>
        </w:rPr>
        <w:t>ISRCTN76296703</w:t>
      </w:r>
      <w:r w:rsidR="007379F9">
        <w:rPr>
          <w:rFonts w:cstheme="minorHAnsi"/>
        </w:rPr>
        <w:t>)</w:t>
      </w:r>
      <w:r>
        <w:rPr>
          <w:rFonts w:cstheme="minorHAnsi"/>
        </w:rPr>
        <w:t>, [</w:t>
      </w:r>
      <w:r w:rsidR="0078506A">
        <w:rPr>
          <w:rFonts w:cstheme="minorHAnsi"/>
        </w:rPr>
        <w:t>8</w:t>
      </w:r>
      <w:r>
        <w:rPr>
          <w:rFonts w:cstheme="minorHAnsi"/>
        </w:rPr>
        <w:t xml:space="preserve">] which is evaluating the best treatment for older adults (&gt;=65 years old) with a three- or four-part fracture of the proximal </w:t>
      </w:r>
      <w:r w:rsidRPr="00163AA3">
        <w:rPr>
          <w:rFonts w:cstheme="minorHAnsi"/>
        </w:rPr>
        <w:t>humerus</w:t>
      </w:r>
      <w:r>
        <w:rPr>
          <w:rFonts w:cstheme="minorHAnsi"/>
        </w:rPr>
        <w:t xml:space="preserve">. </w:t>
      </w:r>
      <w:r w:rsidR="00200360">
        <w:rPr>
          <w:rFonts w:cstheme="minorHAnsi"/>
        </w:rPr>
        <w:t xml:space="preserve">PROFHER-2 compares two surgical treatments (reverse shoulder arthroplasty and hemiarthroplasty) with non-surgical care and </w:t>
      </w:r>
      <w:r w:rsidR="00F93FFC">
        <w:rPr>
          <w:rFonts w:cstheme="minorHAnsi"/>
        </w:rPr>
        <w:t xml:space="preserve">is </w:t>
      </w:r>
      <w:r w:rsidR="00CA3E06">
        <w:rPr>
          <w:rFonts w:cstheme="minorHAnsi"/>
        </w:rPr>
        <w:t xml:space="preserve">based within </w:t>
      </w:r>
      <w:r w:rsidR="00200360">
        <w:rPr>
          <w:rFonts w:cstheme="minorHAnsi"/>
        </w:rPr>
        <w:t xml:space="preserve">hospitals in the United Kingdom. </w:t>
      </w:r>
      <w:r>
        <w:rPr>
          <w:rFonts w:cstheme="minorHAnsi"/>
        </w:rPr>
        <w:t>Th</w:t>
      </w:r>
      <w:r w:rsidR="00A65EF7">
        <w:rPr>
          <w:rFonts w:cstheme="minorHAnsi"/>
        </w:rPr>
        <w:t>is</w:t>
      </w:r>
      <w:r>
        <w:rPr>
          <w:rFonts w:cstheme="minorHAnsi"/>
        </w:rPr>
        <w:t xml:space="preserve"> SWAT</w:t>
      </w:r>
      <w:r w:rsidR="00A65EF7">
        <w:rPr>
          <w:rFonts w:cstheme="minorHAnsi"/>
        </w:rPr>
        <w:t xml:space="preserve"> is a replication of SWAT 28 on the SWAT </w:t>
      </w:r>
      <w:r w:rsidR="00052B98">
        <w:rPr>
          <w:rFonts w:cstheme="minorHAnsi"/>
        </w:rPr>
        <w:t>repository</w:t>
      </w:r>
      <w:r w:rsidR="00A65EF7">
        <w:rPr>
          <w:rFonts w:cstheme="minorHAnsi"/>
        </w:rPr>
        <w:t xml:space="preserve"> [</w:t>
      </w:r>
      <w:r w:rsidR="0078506A">
        <w:rPr>
          <w:rFonts w:cstheme="minorHAnsi"/>
        </w:rPr>
        <w:t>9</w:t>
      </w:r>
      <w:r w:rsidR="00A65EF7">
        <w:rPr>
          <w:rFonts w:cstheme="minorHAnsi"/>
        </w:rPr>
        <w:t>]</w:t>
      </w:r>
      <w:r w:rsidR="00EC0637">
        <w:rPr>
          <w:rFonts w:cstheme="minorHAnsi"/>
        </w:rPr>
        <w:t xml:space="preserve"> which evaluated prenotification newsletters in a trial evaluating osteoporosis screening for older female adults. </w:t>
      </w:r>
      <w:r w:rsidR="00923D48">
        <w:rPr>
          <w:rFonts w:cstheme="minorHAnsi"/>
        </w:rPr>
        <w:t>In addition to the replications reported in the recent Cochrane review of retention strategies for RCTs [4], this</w:t>
      </w:r>
      <w:r w:rsidR="00EC0637">
        <w:rPr>
          <w:rFonts w:cstheme="minorHAnsi"/>
        </w:rPr>
        <w:t xml:space="preserve"> SWAT has previously been undertaken in a trial </w:t>
      </w:r>
      <w:r w:rsidR="00923D48">
        <w:rPr>
          <w:rFonts w:cstheme="minorHAnsi"/>
        </w:rPr>
        <w:t>of falls prevention interventions in older adults</w:t>
      </w:r>
      <w:r w:rsidR="00B521CD">
        <w:rPr>
          <w:rFonts w:cstheme="minorHAnsi"/>
        </w:rPr>
        <w:t>, [5]</w:t>
      </w:r>
      <w:r w:rsidR="00923D48">
        <w:rPr>
          <w:rFonts w:cstheme="minorHAnsi"/>
        </w:rPr>
        <w:t xml:space="preserve"> further replications are ongoing</w:t>
      </w:r>
      <w:r w:rsidR="00200360">
        <w:rPr>
          <w:rFonts w:cstheme="minorHAnsi"/>
        </w:rPr>
        <w:t xml:space="preserve"> </w:t>
      </w:r>
      <w:r w:rsidR="00923D48">
        <w:rPr>
          <w:rFonts w:cstheme="minorHAnsi"/>
        </w:rPr>
        <w:t>in trials of treatments for healing of venous leg ulceration and in a trial of surgical interventions for shoulder arthritis</w:t>
      </w:r>
      <w:r w:rsidR="00200360">
        <w:rPr>
          <w:rFonts w:cstheme="minorHAnsi"/>
        </w:rPr>
        <w:t xml:space="preserve"> [</w:t>
      </w:r>
      <w:r w:rsidR="0078506A">
        <w:rPr>
          <w:rFonts w:cstheme="minorHAnsi"/>
        </w:rPr>
        <w:t>10</w:t>
      </w:r>
      <w:r w:rsidR="00AE26DA">
        <w:rPr>
          <w:rFonts w:cstheme="minorHAnsi"/>
        </w:rPr>
        <w:t>, 11]</w:t>
      </w:r>
      <w:r w:rsidR="00200360">
        <w:rPr>
          <w:rFonts w:cstheme="minorHAnsi"/>
        </w:rPr>
        <w:t xml:space="preserve">. </w:t>
      </w:r>
      <w:r w:rsidR="00F01FF1">
        <w:rPr>
          <w:rFonts w:cstheme="minorHAnsi"/>
        </w:rPr>
        <w:t xml:space="preserve">Participants were randomised </w:t>
      </w:r>
      <w:r w:rsidR="00085994">
        <w:rPr>
          <w:rFonts w:cstheme="minorHAnsi"/>
        </w:rPr>
        <w:t xml:space="preserve">with an allocation ratio of 1:1 to either receive a pre-notification newsletter, or to receive nothing. </w:t>
      </w:r>
    </w:p>
    <w:p w14:paraId="5CB306A1" w14:textId="52F6E803" w:rsidR="00163AA3" w:rsidRDefault="007379F9">
      <w:pPr>
        <w:rPr>
          <w:rFonts w:cstheme="minorHAnsi"/>
        </w:rPr>
      </w:pPr>
      <w:r>
        <w:rPr>
          <w:rFonts w:cstheme="minorHAnsi"/>
        </w:rPr>
        <w:t xml:space="preserve">This SWAT was approved by the </w:t>
      </w:r>
      <w:proofErr w:type="gramStart"/>
      <w:r w:rsidR="00A72729">
        <w:rPr>
          <w:rFonts w:cstheme="minorHAnsi"/>
        </w:rPr>
        <w:t>North East</w:t>
      </w:r>
      <w:proofErr w:type="gramEnd"/>
      <w:r w:rsidR="00A72729">
        <w:rPr>
          <w:rFonts w:cstheme="minorHAnsi"/>
        </w:rPr>
        <w:t xml:space="preserve"> – Tyne and Wear South </w:t>
      </w:r>
      <w:r>
        <w:rPr>
          <w:rFonts w:cstheme="minorHAnsi"/>
        </w:rPr>
        <w:t xml:space="preserve">Research Ethics Committee </w:t>
      </w:r>
      <w:r w:rsidR="00923D48">
        <w:rPr>
          <w:rFonts w:cstheme="minorHAnsi"/>
        </w:rPr>
        <w:t>(Reference:</w:t>
      </w:r>
      <w:r w:rsidR="00923D48" w:rsidRPr="00923D48">
        <w:t xml:space="preserve"> </w:t>
      </w:r>
      <w:r w:rsidR="00923D48" w:rsidRPr="00923D48">
        <w:rPr>
          <w:rFonts w:cstheme="minorHAnsi"/>
        </w:rPr>
        <w:t>18.NE.0125</w:t>
      </w:r>
      <w:r w:rsidR="00923D48">
        <w:rPr>
          <w:rFonts w:cstheme="minorHAnsi"/>
        </w:rPr>
        <w:t xml:space="preserve">) </w:t>
      </w:r>
      <w:r w:rsidR="00A72729">
        <w:rPr>
          <w:rFonts w:cstheme="minorHAnsi"/>
        </w:rPr>
        <w:t>was part of a change to the overall trial protocol.</w:t>
      </w:r>
      <w:r>
        <w:rPr>
          <w:rFonts w:cstheme="minorHAnsi"/>
        </w:rPr>
        <w:t xml:space="preserve"> </w:t>
      </w:r>
      <w:r w:rsidR="00E76BE8">
        <w:rPr>
          <w:rFonts w:cstheme="minorHAnsi"/>
        </w:rPr>
        <w:t xml:space="preserve">The SWAT was embedded </w:t>
      </w:r>
      <w:r w:rsidR="00F93FFC">
        <w:rPr>
          <w:rFonts w:cstheme="minorHAnsi"/>
        </w:rPr>
        <w:t xml:space="preserve">with effect from </w:t>
      </w:r>
      <w:r w:rsidR="00DC7D0D">
        <w:rPr>
          <w:rFonts w:cstheme="minorHAnsi"/>
        </w:rPr>
        <w:t>29</w:t>
      </w:r>
      <w:r w:rsidR="00DC7D0D" w:rsidRPr="00DC7D0D">
        <w:rPr>
          <w:rFonts w:cstheme="minorHAnsi"/>
          <w:vertAlign w:val="superscript"/>
        </w:rPr>
        <w:t>th</w:t>
      </w:r>
      <w:r w:rsidR="00DC7D0D">
        <w:rPr>
          <w:rFonts w:cstheme="minorHAnsi"/>
        </w:rPr>
        <w:t xml:space="preserve"> </w:t>
      </w:r>
      <w:r w:rsidR="00E76BE8">
        <w:rPr>
          <w:rFonts w:cstheme="minorHAnsi"/>
        </w:rPr>
        <w:t>April 2021, and all participants who were fully participating in the trial and were still due their 24</w:t>
      </w:r>
      <w:r w:rsidR="00960A89">
        <w:rPr>
          <w:rFonts w:cstheme="minorHAnsi"/>
        </w:rPr>
        <w:t>-</w:t>
      </w:r>
      <w:r w:rsidR="00E76BE8">
        <w:rPr>
          <w:rFonts w:cstheme="minorHAnsi"/>
        </w:rPr>
        <w:t xml:space="preserve">month follow-up </w:t>
      </w:r>
      <w:r w:rsidR="00CB2189">
        <w:rPr>
          <w:rFonts w:cstheme="minorHAnsi"/>
        </w:rPr>
        <w:t xml:space="preserve">postal questionnaire </w:t>
      </w:r>
      <w:r w:rsidR="00E76BE8">
        <w:rPr>
          <w:rFonts w:cstheme="minorHAnsi"/>
        </w:rPr>
        <w:t xml:space="preserve">after </w:t>
      </w:r>
      <w:r w:rsidR="00DC7D0D">
        <w:rPr>
          <w:rFonts w:cstheme="minorHAnsi"/>
        </w:rPr>
        <w:t>1</w:t>
      </w:r>
      <w:r w:rsidR="0043675F">
        <w:rPr>
          <w:rFonts w:cstheme="minorHAnsi"/>
        </w:rPr>
        <w:t>3</w:t>
      </w:r>
      <w:r w:rsidR="00DC7D0D" w:rsidRPr="00DC7D0D">
        <w:rPr>
          <w:rFonts w:cstheme="minorHAnsi"/>
          <w:vertAlign w:val="superscript"/>
        </w:rPr>
        <w:t>th</w:t>
      </w:r>
      <w:r w:rsidR="00DC7D0D">
        <w:rPr>
          <w:rFonts w:cstheme="minorHAnsi"/>
        </w:rPr>
        <w:t xml:space="preserve"> May</w:t>
      </w:r>
      <w:r w:rsidR="00E76BE8">
        <w:rPr>
          <w:rFonts w:cstheme="minorHAnsi"/>
        </w:rPr>
        <w:t xml:space="preserve"> 2021</w:t>
      </w:r>
      <w:r w:rsidR="00DC7D0D">
        <w:rPr>
          <w:rFonts w:cstheme="minorHAnsi"/>
        </w:rPr>
        <w:t xml:space="preserve"> </w:t>
      </w:r>
      <w:r w:rsidR="0043675F">
        <w:rPr>
          <w:rFonts w:cstheme="minorHAnsi"/>
        </w:rPr>
        <w:t xml:space="preserve">to were </w:t>
      </w:r>
      <w:r w:rsidR="00F93FFC">
        <w:rPr>
          <w:rFonts w:cstheme="minorHAnsi"/>
        </w:rPr>
        <w:t xml:space="preserve">planned </w:t>
      </w:r>
      <w:r w:rsidR="0043675F">
        <w:rPr>
          <w:rFonts w:cstheme="minorHAnsi"/>
        </w:rPr>
        <w:t xml:space="preserve">to be included in this SWAT </w:t>
      </w:r>
      <w:r w:rsidR="00DC7D0D">
        <w:rPr>
          <w:rFonts w:cstheme="minorHAnsi"/>
        </w:rPr>
        <w:t xml:space="preserve">(allowing </w:t>
      </w:r>
      <w:r w:rsidR="0043675F">
        <w:rPr>
          <w:rFonts w:cstheme="minorHAnsi"/>
        </w:rPr>
        <w:t xml:space="preserve">for the </w:t>
      </w:r>
      <w:r w:rsidR="00CB2189">
        <w:rPr>
          <w:rFonts w:cstheme="minorHAnsi"/>
        </w:rPr>
        <w:t xml:space="preserve">participant </w:t>
      </w:r>
      <w:r w:rsidR="0043675F">
        <w:rPr>
          <w:rFonts w:cstheme="minorHAnsi"/>
        </w:rPr>
        <w:t xml:space="preserve">prenotification newsletter to be sent </w:t>
      </w:r>
      <w:r w:rsidR="00DC7D0D">
        <w:rPr>
          <w:rFonts w:cstheme="minorHAnsi"/>
        </w:rPr>
        <w:t>2</w:t>
      </w:r>
      <w:r w:rsidR="00E76BE8">
        <w:rPr>
          <w:rFonts w:cstheme="minorHAnsi"/>
        </w:rPr>
        <w:t xml:space="preserve"> </w:t>
      </w:r>
      <w:r w:rsidR="0043675F">
        <w:rPr>
          <w:rFonts w:cstheme="minorHAnsi"/>
        </w:rPr>
        <w:t>weeks prior to the questionnaire)</w:t>
      </w:r>
      <w:r w:rsidR="00E76BE8">
        <w:rPr>
          <w:rFonts w:cstheme="minorHAnsi"/>
        </w:rPr>
        <w:t xml:space="preserve">. The SWAT was planned to run until the end of </w:t>
      </w:r>
      <w:r w:rsidR="009717D8">
        <w:rPr>
          <w:rFonts w:cstheme="minorHAnsi"/>
        </w:rPr>
        <w:t xml:space="preserve">the host trial </w:t>
      </w:r>
      <w:r w:rsidR="00E76BE8">
        <w:rPr>
          <w:rFonts w:cstheme="minorHAnsi"/>
        </w:rPr>
        <w:t>recruitment</w:t>
      </w:r>
      <w:r w:rsidR="009717D8">
        <w:rPr>
          <w:rFonts w:cstheme="minorHAnsi"/>
        </w:rPr>
        <w:t xml:space="preserve"> period</w:t>
      </w:r>
      <w:r w:rsidR="00E76BE8">
        <w:rPr>
          <w:rFonts w:cstheme="minorHAnsi"/>
        </w:rPr>
        <w:t xml:space="preserve">; however, </w:t>
      </w:r>
      <w:r w:rsidR="009717D8">
        <w:rPr>
          <w:rFonts w:cstheme="minorHAnsi"/>
        </w:rPr>
        <w:t xml:space="preserve">following discussion with the trial management group </w:t>
      </w:r>
      <w:r w:rsidR="00E76BE8">
        <w:rPr>
          <w:rFonts w:cstheme="minorHAnsi"/>
        </w:rPr>
        <w:t>the decision was made to end the SWAT early due to perceived benefit of maintaining participant engagement, and to ensure high response rate. As such, the SWAT was ended on 31</w:t>
      </w:r>
      <w:r w:rsidR="00E76BE8" w:rsidRPr="00E76BE8">
        <w:rPr>
          <w:rFonts w:cstheme="minorHAnsi"/>
          <w:vertAlign w:val="superscript"/>
        </w:rPr>
        <w:t>st</w:t>
      </w:r>
      <w:r w:rsidR="00E76BE8">
        <w:rPr>
          <w:rFonts w:cstheme="minorHAnsi"/>
        </w:rPr>
        <w:t xml:space="preserve"> March 2022, and all participant following this point were sent the </w:t>
      </w:r>
      <w:r w:rsidR="00CB2189">
        <w:rPr>
          <w:rFonts w:cstheme="minorHAnsi"/>
        </w:rPr>
        <w:t xml:space="preserve">participant </w:t>
      </w:r>
      <w:r w:rsidR="00E76BE8">
        <w:rPr>
          <w:rFonts w:cstheme="minorHAnsi"/>
        </w:rPr>
        <w:t>prenotification newsletter before their 24</w:t>
      </w:r>
      <w:r w:rsidR="00960A89">
        <w:rPr>
          <w:rFonts w:cstheme="minorHAnsi"/>
        </w:rPr>
        <w:t>-</w:t>
      </w:r>
      <w:r w:rsidR="00E76BE8">
        <w:rPr>
          <w:rFonts w:cstheme="minorHAnsi"/>
        </w:rPr>
        <w:t>month follow-up</w:t>
      </w:r>
      <w:r w:rsidR="00CB2189">
        <w:rPr>
          <w:rFonts w:cstheme="minorHAnsi"/>
        </w:rPr>
        <w:t xml:space="preserve"> </w:t>
      </w:r>
      <w:r w:rsidR="00CB2189">
        <w:rPr>
          <w:rFonts w:cstheme="minorHAnsi"/>
        </w:rPr>
        <w:lastRenderedPageBreak/>
        <w:t>postal questionnaire</w:t>
      </w:r>
      <w:r w:rsidR="00E76BE8">
        <w:rPr>
          <w:rFonts w:cstheme="minorHAnsi"/>
        </w:rPr>
        <w:t xml:space="preserve">. </w:t>
      </w:r>
      <w:r w:rsidR="008F2278">
        <w:rPr>
          <w:rFonts w:cstheme="minorHAnsi"/>
        </w:rPr>
        <w:t>Participants data were collected up until 7</w:t>
      </w:r>
      <w:r w:rsidR="008F2278" w:rsidRPr="008F2278">
        <w:rPr>
          <w:rFonts w:cstheme="minorHAnsi"/>
          <w:vertAlign w:val="superscript"/>
        </w:rPr>
        <w:t>th</w:t>
      </w:r>
      <w:r w:rsidR="008F2278">
        <w:rPr>
          <w:rFonts w:cstheme="minorHAnsi"/>
        </w:rPr>
        <w:t xml:space="preserve"> May 2022, to allow the last due questionnaire 60days to be returned. </w:t>
      </w:r>
    </w:p>
    <w:p w14:paraId="44176F4E" w14:textId="77777777" w:rsidR="00E76BE8" w:rsidRDefault="00E76BE8">
      <w:pPr>
        <w:rPr>
          <w:rFonts w:cstheme="minorHAnsi"/>
          <w:b/>
          <w:bCs/>
        </w:rPr>
      </w:pPr>
    </w:p>
    <w:p w14:paraId="037300DA" w14:textId="5E60D6A5" w:rsidR="00B03A24" w:rsidRPr="00B42474" w:rsidRDefault="00B03A24">
      <w:pPr>
        <w:rPr>
          <w:rFonts w:cstheme="minorHAnsi"/>
        </w:rPr>
      </w:pPr>
      <w:r w:rsidRPr="00B42474">
        <w:rPr>
          <w:rFonts w:cstheme="minorHAnsi"/>
          <w:b/>
          <w:bCs/>
        </w:rPr>
        <w:t>Participants:</w:t>
      </w:r>
      <w:r w:rsidR="00B42474">
        <w:rPr>
          <w:rFonts w:cstheme="minorHAnsi"/>
        </w:rPr>
        <w:t xml:space="preserve"> </w:t>
      </w:r>
    </w:p>
    <w:p w14:paraId="2B8DDC20" w14:textId="7032F6B2" w:rsidR="00E76BE8" w:rsidRDefault="00E76BE8">
      <w:pPr>
        <w:rPr>
          <w:rFonts w:cstheme="minorHAnsi"/>
        </w:rPr>
      </w:pPr>
      <w:r w:rsidRPr="00E76BE8">
        <w:rPr>
          <w:rFonts w:cstheme="minorHAnsi"/>
        </w:rPr>
        <w:t xml:space="preserve">All participants </w:t>
      </w:r>
      <w:r>
        <w:rPr>
          <w:rFonts w:cstheme="minorHAnsi"/>
        </w:rPr>
        <w:t xml:space="preserve">who were still fully participating </w:t>
      </w:r>
      <w:r w:rsidR="009717D8">
        <w:rPr>
          <w:rFonts w:cstheme="minorHAnsi"/>
        </w:rPr>
        <w:t xml:space="preserve">in the host trial </w:t>
      </w:r>
      <w:r>
        <w:rPr>
          <w:rFonts w:cstheme="minorHAnsi"/>
        </w:rPr>
        <w:t>(</w:t>
      </w:r>
      <w:r w:rsidR="00A2256F">
        <w:rPr>
          <w:rFonts w:cstheme="minorHAnsi"/>
        </w:rPr>
        <w:t>i.e.,</w:t>
      </w:r>
      <w:r w:rsidR="002C654C">
        <w:rPr>
          <w:rFonts w:cstheme="minorHAnsi"/>
        </w:rPr>
        <w:t xml:space="preserve"> not deceased, and</w:t>
      </w:r>
      <w:r>
        <w:rPr>
          <w:rFonts w:cstheme="minorHAnsi"/>
        </w:rPr>
        <w:t xml:space="preserve"> had not withdrawn from follow-up), and were due their 24</w:t>
      </w:r>
      <w:r w:rsidR="00960A89">
        <w:rPr>
          <w:rFonts w:cstheme="minorHAnsi"/>
        </w:rPr>
        <w:t>-</w:t>
      </w:r>
      <w:r>
        <w:rPr>
          <w:rFonts w:cstheme="minorHAnsi"/>
        </w:rPr>
        <w:t>month follow-up</w:t>
      </w:r>
      <w:r w:rsidR="00CB2189">
        <w:rPr>
          <w:rFonts w:cstheme="minorHAnsi"/>
        </w:rPr>
        <w:t xml:space="preserve"> postal questionnaire</w:t>
      </w:r>
      <w:r>
        <w:rPr>
          <w:rFonts w:cstheme="minorHAnsi"/>
        </w:rPr>
        <w:t>, were eligible to be included in the SWAT. SWAT data was collected routinely by York Trials Unit, as part of the monitoring of</w:t>
      </w:r>
      <w:r w:rsidR="00085994">
        <w:rPr>
          <w:rFonts w:cstheme="minorHAnsi"/>
        </w:rPr>
        <w:t xml:space="preserve"> postal</w:t>
      </w:r>
      <w:r>
        <w:rPr>
          <w:rFonts w:cstheme="minorHAnsi"/>
        </w:rPr>
        <w:t xml:space="preserve"> questionnaires being due, sent, and received. </w:t>
      </w:r>
    </w:p>
    <w:p w14:paraId="7D98A46A" w14:textId="77777777" w:rsidR="00E76BE8" w:rsidRPr="00E76BE8" w:rsidRDefault="00E76BE8">
      <w:pPr>
        <w:rPr>
          <w:rFonts w:cstheme="minorHAnsi"/>
        </w:rPr>
      </w:pPr>
    </w:p>
    <w:p w14:paraId="3A26CE64" w14:textId="5215DB60" w:rsidR="00200007" w:rsidRDefault="00B03A24">
      <w:pPr>
        <w:rPr>
          <w:rFonts w:cstheme="minorHAnsi"/>
        </w:rPr>
      </w:pPr>
      <w:r w:rsidRPr="00B42474">
        <w:rPr>
          <w:rFonts w:cstheme="minorHAnsi"/>
          <w:b/>
          <w:bCs/>
        </w:rPr>
        <w:t>Intervention</w:t>
      </w:r>
      <w:r w:rsidR="00200007" w:rsidRPr="00B42474">
        <w:rPr>
          <w:rFonts w:cstheme="minorHAnsi"/>
          <w:b/>
          <w:bCs/>
        </w:rPr>
        <w:t>:</w:t>
      </w:r>
      <w:r w:rsidR="00B42474">
        <w:rPr>
          <w:rFonts w:cstheme="minorHAnsi"/>
        </w:rPr>
        <w:t xml:space="preserve"> </w:t>
      </w:r>
    </w:p>
    <w:p w14:paraId="09218CF4" w14:textId="3883D528" w:rsidR="00EC0637" w:rsidRDefault="00E76BE8" w:rsidP="00EC0637">
      <w:pPr>
        <w:rPr>
          <w:rFonts w:cstheme="minorHAnsi"/>
        </w:rPr>
      </w:pPr>
      <w:r>
        <w:rPr>
          <w:rFonts w:cstheme="minorHAnsi"/>
        </w:rPr>
        <w:t xml:space="preserve">This SWAT was testing a </w:t>
      </w:r>
      <w:r w:rsidR="00CB2189">
        <w:rPr>
          <w:rFonts w:cstheme="minorHAnsi"/>
        </w:rPr>
        <w:t xml:space="preserve">participant </w:t>
      </w:r>
      <w:r>
        <w:rPr>
          <w:rFonts w:cstheme="minorHAnsi"/>
        </w:rPr>
        <w:t>prenotification newsletter</w:t>
      </w:r>
      <w:r w:rsidR="00A72729">
        <w:rPr>
          <w:rFonts w:cstheme="minorHAnsi"/>
        </w:rPr>
        <w:t xml:space="preserve"> (see </w:t>
      </w:r>
      <w:r w:rsidR="00025426">
        <w:rPr>
          <w:rFonts w:cstheme="minorHAnsi"/>
        </w:rPr>
        <w:t>Supplementary material</w:t>
      </w:r>
      <w:r w:rsidR="00A72729">
        <w:rPr>
          <w:rFonts w:cstheme="minorHAnsi"/>
        </w:rPr>
        <w:t>)</w:t>
      </w:r>
      <w:r>
        <w:rPr>
          <w:rFonts w:cstheme="minorHAnsi"/>
        </w:rPr>
        <w:t xml:space="preserve">, </w:t>
      </w:r>
      <w:r w:rsidR="00A2256F">
        <w:rPr>
          <w:rFonts w:cstheme="minorHAnsi"/>
        </w:rPr>
        <w:t>sent with</w:t>
      </w:r>
      <w:r>
        <w:rPr>
          <w:rFonts w:cstheme="minorHAnsi"/>
        </w:rPr>
        <w:t xml:space="preserve"> a cover letter, versus </w:t>
      </w:r>
      <w:r w:rsidR="00A2256F">
        <w:rPr>
          <w:rFonts w:cstheme="minorHAnsi"/>
        </w:rPr>
        <w:t>nothing</w:t>
      </w:r>
      <w:r>
        <w:rPr>
          <w:rFonts w:cstheme="minorHAnsi"/>
        </w:rPr>
        <w:t xml:space="preserve">. </w:t>
      </w:r>
    </w:p>
    <w:p w14:paraId="0D6D645D" w14:textId="7FFB904F" w:rsidR="00EC0637" w:rsidRDefault="00EC0637" w:rsidP="00EC0637">
      <w:pPr>
        <w:rPr>
          <w:rFonts w:cstheme="minorHAnsi"/>
        </w:rPr>
      </w:pPr>
      <w:r>
        <w:rPr>
          <w:rFonts w:cstheme="minorHAnsi"/>
        </w:rPr>
        <w:t>The design of the newsletter was based on that used in SWAT 28 [9] with modifications to reflect the host trial. In SWAT 28, the n</w:t>
      </w:r>
      <w:r w:rsidRPr="00EC0637">
        <w:rPr>
          <w:rFonts w:cstheme="minorHAnsi"/>
        </w:rPr>
        <w:t xml:space="preserve">ewsletter </w:t>
      </w:r>
      <w:r>
        <w:rPr>
          <w:rFonts w:cstheme="minorHAnsi"/>
        </w:rPr>
        <w:t xml:space="preserve">was </w:t>
      </w:r>
      <w:r w:rsidRPr="00EC0637">
        <w:rPr>
          <w:rFonts w:cstheme="minorHAnsi"/>
        </w:rPr>
        <w:t>printed as an A5 single sheet</w:t>
      </w:r>
      <w:r>
        <w:rPr>
          <w:rFonts w:cstheme="minorHAnsi"/>
        </w:rPr>
        <w:t xml:space="preserve"> and folded into a booklet. The newsletter contained an update on t</w:t>
      </w:r>
      <w:r w:rsidRPr="00EC0637">
        <w:rPr>
          <w:rFonts w:cstheme="minorHAnsi"/>
        </w:rPr>
        <w:t>he trials progress and remind</w:t>
      </w:r>
      <w:r>
        <w:rPr>
          <w:rFonts w:cstheme="minorHAnsi"/>
        </w:rPr>
        <w:t>ed participants</w:t>
      </w:r>
      <w:r w:rsidRPr="00EC0637">
        <w:rPr>
          <w:rFonts w:cstheme="minorHAnsi"/>
        </w:rPr>
        <w:t xml:space="preserve"> about the importance of returning their questionnaires whether they were in the control or intervention group. On the back of the newsletter, there was a brief description, with a photograph, of the local study team, </w:t>
      </w:r>
      <w:r>
        <w:rPr>
          <w:rFonts w:cstheme="minorHAnsi"/>
        </w:rPr>
        <w:t>and associated</w:t>
      </w:r>
      <w:r w:rsidRPr="00EC0637">
        <w:rPr>
          <w:rFonts w:cstheme="minorHAnsi"/>
        </w:rPr>
        <w:t xml:space="preserve"> contact details if the participant had any queries or questions. </w:t>
      </w:r>
      <w:r>
        <w:rPr>
          <w:rFonts w:cstheme="minorHAnsi"/>
        </w:rPr>
        <w:t xml:space="preserve">The prenotification participant newsletter was </w:t>
      </w:r>
      <w:r w:rsidRPr="00EC0637">
        <w:rPr>
          <w:rFonts w:cstheme="minorHAnsi"/>
        </w:rPr>
        <w:t>sent approximately 6 weeks before participants were due to receive their 24-month questionnaire.</w:t>
      </w:r>
    </w:p>
    <w:p w14:paraId="4CCFD79A" w14:textId="0C7E9695" w:rsidR="00EC0637" w:rsidRDefault="00EC0637">
      <w:pPr>
        <w:rPr>
          <w:rFonts w:cstheme="minorHAnsi"/>
        </w:rPr>
      </w:pPr>
      <w:r>
        <w:rPr>
          <w:rFonts w:cstheme="minorHAnsi"/>
        </w:rPr>
        <w:t xml:space="preserve">In this SWAT, the newsletter and accompanying cover letter were sent </w:t>
      </w:r>
      <w:r w:rsidR="009717D8">
        <w:rPr>
          <w:rFonts w:cstheme="minorHAnsi"/>
        </w:rPr>
        <w:t xml:space="preserve">by post to participants </w:t>
      </w:r>
      <w:r>
        <w:rPr>
          <w:rFonts w:cstheme="minorHAnsi"/>
        </w:rPr>
        <w:t xml:space="preserve">2-4 weeks prior to the 24-month postal follow-up questionnaire being due. </w:t>
      </w:r>
      <w:r w:rsidR="009717D8">
        <w:rPr>
          <w:rFonts w:cstheme="minorHAnsi"/>
        </w:rPr>
        <w:t xml:space="preserve">The newsletter was sent in a A5 white envelope using University of York franked mail. </w:t>
      </w:r>
      <w:r w:rsidR="00E76BE8">
        <w:rPr>
          <w:rFonts w:cstheme="minorHAnsi"/>
        </w:rPr>
        <w:t>The newsletter</w:t>
      </w:r>
      <w:r w:rsidR="00831869">
        <w:rPr>
          <w:rFonts w:cstheme="minorHAnsi"/>
        </w:rPr>
        <w:t xml:space="preserve"> contained an update on </w:t>
      </w:r>
      <w:r w:rsidR="00310FBE">
        <w:rPr>
          <w:rFonts w:cstheme="minorHAnsi"/>
        </w:rPr>
        <w:t xml:space="preserve">host trial </w:t>
      </w:r>
      <w:r w:rsidR="00831869">
        <w:rPr>
          <w:rFonts w:cstheme="minorHAnsi"/>
        </w:rPr>
        <w:t xml:space="preserve">recruitment (which was ongoing as some </w:t>
      </w:r>
      <w:r w:rsidR="00A2256F">
        <w:rPr>
          <w:rFonts w:cstheme="minorHAnsi"/>
        </w:rPr>
        <w:t xml:space="preserve">participants </w:t>
      </w:r>
      <w:r w:rsidR="00831869">
        <w:rPr>
          <w:rFonts w:cstheme="minorHAnsi"/>
        </w:rPr>
        <w:t>reached 24</w:t>
      </w:r>
      <w:r w:rsidR="00960A89">
        <w:rPr>
          <w:rFonts w:cstheme="minorHAnsi"/>
        </w:rPr>
        <w:t>-</w:t>
      </w:r>
      <w:r w:rsidR="00831869">
        <w:rPr>
          <w:rFonts w:cstheme="minorHAnsi"/>
        </w:rPr>
        <w:t xml:space="preserve">months), and number completing the </w:t>
      </w:r>
      <w:r w:rsidR="00310FBE">
        <w:rPr>
          <w:rFonts w:cstheme="minorHAnsi"/>
        </w:rPr>
        <w:t xml:space="preserve">host trial </w:t>
      </w:r>
      <w:r w:rsidR="00831869">
        <w:rPr>
          <w:rFonts w:cstheme="minorHAnsi"/>
        </w:rPr>
        <w:t>24</w:t>
      </w:r>
      <w:r w:rsidR="00960A89">
        <w:rPr>
          <w:rFonts w:cstheme="minorHAnsi"/>
        </w:rPr>
        <w:t>-</w:t>
      </w:r>
      <w:r w:rsidR="00831869">
        <w:rPr>
          <w:rFonts w:cstheme="minorHAnsi"/>
        </w:rPr>
        <w:t>month</w:t>
      </w:r>
      <w:r w:rsidR="00CB2189">
        <w:rPr>
          <w:rFonts w:cstheme="minorHAnsi"/>
        </w:rPr>
        <w:t xml:space="preserve"> postal questionnaire</w:t>
      </w:r>
      <w:r w:rsidR="00831869">
        <w:rPr>
          <w:rFonts w:cstheme="minorHAnsi"/>
        </w:rPr>
        <w:t xml:space="preserve"> follow-up, alongside a </w:t>
      </w:r>
      <w:r w:rsidR="0043675F">
        <w:rPr>
          <w:rFonts w:cstheme="minorHAnsi"/>
        </w:rPr>
        <w:t xml:space="preserve">photo of, and a </w:t>
      </w:r>
      <w:r w:rsidR="00831869">
        <w:rPr>
          <w:rFonts w:cstheme="minorHAnsi"/>
        </w:rPr>
        <w:t xml:space="preserve">message from the Chief Investigator. </w:t>
      </w:r>
      <w:r w:rsidR="00025426">
        <w:rPr>
          <w:rFonts w:cstheme="minorHAnsi"/>
        </w:rPr>
        <w:t xml:space="preserve">A seasonal image was also included – such as an image of daffodil for Spring. </w:t>
      </w:r>
      <w:r w:rsidR="00831869">
        <w:rPr>
          <w:rFonts w:cstheme="minorHAnsi"/>
        </w:rPr>
        <w:t xml:space="preserve">It also </w:t>
      </w:r>
      <w:r w:rsidR="00A2256F">
        <w:rPr>
          <w:rFonts w:cstheme="minorHAnsi"/>
        </w:rPr>
        <w:t>contained contact</w:t>
      </w:r>
      <w:r w:rsidR="00831869">
        <w:rPr>
          <w:rFonts w:cstheme="minorHAnsi"/>
        </w:rPr>
        <w:t xml:space="preserve"> details for the trial team, and links to other </w:t>
      </w:r>
      <w:r w:rsidR="00310FBE">
        <w:rPr>
          <w:rFonts w:cstheme="minorHAnsi"/>
        </w:rPr>
        <w:t xml:space="preserve">relevant </w:t>
      </w:r>
      <w:r w:rsidR="00831869">
        <w:rPr>
          <w:rFonts w:cstheme="minorHAnsi"/>
        </w:rPr>
        <w:t>participant resources</w:t>
      </w:r>
      <w:r w:rsidR="00310FBE">
        <w:rPr>
          <w:rFonts w:cstheme="minorHAnsi"/>
        </w:rPr>
        <w:t>: advice on shoulder pain management, study website and where to find additional research participation opportunities</w:t>
      </w:r>
      <w:r w:rsidR="00831869">
        <w:rPr>
          <w:rFonts w:cstheme="minorHAnsi"/>
        </w:rPr>
        <w:t xml:space="preserve">. It was two pages </w:t>
      </w:r>
      <w:r w:rsidR="00A2256F">
        <w:rPr>
          <w:rFonts w:cstheme="minorHAnsi"/>
        </w:rPr>
        <w:t>long and</w:t>
      </w:r>
      <w:r w:rsidR="00831869">
        <w:rPr>
          <w:rFonts w:cstheme="minorHAnsi"/>
        </w:rPr>
        <w:t xml:space="preserve"> printed </w:t>
      </w:r>
      <w:r w:rsidR="00CA3E06">
        <w:rPr>
          <w:rFonts w:cstheme="minorHAnsi"/>
        </w:rPr>
        <w:t xml:space="preserve">in colour </w:t>
      </w:r>
      <w:r w:rsidR="00831869">
        <w:rPr>
          <w:rFonts w:cstheme="minorHAnsi"/>
        </w:rPr>
        <w:t xml:space="preserve">on </w:t>
      </w:r>
      <w:r w:rsidR="00831869" w:rsidRPr="0043675F">
        <w:rPr>
          <w:rFonts w:cstheme="minorHAnsi"/>
        </w:rPr>
        <w:t>A4 paper</w:t>
      </w:r>
      <w:r w:rsidR="00E76BE8" w:rsidRPr="00A2256F">
        <w:rPr>
          <w:rFonts w:cstheme="minorHAnsi"/>
        </w:rPr>
        <w:t>.</w:t>
      </w:r>
      <w:r w:rsidR="00E76BE8">
        <w:rPr>
          <w:rFonts w:cstheme="minorHAnsi"/>
        </w:rPr>
        <w:t xml:space="preserve"> </w:t>
      </w:r>
      <w:r w:rsidR="00B521CD">
        <w:rPr>
          <w:rFonts w:cstheme="minorHAnsi"/>
        </w:rPr>
        <w:t xml:space="preserve">The PROFHER-2 patient and public advisory group reviewed and approved the newsletter design and content prior to implementation. </w:t>
      </w:r>
      <w:r w:rsidR="00923D48">
        <w:rPr>
          <w:rFonts w:cstheme="minorHAnsi"/>
        </w:rPr>
        <w:t>No changes were made to the SWAT intervention whilst it was under evaluation.</w:t>
      </w:r>
    </w:p>
    <w:p w14:paraId="5CA4D3D8" w14:textId="349537DF" w:rsidR="00E76BE8" w:rsidRDefault="00E76BE8">
      <w:pPr>
        <w:rPr>
          <w:rFonts w:cstheme="minorHAnsi"/>
        </w:rPr>
      </w:pPr>
      <w:r>
        <w:rPr>
          <w:rFonts w:cstheme="minorHAnsi"/>
        </w:rPr>
        <w:t xml:space="preserve">Alongside the implementation of this SWAT, all participants were sent a </w:t>
      </w:r>
      <w:r w:rsidR="00310FBE">
        <w:rPr>
          <w:rFonts w:cstheme="minorHAnsi"/>
        </w:rPr>
        <w:t xml:space="preserve">PROFHER-2 branded ball point </w:t>
      </w:r>
      <w:r>
        <w:rPr>
          <w:rFonts w:cstheme="minorHAnsi"/>
        </w:rPr>
        <w:t xml:space="preserve">pen </w:t>
      </w:r>
      <w:r w:rsidR="00960A89">
        <w:rPr>
          <w:rFonts w:cstheme="minorHAnsi"/>
        </w:rPr>
        <w:t>with</w:t>
      </w:r>
      <w:r>
        <w:rPr>
          <w:rFonts w:cstheme="minorHAnsi"/>
        </w:rPr>
        <w:t xml:space="preserve"> their 12</w:t>
      </w:r>
      <w:r w:rsidR="00960A89">
        <w:rPr>
          <w:rFonts w:cstheme="minorHAnsi"/>
        </w:rPr>
        <w:t>-</w:t>
      </w:r>
      <w:r>
        <w:rPr>
          <w:rFonts w:cstheme="minorHAnsi"/>
        </w:rPr>
        <w:t xml:space="preserve"> and 24</w:t>
      </w:r>
      <w:r w:rsidR="00960A89">
        <w:rPr>
          <w:rFonts w:cstheme="minorHAnsi"/>
        </w:rPr>
        <w:t>-</w:t>
      </w:r>
      <w:r>
        <w:rPr>
          <w:rFonts w:cstheme="minorHAnsi"/>
        </w:rPr>
        <w:t>month follow-up</w:t>
      </w:r>
      <w:r w:rsidR="00CB2189">
        <w:rPr>
          <w:rFonts w:cstheme="minorHAnsi"/>
        </w:rPr>
        <w:t xml:space="preserve"> postal</w:t>
      </w:r>
      <w:r>
        <w:rPr>
          <w:rFonts w:cstheme="minorHAnsi"/>
        </w:rPr>
        <w:t xml:space="preserve"> questionnaires, to boost retention [</w:t>
      </w:r>
      <w:r w:rsidR="00AE26DA">
        <w:rPr>
          <w:rFonts w:cstheme="minorHAnsi"/>
        </w:rPr>
        <w:t>12</w:t>
      </w:r>
      <w:r>
        <w:rPr>
          <w:rFonts w:cstheme="minorHAnsi"/>
        </w:rPr>
        <w:t xml:space="preserve">] – however, this was not part of the </w:t>
      </w:r>
      <w:proofErr w:type="gramStart"/>
      <w:r>
        <w:rPr>
          <w:rFonts w:cstheme="minorHAnsi"/>
        </w:rPr>
        <w:t>SWAT, and</w:t>
      </w:r>
      <w:proofErr w:type="gramEnd"/>
      <w:r>
        <w:rPr>
          <w:rFonts w:cstheme="minorHAnsi"/>
        </w:rPr>
        <w:t xml:space="preserve"> is not anticipated to interact with the intervention being evaluated here. </w:t>
      </w:r>
    </w:p>
    <w:p w14:paraId="69E76AB3" w14:textId="77777777" w:rsidR="00EC0637" w:rsidRDefault="00EC0637">
      <w:pPr>
        <w:rPr>
          <w:rFonts w:cstheme="minorHAnsi"/>
        </w:rPr>
      </w:pPr>
    </w:p>
    <w:p w14:paraId="18F1201D" w14:textId="77777777" w:rsidR="00E76BE8" w:rsidRPr="00B42474" w:rsidRDefault="00E76BE8">
      <w:pPr>
        <w:rPr>
          <w:rFonts w:cstheme="minorHAnsi"/>
        </w:rPr>
      </w:pPr>
    </w:p>
    <w:p w14:paraId="7D2A6C8E" w14:textId="77777777" w:rsidR="00085994" w:rsidRDefault="00B42474">
      <w:pPr>
        <w:rPr>
          <w:rFonts w:cstheme="minorHAnsi"/>
          <w:b/>
          <w:bCs/>
        </w:rPr>
      </w:pPr>
      <w:r w:rsidRPr="00B42474">
        <w:rPr>
          <w:rFonts w:cstheme="minorHAnsi"/>
          <w:b/>
          <w:bCs/>
        </w:rPr>
        <w:t>Outcomes</w:t>
      </w:r>
      <w:r w:rsidR="00933359">
        <w:rPr>
          <w:rFonts w:cstheme="minorHAnsi"/>
          <w:b/>
          <w:bCs/>
        </w:rPr>
        <w:t>:</w:t>
      </w:r>
    </w:p>
    <w:p w14:paraId="0F523C84" w14:textId="10DCD8DE" w:rsidR="007A229D" w:rsidRDefault="00933359">
      <w:pPr>
        <w:rPr>
          <w:rFonts w:cstheme="minorHAnsi"/>
        </w:rPr>
      </w:pPr>
      <w:r>
        <w:rPr>
          <w:rFonts w:cstheme="minorHAnsi"/>
        </w:rPr>
        <w:t>The primary outcome of this SWAT was retention rate</w:t>
      </w:r>
      <w:r w:rsidR="00F93FFC">
        <w:rPr>
          <w:rFonts w:cstheme="minorHAnsi"/>
        </w:rPr>
        <w:t xml:space="preserve">, </w:t>
      </w:r>
      <w:r w:rsidR="007A229D">
        <w:rPr>
          <w:rFonts w:cstheme="minorHAnsi"/>
        </w:rPr>
        <w:t>defined</w:t>
      </w:r>
      <w:r>
        <w:rPr>
          <w:rFonts w:cstheme="minorHAnsi"/>
        </w:rPr>
        <w:t xml:space="preserve"> as the proportion of participants</w:t>
      </w:r>
      <w:r w:rsidR="007A229D">
        <w:rPr>
          <w:rFonts w:cstheme="minorHAnsi"/>
        </w:rPr>
        <w:t xml:space="preserve"> </w:t>
      </w:r>
      <w:r>
        <w:rPr>
          <w:rFonts w:cstheme="minorHAnsi"/>
        </w:rPr>
        <w:t xml:space="preserve">who </w:t>
      </w:r>
      <w:r w:rsidR="007A229D">
        <w:rPr>
          <w:rFonts w:cstheme="minorHAnsi"/>
        </w:rPr>
        <w:t>returned their 24</w:t>
      </w:r>
      <w:r w:rsidR="00960A89">
        <w:rPr>
          <w:rFonts w:cstheme="minorHAnsi"/>
        </w:rPr>
        <w:t>-</w:t>
      </w:r>
      <w:r w:rsidR="007A229D">
        <w:rPr>
          <w:rFonts w:cstheme="minorHAnsi"/>
        </w:rPr>
        <w:t xml:space="preserve">month follow-up </w:t>
      </w:r>
      <w:r w:rsidR="00CB2189">
        <w:rPr>
          <w:rFonts w:cstheme="minorHAnsi"/>
        </w:rPr>
        <w:t xml:space="preserve">postal </w:t>
      </w:r>
      <w:r w:rsidR="007A229D">
        <w:rPr>
          <w:rFonts w:cstheme="minorHAnsi"/>
        </w:rPr>
        <w:t xml:space="preserve">questionnaire, out of those who were due </w:t>
      </w:r>
      <w:r w:rsidR="00B27924">
        <w:rPr>
          <w:rFonts w:cstheme="minorHAnsi"/>
        </w:rPr>
        <w:t>to</w:t>
      </w:r>
      <w:r w:rsidR="007A229D">
        <w:rPr>
          <w:rFonts w:cstheme="minorHAnsi"/>
        </w:rPr>
        <w:t xml:space="preserve"> (i.e.</w:t>
      </w:r>
      <w:r w:rsidR="00085994">
        <w:rPr>
          <w:rFonts w:cstheme="minorHAnsi"/>
        </w:rPr>
        <w:t>,</w:t>
      </w:r>
      <w:r w:rsidR="007A229D">
        <w:rPr>
          <w:rFonts w:cstheme="minorHAnsi"/>
        </w:rPr>
        <w:t xml:space="preserve"> </w:t>
      </w:r>
      <w:r>
        <w:rPr>
          <w:rFonts w:cstheme="minorHAnsi"/>
        </w:rPr>
        <w:t xml:space="preserve">still </w:t>
      </w:r>
      <w:r w:rsidR="007A229D">
        <w:rPr>
          <w:rFonts w:cstheme="minorHAnsi"/>
        </w:rPr>
        <w:lastRenderedPageBreak/>
        <w:t>participating, not</w:t>
      </w:r>
      <w:r w:rsidR="00D31924">
        <w:rPr>
          <w:rFonts w:cstheme="minorHAnsi"/>
        </w:rPr>
        <w:t xml:space="preserve"> withdrawn from postal follow-up</w:t>
      </w:r>
      <w:r w:rsidR="007A229D">
        <w:rPr>
          <w:rFonts w:cstheme="minorHAnsi"/>
        </w:rPr>
        <w:t>)</w:t>
      </w:r>
      <w:r w:rsidR="00D31924">
        <w:rPr>
          <w:rFonts w:cstheme="minorHAnsi"/>
        </w:rPr>
        <w:t>.</w:t>
      </w:r>
      <w:r w:rsidR="00F46D17">
        <w:rPr>
          <w:rFonts w:cstheme="minorHAnsi"/>
        </w:rPr>
        <w:t xml:space="preserve"> </w:t>
      </w:r>
      <w:r w:rsidR="00085994">
        <w:rPr>
          <w:rFonts w:cstheme="minorHAnsi"/>
        </w:rPr>
        <w:t xml:space="preserve">This data </w:t>
      </w:r>
      <w:r w:rsidR="00F93FFC">
        <w:rPr>
          <w:rFonts w:cstheme="minorHAnsi"/>
        </w:rPr>
        <w:t xml:space="preserve">was </w:t>
      </w:r>
      <w:r w:rsidR="00085994">
        <w:rPr>
          <w:rFonts w:cstheme="minorHAnsi"/>
        </w:rPr>
        <w:t>collected routinely in the monitoring of</w:t>
      </w:r>
      <w:r w:rsidR="00B27924">
        <w:rPr>
          <w:rFonts w:cstheme="minorHAnsi"/>
        </w:rPr>
        <w:t xml:space="preserve"> the</w:t>
      </w:r>
      <w:r w:rsidR="00085994">
        <w:rPr>
          <w:rFonts w:cstheme="minorHAnsi"/>
        </w:rPr>
        <w:t xml:space="preserve"> host trial. </w:t>
      </w:r>
      <w:r w:rsidR="00CA3E06">
        <w:rPr>
          <w:rFonts w:cstheme="minorHAnsi"/>
        </w:rPr>
        <w:t xml:space="preserve">The primary outcome </w:t>
      </w:r>
      <w:r w:rsidR="00F93FFC">
        <w:rPr>
          <w:rFonts w:cstheme="minorHAnsi"/>
        </w:rPr>
        <w:t>was</w:t>
      </w:r>
      <w:r w:rsidR="00CA3E06">
        <w:rPr>
          <w:rFonts w:cstheme="minorHAnsi"/>
        </w:rPr>
        <w:t xml:space="preserve"> combined with the results of similar SWAT evaluations via </w:t>
      </w:r>
      <w:r w:rsidR="00C17D08">
        <w:rPr>
          <w:rFonts w:cstheme="minorHAnsi"/>
        </w:rPr>
        <w:t>a fixed</w:t>
      </w:r>
      <w:r w:rsidR="00310FBE">
        <w:rPr>
          <w:rFonts w:cstheme="minorHAnsi"/>
        </w:rPr>
        <w:t xml:space="preserve"> effects</w:t>
      </w:r>
      <w:r w:rsidR="00C17D08">
        <w:rPr>
          <w:rFonts w:cstheme="minorHAnsi"/>
        </w:rPr>
        <w:t xml:space="preserve"> </w:t>
      </w:r>
      <w:r w:rsidR="00CA3E06">
        <w:rPr>
          <w:rFonts w:cstheme="minorHAnsi"/>
        </w:rPr>
        <w:t xml:space="preserve">meta-analysis. </w:t>
      </w:r>
    </w:p>
    <w:p w14:paraId="5D0C4CB8" w14:textId="4657D3DB" w:rsidR="00933359" w:rsidRDefault="00F46D17">
      <w:pPr>
        <w:rPr>
          <w:rFonts w:cstheme="minorHAnsi"/>
        </w:rPr>
      </w:pPr>
      <w:r>
        <w:rPr>
          <w:rFonts w:cstheme="minorHAnsi"/>
        </w:rPr>
        <w:t xml:space="preserve">The </w:t>
      </w:r>
      <w:r w:rsidRPr="00994711">
        <w:rPr>
          <w:rFonts w:cstheme="minorHAnsi"/>
        </w:rPr>
        <w:t>secondary outcomes</w:t>
      </w:r>
      <w:r w:rsidR="00D31924" w:rsidRPr="00994711">
        <w:rPr>
          <w:rFonts w:cstheme="minorHAnsi"/>
        </w:rPr>
        <w:t xml:space="preserve"> </w:t>
      </w:r>
      <w:r w:rsidRPr="00994711">
        <w:rPr>
          <w:rFonts w:cstheme="minorHAnsi"/>
        </w:rPr>
        <w:t>were the completeness of primary outcome data</w:t>
      </w:r>
      <w:r w:rsidR="000C189A">
        <w:rPr>
          <w:rFonts w:cstheme="minorHAnsi"/>
        </w:rPr>
        <w:t xml:space="preserve"> (binary outcome)</w:t>
      </w:r>
      <w:r w:rsidR="008D1140" w:rsidRPr="00994711">
        <w:rPr>
          <w:rFonts w:cstheme="minorHAnsi"/>
        </w:rPr>
        <w:t xml:space="preserve"> and the </w:t>
      </w:r>
      <w:r w:rsidR="000C189A">
        <w:rPr>
          <w:rFonts w:cstheme="minorHAnsi"/>
        </w:rPr>
        <w:t xml:space="preserve">proximity of questionnaire completion to </w:t>
      </w:r>
      <w:r w:rsidR="00B27924">
        <w:rPr>
          <w:rFonts w:cstheme="minorHAnsi"/>
        </w:rPr>
        <w:t xml:space="preserve">the </w:t>
      </w:r>
      <w:r w:rsidR="000C189A">
        <w:rPr>
          <w:rFonts w:cstheme="minorHAnsi"/>
        </w:rPr>
        <w:t>due date</w:t>
      </w:r>
      <w:r w:rsidR="00960A89">
        <w:rPr>
          <w:rFonts w:cstheme="minorHAnsi"/>
        </w:rPr>
        <w:t>.</w:t>
      </w:r>
      <w:r w:rsidR="000C189A">
        <w:rPr>
          <w:rFonts w:cstheme="minorHAnsi"/>
        </w:rPr>
        <w:t xml:space="preserve"> </w:t>
      </w:r>
      <w:r w:rsidR="003D24F3">
        <w:rPr>
          <w:rFonts w:cstheme="minorHAnsi"/>
        </w:rPr>
        <w:t xml:space="preserve">Primary outcome data </w:t>
      </w:r>
      <w:r w:rsidR="00F93FFC">
        <w:rPr>
          <w:rFonts w:cstheme="minorHAnsi"/>
        </w:rPr>
        <w:t xml:space="preserve">was </w:t>
      </w:r>
      <w:r w:rsidR="003D24F3">
        <w:rPr>
          <w:rFonts w:cstheme="minorHAnsi"/>
        </w:rPr>
        <w:t xml:space="preserve">considered complete if the 24-month </w:t>
      </w:r>
      <w:r w:rsidR="007A229D">
        <w:rPr>
          <w:rFonts w:cstheme="minorHAnsi"/>
        </w:rPr>
        <w:t xml:space="preserve">questionnaire </w:t>
      </w:r>
      <w:r w:rsidR="00F93FFC">
        <w:rPr>
          <w:rFonts w:cstheme="minorHAnsi"/>
        </w:rPr>
        <w:t xml:space="preserve">was </w:t>
      </w:r>
      <w:r w:rsidR="003D24F3">
        <w:rPr>
          <w:rFonts w:cstheme="minorHAnsi"/>
        </w:rPr>
        <w:t>returned with sufficient data present to derive an Oxford Shoulder Score (OSS)</w:t>
      </w:r>
      <w:r w:rsidR="007A229D">
        <w:rPr>
          <w:rFonts w:cstheme="minorHAnsi"/>
        </w:rPr>
        <w:t xml:space="preserve"> –</w:t>
      </w:r>
      <w:r w:rsidR="002C654C">
        <w:rPr>
          <w:rFonts w:cstheme="minorHAnsi"/>
        </w:rPr>
        <w:t xml:space="preserve"> </w:t>
      </w:r>
      <w:r w:rsidR="007A229D">
        <w:rPr>
          <w:rFonts w:cstheme="minorHAnsi"/>
        </w:rPr>
        <w:t>equivalent to 10 or more of the 12 questions being answered</w:t>
      </w:r>
      <w:r w:rsidR="003D24F3">
        <w:rPr>
          <w:rFonts w:cstheme="minorHAnsi"/>
        </w:rPr>
        <w:t>.</w:t>
      </w:r>
      <w:r w:rsidR="00387E52" w:rsidRPr="00387E52">
        <w:rPr>
          <w:rFonts w:cstheme="minorHAnsi"/>
        </w:rPr>
        <w:t xml:space="preserve"> </w:t>
      </w:r>
      <w:r w:rsidR="00960A89">
        <w:rPr>
          <w:rFonts w:cstheme="minorHAnsi"/>
        </w:rPr>
        <w:t xml:space="preserve">The proximity was measured as the days between due date and completion date. </w:t>
      </w:r>
      <w:r w:rsidR="00387E52">
        <w:rPr>
          <w:rFonts w:cstheme="minorHAnsi"/>
        </w:rPr>
        <w:t xml:space="preserve">Additionally, </w:t>
      </w:r>
      <w:r w:rsidR="00F93FFC">
        <w:rPr>
          <w:rFonts w:cstheme="minorHAnsi"/>
        </w:rPr>
        <w:t xml:space="preserve">intervention costs were provided along with a </w:t>
      </w:r>
      <w:r w:rsidR="00387E52">
        <w:rPr>
          <w:rFonts w:cstheme="minorHAnsi"/>
        </w:rPr>
        <w:t xml:space="preserve">cost per additional participant retained </w:t>
      </w:r>
      <w:r w:rsidR="00F93FFC">
        <w:rPr>
          <w:rFonts w:cstheme="minorHAnsi"/>
        </w:rPr>
        <w:t>was</w:t>
      </w:r>
      <w:r w:rsidR="00387E52">
        <w:rPr>
          <w:rFonts w:cstheme="minorHAnsi"/>
        </w:rPr>
        <w:t xml:space="preserve"> calculated, if </w:t>
      </w:r>
      <w:r w:rsidR="00F93FFC">
        <w:rPr>
          <w:rFonts w:cstheme="minorHAnsi"/>
        </w:rPr>
        <w:t>the intervention was effective</w:t>
      </w:r>
      <w:r w:rsidR="00387E52">
        <w:rPr>
          <w:rFonts w:cstheme="minorHAnsi"/>
        </w:rPr>
        <w:t>.</w:t>
      </w:r>
    </w:p>
    <w:p w14:paraId="501AD334" w14:textId="77777777" w:rsidR="00831869" w:rsidRPr="00933359" w:rsidRDefault="00831869">
      <w:pPr>
        <w:rPr>
          <w:rFonts w:cstheme="minorHAnsi"/>
        </w:rPr>
      </w:pPr>
    </w:p>
    <w:p w14:paraId="2F1400F2" w14:textId="77777777" w:rsidR="00A2256F" w:rsidRDefault="00B42474">
      <w:pPr>
        <w:rPr>
          <w:rFonts w:cstheme="minorHAnsi"/>
          <w:b/>
          <w:bCs/>
        </w:rPr>
      </w:pPr>
      <w:r w:rsidRPr="00B42474">
        <w:rPr>
          <w:rFonts w:cstheme="minorHAnsi"/>
          <w:b/>
          <w:bCs/>
        </w:rPr>
        <w:t>Sample Size:</w:t>
      </w:r>
      <w:r w:rsidR="008D1140">
        <w:rPr>
          <w:rFonts w:cstheme="minorHAnsi"/>
          <w:b/>
          <w:bCs/>
        </w:rPr>
        <w:t xml:space="preserve"> </w:t>
      </w:r>
    </w:p>
    <w:p w14:paraId="24E524AD" w14:textId="5B8D45C5" w:rsidR="00B42474" w:rsidRDefault="00A2256F">
      <w:pPr>
        <w:rPr>
          <w:rFonts w:cstheme="minorHAnsi"/>
        </w:rPr>
      </w:pPr>
      <w:r>
        <w:rPr>
          <w:rFonts w:cstheme="minorHAnsi"/>
        </w:rPr>
        <w:t>Following SWAT methodology [</w:t>
      </w:r>
      <w:r w:rsidR="00310FBE">
        <w:rPr>
          <w:rFonts w:cstheme="minorHAnsi"/>
        </w:rPr>
        <w:t>3</w:t>
      </w:r>
      <w:r>
        <w:rPr>
          <w:rFonts w:cstheme="minorHAnsi"/>
        </w:rPr>
        <w:t xml:space="preserve">], no formal sample size </w:t>
      </w:r>
      <w:r w:rsidR="00850709">
        <w:rPr>
          <w:rFonts w:cstheme="minorHAnsi"/>
        </w:rPr>
        <w:t xml:space="preserve">calculation </w:t>
      </w:r>
      <w:r>
        <w:rPr>
          <w:rFonts w:cstheme="minorHAnsi"/>
        </w:rPr>
        <w:t>was undertaken for this SWAT, a</w:t>
      </w:r>
      <w:r w:rsidR="00CA3E06">
        <w:rPr>
          <w:rFonts w:cstheme="minorHAnsi"/>
        </w:rPr>
        <w:t>s</w:t>
      </w:r>
      <w:r>
        <w:rPr>
          <w:rFonts w:cstheme="minorHAnsi"/>
        </w:rPr>
        <w:t xml:space="preserve"> the </w:t>
      </w:r>
      <w:r w:rsidR="008D1140">
        <w:rPr>
          <w:rFonts w:cstheme="minorHAnsi"/>
        </w:rPr>
        <w:t xml:space="preserve">SWAT sample size was </w:t>
      </w:r>
      <w:r>
        <w:rPr>
          <w:rFonts w:cstheme="minorHAnsi"/>
        </w:rPr>
        <w:t>constrained by that of</w:t>
      </w:r>
      <w:r w:rsidR="008D1140">
        <w:rPr>
          <w:rFonts w:cstheme="minorHAnsi"/>
        </w:rPr>
        <w:t xml:space="preserve"> the PROFHER-2</w:t>
      </w:r>
      <w:r w:rsidR="00850709">
        <w:rPr>
          <w:rFonts w:cstheme="minorHAnsi"/>
        </w:rPr>
        <w:t xml:space="preserve"> trial. </w:t>
      </w:r>
      <w:r w:rsidR="001B5643">
        <w:rPr>
          <w:rFonts w:cstheme="minorHAnsi"/>
        </w:rPr>
        <w:t>The P</w:t>
      </w:r>
      <w:r>
        <w:rPr>
          <w:rFonts w:cstheme="minorHAnsi"/>
        </w:rPr>
        <w:t>R</w:t>
      </w:r>
      <w:r w:rsidR="001B5643">
        <w:rPr>
          <w:rFonts w:cstheme="minorHAnsi"/>
        </w:rPr>
        <w:t xml:space="preserve">OFHER-2 trial </w:t>
      </w:r>
      <w:r w:rsidR="00F93FFC">
        <w:rPr>
          <w:rFonts w:cstheme="minorHAnsi"/>
        </w:rPr>
        <w:t>was designed to</w:t>
      </w:r>
      <w:r w:rsidR="001B5643">
        <w:rPr>
          <w:rFonts w:cstheme="minorHAnsi"/>
        </w:rPr>
        <w:t xml:space="preserve"> recruit 380 </w:t>
      </w:r>
      <w:r w:rsidR="00843CAA">
        <w:rPr>
          <w:rFonts w:cstheme="minorHAnsi"/>
        </w:rPr>
        <w:t>participants</w:t>
      </w:r>
      <w:r>
        <w:rPr>
          <w:rFonts w:cstheme="minorHAnsi"/>
        </w:rPr>
        <w:t>, however, the SWAT was embedded after some participants had already completed their 24</w:t>
      </w:r>
      <w:r w:rsidR="00960A89">
        <w:rPr>
          <w:rFonts w:cstheme="minorHAnsi"/>
        </w:rPr>
        <w:t>-</w:t>
      </w:r>
      <w:r>
        <w:rPr>
          <w:rFonts w:cstheme="minorHAnsi"/>
        </w:rPr>
        <w:t xml:space="preserve">month </w:t>
      </w:r>
      <w:r w:rsidR="00CB2189">
        <w:rPr>
          <w:rFonts w:cstheme="minorHAnsi"/>
        </w:rPr>
        <w:t xml:space="preserve">postal </w:t>
      </w:r>
      <w:r>
        <w:rPr>
          <w:rFonts w:cstheme="minorHAnsi"/>
        </w:rPr>
        <w:t>follow-up</w:t>
      </w:r>
      <w:r w:rsidR="00CB2189">
        <w:rPr>
          <w:rFonts w:cstheme="minorHAnsi"/>
        </w:rPr>
        <w:t xml:space="preserve"> questionnaire</w:t>
      </w:r>
      <w:r>
        <w:rPr>
          <w:rFonts w:cstheme="minorHAnsi"/>
        </w:rPr>
        <w:t xml:space="preserve">, </w:t>
      </w:r>
      <w:r w:rsidR="00850709">
        <w:rPr>
          <w:rFonts w:cstheme="minorHAnsi"/>
        </w:rPr>
        <w:t xml:space="preserve">and ended whilst the trial was ongoing, </w:t>
      </w:r>
      <w:r>
        <w:rPr>
          <w:rFonts w:cstheme="minorHAnsi"/>
        </w:rPr>
        <w:t>so it was not possible for the whole sample to be included</w:t>
      </w:r>
      <w:r w:rsidR="001C1A93">
        <w:rPr>
          <w:rFonts w:cstheme="minorHAnsi"/>
        </w:rPr>
        <w:t xml:space="preserve">. </w:t>
      </w:r>
    </w:p>
    <w:p w14:paraId="5A511DAB" w14:textId="77777777" w:rsidR="00831869" w:rsidRPr="00B42474" w:rsidRDefault="00831869">
      <w:pPr>
        <w:rPr>
          <w:rFonts w:cstheme="minorHAnsi"/>
          <w:b/>
          <w:bCs/>
        </w:rPr>
      </w:pPr>
    </w:p>
    <w:p w14:paraId="3510B24C" w14:textId="39D28D4C" w:rsidR="00B42474" w:rsidRPr="00D17231" w:rsidRDefault="00B42474">
      <w:pPr>
        <w:rPr>
          <w:rFonts w:cstheme="minorHAnsi"/>
          <w:b/>
          <w:bCs/>
        </w:rPr>
      </w:pPr>
      <w:r w:rsidRPr="00D17231">
        <w:rPr>
          <w:rFonts w:cstheme="minorHAnsi"/>
          <w:b/>
          <w:bCs/>
        </w:rPr>
        <w:t>Randomisation:</w:t>
      </w:r>
    </w:p>
    <w:p w14:paraId="5D837852" w14:textId="152247BE" w:rsidR="00B42474" w:rsidRDefault="004E5B64">
      <w:pPr>
        <w:rPr>
          <w:rFonts w:cstheme="minorHAnsi"/>
        </w:rPr>
      </w:pPr>
      <w:r>
        <w:rPr>
          <w:rFonts w:cstheme="minorHAnsi"/>
        </w:rPr>
        <w:t>Participants were randomised using permuted blocks of size 2,</w:t>
      </w:r>
      <w:r w:rsidR="00847FAE">
        <w:rPr>
          <w:rFonts w:cstheme="minorHAnsi"/>
        </w:rPr>
        <w:t xml:space="preserve"> </w:t>
      </w:r>
      <w:r>
        <w:rPr>
          <w:rFonts w:cstheme="minorHAnsi"/>
        </w:rPr>
        <w:t>4 and 6, using a 1:1 allocation.</w:t>
      </w:r>
      <w:r w:rsidR="003D2EA9">
        <w:rPr>
          <w:rFonts w:cstheme="minorHAnsi"/>
        </w:rPr>
        <w:t xml:space="preserve"> </w:t>
      </w:r>
      <w:r w:rsidR="00847FAE">
        <w:rPr>
          <w:rFonts w:cstheme="minorHAnsi"/>
        </w:rPr>
        <w:t>The randomisation was stratified by the host trial allocation</w:t>
      </w:r>
      <w:r w:rsidR="00F22C6A">
        <w:rPr>
          <w:rFonts w:cstheme="minorHAnsi"/>
        </w:rPr>
        <w:t xml:space="preserve"> (3-levels)</w:t>
      </w:r>
      <w:r w:rsidR="00847FAE">
        <w:rPr>
          <w:rFonts w:cstheme="minorHAnsi"/>
        </w:rPr>
        <w:t xml:space="preserve">. </w:t>
      </w:r>
      <w:r w:rsidR="00BE0FB5">
        <w:rPr>
          <w:rFonts w:cstheme="minorHAnsi"/>
        </w:rPr>
        <w:t xml:space="preserve">Allocations were generated by an independent statistician using code written by the PROFHER-2 trial statistician in STATA version 17.0[13]. The randomisation schedule was implemented via the York Trials Unit PROFHER-2 management system, i.e., independently to any person involved in the SWAT.  </w:t>
      </w:r>
    </w:p>
    <w:p w14:paraId="274BAC3D" w14:textId="77777777" w:rsidR="00BE0FB5" w:rsidRDefault="00BE0FB5">
      <w:pPr>
        <w:rPr>
          <w:rFonts w:cstheme="minorHAnsi"/>
        </w:rPr>
      </w:pPr>
    </w:p>
    <w:p w14:paraId="3983C1C9" w14:textId="77DB3816" w:rsidR="00B42474" w:rsidRDefault="00B42474">
      <w:pPr>
        <w:rPr>
          <w:rFonts w:cstheme="minorHAnsi"/>
        </w:rPr>
      </w:pPr>
      <w:r>
        <w:rPr>
          <w:rFonts w:cstheme="minorHAnsi"/>
          <w:b/>
          <w:bCs/>
        </w:rPr>
        <w:t>Blinding:</w:t>
      </w:r>
      <w:r>
        <w:rPr>
          <w:rFonts w:cstheme="minorHAnsi"/>
        </w:rPr>
        <w:t xml:space="preserve"> </w:t>
      </w:r>
    </w:p>
    <w:p w14:paraId="34A6663C" w14:textId="4E51D520" w:rsidR="00847FAE" w:rsidRDefault="00847FAE" w:rsidP="00847FAE">
      <w:pPr>
        <w:rPr>
          <w:rFonts w:cstheme="minorHAnsi"/>
        </w:rPr>
      </w:pPr>
      <w:r>
        <w:rPr>
          <w:rFonts w:cstheme="minorHAnsi"/>
        </w:rPr>
        <w:t>Participants were not aware of their participation in this SWAT. Data for the SWAT was collected routinely, as part of the trial, so there were no data collectors to be blinded. The statistician was not blind to allocation when analysing the SWAT.</w:t>
      </w:r>
    </w:p>
    <w:p w14:paraId="35134ECF" w14:textId="77777777" w:rsidR="00847FAE" w:rsidRDefault="00847FAE">
      <w:pPr>
        <w:rPr>
          <w:rFonts w:cstheme="minorHAnsi"/>
          <w:b/>
          <w:bCs/>
          <w:sz w:val="28"/>
          <w:szCs w:val="28"/>
        </w:rPr>
      </w:pPr>
    </w:p>
    <w:p w14:paraId="627BD8B2" w14:textId="6AFADD93" w:rsidR="00B42474" w:rsidRPr="00D17231" w:rsidRDefault="00B42474">
      <w:pPr>
        <w:rPr>
          <w:rFonts w:cstheme="minorHAnsi"/>
          <w:b/>
          <w:bCs/>
        </w:rPr>
      </w:pPr>
      <w:r w:rsidRPr="00D17231">
        <w:rPr>
          <w:rFonts w:cstheme="minorHAnsi"/>
          <w:b/>
          <w:bCs/>
        </w:rPr>
        <w:t>Statistical Methods:</w:t>
      </w:r>
    </w:p>
    <w:p w14:paraId="42EE911B" w14:textId="50A201DB" w:rsidR="00F30059" w:rsidRDefault="00CE3ED9">
      <w:pPr>
        <w:rPr>
          <w:rFonts w:cstheme="minorHAnsi"/>
        </w:rPr>
      </w:pPr>
      <w:r>
        <w:rPr>
          <w:rFonts w:cstheme="minorHAnsi"/>
        </w:rPr>
        <w:t>All statistical analyses were conducted in STATA version 17.0</w:t>
      </w:r>
      <w:r w:rsidR="00CA3E06">
        <w:rPr>
          <w:rFonts w:cstheme="minorHAnsi"/>
        </w:rPr>
        <w:t>.</w:t>
      </w:r>
      <w:r w:rsidR="00960A89">
        <w:rPr>
          <w:rFonts w:cstheme="minorHAnsi"/>
        </w:rPr>
        <w:t>[13]</w:t>
      </w:r>
      <w:r w:rsidR="00F30059">
        <w:rPr>
          <w:rFonts w:cstheme="minorHAnsi"/>
        </w:rPr>
        <w:t xml:space="preserve"> The analysis was conducted on an intention-to-treat basis but includ</w:t>
      </w:r>
      <w:r w:rsidR="00960A89">
        <w:rPr>
          <w:rFonts w:cstheme="minorHAnsi"/>
        </w:rPr>
        <w:t>ed</w:t>
      </w:r>
      <w:r w:rsidR="00F30059">
        <w:rPr>
          <w:rFonts w:cstheme="minorHAnsi"/>
        </w:rPr>
        <w:t xml:space="preserve"> only those participants who had reached the 24</w:t>
      </w:r>
      <w:r w:rsidR="00960A89">
        <w:rPr>
          <w:rFonts w:cstheme="minorHAnsi"/>
        </w:rPr>
        <w:t>-</w:t>
      </w:r>
      <w:r w:rsidR="00F30059">
        <w:rPr>
          <w:rFonts w:cstheme="minorHAnsi"/>
        </w:rPr>
        <w:t xml:space="preserve">month timepoint within the duration of the SWAT. </w:t>
      </w:r>
      <w:r w:rsidR="00960A89">
        <w:rPr>
          <w:rFonts w:cstheme="minorHAnsi"/>
        </w:rPr>
        <w:t xml:space="preserve">Participants were analysed according to their randomised group, regardless of whether they received the intervention or not. </w:t>
      </w:r>
      <w:r w:rsidR="00F30059">
        <w:rPr>
          <w:rFonts w:cstheme="minorHAnsi"/>
        </w:rPr>
        <w:t xml:space="preserve">Two-sided tests were used at the 5% significance level. </w:t>
      </w:r>
    </w:p>
    <w:p w14:paraId="16148252" w14:textId="0CD397C3" w:rsidR="004F01BF" w:rsidRDefault="00CE3ED9">
      <w:pPr>
        <w:rPr>
          <w:rFonts w:cstheme="minorHAnsi"/>
        </w:rPr>
      </w:pPr>
      <w:r>
        <w:rPr>
          <w:rFonts w:cstheme="minorHAnsi"/>
        </w:rPr>
        <w:t>Baseline characteristics are summarised descriptively on an “as analysed” and an “as randomised” basis</w:t>
      </w:r>
      <w:r w:rsidR="009A1B2A">
        <w:rPr>
          <w:rFonts w:cstheme="minorHAnsi"/>
        </w:rPr>
        <w:t>.</w:t>
      </w:r>
      <w:r w:rsidR="00960A89">
        <w:rPr>
          <w:rFonts w:cstheme="minorHAnsi"/>
        </w:rPr>
        <w:t xml:space="preserve"> Ethnicity was collected as per the PROFHER-2 questionnaires, but due to limited variation it is dichotomised to Caucasian or non-Caucasian for reporting in this SWAT. Where dislocation (yes/no) was missing, it was derived using the host trial randomisation stratification (</w:t>
      </w:r>
      <w:r w:rsidR="00371975">
        <w:rPr>
          <w:rFonts w:cstheme="minorHAnsi"/>
        </w:rPr>
        <w:t xml:space="preserve">those with a dislocation </w:t>
      </w:r>
      <w:r w:rsidR="00371975">
        <w:rPr>
          <w:rFonts w:cstheme="minorHAnsi"/>
        </w:rPr>
        <w:lastRenderedPageBreak/>
        <w:t>are only eligible for the two surgical arms)</w:t>
      </w:r>
      <w:r w:rsidR="00960A89">
        <w:rPr>
          <w:rFonts w:cstheme="minorHAnsi"/>
        </w:rPr>
        <w:t>. Binary</w:t>
      </w:r>
      <w:r w:rsidR="009A1B2A">
        <w:rPr>
          <w:rFonts w:cstheme="minorHAnsi"/>
        </w:rPr>
        <w:t xml:space="preserve"> outcome measures </w:t>
      </w:r>
      <w:r w:rsidR="00850709">
        <w:rPr>
          <w:rFonts w:cstheme="minorHAnsi"/>
        </w:rPr>
        <w:t xml:space="preserve">(retention rate and completion of primary outcome) </w:t>
      </w:r>
      <w:r w:rsidR="009A1B2A">
        <w:rPr>
          <w:rFonts w:cstheme="minorHAnsi"/>
        </w:rPr>
        <w:t xml:space="preserve">were analysed using logistic regression. </w:t>
      </w:r>
      <w:r w:rsidR="00F30059">
        <w:rPr>
          <w:rFonts w:cstheme="minorHAnsi"/>
        </w:rPr>
        <w:t>Proximity of completion</w:t>
      </w:r>
      <w:r w:rsidR="009A1B2A">
        <w:rPr>
          <w:rFonts w:cstheme="minorHAnsi"/>
        </w:rPr>
        <w:t xml:space="preserve"> was analysed using </w:t>
      </w:r>
      <w:r w:rsidR="00F30059">
        <w:rPr>
          <w:rFonts w:cstheme="minorHAnsi"/>
        </w:rPr>
        <w:t>C</w:t>
      </w:r>
      <w:r w:rsidR="009A1B2A">
        <w:rPr>
          <w:rFonts w:cstheme="minorHAnsi"/>
        </w:rPr>
        <w:t xml:space="preserve">ox </w:t>
      </w:r>
      <w:r w:rsidR="00F30059">
        <w:rPr>
          <w:rFonts w:cstheme="minorHAnsi"/>
        </w:rPr>
        <w:t xml:space="preserve">Proportional Hazards </w:t>
      </w:r>
      <w:r w:rsidR="009A1B2A">
        <w:rPr>
          <w:rFonts w:cstheme="minorHAnsi"/>
        </w:rPr>
        <w:t>regression, with participants who returned their questionnaire before or on the due date being assigned a return time of 0.1</w:t>
      </w:r>
      <w:r w:rsidR="004261B1">
        <w:rPr>
          <w:rFonts w:cstheme="minorHAnsi"/>
        </w:rPr>
        <w:t xml:space="preserve"> days</w:t>
      </w:r>
      <w:r w:rsidR="001F62A7">
        <w:rPr>
          <w:rFonts w:cstheme="minorHAnsi"/>
        </w:rPr>
        <w:t>, and participants who did not return their questionnaire being censored at</w:t>
      </w:r>
      <w:r w:rsidR="00F22C6A">
        <w:rPr>
          <w:rFonts w:cstheme="minorHAnsi"/>
        </w:rPr>
        <w:t xml:space="preserve"> </w:t>
      </w:r>
      <w:r w:rsidR="00F22C6A" w:rsidRPr="004F01BF">
        <w:rPr>
          <w:rFonts w:cstheme="minorHAnsi"/>
        </w:rPr>
        <w:t>60</w:t>
      </w:r>
      <w:r w:rsidR="001F62A7">
        <w:rPr>
          <w:rFonts w:cstheme="minorHAnsi"/>
        </w:rPr>
        <w:t xml:space="preserve"> days</w:t>
      </w:r>
      <w:r w:rsidR="004261B1">
        <w:rPr>
          <w:rFonts w:cstheme="minorHAnsi"/>
        </w:rPr>
        <w:t>.</w:t>
      </w:r>
      <w:r w:rsidR="00F22C6A">
        <w:rPr>
          <w:rFonts w:cstheme="minorHAnsi"/>
        </w:rPr>
        <w:t xml:space="preserve"> Where completion date was missing, but received date was not, completion date was set to be three days earlier than the received date.</w:t>
      </w:r>
      <w:r w:rsidR="004261B1">
        <w:rPr>
          <w:rFonts w:cstheme="minorHAnsi"/>
        </w:rPr>
        <w:t xml:space="preserve"> </w:t>
      </w:r>
    </w:p>
    <w:p w14:paraId="5B7867B5" w14:textId="2DE4A14C" w:rsidR="00B42474" w:rsidRDefault="004F01BF" w:rsidP="004F01BF">
      <w:pPr>
        <w:rPr>
          <w:rFonts w:cstheme="minorHAnsi"/>
        </w:rPr>
      </w:pPr>
      <w:r>
        <w:rPr>
          <w:rFonts w:cstheme="minorHAnsi"/>
        </w:rPr>
        <w:t>The analysis planned for all m</w:t>
      </w:r>
      <w:r w:rsidR="00B72956">
        <w:rPr>
          <w:rFonts w:cstheme="minorHAnsi"/>
        </w:rPr>
        <w:t xml:space="preserve">odels </w:t>
      </w:r>
      <w:r>
        <w:rPr>
          <w:rFonts w:cstheme="minorHAnsi"/>
        </w:rPr>
        <w:t xml:space="preserve">to be </w:t>
      </w:r>
      <w:r w:rsidR="00B72956">
        <w:rPr>
          <w:rFonts w:cstheme="minorHAnsi"/>
        </w:rPr>
        <w:t xml:space="preserve">adjusted for </w:t>
      </w:r>
      <w:r w:rsidR="00CF7774">
        <w:rPr>
          <w:rFonts w:cstheme="minorHAnsi"/>
        </w:rPr>
        <w:t>host trial allocation</w:t>
      </w:r>
      <w:r>
        <w:rPr>
          <w:rFonts w:cstheme="minorHAnsi"/>
        </w:rPr>
        <w:t>(3-level), and presence of dislocation(2-level)</w:t>
      </w:r>
      <w:r w:rsidR="004444F3">
        <w:rPr>
          <w:rFonts w:cstheme="minorHAnsi"/>
        </w:rPr>
        <w:t xml:space="preserve"> </w:t>
      </w:r>
      <w:r w:rsidR="000817C3">
        <w:rPr>
          <w:rFonts w:cstheme="minorHAnsi"/>
        </w:rPr>
        <w:t xml:space="preserve">as a fixed effect </w:t>
      </w:r>
      <w:r w:rsidR="00CF7774">
        <w:rPr>
          <w:rFonts w:cstheme="minorHAnsi"/>
        </w:rPr>
        <w:t>and site</w:t>
      </w:r>
      <w:r w:rsidR="000817C3">
        <w:rPr>
          <w:rFonts w:cstheme="minorHAnsi"/>
        </w:rPr>
        <w:t xml:space="preserve"> as a random effect</w:t>
      </w:r>
      <w:r w:rsidR="00CF7774">
        <w:rPr>
          <w:rFonts w:cstheme="minorHAnsi"/>
        </w:rPr>
        <w:t>.</w:t>
      </w:r>
      <w:r w:rsidR="00F30059">
        <w:rPr>
          <w:rFonts w:cstheme="minorHAnsi"/>
        </w:rPr>
        <w:t xml:space="preserve"> </w:t>
      </w:r>
      <w:r>
        <w:rPr>
          <w:rFonts w:cstheme="minorHAnsi"/>
        </w:rPr>
        <w:t>However, due to a limited sample size, and low variation in the outcomes by stratification variables (i.e., all participants in one of the host trial arms had returned the questionnaire), it was decided to not stratify the models. Model assumptions were checked.</w:t>
      </w:r>
    </w:p>
    <w:p w14:paraId="15A561D8" w14:textId="77777777" w:rsidR="000817C3" w:rsidRPr="00947846" w:rsidRDefault="000817C3">
      <w:pPr>
        <w:rPr>
          <w:rFonts w:cstheme="minorHAnsi"/>
        </w:rPr>
      </w:pPr>
    </w:p>
    <w:p w14:paraId="077AB4B2" w14:textId="4D5F9AF8" w:rsidR="00B42474" w:rsidRDefault="00B008C8">
      <w:pPr>
        <w:rPr>
          <w:rFonts w:cstheme="minorHAnsi"/>
          <w:b/>
          <w:sz w:val="28"/>
          <w:szCs w:val="28"/>
        </w:rPr>
      </w:pPr>
      <w:r w:rsidRPr="00B008C8">
        <w:rPr>
          <w:rFonts w:cstheme="minorHAnsi"/>
          <w:b/>
          <w:sz w:val="28"/>
          <w:szCs w:val="28"/>
        </w:rPr>
        <w:t>Results</w:t>
      </w:r>
      <w:r>
        <w:rPr>
          <w:rFonts w:cstheme="minorHAnsi"/>
          <w:b/>
          <w:sz w:val="28"/>
          <w:szCs w:val="28"/>
        </w:rPr>
        <w:t>:</w:t>
      </w:r>
    </w:p>
    <w:p w14:paraId="1EC94A82" w14:textId="77777777" w:rsidR="000817C3" w:rsidRDefault="00B008C8">
      <w:pPr>
        <w:rPr>
          <w:rFonts w:cstheme="minorHAnsi"/>
          <w:bCs/>
        </w:rPr>
      </w:pPr>
      <w:r>
        <w:rPr>
          <w:rFonts w:cstheme="minorHAnsi"/>
          <w:b/>
        </w:rPr>
        <w:t>Participant flow:</w:t>
      </w:r>
      <w:r>
        <w:rPr>
          <w:rFonts w:cstheme="minorHAnsi"/>
          <w:bCs/>
        </w:rPr>
        <w:t xml:space="preserve"> </w:t>
      </w:r>
    </w:p>
    <w:p w14:paraId="3912BE25" w14:textId="26105EFE" w:rsidR="00FA1467" w:rsidRDefault="00031F6E">
      <w:pPr>
        <w:rPr>
          <w:rFonts w:cstheme="minorHAnsi"/>
          <w:bCs/>
        </w:rPr>
      </w:pPr>
      <w:r>
        <w:rPr>
          <w:rFonts w:cstheme="minorHAnsi"/>
          <w:bCs/>
        </w:rPr>
        <w:t xml:space="preserve">Participant </w:t>
      </w:r>
      <w:r w:rsidR="000B4643">
        <w:rPr>
          <w:rFonts w:cstheme="minorHAnsi"/>
          <w:bCs/>
        </w:rPr>
        <w:t xml:space="preserve">flow through this SWAT is presented in </w:t>
      </w:r>
      <w:r w:rsidR="000817C3">
        <w:rPr>
          <w:rFonts w:cstheme="minorHAnsi"/>
          <w:bCs/>
        </w:rPr>
        <w:t>F</w:t>
      </w:r>
      <w:r w:rsidR="000B4643">
        <w:rPr>
          <w:rFonts w:cstheme="minorHAnsi"/>
          <w:bCs/>
        </w:rPr>
        <w:t>igure 1</w:t>
      </w:r>
      <w:r w:rsidR="005A779E">
        <w:rPr>
          <w:rFonts w:cstheme="minorHAnsi"/>
          <w:bCs/>
        </w:rPr>
        <w:t xml:space="preserve">. </w:t>
      </w:r>
      <w:r w:rsidR="00F30059">
        <w:rPr>
          <w:rFonts w:cstheme="minorHAnsi"/>
          <w:bCs/>
        </w:rPr>
        <w:t>At the time of ending the SWAT</w:t>
      </w:r>
      <w:r w:rsidR="00A72729">
        <w:rPr>
          <w:rFonts w:cstheme="minorHAnsi"/>
          <w:bCs/>
        </w:rPr>
        <w:t xml:space="preserve"> (31</w:t>
      </w:r>
      <w:r w:rsidR="00A72729" w:rsidRPr="00A72729">
        <w:rPr>
          <w:rFonts w:cstheme="minorHAnsi"/>
          <w:bCs/>
          <w:vertAlign w:val="superscript"/>
        </w:rPr>
        <w:t>st</w:t>
      </w:r>
      <w:r w:rsidR="00A72729">
        <w:rPr>
          <w:rFonts w:cstheme="minorHAnsi"/>
          <w:bCs/>
        </w:rPr>
        <w:t xml:space="preserve"> March 2022)</w:t>
      </w:r>
      <w:r w:rsidR="00F30059">
        <w:rPr>
          <w:rFonts w:cstheme="minorHAnsi"/>
          <w:bCs/>
        </w:rPr>
        <w:t>, 230 participants had been randomised into the PROFHER-2, and 174 had been randomised into the SWAT</w:t>
      </w:r>
      <w:r w:rsidR="00956972">
        <w:rPr>
          <w:rFonts w:cstheme="minorHAnsi"/>
          <w:bCs/>
        </w:rPr>
        <w:t xml:space="preserve"> (75.7%)</w:t>
      </w:r>
      <w:r w:rsidR="00F30059">
        <w:rPr>
          <w:rFonts w:cstheme="minorHAnsi"/>
          <w:bCs/>
        </w:rPr>
        <w:t>. Reasons for non-inclusion in the SWAT can be found in Figure 1</w:t>
      </w:r>
      <w:r w:rsidR="00956972">
        <w:rPr>
          <w:rFonts w:cstheme="minorHAnsi"/>
          <w:bCs/>
        </w:rPr>
        <w:t>.</w:t>
      </w:r>
    </w:p>
    <w:p w14:paraId="5BDBC024" w14:textId="77777777" w:rsidR="00D20A13" w:rsidRDefault="00D20A13">
      <w:pPr>
        <w:rPr>
          <w:rFonts w:cstheme="minorHAnsi"/>
          <w:bCs/>
        </w:rPr>
      </w:pPr>
    </w:p>
    <w:p w14:paraId="720B4E6E" w14:textId="77777777" w:rsidR="00D20A13" w:rsidRDefault="00B008C8">
      <w:pPr>
        <w:rPr>
          <w:rFonts w:cstheme="minorHAnsi"/>
          <w:bCs/>
        </w:rPr>
      </w:pPr>
      <w:r>
        <w:rPr>
          <w:rFonts w:cstheme="minorHAnsi"/>
          <w:b/>
        </w:rPr>
        <w:t>Recruitment:</w:t>
      </w:r>
      <w:r>
        <w:rPr>
          <w:rFonts w:cstheme="minorHAnsi"/>
          <w:bCs/>
        </w:rPr>
        <w:t xml:space="preserve"> </w:t>
      </w:r>
    </w:p>
    <w:p w14:paraId="31B3AB25" w14:textId="17D0738E" w:rsidR="00B008C8" w:rsidRDefault="00D20A13">
      <w:pPr>
        <w:rPr>
          <w:rFonts w:cstheme="minorHAnsi"/>
        </w:rPr>
      </w:pPr>
      <w:r>
        <w:rPr>
          <w:rFonts w:cstheme="minorHAnsi"/>
        </w:rPr>
        <w:t xml:space="preserve">There were </w:t>
      </w:r>
      <w:r w:rsidR="00F30059">
        <w:rPr>
          <w:rFonts w:cstheme="minorHAnsi"/>
        </w:rPr>
        <w:t>174</w:t>
      </w:r>
      <w:r>
        <w:rPr>
          <w:rFonts w:cstheme="minorHAnsi"/>
        </w:rPr>
        <w:t xml:space="preserve"> participants randomised into the SWAT, </w:t>
      </w:r>
      <w:r w:rsidR="00F30059">
        <w:rPr>
          <w:rFonts w:cstheme="minorHAnsi"/>
        </w:rPr>
        <w:t>88</w:t>
      </w:r>
      <w:r>
        <w:rPr>
          <w:rFonts w:cstheme="minorHAnsi"/>
        </w:rPr>
        <w:t xml:space="preserve"> were allocated to </w:t>
      </w:r>
      <w:r w:rsidR="00F30059">
        <w:rPr>
          <w:rFonts w:cstheme="minorHAnsi"/>
        </w:rPr>
        <w:t>receive</w:t>
      </w:r>
      <w:r>
        <w:rPr>
          <w:rFonts w:cstheme="minorHAnsi"/>
        </w:rPr>
        <w:t xml:space="preserve"> the newsletter, and </w:t>
      </w:r>
      <w:r w:rsidR="00F30059">
        <w:rPr>
          <w:rFonts w:cstheme="minorHAnsi"/>
        </w:rPr>
        <w:t>86</w:t>
      </w:r>
      <w:r>
        <w:rPr>
          <w:rFonts w:cstheme="minorHAnsi"/>
        </w:rPr>
        <w:t xml:space="preserve"> allocated to not receive it. Of these, only </w:t>
      </w:r>
      <w:r w:rsidR="00F30059">
        <w:rPr>
          <w:rFonts w:cstheme="minorHAnsi"/>
        </w:rPr>
        <w:t>6</w:t>
      </w:r>
      <w:r w:rsidR="00956972">
        <w:rPr>
          <w:rFonts w:cstheme="minorHAnsi"/>
        </w:rPr>
        <w:t>6</w:t>
      </w:r>
      <w:r>
        <w:rPr>
          <w:rFonts w:cstheme="minorHAnsi"/>
        </w:rPr>
        <w:t xml:space="preserve"> (</w:t>
      </w:r>
      <w:r w:rsidR="00F30059">
        <w:rPr>
          <w:rFonts w:cstheme="minorHAnsi"/>
        </w:rPr>
        <w:t>3</w:t>
      </w:r>
      <w:r w:rsidR="00956972">
        <w:rPr>
          <w:rFonts w:cstheme="minorHAnsi"/>
        </w:rPr>
        <w:t>7.9</w:t>
      </w:r>
      <w:r>
        <w:rPr>
          <w:rFonts w:cstheme="minorHAnsi"/>
        </w:rPr>
        <w:t xml:space="preserve">% of those randomised) </w:t>
      </w:r>
      <w:r w:rsidR="00956972">
        <w:rPr>
          <w:rFonts w:cstheme="minorHAnsi"/>
        </w:rPr>
        <w:t xml:space="preserve">were still fully participating and </w:t>
      </w:r>
      <w:r>
        <w:rPr>
          <w:rFonts w:cstheme="minorHAnsi"/>
        </w:rPr>
        <w:t>reached the 24</w:t>
      </w:r>
      <w:r w:rsidR="00956972">
        <w:rPr>
          <w:rFonts w:cstheme="minorHAnsi"/>
        </w:rPr>
        <w:t>-</w:t>
      </w:r>
      <w:r>
        <w:rPr>
          <w:rFonts w:cstheme="minorHAnsi"/>
        </w:rPr>
        <w:t>month follow-up</w:t>
      </w:r>
      <w:r w:rsidR="00CB2189">
        <w:rPr>
          <w:rFonts w:cstheme="minorHAnsi"/>
        </w:rPr>
        <w:t xml:space="preserve"> postal questionnaire timepoint</w:t>
      </w:r>
      <w:r>
        <w:rPr>
          <w:rFonts w:cstheme="minorHAnsi"/>
        </w:rPr>
        <w:t xml:space="preserve"> within the course of the SWAT (</w:t>
      </w:r>
      <w:r w:rsidR="00237943">
        <w:rPr>
          <w:rFonts w:cstheme="minorHAnsi"/>
        </w:rPr>
        <w:t>2</w:t>
      </w:r>
      <w:r w:rsidR="00956972">
        <w:rPr>
          <w:rFonts w:cstheme="minorHAnsi"/>
        </w:rPr>
        <w:t>7</w:t>
      </w:r>
      <w:r>
        <w:rPr>
          <w:rFonts w:cstheme="minorHAnsi"/>
        </w:rPr>
        <w:t xml:space="preserve"> newsletter, </w:t>
      </w:r>
      <w:r w:rsidR="00237943">
        <w:rPr>
          <w:rFonts w:cstheme="minorHAnsi"/>
        </w:rPr>
        <w:t>39</w:t>
      </w:r>
      <w:r>
        <w:rPr>
          <w:rFonts w:cstheme="minorHAnsi"/>
        </w:rPr>
        <w:t xml:space="preserve"> not) – </w:t>
      </w:r>
      <w:r w:rsidR="00956972">
        <w:rPr>
          <w:rFonts w:cstheme="minorHAnsi"/>
        </w:rPr>
        <w:t>these</w:t>
      </w:r>
      <w:r>
        <w:rPr>
          <w:rFonts w:cstheme="minorHAnsi"/>
        </w:rPr>
        <w:t xml:space="preserve"> </w:t>
      </w:r>
      <w:r w:rsidR="00F30059">
        <w:rPr>
          <w:rFonts w:cstheme="minorHAnsi"/>
        </w:rPr>
        <w:t xml:space="preserve">are </w:t>
      </w:r>
      <w:r>
        <w:rPr>
          <w:rFonts w:cstheme="minorHAnsi"/>
        </w:rPr>
        <w:t>included in the analysis.</w:t>
      </w:r>
      <w:r w:rsidR="00F30059">
        <w:rPr>
          <w:rFonts w:cstheme="minorHAnsi"/>
        </w:rPr>
        <w:t xml:space="preserve"> Reasons for exclusion from the analysis can be seen in Figure 1. </w:t>
      </w:r>
      <w:r>
        <w:rPr>
          <w:rFonts w:cstheme="minorHAnsi"/>
        </w:rPr>
        <w:t xml:space="preserve"> </w:t>
      </w:r>
    </w:p>
    <w:p w14:paraId="2D88D111" w14:textId="4F77F207" w:rsidR="00237943" w:rsidRDefault="00237943">
      <w:pPr>
        <w:rPr>
          <w:rFonts w:cstheme="minorHAnsi"/>
        </w:rPr>
      </w:pPr>
      <w:r>
        <w:rPr>
          <w:rFonts w:cstheme="minorHAnsi"/>
        </w:rPr>
        <w:t xml:space="preserve">Baseline characteristics by SWAT arm and overall, for as randomised into the SWAT, and as analysed, can be found in Table 1. </w:t>
      </w:r>
    </w:p>
    <w:p w14:paraId="144F21BD" w14:textId="77777777" w:rsidR="004444F3" w:rsidRDefault="004444F3">
      <w:pPr>
        <w:rPr>
          <w:rFonts w:cstheme="minorHAnsi"/>
        </w:rPr>
      </w:pPr>
    </w:p>
    <w:p w14:paraId="69E0C892" w14:textId="3999245B" w:rsidR="00237943" w:rsidRPr="004444F3" w:rsidRDefault="00237943">
      <w:pPr>
        <w:rPr>
          <w:rFonts w:cstheme="minorHAnsi"/>
          <w:b/>
          <w:bCs/>
        </w:rPr>
      </w:pPr>
      <w:r w:rsidRPr="004444F3">
        <w:rPr>
          <w:rFonts w:cstheme="minorHAnsi"/>
          <w:b/>
          <w:bCs/>
        </w:rPr>
        <w:t xml:space="preserve">Primary outcome: </w:t>
      </w:r>
    </w:p>
    <w:p w14:paraId="38FEB178" w14:textId="7E99D868" w:rsidR="00237943" w:rsidRDefault="00237943">
      <w:pPr>
        <w:rPr>
          <w:rFonts w:cstheme="minorHAnsi"/>
          <w:bCs/>
        </w:rPr>
      </w:pPr>
      <w:r>
        <w:rPr>
          <w:rFonts w:cstheme="minorHAnsi"/>
          <w:bCs/>
        </w:rPr>
        <w:t>Of the 2</w:t>
      </w:r>
      <w:r w:rsidR="0048346D">
        <w:rPr>
          <w:rFonts w:cstheme="minorHAnsi"/>
          <w:bCs/>
        </w:rPr>
        <w:t>7</w:t>
      </w:r>
      <w:r>
        <w:rPr>
          <w:rFonts w:cstheme="minorHAnsi"/>
          <w:bCs/>
        </w:rPr>
        <w:t xml:space="preserve"> participants who were randomised to receive a newsletter and were included in the analysis, 2</w:t>
      </w:r>
      <w:r w:rsidR="0048346D">
        <w:rPr>
          <w:rFonts w:cstheme="minorHAnsi"/>
          <w:bCs/>
        </w:rPr>
        <w:t>6</w:t>
      </w:r>
      <w:r>
        <w:rPr>
          <w:rFonts w:cstheme="minorHAnsi"/>
          <w:bCs/>
        </w:rPr>
        <w:t xml:space="preserve"> (</w:t>
      </w:r>
      <w:r w:rsidR="0048346D">
        <w:rPr>
          <w:rFonts w:cstheme="minorHAnsi"/>
          <w:bCs/>
        </w:rPr>
        <w:t>96.3</w:t>
      </w:r>
      <w:r>
        <w:rPr>
          <w:rFonts w:cstheme="minorHAnsi"/>
          <w:bCs/>
        </w:rPr>
        <w:t xml:space="preserve">%) returned their 24-month questionnaire. This is similar to the group allocated to receive no newsletter, where 39 were included in the analysis and </w:t>
      </w:r>
      <w:r w:rsidR="0048346D">
        <w:rPr>
          <w:rFonts w:cstheme="minorHAnsi"/>
          <w:bCs/>
        </w:rPr>
        <w:t>36</w:t>
      </w:r>
      <w:r>
        <w:rPr>
          <w:rFonts w:cstheme="minorHAnsi"/>
          <w:bCs/>
        </w:rPr>
        <w:t xml:space="preserve"> (</w:t>
      </w:r>
      <w:r w:rsidR="0048346D">
        <w:rPr>
          <w:rFonts w:cstheme="minorHAnsi"/>
          <w:bCs/>
        </w:rPr>
        <w:t>92.3</w:t>
      </w:r>
      <w:r>
        <w:rPr>
          <w:rFonts w:cstheme="minorHAnsi"/>
          <w:bCs/>
        </w:rPr>
        <w:t xml:space="preserve">%) returned their questionnaire. </w:t>
      </w:r>
      <w:r w:rsidR="002361CD">
        <w:rPr>
          <w:rFonts w:cstheme="minorHAnsi"/>
          <w:bCs/>
        </w:rPr>
        <w:t xml:space="preserve">That is, </w:t>
      </w:r>
      <w:r w:rsidR="00850709">
        <w:rPr>
          <w:rFonts w:cstheme="minorHAnsi"/>
          <w:bCs/>
        </w:rPr>
        <w:t xml:space="preserve">there was a </w:t>
      </w:r>
      <w:r w:rsidR="0048346D">
        <w:rPr>
          <w:rFonts w:cstheme="minorHAnsi"/>
          <w:bCs/>
        </w:rPr>
        <w:t>4.0</w:t>
      </w:r>
      <w:r w:rsidR="002361CD">
        <w:rPr>
          <w:rFonts w:cstheme="minorHAnsi"/>
          <w:bCs/>
        </w:rPr>
        <w:t xml:space="preserve">% </w:t>
      </w:r>
      <w:r w:rsidR="00850709">
        <w:rPr>
          <w:rFonts w:cstheme="minorHAnsi"/>
          <w:bCs/>
        </w:rPr>
        <w:t>h</w:t>
      </w:r>
      <w:r w:rsidR="002361CD">
        <w:rPr>
          <w:rFonts w:cstheme="minorHAnsi"/>
          <w:bCs/>
        </w:rPr>
        <w:t>igher retention rate for those who received the newsletter, than those who did</w:t>
      </w:r>
      <w:r w:rsidR="0048346D">
        <w:rPr>
          <w:rFonts w:cstheme="minorHAnsi"/>
          <w:bCs/>
        </w:rPr>
        <w:t xml:space="preserve"> not</w:t>
      </w:r>
      <w:r w:rsidR="002361CD">
        <w:rPr>
          <w:rFonts w:cstheme="minorHAnsi"/>
          <w:bCs/>
        </w:rPr>
        <w:t xml:space="preserve">. </w:t>
      </w:r>
      <w:r>
        <w:rPr>
          <w:rFonts w:cstheme="minorHAnsi"/>
          <w:bCs/>
        </w:rPr>
        <w:t xml:space="preserve">There was no evidence of a difference in return rate between the two groups (Odds Ratio (OR) </w:t>
      </w:r>
      <w:r w:rsidR="00C31F6E">
        <w:rPr>
          <w:rFonts w:cstheme="minorHAnsi"/>
          <w:bCs/>
        </w:rPr>
        <w:t>2.17</w:t>
      </w:r>
      <w:r>
        <w:rPr>
          <w:rFonts w:cstheme="minorHAnsi"/>
          <w:bCs/>
        </w:rPr>
        <w:t xml:space="preserve">, 95% Confidence Interval (CI) </w:t>
      </w:r>
      <w:r w:rsidR="00C31F6E">
        <w:rPr>
          <w:rFonts w:cstheme="minorHAnsi"/>
          <w:bCs/>
        </w:rPr>
        <w:t>0.21</w:t>
      </w:r>
      <w:r>
        <w:rPr>
          <w:rFonts w:cstheme="minorHAnsi"/>
          <w:bCs/>
        </w:rPr>
        <w:t xml:space="preserve"> - </w:t>
      </w:r>
      <w:r w:rsidR="00C31F6E">
        <w:rPr>
          <w:rFonts w:cstheme="minorHAnsi"/>
          <w:bCs/>
        </w:rPr>
        <w:t>22.0</w:t>
      </w:r>
      <w:r w:rsidR="00C9670B">
        <w:rPr>
          <w:rFonts w:cstheme="minorHAnsi"/>
          <w:bCs/>
        </w:rPr>
        <w:t>2</w:t>
      </w:r>
      <w:r>
        <w:rPr>
          <w:rFonts w:cstheme="minorHAnsi"/>
          <w:bCs/>
        </w:rPr>
        <w:t>, p-value 0.</w:t>
      </w:r>
      <w:r w:rsidR="00C31F6E">
        <w:rPr>
          <w:rFonts w:cstheme="minorHAnsi"/>
          <w:bCs/>
        </w:rPr>
        <w:t>51</w:t>
      </w:r>
      <w:r>
        <w:rPr>
          <w:rFonts w:cstheme="minorHAnsi"/>
          <w:bCs/>
        </w:rPr>
        <w:t>).</w:t>
      </w:r>
      <w:r w:rsidR="000322B1">
        <w:rPr>
          <w:rFonts w:cstheme="minorHAnsi"/>
          <w:bCs/>
        </w:rPr>
        <w:t xml:space="preserve"> Full results can be seen in Table 2.</w:t>
      </w:r>
    </w:p>
    <w:p w14:paraId="4AB625B4" w14:textId="77777777" w:rsidR="000322B1" w:rsidRDefault="000322B1">
      <w:pPr>
        <w:rPr>
          <w:rFonts w:cstheme="minorHAnsi"/>
          <w:bCs/>
        </w:rPr>
      </w:pPr>
    </w:p>
    <w:p w14:paraId="409437C9" w14:textId="292036AB" w:rsidR="000322B1" w:rsidRDefault="000322B1">
      <w:pPr>
        <w:rPr>
          <w:rFonts w:cstheme="minorHAnsi"/>
          <w:b/>
        </w:rPr>
      </w:pPr>
      <w:r w:rsidRPr="004444F3">
        <w:rPr>
          <w:rFonts w:cstheme="minorHAnsi"/>
          <w:b/>
        </w:rPr>
        <w:t xml:space="preserve">Secondary outcomes: </w:t>
      </w:r>
    </w:p>
    <w:p w14:paraId="10CC972F" w14:textId="6BA9E07B" w:rsidR="000322B1" w:rsidRDefault="000322B1">
      <w:pPr>
        <w:rPr>
          <w:rFonts w:cstheme="minorHAnsi"/>
          <w:bCs/>
          <w:i/>
          <w:iCs/>
        </w:rPr>
      </w:pPr>
      <w:r>
        <w:rPr>
          <w:rFonts w:cstheme="minorHAnsi"/>
          <w:bCs/>
          <w:i/>
          <w:iCs/>
        </w:rPr>
        <w:t>Completion of the primary outcome</w:t>
      </w:r>
    </w:p>
    <w:p w14:paraId="67196E9E" w14:textId="78F6FC17" w:rsidR="00D47AFC" w:rsidRDefault="002B25E0">
      <w:pPr>
        <w:rPr>
          <w:rFonts w:cstheme="minorHAnsi"/>
          <w:bCs/>
        </w:rPr>
      </w:pPr>
      <w:r>
        <w:rPr>
          <w:rFonts w:cstheme="minorHAnsi"/>
          <w:bCs/>
        </w:rPr>
        <w:lastRenderedPageBreak/>
        <w:t>Of the 26 participants who returned the 24</w:t>
      </w:r>
      <w:r w:rsidR="00C51E71">
        <w:rPr>
          <w:rFonts w:cstheme="minorHAnsi"/>
          <w:bCs/>
        </w:rPr>
        <w:t>-</w:t>
      </w:r>
      <w:r>
        <w:rPr>
          <w:rFonts w:cstheme="minorHAnsi"/>
          <w:bCs/>
        </w:rPr>
        <w:t xml:space="preserve">month questionnaire in the newsletter group, </w:t>
      </w:r>
      <w:r w:rsidR="00C51E71">
        <w:rPr>
          <w:rFonts w:cstheme="minorHAnsi"/>
          <w:bCs/>
        </w:rPr>
        <w:t>25</w:t>
      </w:r>
      <w:r>
        <w:rPr>
          <w:rFonts w:cstheme="minorHAnsi"/>
          <w:bCs/>
        </w:rPr>
        <w:t xml:space="preserve"> </w:t>
      </w:r>
      <w:r w:rsidR="00C51E71">
        <w:rPr>
          <w:rFonts w:cstheme="minorHAnsi"/>
          <w:bCs/>
        </w:rPr>
        <w:t>(96.2</w:t>
      </w:r>
      <w:r>
        <w:rPr>
          <w:rFonts w:cstheme="minorHAnsi"/>
          <w:bCs/>
        </w:rPr>
        <w:t xml:space="preserve">%) had provided enough data for the measure to be scoreable. This was </w:t>
      </w:r>
      <w:r w:rsidR="00C51E71">
        <w:rPr>
          <w:rFonts w:cstheme="minorHAnsi"/>
          <w:bCs/>
        </w:rPr>
        <w:t>similar</w:t>
      </w:r>
      <w:r>
        <w:rPr>
          <w:rFonts w:cstheme="minorHAnsi"/>
          <w:bCs/>
        </w:rPr>
        <w:t xml:space="preserve"> in the no newsletter group where 3</w:t>
      </w:r>
      <w:r w:rsidR="00C51E71">
        <w:rPr>
          <w:rFonts w:cstheme="minorHAnsi"/>
          <w:bCs/>
        </w:rPr>
        <w:t>5</w:t>
      </w:r>
      <w:r>
        <w:rPr>
          <w:rFonts w:cstheme="minorHAnsi"/>
          <w:bCs/>
        </w:rPr>
        <w:t xml:space="preserve"> of the 36 returned questionnaires were scoreable (</w:t>
      </w:r>
      <w:r w:rsidR="00C51E71">
        <w:rPr>
          <w:rFonts w:cstheme="minorHAnsi"/>
          <w:bCs/>
        </w:rPr>
        <w:t>97.2</w:t>
      </w:r>
      <w:r>
        <w:rPr>
          <w:rFonts w:cstheme="minorHAnsi"/>
          <w:bCs/>
        </w:rPr>
        <w:t xml:space="preserve">%) – an increase of </w:t>
      </w:r>
      <w:r w:rsidR="00C51E71">
        <w:rPr>
          <w:rFonts w:cstheme="minorHAnsi"/>
          <w:bCs/>
        </w:rPr>
        <w:t>1.0</w:t>
      </w:r>
      <w:r>
        <w:rPr>
          <w:rFonts w:cstheme="minorHAnsi"/>
          <w:bCs/>
        </w:rPr>
        <w:t xml:space="preserve">%. This difference was not considered to be statistically significant – full details are in Table 2. </w:t>
      </w:r>
    </w:p>
    <w:p w14:paraId="761ACF2E" w14:textId="77777777" w:rsidR="002B25E0" w:rsidRPr="004444F3" w:rsidRDefault="002B25E0">
      <w:pPr>
        <w:rPr>
          <w:rFonts w:cstheme="minorHAnsi"/>
          <w:bCs/>
        </w:rPr>
      </w:pPr>
    </w:p>
    <w:p w14:paraId="07955689" w14:textId="5A76AFA1" w:rsidR="000322B1" w:rsidRDefault="00D47AFC">
      <w:pPr>
        <w:rPr>
          <w:rFonts w:cstheme="minorHAnsi"/>
          <w:bCs/>
          <w:i/>
          <w:iCs/>
        </w:rPr>
      </w:pPr>
      <w:r>
        <w:rPr>
          <w:rFonts w:cstheme="minorHAnsi"/>
          <w:bCs/>
          <w:i/>
          <w:iCs/>
        </w:rPr>
        <w:t>Proximity o</w:t>
      </w:r>
      <w:r w:rsidR="002B25E0">
        <w:rPr>
          <w:rFonts w:cstheme="minorHAnsi"/>
          <w:bCs/>
          <w:i/>
          <w:iCs/>
        </w:rPr>
        <w:t>f completion to</w:t>
      </w:r>
      <w:r>
        <w:rPr>
          <w:rFonts w:cstheme="minorHAnsi"/>
          <w:bCs/>
          <w:i/>
          <w:iCs/>
        </w:rPr>
        <w:t xml:space="preserve"> </w:t>
      </w:r>
      <w:r w:rsidR="000C189A">
        <w:rPr>
          <w:rFonts w:cstheme="minorHAnsi"/>
          <w:bCs/>
          <w:i/>
          <w:iCs/>
        </w:rPr>
        <w:t>due date</w:t>
      </w:r>
    </w:p>
    <w:p w14:paraId="74824E0A" w14:textId="6E3CF1E3" w:rsidR="00D47AFC" w:rsidRDefault="00D47AFC">
      <w:pPr>
        <w:rPr>
          <w:rFonts w:cstheme="minorHAnsi"/>
          <w:bCs/>
        </w:rPr>
      </w:pPr>
      <w:r>
        <w:rPr>
          <w:rFonts w:cstheme="minorHAnsi"/>
          <w:bCs/>
        </w:rPr>
        <w:t>The m</w:t>
      </w:r>
      <w:r w:rsidR="009F04A1">
        <w:rPr>
          <w:rFonts w:cstheme="minorHAnsi"/>
          <w:bCs/>
        </w:rPr>
        <w:t>ean</w:t>
      </w:r>
      <w:r>
        <w:rPr>
          <w:rFonts w:cstheme="minorHAnsi"/>
          <w:bCs/>
        </w:rPr>
        <w:t xml:space="preserve"> return time of the 24-month questionnaire was </w:t>
      </w:r>
      <w:r w:rsidR="009F04A1">
        <w:rPr>
          <w:rFonts w:cstheme="minorHAnsi"/>
          <w:bCs/>
        </w:rPr>
        <w:t>7</w:t>
      </w:r>
      <w:r>
        <w:rPr>
          <w:rFonts w:cstheme="minorHAnsi"/>
          <w:bCs/>
        </w:rPr>
        <w:t>.</w:t>
      </w:r>
      <w:r w:rsidR="00A95046">
        <w:rPr>
          <w:rFonts w:cstheme="minorHAnsi"/>
          <w:bCs/>
        </w:rPr>
        <w:t>7</w:t>
      </w:r>
      <w:r>
        <w:rPr>
          <w:rFonts w:cstheme="minorHAnsi"/>
          <w:bCs/>
        </w:rPr>
        <w:t xml:space="preserve"> days</w:t>
      </w:r>
      <w:r w:rsidR="009F04A1">
        <w:rPr>
          <w:rFonts w:cstheme="minorHAnsi"/>
          <w:bCs/>
        </w:rPr>
        <w:t xml:space="preserve"> (SD 11.</w:t>
      </w:r>
      <w:r w:rsidR="00A95046">
        <w:rPr>
          <w:rFonts w:cstheme="minorHAnsi"/>
          <w:bCs/>
        </w:rPr>
        <w:t>3</w:t>
      </w:r>
      <w:r w:rsidR="009F04A1">
        <w:rPr>
          <w:rFonts w:cstheme="minorHAnsi"/>
          <w:bCs/>
        </w:rPr>
        <w:t>)</w:t>
      </w:r>
      <w:r>
        <w:rPr>
          <w:rFonts w:cstheme="minorHAnsi"/>
          <w:bCs/>
        </w:rPr>
        <w:t xml:space="preserve"> in the </w:t>
      </w:r>
      <w:r w:rsidR="009F04A1">
        <w:rPr>
          <w:rFonts w:cstheme="minorHAnsi"/>
          <w:bCs/>
        </w:rPr>
        <w:t>n</w:t>
      </w:r>
      <w:r>
        <w:rPr>
          <w:rFonts w:cstheme="minorHAnsi"/>
          <w:bCs/>
        </w:rPr>
        <w:t>ewsletter group</w:t>
      </w:r>
      <w:r w:rsidR="009F04A1">
        <w:rPr>
          <w:rFonts w:cstheme="minorHAnsi"/>
          <w:bCs/>
        </w:rPr>
        <w:t xml:space="preserve"> (range -14 to 49 days – i.e., 14 days early</w:t>
      </w:r>
      <w:r w:rsidR="00A95046">
        <w:rPr>
          <w:rFonts w:cstheme="minorHAnsi"/>
          <w:bCs/>
        </w:rPr>
        <w:t xml:space="preserve"> to 49 days late</w:t>
      </w:r>
      <w:r w:rsidR="009F04A1">
        <w:rPr>
          <w:rFonts w:cstheme="minorHAnsi"/>
          <w:bCs/>
        </w:rPr>
        <w:t>)</w:t>
      </w:r>
      <w:r>
        <w:rPr>
          <w:rFonts w:cstheme="minorHAnsi"/>
          <w:bCs/>
        </w:rPr>
        <w:t xml:space="preserve"> and </w:t>
      </w:r>
      <w:r w:rsidR="009F04A1">
        <w:rPr>
          <w:rFonts w:cstheme="minorHAnsi"/>
          <w:bCs/>
        </w:rPr>
        <w:t>9.3</w:t>
      </w:r>
      <w:r>
        <w:rPr>
          <w:rFonts w:cstheme="minorHAnsi"/>
          <w:bCs/>
        </w:rPr>
        <w:t xml:space="preserve"> days </w:t>
      </w:r>
      <w:r w:rsidR="009F04A1">
        <w:rPr>
          <w:rFonts w:cstheme="minorHAnsi"/>
          <w:bCs/>
        </w:rPr>
        <w:t xml:space="preserve">(SD 15.0) </w:t>
      </w:r>
      <w:r>
        <w:rPr>
          <w:rFonts w:cstheme="minorHAnsi"/>
          <w:bCs/>
        </w:rPr>
        <w:t xml:space="preserve">in the </w:t>
      </w:r>
      <w:r w:rsidR="009F04A1">
        <w:rPr>
          <w:rFonts w:cstheme="minorHAnsi"/>
          <w:bCs/>
        </w:rPr>
        <w:t>n</w:t>
      </w:r>
      <w:r>
        <w:rPr>
          <w:rFonts w:cstheme="minorHAnsi"/>
          <w:bCs/>
        </w:rPr>
        <w:t xml:space="preserve">o </w:t>
      </w:r>
      <w:r w:rsidR="009F04A1">
        <w:rPr>
          <w:rFonts w:cstheme="minorHAnsi"/>
          <w:bCs/>
        </w:rPr>
        <w:t>n</w:t>
      </w:r>
      <w:r>
        <w:rPr>
          <w:rFonts w:cstheme="minorHAnsi"/>
          <w:bCs/>
        </w:rPr>
        <w:t>ewsletter group</w:t>
      </w:r>
      <w:r w:rsidR="009F04A1">
        <w:rPr>
          <w:rFonts w:cstheme="minorHAnsi"/>
          <w:bCs/>
        </w:rPr>
        <w:t xml:space="preserve"> (range -6 to 73 days)</w:t>
      </w:r>
      <w:r w:rsidR="003B6813">
        <w:rPr>
          <w:rFonts w:cstheme="minorHAnsi"/>
          <w:bCs/>
        </w:rPr>
        <w:t>.</w:t>
      </w:r>
      <w:r>
        <w:rPr>
          <w:rFonts w:cstheme="minorHAnsi"/>
          <w:bCs/>
        </w:rPr>
        <w:t xml:space="preserve"> </w:t>
      </w:r>
      <w:r w:rsidR="00C31F6E">
        <w:rPr>
          <w:rFonts w:cstheme="minorHAnsi"/>
          <w:bCs/>
        </w:rPr>
        <w:t>There were 4 participants who had not</w:t>
      </w:r>
      <w:r w:rsidR="003B6813">
        <w:rPr>
          <w:rFonts w:cstheme="minorHAnsi"/>
          <w:bCs/>
        </w:rPr>
        <w:t xml:space="preserve"> returned the questionnaire</w:t>
      </w:r>
      <w:r w:rsidR="00CA3E06">
        <w:rPr>
          <w:rFonts w:cstheme="minorHAnsi"/>
          <w:bCs/>
        </w:rPr>
        <w:t xml:space="preserve"> (one newsletter, three no newsletter)</w:t>
      </w:r>
      <w:r w:rsidR="003B6813">
        <w:rPr>
          <w:rFonts w:cstheme="minorHAnsi"/>
          <w:bCs/>
        </w:rPr>
        <w:t>.</w:t>
      </w:r>
      <w:r w:rsidR="00C31F6E">
        <w:rPr>
          <w:rFonts w:cstheme="minorHAnsi"/>
          <w:bCs/>
        </w:rPr>
        <w:t xml:space="preserve"> </w:t>
      </w:r>
      <w:r w:rsidR="003B6813">
        <w:rPr>
          <w:rFonts w:cstheme="minorHAnsi"/>
          <w:bCs/>
        </w:rPr>
        <w:t xml:space="preserve">There was no evidence to suggest a difference in proximity of completion time between the two groups, full details in Table 2. </w:t>
      </w:r>
    </w:p>
    <w:p w14:paraId="4767E172" w14:textId="77777777" w:rsidR="00387E52" w:rsidRDefault="00387E52">
      <w:pPr>
        <w:rPr>
          <w:rFonts w:cstheme="minorHAnsi"/>
          <w:bCs/>
        </w:rPr>
      </w:pPr>
    </w:p>
    <w:p w14:paraId="6102486C" w14:textId="4C068DE4" w:rsidR="00387E52" w:rsidRPr="00387E52" w:rsidRDefault="00387E52">
      <w:pPr>
        <w:rPr>
          <w:rFonts w:cstheme="minorHAnsi"/>
          <w:bCs/>
          <w:i/>
          <w:iCs/>
        </w:rPr>
      </w:pPr>
      <w:r w:rsidRPr="00387E52">
        <w:rPr>
          <w:rFonts w:cstheme="minorHAnsi"/>
          <w:bCs/>
          <w:i/>
          <w:iCs/>
        </w:rPr>
        <w:t>Associated costs</w:t>
      </w:r>
    </w:p>
    <w:p w14:paraId="11D8C729" w14:textId="1DB6634F" w:rsidR="00387E52" w:rsidRDefault="00025426">
      <w:pPr>
        <w:rPr>
          <w:rFonts w:cstheme="minorHAnsi"/>
          <w:bCs/>
        </w:rPr>
      </w:pPr>
      <w:r>
        <w:rPr>
          <w:rFonts w:cstheme="minorHAnsi"/>
          <w:bCs/>
        </w:rPr>
        <w:t xml:space="preserve">Although direct costs of the intervention were not collected within this SWAT, the </w:t>
      </w:r>
      <w:r w:rsidR="00387E52">
        <w:rPr>
          <w:rFonts w:cstheme="minorHAnsi"/>
          <w:bCs/>
        </w:rPr>
        <w:t>associated</w:t>
      </w:r>
      <w:r>
        <w:rPr>
          <w:rFonts w:cstheme="minorHAnsi"/>
          <w:bCs/>
        </w:rPr>
        <w:t xml:space="preserve"> tasks and estimated costs </w:t>
      </w:r>
      <w:r w:rsidR="00445278">
        <w:rPr>
          <w:rFonts w:cstheme="minorHAnsi"/>
          <w:bCs/>
        </w:rPr>
        <w:t>having been approximated</w:t>
      </w:r>
      <w:r w:rsidR="00996EB1">
        <w:rPr>
          <w:rFonts w:cstheme="minorHAnsi"/>
          <w:bCs/>
        </w:rPr>
        <w:t>, these include</w:t>
      </w:r>
      <w:r>
        <w:rPr>
          <w:rFonts w:cstheme="minorHAnsi"/>
          <w:bCs/>
        </w:rPr>
        <w:t xml:space="preserve">: </w:t>
      </w:r>
    </w:p>
    <w:p w14:paraId="41905F01" w14:textId="077F2C4E" w:rsidR="00025426" w:rsidRDefault="00025426" w:rsidP="00025426">
      <w:pPr>
        <w:pStyle w:val="ListParagraph"/>
        <w:numPr>
          <w:ilvl w:val="0"/>
          <w:numId w:val="1"/>
        </w:numPr>
        <w:rPr>
          <w:rFonts w:cstheme="minorHAnsi"/>
          <w:bCs/>
        </w:rPr>
      </w:pPr>
      <w:r w:rsidRPr="004444F3">
        <w:rPr>
          <w:rFonts w:cstheme="minorHAnsi"/>
          <w:bCs/>
        </w:rPr>
        <w:t>Associated staff time for creating newsletter and cover letter</w:t>
      </w:r>
      <w:r w:rsidR="00445278">
        <w:rPr>
          <w:rFonts w:cstheme="minorHAnsi"/>
          <w:bCs/>
        </w:rPr>
        <w:t xml:space="preserve">: </w:t>
      </w:r>
      <w:r>
        <w:rPr>
          <w:rFonts w:cstheme="minorHAnsi"/>
          <w:bCs/>
        </w:rPr>
        <w:t>£336.00 based on two days of a mid-tier Grade 6 Researcher’s time using the University of York pay scale</w:t>
      </w:r>
      <w:r w:rsidR="00872D41">
        <w:rPr>
          <w:rFonts w:cstheme="minorHAnsi"/>
          <w:bCs/>
        </w:rPr>
        <w:t>.</w:t>
      </w:r>
    </w:p>
    <w:p w14:paraId="329F1459" w14:textId="6D98B341" w:rsidR="00387E52" w:rsidRDefault="00387E52" w:rsidP="00387E52">
      <w:pPr>
        <w:pStyle w:val="ListParagraph"/>
        <w:numPr>
          <w:ilvl w:val="0"/>
          <w:numId w:val="1"/>
        </w:numPr>
        <w:rPr>
          <w:rFonts w:cstheme="minorHAnsi"/>
          <w:bCs/>
        </w:rPr>
      </w:pPr>
      <w:r>
        <w:rPr>
          <w:rFonts w:cstheme="minorHAnsi"/>
          <w:bCs/>
        </w:rPr>
        <w:t xml:space="preserve">Printing and paper costs for </w:t>
      </w:r>
      <w:r w:rsidR="00C5449B">
        <w:rPr>
          <w:rFonts w:cstheme="minorHAnsi"/>
          <w:bCs/>
        </w:rPr>
        <w:t xml:space="preserve">the newsletter, </w:t>
      </w:r>
      <w:r>
        <w:rPr>
          <w:rFonts w:cstheme="minorHAnsi"/>
          <w:bCs/>
        </w:rPr>
        <w:t>one A4 double sided, colour</w:t>
      </w:r>
      <w:r w:rsidR="00445278">
        <w:rPr>
          <w:rFonts w:cstheme="minorHAnsi"/>
          <w:bCs/>
        </w:rPr>
        <w:t xml:space="preserve">: </w:t>
      </w:r>
      <w:r>
        <w:rPr>
          <w:rFonts w:cstheme="minorHAnsi"/>
          <w:bCs/>
        </w:rPr>
        <w:t xml:space="preserve"> </w:t>
      </w:r>
      <w:r w:rsidR="00872D41">
        <w:rPr>
          <w:rFonts w:cstheme="minorHAnsi"/>
          <w:bCs/>
        </w:rPr>
        <w:t>£0.</w:t>
      </w:r>
      <w:r w:rsidR="00996EB1">
        <w:rPr>
          <w:rFonts w:cstheme="minorHAnsi"/>
          <w:bCs/>
        </w:rPr>
        <w:t>13</w:t>
      </w:r>
      <w:r w:rsidR="00872D41">
        <w:rPr>
          <w:rFonts w:cstheme="minorHAnsi"/>
          <w:bCs/>
        </w:rPr>
        <w:t xml:space="preserve"> per participant, a total of £</w:t>
      </w:r>
      <w:r w:rsidR="00996EB1">
        <w:rPr>
          <w:rFonts w:cstheme="minorHAnsi"/>
          <w:bCs/>
        </w:rPr>
        <w:t>11.44.</w:t>
      </w:r>
    </w:p>
    <w:p w14:paraId="717E8E50" w14:textId="0CFEF8A5" w:rsidR="00CA3E06" w:rsidRDefault="00CA3E06" w:rsidP="00387E52">
      <w:pPr>
        <w:pStyle w:val="ListParagraph"/>
        <w:numPr>
          <w:ilvl w:val="0"/>
          <w:numId w:val="1"/>
        </w:numPr>
        <w:rPr>
          <w:rFonts w:cstheme="minorHAnsi"/>
          <w:bCs/>
        </w:rPr>
      </w:pPr>
      <w:r>
        <w:rPr>
          <w:rFonts w:cstheme="minorHAnsi"/>
          <w:bCs/>
        </w:rPr>
        <w:t>Printing and paper costs for associated cover letter, one side of A4, black and white</w:t>
      </w:r>
      <w:r w:rsidR="00445278">
        <w:rPr>
          <w:rFonts w:cstheme="minorHAnsi"/>
          <w:bCs/>
        </w:rPr>
        <w:t xml:space="preserve">: </w:t>
      </w:r>
      <w:r w:rsidR="00872D41">
        <w:rPr>
          <w:rFonts w:cstheme="minorHAnsi"/>
          <w:bCs/>
        </w:rPr>
        <w:t>£0.0</w:t>
      </w:r>
      <w:r w:rsidR="00996EB1">
        <w:rPr>
          <w:rFonts w:cstheme="minorHAnsi"/>
          <w:bCs/>
        </w:rPr>
        <w:t>2</w:t>
      </w:r>
      <w:r w:rsidR="00872D41">
        <w:rPr>
          <w:rFonts w:cstheme="minorHAnsi"/>
          <w:bCs/>
        </w:rPr>
        <w:t>5</w:t>
      </w:r>
      <w:r w:rsidR="00996EB1">
        <w:rPr>
          <w:rFonts w:cstheme="minorHAnsi"/>
          <w:bCs/>
        </w:rPr>
        <w:t xml:space="preserve"> (2.5 pence)</w:t>
      </w:r>
      <w:r w:rsidR="00872D41">
        <w:rPr>
          <w:rFonts w:cstheme="minorHAnsi"/>
          <w:bCs/>
        </w:rPr>
        <w:t xml:space="preserve"> per participant, a total of £</w:t>
      </w:r>
      <w:r w:rsidR="00996EB1">
        <w:rPr>
          <w:rFonts w:cstheme="minorHAnsi"/>
          <w:bCs/>
        </w:rPr>
        <w:t>2</w:t>
      </w:r>
      <w:r w:rsidR="00872D41">
        <w:rPr>
          <w:rFonts w:cstheme="minorHAnsi"/>
          <w:bCs/>
        </w:rPr>
        <w:t>.</w:t>
      </w:r>
      <w:r w:rsidR="00996EB1">
        <w:rPr>
          <w:rFonts w:cstheme="minorHAnsi"/>
          <w:bCs/>
        </w:rPr>
        <w:t>2</w:t>
      </w:r>
      <w:r w:rsidR="00872D41">
        <w:rPr>
          <w:rFonts w:cstheme="minorHAnsi"/>
          <w:bCs/>
        </w:rPr>
        <w:t>0.</w:t>
      </w:r>
    </w:p>
    <w:p w14:paraId="17AA29A9" w14:textId="4018472E" w:rsidR="00387E52" w:rsidRDefault="00387E52" w:rsidP="00387E52">
      <w:pPr>
        <w:pStyle w:val="ListParagraph"/>
        <w:numPr>
          <w:ilvl w:val="0"/>
          <w:numId w:val="1"/>
        </w:numPr>
        <w:rPr>
          <w:rFonts w:cstheme="minorHAnsi"/>
          <w:bCs/>
        </w:rPr>
      </w:pPr>
      <w:r>
        <w:rPr>
          <w:rFonts w:cstheme="minorHAnsi"/>
          <w:bCs/>
        </w:rPr>
        <w:t>Envelope cost</w:t>
      </w:r>
      <w:r w:rsidR="00445278">
        <w:rPr>
          <w:rFonts w:cstheme="minorHAnsi"/>
          <w:bCs/>
        </w:rPr>
        <w:t>, which will</w:t>
      </w:r>
      <w:r>
        <w:rPr>
          <w:rFonts w:cstheme="minorHAnsi"/>
          <w:bCs/>
        </w:rPr>
        <w:t xml:space="preserve"> include </w:t>
      </w:r>
      <w:r w:rsidR="00CA3E06">
        <w:rPr>
          <w:rFonts w:cstheme="minorHAnsi"/>
          <w:bCs/>
        </w:rPr>
        <w:t>two</w:t>
      </w:r>
      <w:r>
        <w:rPr>
          <w:rFonts w:cstheme="minorHAnsi"/>
          <w:bCs/>
        </w:rPr>
        <w:t xml:space="preserve"> piece</w:t>
      </w:r>
      <w:r w:rsidR="00CA3E06">
        <w:rPr>
          <w:rFonts w:cstheme="minorHAnsi"/>
          <w:bCs/>
        </w:rPr>
        <w:t>s</w:t>
      </w:r>
      <w:r>
        <w:rPr>
          <w:rFonts w:cstheme="minorHAnsi"/>
          <w:bCs/>
        </w:rPr>
        <w:t xml:space="preserve"> of A4 paper</w:t>
      </w:r>
      <w:r w:rsidR="00445278">
        <w:rPr>
          <w:rFonts w:cstheme="minorHAnsi"/>
          <w:bCs/>
        </w:rPr>
        <w:t xml:space="preserve">: </w:t>
      </w:r>
      <w:r w:rsidR="00872D41">
        <w:rPr>
          <w:rFonts w:cstheme="minorHAnsi"/>
          <w:bCs/>
        </w:rPr>
        <w:t>£0.0</w:t>
      </w:r>
      <w:r w:rsidR="00996EB1">
        <w:rPr>
          <w:rFonts w:cstheme="minorHAnsi"/>
          <w:bCs/>
        </w:rPr>
        <w:t>25</w:t>
      </w:r>
      <w:r w:rsidR="00872D41">
        <w:rPr>
          <w:rFonts w:cstheme="minorHAnsi"/>
          <w:bCs/>
        </w:rPr>
        <w:t xml:space="preserve"> per participant, £</w:t>
      </w:r>
      <w:r w:rsidR="00996EB1">
        <w:rPr>
          <w:rFonts w:cstheme="minorHAnsi"/>
          <w:bCs/>
        </w:rPr>
        <w:t>2.20</w:t>
      </w:r>
      <w:r w:rsidR="00872D41">
        <w:rPr>
          <w:rFonts w:cstheme="minorHAnsi"/>
          <w:bCs/>
        </w:rPr>
        <w:t xml:space="preserve"> total.</w:t>
      </w:r>
    </w:p>
    <w:p w14:paraId="750337B8" w14:textId="55BA75A6" w:rsidR="00445278" w:rsidRPr="004444F3" w:rsidRDefault="00445278" w:rsidP="00445278">
      <w:pPr>
        <w:pStyle w:val="ListParagraph"/>
        <w:numPr>
          <w:ilvl w:val="0"/>
          <w:numId w:val="1"/>
        </w:numPr>
        <w:rPr>
          <w:rFonts w:cstheme="minorHAnsi"/>
          <w:bCs/>
        </w:rPr>
      </w:pPr>
      <w:r w:rsidRPr="004444F3">
        <w:rPr>
          <w:rFonts w:cstheme="minorHAnsi"/>
          <w:bCs/>
        </w:rPr>
        <w:t xml:space="preserve">Associated staff time for </w:t>
      </w:r>
      <w:r>
        <w:rPr>
          <w:rFonts w:cstheme="minorHAnsi"/>
          <w:bCs/>
        </w:rPr>
        <w:t>packing the letters: estimated to be 30</w:t>
      </w:r>
      <w:r w:rsidR="00996EB1">
        <w:rPr>
          <w:rFonts w:cstheme="minorHAnsi"/>
          <w:bCs/>
        </w:rPr>
        <w:t xml:space="preserve"> </w:t>
      </w:r>
      <w:r>
        <w:rPr>
          <w:rFonts w:cstheme="minorHAnsi"/>
          <w:bCs/>
        </w:rPr>
        <w:t>seconds to prepare each</w:t>
      </w:r>
      <w:r w:rsidR="00F210DE">
        <w:rPr>
          <w:rFonts w:cstheme="minorHAnsi"/>
          <w:bCs/>
        </w:rPr>
        <w:t>,</w:t>
      </w:r>
      <w:r>
        <w:rPr>
          <w:rFonts w:cstheme="minorHAnsi"/>
          <w:bCs/>
        </w:rPr>
        <w:t>[1</w:t>
      </w:r>
      <w:r w:rsidR="00310FBE">
        <w:rPr>
          <w:rFonts w:cstheme="minorHAnsi"/>
          <w:bCs/>
        </w:rPr>
        <w:t>4</w:t>
      </w:r>
      <w:r>
        <w:rPr>
          <w:rFonts w:cstheme="minorHAnsi"/>
          <w:bCs/>
        </w:rPr>
        <w:t>] so a total of 44</w:t>
      </w:r>
      <w:r w:rsidR="00996EB1">
        <w:rPr>
          <w:rFonts w:cstheme="minorHAnsi"/>
          <w:bCs/>
        </w:rPr>
        <w:t xml:space="preserve"> </w:t>
      </w:r>
      <w:r>
        <w:rPr>
          <w:rFonts w:cstheme="minorHAnsi"/>
          <w:bCs/>
        </w:rPr>
        <w:t xml:space="preserve">minutes; using a mid-tier Grade 3 salary would equate to </w:t>
      </w:r>
      <w:r w:rsidR="00996EB1">
        <w:rPr>
          <w:rFonts w:cstheme="minorHAnsi"/>
          <w:bCs/>
        </w:rPr>
        <w:t xml:space="preserve">a total of </w:t>
      </w:r>
      <w:r w:rsidR="00872D41">
        <w:rPr>
          <w:rFonts w:cstheme="minorHAnsi"/>
          <w:bCs/>
        </w:rPr>
        <w:t>£10.28.</w:t>
      </w:r>
    </w:p>
    <w:p w14:paraId="60424741" w14:textId="17F713A9" w:rsidR="00387E52" w:rsidRDefault="00387E52" w:rsidP="00387E52">
      <w:pPr>
        <w:pStyle w:val="ListParagraph"/>
        <w:numPr>
          <w:ilvl w:val="0"/>
          <w:numId w:val="1"/>
        </w:numPr>
        <w:rPr>
          <w:rFonts w:cstheme="minorHAnsi"/>
          <w:bCs/>
        </w:rPr>
      </w:pPr>
      <w:r>
        <w:rPr>
          <w:rFonts w:cstheme="minorHAnsi"/>
          <w:bCs/>
        </w:rPr>
        <w:t>Postage cost</w:t>
      </w:r>
      <w:r w:rsidR="00445278">
        <w:rPr>
          <w:rFonts w:cstheme="minorHAnsi"/>
          <w:bCs/>
        </w:rPr>
        <w:t xml:space="preserve">: </w:t>
      </w:r>
      <w:r w:rsidR="00445278" w:rsidRPr="00445278">
        <w:rPr>
          <w:rFonts w:cstheme="minorHAnsi"/>
          <w:bCs/>
        </w:rPr>
        <w:t xml:space="preserve">second class Royal Mail using </w:t>
      </w:r>
      <w:proofErr w:type="spellStart"/>
      <w:r w:rsidR="00445278" w:rsidRPr="00445278">
        <w:rPr>
          <w:rFonts w:cstheme="minorHAnsi"/>
          <w:bCs/>
        </w:rPr>
        <w:t>Mailmark</w:t>
      </w:r>
      <w:proofErr w:type="spellEnd"/>
      <w:r w:rsidR="00445278" w:rsidRPr="00445278">
        <w:rPr>
          <w:rFonts w:cstheme="minorHAnsi"/>
          <w:bCs/>
        </w:rPr>
        <w:t xml:space="preserve"> franking at a cost of £0.41 each</w:t>
      </w:r>
      <w:r w:rsidR="00445278">
        <w:rPr>
          <w:rFonts w:cstheme="minorHAnsi"/>
          <w:bCs/>
        </w:rPr>
        <w:t xml:space="preserve"> – total cost £36.08</w:t>
      </w:r>
      <w:r w:rsidR="00872D41">
        <w:rPr>
          <w:rFonts w:cstheme="minorHAnsi"/>
          <w:bCs/>
        </w:rPr>
        <w:t>.</w:t>
      </w:r>
    </w:p>
    <w:p w14:paraId="0F9882DB" w14:textId="3618F452" w:rsidR="00F576F5" w:rsidRDefault="00445278" w:rsidP="00F576F5">
      <w:pPr>
        <w:rPr>
          <w:rFonts w:cstheme="minorHAnsi"/>
          <w:bCs/>
        </w:rPr>
      </w:pPr>
      <w:r>
        <w:rPr>
          <w:rFonts w:cstheme="minorHAnsi"/>
          <w:bCs/>
        </w:rPr>
        <w:t xml:space="preserve">Thus, the total combined cost for this SWAT was estimated to be </w:t>
      </w:r>
      <w:r w:rsidR="00872D41">
        <w:rPr>
          <w:rFonts w:cstheme="minorHAnsi"/>
          <w:bCs/>
        </w:rPr>
        <w:t>£</w:t>
      </w:r>
      <w:r w:rsidR="00996EB1">
        <w:rPr>
          <w:rFonts w:cstheme="minorHAnsi"/>
          <w:bCs/>
        </w:rPr>
        <w:t>398.2</w:t>
      </w:r>
      <w:r w:rsidR="008B1B07">
        <w:rPr>
          <w:rFonts w:cstheme="minorHAnsi"/>
          <w:bCs/>
        </w:rPr>
        <w:t>0</w:t>
      </w:r>
      <w:r>
        <w:rPr>
          <w:rFonts w:cstheme="minorHAnsi"/>
          <w:bCs/>
        </w:rPr>
        <w:t xml:space="preserve">, an average of </w:t>
      </w:r>
      <w:r w:rsidR="00872D41">
        <w:rPr>
          <w:rFonts w:cstheme="minorHAnsi"/>
          <w:bCs/>
        </w:rPr>
        <w:t>£4.</w:t>
      </w:r>
      <w:r w:rsidR="00996EB1">
        <w:rPr>
          <w:rFonts w:cstheme="minorHAnsi"/>
          <w:bCs/>
        </w:rPr>
        <w:t>5</w:t>
      </w:r>
      <w:r w:rsidR="00872D41">
        <w:rPr>
          <w:rFonts w:cstheme="minorHAnsi"/>
          <w:bCs/>
        </w:rPr>
        <w:t>3</w:t>
      </w:r>
      <w:r>
        <w:rPr>
          <w:rFonts w:cstheme="minorHAnsi"/>
          <w:bCs/>
        </w:rPr>
        <w:t xml:space="preserve"> per participant in the intervention arm. </w:t>
      </w:r>
      <w:r w:rsidR="0051293C">
        <w:rPr>
          <w:rFonts w:cstheme="minorHAnsi"/>
          <w:bCs/>
        </w:rPr>
        <w:t xml:space="preserve">As there was no evidence of an increase in response rate, the cost per additional participant retained has not been calculated. </w:t>
      </w:r>
    </w:p>
    <w:p w14:paraId="7DF8EF63" w14:textId="77777777" w:rsidR="0051293C" w:rsidRDefault="0051293C" w:rsidP="00F576F5">
      <w:pPr>
        <w:rPr>
          <w:rFonts w:cstheme="minorHAnsi"/>
          <w:bCs/>
        </w:rPr>
      </w:pPr>
    </w:p>
    <w:p w14:paraId="55D2043D" w14:textId="69522669" w:rsidR="00F576F5" w:rsidRPr="00DD7B97" w:rsidRDefault="00F576F5" w:rsidP="00F576F5">
      <w:pPr>
        <w:rPr>
          <w:rFonts w:cstheme="minorHAnsi"/>
          <w:bCs/>
          <w:i/>
          <w:iCs/>
        </w:rPr>
      </w:pPr>
      <w:r w:rsidRPr="00F576F5">
        <w:rPr>
          <w:rFonts w:cstheme="minorHAnsi"/>
          <w:bCs/>
          <w:i/>
          <w:iCs/>
        </w:rPr>
        <w:t xml:space="preserve"> </w:t>
      </w:r>
      <w:r w:rsidRPr="00DD7B97">
        <w:rPr>
          <w:rFonts w:cstheme="minorHAnsi"/>
          <w:bCs/>
          <w:i/>
          <w:iCs/>
        </w:rPr>
        <w:t xml:space="preserve">Combining with existing evidence </w:t>
      </w:r>
    </w:p>
    <w:p w14:paraId="2651BB03" w14:textId="570C8AE0" w:rsidR="00387E52" w:rsidRPr="00F576F5" w:rsidRDefault="00F576F5" w:rsidP="00F576F5">
      <w:pPr>
        <w:rPr>
          <w:rFonts w:cstheme="minorHAnsi"/>
          <w:bCs/>
        </w:rPr>
      </w:pPr>
      <w:r>
        <w:rPr>
          <w:rFonts w:cstheme="minorHAnsi"/>
          <w:bCs/>
        </w:rPr>
        <w:t xml:space="preserve">When combining our primary analysis results with the existing evidence (four trials), the overall odds ratio is </w:t>
      </w:r>
      <w:r w:rsidR="00C17D08">
        <w:rPr>
          <w:rFonts w:cstheme="minorHAnsi"/>
          <w:bCs/>
        </w:rPr>
        <w:t>1.08</w:t>
      </w:r>
      <w:r>
        <w:rPr>
          <w:rFonts w:cstheme="minorHAnsi"/>
          <w:bCs/>
        </w:rPr>
        <w:t xml:space="preserve"> with a 95% CI of 0.</w:t>
      </w:r>
      <w:r w:rsidR="00C17D08">
        <w:rPr>
          <w:rFonts w:cstheme="minorHAnsi"/>
          <w:bCs/>
        </w:rPr>
        <w:t>91</w:t>
      </w:r>
      <w:r>
        <w:rPr>
          <w:rFonts w:cstheme="minorHAnsi"/>
          <w:bCs/>
        </w:rPr>
        <w:t xml:space="preserve"> to 1.</w:t>
      </w:r>
      <w:r w:rsidR="00C17D08">
        <w:rPr>
          <w:rFonts w:cstheme="minorHAnsi"/>
          <w:bCs/>
        </w:rPr>
        <w:t>28</w:t>
      </w:r>
      <w:r>
        <w:rPr>
          <w:rFonts w:cstheme="minorHAnsi"/>
          <w:bCs/>
        </w:rPr>
        <w:t xml:space="preserve">. A forest plot can be seen in Figure 2. This suggests that there is no evidence of an effect on the retention rate when sending a </w:t>
      </w:r>
      <w:r w:rsidR="00CB2189">
        <w:rPr>
          <w:rFonts w:cstheme="minorHAnsi"/>
          <w:bCs/>
        </w:rPr>
        <w:t xml:space="preserve">participant </w:t>
      </w:r>
      <w:r>
        <w:rPr>
          <w:rFonts w:cstheme="minorHAnsi"/>
          <w:bCs/>
        </w:rPr>
        <w:t xml:space="preserve">prenotification </w:t>
      </w:r>
      <w:r w:rsidR="00CB2189">
        <w:rPr>
          <w:rFonts w:cstheme="minorHAnsi"/>
          <w:bCs/>
        </w:rPr>
        <w:t>newsletter</w:t>
      </w:r>
      <w:r>
        <w:rPr>
          <w:rFonts w:cstheme="minorHAnsi"/>
          <w:bCs/>
        </w:rPr>
        <w:t>. This evidence combined the data from 5688 participants, across five trials – one falls prevention, one in osteoporotic fracture screening, one in shoulder fractures, one in arthritis, and one in dental health. Three of the trials have been in over 65-year-olds, and two just in an adult population; with one just in females.</w:t>
      </w:r>
      <w:r w:rsidR="008B1B07">
        <w:rPr>
          <w:rFonts w:cstheme="minorHAnsi"/>
          <w:bCs/>
        </w:rPr>
        <w:t xml:space="preserve"> Of these evaluations, all those in an older adult population (Mitchell, Rodgers and Coleman) have provided an OR different than 1, which may indicate an effect in this population, whereas those in a</w:t>
      </w:r>
      <w:r w:rsidR="00AE26DA">
        <w:rPr>
          <w:rFonts w:cstheme="minorHAnsi"/>
          <w:bCs/>
        </w:rPr>
        <w:t>n</w:t>
      </w:r>
      <w:r w:rsidR="008B1B07">
        <w:rPr>
          <w:rFonts w:cstheme="minorHAnsi"/>
          <w:bCs/>
        </w:rPr>
        <w:t xml:space="preserve"> adult population have suggested no effect.</w:t>
      </w:r>
      <w:r>
        <w:rPr>
          <w:rFonts w:cstheme="minorHAnsi"/>
          <w:bCs/>
        </w:rPr>
        <w:t xml:space="preserve"> The GRADE evidence of the four existing trials was one high, one low and two unclear. Therefore, it may be </w:t>
      </w:r>
      <w:r>
        <w:rPr>
          <w:rFonts w:cstheme="minorHAnsi"/>
          <w:bCs/>
        </w:rPr>
        <w:lastRenderedPageBreak/>
        <w:t xml:space="preserve">appropriate to consider that sufficient evidence has been accumulated for this research question, when using the Trial Forge Guidance on when further evaluations are needed – </w:t>
      </w:r>
      <w:r w:rsidR="009D0C2F">
        <w:rPr>
          <w:rFonts w:cstheme="minorHAnsi"/>
          <w:bCs/>
        </w:rPr>
        <w:t>however</w:t>
      </w:r>
      <w:r>
        <w:rPr>
          <w:rFonts w:cstheme="minorHAnsi"/>
          <w:bCs/>
        </w:rPr>
        <w:t xml:space="preserve"> further evaluation in a younger population may be beneficial [1</w:t>
      </w:r>
      <w:r w:rsidR="00AE26DA">
        <w:rPr>
          <w:rFonts w:cstheme="minorHAnsi"/>
          <w:bCs/>
        </w:rPr>
        <w:t>5</w:t>
      </w:r>
      <w:r>
        <w:rPr>
          <w:rFonts w:cstheme="minorHAnsi"/>
          <w:bCs/>
        </w:rPr>
        <w:t xml:space="preserve">]. </w:t>
      </w:r>
    </w:p>
    <w:p w14:paraId="4760B96C" w14:textId="500F2513" w:rsidR="00DD7B97" w:rsidRDefault="00DD7B97" w:rsidP="00387E52">
      <w:pPr>
        <w:rPr>
          <w:rFonts w:cstheme="minorHAnsi"/>
          <w:b/>
        </w:rPr>
      </w:pPr>
    </w:p>
    <w:p w14:paraId="2C205C31" w14:textId="7700728A" w:rsidR="00387E52" w:rsidRDefault="00387E52" w:rsidP="00387E52">
      <w:pPr>
        <w:rPr>
          <w:rFonts w:cstheme="minorHAnsi"/>
          <w:b/>
          <w:sz w:val="28"/>
          <w:szCs w:val="28"/>
        </w:rPr>
      </w:pPr>
      <w:r>
        <w:rPr>
          <w:rFonts w:cstheme="minorHAnsi"/>
          <w:b/>
          <w:sz w:val="28"/>
          <w:szCs w:val="28"/>
        </w:rPr>
        <w:t>Discussion:</w:t>
      </w:r>
    </w:p>
    <w:p w14:paraId="0283D1EE" w14:textId="77777777" w:rsidR="00DA3C91" w:rsidRDefault="00387E52" w:rsidP="00387E52">
      <w:r>
        <w:t xml:space="preserve">This SWAT showed that there was no evidence that sending a pre-notification newsletter improved the retention rate, the completion of the primary outcome for those questionnaires that were returned, or </w:t>
      </w:r>
      <w:r w:rsidR="00B27924">
        <w:t>how promptly</w:t>
      </w:r>
      <w:r>
        <w:t xml:space="preserve"> participants complete the questionnaire. </w:t>
      </w:r>
    </w:p>
    <w:p w14:paraId="3F948E93" w14:textId="2ACCC9D6" w:rsidR="00DA3C91" w:rsidRDefault="00DA3C91" w:rsidP="008127AB">
      <w:pPr>
        <w:spacing w:line="240" w:lineRule="auto"/>
        <w:rPr>
          <w:rFonts w:ascii="Arial" w:hAnsi="Arial" w:cs="Arial"/>
          <w:sz w:val="24"/>
          <w:szCs w:val="24"/>
        </w:rPr>
      </w:pPr>
      <w:r w:rsidRPr="008127AB">
        <w:rPr>
          <w:rFonts w:cstheme="minorHAnsi"/>
        </w:rPr>
        <w:t>The intervention had associated financial cost of development, printing and mailing at £4.53 per participant</w:t>
      </w:r>
      <w:r>
        <w:rPr>
          <w:rFonts w:cstheme="minorHAnsi"/>
        </w:rPr>
        <w:t xml:space="preserve">, </w:t>
      </w:r>
      <w:r w:rsidRPr="008127AB">
        <w:rPr>
          <w:rFonts w:cstheme="minorHAnsi"/>
        </w:rPr>
        <w:t>however cost per additional participant retained was not calculated in the absence of any evidence of effect.</w:t>
      </w:r>
      <w:r w:rsidRPr="00167807">
        <w:rPr>
          <w:rFonts w:ascii="Arial" w:hAnsi="Arial" w:cs="Arial"/>
          <w:sz w:val="24"/>
          <w:szCs w:val="24"/>
        </w:rPr>
        <w:t xml:space="preserve"> </w:t>
      </w:r>
    </w:p>
    <w:p w14:paraId="2872C927" w14:textId="06B901B9" w:rsidR="00DA3C91" w:rsidRDefault="00DA3C91" w:rsidP="00387E52">
      <w:r>
        <w:t>In the most recent Cochrane review [4] for retention strategies (2020), there were four trials which had evaluated this intervention: one found a harmful effect, one a beneficial effect, and two found no evidence of an effect when using a participant prenotification newsletter, compared to none. When combining our results with these, the evidence suggests there is no effect on the retention rate from using a newsletter, so this strategy should be used with caution, as it has associated financial and time costs for a trial, without providing an additional benefit – when other, known to be effective, strategies could be implemented instead.</w:t>
      </w:r>
    </w:p>
    <w:p w14:paraId="3A435308" w14:textId="77777777" w:rsidR="00DA3C91" w:rsidRPr="008F67A2" w:rsidRDefault="00DA3C91" w:rsidP="00DA3C91">
      <w:pPr>
        <w:spacing w:line="480" w:lineRule="auto"/>
        <w:rPr>
          <w:rFonts w:ascii="Arial" w:hAnsi="Arial" w:cs="Arial"/>
          <w:i/>
          <w:sz w:val="24"/>
          <w:szCs w:val="24"/>
          <w:u w:val="single"/>
        </w:rPr>
      </w:pPr>
      <w:r w:rsidRPr="008F67A2">
        <w:rPr>
          <w:rFonts w:ascii="Arial" w:hAnsi="Arial" w:cs="Arial"/>
          <w:i/>
          <w:sz w:val="24"/>
          <w:szCs w:val="24"/>
          <w:u w:val="single"/>
        </w:rPr>
        <w:t>Strengths and Limitations</w:t>
      </w:r>
    </w:p>
    <w:p w14:paraId="1E30CFAF" w14:textId="1E72F7C0" w:rsidR="00DA3C91" w:rsidRDefault="00DA3C91" w:rsidP="00387E52">
      <w:r>
        <w:t>This SWAT is a replication of previous and so provides additional contribution in relation to accumulating evidence on the effectiveness of this intervention for participant retention.</w:t>
      </w:r>
    </w:p>
    <w:p w14:paraId="7ECCD7A3" w14:textId="080887CE" w:rsidR="00333830" w:rsidRDefault="00333830" w:rsidP="00387E52">
      <w:r>
        <w:t>The intervention used in this SWAT was comparable to that used in the initial SWAT undertaken,</w:t>
      </w:r>
      <w:r w:rsidR="00AE26DA">
        <w:t>[7]</w:t>
      </w:r>
      <w:r>
        <w:t xml:space="preserve"> albeit with some changes made. These changes were required to ensure the SWAT was relevant to the host trial and as a result the implications of these minor changes are unlikely to influence the overall meta-analysis result.</w:t>
      </w:r>
    </w:p>
    <w:p w14:paraId="1B8C4F68" w14:textId="7A2BDA63" w:rsidR="00DA3C91" w:rsidRPr="00DD1591" w:rsidRDefault="00DA3C91" w:rsidP="00DA3C91">
      <w:pPr>
        <w:spacing w:line="240" w:lineRule="auto"/>
        <w:rPr>
          <w:rFonts w:cstheme="minorHAnsi"/>
        </w:rPr>
      </w:pPr>
      <w:r w:rsidRPr="00DD1591">
        <w:rPr>
          <w:rFonts w:cstheme="minorHAnsi"/>
        </w:rPr>
        <w:t>The demographics of the PROFHER-2 host trial population were comparable to the demographics of the proportion of host trial participants included in the SWAT population. The findings from this study are therefore only generalisable only to this population, however then accumulating evidence via meta-analysis comprises a range of different populations giving greater generalisability.</w:t>
      </w:r>
      <w:r>
        <w:rPr>
          <w:rFonts w:cstheme="minorHAnsi"/>
        </w:rPr>
        <w:t xml:space="preserve"> Ethnic diversity is however limited and therefore further replications in more diverse populations may be warranted.</w:t>
      </w:r>
    </w:p>
    <w:p w14:paraId="502A5E75" w14:textId="508FE927" w:rsidR="00387E52" w:rsidRDefault="00DA3C91" w:rsidP="00387E52">
      <w:r>
        <w:t>The</w:t>
      </w:r>
      <w:r w:rsidR="00387E52">
        <w:t xml:space="preserve"> </w:t>
      </w:r>
      <w:r>
        <w:t xml:space="preserve">biggest limitation of this SWAT was its </w:t>
      </w:r>
      <w:r w:rsidR="00387E52">
        <w:t xml:space="preserve">sample size </w:t>
      </w:r>
      <w:r w:rsidR="008127AB">
        <w:t xml:space="preserve">given that this </w:t>
      </w:r>
      <w:proofErr w:type="spellStart"/>
      <w:r w:rsidR="008127AB">
        <w:t>wasrestricted</w:t>
      </w:r>
      <w:proofErr w:type="spellEnd"/>
      <w:r w:rsidR="008127AB">
        <w:t xml:space="preserve"> due to early termination of the SWAT. In addition,</w:t>
      </w:r>
      <w:r w:rsidR="00387E52">
        <w:t xml:space="preserve"> the overall retention rate seen </w:t>
      </w:r>
      <w:r w:rsidR="008127AB">
        <w:t xml:space="preserve">in the host trial </w:t>
      </w:r>
      <w:r w:rsidR="00387E52">
        <w:t>(</w:t>
      </w:r>
      <w:r w:rsidR="004F01BF">
        <w:t>93.9</w:t>
      </w:r>
      <w:r w:rsidR="00387E52">
        <w:t>%) was already high, as was the completion rate of the</w:t>
      </w:r>
      <w:r w:rsidR="008127AB">
        <w:t xml:space="preserve"> host trial</w:t>
      </w:r>
      <w:r w:rsidR="00387E52">
        <w:t xml:space="preserve"> primary outcome (</w:t>
      </w:r>
      <w:r w:rsidR="004F01BF">
        <w:t>96.8</w:t>
      </w:r>
      <w:r w:rsidR="00387E52">
        <w:t xml:space="preserve">%) – meaning observing any difference in this population would have been difficult. </w:t>
      </w:r>
    </w:p>
    <w:p w14:paraId="7CAEF50A" w14:textId="77777777" w:rsidR="008127AB" w:rsidRPr="008127AB" w:rsidRDefault="008127AB" w:rsidP="008127AB">
      <w:pPr>
        <w:pStyle w:val="pf0"/>
        <w:rPr>
          <w:rStyle w:val="cf01"/>
          <w:rFonts w:asciiTheme="minorHAnsi" w:hAnsiTheme="minorHAnsi" w:cstheme="minorHAnsi"/>
          <w:i/>
          <w:iCs/>
          <w:sz w:val="22"/>
          <w:szCs w:val="22"/>
          <w:u w:val="single"/>
        </w:rPr>
      </w:pPr>
      <w:r w:rsidRPr="00333830">
        <w:rPr>
          <w:rStyle w:val="cf01"/>
          <w:rFonts w:asciiTheme="minorHAnsi" w:hAnsiTheme="minorHAnsi" w:cstheme="minorHAnsi"/>
          <w:i/>
          <w:iCs/>
          <w:sz w:val="22"/>
          <w:szCs w:val="22"/>
          <w:u w:val="single"/>
        </w:rPr>
        <w:t>Implications for trial practice and SWAT research</w:t>
      </w:r>
    </w:p>
    <w:p w14:paraId="65974A12" w14:textId="61C5F7C8" w:rsidR="00AE26DA" w:rsidRDefault="00333830" w:rsidP="00333830">
      <w:pPr>
        <w:pStyle w:val="pf0"/>
        <w:rPr>
          <w:rStyle w:val="cf01"/>
          <w:rFonts w:asciiTheme="minorHAnsi" w:hAnsiTheme="minorHAnsi" w:cstheme="minorHAnsi"/>
          <w:sz w:val="22"/>
          <w:szCs w:val="22"/>
        </w:rPr>
      </w:pPr>
      <w:r w:rsidRPr="00AE26DA">
        <w:rPr>
          <w:rFonts w:asciiTheme="minorHAnsi" w:hAnsiTheme="minorHAnsi" w:cstheme="minorHAnsi"/>
          <w:sz w:val="22"/>
          <w:szCs w:val="22"/>
        </w:rPr>
        <w:t xml:space="preserve">The associated meta-analysis </w:t>
      </w:r>
      <w:r w:rsidR="00AE26DA" w:rsidRPr="00AE26DA">
        <w:rPr>
          <w:rFonts w:asciiTheme="minorHAnsi" w:hAnsiTheme="minorHAnsi" w:cstheme="minorHAnsi"/>
          <w:sz w:val="22"/>
          <w:szCs w:val="22"/>
        </w:rPr>
        <w:t xml:space="preserve">of four studies </w:t>
      </w:r>
      <w:r w:rsidRPr="00AE26DA">
        <w:rPr>
          <w:rFonts w:asciiTheme="minorHAnsi" w:hAnsiTheme="minorHAnsi" w:cstheme="minorHAnsi"/>
          <w:sz w:val="22"/>
          <w:szCs w:val="22"/>
        </w:rPr>
        <w:t xml:space="preserve">suggests that </w:t>
      </w:r>
      <w:r w:rsidR="00AE26DA" w:rsidRPr="00AE26DA">
        <w:rPr>
          <w:rStyle w:val="cf01"/>
          <w:rFonts w:asciiTheme="minorHAnsi" w:hAnsiTheme="minorHAnsi" w:cstheme="minorHAnsi"/>
          <w:sz w:val="22"/>
          <w:szCs w:val="22"/>
        </w:rPr>
        <w:t xml:space="preserve">use of a newsletter sent in advance of a postal follow up questionnaire does not improve retention rates. </w:t>
      </w:r>
      <w:r w:rsidR="00AE26DA">
        <w:rPr>
          <w:rFonts w:cstheme="minorHAnsi"/>
          <w:bCs/>
        </w:rPr>
        <w:t>The GRADE evidence of the four existing trials was one high, one low and two unclear.</w:t>
      </w:r>
    </w:p>
    <w:p w14:paraId="2D4A965E" w14:textId="26E250FB" w:rsidR="00333830" w:rsidRPr="00AE26DA" w:rsidRDefault="00AE26DA" w:rsidP="00333830">
      <w:pPr>
        <w:pStyle w:val="pf0"/>
        <w:rPr>
          <w:rStyle w:val="cf01"/>
          <w:rFonts w:asciiTheme="minorHAnsi" w:hAnsiTheme="minorHAnsi" w:cstheme="minorHAnsi"/>
          <w:sz w:val="22"/>
          <w:szCs w:val="22"/>
          <w:highlight w:val="yellow"/>
        </w:rPr>
      </w:pPr>
      <w:r>
        <w:rPr>
          <w:rStyle w:val="cf01"/>
          <w:rFonts w:asciiTheme="minorHAnsi" w:hAnsiTheme="minorHAnsi" w:cstheme="minorHAnsi"/>
          <w:sz w:val="22"/>
          <w:szCs w:val="22"/>
        </w:rPr>
        <w:lastRenderedPageBreak/>
        <w:t>In this study and others in an older population, results do however indicate</w:t>
      </w:r>
      <w:r>
        <w:rPr>
          <w:rFonts w:cstheme="minorHAnsi"/>
          <w:bCs/>
        </w:rPr>
        <w:t xml:space="preserve"> an effect in this population,[5,7] </w:t>
      </w:r>
      <w:r w:rsidRPr="00844752">
        <w:rPr>
          <w:rFonts w:asciiTheme="minorHAnsi" w:hAnsiTheme="minorHAnsi" w:cstheme="minorHAnsi"/>
          <w:bCs/>
          <w:sz w:val="22"/>
          <w:szCs w:val="22"/>
        </w:rPr>
        <w:t>whereas those in an adult population have suggested no effect. Using Trial Forge Guidance, [15] it may therefore be appropriate to consider that sufficient evidence has been accumulated for this research question in an older population, however the value of further information in this context should be assessed. Irrespective it is however likely that further evaluation in a younger population may be beneficial</w:t>
      </w:r>
      <w:r>
        <w:rPr>
          <w:rFonts w:cstheme="minorHAnsi"/>
          <w:bCs/>
        </w:rPr>
        <w:t xml:space="preserve"> </w:t>
      </w:r>
    </w:p>
    <w:p w14:paraId="28830A5B" w14:textId="0C557C71" w:rsidR="00DD7B97" w:rsidRDefault="00DD7B97" w:rsidP="00387E52"/>
    <w:p w14:paraId="2A7E8BDA" w14:textId="0800F62D" w:rsidR="00310FBE" w:rsidRDefault="00310FBE">
      <w:pPr>
        <w:rPr>
          <w:rFonts w:cstheme="minorHAnsi"/>
          <w:b/>
          <w:sz w:val="28"/>
          <w:szCs w:val="28"/>
        </w:rPr>
      </w:pPr>
    </w:p>
    <w:p w14:paraId="03C05FD7" w14:textId="77777777" w:rsidR="00310FBE" w:rsidRDefault="00310FBE">
      <w:pPr>
        <w:rPr>
          <w:rFonts w:cstheme="minorHAnsi"/>
          <w:b/>
          <w:sz w:val="28"/>
          <w:szCs w:val="28"/>
        </w:rPr>
      </w:pPr>
    </w:p>
    <w:p w14:paraId="3BD1CE80" w14:textId="77777777" w:rsidR="00310FBE" w:rsidRPr="008F72D4" w:rsidRDefault="00310FBE" w:rsidP="00310FBE"/>
    <w:p w14:paraId="61AF75B8" w14:textId="77777777" w:rsidR="00310FBE" w:rsidRDefault="00310FBE">
      <w:pPr>
        <w:rPr>
          <w:rFonts w:cstheme="minorHAnsi"/>
          <w:b/>
          <w:sz w:val="28"/>
          <w:szCs w:val="28"/>
        </w:rPr>
      </w:pPr>
    </w:p>
    <w:p w14:paraId="752237BB" w14:textId="6FD8B378" w:rsidR="00847FAE" w:rsidRDefault="00E60841">
      <w:pPr>
        <w:rPr>
          <w:rFonts w:cstheme="minorHAnsi"/>
          <w:b/>
          <w:sz w:val="28"/>
          <w:szCs w:val="28"/>
        </w:rPr>
      </w:pPr>
      <w:r w:rsidRPr="00E60841">
        <w:rPr>
          <w:rFonts w:cstheme="minorHAnsi"/>
          <w:b/>
          <w:sz w:val="28"/>
          <w:szCs w:val="28"/>
        </w:rPr>
        <w:t xml:space="preserve">Declaration of conflicting interests: </w:t>
      </w:r>
    </w:p>
    <w:p w14:paraId="1EF06100" w14:textId="79D40D45" w:rsidR="00E60841" w:rsidRPr="00405154" w:rsidRDefault="00405154">
      <w:pPr>
        <w:rPr>
          <w:rFonts w:cstheme="minorHAnsi"/>
          <w:bCs/>
        </w:rPr>
      </w:pPr>
      <w:r w:rsidRPr="00405154">
        <w:rPr>
          <w:rFonts w:cstheme="minorHAnsi"/>
          <w:bCs/>
        </w:rPr>
        <w:t>EC and CA declare that they have previously received funding from the PROMETHEUS programme (MR/R013748/1) and an NIHR CTU infrastructure grant (NIHR132547).</w:t>
      </w:r>
      <w:r w:rsidR="008B1B07" w:rsidRPr="00405154">
        <w:rPr>
          <w:rFonts w:cstheme="minorHAnsi"/>
          <w:color w:val="222222"/>
          <w:shd w:val="clear" w:color="auto" w:fill="FFFFFF"/>
        </w:rPr>
        <w:t xml:space="preserve"> All other authors </w:t>
      </w:r>
      <w:r w:rsidR="00E60841" w:rsidRPr="00405154">
        <w:rPr>
          <w:rFonts w:cstheme="minorHAnsi"/>
          <w:bCs/>
        </w:rPr>
        <w:t>declared no potential conflicts of interest with respect to the research, authorship, and/or publication of this article.</w:t>
      </w:r>
    </w:p>
    <w:p w14:paraId="741A194E" w14:textId="5C85EE96" w:rsidR="00E60841" w:rsidRPr="00405154" w:rsidRDefault="00E60841">
      <w:pPr>
        <w:rPr>
          <w:rFonts w:cstheme="minorHAnsi"/>
          <w:b/>
          <w:sz w:val="28"/>
          <w:szCs w:val="28"/>
        </w:rPr>
      </w:pPr>
      <w:r w:rsidRPr="00405154">
        <w:rPr>
          <w:rFonts w:cstheme="minorHAnsi"/>
          <w:b/>
          <w:sz w:val="28"/>
          <w:szCs w:val="28"/>
        </w:rPr>
        <w:t xml:space="preserve">Funding: </w:t>
      </w:r>
    </w:p>
    <w:p w14:paraId="24F1B79B" w14:textId="6388A162" w:rsidR="00387E52" w:rsidRDefault="00E60841">
      <w:pPr>
        <w:rPr>
          <w:rFonts w:cstheme="minorHAnsi"/>
          <w:b/>
          <w:sz w:val="28"/>
          <w:szCs w:val="28"/>
        </w:rPr>
      </w:pPr>
      <w:r w:rsidRPr="00405154">
        <w:rPr>
          <w:rFonts w:cstheme="minorHAnsi"/>
          <w:color w:val="000000"/>
          <w:sz w:val="21"/>
          <w:szCs w:val="21"/>
        </w:rPr>
        <w:t>The author(s) received no financial support for the research, authorship, and/or publication of this article. The host trial that this SWAT was embedded in was funded by the National Institute for Health Research: Health Technology Assessment (16/73/03).</w:t>
      </w:r>
      <w:r>
        <w:rPr>
          <w:color w:val="000000"/>
          <w:sz w:val="21"/>
          <w:szCs w:val="21"/>
        </w:rPr>
        <w:t xml:space="preserve"> </w:t>
      </w:r>
      <w:r w:rsidR="00387E52">
        <w:rPr>
          <w:rFonts w:cstheme="minorHAnsi"/>
          <w:b/>
          <w:sz w:val="28"/>
          <w:szCs w:val="28"/>
        </w:rPr>
        <w:br w:type="page"/>
      </w:r>
    </w:p>
    <w:p w14:paraId="4C79974E" w14:textId="6659FAA7" w:rsidR="00847FAE" w:rsidRDefault="00847FAE" w:rsidP="00847FAE">
      <w:pPr>
        <w:tabs>
          <w:tab w:val="left" w:pos="8277"/>
        </w:tabs>
        <w:rPr>
          <w:rFonts w:cstheme="minorHAnsi"/>
        </w:rPr>
      </w:pPr>
      <w:r>
        <w:rPr>
          <w:rFonts w:cstheme="minorHAnsi"/>
        </w:rPr>
        <w:lastRenderedPageBreak/>
        <w:t>Table 1: Baseline characteristics of those as randomised, and as analysed in the SWAT.</w:t>
      </w:r>
      <w:r>
        <w:rPr>
          <w:rFonts w:cstheme="minorHAnsi"/>
        </w:rPr>
        <w:tab/>
      </w:r>
    </w:p>
    <w:tbl>
      <w:tblPr>
        <w:tblStyle w:val="TableGrid"/>
        <w:tblW w:w="0" w:type="auto"/>
        <w:tblLook w:val="04A0" w:firstRow="1" w:lastRow="0" w:firstColumn="1" w:lastColumn="0" w:noHBand="0" w:noVBand="1"/>
      </w:tblPr>
      <w:tblGrid>
        <w:gridCol w:w="1917"/>
        <w:gridCol w:w="1139"/>
        <w:gridCol w:w="1210"/>
        <w:gridCol w:w="1164"/>
        <w:gridCol w:w="1211"/>
        <w:gridCol w:w="1211"/>
        <w:gridCol w:w="1164"/>
      </w:tblGrid>
      <w:tr w:rsidR="00AB12F5" w14:paraId="7CE71AB9" w14:textId="77777777" w:rsidTr="00AB12F5">
        <w:tc>
          <w:tcPr>
            <w:tcW w:w="1917" w:type="dxa"/>
          </w:tcPr>
          <w:p w14:paraId="2A0A2E92" w14:textId="77777777" w:rsidR="00AB12F5" w:rsidRPr="00AB12F5" w:rsidRDefault="00AB12F5" w:rsidP="00847FAE">
            <w:pPr>
              <w:tabs>
                <w:tab w:val="left" w:pos="8277"/>
              </w:tabs>
              <w:rPr>
                <w:rFonts w:cstheme="minorHAnsi"/>
                <w:sz w:val="20"/>
                <w:szCs w:val="20"/>
              </w:rPr>
            </w:pPr>
          </w:p>
        </w:tc>
        <w:tc>
          <w:tcPr>
            <w:tcW w:w="3513" w:type="dxa"/>
            <w:gridSpan w:val="3"/>
          </w:tcPr>
          <w:p w14:paraId="27DE5888" w14:textId="37E6FBE6" w:rsidR="00AB12F5" w:rsidRPr="00AB12F5" w:rsidRDefault="00AB12F5" w:rsidP="00AB12F5">
            <w:pPr>
              <w:tabs>
                <w:tab w:val="left" w:pos="8277"/>
              </w:tabs>
              <w:jc w:val="center"/>
              <w:rPr>
                <w:rFonts w:cstheme="minorHAnsi"/>
                <w:sz w:val="20"/>
                <w:szCs w:val="20"/>
              </w:rPr>
            </w:pPr>
            <w:r w:rsidRPr="00AB12F5">
              <w:rPr>
                <w:rFonts w:cstheme="minorHAnsi"/>
                <w:b/>
                <w:sz w:val="20"/>
                <w:szCs w:val="20"/>
              </w:rPr>
              <w:t>SWAT Allocation (as randomised)</w:t>
            </w:r>
          </w:p>
        </w:tc>
        <w:tc>
          <w:tcPr>
            <w:tcW w:w="3586" w:type="dxa"/>
            <w:gridSpan w:val="3"/>
          </w:tcPr>
          <w:p w14:paraId="2531A72C" w14:textId="3C2036B7" w:rsidR="00AB12F5" w:rsidRPr="00F30059" w:rsidRDefault="00AB12F5" w:rsidP="00AB12F5">
            <w:pPr>
              <w:tabs>
                <w:tab w:val="left" w:pos="8277"/>
              </w:tabs>
              <w:jc w:val="center"/>
              <w:rPr>
                <w:rFonts w:cstheme="minorHAnsi"/>
                <w:b/>
                <w:bCs/>
                <w:color w:val="FF0000"/>
                <w:sz w:val="20"/>
                <w:szCs w:val="20"/>
              </w:rPr>
            </w:pPr>
            <w:r w:rsidRPr="00AD6133">
              <w:rPr>
                <w:rFonts w:cstheme="minorHAnsi"/>
                <w:b/>
                <w:bCs/>
                <w:sz w:val="20"/>
                <w:szCs w:val="20"/>
              </w:rPr>
              <w:t>SWAT Allocation (as analysed)</w:t>
            </w:r>
          </w:p>
        </w:tc>
      </w:tr>
      <w:tr w:rsidR="00AB12F5" w14:paraId="056355F6" w14:textId="77777777" w:rsidTr="0048346D">
        <w:tc>
          <w:tcPr>
            <w:tcW w:w="1917" w:type="dxa"/>
          </w:tcPr>
          <w:p w14:paraId="5B0C5E8D" w14:textId="77777777" w:rsidR="00AB12F5" w:rsidRPr="00AB12F5" w:rsidRDefault="00AB12F5" w:rsidP="00AB12F5">
            <w:pPr>
              <w:tabs>
                <w:tab w:val="left" w:pos="8277"/>
              </w:tabs>
              <w:rPr>
                <w:rFonts w:cstheme="minorHAnsi"/>
                <w:sz w:val="20"/>
                <w:szCs w:val="20"/>
              </w:rPr>
            </w:pPr>
          </w:p>
        </w:tc>
        <w:tc>
          <w:tcPr>
            <w:tcW w:w="1139" w:type="dxa"/>
            <w:vAlign w:val="center"/>
          </w:tcPr>
          <w:p w14:paraId="049439F1" w14:textId="0C696F06" w:rsidR="00AB12F5" w:rsidRPr="00AB12F5" w:rsidRDefault="00AB12F5" w:rsidP="0048346D">
            <w:pPr>
              <w:tabs>
                <w:tab w:val="left" w:pos="8277"/>
              </w:tabs>
              <w:jc w:val="center"/>
              <w:rPr>
                <w:rFonts w:cstheme="minorHAnsi"/>
                <w:sz w:val="20"/>
                <w:szCs w:val="20"/>
              </w:rPr>
            </w:pPr>
            <w:r w:rsidRPr="00AB12F5">
              <w:rPr>
                <w:rFonts w:cstheme="minorHAnsi"/>
                <w:b/>
                <w:sz w:val="20"/>
                <w:szCs w:val="20"/>
              </w:rPr>
              <w:t>Newsletter (n = 88)</w:t>
            </w:r>
          </w:p>
        </w:tc>
        <w:tc>
          <w:tcPr>
            <w:tcW w:w="1210" w:type="dxa"/>
            <w:vAlign w:val="center"/>
          </w:tcPr>
          <w:p w14:paraId="457F898C" w14:textId="43D502D6" w:rsidR="00AB12F5" w:rsidRPr="00AB12F5" w:rsidRDefault="00AB12F5" w:rsidP="0048346D">
            <w:pPr>
              <w:tabs>
                <w:tab w:val="left" w:pos="8277"/>
              </w:tabs>
              <w:jc w:val="center"/>
              <w:rPr>
                <w:rFonts w:cstheme="minorHAnsi"/>
                <w:sz w:val="20"/>
                <w:szCs w:val="20"/>
              </w:rPr>
            </w:pPr>
            <w:r w:rsidRPr="00AB12F5">
              <w:rPr>
                <w:rFonts w:cstheme="minorHAnsi"/>
                <w:b/>
                <w:sz w:val="20"/>
                <w:szCs w:val="20"/>
              </w:rPr>
              <w:t>No Newsletter (n = 86)</w:t>
            </w:r>
          </w:p>
        </w:tc>
        <w:tc>
          <w:tcPr>
            <w:tcW w:w="1164" w:type="dxa"/>
            <w:vAlign w:val="center"/>
          </w:tcPr>
          <w:p w14:paraId="5DDA946C" w14:textId="3BA5160A" w:rsidR="00AB12F5" w:rsidRPr="00AB12F5" w:rsidRDefault="00AB12F5" w:rsidP="0048346D">
            <w:pPr>
              <w:jc w:val="center"/>
              <w:rPr>
                <w:rFonts w:cstheme="minorHAnsi"/>
                <w:b/>
                <w:sz w:val="20"/>
                <w:szCs w:val="20"/>
              </w:rPr>
            </w:pPr>
            <w:r w:rsidRPr="00AB12F5">
              <w:rPr>
                <w:rFonts w:cstheme="minorHAnsi"/>
                <w:b/>
                <w:sz w:val="20"/>
                <w:szCs w:val="20"/>
              </w:rPr>
              <w:t>Total</w:t>
            </w:r>
          </w:p>
          <w:p w14:paraId="48CCA623" w14:textId="257CD46B" w:rsidR="00AB12F5" w:rsidRPr="00AB12F5" w:rsidRDefault="00AB12F5" w:rsidP="0048346D">
            <w:pPr>
              <w:tabs>
                <w:tab w:val="left" w:pos="8277"/>
              </w:tabs>
              <w:jc w:val="center"/>
              <w:rPr>
                <w:rFonts w:cstheme="minorHAnsi"/>
                <w:sz w:val="20"/>
                <w:szCs w:val="20"/>
              </w:rPr>
            </w:pPr>
            <w:r w:rsidRPr="00AB12F5">
              <w:rPr>
                <w:rFonts w:cstheme="minorHAnsi"/>
                <w:b/>
                <w:sz w:val="20"/>
                <w:szCs w:val="20"/>
              </w:rPr>
              <w:t>(n = 174)</w:t>
            </w:r>
          </w:p>
        </w:tc>
        <w:tc>
          <w:tcPr>
            <w:tcW w:w="1211" w:type="dxa"/>
            <w:vAlign w:val="center"/>
          </w:tcPr>
          <w:p w14:paraId="40EDD6E7" w14:textId="77777777" w:rsidR="00AB12F5" w:rsidRPr="00AD6133" w:rsidRDefault="00AB12F5" w:rsidP="0048346D">
            <w:pPr>
              <w:jc w:val="center"/>
              <w:rPr>
                <w:rFonts w:cstheme="minorHAnsi"/>
                <w:b/>
                <w:sz w:val="20"/>
                <w:szCs w:val="20"/>
              </w:rPr>
            </w:pPr>
            <w:r w:rsidRPr="00AD6133">
              <w:rPr>
                <w:rFonts w:cstheme="minorHAnsi"/>
                <w:b/>
                <w:sz w:val="20"/>
                <w:szCs w:val="20"/>
              </w:rPr>
              <w:t>Newsletter</w:t>
            </w:r>
          </w:p>
          <w:p w14:paraId="6E0E643B" w14:textId="34B742D4" w:rsidR="00AB12F5" w:rsidRPr="00AD6133" w:rsidRDefault="00AB12F5" w:rsidP="0048346D">
            <w:pPr>
              <w:tabs>
                <w:tab w:val="left" w:pos="8277"/>
              </w:tabs>
              <w:jc w:val="center"/>
              <w:rPr>
                <w:rFonts w:cstheme="minorHAnsi"/>
                <w:sz w:val="20"/>
                <w:szCs w:val="20"/>
              </w:rPr>
            </w:pPr>
            <w:r w:rsidRPr="00AD6133">
              <w:rPr>
                <w:rFonts w:cstheme="minorHAnsi"/>
                <w:b/>
                <w:sz w:val="20"/>
                <w:szCs w:val="20"/>
              </w:rPr>
              <w:t>(n = 2</w:t>
            </w:r>
            <w:r w:rsidR="0048346D">
              <w:rPr>
                <w:rFonts w:cstheme="minorHAnsi"/>
                <w:b/>
                <w:sz w:val="20"/>
                <w:szCs w:val="20"/>
              </w:rPr>
              <w:t>7</w:t>
            </w:r>
            <w:r w:rsidRPr="00AD6133">
              <w:rPr>
                <w:rFonts w:cstheme="minorHAnsi"/>
                <w:b/>
                <w:sz w:val="20"/>
                <w:szCs w:val="20"/>
              </w:rPr>
              <w:t>)</w:t>
            </w:r>
          </w:p>
        </w:tc>
        <w:tc>
          <w:tcPr>
            <w:tcW w:w="1211" w:type="dxa"/>
            <w:vAlign w:val="center"/>
          </w:tcPr>
          <w:p w14:paraId="39280B45" w14:textId="3FB3C8D8" w:rsidR="00AB12F5" w:rsidRPr="00AD6133" w:rsidRDefault="00AB12F5" w:rsidP="0048346D">
            <w:pPr>
              <w:tabs>
                <w:tab w:val="left" w:pos="8277"/>
              </w:tabs>
              <w:jc w:val="center"/>
              <w:rPr>
                <w:rFonts w:cstheme="minorHAnsi"/>
                <w:sz w:val="20"/>
                <w:szCs w:val="20"/>
              </w:rPr>
            </w:pPr>
            <w:r w:rsidRPr="00AD6133">
              <w:rPr>
                <w:rFonts w:cstheme="minorHAnsi"/>
                <w:b/>
                <w:sz w:val="20"/>
                <w:szCs w:val="20"/>
              </w:rPr>
              <w:t>No Newsletter (n = 39)</w:t>
            </w:r>
          </w:p>
        </w:tc>
        <w:tc>
          <w:tcPr>
            <w:tcW w:w="1164" w:type="dxa"/>
            <w:vAlign w:val="center"/>
          </w:tcPr>
          <w:p w14:paraId="6F2CD285" w14:textId="77777777" w:rsidR="00AB12F5" w:rsidRPr="00AD6133" w:rsidRDefault="00AB12F5" w:rsidP="0048346D">
            <w:pPr>
              <w:jc w:val="center"/>
              <w:rPr>
                <w:rFonts w:cstheme="minorHAnsi"/>
                <w:b/>
                <w:sz w:val="20"/>
                <w:szCs w:val="20"/>
              </w:rPr>
            </w:pPr>
            <w:r w:rsidRPr="00AD6133">
              <w:rPr>
                <w:rFonts w:cstheme="minorHAnsi"/>
                <w:b/>
                <w:sz w:val="20"/>
                <w:szCs w:val="20"/>
              </w:rPr>
              <w:t>Total</w:t>
            </w:r>
          </w:p>
          <w:p w14:paraId="504515D4" w14:textId="3EF9C9D1" w:rsidR="00AB12F5" w:rsidRPr="00AD6133" w:rsidRDefault="00AB12F5" w:rsidP="0048346D">
            <w:pPr>
              <w:tabs>
                <w:tab w:val="left" w:pos="8277"/>
              </w:tabs>
              <w:jc w:val="center"/>
              <w:rPr>
                <w:rFonts w:cstheme="minorHAnsi"/>
                <w:sz w:val="20"/>
                <w:szCs w:val="20"/>
              </w:rPr>
            </w:pPr>
            <w:r w:rsidRPr="00AD6133">
              <w:rPr>
                <w:rFonts w:cstheme="minorHAnsi"/>
                <w:b/>
                <w:sz w:val="20"/>
                <w:szCs w:val="20"/>
              </w:rPr>
              <w:t>(n = 6</w:t>
            </w:r>
            <w:r w:rsidR="0048346D">
              <w:rPr>
                <w:rFonts w:cstheme="minorHAnsi"/>
                <w:b/>
                <w:sz w:val="20"/>
                <w:szCs w:val="20"/>
              </w:rPr>
              <w:t>6</w:t>
            </w:r>
            <w:r w:rsidRPr="00AD6133">
              <w:rPr>
                <w:rFonts w:cstheme="minorHAnsi"/>
                <w:b/>
                <w:sz w:val="20"/>
                <w:szCs w:val="20"/>
              </w:rPr>
              <w:t>)</w:t>
            </w:r>
          </w:p>
        </w:tc>
      </w:tr>
      <w:tr w:rsidR="00AB12F5" w14:paraId="253410D1" w14:textId="77777777" w:rsidTr="00F30059">
        <w:tc>
          <w:tcPr>
            <w:tcW w:w="1917" w:type="dxa"/>
            <w:tcBorders>
              <w:bottom w:val="single" w:sz="4" w:space="0" w:color="BFBFBF" w:themeColor="background1" w:themeShade="BF"/>
            </w:tcBorders>
          </w:tcPr>
          <w:p w14:paraId="2008E366" w14:textId="38579395" w:rsidR="00AB12F5" w:rsidRPr="00AB12F5" w:rsidRDefault="00AB12F5" w:rsidP="00AB12F5">
            <w:pPr>
              <w:ind w:left="306" w:hanging="284"/>
              <w:rPr>
                <w:rFonts w:cstheme="minorHAnsi"/>
                <w:b/>
                <w:sz w:val="20"/>
                <w:szCs w:val="20"/>
              </w:rPr>
            </w:pPr>
            <w:r w:rsidRPr="00AB12F5">
              <w:rPr>
                <w:rFonts w:cstheme="minorHAnsi"/>
                <w:b/>
                <w:sz w:val="20"/>
                <w:szCs w:val="20"/>
              </w:rPr>
              <w:t>Age</w:t>
            </w:r>
          </w:p>
        </w:tc>
        <w:tc>
          <w:tcPr>
            <w:tcW w:w="1139" w:type="dxa"/>
            <w:tcBorders>
              <w:bottom w:val="single" w:sz="4" w:space="0" w:color="BFBFBF" w:themeColor="background1" w:themeShade="BF"/>
            </w:tcBorders>
          </w:tcPr>
          <w:p w14:paraId="10087E66" w14:textId="77777777" w:rsidR="00AB12F5" w:rsidRPr="00AB12F5" w:rsidRDefault="00AB12F5" w:rsidP="00AB12F5">
            <w:pPr>
              <w:tabs>
                <w:tab w:val="left" w:pos="8277"/>
              </w:tabs>
              <w:rPr>
                <w:rFonts w:cstheme="minorHAnsi"/>
                <w:sz w:val="20"/>
                <w:szCs w:val="20"/>
              </w:rPr>
            </w:pPr>
          </w:p>
        </w:tc>
        <w:tc>
          <w:tcPr>
            <w:tcW w:w="1210" w:type="dxa"/>
            <w:tcBorders>
              <w:bottom w:val="single" w:sz="4" w:space="0" w:color="BFBFBF" w:themeColor="background1" w:themeShade="BF"/>
            </w:tcBorders>
          </w:tcPr>
          <w:p w14:paraId="30E5C754" w14:textId="77777777" w:rsidR="00AB12F5" w:rsidRPr="00AB12F5"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7A1CA4CC" w14:textId="77777777" w:rsidR="00AB12F5" w:rsidRPr="00AB12F5"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37EB2AA9" w14:textId="77777777" w:rsidR="00AB12F5" w:rsidRPr="00AD6133"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53D0554F" w14:textId="77777777" w:rsidR="00AB12F5" w:rsidRPr="00AD6133"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7A658F36" w14:textId="77777777" w:rsidR="00AB12F5" w:rsidRPr="00AD6133" w:rsidRDefault="00AB12F5" w:rsidP="00AB12F5">
            <w:pPr>
              <w:tabs>
                <w:tab w:val="left" w:pos="8277"/>
              </w:tabs>
              <w:rPr>
                <w:rFonts w:cstheme="minorHAnsi"/>
                <w:sz w:val="20"/>
                <w:szCs w:val="20"/>
              </w:rPr>
            </w:pPr>
          </w:p>
        </w:tc>
      </w:tr>
      <w:tr w:rsidR="00AB12F5" w14:paraId="2FCFA4AC" w14:textId="77777777" w:rsidTr="00F30059">
        <w:trPr>
          <w:trHeight w:val="260"/>
        </w:trPr>
        <w:tc>
          <w:tcPr>
            <w:tcW w:w="1917" w:type="dxa"/>
            <w:tcBorders>
              <w:top w:val="single" w:sz="4" w:space="0" w:color="BFBFBF" w:themeColor="background1" w:themeShade="BF"/>
              <w:bottom w:val="single" w:sz="4" w:space="0" w:color="BFBFBF" w:themeColor="background1" w:themeShade="BF"/>
            </w:tcBorders>
          </w:tcPr>
          <w:p w14:paraId="23E3B344" w14:textId="54023451" w:rsidR="00AB12F5" w:rsidRPr="00AB12F5" w:rsidRDefault="00AB12F5" w:rsidP="00AB12F5">
            <w:pPr>
              <w:rPr>
                <w:rFonts w:cstheme="minorHAnsi"/>
                <w:bCs/>
                <w:sz w:val="20"/>
                <w:szCs w:val="20"/>
              </w:rPr>
            </w:pPr>
            <w:r w:rsidRPr="00AB12F5">
              <w:rPr>
                <w:rFonts w:cstheme="minorHAnsi"/>
                <w:bCs/>
                <w:sz w:val="20"/>
                <w:szCs w:val="20"/>
              </w:rPr>
              <w:t xml:space="preserve">  N</w:t>
            </w:r>
          </w:p>
        </w:tc>
        <w:tc>
          <w:tcPr>
            <w:tcW w:w="1139" w:type="dxa"/>
            <w:tcBorders>
              <w:top w:val="single" w:sz="4" w:space="0" w:color="BFBFBF" w:themeColor="background1" w:themeShade="BF"/>
              <w:bottom w:val="single" w:sz="4" w:space="0" w:color="BFBFBF" w:themeColor="background1" w:themeShade="BF"/>
            </w:tcBorders>
          </w:tcPr>
          <w:p w14:paraId="71610148" w14:textId="0B1D0CBC" w:rsidR="00AB12F5" w:rsidRPr="00AB12F5" w:rsidRDefault="005E07F1" w:rsidP="00AB12F5">
            <w:pPr>
              <w:tabs>
                <w:tab w:val="left" w:pos="8277"/>
              </w:tabs>
              <w:jc w:val="center"/>
              <w:rPr>
                <w:rFonts w:cstheme="minorHAnsi"/>
                <w:sz w:val="20"/>
                <w:szCs w:val="20"/>
              </w:rPr>
            </w:pPr>
            <w:r>
              <w:rPr>
                <w:rFonts w:cstheme="minorHAnsi"/>
                <w:sz w:val="20"/>
                <w:szCs w:val="20"/>
              </w:rPr>
              <w:t>87</w:t>
            </w:r>
          </w:p>
        </w:tc>
        <w:tc>
          <w:tcPr>
            <w:tcW w:w="1210" w:type="dxa"/>
            <w:tcBorders>
              <w:top w:val="single" w:sz="4" w:space="0" w:color="BFBFBF" w:themeColor="background1" w:themeShade="BF"/>
              <w:bottom w:val="single" w:sz="4" w:space="0" w:color="BFBFBF" w:themeColor="background1" w:themeShade="BF"/>
            </w:tcBorders>
          </w:tcPr>
          <w:p w14:paraId="317B0F3C" w14:textId="02702D3F" w:rsidR="00AB12F5" w:rsidRPr="00AB12F5" w:rsidRDefault="005E07F1" w:rsidP="00AB12F5">
            <w:pPr>
              <w:tabs>
                <w:tab w:val="left" w:pos="8277"/>
              </w:tabs>
              <w:jc w:val="center"/>
              <w:rPr>
                <w:rFonts w:cstheme="minorHAnsi"/>
                <w:sz w:val="20"/>
                <w:szCs w:val="20"/>
              </w:rPr>
            </w:pPr>
            <w:r>
              <w:rPr>
                <w:rFonts w:cstheme="minorHAnsi"/>
                <w:sz w:val="20"/>
                <w:szCs w:val="20"/>
              </w:rPr>
              <w:t>83</w:t>
            </w:r>
          </w:p>
        </w:tc>
        <w:tc>
          <w:tcPr>
            <w:tcW w:w="1164" w:type="dxa"/>
            <w:tcBorders>
              <w:top w:val="single" w:sz="4" w:space="0" w:color="BFBFBF" w:themeColor="background1" w:themeShade="BF"/>
              <w:bottom w:val="single" w:sz="4" w:space="0" w:color="BFBFBF" w:themeColor="background1" w:themeShade="BF"/>
            </w:tcBorders>
          </w:tcPr>
          <w:p w14:paraId="59042FCF" w14:textId="4508AA9A" w:rsidR="00AB12F5" w:rsidRPr="00AB12F5" w:rsidRDefault="005E07F1" w:rsidP="00AB12F5">
            <w:pPr>
              <w:tabs>
                <w:tab w:val="left" w:pos="8277"/>
              </w:tabs>
              <w:jc w:val="center"/>
              <w:rPr>
                <w:rFonts w:cstheme="minorHAnsi"/>
                <w:sz w:val="20"/>
                <w:szCs w:val="20"/>
              </w:rPr>
            </w:pPr>
            <w:r>
              <w:rPr>
                <w:rFonts w:cstheme="minorHAnsi"/>
                <w:sz w:val="20"/>
                <w:szCs w:val="20"/>
              </w:rPr>
              <w:t>170</w:t>
            </w:r>
          </w:p>
        </w:tc>
        <w:tc>
          <w:tcPr>
            <w:tcW w:w="1211" w:type="dxa"/>
            <w:tcBorders>
              <w:top w:val="single" w:sz="4" w:space="0" w:color="BFBFBF" w:themeColor="background1" w:themeShade="BF"/>
              <w:bottom w:val="single" w:sz="4" w:space="0" w:color="BFBFBF" w:themeColor="background1" w:themeShade="BF"/>
            </w:tcBorders>
          </w:tcPr>
          <w:p w14:paraId="10AB0F30" w14:textId="6A0D201C" w:rsidR="00AB12F5" w:rsidRPr="00AD6133" w:rsidRDefault="00AB12F5" w:rsidP="00AB12F5">
            <w:pPr>
              <w:tabs>
                <w:tab w:val="left" w:pos="8277"/>
              </w:tabs>
              <w:jc w:val="center"/>
              <w:rPr>
                <w:rFonts w:cstheme="minorHAnsi"/>
                <w:sz w:val="20"/>
                <w:szCs w:val="20"/>
              </w:rPr>
            </w:pPr>
            <w:r w:rsidRPr="00AD6133">
              <w:rPr>
                <w:rFonts w:cstheme="minorHAnsi"/>
                <w:sz w:val="20"/>
                <w:szCs w:val="20"/>
              </w:rPr>
              <w:t>2</w:t>
            </w:r>
            <w:r w:rsidR="0048346D">
              <w:rPr>
                <w:rFonts w:cstheme="minorHAnsi"/>
                <w:sz w:val="20"/>
                <w:szCs w:val="20"/>
              </w:rPr>
              <w:t>6</w:t>
            </w:r>
          </w:p>
        </w:tc>
        <w:tc>
          <w:tcPr>
            <w:tcW w:w="1211" w:type="dxa"/>
            <w:tcBorders>
              <w:top w:val="single" w:sz="4" w:space="0" w:color="BFBFBF" w:themeColor="background1" w:themeShade="BF"/>
              <w:bottom w:val="single" w:sz="4" w:space="0" w:color="BFBFBF" w:themeColor="background1" w:themeShade="BF"/>
            </w:tcBorders>
          </w:tcPr>
          <w:p w14:paraId="0D726900" w14:textId="7EC66C19" w:rsidR="00AB12F5" w:rsidRPr="00AD6133" w:rsidRDefault="00AB12F5" w:rsidP="00AB12F5">
            <w:pPr>
              <w:tabs>
                <w:tab w:val="left" w:pos="8277"/>
              </w:tabs>
              <w:jc w:val="center"/>
              <w:rPr>
                <w:rFonts w:cstheme="minorHAnsi"/>
                <w:sz w:val="20"/>
                <w:szCs w:val="20"/>
              </w:rPr>
            </w:pPr>
            <w:r w:rsidRPr="00AD6133">
              <w:rPr>
                <w:rFonts w:cstheme="minorHAnsi"/>
                <w:sz w:val="20"/>
                <w:szCs w:val="20"/>
              </w:rPr>
              <w:t>38</w:t>
            </w:r>
          </w:p>
        </w:tc>
        <w:tc>
          <w:tcPr>
            <w:tcW w:w="1164" w:type="dxa"/>
            <w:tcBorders>
              <w:top w:val="single" w:sz="4" w:space="0" w:color="BFBFBF" w:themeColor="background1" w:themeShade="BF"/>
              <w:bottom w:val="single" w:sz="4" w:space="0" w:color="BFBFBF" w:themeColor="background1" w:themeShade="BF"/>
            </w:tcBorders>
          </w:tcPr>
          <w:p w14:paraId="7932E031" w14:textId="0A06160D" w:rsidR="00AB12F5" w:rsidRPr="00AD6133" w:rsidRDefault="00AD6133" w:rsidP="00AB12F5">
            <w:pPr>
              <w:tabs>
                <w:tab w:val="left" w:pos="8277"/>
              </w:tabs>
              <w:jc w:val="center"/>
              <w:rPr>
                <w:rFonts w:cstheme="minorHAnsi"/>
                <w:sz w:val="20"/>
                <w:szCs w:val="20"/>
              </w:rPr>
            </w:pPr>
            <w:r w:rsidRPr="00F30059">
              <w:rPr>
                <w:rFonts w:cstheme="minorHAnsi"/>
                <w:sz w:val="20"/>
                <w:szCs w:val="20"/>
              </w:rPr>
              <w:t>6</w:t>
            </w:r>
            <w:r w:rsidR="0048346D">
              <w:rPr>
                <w:rFonts w:cstheme="minorHAnsi"/>
                <w:sz w:val="20"/>
                <w:szCs w:val="20"/>
              </w:rPr>
              <w:t>4</w:t>
            </w:r>
          </w:p>
        </w:tc>
      </w:tr>
      <w:tr w:rsidR="00AB12F5" w14:paraId="1B22A828" w14:textId="77777777" w:rsidTr="00F30059">
        <w:tc>
          <w:tcPr>
            <w:tcW w:w="1917" w:type="dxa"/>
            <w:tcBorders>
              <w:top w:val="single" w:sz="4" w:space="0" w:color="BFBFBF" w:themeColor="background1" w:themeShade="BF"/>
              <w:bottom w:val="single" w:sz="4" w:space="0" w:color="BFBFBF" w:themeColor="background1" w:themeShade="BF"/>
            </w:tcBorders>
          </w:tcPr>
          <w:p w14:paraId="2E6CFE91" w14:textId="2794E3F1" w:rsidR="00AB12F5" w:rsidRPr="00AB12F5" w:rsidRDefault="00AB12F5" w:rsidP="00AB12F5">
            <w:pPr>
              <w:rPr>
                <w:rFonts w:cstheme="minorHAnsi"/>
                <w:bCs/>
                <w:sz w:val="20"/>
                <w:szCs w:val="20"/>
              </w:rPr>
            </w:pPr>
            <w:r w:rsidRPr="00AB12F5">
              <w:rPr>
                <w:rFonts w:cstheme="minorHAnsi"/>
                <w:bCs/>
                <w:sz w:val="20"/>
                <w:szCs w:val="20"/>
              </w:rPr>
              <w:t xml:space="preserve">  Mean (SD)</w:t>
            </w:r>
          </w:p>
        </w:tc>
        <w:tc>
          <w:tcPr>
            <w:tcW w:w="1139" w:type="dxa"/>
            <w:tcBorders>
              <w:top w:val="single" w:sz="4" w:space="0" w:color="BFBFBF" w:themeColor="background1" w:themeShade="BF"/>
              <w:bottom w:val="single" w:sz="4" w:space="0" w:color="BFBFBF" w:themeColor="background1" w:themeShade="BF"/>
            </w:tcBorders>
          </w:tcPr>
          <w:p w14:paraId="266EBB59" w14:textId="1AA45ECA" w:rsidR="00AB12F5" w:rsidRPr="00AB12F5" w:rsidRDefault="005E07F1" w:rsidP="00AB12F5">
            <w:pPr>
              <w:tabs>
                <w:tab w:val="left" w:pos="8277"/>
              </w:tabs>
              <w:jc w:val="right"/>
              <w:rPr>
                <w:rFonts w:cstheme="minorHAnsi"/>
                <w:sz w:val="20"/>
                <w:szCs w:val="20"/>
              </w:rPr>
            </w:pPr>
            <w:r>
              <w:rPr>
                <w:rFonts w:cstheme="minorHAnsi"/>
                <w:sz w:val="20"/>
                <w:szCs w:val="20"/>
              </w:rPr>
              <w:t>74.7 (5.8)</w:t>
            </w:r>
          </w:p>
        </w:tc>
        <w:tc>
          <w:tcPr>
            <w:tcW w:w="1210" w:type="dxa"/>
            <w:tcBorders>
              <w:top w:val="single" w:sz="4" w:space="0" w:color="BFBFBF" w:themeColor="background1" w:themeShade="BF"/>
              <w:bottom w:val="single" w:sz="4" w:space="0" w:color="BFBFBF" w:themeColor="background1" w:themeShade="BF"/>
            </w:tcBorders>
          </w:tcPr>
          <w:p w14:paraId="0116016E" w14:textId="4F67499B" w:rsidR="00AB12F5" w:rsidRPr="00AB12F5" w:rsidRDefault="005E07F1" w:rsidP="00AB12F5">
            <w:pPr>
              <w:tabs>
                <w:tab w:val="left" w:pos="8277"/>
              </w:tabs>
              <w:jc w:val="right"/>
              <w:rPr>
                <w:rFonts w:cstheme="minorHAnsi"/>
                <w:sz w:val="20"/>
                <w:szCs w:val="20"/>
              </w:rPr>
            </w:pPr>
            <w:r>
              <w:rPr>
                <w:rFonts w:cstheme="minorHAnsi"/>
                <w:sz w:val="20"/>
                <w:szCs w:val="20"/>
              </w:rPr>
              <w:t>74.7 (5.8)</w:t>
            </w:r>
          </w:p>
        </w:tc>
        <w:tc>
          <w:tcPr>
            <w:tcW w:w="1164" w:type="dxa"/>
            <w:tcBorders>
              <w:top w:val="single" w:sz="4" w:space="0" w:color="BFBFBF" w:themeColor="background1" w:themeShade="BF"/>
              <w:bottom w:val="single" w:sz="4" w:space="0" w:color="BFBFBF" w:themeColor="background1" w:themeShade="BF"/>
            </w:tcBorders>
          </w:tcPr>
          <w:p w14:paraId="44418000" w14:textId="1C5BEFC6" w:rsidR="00AB12F5" w:rsidRPr="00AB12F5" w:rsidRDefault="005E07F1" w:rsidP="00AB12F5">
            <w:pPr>
              <w:tabs>
                <w:tab w:val="left" w:pos="8277"/>
              </w:tabs>
              <w:jc w:val="right"/>
              <w:rPr>
                <w:rFonts w:cstheme="minorHAnsi"/>
                <w:sz w:val="20"/>
                <w:szCs w:val="20"/>
              </w:rPr>
            </w:pPr>
            <w:r>
              <w:rPr>
                <w:rFonts w:cstheme="minorHAnsi"/>
                <w:sz w:val="20"/>
                <w:szCs w:val="20"/>
              </w:rPr>
              <w:t>74.7 (5.8)</w:t>
            </w:r>
          </w:p>
        </w:tc>
        <w:tc>
          <w:tcPr>
            <w:tcW w:w="1211" w:type="dxa"/>
            <w:tcBorders>
              <w:top w:val="single" w:sz="4" w:space="0" w:color="BFBFBF" w:themeColor="background1" w:themeShade="BF"/>
              <w:bottom w:val="single" w:sz="4" w:space="0" w:color="BFBFBF" w:themeColor="background1" w:themeShade="BF"/>
            </w:tcBorders>
          </w:tcPr>
          <w:p w14:paraId="1FD84BD5" w14:textId="12DF1D67" w:rsidR="00AB12F5" w:rsidRPr="00AD6133" w:rsidRDefault="00AB12F5" w:rsidP="00AB12F5">
            <w:pPr>
              <w:tabs>
                <w:tab w:val="left" w:pos="8277"/>
              </w:tabs>
              <w:jc w:val="right"/>
              <w:rPr>
                <w:rFonts w:cstheme="minorHAnsi"/>
                <w:sz w:val="20"/>
                <w:szCs w:val="20"/>
              </w:rPr>
            </w:pPr>
            <w:r w:rsidRPr="00AD6133">
              <w:rPr>
                <w:rFonts w:cstheme="minorHAnsi"/>
                <w:sz w:val="20"/>
                <w:szCs w:val="20"/>
              </w:rPr>
              <w:t>75.</w:t>
            </w:r>
            <w:r w:rsidR="0048346D">
              <w:rPr>
                <w:rFonts w:cstheme="minorHAnsi"/>
                <w:sz w:val="20"/>
                <w:szCs w:val="20"/>
              </w:rPr>
              <w:t>3</w:t>
            </w:r>
            <w:r w:rsidRPr="00AD6133">
              <w:rPr>
                <w:rFonts w:cstheme="minorHAnsi"/>
                <w:sz w:val="20"/>
                <w:szCs w:val="20"/>
              </w:rPr>
              <w:t xml:space="preserve"> (5.</w:t>
            </w:r>
            <w:r w:rsidR="00AD6133" w:rsidRPr="00F30059">
              <w:rPr>
                <w:rFonts w:cstheme="minorHAnsi"/>
                <w:sz w:val="20"/>
                <w:szCs w:val="20"/>
              </w:rPr>
              <w:t>8</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47E1E26D" w14:textId="3082FFC4" w:rsidR="00AB12F5" w:rsidRPr="00AD6133" w:rsidRDefault="00AB12F5" w:rsidP="00AB12F5">
            <w:pPr>
              <w:tabs>
                <w:tab w:val="left" w:pos="8277"/>
              </w:tabs>
              <w:jc w:val="right"/>
              <w:rPr>
                <w:rFonts w:cstheme="minorHAnsi"/>
                <w:sz w:val="20"/>
                <w:szCs w:val="20"/>
              </w:rPr>
            </w:pPr>
            <w:r w:rsidRPr="00AD6133">
              <w:rPr>
                <w:rFonts w:cstheme="minorHAnsi"/>
                <w:sz w:val="20"/>
                <w:szCs w:val="20"/>
              </w:rPr>
              <w:t>74.2 (5.8)</w:t>
            </w:r>
          </w:p>
        </w:tc>
        <w:tc>
          <w:tcPr>
            <w:tcW w:w="1164" w:type="dxa"/>
            <w:tcBorders>
              <w:top w:val="single" w:sz="4" w:space="0" w:color="BFBFBF" w:themeColor="background1" w:themeShade="BF"/>
              <w:bottom w:val="single" w:sz="4" w:space="0" w:color="BFBFBF" w:themeColor="background1" w:themeShade="BF"/>
            </w:tcBorders>
          </w:tcPr>
          <w:p w14:paraId="3FB84458" w14:textId="0C23E85A" w:rsidR="00AB12F5" w:rsidRPr="00AD6133" w:rsidRDefault="00AB12F5" w:rsidP="00AB12F5">
            <w:pPr>
              <w:tabs>
                <w:tab w:val="left" w:pos="8277"/>
              </w:tabs>
              <w:jc w:val="right"/>
              <w:rPr>
                <w:rFonts w:cstheme="minorHAnsi"/>
                <w:sz w:val="20"/>
                <w:szCs w:val="20"/>
              </w:rPr>
            </w:pPr>
            <w:r w:rsidRPr="00F30059">
              <w:rPr>
                <w:rFonts w:cstheme="minorHAnsi"/>
                <w:sz w:val="20"/>
                <w:szCs w:val="20"/>
              </w:rPr>
              <w:t>74.</w:t>
            </w:r>
            <w:r w:rsidR="0048346D">
              <w:rPr>
                <w:rFonts w:cstheme="minorHAnsi"/>
                <w:sz w:val="20"/>
                <w:szCs w:val="20"/>
              </w:rPr>
              <w:t>6</w:t>
            </w:r>
            <w:r w:rsidRPr="00AD6133">
              <w:rPr>
                <w:rFonts w:cstheme="minorHAnsi"/>
                <w:sz w:val="20"/>
                <w:szCs w:val="20"/>
              </w:rPr>
              <w:t xml:space="preserve"> (5.8)</w:t>
            </w:r>
          </w:p>
        </w:tc>
      </w:tr>
      <w:tr w:rsidR="00AB12F5" w14:paraId="3403F31C" w14:textId="77777777" w:rsidTr="00F30059">
        <w:tc>
          <w:tcPr>
            <w:tcW w:w="1917" w:type="dxa"/>
            <w:tcBorders>
              <w:top w:val="single" w:sz="4" w:space="0" w:color="BFBFBF" w:themeColor="background1" w:themeShade="BF"/>
            </w:tcBorders>
          </w:tcPr>
          <w:p w14:paraId="36369923" w14:textId="0F9DE720" w:rsidR="00AB12F5" w:rsidRPr="00AB12F5" w:rsidRDefault="00AB12F5" w:rsidP="00AB12F5">
            <w:pPr>
              <w:rPr>
                <w:rFonts w:cstheme="minorHAnsi"/>
                <w:bCs/>
                <w:sz w:val="20"/>
                <w:szCs w:val="20"/>
              </w:rPr>
            </w:pPr>
            <w:r w:rsidRPr="00AB12F5">
              <w:rPr>
                <w:rFonts w:cstheme="minorHAnsi"/>
                <w:bCs/>
                <w:sz w:val="20"/>
                <w:szCs w:val="20"/>
              </w:rPr>
              <w:t xml:space="preserve">  Min., Max.</w:t>
            </w:r>
          </w:p>
        </w:tc>
        <w:tc>
          <w:tcPr>
            <w:tcW w:w="1139" w:type="dxa"/>
            <w:tcBorders>
              <w:top w:val="single" w:sz="4" w:space="0" w:color="BFBFBF" w:themeColor="background1" w:themeShade="BF"/>
            </w:tcBorders>
          </w:tcPr>
          <w:p w14:paraId="679D9A25" w14:textId="79105E22" w:rsidR="00AB12F5" w:rsidRPr="00AB12F5" w:rsidRDefault="005E07F1" w:rsidP="00AB12F5">
            <w:pPr>
              <w:tabs>
                <w:tab w:val="left" w:pos="8277"/>
              </w:tabs>
              <w:jc w:val="right"/>
              <w:rPr>
                <w:rFonts w:cstheme="minorHAnsi"/>
                <w:sz w:val="20"/>
                <w:szCs w:val="20"/>
              </w:rPr>
            </w:pPr>
            <w:r>
              <w:rPr>
                <w:rFonts w:cstheme="minorHAnsi"/>
                <w:sz w:val="20"/>
                <w:szCs w:val="20"/>
              </w:rPr>
              <w:t>66.0, 91.3</w:t>
            </w:r>
          </w:p>
        </w:tc>
        <w:tc>
          <w:tcPr>
            <w:tcW w:w="1210" w:type="dxa"/>
            <w:tcBorders>
              <w:top w:val="single" w:sz="4" w:space="0" w:color="BFBFBF" w:themeColor="background1" w:themeShade="BF"/>
            </w:tcBorders>
          </w:tcPr>
          <w:p w14:paraId="242F73C1" w14:textId="2FF6B045" w:rsidR="00AB12F5" w:rsidRPr="00AB12F5" w:rsidRDefault="005E07F1" w:rsidP="00AB12F5">
            <w:pPr>
              <w:tabs>
                <w:tab w:val="left" w:pos="8277"/>
              </w:tabs>
              <w:jc w:val="right"/>
              <w:rPr>
                <w:rFonts w:cstheme="minorHAnsi"/>
                <w:sz w:val="20"/>
                <w:szCs w:val="20"/>
              </w:rPr>
            </w:pPr>
            <w:r>
              <w:rPr>
                <w:rFonts w:cstheme="minorHAnsi"/>
                <w:sz w:val="20"/>
                <w:szCs w:val="20"/>
              </w:rPr>
              <w:t>65.4, 88.0</w:t>
            </w:r>
          </w:p>
        </w:tc>
        <w:tc>
          <w:tcPr>
            <w:tcW w:w="1164" w:type="dxa"/>
            <w:tcBorders>
              <w:top w:val="single" w:sz="4" w:space="0" w:color="BFBFBF" w:themeColor="background1" w:themeShade="BF"/>
            </w:tcBorders>
          </w:tcPr>
          <w:p w14:paraId="4B7885AF" w14:textId="21137B69" w:rsidR="00AB12F5" w:rsidRPr="00AB12F5" w:rsidRDefault="005E07F1" w:rsidP="00AB12F5">
            <w:pPr>
              <w:tabs>
                <w:tab w:val="left" w:pos="8277"/>
              </w:tabs>
              <w:jc w:val="right"/>
              <w:rPr>
                <w:rFonts w:cstheme="minorHAnsi"/>
                <w:sz w:val="20"/>
                <w:szCs w:val="20"/>
              </w:rPr>
            </w:pPr>
            <w:r>
              <w:rPr>
                <w:rFonts w:cstheme="minorHAnsi"/>
                <w:sz w:val="20"/>
                <w:szCs w:val="20"/>
              </w:rPr>
              <w:t>65.4, 91.3</w:t>
            </w:r>
          </w:p>
        </w:tc>
        <w:tc>
          <w:tcPr>
            <w:tcW w:w="1211" w:type="dxa"/>
            <w:tcBorders>
              <w:top w:val="single" w:sz="4" w:space="0" w:color="BFBFBF" w:themeColor="background1" w:themeShade="BF"/>
            </w:tcBorders>
          </w:tcPr>
          <w:p w14:paraId="69AD6ADB" w14:textId="05E7B8A6" w:rsidR="00AB12F5" w:rsidRPr="00AD6133" w:rsidRDefault="000817C3" w:rsidP="00AB12F5">
            <w:pPr>
              <w:tabs>
                <w:tab w:val="left" w:pos="8277"/>
              </w:tabs>
              <w:jc w:val="right"/>
              <w:rPr>
                <w:rFonts w:cstheme="minorHAnsi"/>
                <w:sz w:val="20"/>
                <w:szCs w:val="20"/>
              </w:rPr>
            </w:pPr>
            <w:r w:rsidRPr="00AD6133">
              <w:rPr>
                <w:rFonts w:cstheme="minorHAnsi"/>
                <w:sz w:val="20"/>
                <w:szCs w:val="20"/>
              </w:rPr>
              <w:t>66.0, 87.6</w:t>
            </w:r>
          </w:p>
        </w:tc>
        <w:tc>
          <w:tcPr>
            <w:tcW w:w="1211" w:type="dxa"/>
            <w:tcBorders>
              <w:top w:val="single" w:sz="4" w:space="0" w:color="BFBFBF" w:themeColor="background1" w:themeShade="BF"/>
            </w:tcBorders>
          </w:tcPr>
          <w:p w14:paraId="3CE93D0F" w14:textId="0643789F" w:rsidR="00AB12F5" w:rsidRPr="00AD6133" w:rsidRDefault="000817C3" w:rsidP="00AB12F5">
            <w:pPr>
              <w:tabs>
                <w:tab w:val="left" w:pos="8277"/>
              </w:tabs>
              <w:jc w:val="right"/>
              <w:rPr>
                <w:rFonts w:cstheme="minorHAnsi"/>
                <w:sz w:val="20"/>
                <w:szCs w:val="20"/>
              </w:rPr>
            </w:pPr>
            <w:r w:rsidRPr="00AD6133">
              <w:rPr>
                <w:rFonts w:cstheme="minorHAnsi"/>
                <w:bCs/>
                <w:sz w:val="20"/>
                <w:szCs w:val="20"/>
              </w:rPr>
              <w:t>65.5, 86.1</w:t>
            </w:r>
          </w:p>
        </w:tc>
        <w:tc>
          <w:tcPr>
            <w:tcW w:w="1164" w:type="dxa"/>
            <w:tcBorders>
              <w:top w:val="single" w:sz="4" w:space="0" w:color="BFBFBF" w:themeColor="background1" w:themeShade="BF"/>
            </w:tcBorders>
          </w:tcPr>
          <w:p w14:paraId="5AD838B2" w14:textId="3A3AAEDA" w:rsidR="00AB12F5" w:rsidRPr="00AD6133" w:rsidRDefault="000817C3" w:rsidP="00AB12F5">
            <w:pPr>
              <w:tabs>
                <w:tab w:val="left" w:pos="8277"/>
              </w:tabs>
              <w:jc w:val="right"/>
              <w:rPr>
                <w:rFonts w:cstheme="minorHAnsi"/>
                <w:sz w:val="20"/>
                <w:szCs w:val="20"/>
              </w:rPr>
            </w:pPr>
            <w:r w:rsidRPr="00AD6133">
              <w:rPr>
                <w:rFonts w:cstheme="minorHAnsi"/>
                <w:bCs/>
                <w:sz w:val="20"/>
                <w:szCs w:val="20"/>
              </w:rPr>
              <w:t>65.5, 87.6</w:t>
            </w:r>
          </w:p>
        </w:tc>
      </w:tr>
      <w:tr w:rsidR="00AB12F5" w14:paraId="35FE5789" w14:textId="77777777" w:rsidTr="00F30059">
        <w:tc>
          <w:tcPr>
            <w:tcW w:w="1917" w:type="dxa"/>
            <w:tcBorders>
              <w:bottom w:val="single" w:sz="4" w:space="0" w:color="BFBFBF" w:themeColor="background1" w:themeShade="BF"/>
            </w:tcBorders>
          </w:tcPr>
          <w:p w14:paraId="2118AC7B" w14:textId="336917CB" w:rsidR="00AB12F5" w:rsidRPr="00AB12F5" w:rsidRDefault="00AB12F5" w:rsidP="00AB12F5">
            <w:pPr>
              <w:rPr>
                <w:rFonts w:cstheme="minorHAnsi"/>
                <w:b/>
                <w:sz w:val="20"/>
                <w:szCs w:val="20"/>
              </w:rPr>
            </w:pPr>
            <w:r w:rsidRPr="00AB12F5">
              <w:rPr>
                <w:rFonts w:cstheme="minorHAnsi"/>
                <w:b/>
                <w:sz w:val="20"/>
                <w:szCs w:val="20"/>
              </w:rPr>
              <w:t>Gender, n (%)</w:t>
            </w:r>
          </w:p>
        </w:tc>
        <w:tc>
          <w:tcPr>
            <w:tcW w:w="1139" w:type="dxa"/>
            <w:tcBorders>
              <w:bottom w:val="single" w:sz="4" w:space="0" w:color="BFBFBF" w:themeColor="background1" w:themeShade="BF"/>
            </w:tcBorders>
          </w:tcPr>
          <w:p w14:paraId="4A9DA49A" w14:textId="77777777" w:rsidR="00AB12F5" w:rsidRPr="00AB12F5" w:rsidRDefault="00AB12F5" w:rsidP="00AB12F5">
            <w:pPr>
              <w:tabs>
                <w:tab w:val="left" w:pos="8277"/>
              </w:tabs>
              <w:rPr>
                <w:rFonts w:cstheme="minorHAnsi"/>
                <w:sz w:val="20"/>
                <w:szCs w:val="20"/>
              </w:rPr>
            </w:pPr>
          </w:p>
        </w:tc>
        <w:tc>
          <w:tcPr>
            <w:tcW w:w="1210" w:type="dxa"/>
            <w:tcBorders>
              <w:bottom w:val="single" w:sz="4" w:space="0" w:color="BFBFBF" w:themeColor="background1" w:themeShade="BF"/>
            </w:tcBorders>
          </w:tcPr>
          <w:p w14:paraId="1CC09172" w14:textId="77777777" w:rsidR="00AB12F5" w:rsidRPr="00AB12F5"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229892AA" w14:textId="77777777" w:rsidR="00AB12F5" w:rsidRPr="00AB12F5"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523F4BD7" w14:textId="77777777" w:rsidR="00AB12F5" w:rsidRPr="00AD6133"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614D46E7" w14:textId="77777777" w:rsidR="00AB12F5" w:rsidRPr="00AD6133"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6CA5F6EA" w14:textId="77777777" w:rsidR="00AB12F5" w:rsidRPr="00AD6133" w:rsidRDefault="00AB12F5" w:rsidP="00AB12F5">
            <w:pPr>
              <w:tabs>
                <w:tab w:val="left" w:pos="8277"/>
              </w:tabs>
              <w:rPr>
                <w:rFonts w:cstheme="minorHAnsi"/>
                <w:sz w:val="20"/>
                <w:szCs w:val="20"/>
              </w:rPr>
            </w:pPr>
          </w:p>
        </w:tc>
      </w:tr>
      <w:tr w:rsidR="00AB12F5" w14:paraId="15970B93" w14:textId="77777777" w:rsidTr="00F30059">
        <w:tc>
          <w:tcPr>
            <w:tcW w:w="1917" w:type="dxa"/>
            <w:tcBorders>
              <w:top w:val="single" w:sz="4" w:space="0" w:color="BFBFBF" w:themeColor="background1" w:themeShade="BF"/>
              <w:bottom w:val="single" w:sz="4" w:space="0" w:color="BFBFBF" w:themeColor="background1" w:themeShade="BF"/>
            </w:tcBorders>
          </w:tcPr>
          <w:p w14:paraId="7397A0EC" w14:textId="4F860A0E" w:rsidR="00AB12F5" w:rsidRPr="00AB12F5" w:rsidRDefault="00AB12F5" w:rsidP="00AB12F5">
            <w:pPr>
              <w:rPr>
                <w:rFonts w:cstheme="minorHAnsi"/>
                <w:bCs/>
                <w:sz w:val="20"/>
                <w:szCs w:val="20"/>
              </w:rPr>
            </w:pPr>
            <w:r w:rsidRPr="00AB12F5">
              <w:rPr>
                <w:rFonts w:cstheme="minorHAnsi"/>
                <w:bCs/>
                <w:sz w:val="20"/>
                <w:szCs w:val="20"/>
              </w:rPr>
              <w:t xml:space="preserve">  Male</w:t>
            </w:r>
          </w:p>
        </w:tc>
        <w:tc>
          <w:tcPr>
            <w:tcW w:w="1139" w:type="dxa"/>
            <w:tcBorders>
              <w:top w:val="single" w:sz="4" w:space="0" w:color="BFBFBF" w:themeColor="background1" w:themeShade="BF"/>
              <w:bottom w:val="single" w:sz="4" w:space="0" w:color="BFBFBF" w:themeColor="background1" w:themeShade="BF"/>
            </w:tcBorders>
          </w:tcPr>
          <w:p w14:paraId="1B057985" w14:textId="7EA8BF9E" w:rsidR="00AB12F5" w:rsidRPr="00AB12F5" w:rsidRDefault="005E07F1" w:rsidP="00AB12F5">
            <w:pPr>
              <w:tabs>
                <w:tab w:val="left" w:pos="8277"/>
              </w:tabs>
              <w:jc w:val="right"/>
              <w:rPr>
                <w:rFonts w:cstheme="minorHAnsi"/>
                <w:sz w:val="20"/>
                <w:szCs w:val="20"/>
              </w:rPr>
            </w:pPr>
            <w:r>
              <w:rPr>
                <w:rFonts w:cstheme="minorHAnsi"/>
                <w:sz w:val="20"/>
                <w:szCs w:val="20"/>
              </w:rPr>
              <w:t>23 (26.1)</w:t>
            </w:r>
          </w:p>
        </w:tc>
        <w:tc>
          <w:tcPr>
            <w:tcW w:w="1210" w:type="dxa"/>
            <w:tcBorders>
              <w:top w:val="single" w:sz="4" w:space="0" w:color="BFBFBF" w:themeColor="background1" w:themeShade="BF"/>
              <w:bottom w:val="single" w:sz="4" w:space="0" w:color="BFBFBF" w:themeColor="background1" w:themeShade="BF"/>
            </w:tcBorders>
          </w:tcPr>
          <w:p w14:paraId="3C13997D" w14:textId="1FE00EF7" w:rsidR="00AB12F5" w:rsidRPr="00AB12F5" w:rsidRDefault="005E07F1" w:rsidP="00AB12F5">
            <w:pPr>
              <w:tabs>
                <w:tab w:val="left" w:pos="8277"/>
              </w:tabs>
              <w:jc w:val="right"/>
              <w:rPr>
                <w:rFonts w:cstheme="minorHAnsi"/>
                <w:sz w:val="20"/>
                <w:szCs w:val="20"/>
              </w:rPr>
            </w:pPr>
            <w:r>
              <w:rPr>
                <w:rFonts w:cstheme="minorHAnsi"/>
                <w:sz w:val="20"/>
                <w:szCs w:val="20"/>
              </w:rPr>
              <w:t>19 (22.1)</w:t>
            </w:r>
          </w:p>
        </w:tc>
        <w:tc>
          <w:tcPr>
            <w:tcW w:w="1164" w:type="dxa"/>
            <w:tcBorders>
              <w:top w:val="single" w:sz="4" w:space="0" w:color="BFBFBF" w:themeColor="background1" w:themeShade="BF"/>
              <w:bottom w:val="single" w:sz="4" w:space="0" w:color="BFBFBF" w:themeColor="background1" w:themeShade="BF"/>
            </w:tcBorders>
          </w:tcPr>
          <w:p w14:paraId="56F436C3" w14:textId="0A1D22A6" w:rsidR="00AB12F5" w:rsidRPr="00AB12F5" w:rsidRDefault="005E07F1" w:rsidP="00AB12F5">
            <w:pPr>
              <w:tabs>
                <w:tab w:val="left" w:pos="8277"/>
              </w:tabs>
              <w:jc w:val="right"/>
              <w:rPr>
                <w:rFonts w:cstheme="minorHAnsi"/>
                <w:sz w:val="20"/>
                <w:szCs w:val="20"/>
              </w:rPr>
            </w:pPr>
            <w:r>
              <w:rPr>
                <w:rFonts w:cstheme="minorHAnsi"/>
                <w:sz w:val="20"/>
                <w:szCs w:val="20"/>
              </w:rPr>
              <w:t>42 (24.1)</w:t>
            </w:r>
          </w:p>
        </w:tc>
        <w:tc>
          <w:tcPr>
            <w:tcW w:w="1211" w:type="dxa"/>
            <w:tcBorders>
              <w:top w:val="single" w:sz="4" w:space="0" w:color="BFBFBF" w:themeColor="background1" w:themeShade="BF"/>
              <w:bottom w:val="single" w:sz="4" w:space="0" w:color="BFBFBF" w:themeColor="background1" w:themeShade="BF"/>
            </w:tcBorders>
          </w:tcPr>
          <w:p w14:paraId="71E5B552" w14:textId="4CD8A739" w:rsidR="00AB12F5" w:rsidRPr="00AD6133" w:rsidRDefault="00AB12F5" w:rsidP="00AB12F5">
            <w:pPr>
              <w:tabs>
                <w:tab w:val="left" w:pos="8277"/>
              </w:tabs>
              <w:jc w:val="right"/>
              <w:rPr>
                <w:rFonts w:cstheme="minorHAnsi"/>
                <w:sz w:val="20"/>
                <w:szCs w:val="20"/>
              </w:rPr>
            </w:pPr>
            <w:r w:rsidRPr="00AD6133">
              <w:rPr>
                <w:rFonts w:cstheme="minorHAnsi"/>
                <w:sz w:val="20"/>
                <w:szCs w:val="20"/>
              </w:rPr>
              <w:t>9 (</w:t>
            </w:r>
            <w:r w:rsidR="0048346D">
              <w:rPr>
                <w:rFonts w:cstheme="minorHAnsi"/>
                <w:sz w:val="20"/>
                <w:szCs w:val="20"/>
              </w:rPr>
              <w:t>33.3</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146A0CDE" w14:textId="6331B6FC" w:rsidR="00AB12F5" w:rsidRPr="00AD6133" w:rsidRDefault="00AB12F5" w:rsidP="00AB12F5">
            <w:pPr>
              <w:tabs>
                <w:tab w:val="left" w:pos="8277"/>
              </w:tabs>
              <w:jc w:val="right"/>
              <w:rPr>
                <w:rFonts w:cstheme="minorHAnsi"/>
                <w:sz w:val="20"/>
                <w:szCs w:val="20"/>
              </w:rPr>
            </w:pPr>
            <w:r w:rsidRPr="00AD6133">
              <w:rPr>
                <w:rFonts w:cstheme="minorHAnsi"/>
                <w:sz w:val="20"/>
                <w:szCs w:val="20"/>
              </w:rPr>
              <w:t>7 (</w:t>
            </w:r>
            <w:r w:rsidR="0048346D">
              <w:rPr>
                <w:rFonts w:cstheme="minorHAnsi"/>
                <w:sz w:val="20"/>
                <w:szCs w:val="20"/>
              </w:rPr>
              <w:t>18.0</w:t>
            </w:r>
            <w:r w:rsidRPr="00AD6133">
              <w:rPr>
                <w:rFonts w:cstheme="minorHAnsi"/>
                <w:sz w:val="20"/>
                <w:szCs w:val="20"/>
              </w:rPr>
              <w:t>)</w:t>
            </w:r>
          </w:p>
        </w:tc>
        <w:tc>
          <w:tcPr>
            <w:tcW w:w="1164" w:type="dxa"/>
            <w:tcBorders>
              <w:top w:val="single" w:sz="4" w:space="0" w:color="BFBFBF" w:themeColor="background1" w:themeShade="BF"/>
              <w:bottom w:val="single" w:sz="4" w:space="0" w:color="BFBFBF" w:themeColor="background1" w:themeShade="BF"/>
            </w:tcBorders>
          </w:tcPr>
          <w:p w14:paraId="437C60B6" w14:textId="1F221F9C" w:rsidR="00AB12F5" w:rsidRPr="00AD6133" w:rsidRDefault="00AB12F5" w:rsidP="00AB12F5">
            <w:pPr>
              <w:tabs>
                <w:tab w:val="left" w:pos="8277"/>
              </w:tabs>
              <w:jc w:val="right"/>
              <w:rPr>
                <w:rFonts w:cstheme="minorHAnsi"/>
                <w:sz w:val="20"/>
                <w:szCs w:val="20"/>
              </w:rPr>
            </w:pPr>
            <w:r w:rsidRPr="00AD6133">
              <w:rPr>
                <w:rFonts w:cstheme="minorHAnsi"/>
                <w:sz w:val="20"/>
                <w:szCs w:val="20"/>
              </w:rPr>
              <w:t>16 (2</w:t>
            </w:r>
            <w:r w:rsidR="0048346D">
              <w:rPr>
                <w:rFonts w:cstheme="minorHAnsi"/>
                <w:sz w:val="20"/>
                <w:szCs w:val="20"/>
              </w:rPr>
              <w:t>4.2</w:t>
            </w:r>
            <w:r w:rsidRPr="00AD6133">
              <w:rPr>
                <w:rFonts w:cstheme="minorHAnsi"/>
                <w:sz w:val="20"/>
                <w:szCs w:val="20"/>
              </w:rPr>
              <w:t>)</w:t>
            </w:r>
          </w:p>
        </w:tc>
      </w:tr>
      <w:tr w:rsidR="00AB12F5" w14:paraId="61604B49" w14:textId="77777777" w:rsidTr="00F30059">
        <w:tc>
          <w:tcPr>
            <w:tcW w:w="1917" w:type="dxa"/>
            <w:tcBorders>
              <w:top w:val="single" w:sz="4" w:space="0" w:color="BFBFBF" w:themeColor="background1" w:themeShade="BF"/>
              <w:bottom w:val="single" w:sz="4" w:space="0" w:color="BFBFBF" w:themeColor="background1" w:themeShade="BF"/>
            </w:tcBorders>
          </w:tcPr>
          <w:p w14:paraId="4BD445B8" w14:textId="7C6D19D8" w:rsidR="00AB12F5" w:rsidRPr="00AB12F5" w:rsidRDefault="00AB12F5" w:rsidP="00AB12F5">
            <w:pPr>
              <w:rPr>
                <w:rFonts w:cstheme="minorHAnsi"/>
                <w:bCs/>
                <w:sz w:val="20"/>
                <w:szCs w:val="20"/>
              </w:rPr>
            </w:pPr>
            <w:r w:rsidRPr="00AB12F5">
              <w:rPr>
                <w:rFonts w:cstheme="minorHAnsi"/>
                <w:bCs/>
                <w:sz w:val="20"/>
                <w:szCs w:val="20"/>
              </w:rPr>
              <w:t xml:space="preserve">  Female</w:t>
            </w:r>
          </w:p>
        </w:tc>
        <w:tc>
          <w:tcPr>
            <w:tcW w:w="1139" w:type="dxa"/>
            <w:tcBorders>
              <w:top w:val="single" w:sz="4" w:space="0" w:color="BFBFBF" w:themeColor="background1" w:themeShade="BF"/>
              <w:bottom w:val="single" w:sz="4" w:space="0" w:color="BFBFBF" w:themeColor="background1" w:themeShade="BF"/>
            </w:tcBorders>
          </w:tcPr>
          <w:p w14:paraId="29838EB1" w14:textId="16954DCD" w:rsidR="00AB12F5" w:rsidRPr="00AB12F5" w:rsidRDefault="005E07F1" w:rsidP="00AB12F5">
            <w:pPr>
              <w:tabs>
                <w:tab w:val="left" w:pos="8277"/>
              </w:tabs>
              <w:jc w:val="right"/>
              <w:rPr>
                <w:rFonts w:cstheme="minorHAnsi"/>
                <w:sz w:val="20"/>
                <w:szCs w:val="20"/>
              </w:rPr>
            </w:pPr>
            <w:r>
              <w:rPr>
                <w:rFonts w:cstheme="minorHAnsi"/>
                <w:sz w:val="20"/>
                <w:szCs w:val="20"/>
              </w:rPr>
              <w:t>64 (72.7)</w:t>
            </w:r>
          </w:p>
        </w:tc>
        <w:tc>
          <w:tcPr>
            <w:tcW w:w="1210" w:type="dxa"/>
            <w:tcBorders>
              <w:top w:val="single" w:sz="4" w:space="0" w:color="BFBFBF" w:themeColor="background1" w:themeShade="BF"/>
              <w:bottom w:val="single" w:sz="4" w:space="0" w:color="BFBFBF" w:themeColor="background1" w:themeShade="BF"/>
            </w:tcBorders>
          </w:tcPr>
          <w:p w14:paraId="3705F6E4" w14:textId="37D67723" w:rsidR="00AB12F5" w:rsidRPr="00AB12F5" w:rsidRDefault="005E07F1" w:rsidP="00AB12F5">
            <w:pPr>
              <w:tabs>
                <w:tab w:val="left" w:pos="8277"/>
              </w:tabs>
              <w:jc w:val="right"/>
              <w:rPr>
                <w:rFonts w:cstheme="minorHAnsi"/>
                <w:sz w:val="20"/>
                <w:szCs w:val="20"/>
              </w:rPr>
            </w:pPr>
            <w:r>
              <w:rPr>
                <w:rFonts w:cstheme="minorHAnsi"/>
                <w:sz w:val="20"/>
                <w:szCs w:val="20"/>
              </w:rPr>
              <w:t>65 (75.6)</w:t>
            </w:r>
          </w:p>
        </w:tc>
        <w:tc>
          <w:tcPr>
            <w:tcW w:w="1164" w:type="dxa"/>
            <w:tcBorders>
              <w:top w:val="single" w:sz="4" w:space="0" w:color="BFBFBF" w:themeColor="background1" w:themeShade="BF"/>
              <w:bottom w:val="single" w:sz="4" w:space="0" w:color="BFBFBF" w:themeColor="background1" w:themeShade="BF"/>
            </w:tcBorders>
          </w:tcPr>
          <w:p w14:paraId="7ADD5374" w14:textId="4BDD2B2F" w:rsidR="00AB12F5" w:rsidRPr="00AB12F5" w:rsidRDefault="005E07F1" w:rsidP="00AB12F5">
            <w:pPr>
              <w:tabs>
                <w:tab w:val="left" w:pos="8277"/>
              </w:tabs>
              <w:jc w:val="right"/>
              <w:rPr>
                <w:rFonts w:cstheme="minorHAnsi"/>
                <w:sz w:val="20"/>
                <w:szCs w:val="20"/>
              </w:rPr>
            </w:pPr>
            <w:r>
              <w:rPr>
                <w:rFonts w:cstheme="minorHAnsi"/>
                <w:sz w:val="20"/>
                <w:szCs w:val="20"/>
              </w:rPr>
              <w:t>129 (74.1)</w:t>
            </w:r>
          </w:p>
        </w:tc>
        <w:tc>
          <w:tcPr>
            <w:tcW w:w="1211" w:type="dxa"/>
            <w:tcBorders>
              <w:top w:val="single" w:sz="4" w:space="0" w:color="BFBFBF" w:themeColor="background1" w:themeShade="BF"/>
              <w:bottom w:val="single" w:sz="4" w:space="0" w:color="BFBFBF" w:themeColor="background1" w:themeShade="BF"/>
            </w:tcBorders>
          </w:tcPr>
          <w:p w14:paraId="17D7860D" w14:textId="33A1D01C" w:rsidR="00AB12F5" w:rsidRPr="00AD6133" w:rsidRDefault="00AB12F5" w:rsidP="00AB12F5">
            <w:pPr>
              <w:tabs>
                <w:tab w:val="left" w:pos="8277"/>
              </w:tabs>
              <w:jc w:val="right"/>
              <w:rPr>
                <w:rFonts w:cstheme="minorHAnsi"/>
                <w:sz w:val="20"/>
                <w:szCs w:val="20"/>
              </w:rPr>
            </w:pPr>
            <w:r w:rsidRPr="00AD6133">
              <w:rPr>
                <w:rFonts w:cstheme="minorHAnsi"/>
                <w:sz w:val="20"/>
                <w:szCs w:val="20"/>
              </w:rPr>
              <w:t>1</w:t>
            </w:r>
            <w:r w:rsidR="0048346D">
              <w:rPr>
                <w:rFonts w:cstheme="minorHAnsi"/>
                <w:sz w:val="20"/>
                <w:szCs w:val="20"/>
              </w:rPr>
              <w:t>7</w:t>
            </w:r>
            <w:r w:rsidRPr="00AD6133">
              <w:rPr>
                <w:rFonts w:cstheme="minorHAnsi"/>
                <w:sz w:val="20"/>
                <w:szCs w:val="20"/>
              </w:rPr>
              <w:t xml:space="preserve"> (6</w:t>
            </w:r>
            <w:r w:rsidR="00AD6133" w:rsidRPr="00F30059">
              <w:rPr>
                <w:rFonts w:cstheme="minorHAnsi"/>
                <w:sz w:val="20"/>
                <w:szCs w:val="20"/>
              </w:rPr>
              <w:t>3</w:t>
            </w:r>
            <w:r w:rsidR="0048346D">
              <w:rPr>
                <w:rFonts w:cstheme="minorHAnsi"/>
                <w:sz w:val="20"/>
                <w:szCs w:val="20"/>
              </w:rPr>
              <w:t>.0</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423E4C68" w14:textId="57572498" w:rsidR="00AB12F5" w:rsidRPr="00AD6133" w:rsidRDefault="00AB12F5" w:rsidP="00AB12F5">
            <w:pPr>
              <w:tabs>
                <w:tab w:val="left" w:pos="8277"/>
              </w:tabs>
              <w:jc w:val="right"/>
              <w:rPr>
                <w:rFonts w:cstheme="minorHAnsi"/>
                <w:sz w:val="20"/>
                <w:szCs w:val="20"/>
              </w:rPr>
            </w:pPr>
            <w:r w:rsidRPr="00AD6133">
              <w:rPr>
                <w:rFonts w:cstheme="minorHAnsi"/>
                <w:sz w:val="20"/>
                <w:szCs w:val="20"/>
              </w:rPr>
              <w:t>31 (79.5)</w:t>
            </w:r>
          </w:p>
        </w:tc>
        <w:tc>
          <w:tcPr>
            <w:tcW w:w="1164" w:type="dxa"/>
            <w:tcBorders>
              <w:top w:val="single" w:sz="4" w:space="0" w:color="BFBFBF" w:themeColor="background1" w:themeShade="BF"/>
              <w:bottom w:val="single" w:sz="4" w:space="0" w:color="BFBFBF" w:themeColor="background1" w:themeShade="BF"/>
            </w:tcBorders>
          </w:tcPr>
          <w:p w14:paraId="6B0607A6" w14:textId="2F52AC0F" w:rsidR="00AB12F5" w:rsidRPr="00AD6133" w:rsidRDefault="00AD6133" w:rsidP="00AB12F5">
            <w:pPr>
              <w:tabs>
                <w:tab w:val="left" w:pos="8277"/>
              </w:tabs>
              <w:jc w:val="right"/>
              <w:rPr>
                <w:rFonts w:cstheme="minorHAnsi"/>
                <w:sz w:val="20"/>
                <w:szCs w:val="20"/>
              </w:rPr>
            </w:pPr>
            <w:r w:rsidRPr="00F30059">
              <w:rPr>
                <w:rFonts w:cstheme="minorHAnsi"/>
                <w:sz w:val="20"/>
                <w:szCs w:val="20"/>
              </w:rPr>
              <w:t>4</w:t>
            </w:r>
            <w:r w:rsidR="0048346D">
              <w:rPr>
                <w:rFonts w:cstheme="minorHAnsi"/>
                <w:sz w:val="20"/>
                <w:szCs w:val="20"/>
              </w:rPr>
              <w:t>8</w:t>
            </w:r>
            <w:r w:rsidRPr="00F30059">
              <w:rPr>
                <w:rFonts w:cstheme="minorHAnsi"/>
                <w:sz w:val="20"/>
                <w:szCs w:val="20"/>
              </w:rPr>
              <w:t xml:space="preserve"> (7</w:t>
            </w:r>
            <w:r w:rsidR="0048346D">
              <w:rPr>
                <w:rFonts w:cstheme="minorHAnsi"/>
                <w:sz w:val="20"/>
                <w:szCs w:val="20"/>
              </w:rPr>
              <w:t>2.7</w:t>
            </w:r>
            <w:r w:rsidRPr="00F30059">
              <w:rPr>
                <w:rFonts w:cstheme="minorHAnsi"/>
                <w:sz w:val="20"/>
                <w:szCs w:val="20"/>
              </w:rPr>
              <w:t>)</w:t>
            </w:r>
          </w:p>
        </w:tc>
      </w:tr>
      <w:tr w:rsidR="00AB12F5" w14:paraId="506D5E88" w14:textId="77777777" w:rsidTr="00F30059">
        <w:tc>
          <w:tcPr>
            <w:tcW w:w="1917" w:type="dxa"/>
            <w:tcBorders>
              <w:top w:val="single" w:sz="4" w:space="0" w:color="BFBFBF" w:themeColor="background1" w:themeShade="BF"/>
            </w:tcBorders>
          </w:tcPr>
          <w:p w14:paraId="6E47DFA1" w14:textId="46272E02" w:rsidR="00AB12F5" w:rsidRPr="00AB12F5" w:rsidRDefault="00AB12F5" w:rsidP="00AB12F5">
            <w:pPr>
              <w:rPr>
                <w:rFonts w:cstheme="minorHAnsi"/>
                <w:bCs/>
                <w:sz w:val="20"/>
                <w:szCs w:val="20"/>
              </w:rPr>
            </w:pPr>
            <w:r w:rsidRPr="00AB12F5">
              <w:rPr>
                <w:rFonts w:cstheme="minorHAnsi"/>
                <w:bCs/>
                <w:sz w:val="20"/>
                <w:szCs w:val="20"/>
              </w:rPr>
              <w:t xml:space="preserve">  Missing</w:t>
            </w:r>
          </w:p>
        </w:tc>
        <w:tc>
          <w:tcPr>
            <w:tcW w:w="1139" w:type="dxa"/>
            <w:tcBorders>
              <w:top w:val="single" w:sz="4" w:space="0" w:color="BFBFBF" w:themeColor="background1" w:themeShade="BF"/>
            </w:tcBorders>
          </w:tcPr>
          <w:p w14:paraId="565B1621" w14:textId="5D995871" w:rsidR="00AB12F5" w:rsidRPr="00F30059" w:rsidRDefault="005E07F1" w:rsidP="00AB12F5">
            <w:pPr>
              <w:tabs>
                <w:tab w:val="left" w:pos="8277"/>
              </w:tabs>
              <w:jc w:val="right"/>
              <w:rPr>
                <w:rFonts w:cstheme="minorHAnsi"/>
                <w:sz w:val="20"/>
                <w:szCs w:val="20"/>
              </w:rPr>
            </w:pPr>
            <w:r w:rsidRPr="00F30059">
              <w:rPr>
                <w:rFonts w:cstheme="minorHAnsi"/>
                <w:sz w:val="20"/>
                <w:szCs w:val="20"/>
              </w:rPr>
              <w:t>1 (1.1)</w:t>
            </w:r>
          </w:p>
        </w:tc>
        <w:tc>
          <w:tcPr>
            <w:tcW w:w="1210" w:type="dxa"/>
            <w:tcBorders>
              <w:top w:val="single" w:sz="4" w:space="0" w:color="BFBFBF" w:themeColor="background1" w:themeShade="BF"/>
            </w:tcBorders>
          </w:tcPr>
          <w:p w14:paraId="7F6CC687" w14:textId="6C6D5956" w:rsidR="00AB12F5" w:rsidRPr="00F30059" w:rsidRDefault="005E07F1" w:rsidP="00AB12F5">
            <w:pPr>
              <w:tabs>
                <w:tab w:val="left" w:pos="8277"/>
              </w:tabs>
              <w:jc w:val="right"/>
              <w:rPr>
                <w:rFonts w:cstheme="minorHAnsi"/>
                <w:sz w:val="20"/>
                <w:szCs w:val="20"/>
              </w:rPr>
            </w:pPr>
            <w:r w:rsidRPr="00F30059">
              <w:rPr>
                <w:rFonts w:cstheme="minorHAnsi"/>
                <w:sz w:val="20"/>
                <w:szCs w:val="20"/>
              </w:rPr>
              <w:t>2 (2.3)</w:t>
            </w:r>
          </w:p>
        </w:tc>
        <w:tc>
          <w:tcPr>
            <w:tcW w:w="1164" w:type="dxa"/>
            <w:tcBorders>
              <w:top w:val="single" w:sz="4" w:space="0" w:color="BFBFBF" w:themeColor="background1" w:themeShade="BF"/>
            </w:tcBorders>
          </w:tcPr>
          <w:p w14:paraId="0B092162" w14:textId="6F7BD1FE" w:rsidR="00AB12F5" w:rsidRPr="00F30059" w:rsidRDefault="005E07F1" w:rsidP="00AB12F5">
            <w:pPr>
              <w:tabs>
                <w:tab w:val="left" w:pos="8277"/>
              </w:tabs>
              <w:jc w:val="right"/>
              <w:rPr>
                <w:rFonts w:cstheme="minorHAnsi"/>
                <w:sz w:val="20"/>
                <w:szCs w:val="20"/>
              </w:rPr>
            </w:pPr>
            <w:r w:rsidRPr="00F30059">
              <w:rPr>
                <w:rFonts w:cstheme="minorHAnsi"/>
                <w:sz w:val="20"/>
                <w:szCs w:val="20"/>
              </w:rPr>
              <w:t>3 (1.7)</w:t>
            </w:r>
          </w:p>
        </w:tc>
        <w:tc>
          <w:tcPr>
            <w:tcW w:w="1211" w:type="dxa"/>
            <w:tcBorders>
              <w:top w:val="single" w:sz="4" w:space="0" w:color="BFBFBF" w:themeColor="background1" w:themeShade="BF"/>
            </w:tcBorders>
          </w:tcPr>
          <w:p w14:paraId="78525549" w14:textId="11E07951" w:rsidR="00AB12F5" w:rsidRPr="00F30059" w:rsidRDefault="00AD6133" w:rsidP="00AB12F5">
            <w:pPr>
              <w:tabs>
                <w:tab w:val="left" w:pos="8277"/>
              </w:tabs>
              <w:jc w:val="right"/>
              <w:rPr>
                <w:rFonts w:cstheme="minorHAnsi"/>
                <w:sz w:val="20"/>
                <w:szCs w:val="20"/>
              </w:rPr>
            </w:pPr>
            <w:r w:rsidRPr="00F30059">
              <w:rPr>
                <w:rFonts w:cstheme="minorHAnsi"/>
                <w:sz w:val="20"/>
                <w:szCs w:val="20"/>
              </w:rPr>
              <w:t>1 (3.</w:t>
            </w:r>
            <w:r w:rsidR="0048346D">
              <w:rPr>
                <w:rFonts w:cstheme="minorHAnsi"/>
                <w:sz w:val="20"/>
                <w:szCs w:val="20"/>
              </w:rPr>
              <w:t>7</w:t>
            </w:r>
            <w:r w:rsidRPr="00F30059">
              <w:rPr>
                <w:rFonts w:cstheme="minorHAnsi"/>
                <w:sz w:val="20"/>
                <w:szCs w:val="20"/>
              </w:rPr>
              <w:t>)</w:t>
            </w:r>
          </w:p>
        </w:tc>
        <w:tc>
          <w:tcPr>
            <w:tcW w:w="1211" w:type="dxa"/>
            <w:tcBorders>
              <w:top w:val="single" w:sz="4" w:space="0" w:color="BFBFBF" w:themeColor="background1" w:themeShade="BF"/>
            </w:tcBorders>
          </w:tcPr>
          <w:p w14:paraId="099EC390" w14:textId="4D03811C" w:rsidR="00AB12F5" w:rsidRPr="00F30059" w:rsidRDefault="00AB12F5" w:rsidP="00AB12F5">
            <w:pPr>
              <w:tabs>
                <w:tab w:val="left" w:pos="8277"/>
              </w:tabs>
              <w:jc w:val="right"/>
              <w:rPr>
                <w:rFonts w:cstheme="minorHAnsi"/>
                <w:sz w:val="20"/>
                <w:szCs w:val="20"/>
              </w:rPr>
            </w:pPr>
            <w:r w:rsidRPr="00F30059">
              <w:rPr>
                <w:rFonts w:cstheme="minorHAnsi"/>
                <w:sz w:val="20"/>
                <w:szCs w:val="20"/>
              </w:rPr>
              <w:t>1 (2.6)</w:t>
            </w:r>
          </w:p>
        </w:tc>
        <w:tc>
          <w:tcPr>
            <w:tcW w:w="1164" w:type="dxa"/>
            <w:tcBorders>
              <w:top w:val="single" w:sz="4" w:space="0" w:color="BFBFBF" w:themeColor="background1" w:themeShade="BF"/>
            </w:tcBorders>
          </w:tcPr>
          <w:p w14:paraId="2AC13079" w14:textId="6F7A43D1" w:rsidR="00AB12F5" w:rsidRPr="00F30059" w:rsidRDefault="00AD6133" w:rsidP="00AB12F5">
            <w:pPr>
              <w:tabs>
                <w:tab w:val="left" w:pos="8277"/>
              </w:tabs>
              <w:jc w:val="right"/>
              <w:rPr>
                <w:rFonts w:cstheme="minorHAnsi"/>
                <w:sz w:val="20"/>
                <w:szCs w:val="20"/>
              </w:rPr>
            </w:pPr>
            <w:r w:rsidRPr="00F30059">
              <w:rPr>
                <w:rFonts w:cstheme="minorHAnsi"/>
                <w:sz w:val="20"/>
                <w:szCs w:val="20"/>
              </w:rPr>
              <w:t>2 (3.0)</w:t>
            </w:r>
          </w:p>
        </w:tc>
      </w:tr>
      <w:tr w:rsidR="00AB12F5" w14:paraId="262F478D" w14:textId="77777777" w:rsidTr="00F30059">
        <w:tc>
          <w:tcPr>
            <w:tcW w:w="1917" w:type="dxa"/>
            <w:tcBorders>
              <w:bottom w:val="single" w:sz="4" w:space="0" w:color="BFBFBF" w:themeColor="background1" w:themeShade="BF"/>
            </w:tcBorders>
          </w:tcPr>
          <w:p w14:paraId="0AB7F283" w14:textId="277D1E6E" w:rsidR="00AB12F5" w:rsidRPr="00AB12F5" w:rsidRDefault="00AB12F5" w:rsidP="00AB12F5">
            <w:pPr>
              <w:rPr>
                <w:rFonts w:cstheme="minorHAnsi"/>
                <w:b/>
                <w:sz w:val="20"/>
                <w:szCs w:val="20"/>
              </w:rPr>
            </w:pPr>
            <w:r w:rsidRPr="00AB12F5">
              <w:rPr>
                <w:rFonts w:cstheme="minorHAnsi"/>
                <w:b/>
                <w:sz w:val="20"/>
                <w:szCs w:val="20"/>
              </w:rPr>
              <w:t>Ethnicity, n (%)</w:t>
            </w:r>
          </w:p>
        </w:tc>
        <w:tc>
          <w:tcPr>
            <w:tcW w:w="1139" w:type="dxa"/>
            <w:tcBorders>
              <w:bottom w:val="single" w:sz="4" w:space="0" w:color="BFBFBF" w:themeColor="background1" w:themeShade="BF"/>
            </w:tcBorders>
          </w:tcPr>
          <w:p w14:paraId="4DDF4249" w14:textId="77777777" w:rsidR="00AB12F5" w:rsidRPr="00AB12F5" w:rsidRDefault="00AB12F5" w:rsidP="00AB12F5">
            <w:pPr>
              <w:tabs>
                <w:tab w:val="left" w:pos="8277"/>
              </w:tabs>
              <w:rPr>
                <w:rFonts w:cstheme="minorHAnsi"/>
                <w:sz w:val="20"/>
                <w:szCs w:val="20"/>
              </w:rPr>
            </w:pPr>
          </w:p>
        </w:tc>
        <w:tc>
          <w:tcPr>
            <w:tcW w:w="1210" w:type="dxa"/>
            <w:tcBorders>
              <w:bottom w:val="single" w:sz="4" w:space="0" w:color="BFBFBF" w:themeColor="background1" w:themeShade="BF"/>
            </w:tcBorders>
          </w:tcPr>
          <w:p w14:paraId="08FEDB4A" w14:textId="77777777" w:rsidR="00AB12F5" w:rsidRPr="00AB12F5"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342F6785" w14:textId="77777777" w:rsidR="00AB12F5" w:rsidRPr="00AB12F5"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19A337A7" w14:textId="77777777" w:rsidR="00AB12F5" w:rsidRPr="00AD6133"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259ACF72" w14:textId="77777777" w:rsidR="00AB12F5" w:rsidRPr="00AD6133"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3F1510B8" w14:textId="77777777" w:rsidR="00AB12F5" w:rsidRPr="00AD6133" w:rsidRDefault="00AB12F5" w:rsidP="00AB12F5">
            <w:pPr>
              <w:tabs>
                <w:tab w:val="left" w:pos="8277"/>
              </w:tabs>
              <w:rPr>
                <w:rFonts w:cstheme="minorHAnsi"/>
                <w:sz w:val="20"/>
                <w:szCs w:val="20"/>
              </w:rPr>
            </w:pPr>
          </w:p>
        </w:tc>
      </w:tr>
      <w:tr w:rsidR="00AB12F5" w14:paraId="75DB736B" w14:textId="77777777" w:rsidTr="00F30059">
        <w:tc>
          <w:tcPr>
            <w:tcW w:w="1917" w:type="dxa"/>
            <w:tcBorders>
              <w:top w:val="single" w:sz="4" w:space="0" w:color="BFBFBF" w:themeColor="background1" w:themeShade="BF"/>
              <w:bottom w:val="single" w:sz="4" w:space="0" w:color="BFBFBF" w:themeColor="background1" w:themeShade="BF"/>
            </w:tcBorders>
          </w:tcPr>
          <w:p w14:paraId="2B0EA3F1" w14:textId="29A359A2" w:rsidR="00AB12F5" w:rsidRPr="00AB12F5" w:rsidRDefault="00AB12F5" w:rsidP="00AB12F5">
            <w:pPr>
              <w:rPr>
                <w:rFonts w:cstheme="minorHAnsi"/>
                <w:bCs/>
                <w:sz w:val="20"/>
                <w:szCs w:val="20"/>
              </w:rPr>
            </w:pPr>
            <w:r w:rsidRPr="00AB12F5">
              <w:rPr>
                <w:rFonts w:cstheme="minorHAnsi"/>
                <w:bCs/>
                <w:sz w:val="20"/>
                <w:szCs w:val="20"/>
              </w:rPr>
              <w:t xml:space="preserve">  White</w:t>
            </w:r>
          </w:p>
        </w:tc>
        <w:tc>
          <w:tcPr>
            <w:tcW w:w="1139" w:type="dxa"/>
            <w:tcBorders>
              <w:top w:val="single" w:sz="4" w:space="0" w:color="BFBFBF" w:themeColor="background1" w:themeShade="BF"/>
              <w:bottom w:val="single" w:sz="4" w:space="0" w:color="BFBFBF" w:themeColor="background1" w:themeShade="BF"/>
            </w:tcBorders>
          </w:tcPr>
          <w:p w14:paraId="6BB418A9" w14:textId="542C19D0" w:rsidR="00AB12F5" w:rsidRPr="00AB12F5" w:rsidRDefault="005E07F1" w:rsidP="00AB12F5">
            <w:pPr>
              <w:tabs>
                <w:tab w:val="left" w:pos="8277"/>
              </w:tabs>
              <w:jc w:val="right"/>
              <w:rPr>
                <w:rFonts w:cstheme="minorHAnsi"/>
                <w:sz w:val="20"/>
                <w:szCs w:val="20"/>
              </w:rPr>
            </w:pPr>
            <w:r>
              <w:rPr>
                <w:rFonts w:cstheme="minorHAnsi"/>
                <w:sz w:val="20"/>
                <w:szCs w:val="20"/>
              </w:rPr>
              <w:t>85 (96.6)</w:t>
            </w:r>
          </w:p>
        </w:tc>
        <w:tc>
          <w:tcPr>
            <w:tcW w:w="1210" w:type="dxa"/>
            <w:tcBorders>
              <w:top w:val="single" w:sz="4" w:space="0" w:color="BFBFBF" w:themeColor="background1" w:themeShade="BF"/>
              <w:bottom w:val="single" w:sz="4" w:space="0" w:color="BFBFBF" w:themeColor="background1" w:themeShade="BF"/>
            </w:tcBorders>
          </w:tcPr>
          <w:p w14:paraId="7722E980" w14:textId="5604054A" w:rsidR="00AB12F5" w:rsidRPr="00AB12F5" w:rsidRDefault="005E07F1" w:rsidP="00AB12F5">
            <w:pPr>
              <w:tabs>
                <w:tab w:val="left" w:pos="8277"/>
              </w:tabs>
              <w:jc w:val="right"/>
              <w:rPr>
                <w:rFonts w:cstheme="minorHAnsi"/>
                <w:sz w:val="20"/>
                <w:szCs w:val="20"/>
              </w:rPr>
            </w:pPr>
            <w:r>
              <w:rPr>
                <w:rFonts w:cstheme="minorHAnsi"/>
                <w:sz w:val="20"/>
                <w:szCs w:val="20"/>
              </w:rPr>
              <w:t>81 (94.2)</w:t>
            </w:r>
          </w:p>
        </w:tc>
        <w:tc>
          <w:tcPr>
            <w:tcW w:w="1164" w:type="dxa"/>
            <w:tcBorders>
              <w:top w:val="single" w:sz="4" w:space="0" w:color="BFBFBF" w:themeColor="background1" w:themeShade="BF"/>
              <w:bottom w:val="single" w:sz="4" w:space="0" w:color="BFBFBF" w:themeColor="background1" w:themeShade="BF"/>
            </w:tcBorders>
          </w:tcPr>
          <w:p w14:paraId="1164D91A" w14:textId="12865533" w:rsidR="00AB12F5" w:rsidRPr="00AB12F5" w:rsidRDefault="005E07F1" w:rsidP="00AB12F5">
            <w:pPr>
              <w:tabs>
                <w:tab w:val="left" w:pos="8277"/>
              </w:tabs>
              <w:jc w:val="right"/>
              <w:rPr>
                <w:rFonts w:cstheme="minorHAnsi"/>
                <w:sz w:val="20"/>
                <w:szCs w:val="20"/>
              </w:rPr>
            </w:pPr>
            <w:r>
              <w:rPr>
                <w:rFonts w:cstheme="minorHAnsi"/>
                <w:sz w:val="20"/>
                <w:szCs w:val="20"/>
              </w:rPr>
              <w:t>166 (95.4)</w:t>
            </w:r>
          </w:p>
        </w:tc>
        <w:tc>
          <w:tcPr>
            <w:tcW w:w="1211" w:type="dxa"/>
            <w:tcBorders>
              <w:top w:val="single" w:sz="4" w:space="0" w:color="BFBFBF" w:themeColor="background1" w:themeShade="BF"/>
              <w:bottom w:val="single" w:sz="4" w:space="0" w:color="BFBFBF" w:themeColor="background1" w:themeShade="BF"/>
            </w:tcBorders>
          </w:tcPr>
          <w:p w14:paraId="64E968D3" w14:textId="483AD618" w:rsidR="00AB12F5" w:rsidRPr="00AD6133" w:rsidRDefault="00AB12F5" w:rsidP="00AB12F5">
            <w:pPr>
              <w:tabs>
                <w:tab w:val="left" w:pos="8277"/>
              </w:tabs>
              <w:jc w:val="right"/>
              <w:rPr>
                <w:rFonts w:cstheme="minorHAnsi"/>
                <w:sz w:val="20"/>
                <w:szCs w:val="20"/>
              </w:rPr>
            </w:pPr>
            <w:r w:rsidRPr="00AD6133">
              <w:rPr>
                <w:rFonts w:cstheme="minorHAnsi"/>
                <w:sz w:val="20"/>
                <w:szCs w:val="20"/>
              </w:rPr>
              <w:t>2</w:t>
            </w:r>
            <w:r w:rsidR="0048346D">
              <w:rPr>
                <w:rFonts w:cstheme="minorHAnsi"/>
                <w:sz w:val="20"/>
                <w:szCs w:val="20"/>
              </w:rPr>
              <w:t>5</w:t>
            </w:r>
            <w:r w:rsidRPr="00AD6133">
              <w:rPr>
                <w:rFonts w:cstheme="minorHAnsi"/>
                <w:sz w:val="20"/>
                <w:szCs w:val="20"/>
              </w:rPr>
              <w:t xml:space="preserve"> (</w:t>
            </w:r>
            <w:r w:rsidR="00AD6133" w:rsidRPr="00F30059">
              <w:rPr>
                <w:rFonts w:cstheme="minorHAnsi"/>
                <w:sz w:val="20"/>
                <w:szCs w:val="20"/>
              </w:rPr>
              <w:t>92.</w:t>
            </w:r>
            <w:r w:rsidR="0048346D">
              <w:rPr>
                <w:rFonts w:cstheme="minorHAnsi"/>
                <w:sz w:val="20"/>
                <w:szCs w:val="20"/>
              </w:rPr>
              <w:t>6</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69675133" w14:textId="0D333DA9" w:rsidR="00AB12F5" w:rsidRPr="00AD6133" w:rsidRDefault="00AB12F5" w:rsidP="00AB12F5">
            <w:pPr>
              <w:tabs>
                <w:tab w:val="left" w:pos="8277"/>
              </w:tabs>
              <w:jc w:val="right"/>
              <w:rPr>
                <w:rFonts w:cstheme="minorHAnsi"/>
                <w:sz w:val="20"/>
                <w:szCs w:val="20"/>
              </w:rPr>
            </w:pPr>
            <w:r w:rsidRPr="00AD6133">
              <w:rPr>
                <w:rFonts w:cstheme="minorHAnsi"/>
                <w:sz w:val="20"/>
                <w:szCs w:val="20"/>
              </w:rPr>
              <w:t>38 (97.4)</w:t>
            </w:r>
          </w:p>
        </w:tc>
        <w:tc>
          <w:tcPr>
            <w:tcW w:w="1164" w:type="dxa"/>
            <w:tcBorders>
              <w:top w:val="single" w:sz="4" w:space="0" w:color="BFBFBF" w:themeColor="background1" w:themeShade="BF"/>
              <w:bottom w:val="single" w:sz="4" w:space="0" w:color="BFBFBF" w:themeColor="background1" w:themeShade="BF"/>
            </w:tcBorders>
          </w:tcPr>
          <w:p w14:paraId="3BA2F69B" w14:textId="1FB9AC94" w:rsidR="00AB12F5" w:rsidRPr="00AD6133" w:rsidRDefault="00AB12F5" w:rsidP="00AB12F5">
            <w:pPr>
              <w:tabs>
                <w:tab w:val="left" w:pos="8277"/>
              </w:tabs>
              <w:jc w:val="right"/>
              <w:rPr>
                <w:rFonts w:cstheme="minorHAnsi"/>
                <w:sz w:val="20"/>
                <w:szCs w:val="20"/>
              </w:rPr>
            </w:pPr>
            <w:r w:rsidRPr="00AD6133">
              <w:rPr>
                <w:rFonts w:cstheme="minorHAnsi"/>
                <w:sz w:val="20"/>
                <w:szCs w:val="20"/>
              </w:rPr>
              <w:t>6</w:t>
            </w:r>
            <w:r w:rsidR="0048346D">
              <w:rPr>
                <w:rFonts w:cstheme="minorHAnsi"/>
                <w:sz w:val="20"/>
                <w:szCs w:val="20"/>
              </w:rPr>
              <w:t>3</w:t>
            </w:r>
            <w:r w:rsidRPr="00AD6133">
              <w:rPr>
                <w:rFonts w:cstheme="minorHAnsi"/>
                <w:sz w:val="20"/>
                <w:szCs w:val="20"/>
              </w:rPr>
              <w:t xml:space="preserve"> (</w:t>
            </w:r>
            <w:r w:rsidR="00AD6133" w:rsidRPr="00F30059">
              <w:rPr>
                <w:rFonts w:cstheme="minorHAnsi"/>
                <w:sz w:val="20"/>
                <w:szCs w:val="20"/>
              </w:rPr>
              <w:t>95.5</w:t>
            </w:r>
            <w:r w:rsidRPr="00AD6133">
              <w:rPr>
                <w:rFonts w:cstheme="minorHAnsi"/>
                <w:sz w:val="20"/>
                <w:szCs w:val="20"/>
              </w:rPr>
              <w:t>)</w:t>
            </w:r>
          </w:p>
        </w:tc>
      </w:tr>
      <w:tr w:rsidR="00AB12F5" w14:paraId="01038877" w14:textId="77777777" w:rsidTr="00F30059">
        <w:tc>
          <w:tcPr>
            <w:tcW w:w="1917" w:type="dxa"/>
            <w:tcBorders>
              <w:top w:val="single" w:sz="4" w:space="0" w:color="BFBFBF" w:themeColor="background1" w:themeShade="BF"/>
              <w:bottom w:val="single" w:sz="4" w:space="0" w:color="BFBFBF" w:themeColor="background1" w:themeShade="BF"/>
            </w:tcBorders>
          </w:tcPr>
          <w:p w14:paraId="3DFCA082" w14:textId="3360F861" w:rsidR="00AB12F5" w:rsidRPr="00AB12F5" w:rsidRDefault="00AB12F5" w:rsidP="00AB12F5">
            <w:pPr>
              <w:rPr>
                <w:rFonts w:cstheme="minorHAnsi"/>
                <w:bCs/>
                <w:sz w:val="20"/>
                <w:szCs w:val="20"/>
              </w:rPr>
            </w:pPr>
            <w:r w:rsidRPr="00AB12F5">
              <w:rPr>
                <w:rFonts w:cstheme="minorHAnsi"/>
                <w:bCs/>
                <w:sz w:val="20"/>
                <w:szCs w:val="20"/>
              </w:rPr>
              <w:t xml:space="preserve">  Non-white</w:t>
            </w:r>
          </w:p>
        </w:tc>
        <w:tc>
          <w:tcPr>
            <w:tcW w:w="1139" w:type="dxa"/>
            <w:tcBorders>
              <w:top w:val="single" w:sz="4" w:space="0" w:color="BFBFBF" w:themeColor="background1" w:themeShade="BF"/>
              <w:bottom w:val="single" w:sz="4" w:space="0" w:color="BFBFBF" w:themeColor="background1" w:themeShade="BF"/>
            </w:tcBorders>
          </w:tcPr>
          <w:p w14:paraId="1FA66C3A" w14:textId="1BF6C985" w:rsidR="00AB12F5" w:rsidRPr="00AB12F5" w:rsidRDefault="005E07F1" w:rsidP="00AB12F5">
            <w:pPr>
              <w:tabs>
                <w:tab w:val="left" w:pos="8277"/>
              </w:tabs>
              <w:jc w:val="right"/>
              <w:rPr>
                <w:rFonts w:cstheme="minorHAnsi"/>
                <w:sz w:val="20"/>
                <w:szCs w:val="20"/>
              </w:rPr>
            </w:pPr>
            <w:r>
              <w:rPr>
                <w:rFonts w:cstheme="minorHAnsi"/>
                <w:sz w:val="20"/>
                <w:szCs w:val="20"/>
              </w:rPr>
              <w:t>2 (2.3)</w:t>
            </w:r>
          </w:p>
        </w:tc>
        <w:tc>
          <w:tcPr>
            <w:tcW w:w="1210" w:type="dxa"/>
            <w:tcBorders>
              <w:top w:val="single" w:sz="4" w:space="0" w:color="BFBFBF" w:themeColor="background1" w:themeShade="BF"/>
              <w:bottom w:val="single" w:sz="4" w:space="0" w:color="BFBFBF" w:themeColor="background1" w:themeShade="BF"/>
            </w:tcBorders>
          </w:tcPr>
          <w:p w14:paraId="4E92AE1C" w14:textId="0265B73B" w:rsidR="00AB12F5" w:rsidRPr="00AB12F5" w:rsidRDefault="005E07F1" w:rsidP="00AB12F5">
            <w:pPr>
              <w:tabs>
                <w:tab w:val="left" w:pos="8277"/>
              </w:tabs>
              <w:jc w:val="right"/>
              <w:rPr>
                <w:rFonts w:cstheme="minorHAnsi"/>
                <w:sz w:val="20"/>
                <w:szCs w:val="20"/>
              </w:rPr>
            </w:pPr>
            <w:r>
              <w:rPr>
                <w:rFonts w:cstheme="minorHAnsi"/>
                <w:sz w:val="20"/>
                <w:szCs w:val="20"/>
              </w:rPr>
              <w:t>3 (3.5)</w:t>
            </w:r>
          </w:p>
        </w:tc>
        <w:tc>
          <w:tcPr>
            <w:tcW w:w="1164" w:type="dxa"/>
            <w:tcBorders>
              <w:top w:val="single" w:sz="4" w:space="0" w:color="BFBFBF" w:themeColor="background1" w:themeShade="BF"/>
              <w:bottom w:val="single" w:sz="4" w:space="0" w:color="BFBFBF" w:themeColor="background1" w:themeShade="BF"/>
            </w:tcBorders>
          </w:tcPr>
          <w:p w14:paraId="6C2E351F" w14:textId="34D0A65D" w:rsidR="00AB12F5" w:rsidRPr="00AB12F5" w:rsidRDefault="005E07F1" w:rsidP="00AB12F5">
            <w:pPr>
              <w:tabs>
                <w:tab w:val="left" w:pos="8277"/>
              </w:tabs>
              <w:jc w:val="right"/>
              <w:rPr>
                <w:rFonts w:cstheme="minorHAnsi"/>
                <w:sz w:val="20"/>
                <w:szCs w:val="20"/>
              </w:rPr>
            </w:pPr>
            <w:r>
              <w:rPr>
                <w:rFonts w:cstheme="minorHAnsi"/>
                <w:sz w:val="20"/>
                <w:szCs w:val="20"/>
              </w:rPr>
              <w:t>5 (2.9)</w:t>
            </w:r>
          </w:p>
        </w:tc>
        <w:tc>
          <w:tcPr>
            <w:tcW w:w="1211" w:type="dxa"/>
            <w:tcBorders>
              <w:top w:val="single" w:sz="4" w:space="0" w:color="BFBFBF" w:themeColor="background1" w:themeShade="BF"/>
              <w:bottom w:val="single" w:sz="4" w:space="0" w:color="BFBFBF" w:themeColor="background1" w:themeShade="BF"/>
            </w:tcBorders>
          </w:tcPr>
          <w:p w14:paraId="43B8D501" w14:textId="0A0BC319" w:rsidR="00AB12F5" w:rsidRPr="00AD6133" w:rsidRDefault="00AB12F5" w:rsidP="00AB12F5">
            <w:pPr>
              <w:tabs>
                <w:tab w:val="left" w:pos="8277"/>
              </w:tabs>
              <w:jc w:val="right"/>
              <w:rPr>
                <w:rFonts w:cstheme="minorHAnsi"/>
                <w:sz w:val="20"/>
                <w:szCs w:val="20"/>
              </w:rPr>
            </w:pPr>
            <w:r w:rsidRPr="00AD6133">
              <w:rPr>
                <w:rFonts w:cstheme="minorHAnsi"/>
                <w:sz w:val="20"/>
                <w:szCs w:val="20"/>
              </w:rPr>
              <w:t>1 (3.</w:t>
            </w:r>
            <w:r w:rsidR="0048346D">
              <w:rPr>
                <w:rFonts w:cstheme="minorHAnsi"/>
                <w:sz w:val="20"/>
                <w:szCs w:val="20"/>
              </w:rPr>
              <w:t>7</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24D07330" w14:textId="670ED56E" w:rsidR="00AB12F5" w:rsidRPr="00AD6133" w:rsidRDefault="00AB12F5" w:rsidP="00AB12F5">
            <w:pPr>
              <w:tabs>
                <w:tab w:val="left" w:pos="8277"/>
              </w:tabs>
              <w:jc w:val="right"/>
              <w:rPr>
                <w:rFonts w:cstheme="minorHAnsi"/>
                <w:sz w:val="20"/>
                <w:szCs w:val="20"/>
              </w:rPr>
            </w:pPr>
            <w:r w:rsidRPr="00AD6133">
              <w:rPr>
                <w:rFonts w:cstheme="minorHAnsi"/>
                <w:sz w:val="20"/>
                <w:szCs w:val="20"/>
              </w:rPr>
              <w:t>1 (2.6)</w:t>
            </w:r>
          </w:p>
        </w:tc>
        <w:tc>
          <w:tcPr>
            <w:tcW w:w="1164" w:type="dxa"/>
            <w:tcBorders>
              <w:top w:val="single" w:sz="4" w:space="0" w:color="BFBFBF" w:themeColor="background1" w:themeShade="BF"/>
              <w:bottom w:val="single" w:sz="4" w:space="0" w:color="BFBFBF" w:themeColor="background1" w:themeShade="BF"/>
            </w:tcBorders>
          </w:tcPr>
          <w:p w14:paraId="6BDFBA86" w14:textId="5E1639E1" w:rsidR="00AB12F5" w:rsidRPr="00AD6133" w:rsidRDefault="00AB12F5" w:rsidP="00AB12F5">
            <w:pPr>
              <w:tabs>
                <w:tab w:val="left" w:pos="8277"/>
              </w:tabs>
              <w:jc w:val="right"/>
              <w:rPr>
                <w:rFonts w:cstheme="minorHAnsi"/>
                <w:sz w:val="20"/>
                <w:szCs w:val="20"/>
              </w:rPr>
            </w:pPr>
            <w:r w:rsidRPr="00AD6133">
              <w:rPr>
                <w:rFonts w:cstheme="minorHAnsi"/>
                <w:sz w:val="20"/>
                <w:szCs w:val="20"/>
              </w:rPr>
              <w:t>2 (3.0)</w:t>
            </w:r>
          </w:p>
        </w:tc>
      </w:tr>
      <w:tr w:rsidR="00AB12F5" w14:paraId="403EAEC2" w14:textId="77777777" w:rsidTr="00F30059">
        <w:tc>
          <w:tcPr>
            <w:tcW w:w="1917" w:type="dxa"/>
            <w:tcBorders>
              <w:top w:val="single" w:sz="4" w:space="0" w:color="BFBFBF" w:themeColor="background1" w:themeShade="BF"/>
            </w:tcBorders>
          </w:tcPr>
          <w:p w14:paraId="0E3E05B2" w14:textId="60D8D7BA" w:rsidR="00AB12F5" w:rsidRPr="00AB12F5" w:rsidRDefault="00AB12F5" w:rsidP="00AB12F5">
            <w:pPr>
              <w:rPr>
                <w:rFonts w:cstheme="minorHAnsi"/>
                <w:bCs/>
                <w:sz w:val="20"/>
                <w:szCs w:val="20"/>
              </w:rPr>
            </w:pPr>
            <w:r w:rsidRPr="00AB12F5">
              <w:rPr>
                <w:rFonts w:cstheme="minorHAnsi"/>
                <w:bCs/>
                <w:sz w:val="20"/>
                <w:szCs w:val="20"/>
              </w:rPr>
              <w:t xml:space="preserve">  Missing</w:t>
            </w:r>
          </w:p>
        </w:tc>
        <w:tc>
          <w:tcPr>
            <w:tcW w:w="1139" w:type="dxa"/>
            <w:tcBorders>
              <w:top w:val="single" w:sz="4" w:space="0" w:color="BFBFBF" w:themeColor="background1" w:themeShade="BF"/>
            </w:tcBorders>
          </w:tcPr>
          <w:p w14:paraId="7C6D3C87" w14:textId="567200B0" w:rsidR="00AB12F5" w:rsidRPr="005E07F1" w:rsidRDefault="005E07F1" w:rsidP="00AB12F5">
            <w:pPr>
              <w:tabs>
                <w:tab w:val="left" w:pos="8277"/>
              </w:tabs>
              <w:jc w:val="right"/>
              <w:rPr>
                <w:rFonts w:cstheme="minorHAnsi"/>
                <w:sz w:val="20"/>
                <w:szCs w:val="20"/>
              </w:rPr>
            </w:pPr>
            <w:r w:rsidRPr="00F30059">
              <w:rPr>
                <w:rFonts w:cstheme="minorHAnsi"/>
                <w:sz w:val="20"/>
                <w:szCs w:val="20"/>
              </w:rPr>
              <w:t>1 (1.1)</w:t>
            </w:r>
          </w:p>
        </w:tc>
        <w:tc>
          <w:tcPr>
            <w:tcW w:w="1210" w:type="dxa"/>
            <w:tcBorders>
              <w:top w:val="single" w:sz="4" w:space="0" w:color="BFBFBF" w:themeColor="background1" w:themeShade="BF"/>
            </w:tcBorders>
          </w:tcPr>
          <w:p w14:paraId="05B7F019" w14:textId="7AE8571E" w:rsidR="00AB12F5" w:rsidRPr="00AB12F5" w:rsidRDefault="005E07F1" w:rsidP="00AB12F5">
            <w:pPr>
              <w:tabs>
                <w:tab w:val="left" w:pos="8277"/>
              </w:tabs>
              <w:jc w:val="right"/>
              <w:rPr>
                <w:rFonts w:cstheme="minorHAnsi"/>
                <w:sz w:val="20"/>
                <w:szCs w:val="20"/>
              </w:rPr>
            </w:pPr>
            <w:r>
              <w:rPr>
                <w:rFonts w:cstheme="minorHAnsi"/>
                <w:sz w:val="20"/>
                <w:szCs w:val="20"/>
              </w:rPr>
              <w:t>2 (2.3)</w:t>
            </w:r>
          </w:p>
        </w:tc>
        <w:tc>
          <w:tcPr>
            <w:tcW w:w="1164" w:type="dxa"/>
            <w:tcBorders>
              <w:top w:val="single" w:sz="4" w:space="0" w:color="BFBFBF" w:themeColor="background1" w:themeShade="BF"/>
            </w:tcBorders>
          </w:tcPr>
          <w:p w14:paraId="7C8295AB" w14:textId="5ED63E69" w:rsidR="00AB12F5" w:rsidRPr="00AB12F5" w:rsidRDefault="005E07F1" w:rsidP="00AB12F5">
            <w:pPr>
              <w:tabs>
                <w:tab w:val="left" w:pos="8277"/>
              </w:tabs>
              <w:jc w:val="right"/>
              <w:rPr>
                <w:rFonts w:cstheme="minorHAnsi"/>
                <w:sz w:val="20"/>
                <w:szCs w:val="20"/>
              </w:rPr>
            </w:pPr>
            <w:r>
              <w:rPr>
                <w:rFonts w:cstheme="minorHAnsi"/>
                <w:sz w:val="20"/>
                <w:szCs w:val="20"/>
              </w:rPr>
              <w:t>3 (1.7)</w:t>
            </w:r>
          </w:p>
        </w:tc>
        <w:tc>
          <w:tcPr>
            <w:tcW w:w="1211" w:type="dxa"/>
            <w:tcBorders>
              <w:top w:val="single" w:sz="4" w:space="0" w:color="BFBFBF" w:themeColor="background1" w:themeShade="BF"/>
            </w:tcBorders>
          </w:tcPr>
          <w:p w14:paraId="38B4AFDE" w14:textId="75590F8E" w:rsidR="00AB12F5" w:rsidRPr="00AD6133" w:rsidRDefault="00AD6133" w:rsidP="00AB12F5">
            <w:pPr>
              <w:tabs>
                <w:tab w:val="left" w:pos="8277"/>
              </w:tabs>
              <w:jc w:val="right"/>
              <w:rPr>
                <w:rFonts w:cstheme="minorHAnsi"/>
                <w:sz w:val="20"/>
                <w:szCs w:val="20"/>
              </w:rPr>
            </w:pPr>
            <w:r w:rsidRPr="00F30059">
              <w:rPr>
                <w:rFonts w:cstheme="minorHAnsi"/>
                <w:sz w:val="20"/>
                <w:szCs w:val="20"/>
              </w:rPr>
              <w:t>1 (3.</w:t>
            </w:r>
            <w:r w:rsidR="0048346D">
              <w:rPr>
                <w:rFonts w:cstheme="minorHAnsi"/>
                <w:sz w:val="20"/>
                <w:szCs w:val="20"/>
              </w:rPr>
              <w:t>7</w:t>
            </w:r>
            <w:r w:rsidRPr="00F30059">
              <w:rPr>
                <w:rFonts w:cstheme="minorHAnsi"/>
                <w:sz w:val="20"/>
                <w:szCs w:val="20"/>
              </w:rPr>
              <w:t>)</w:t>
            </w:r>
          </w:p>
        </w:tc>
        <w:tc>
          <w:tcPr>
            <w:tcW w:w="1211" w:type="dxa"/>
            <w:tcBorders>
              <w:top w:val="single" w:sz="4" w:space="0" w:color="BFBFBF" w:themeColor="background1" w:themeShade="BF"/>
            </w:tcBorders>
          </w:tcPr>
          <w:p w14:paraId="06CB9D1C" w14:textId="457EE90A" w:rsidR="00AB12F5" w:rsidRPr="00F30059" w:rsidRDefault="00AB12F5" w:rsidP="00AB12F5">
            <w:pPr>
              <w:tabs>
                <w:tab w:val="left" w:pos="8277"/>
              </w:tabs>
              <w:jc w:val="right"/>
              <w:rPr>
                <w:rFonts w:cstheme="minorHAnsi"/>
                <w:sz w:val="20"/>
                <w:szCs w:val="20"/>
              </w:rPr>
            </w:pPr>
            <w:r w:rsidRPr="00F30059">
              <w:rPr>
                <w:rFonts w:cstheme="minorHAnsi"/>
                <w:sz w:val="20"/>
                <w:szCs w:val="20"/>
              </w:rPr>
              <w:t>0 (0.0)</w:t>
            </w:r>
          </w:p>
        </w:tc>
        <w:tc>
          <w:tcPr>
            <w:tcW w:w="1164" w:type="dxa"/>
            <w:tcBorders>
              <w:top w:val="single" w:sz="4" w:space="0" w:color="BFBFBF" w:themeColor="background1" w:themeShade="BF"/>
            </w:tcBorders>
          </w:tcPr>
          <w:p w14:paraId="4C56FD42" w14:textId="77CC325F" w:rsidR="00AB12F5" w:rsidRPr="00F30059" w:rsidRDefault="00AD6133" w:rsidP="00AB12F5">
            <w:pPr>
              <w:tabs>
                <w:tab w:val="left" w:pos="8277"/>
              </w:tabs>
              <w:jc w:val="right"/>
              <w:rPr>
                <w:rFonts w:cstheme="minorHAnsi"/>
                <w:sz w:val="20"/>
                <w:szCs w:val="20"/>
              </w:rPr>
            </w:pPr>
            <w:r w:rsidRPr="00F30059">
              <w:rPr>
                <w:rFonts w:cstheme="minorHAnsi"/>
                <w:sz w:val="20"/>
                <w:szCs w:val="20"/>
              </w:rPr>
              <w:t>1 (1.5)</w:t>
            </w:r>
          </w:p>
        </w:tc>
      </w:tr>
      <w:tr w:rsidR="00AB12F5" w14:paraId="4EDC75FF" w14:textId="77777777" w:rsidTr="00AB12F5">
        <w:tc>
          <w:tcPr>
            <w:tcW w:w="1917" w:type="dxa"/>
            <w:tcBorders>
              <w:bottom w:val="single" w:sz="4" w:space="0" w:color="BFBFBF" w:themeColor="background1" w:themeShade="BF"/>
            </w:tcBorders>
          </w:tcPr>
          <w:p w14:paraId="3E5C4E1A" w14:textId="7BCAB575" w:rsidR="00AB12F5" w:rsidRPr="00AB12F5" w:rsidRDefault="00AB12F5" w:rsidP="00AB12F5">
            <w:pPr>
              <w:rPr>
                <w:rFonts w:cstheme="minorHAnsi"/>
                <w:bCs/>
                <w:sz w:val="20"/>
                <w:szCs w:val="20"/>
              </w:rPr>
            </w:pPr>
            <w:r w:rsidRPr="00AB12F5">
              <w:rPr>
                <w:rFonts w:cstheme="minorHAnsi"/>
                <w:b/>
                <w:sz w:val="20"/>
                <w:szCs w:val="20"/>
              </w:rPr>
              <w:t>Associated dislocation with the injury, n(%)</w:t>
            </w:r>
          </w:p>
        </w:tc>
        <w:tc>
          <w:tcPr>
            <w:tcW w:w="1139" w:type="dxa"/>
            <w:tcBorders>
              <w:bottom w:val="single" w:sz="4" w:space="0" w:color="BFBFBF" w:themeColor="background1" w:themeShade="BF"/>
            </w:tcBorders>
          </w:tcPr>
          <w:p w14:paraId="762D0E9D" w14:textId="77777777" w:rsidR="00AB12F5" w:rsidRPr="005E07F1" w:rsidRDefault="00AB12F5" w:rsidP="00AB12F5">
            <w:pPr>
              <w:tabs>
                <w:tab w:val="left" w:pos="8277"/>
              </w:tabs>
              <w:rPr>
                <w:rFonts w:cstheme="minorHAnsi"/>
                <w:sz w:val="20"/>
                <w:szCs w:val="20"/>
              </w:rPr>
            </w:pPr>
          </w:p>
        </w:tc>
        <w:tc>
          <w:tcPr>
            <w:tcW w:w="1210" w:type="dxa"/>
            <w:tcBorders>
              <w:bottom w:val="single" w:sz="4" w:space="0" w:color="BFBFBF" w:themeColor="background1" w:themeShade="BF"/>
            </w:tcBorders>
          </w:tcPr>
          <w:p w14:paraId="39968EB4" w14:textId="77777777" w:rsidR="00AB12F5" w:rsidRPr="00AB12F5"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5FED57FF" w14:textId="77777777" w:rsidR="00AB12F5" w:rsidRPr="00AB12F5"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2F55ABDA" w14:textId="77777777" w:rsidR="00AB12F5" w:rsidRPr="00F30059" w:rsidRDefault="00AB12F5" w:rsidP="00AB12F5">
            <w:pPr>
              <w:tabs>
                <w:tab w:val="left" w:pos="8277"/>
              </w:tabs>
              <w:rPr>
                <w:rFonts w:cstheme="minorHAnsi"/>
                <w:color w:val="FF0000"/>
                <w:sz w:val="20"/>
                <w:szCs w:val="20"/>
              </w:rPr>
            </w:pPr>
          </w:p>
        </w:tc>
        <w:tc>
          <w:tcPr>
            <w:tcW w:w="1211" w:type="dxa"/>
            <w:tcBorders>
              <w:bottom w:val="single" w:sz="4" w:space="0" w:color="BFBFBF" w:themeColor="background1" w:themeShade="BF"/>
            </w:tcBorders>
          </w:tcPr>
          <w:p w14:paraId="04AE9859" w14:textId="77777777" w:rsidR="00AB12F5" w:rsidRPr="00F30059" w:rsidRDefault="00AB12F5" w:rsidP="00AB12F5">
            <w:pPr>
              <w:tabs>
                <w:tab w:val="left" w:pos="8277"/>
              </w:tabs>
              <w:rPr>
                <w:rFonts w:cstheme="minorHAnsi"/>
                <w:color w:val="FF0000"/>
                <w:sz w:val="20"/>
                <w:szCs w:val="20"/>
              </w:rPr>
            </w:pPr>
          </w:p>
        </w:tc>
        <w:tc>
          <w:tcPr>
            <w:tcW w:w="1164" w:type="dxa"/>
            <w:tcBorders>
              <w:bottom w:val="single" w:sz="4" w:space="0" w:color="BFBFBF" w:themeColor="background1" w:themeShade="BF"/>
            </w:tcBorders>
          </w:tcPr>
          <w:p w14:paraId="3917531E" w14:textId="77777777" w:rsidR="00AB12F5" w:rsidRPr="00F30059" w:rsidRDefault="00AB12F5" w:rsidP="00AB12F5">
            <w:pPr>
              <w:tabs>
                <w:tab w:val="left" w:pos="8277"/>
              </w:tabs>
              <w:rPr>
                <w:rFonts w:cstheme="minorHAnsi"/>
                <w:color w:val="FF0000"/>
                <w:sz w:val="20"/>
                <w:szCs w:val="20"/>
              </w:rPr>
            </w:pPr>
          </w:p>
        </w:tc>
      </w:tr>
      <w:tr w:rsidR="00AB12F5" w14:paraId="177F3076" w14:textId="77777777" w:rsidTr="00AB12F5">
        <w:tc>
          <w:tcPr>
            <w:tcW w:w="1917" w:type="dxa"/>
            <w:tcBorders>
              <w:top w:val="single" w:sz="4" w:space="0" w:color="BFBFBF" w:themeColor="background1" w:themeShade="BF"/>
              <w:bottom w:val="single" w:sz="4" w:space="0" w:color="BFBFBF" w:themeColor="background1" w:themeShade="BF"/>
            </w:tcBorders>
          </w:tcPr>
          <w:p w14:paraId="6AA236CA" w14:textId="7C41E307" w:rsidR="00AB12F5" w:rsidRPr="00AB12F5" w:rsidRDefault="00AB12F5" w:rsidP="00AB12F5">
            <w:pPr>
              <w:rPr>
                <w:rFonts w:cstheme="minorHAnsi"/>
                <w:bCs/>
                <w:sz w:val="20"/>
                <w:szCs w:val="20"/>
              </w:rPr>
            </w:pPr>
            <w:r w:rsidRPr="00AB12F5">
              <w:rPr>
                <w:rFonts w:cstheme="minorHAnsi"/>
                <w:b/>
                <w:sz w:val="20"/>
                <w:szCs w:val="20"/>
              </w:rPr>
              <w:t xml:space="preserve">  </w:t>
            </w:r>
            <w:r w:rsidRPr="00AB12F5">
              <w:rPr>
                <w:rFonts w:cstheme="minorHAnsi"/>
                <w:bCs/>
                <w:sz w:val="20"/>
                <w:szCs w:val="20"/>
              </w:rPr>
              <w:t>Yes</w:t>
            </w:r>
          </w:p>
        </w:tc>
        <w:tc>
          <w:tcPr>
            <w:tcW w:w="1139" w:type="dxa"/>
            <w:tcBorders>
              <w:top w:val="single" w:sz="4" w:space="0" w:color="BFBFBF" w:themeColor="background1" w:themeShade="BF"/>
              <w:bottom w:val="single" w:sz="4" w:space="0" w:color="BFBFBF" w:themeColor="background1" w:themeShade="BF"/>
            </w:tcBorders>
          </w:tcPr>
          <w:p w14:paraId="6C1CDF50" w14:textId="353840B5" w:rsidR="00AB12F5" w:rsidRPr="00956972" w:rsidRDefault="00956972" w:rsidP="00AB12F5">
            <w:pPr>
              <w:tabs>
                <w:tab w:val="left" w:pos="8277"/>
              </w:tabs>
              <w:jc w:val="right"/>
              <w:rPr>
                <w:rFonts w:cstheme="minorHAnsi"/>
                <w:sz w:val="20"/>
                <w:szCs w:val="20"/>
              </w:rPr>
            </w:pPr>
            <w:r w:rsidRPr="00956972">
              <w:rPr>
                <w:rFonts w:cstheme="minorHAnsi"/>
                <w:sz w:val="20"/>
                <w:szCs w:val="20"/>
              </w:rPr>
              <w:t>30 (34.1)</w:t>
            </w:r>
          </w:p>
        </w:tc>
        <w:tc>
          <w:tcPr>
            <w:tcW w:w="1210" w:type="dxa"/>
            <w:tcBorders>
              <w:top w:val="single" w:sz="4" w:space="0" w:color="BFBFBF" w:themeColor="background1" w:themeShade="BF"/>
              <w:bottom w:val="single" w:sz="4" w:space="0" w:color="BFBFBF" w:themeColor="background1" w:themeShade="BF"/>
            </w:tcBorders>
          </w:tcPr>
          <w:p w14:paraId="2AAFEA8A" w14:textId="2031715C" w:rsidR="00AB12F5" w:rsidRPr="00956972" w:rsidRDefault="00956972" w:rsidP="00AB12F5">
            <w:pPr>
              <w:tabs>
                <w:tab w:val="left" w:pos="8277"/>
              </w:tabs>
              <w:jc w:val="right"/>
              <w:rPr>
                <w:rFonts w:cstheme="minorHAnsi"/>
                <w:sz w:val="20"/>
                <w:szCs w:val="20"/>
              </w:rPr>
            </w:pPr>
            <w:r w:rsidRPr="00956972">
              <w:rPr>
                <w:rFonts w:cstheme="minorHAnsi"/>
                <w:sz w:val="20"/>
                <w:szCs w:val="20"/>
              </w:rPr>
              <w:t>31 (36.1)</w:t>
            </w:r>
          </w:p>
        </w:tc>
        <w:tc>
          <w:tcPr>
            <w:tcW w:w="1164" w:type="dxa"/>
            <w:tcBorders>
              <w:top w:val="single" w:sz="4" w:space="0" w:color="BFBFBF" w:themeColor="background1" w:themeShade="BF"/>
              <w:bottom w:val="single" w:sz="4" w:space="0" w:color="BFBFBF" w:themeColor="background1" w:themeShade="BF"/>
            </w:tcBorders>
          </w:tcPr>
          <w:p w14:paraId="39C567F5" w14:textId="3D55D697" w:rsidR="00AB12F5" w:rsidRPr="00956972" w:rsidRDefault="00956972" w:rsidP="00AB12F5">
            <w:pPr>
              <w:tabs>
                <w:tab w:val="left" w:pos="8277"/>
              </w:tabs>
              <w:jc w:val="right"/>
              <w:rPr>
                <w:rFonts w:cstheme="minorHAnsi"/>
                <w:sz w:val="20"/>
                <w:szCs w:val="20"/>
              </w:rPr>
            </w:pPr>
            <w:r w:rsidRPr="00956972">
              <w:rPr>
                <w:rFonts w:cstheme="minorHAnsi"/>
                <w:sz w:val="20"/>
                <w:szCs w:val="20"/>
              </w:rPr>
              <w:t>61 (35.1)</w:t>
            </w:r>
          </w:p>
        </w:tc>
        <w:tc>
          <w:tcPr>
            <w:tcW w:w="1211" w:type="dxa"/>
            <w:tcBorders>
              <w:top w:val="single" w:sz="4" w:space="0" w:color="BFBFBF" w:themeColor="background1" w:themeShade="BF"/>
              <w:bottom w:val="single" w:sz="4" w:space="0" w:color="BFBFBF" w:themeColor="background1" w:themeShade="BF"/>
            </w:tcBorders>
          </w:tcPr>
          <w:p w14:paraId="6531E1D7" w14:textId="77958162" w:rsidR="00AB12F5" w:rsidRPr="00AD6133" w:rsidRDefault="00AB12F5" w:rsidP="00AB12F5">
            <w:pPr>
              <w:tabs>
                <w:tab w:val="left" w:pos="8277"/>
              </w:tabs>
              <w:jc w:val="right"/>
              <w:rPr>
                <w:rFonts w:cstheme="minorHAnsi"/>
                <w:sz w:val="20"/>
                <w:szCs w:val="20"/>
              </w:rPr>
            </w:pPr>
            <w:r w:rsidRPr="00AD6133">
              <w:rPr>
                <w:rFonts w:cstheme="minorHAnsi"/>
                <w:sz w:val="20"/>
                <w:szCs w:val="20"/>
              </w:rPr>
              <w:t>10 (3</w:t>
            </w:r>
            <w:r w:rsidR="0048346D">
              <w:rPr>
                <w:rFonts w:cstheme="minorHAnsi"/>
                <w:sz w:val="20"/>
                <w:szCs w:val="20"/>
              </w:rPr>
              <w:t>7.0</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45B1EC04" w14:textId="528E89DE" w:rsidR="00AB12F5" w:rsidRPr="00AD6133" w:rsidRDefault="00AB12F5" w:rsidP="00AB12F5">
            <w:pPr>
              <w:tabs>
                <w:tab w:val="left" w:pos="8277"/>
              </w:tabs>
              <w:jc w:val="right"/>
              <w:rPr>
                <w:rFonts w:cstheme="minorHAnsi"/>
                <w:sz w:val="20"/>
                <w:szCs w:val="20"/>
              </w:rPr>
            </w:pPr>
            <w:r w:rsidRPr="00AD6133">
              <w:rPr>
                <w:rFonts w:cstheme="minorHAnsi"/>
                <w:sz w:val="20"/>
                <w:szCs w:val="20"/>
              </w:rPr>
              <w:t>12 (30.8)</w:t>
            </w:r>
          </w:p>
        </w:tc>
        <w:tc>
          <w:tcPr>
            <w:tcW w:w="1164" w:type="dxa"/>
            <w:tcBorders>
              <w:top w:val="single" w:sz="4" w:space="0" w:color="BFBFBF" w:themeColor="background1" w:themeShade="BF"/>
              <w:bottom w:val="single" w:sz="4" w:space="0" w:color="BFBFBF" w:themeColor="background1" w:themeShade="BF"/>
            </w:tcBorders>
          </w:tcPr>
          <w:p w14:paraId="55B83968" w14:textId="0F492677" w:rsidR="00AB12F5" w:rsidRPr="00AD6133" w:rsidRDefault="00AB12F5" w:rsidP="00AB12F5">
            <w:pPr>
              <w:tabs>
                <w:tab w:val="left" w:pos="8277"/>
              </w:tabs>
              <w:jc w:val="right"/>
              <w:rPr>
                <w:rFonts w:cstheme="minorHAnsi"/>
                <w:sz w:val="20"/>
                <w:szCs w:val="20"/>
              </w:rPr>
            </w:pPr>
            <w:r w:rsidRPr="00AD6133">
              <w:rPr>
                <w:rFonts w:cstheme="minorHAnsi"/>
                <w:sz w:val="20"/>
                <w:szCs w:val="20"/>
              </w:rPr>
              <w:t>22 (</w:t>
            </w:r>
            <w:r w:rsidR="0048346D">
              <w:rPr>
                <w:rFonts w:cstheme="minorHAnsi"/>
                <w:sz w:val="20"/>
                <w:szCs w:val="20"/>
              </w:rPr>
              <w:t>33.3</w:t>
            </w:r>
            <w:r w:rsidRPr="00AD6133">
              <w:rPr>
                <w:rFonts w:cstheme="minorHAnsi"/>
                <w:sz w:val="20"/>
                <w:szCs w:val="20"/>
              </w:rPr>
              <w:t>)</w:t>
            </w:r>
          </w:p>
        </w:tc>
      </w:tr>
      <w:tr w:rsidR="00AB12F5" w14:paraId="164D0899" w14:textId="77777777" w:rsidTr="00AB12F5">
        <w:tc>
          <w:tcPr>
            <w:tcW w:w="1917" w:type="dxa"/>
            <w:tcBorders>
              <w:top w:val="single" w:sz="4" w:space="0" w:color="BFBFBF" w:themeColor="background1" w:themeShade="BF"/>
            </w:tcBorders>
          </w:tcPr>
          <w:p w14:paraId="01C60DB5" w14:textId="4A4B1258" w:rsidR="00AB12F5" w:rsidRPr="00AB12F5" w:rsidRDefault="00AB12F5" w:rsidP="00AB12F5">
            <w:pPr>
              <w:rPr>
                <w:rFonts w:cstheme="minorHAnsi"/>
                <w:bCs/>
                <w:sz w:val="20"/>
                <w:szCs w:val="20"/>
              </w:rPr>
            </w:pPr>
            <w:r w:rsidRPr="00AB12F5">
              <w:rPr>
                <w:rFonts w:cstheme="minorHAnsi"/>
                <w:b/>
                <w:sz w:val="20"/>
                <w:szCs w:val="20"/>
              </w:rPr>
              <w:t xml:space="preserve">  </w:t>
            </w:r>
            <w:r w:rsidRPr="00AB12F5">
              <w:rPr>
                <w:rFonts w:cstheme="minorHAnsi"/>
                <w:bCs/>
                <w:sz w:val="20"/>
                <w:szCs w:val="20"/>
              </w:rPr>
              <w:t>No</w:t>
            </w:r>
          </w:p>
        </w:tc>
        <w:tc>
          <w:tcPr>
            <w:tcW w:w="1139" w:type="dxa"/>
            <w:tcBorders>
              <w:top w:val="single" w:sz="4" w:space="0" w:color="BFBFBF" w:themeColor="background1" w:themeShade="BF"/>
            </w:tcBorders>
          </w:tcPr>
          <w:p w14:paraId="260878FA" w14:textId="332CDAFF" w:rsidR="00AB12F5" w:rsidRPr="00956972" w:rsidRDefault="00956972" w:rsidP="00AB12F5">
            <w:pPr>
              <w:tabs>
                <w:tab w:val="left" w:pos="8277"/>
              </w:tabs>
              <w:jc w:val="right"/>
              <w:rPr>
                <w:rFonts w:cstheme="minorHAnsi"/>
                <w:sz w:val="20"/>
                <w:szCs w:val="20"/>
              </w:rPr>
            </w:pPr>
            <w:r>
              <w:rPr>
                <w:rFonts w:cstheme="minorHAnsi"/>
                <w:sz w:val="20"/>
                <w:szCs w:val="20"/>
              </w:rPr>
              <w:t>58 (65.9)</w:t>
            </w:r>
          </w:p>
        </w:tc>
        <w:tc>
          <w:tcPr>
            <w:tcW w:w="1210" w:type="dxa"/>
            <w:tcBorders>
              <w:top w:val="single" w:sz="4" w:space="0" w:color="BFBFBF" w:themeColor="background1" w:themeShade="BF"/>
            </w:tcBorders>
          </w:tcPr>
          <w:p w14:paraId="2E15C659" w14:textId="626F5EFF" w:rsidR="00AB12F5" w:rsidRPr="00956972" w:rsidRDefault="00956972" w:rsidP="00AB12F5">
            <w:pPr>
              <w:tabs>
                <w:tab w:val="left" w:pos="8277"/>
              </w:tabs>
              <w:jc w:val="right"/>
              <w:rPr>
                <w:rFonts w:cstheme="minorHAnsi"/>
                <w:sz w:val="20"/>
                <w:szCs w:val="20"/>
              </w:rPr>
            </w:pPr>
            <w:r>
              <w:rPr>
                <w:rFonts w:cstheme="minorHAnsi"/>
                <w:sz w:val="20"/>
                <w:szCs w:val="20"/>
              </w:rPr>
              <w:t>55 (64.0)</w:t>
            </w:r>
          </w:p>
        </w:tc>
        <w:tc>
          <w:tcPr>
            <w:tcW w:w="1164" w:type="dxa"/>
            <w:tcBorders>
              <w:top w:val="single" w:sz="4" w:space="0" w:color="BFBFBF" w:themeColor="background1" w:themeShade="BF"/>
            </w:tcBorders>
          </w:tcPr>
          <w:p w14:paraId="1466FF4E" w14:textId="0552E315" w:rsidR="00AB12F5" w:rsidRPr="00956972" w:rsidRDefault="00956972" w:rsidP="00AB12F5">
            <w:pPr>
              <w:tabs>
                <w:tab w:val="left" w:pos="8277"/>
              </w:tabs>
              <w:jc w:val="right"/>
              <w:rPr>
                <w:rFonts w:cstheme="minorHAnsi"/>
                <w:sz w:val="20"/>
                <w:szCs w:val="20"/>
              </w:rPr>
            </w:pPr>
            <w:r>
              <w:rPr>
                <w:rFonts w:cstheme="minorHAnsi"/>
                <w:sz w:val="20"/>
                <w:szCs w:val="20"/>
              </w:rPr>
              <w:t>113 (64.9)</w:t>
            </w:r>
          </w:p>
        </w:tc>
        <w:tc>
          <w:tcPr>
            <w:tcW w:w="1211" w:type="dxa"/>
            <w:tcBorders>
              <w:top w:val="single" w:sz="4" w:space="0" w:color="BFBFBF" w:themeColor="background1" w:themeShade="BF"/>
            </w:tcBorders>
          </w:tcPr>
          <w:p w14:paraId="4E5D04F0" w14:textId="20F1A8B4" w:rsidR="00AB12F5" w:rsidRPr="00AD6133" w:rsidRDefault="000817C3" w:rsidP="00AB12F5">
            <w:pPr>
              <w:tabs>
                <w:tab w:val="left" w:pos="8277"/>
              </w:tabs>
              <w:jc w:val="right"/>
              <w:rPr>
                <w:rFonts w:cstheme="minorHAnsi"/>
                <w:sz w:val="20"/>
                <w:szCs w:val="20"/>
              </w:rPr>
            </w:pPr>
            <w:r w:rsidRPr="00AD6133">
              <w:rPr>
                <w:rFonts w:cstheme="minorHAnsi"/>
                <w:sz w:val="20"/>
                <w:szCs w:val="20"/>
              </w:rPr>
              <w:t>1</w:t>
            </w:r>
            <w:r w:rsidR="0048346D">
              <w:rPr>
                <w:rFonts w:cstheme="minorHAnsi"/>
                <w:sz w:val="20"/>
                <w:szCs w:val="20"/>
              </w:rPr>
              <w:t>7</w:t>
            </w:r>
            <w:r w:rsidRPr="00AD6133">
              <w:rPr>
                <w:rFonts w:cstheme="minorHAnsi"/>
                <w:sz w:val="20"/>
                <w:szCs w:val="20"/>
              </w:rPr>
              <w:t xml:space="preserve"> (6</w:t>
            </w:r>
            <w:r w:rsidR="0048346D">
              <w:rPr>
                <w:rFonts w:cstheme="minorHAnsi"/>
                <w:sz w:val="20"/>
                <w:szCs w:val="20"/>
              </w:rPr>
              <w:t>3.0</w:t>
            </w:r>
            <w:r w:rsidRPr="00AD6133">
              <w:rPr>
                <w:rFonts w:cstheme="minorHAnsi"/>
                <w:sz w:val="20"/>
                <w:szCs w:val="20"/>
              </w:rPr>
              <w:t>)</w:t>
            </w:r>
          </w:p>
        </w:tc>
        <w:tc>
          <w:tcPr>
            <w:tcW w:w="1211" w:type="dxa"/>
            <w:tcBorders>
              <w:top w:val="single" w:sz="4" w:space="0" w:color="BFBFBF" w:themeColor="background1" w:themeShade="BF"/>
            </w:tcBorders>
          </w:tcPr>
          <w:p w14:paraId="61934E77" w14:textId="7DD1EADE" w:rsidR="00AB12F5" w:rsidRPr="00AD6133" w:rsidRDefault="000817C3" w:rsidP="00AB12F5">
            <w:pPr>
              <w:tabs>
                <w:tab w:val="left" w:pos="8277"/>
              </w:tabs>
              <w:jc w:val="right"/>
              <w:rPr>
                <w:rFonts w:cstheme="minorHAnsi"/>
                <w:sz w:val="20"/>
                <w:szCs w:val="20"/>
              </w:rPr>
            </w:pPr>
            <w:r w:rsidRPr="00AD6133">
              <w:rPr>
                <w:rFonts w:cstheme="minorHAnsi"/>
                <w:sz w:val="20"/>
                <w:szCs w:val="20"/>
              </w:rPr>
              <w:t>27 (69.2)</w:t>
            </w:r>
          </w:p>
        </w:tc>
        <w:tc>
          <w:tcPr>
            <w:tcW w:w="1164" w:type="dxa"/>
            <w:tcBorders>
              <w:top w:val="single" w:sz="4" w:space="0" w:color="BFBFBF" w:themeColor="background1" w:themeShade="BF"/>
            </w:tcBorders>
          </w:tcPr>
          <w:p w14:paraId="6B361EEB" w14:textId="0B40EA48" w:rsidR="00AB12F5" w:rsidRPr="00AD6133" w:rsidRDefault="000817C3" w:rsidP="00AB12F5">
            <w:pPr>
              <w:tabs>
                <w:tab w:val="left" w:pos="8277"/>
              </w:tabs>
              <w:jc w:val="right"/>
              <w:rPr>
                <w:rFonts w:cstheme="minorHAnsi"/>
                <w:sz w:val="20"/>
                <w:szCs w:val="20"/>
              </w:rPr>
            </w:pPr>
            <w:r w:rsidRPr="00AD6133">
              <w:rPr>
                <w:rFonts w:cstheme="minorHAnsi"/>
                <w:sz w:val="20"/>
                <w:szCs w:val="20"/>
              </w:rPr>
              <w:t>45 (6</w:t>
            </w:r>
            <w:r w:rsidR="0048346D">
              <w:rPr>
                <w:rFonts w:cstheme="minorHAnsi"/>
                <w:sz w:val="20"/>
                <w:szCs w:val="20"/>
              </w:rPr>
              <w:t>6.7</w:t>
            </w:r>
            <w:r w:rsidRPr="00AD6133">
              <w:rPr>
                <w:rFonts w:cstheme="minorHAnsi"/>
                <w:sz w:val="20"/>
                <w:szCs w:val="20"/>
              </w:rPr>
              <w:t>)</w:t>
            </w:r>
          </w:p>
        </w:tc>
      </w:tr>
      <w:tr w:rsidR="00AB12F5" w14:paraId="0EAF22B2" w14:textId="77777777" w:rsidTr="00AB12F5">
        <w:tc>
          <w:tcPr>
            <w:tcW w:w="1917" w:type="dxa"/>
            <w:tcBorders>
              <w:bottom w:val="single" w:sz="4" w:space="0" w:color="BFBFBF" w:themeColor="background1" w:themeShade="BF"/>
            </w:tcBorders>
          </w:tcPr>
          <w:p w14:paraId="4CB33E2A" w14:textId="3482B855" w:rsidR="00AB12F5" w:rsidRPr="00AB12F5" w:rsidRDefault="00AB12F5" w:rsidP="00AB12F5">
            <w:pPr>
              <w:rPr>
                <w:rFonts w:cstheme="minorHAnsi"/>
                <w:b/>
                <w:sz w:val="20"/>
                <w:szCs w:val="20"/>
              </w:rPr>
            </w:pPr>
            <w:r w:rsidRPr="00AB12F5">
              <w:rPr>
                <w:rFonts w:cstheme="minorHAnsi"/>
                <w:b/>
                <w:sz w:val="20"/>
                <w:szCs w:val="20"/>
              </w:rPr>
              <w:t>Host trial allocation, n(%)</w:t>
            </w:r>
          </w:p>
        </w:tc>
        <w:tc>
          <w:tcPr>
            <w:tcW w:w="1139" w:type="dxa"/>
            <w:tcBorders>
              <w:bottom w:val="single" w:sz="4" w:space="0" w:color="BFBFBF" w:themeColor="background1" w:themeShade="BF"/>
            </w:tcBorders>
          </w:tcPr>
          <w:p w14:paraId="1364B54A" w14:textId="77777777" w:rsidR="00AB12F5" w:rsidRPr="00AB12F5" w:rsidRDefault="00AB12F5" w:rsidP="00AB12F5">
            <w:pPr>
              <w:tabs>
                <w:tab w:val="left" w:pos="8277"/>
              </w:tabs>
              <w:rPr>
                <w:rFonts w:cstheme="minorHAnsi"/>
                <w:sz w:val="20"/>
                <w:szCs w:val="20"/>
              </w:rPr>
            </w:pPr>
          </w:p>
        </w:tc>
        <w:tc>
          <w:tcPr>
            <w:tcW w:w="1210" w:type="dxa"/>
            <w:tcBorders>
              <w:bottom w:val="single" w:sz="4" w:space="0" w:color="BFBFBF" w:themeColor="background1" w:themeShade="BF"/>
            </w:tcBorders>
          </w:tcPr>
          <w:p w14:paraId="198B9E2B" w14:textId="77777777" w:rsidR="00AB12F5" w:rsidRPr="00AB12F5"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1C3F99A3" w14:textId="77777777" w:rsidR="00AB12F5" w:rsidRPr="00AB12F5"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4EF5B6AA" w14:textId="77777777" w:rsidR="00AB12F5" w:rsidRPr="00AD6133" w:rsidRDefault="00AB12F5" w:rsidP="00AB12F5">
            <w:pPr>
              <w:tabs>
                <w:tab w:val="left" w:pos="8277"/>
              </w:tabs>
              <w:rPr>
                <w:rFonts w:cstheme="minorHAnsi"/>
                <w:sz w:val="20"/>
                <w:szCs w:val="20"/>
              </w:rPr>
            </w:pPr>
          </w:p>
        </w:tc>
        <w:tc>
          <w:tcPr>
            <w:tcW w:w="1211" w:type="dxa"/>
            <w:tcBorders>
              <w:bottom w:val="single" w:sz="4" w:space="0" w:color="BFBFBF" w:themeColor="background1" w:themeShade="BF"/>
            </w:tcBorders>
          </w:tcPr>
          <w:p w14:paraId="436D774B" w14:textId="77777777" w:rsidR="00AB12F5" w:rsidRPr="00AD6133" w:rsidRDefault="00AB12F5" w:rsidP="00AB12F5">
            <w:pPr>
              <w:tabs>
                <w:tab w:val="left" w:pos="8277"/>
              </w:tabs>
              <w:rPr>
                <w:rFonts w:cstheme="minorHAnsi"/>
                <w:sz w:val="20"/>
                <w:szCs w:val="20"/>
              </w:rPr>
            </w:pPr>
          </w:p>
        </w:tc>
        <w:tc>
          <w:tcPr>
            <w:tcW w:w="1164" w:type="dxa"/>
            <w:tcBorders>
              <w:bottom w:val="single" w:sz="4" w:space="0" w:color="BFBFBF" w:themeColor="background1" w:themeShade="BF"/>
            </w:tcBorders>
          </w:tcPr>
          <w:p w14:paraId="5986426D" w14:textId="77777777" w:rsidR="00AB12F5" w:rsidRPr="00AD6133" w:rsidRDefault="00AB12F5" w:rsidP="00AB12F5">
            <w:pPr>
              <w:tabs>
                <w:tab w:val="left" w:pos="8277"/>
              </w:tabs>
              <w:rPr>
                <w:rFonts w:cstheme="minorHAnsi"/>
                <w:sz w:val="20"/>
                <w:szCs w:val="20"/>
              </w:rPr>
            </w:pPr>
          </w:p>
        </w:tc>
      </w:tr>
      <w:tr w:rsidR="00AB12F5" w14:paraId="14D1C00D" w14:textId="77777777" w:rsidTr="00AB12F5">
        <w:tc>
          <w:tcPr>
            <w:tcW w:w="1917" w:type="dxa"/>
            <w:tcBorders>
              <w:top w:val="single" w:sz="4" w:space="0" w:color="BFBFBF" w:themeColor="background1" w:themeShade="BF"/>
              <w:bottom w:val="single" w:sz="4" w:space="0" w:color="BFBFBF" w:themeColor="background1" w:themeShade="BF"/>
            </w:tcBorders>
          </w:tcPr>
          <w:p w14:paraId="76ABB7B7" w14:textId="06009D56" w:rsidR="00AB12F5" w:rsidRPr="00AB12F5" w:rsidRDefault="00AB12F5" w:rsidP="00AB12F5">
            <w:pPr>
              <w:rPr>
                <w:rFonts w:cstheme="minorHAnsi"/>
                <w:bCs/>
                <w:sz w:val="20"/>
                <w:szCs w:val="20"/>
              </w:rPr>
            </w:pPr>
            <w:r w:rsidRPr="00AB12F5">
              <w:rPr>
                <w:rFonts w:cstheme="minorHAnsi"/>
                <w:bCs/>
                <w:sz w:val="20"/>
                <w:szCs w:val="20"/>
              </w:rPr>
              <w:t xml:space="preserve">  Hemiarthroplasty</w:t>
            </w:r>
          </w:p>
        </w:tc>
        <w:tc>
          <w:tcPr>
            <w:tcW w:w="1139" w:type="dxa"/>
            <w:tcBorders>
              <w:top w:val="single" w:sz="4" w:space="0" w:color="BFBFBF" w:themeColor="background1" w:themeShade="BF"/>
              <w:bottom w:val="single" w:sz="4" w:space="0" w:color="BFBFBF" w:themeColor="background1" w:themeShade="BF"/>
            </w:tcBorders>
          </w:tcPr>
          <w:p w14:paraId="34B3E9C8" w14:textId="5E200982" w:rsidR="00AB12F5" w:rsidRPr="00AB12F5" w:rsidRDefault="000817C3" w:rsidP="00AB12F5">
            <w:pPr>
              <w:tabs>
                <w:tab w:val="left" w:pos="8277"/>
              </w:tabs>
              <w:jc w:val="right"/>
              <w:rPr>
                <w:rFonts w:cstheme="minorHAnsi"/>
                <w:sz w:val="20"/>
                <w:szCs w:val="20"/>
              </w:rPr>
            </w:pPr>
            <w:r>
              <w:rPr>
                <w:rFonts w:cstheme="minorHAnsi"/>
                <w:sz w:val="20"/>
                <w:szCs w:val="20"/>
              </w:rPr>
              <w:t>36 (40.9)</w:t>
            </w:r>
          </w:p>
        </w:tc>
        <w:tc>
          <w:tcPr>
            <w:tcW w:w="1210" w:type="dxa"/>
            <w:tcBorders>
              <w:top w:val="single" w:sz="4" w:space="0" w:color="BFBFBF" w:themeColor="background1" w:themeShade="BF"/>
              <w:bottom w:val="single" w:sz="4" w:space="0" w:color="BFBFBF" w:themeColor="background1" w:themeShade="BF"/>
            </w:tcBorders>
          </w:tcPr>
          <w:p w14:paraId="751C72B2" w14:textId="6F74893F" w:rsidR="00AB12F5" w:rsidRPr="00AB12F5" w:rsidRDefault="000817C3" w:rsidP="00AB12F5">
            <w:pPr>
              <w:tabs>
                <w:tab w:val="left" w:pos="8277"/>
              </w:tabs>
              <w:jc w:val="right"/>
              <w:rPr>
                <w:rFonts w:cstheme="minorHAnsi"/>
                <w:sz w:val="20"/>
                <w:szCs w:val="20"/>
              </w:rPr>
            </w:pPr>
            <w:r>
              <w:rPr>
                <w:rFonts w:cstheme="minorHAnsi"/>
                <w:sz w:val="20"/>
                <w:szCs w:val="20"/>
              </w:rPr>
              <w:t>35 (40.7)</w:t>
            </w:r>
          </w:p>
        </w:tc>
        <w:tc>
          <w:tcPr>
            <w:tcW w:w="1164" w:type="dxa"/>
            <w:tcBorders>
              <w:top w:val="single" w:sz="4" w:space="0" w:color="BFBFBF" w:themeColor="background1" w:themeShade="BF"/>
              <w:bottom w:val="single" w:sz="4" w:space="0" w:color="BFBFBF" w:themeColor="background1" w:themeShade="BF"/>
            </w:tcBorders>
          </w:tcPr>
          <w:p w14:paraId="5F691D15" w14:textId="2C88269B" w:rsidR="00AB12F5" w:rsidRPr="00AB12F5" w:rsidRDefault="000817C3" w:rsidP="00AB12F5">
            <w:pPr>
              <w:tabs>
                <w:tab w:val="left" w:pos="8277"/>
              </w:tabs>
              <w:jc w:val="right"/>
              <w:rPr>
                <w:rFonts w:cstheme="minorHAnsi"/>
                <w:sz w:val="20"/>
                <w:szCs w:val="20"/>
              </w:rPr>
            </w:pPr>
            <w:r>
              <w:rPr>
                <w:rFonts w:cstheme="minorHAnsi"/>
                <w:sz w:val="20"/>
                <w:szCs w:val="20"/>
              </w:rPr>
              <w:t>71 (40.8)</w:t>
            </w:r>
          </w:p>
        </w:tc>
        <w:tc>
          <w:tcPr>
            <w:tcW w:w="1211" w:type="dxa"/>
            <w:tcBorders>
              <w:top w:val="single" w:sz="4" w:space="0" w:color="BFBFBF" w:themeColor="background1" w:themeShade="BF"/>
              <w:bottom w:val="single" w:sz="4" w:space="0" w:color="BFBFBF" w:themeColor="background1" w:themeShade="BF"/>
            </w:tcBorders>
          </w:tcPr>
          <w:p w14:paraId="5E8DA9BC" w14:textId="55216939" w:rsidR="00AB12F5" w:rsidRPr="00AD6133" w:rsidRDefault="000817C3" w:rsidP="00AB12F5">
            <w:pPr>
              <w:tabs>
                <w:tab w:val="left" w:pos="8277"/>
              </w:tabs>
              <w:jc w:val="right"/>
              <w:rPr>
                <w:rFonts w:cstheme="minorHAnsi"/>
                <w:sz w:val="20"/>
                <w:szCs w:val="20"/>
              </w:rPr>
            </w:pPr>
            <w:r w:rsidRPr="00AD6133">
              <w:rPr>
                <w:rFonts w:cstheme="minorHAnsi"/>
                <w:sz w:val="20"/>
                <w:szCs w:val="20"/>
              </w:rPr>
              <w:t>7 (25.</w:t>
            </w:r>
            <w:r w:rsidR="0048346D">
              <w:rPr>
                <w:rFonts w:cstheme="minorHAnsi"/>
                <w:sz w:val="20"/>
                <w:szCs w:val="20"/>
              </w:rPr>
              <w:t>9</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7BB57BD7" w14:textId="7AEC24DF" w:rsidR="00AB12F5" w:rsidRPr="00AD6133" w:rsidRDefault="000817C3" w:rsidP="00AB12F5">
            <w:pPr>
              <w:tabs>
                <w:tab w:val="left" w:pos="8277"/>
              </w:tabs>
              <w:jc w:val="right"/>
              <w:rPr>
                <w:rFonts w:cstheme="minorHAnsi"/>
                <w:sz w:val="20"/>
                <w:szCs w:val="20"/>
              </w:rPr>
            </w:pPr>
            <w:r w:rsidRPr="00AD6133">
              <w:rPr>
                <w:rFonts w:cstheme="minorHAnsi"/>
                <w:sz w:val="20"/>
                <w:szCs w:val="20"/>
              </w:rPr>
              <w:t>15 (38.5)</w:t>
            </w:r>
          </w:p>
        </w:tc>
        <w:tc>
          <w:tcPr>
            <w:tcW w:w="1164" w:type="dxa"/>
            <w:tcBorders>
              <w:top w:val="single" w:sz="4" w:space="0" w:color="BFBFBF" w:themeColor="background1" w:themeShade="BF"/>
              <w:bottom w:val="single" w:sz="4" w:space="0" w:color="BFBFBF" w:themeColor="background1" w:themeShade="BF"/>
            </w:tcBorders>
          </w:tcPr>
          <w:p w14:paraId="7C5CF28B" w14:textId="3057E9CD" w:rsidR="00AB12F5" w:rsidRPr="00AD6133" w:rsidRDefault="000817C3" w:rsidP="00AB12F5">
            <w:pPr>
              <w:tabs>
                <w:tab w:val="left" w:pos="8277"/>
              </w:tabs>
              <w:jc w:val="right"/>
              <w:rPr>
                <w:rFonts w:cstheme="minorHAnsi"/>
                <w:sz w:val="20"/>
                <w:szCs w:val="20"/>
              </w:rPr>
            </w:pPr>
            <w:r w:rsidRPr="00AD6133">
              <w:rPr>
                <w:rFonts w:cstheme="minorHAnsi"/>
                <w:sz w:val="20"/>
                <w:szCs w:val="20"/>
              </w:rPr>
              <w:t>22 (</w:t>
            </w:r>
            <w:r w:rsidR="0048346D">
              <w:rPr>
                <w:rFonts w:cstheme="minorHAnsi"/>
                <w:sz w:val="20"/>
                <w:szCs w:val="20"/>
              </w:rPr>
              <w:t>33.3</w:t>
            </w:r>
            <w:r w:rsidRPr="00AD6133">
              <w:rPr>
                <w:rFonts w:cstheme="minorHAnsi"/>
                <w:sz w:val="20"/>
                <w:szCs w:val="20"/>
              </w:rPr>
              <w:t>)</w:t>
            </w:r>
          </w:p>
        </w:tc>
      </w:tr>
      <w:tr w:rsidR="00AB12F5" w14:paraId="66C88D57" w14:textId="77777777" w:rsidTr="00AB12F5">
        <w:tc>
          <w:tcPr>
            <w:tcW w:w="1917" w:type="dxa"/>
            <w:tcBorders>
              <w:top w:val="single" w:sz="4" w:space="0" w:color="BFBFBF" w:themeColor="background1" w:themeShade="BF"/>
              <w:bottom w:val="single" w:sz="4" w:space="0" w:color="BFBFBF" w:themeColor="background1" w:themeShade="BF"/>
            </w:tcBorders>
          </w:tcPr>
          <w:p w14:paraId="3062661F" w14:textId="54FB377C" w:rsidR="00AB12F5" w:rsidRPr="00AB12F5" w:rsidRDefault="00AB12F5" w:rsidP="00AB12F5">
            <w:pPr>
              <w:rPr>
                <w:rFonts w:cstheme="minorHAnsi"/>
                <w:bCs/>
                <w:sz w:val="20"/>
                <w:szCs w:val="20"/>
              </w:rPr>
            </w:pPr>
            <w:r w:rsidRPr="00AB12F5">
              <w:rPr>
                <w:rFonts w:cstheme="minorHAnsi"/>
                <w:bCs/>
                <w:sz w:val="20"/>
                <w:szCs w:val="20"/>
              </w:rPr>
              <w:t xml:space="preserve">  Reverse Shoulder Arthroplasty</w:t>
            </w:r>
          </w:p>
        </w:tc>
        <w:tc>
          <w:tcPr>
            <w:tcW w:w="1139" w:type="dxa"/>
            <w:tcBorders>
              <w:top w:val="single" w:sz="4" w:space="0" w:color="BFBFBF" w:themeColor="background1" w:themeShade="BF"/>
              <w:bottom w:val="single" w:sz="4" w:space="0" w:color="BFBFBF" w:themeColor="background1" w:themeShade="BF"/>
            </w:tcBorders>
          </w:tcPr>
          <w:p w14:paraId="49F47C64" w14:textId="5369E7E7" w:rsidR="00AB12F5" w:rsidRPr="00AB12F5" w:rsidRDefault="000817C3" w:rsidP="00AB12F5">
            <w:pPr>
              <w:tabs>
                <w:tab w:val="left" w:pos="8277"/>
              </w:tabs>
              <w:jc w:val="right"/>
              <w:rPr>
                <w:rFonts w:cstheme="minorHAnsi"/>
                <w:sz w:val="20"/>
                <w:szCs w:val="20"/>
              </w:rPr>
            </w:pPr>
            <w:r>
              <w:rPr>
                <w:rFonts w:cstheme="minorHAnsi"/>
                <w:sz w:val="20"/>
                <w:szCs w:val="20"/>
              </w:rPr>
              <w:t>37 (42.</w:t>
            </w:r>
            <w:r w:rsidR="0062505E">
              <w:rPr>
                <w:rFonts w:cstheme="minorHAnsi"/>
                <w:sz w:val="20"/>
                <w:szCs w:val="20"/>
              </w:rPr>
              <w:t>1</w:t>
            </w:r>
            <w:r>
              <w:rPr>
                <w:rFonts w:cstheme="minorHAnsi"/>
                <w:sz w:val="20"/>
                <w:szCs w:val="20"/>
              </w:rPr>
              <w:t>)</w:t>
            </w:r>
          </w:p>
        </w:tc>
        <w:tc>
          <w:tcPr>
            <w:tcW w:w="1210" w:type="dxa"/>
            <w:tcBorders>
              <w:top w:val="single" w:sz="4" w:space="0" w:color="BFBFBF" w:themeColor="background1" w:themeShade="BF"/>
              <w:bottom w:val="single" w:sz="4" w:space="0" w:color="BFBFBF" w:themeColor="background1" w:themeShade="BF"/>
            </w:tcBorders>
          </w:tcPr>
          <w:p w14:paraId="4354ECF5" w14:textId="308EEECD" w:rsidR="00AB12F5" w:rsidRPr="00AB12F5" w:rsidRDefault="000817C3" w:rsidP="00AB12F5">
            <w:pPr>
              <w:tabs>
                <w:tab w:val="left" w:pos="8277"/>
              </w:tabs>
              <w:jc w:val="right"/>
              <w:rPr>
                <w:rFonts w:cstheme="minorHAnsi"/>
                <w:sz w:val="20"/>
                <w:szCs w:val="20"/>
              </w:rPr>
            </w:pPr>
            <w:r>
              <w:rPr>
                <w:rFonts w:cstheme="minorHAnsi"/>
                <w:sz w:val="20"/>
                <w:szCs w:val="20"/>
              </w:rPr>
              <w:t>37 (43.0)</w:t>
            </w:r>
          </w:p>
        </w:tc>
        <w:tc>
          <w:tcPr>
            <w:tcW w:w="1164" w:type="dxa"/>
            <w:tcBorders>
              <w:top w:val="single" w:sz="4" w:space="0" w:color="BFBFBF" w:themeColor="background1" w:themeShade="BF"/>
              <w:bottom w:val="single" w:sz="4" w:space="0" w:color="BFBFBF" w:themeColor="background1" w:themeShade="BF"/>
            </w:tcBorders>
          </w:tcPr>
          <w:p w14:paraId="2C134AAC" w14:textId="19449FDC" w:rsidR="00AB12F5" w:rsidRPr="00AB12F5" w:rsidRDefault="000817C3" w:rsidP="00AB12F5">
            <w:pPr>
              <w:tabs>
                <w:tab w:val="left" w:pos="8277"/>
              </w:tabs>
              <w:jc w:val="right"/>
              <w:rPr>
                <w:rFonts w:cstheme="minorHAnsi"/>
                <w:sz w:val="20"/>
                <w:szCs w:val="20"/>
              </w:rPr>
            </w:pPr>
            <w:r>
              <w:rPr>
                <w:rFonts w:cstheme="minorHAnsi"/>
                <w:sz w:val="20"/>
                <w:szCs w:val="20"/>
              </w:rPr>
              <w:t>74 (42.5)</w:t>
            </w:r>
          </w:p>
        </w:tc>
        <w:tc>
          <w:tcPr>
            <w:tcW w:w="1211" w:type="dxa"/>
            <w:tcBorders>
              <w:top w:val="single" w:sz="4" w:space="0" w:color="BFBFBF" w:themeColor="background1" w:themeShade="BF"/>
              <w:bottom w:val="single" w:sz="4" w:space="0" w:color="BFBFBF" w:themeColor="background1" w:themeShade="BF"/>
            </w:tcBorders>
          </w:tcPr>
          <w:p w14:paraId="7B246FE3" w14:textId="2A5D240C" w:rsidR="00AB12F5" w:rsidRPr="00AD6133" w:rsidRDefault="000817C3" w:rsidP="00AB12F5">
            <w:pPr>
              <w:tabs>
                <w:tab w:val="left" w:pos="8277"/>
              </w:tabs>
              <w:jc w:val="right"/>
              <w:rPr>
                <w:rFonts w:cstheme="minorHAnsi"/>
                <w:sz w:val="20"/>
                <w:szCs w:val="20"/>
              </w:rPr>
            </w:pPr>
            <w:r w:rsidRPr="00AD6133">
              <w:rPr>
                <w:rFonts w:cstheme="minorHAnsi"/>
                <w:sz w:val="20"/>
                <w:szCs w:val="20"/>
              </w:rPr>
              <w:t>1</w:t>
            </w:r>
            <w:r w:rsidR="0048346D">
              <w:rPr>
                <w:rFonts w:cstheme="minorHAnsi"/>
                <w:sz w:val="20"/>
                <w:szCs w:val="20"/>
              </w:rPr>
              <w:t>7</w:t>
            </w:r>
            <w:r w:rsidRPr="00AD6133">
              <w:rPr>
                <w:rFonts w:cstheme="minorHAnsi"/>
                <w:sz w:val="20"/>
                <w:szCs w:val="20"/>
              </w:rPr>
              <w:t xml:space="preserve"> (</w:t>
            </w:r>
            <w:r w:rsidR="0048346D">
              <w:rPr>
                <w:rFonts w:cstheme="minorHAnsi"/>
                <w:sz w:val="20"/>
                <w:szCs w:val="20"/>
              </w:rPr>
              <w:t>63.0</w:t>
            </w:r>
            <w:r w:rsidRPr="00AD6133">
              <w:rPr>
                <w:rFonts w:cstheme="minorHAnsi"/>
                <w:sz w:val="20"/>
                <w:szCs w:val="20"/>
              </w:rPr>
              <w:t>)</w:t>
            </w:r>
          </w:p>
        </w:tc>
        <w:tc>
          <w:tcPr>
            <w:tcW w:w="1211" w:type="dxa"/>
            <w:tcBorders>
              <w:top w:val="single" w:sz="4" w:space="0" w:color="BFBFBF" w:themeColor="background1" w:themeShade="BF"/>
              <w:bottom w:val="single" w:sz="4" w:space="0" w:color="BFBFBF" w:themeColor="background1" w:themeShade="BF"/>
            </w:tcBorders>
          </w:tcPr>
          <w:p w14:paraId="3FE55BA4" w14:textId="4AC45841" w:rsidR="00AB12F5" w:rsidRPr="00AD6133" w:rsidRDefault="000817C3" w:rsidP="00AB12F5">
            <w:pPr>
              <w:tabs>
                <w:tab w:val="left" w:pos="8277"/>
              </w:tabs>
              <w:jc w:val="right"/>
              <w:rPr>
                <w:rFonts w:cstheme="minorHAnsi"/>
                <w:sz w:val="20"/>
                <w:szCs w:val="20"/>
              </w:rPr>
            </w:pPr>
            <w:r w:rsidRPr="00AD6133">
              <w:rPr>
                <w:rFonts w:cstheme="minorHAnsi"/>
                <w:sz w:val="20"/>
                <w:szCs w:val="20"/>
              </w:rPr>
              <w:t>17 (</w:t>
            </w:r>
            <w:r w:rsidR="00AD6133" w:rsidRPr="00F30059">
              <w:rPr>
                <w:rFonts w:cstheme="minorHAnsi"/>
                <w:sz w:val="20"/>
                <w:szCs w:val="20"/>
              </w:rPr>
              <w:t>43.6</w:t>
            </w:r>
            <w:r w:rsidRPr="00AD6133">
              <w:rPr>
                <w:rFonts w:cstheme="minorHAnsi"/>
                <w:sz w:val="20"/>
                <w:szCs w:val="20"/>
              </w:rPr>
              <w:t>)</w:t>
            </w:r>
          </w:p>
        </w:tc>
        <w:tc>
          <w:tcPr>
            <w:tcW w:w="1164" w:type="dxa"/>
            <w:tcBorders>
              <w:top w:val="single" w:sz="4" w:space="0" w:color="BFBFBF" w:themeColor="background1" w:themeShade="BF"/>
              <w:bottom w:val="single" w:sz="4" w:space="0" w:color="BFBFBF" w:themeColor="background1" w:themeShade="BF"/>
            </w:tcBorders>
          </w:tcPr>
          <w:p w14:paraId="5CF965F0" w14:textId="02C62A7F" w:rsidR="00AB12F5" w:rsidRPr="00AD6133" w:rsidRDefault="000817C3" w:rsidP="00AB12F5">
            <w:pPr>
              <w:tabs>
                <w:tab w:val="left" w:pos="8277"/>
              </w:tabs>
              <w:jc w:val="right"/>
              <w:rPr>
                <w:rFonts w:cstheme="minorHAnsi"/>
                <w:sz w:val="20"/>
                <w:szCs w:val="20"/>
              </w:rPr>
            </w:pPr>
            <w:r w:rsidRPr="00AD6133">
              <w:rPr>
                <w:rFonts w:cstheme="minorHAnsi"/>
                <w:sz w:val="20"/>
                <w:szCs w:val="20"/>
              </w:rPr>
              <w:t>3</w:t>
            </w:r>
            <w:r w:rsidR="0048346D">
              <w:rPr>
                <w:rFonts w:cstheme="minorHAnsi"/>
                <w:sz w:val="20"/>
                <w:szCs w:val="20"/>
              </w:rPr>
              <w:t>4</w:t>
            </w:r>
            <w:r w:rsidRPr="00AD6133">
              <w:rPr>
                <w:rFonts w:cstheme="minorHAnsi"/>
                <w:sz w:val="20"/>
                <w:szCs w:val="20"/>
              </w:rPr>
              <w:t xml:space="preserve"> (</w:t>
            </w:r>
            <w:r w:rsidR="0048346D">
              <w:rPr>
                <w:rFonts w:cstheme="minorHAnsi"/>
                <w:sz w:val="20"/>
                <w:szCs w:val="20"/>
              </w:rPr>
              <w:t>51.5</w:t>
            </w:r>
            <w:r w:rsidRPr="00AD6133">
              <w:rPr>
                <w:rFonts w:cstheme="minorHAnsi"/>
                <w:sz w:val="20"/>
                <w:szCs w:val="20"/>
              </w:rPr>
              <w:t>)</w:t>
            </w:r>
          </w:p>
        </w:tc>
      </w:tr>
      <w:tr w:rsidR="00AB12F5" w14:paraId="779E7ACF" w14:textId="77777777" w:rsidTr="00AB12F5">
        <w:tc>
          <w:tcPr>
            <w:tcW w:w="1917" w:type="dxa"/>
            <w:tcBorders>
              <w:top w:val="single" w:sz="4" w:space="0" w:color="BFBFBF" w:themeColor="background1" w:themeShade="BF"/>
            </w:tcBorders>
          </w:tcPr>
          <w:p w14:paraId="6975B6BF" w14:textId="0F840C62" w:rsidR="00AB12F5" w:rsidRPr="00AB12F5" w:rsidRDefault="00AB12F5" w:rsidP="00AB12F5">
            <w:pPr>
              <w:rPr>
                <w:rFonts w:cstheme="minorHAnsi"/>
                <w:bCs/>
                <w:sz w:val="20"/>
                <w:szCs w:val="20"/>
              </w:rPr>
            </w:pPr>
            <w:r w:rsidRPr="00AB12F5">
              <w:rPr>
                <w:rFonts w:cstheme="minorHAnsi"/>
                <w:bCs/>
                <w:sz w:val="20"/>
                <w:szCs w:val="20"/>
              </w:rPr>
              <w:t xml:space="preserve">  Non-surgical care</w:t>
            </w:r>
          </w:p>
        </w:tc>
        <w:tc>
          <w:tcPr>
            <w:tcW w:w="1139" w:type="dxa"/>
            <w:tcBorders>
              <w:top w:val="single" w:sz="4" w:space="0" w:color="BFBFBF" w:themeColor="background1" w:themeShade="BF"/>
            </w:tcBorders>
          </w:tcPr>
          <w:p w14:paraId="63F09DF8" w14:textId="1993068A" w:rsidR="00AB12F5" w:rsidRPr="00AB12F5" w:rsidRDefault="000817C3" w:rsidP="00AB12F5">
            <w:pPr>
              <w:tabs>
                <w:tab w:val="left" w:pos="8277"/>
              </w:tabs>
              <w:jc w:val="right"/>
              <w:rPr>
                <w:rFonts w:cstheme="minorHAnsi"/>
                <w:sz w:val="20"/>
                <w:szCs w:val="20"/>
              </w:rPr>
            </w:pPr>
            <w:r>
              <w:rPr>
                <w:rFonts w:cstheme="minorHAnsi"/>
                <w:sz w:val="20"/>
                <w:szCs w:val="20"/>
              </w:rPr>
              <w:t>15 (17.</w:t>
            </w:r>
            <w:r w:rsidR="0062505E">
              <w:rPr>
                <w:rFonts w:cstheme="minorHAnsi"/>
                <w:sz w:val="20"/>
                <w:szCs w:val="20"/>
              </w:rPr>
              <w:t>1</w:t>
            </w:r>
            <w:r>
              <w:rPr>
                <w:rFonts w:cstheme="minorHAnsi"/>
                <w:sz w:val="20"/>
                <w:szCs w:val="20"/>
              </w:rPr>
              <w:t>)</w:t>
            </w:r>
          </w:p>
        </w:tc>
        <w:tc>
          <w:tcPr>
            <w:tcW w:w="1210" w:type="dxa"/>
            <w:tcBorders>
              <w:top w:val="single" w:sz="4" w:space="0" w:color="BFBFBF" w:themeColor="background1" w:themeShade="BF"/>
            </w:tcBorders>
          </w:tcPr>
          <w:p w14:paraId="20E9121B" w14:textId="16ADC13D" w:rsidR="00AB12F5" w:rsidRPr="00AB12F5" w:rsidRDefault="000817C3" w:rsidP="00AB12F5">
            <w:pPr>
              <w:tabs>
                <w:tab w:val="left" w:pos="8277"/>
              </w:tabs>
              <w:jc w:val="right"/>
              <w:rPr>
                <w:rFonts w:cstheme="minorHAnsi"/>
                <w:sz w:val="20"/>
                <w:szCs w:val="20"/>
              </w:rPr>
            </w:pPr>
            <w:r>
              <w:rPr>
                <w:rFonts w:cstheme="minorHAnsi"/>
                <w:sz w:val="20"/>
                <w:szCs w:val="20"/>
              </w:rPr>
              <w:t>14 (16.3)</w:t>
            </w:r>
          </w:p>
        </w:tc>
        <w:tc>
          <w:tcPr>
            <w:tcW w:w="1164" w:type="dxa"/>
            <w:tcBorders>
              <w:top w:val="single" w:sz="4" w:space="0" w:color="BFBFBF" w:themeColor="background1" w:themeShade="BF"/>
            </w:tcBorders>
          </w:tcPr>
          <w:p w14:paraId="28685593" w14:textId="69DF065B" w:rsidR="00AB12F5" w:rsidRPr="00AB12F5" w:rsidRDefault="000817C3" w:rsidP="00AB12F5">
            <w:pPr>
              <w:tabs>
                <w:tab w:val="left" w:pos="8277"/>
              </w:tabs>
              <w:jc w:val="right"/>
              <w:rPr>
                <w:rFonts w:cstheme="minorHAnsi"/>
                <w:sz w:val="20"/>
                <w:szCs w:val="20"/>
              </w:rPr>
            </w:pPr>
            <w:r>
              <w:rPr>
                <w:rFonts w:cstheme="minorHAnsi"/>
                <w:sz w:val="20"/>
                <w:szCs w:val="20"/>
              </w:rPr>
              <w:t>29 (16.7)</w:t>
            </w:r>
          </w:p>
        </w:tc>
        <w:tc>
          <w:tcPr>
            <w:tcW w:w="1211" w:type="dxa"/>
            <w:tcBorders>
              <w:top w:val="single" w:sz="4" w:space="0" w:color="BFBFBF" w:themeColor="background1" w:themeShade="BF"/>
            </w:tcBorders>
          </w:tcPr>
          <w:p w14:paraId="45A7B1FB" w14:textId="64D0BE52" w:rsidR="00AB12F5" w:rsidRPr="00AD6133" w:rsidRDefault="000817C3" w:rsidP="00AB12F5">
            <w:pPr>
              <w:tabs>
                <w:tab w:val="left" w:pos="8277"/>
              </w:tabs>
              <w:jc w:val="right"/>
              <w:rPr>
                <w:rFonts w:cstheme="minorHAnsi"/>
                <w:sz w:val="20"/>
                <w:szCs w:val="20"/>
              </w:rPr>
            </w:pPr>
            <w:r w:rsidRPr="00AD6133">
              <w:rPr>
                <w:rFonts w:cstheme="minorHAnsi"/>
                <w:sz w:val="20"/>
                <w:szCs w:val="20"/>
              </w:rPr>
              <w:t>3 (1</w:t>
            </w:r>
            <w:r w:rsidR="0048346D">
              <w:rPr>
                <w:rFonts w:cstheme="minorHAnsi"/>
                <w:sz w:val="20"/>
                <w:szCs w:val="20"/>
              </w:rPr>
              <w:t>1.1</w:t>
            </w:r>
            <w:r w:rsidRPr="00AD6133">
              <w:rPr>
                <w:rFonts w:cstheme="minorHAnsi"/>
                <w:sz w:val="20"/>
                <w:szCs w:val="20"/>
              </w:rPr>
              <w:t>)</w:t>
            </w:r>
          </w:p>
        </w:tc>
        <w:tc>
          <w:tcPr>
            <w:tcW w:w="1211" w:type="dxa"/>
            <w:tcBorders>
              <w:top w:val="single" w:sz="4" w:space="0" w:color="BFBFBF" w:themeColor="background1" w:themeShade="BF"/>
            </w:tcBorders>
          </w:tcPr>
          <w:p w14:paraId="4D63D242" w14:textId="42396FE2" w:rsidR="00AB12F5" w:rsidRPr="00AD6133" w:rsidRDefault="000817C3" w:rsidP="00AB12F5">
            <w:pPr>
              <w:tabs>
                <w:tab w:val="left" w:pos="8277"/>
              </w:tabs>
              <w:jc w:val="right"/>
              <w:rPr>
                <w:rFonts w:cstheme="minorHAnsi"/>
                <w:sz w:val="20"/>
                <w:szCs w:val="20"/>
              </w:rPr>
            </w:pPr>
            <w:r w:rsidRPr="00AD6133">
              <w:rPr>
                <w:rFonts w:cstheme="minorHAnsi"/>
                <w:sz w:val="20"/>
                <w:szCs w:val="20"/>
              </w:rPr>
              <w:t>7 (1</w:t>
            </w:r>
            <w:r w:rsidR="00AD6133" w:rsidRPr="00F30059">
              <w:rPr>
                <w:rFonts w:cstheme="minorHAnsi"/>
                <w:sz w:val="20"/>
                <w:szCs w:val="20"/>
              </w:rPr>
              <w:t>8.0</w:t>
            </w:r>
            <w:r w:rsidRPr="00AD6133">
              <w:rPr>
                <w:rFonts w:cstheme="minorHAnsi"/>
                <w:sz w:val="20"/>
                <w:szCs w:val="20"/>
              </w:rPr>
              <w:t>)</w:t>
            </w:r>
          </w:p>
        </w:tc>
        <w:tc>
          <w:tcPr>
            <w:tcW w:w="1164" w:type="dxa"/>
            <w:tcBorders>
              <w:top w:val="single" w:sz="4" w:space="0" w:color="BFBFBF" w:themeColor="background1" w:themeShade="BF"/>
            </w:tcBorders>
          </w:tcPr>
          <w:p w14:paraId="09861349" w14:textId="2508E319" w:rsidR="00AB12F5" w:rsidRPr="00AD6133" w:rsidRDefault="000817C3" w:rsidP="00AB12F5">
            <w:pPr>
              <w:tabs>
                <w:tab w:val="left" w:pos="8277"/>
              </w:tabs>
              <w:jc w:val="right"/>
              <w:rPr>
                <w:rFonts w:cstheme="minorHAnsi"/>
                <w:sz w:val="20"/>
                <w:szCs w:val="20"/>
              </w:rPr>
            </w:pPr>
            <w:r w:rsidRPr="00AD6133">
              <w:rPr>
                <w:rFonts w:cstheme="minorHAnsi"/>
                <w:sz w:val="20"/>
                <w:szCs w:val="20"/>
              </w:rPr>
              <w:t>10 (1</w:t>
            </w:r>
            <w:r w:rsidR="0048346D">
              <w:rPr>
                <w:rFonts w:cstheme="minorHAnsi"/>
                <w:sz w:val="20"/>
                <w:szCs w:val="20"/>
              </w:rPr>
              <w:t>5.2</w:t>
            </w:r>
            <w:r w:rsidRPr="00AD6133">
              <w:rPr>
                <w:rFonts w:cstheme="minorHAnsi"/>
                <w:sz w:val="20"/>
                <w:szCs w:val="20"/>
              </w:rPr>
              <w:t>)</w:t>
            </w:r>
          </w:p>
        </w:tc>
      </w:tr>
    </w:tbl>
    <w:p w14:paraId="4B7FB90B" w14:textId="372093F4" w:rsidR="00847FAE" w:rsidRPr="003B6813" w:rsidRDefault="00AB12F5" w:rsidP="00847FAE">
      <w:pPr>
        <w:tabs>
          <w:tab w:val="left" w:pos="8277"/>
        </w:tabs>
        <w:rPr>
          <w:rFonts w:cstheme="minorHAnsi"/>
          <w:sz w:val="18"/>
          <w:szCs w:val="18"/>
        </w:rPr>
      </w:pPr>
      <w:r w:rsidRPr="003B6813">
        <w:rPr>
          <w:rFonts w:cstheme="minorHAnsi"/>
          <w:sz w:val="18"/>
          <w:szCs w:val="18"/>
        </w:rPr>
        <w:t>Min = minimum, Max = Maximum, SD = Standard Deviation</w:t>
      </w:r>
    </w:p>
    <w:p w14:paraId="4A6B0808" w14:textId="77777777" w:rsidR="002361CD" w:rsidRDefault="002361CD" w:rsidP="00847FAE">
      <w:pPr>
        <w:tabs>
          <w:tab w:val="left" w:pos="8277"/>
        </w:tabs>
        <w:rPr>
          <w:rFonts w:cstheme="minorHAnsi"/>
        </w:rPr>
      </w:pPr>
    </w:p>
    <w:p w14:paraId="4953A4FC" w14:textId="7F8A103B" w:rsidR="00847FAE" w:rsidRDefault="002361CD" w:rsidP="00847FAE">
      <w:pPr>
        <w:tabs>
          <w:tab w:val="left" w:pos="8277"/>
        </w:tabs>
        <w:rPr>
          <w:rFonts w:cstheme="minorHAnsi"/>
        </w:rPr>
      </w:pPr>
      <w:r>
        <w:rPr>
          <w:rFonts w:cstheme="minorHAnsi"/>
        </w:rPr>
        <w:t xml:space="preserve">Table 2: </w:t>
      </w:r>
      <w:r w:rsidR="003B6813">
        <w:rPr>
          <w:rFonts w:cstheme="minorHAnsi"/>
        </w:rPr>
        <w:t>Results of the primary and secondary analyses</w:t>
      </w:r>
    </w:p>
    <w:tbl>
      <w:tblPr>
        <w:tblStyle w:val="TableGrid"/>
        <w:tblW w:w="0" w:type="auto"/>
        <w:tblLook w:val="04A0" w:firstRow="1" w:lastRow="0" w:firstColumn="1" w:lastColumn="0" w:noHBand="0" w:noVBand="1"/>
      </w:tblPr>
      <w:tblGrid>
        <w:gridCol w:w="2405"/>
        <w:gridCol w:w="1843"/>
        <w:gridCol w:w="1701"/>
        <w:gridCol w:w="1701"/>
        <w:gridCol w:w="1366"/>
      </w:tblGrid>
      <w:tr w:rsidR="002361CD" w14:paraId="088864B3" w14:textId="77777777" w:rsidTr="00387E52">
        <w:tc>
          <w:tcPr>
            <w:tcW w:w="2405" w:type="dxa"/>
            <w:vAlign w:val="center"/>
          </w:tcPr>
          <w:p w14:paraId="0B963EAE" w14:textId="63E59E97" w:rsidR="002361CD" w:rsidRPr="00387E52" w:rsidRDefault="002361CD" w:rsidP="00387E52">
            <w:pPr>
              <w:tabs>
                <w:tab w:val="left" w:pos="8277"/>
              </w:tabs>
              <w:jc w:val="center"/>
              <w:rPr>
                <w:rFonts w:cstheme="minorHAnsi"/>
                <w:b/>
                <w:bCs/>
                <w:sz w:val="20"/>
                <w:szCs w:val="20"/>
              </w:rPr>
            </w:pPr>
            <w:r w:rsidRPr="00387E52">
              <w:rPr>
                <w:rFonts w:cstheme="minorHAnsi"/>
                <w:b/>
                <w:bCs/>
                <w:sz w:val="20"/>
                <w:szCs w:val="20"/>
              </w:rPr>
              <w:t>Analysis</w:t>
            </w:r>
          </w:p>
        </w:tc>
        <w:tc>
          <w:tcPr>
            <w:tcW w:w="1843" w:type="dxa"/>
            <w:vAlign w:val="center"/>
          </w:tcPr>
          <w:p w14:paraId="1DEF603F" w14:textId="1938313E" w:rsidR="002361CD" w:rsidRPr="00387E52" w:rsidRDefault="002361CD" w:rsidP="00387E52">
            <w:pPr>
              <w:tabs>
                <w:tab w:val="left" w:pos="8277"/>
              </w:tabs>
              <w:jc w:val="center"/>
              <w:rPr>
                <w:rFonts w:cstheme="minorHAnsi"/>
                <w:b/>
                <w:bCs/>
                <w:sz w:val="20"/>
                <w:szCs w:val="20"/>
              </w:rPr>
            </w:pPr>
            <w:r w:rsidRPr="00387E52">
              <w:rPr>
                <w:rFonts w:cstheme="minorHAnsi"/>
                <w:b/>
                <w:bCs/>
                <w:sz w:val="20"/>
                <w:szCs w:val="20"/>
              </w:rPr>
              <w:t>N included (Newsletter, No newsletter)</w:t>
            </w:r>
          </w:p>
        </w:tc>
        <w:tc>
          <w:tcPr>
            <w:tcW w:w="1701" w:type="dxa"/>
            <w:vAlign w:val="center"/>
          </w:tcPr>
          <w:p w14:paraId="034C0BDC" w14:textId="11F91FA2" w:rsidR="002361CD" w:rsidRPr="00387E52" w:rsidRDefault="002361CD" w:rsidP="00387E52">
            <w:pPr>
              <w:tabs>
                <w:tab w:val="left" w:pos="8277"/>
              </w:tabs>
              <w:jc w:val="center"/>
              <w:rPr>
                <w:rFonts w:cstheme="minorHAnsi"/>
                <w:b/>
                <w:bCs/>
                <w:sz w:val="20"/>
                <w:szCs w:val="20"/>
              </w:rPr>
            </w:pPr>
            <w:r w:rsidRPr="00387E52">
              <w:rPr>
                <w:rFonts w:cstheme="minorHAnsi"/>
                <w:b/>
                <w:bCs/>
                <w:sz w:val="20"/>
                <w:szCs w:val="20"/>
              </w:rPr>
              <w:t>Statistic</w:t>
            </w:r>
          </w:p>
        </w:tc>
        <w:tc>
          <w:tcPr>
            <w:tcW w:w="1701" w:type="dxa"/>
            <w:vAlign w:val="center"/>
          </w:tcPr>
          <w:p w14:paraId="176FA887" w14:textId="74BEBD53" w:rsidR="002361CD" w:rsidRPr="00387E52" w:rsidRDefault="002361CD" w:rsidP="00387E52">
            <w:pPr>
              <w:tabs>
                <w:tab w:val="left" w:pos="8277"/>
              </w:tabs>
              <w:jc w:val="center"/>
              <w:rPr>
                <w:rFonts w:cstheme="minorHAnsi"/>
                <w:b/>
                <w:bCs/>
                <w:sz w:val="20"/>
                <w:szCs w:val="20"/>
              </w:rPr>
            </w:pPr>
            <w:r w:rsidRPr="00387E52">
              <w:rPr>
                <w:rFonts w:cstheme="minorHAnsi"/>
                <w:b/>
                <w:bCs/>
                <w:sz w:val="20"/>
                <w:szCs w:val="20"/>
              </w:rPr>
              <w:t>95% CI</w:t>
            </w:r>
          </w:p>
        </w:tc>
        <w:tc>
          <w:tcPr>
            <w:tcW w:w="1366" w:type="dxa"/>
            <w:vAlign w:val="center"/>
          </w:tcPr>
          <w:p w14:paraId="31A0FFF7" w14:textId="3C5F50CB" w:rsidR="002361CD" w:rsidRPr="00387E52" w:rsidRDefault="002361CD" w:rsidP="00387E52">
            <w:pPr>
              <w:tabs>
                <w:tab w:val="left" w:pos="8277"/>
              </w:tabs>
              <w:jc w:val="center"/>
              <w:rPr>
                <w:rFonts w:cstheme="minorHAnsi"/>
                <w:b/>
                <w:bCs/>
                <w:sz w:val="20"/>
                <w:szCs w:val="20"/>
              </w:rPr>
            </w:pPr>
            <w:r w:rsidRPr="00387E52">
              <w:rPr>
                <w:rFonts w:cstheme="minorHAnsi"/>
                <w:b/>
                <w:bCs/>
                <w:sz w:val="20"/>
                <w:szCs w:val="20"/>
              </w:rPr>
              <w:t>P-value</w:t>
            </w:r>
          </w:p>
        </w:tc>
      </w:tr>
      <w:tr w:rsidR="002361CD" w14:paraId="157CA4CA" w14:textId="77777777" w:rsidTr="00387E52">
        <w:tc>
          <w:tcPr>
            <w:tcW w:w="2405" w:type="dxa"/>
          </w:tcPr>
          <w:p w14:paraId="182DB9F0" w14:textId="33044F1F" w:rsidR="002361CD" w:rsidRPr="00387E52" w:rsidRDefault="002361CD" w:rsidP="002361CD">
            <w:pPr>
              <w:tabs>
                <w:tab w:val="left" w:pos="8277"/>
              </w:tabs>
              <w:jc w:val="center"/>
              <w:rPr>
                <w:rFonts w:cstheme="minorHAnsi"/>
                <w:b/>
                <w:bCs/>
                <w:sz w:val="20"/>
                <w:szCs w:val="20"/>
              </w:rPr>
            </w:pPr>
            <w:r w:rsidRPr="00387E52">
              <w:rPr>
                <w:rFonts w:cstheme="minorHAnsi"/>
                <w:sz w:val="20"/>
                <w:szCs w:val="20"/>
              </w:rPr>
              <w:t>Primary: Retention Rate</w:t>
            </w:r>
          </w:p>
        </w:tc>
        <w:tc>
          <w:tcPr>
            <w:tcW w:w="1843" w:type="dxa"/>
          </w:tcPr>
          <w:p w14:paraId="2D42E3A3" w14:textId="684DC0D9" w:rsidR="002361CD" w:rsidRPr="00387E52" w:rsidRDefault="002361CD" w:rsidP="002361CD">
            <w:pPr>
              <w:tabs>
                <w:tab w:val="left" w:pos="8277"/>
              </w:tabs>
              <w:jc w:val="center"/>
              <w:rPr>
                <w:rFonts w:cstheme="minorHAnsi"/>
                <w:sz w:val="20"/>
                <w:szCs w:val="20"/>
              </w:rPr>
            </w:pPr>
            <w:r w:rsidRPr="00387E52">
              <w:rPr>
                <w:rFonts w:cstheme="minorHAnsi"/>
                <w:sz w:val="20"/>
                <w:szCs w:val="20"/>
              </w:rPr>
              <w:t>6</w:t>
            </w:r>
            <w:r w:rsidR="00C31F6E">
              <w:rPr>
                <w:rFonts w:cstheme="minorHAnsi"/>
                <w:sz w:val="20"/>
                <w:szCs w:val="20"/>
              </w:rPr>
              <w:t>6</w:t>
            </w:r>
            <w:r w:rsidRPr="00387E52">
              <w:rPr>
                <w:rFonts w:cstheme="minorHAnsi"/>
                <w:sz w:val="20"/>
                <w:szCs w:val="20"/>
              </w:rPr>
              <w:t xml:space="preserve"> (2</w:t>
            </w:r>
            <w:r w:rsidR="00C31F6E">
              <w:rPr>
                <w:rFonts w:cstheme="minorHAnsi"/>
                <w:sz w:val="20"/>
                <w:szCs w:val="20"/>
              </w:rPr>
              <w:t>7</w:t>
            </w:r>
            <w:r w:rsidRPr="00387E52">
              <w:rPr>
                <w:rFonts w:cstheme="minorHAnsi"/>
                <w:sz w:val="20"/>
                <w:szCs w:val="20"/>
              </w:rPr>
              <w:t>, 39)</w:t>
            </w:r>
          </w:p>
        </w:tc>
        <w:tc>
          <w:tcPr>
            <w:tcW w:w="1701" w:type="dxa"/>
          </w:tcPr>
          <w:p w14:paraId="7A23A792" w14:textId="2D541C26" w:rsidR="002361CD" w:rsidRPr="00387E52" w:rsidRDefault="002361CD" w:rsidP="002361CD">
            <w:pPr>
              <w:tabs>
                <w:tab w:val="left" w:pos="8277"/>
              </w:tabs>
              <w:jc w:val="center"/>
              <w:rPr>
                <w:rFonts w:cstheme="minorHAnsi"/>
                <w:sz w:val="20"/>
                <w:szCs w:val="20"/>
              </w:rPr>
            </w:pPr>
            <w:r w:rsidRPr="00387E52">
              <w:rPr>
                <w:rFonts w:cstheme="minorHAnsi"/>
                <w:sz w:val="20"/>
                <w:szCs w:val="20"/>
              </w:rPr>
              <w:t xml:space="preserve">OR = </w:t>
            </w:r>
            <w:r w:rsidR="00C31F6E">
              <w:rPr>
                <w:rFonts w:cstheme="minorHAnsi"/>
                <w:sz w:val="20"/>
                <w:szCs w:val="20"/>
              </w:rPr>
              <w:t>2.17</w:t>
            </w:r>
          </w:p>
        </w:tc>
        <w:tc>
          <w:tcPr>
            <w:tcW w:w="1701" w:type="dxa"/>
          </w:tcPr>
          <w:p w14:paraId="44E0978E" w14:textId="6D53A1D7" w:rsidR="002361CD" w:rsidRPr="00387E52" w:rsidRDefault="00850709" w:rsidP="002361CD">
            <w:pPr>
              <w:tabs>
                <w:tab w:val="left" w:pos="8277"/>
              </w:tabs>
              <w:jc w:val="center"/>
              <w:rPr>
                <w:rFonts w:cstheme="minorHAnsi"/>
                <w:sz w:val="20"/>
                <w:szCs w:val="20"/>
              </w:rPr>
            </w:pPr>
            <w:r>
              <w:rPr>
                <w:rFonts w:cstheme="minorHAnsi"/>
                <w:sz w:val="20"/>
                <w:szCs w:val="20"/>
              </w:rPr>
              <w:t>0.</w:t>
            </w:r>
            <w:r w:rsidR="00C31F6E">
              <w:rPr>
                <w:rFonts w:cstheme="minorHAnsi"/>
                <w:sz w:val="20"/>
                <w:szCs w:val="20"/>
              </w:rPr>
              <w:t>21</w:t>
            </w:r>
            <w:r>
              <w:rPr>
                <w:rFonts w:cstheme="minorHAnsi"/>
                <w:sz w:val="20"/>
                <w:szCs w:val="20"/>
              </w:rPr>
              <w:t xml:space="preserve"> – </w:t>
            </w:r>
            <w:r w:rsidR="00C31F6E">
              <w:rPr>
                <w:rFonts w:cstheme="minorHAnsi"/>
                <w:sz w:val="20"/>
                <w:szCs w:val="20"/>
              </w:rPr>
              <w:t>22.02</w:t>
            </w:r>
          </w:p>
        </w:tc>
        <w:tc>
          <w:tcPr>
            <w:tcW w:w="1366" w:type="dxa"/>
          </w:tcPr>
          <w:p w14:paraId="772304D0" w14:textId="53FC9759" w:rsidR="002361CD" w:rsidRPr="00387E52" w:rsidRDefault="00850709" w:rsidP="002361CD">
            <w:pPr>
              <w:tabs>
                <w:tab w:val="left" w:pos="8277"/>
              </w:tabs>
              <w:jc w:val="center"/>
              <w:rPr>
                <w:rFonts w:cstheme="minorHAnsi"/>
                <w:sz w:val="20"/>
                <w:szCs w:val="20"/>
              </w:rPr>
            </w:pPr>
            <w:r>
              <w:rPr>
                <w:rFonts w:cstheme="minorHAnsi"/>
                <w:sz w:val="20"/>
                <w:szCs w:val="20"/>
              </w:rPr>
              <w:t>0.</w:t>
            </w:r>
            <w:r w:rsidR="00C31F6E">
              <w:rPr>
                <w:rFonts w:cstheme="minorHAnsi"/>
                <w:sz w:val="20"/>
                <w:szCs w:val="20"/>
              </w:rPr>
              <w:t>51</w:t>
            </w:r>
          </w:p>
        </w:tc>
      </w:tr>
      <w:tr w:rsidR="002361CD" w14:paraId="4998C38F" w14:textId="77777777" w:rsidTr="002361CD">
        <w:tc>
          <w:tcPr>
            <w:tcW w:w="2405" w:type="dxa"/>
          </w:tcPr>
          <w:p w14:paraId="2E5AC3C8" w14:textId="192C9EB1" w:rsidR="002361CD" w:rsidRPr="002361CD" w:rsidRDefault="002361CD" w:rsidP="002361CD">
            <w:pPr>
              <w:tabs>
                <w:tab w:val="left" w:pos="8277"/>
              </w:tabs>
              <w:jc w:val="center"/>
              <w:rPr>
                <w:rFonts w:cstheme="minorHAnsi"/>
                <w:sz w:val="20"/>
                <w:szCs w:val="20"/>
              </w:rPr>
            </w:pPr>
            <w:r>
              <w:rPr>
                <w:rFonts w:cstheme="minorHAnsi"/>
                <w:sz w:val="20"/>
                <w:szCs w:val="20"/>
              </w:rPr>
              <w:t>Secondary: Completion of primary outcome</w:t>
            </w:r>
          </w:p>
        </w:tc>
        <w:tc>
          <w:tcPr>
            <w:tcW w:w="1843" w:type="dxa"/>
          </w:tcPr>
          <w:p w14:paraId="6B1591D1" w14:textId="350CFDD1" w:rsidR="002361CD" w:rsidRPr="002361CD" w:rsidRDefault="00C31F6E" w:rsidP="002361CD">
            <w:pPr>
              <w:tabs>
                <w:tab w:val="left" w:pos="8277"/>
              </w:tabs>
              <w:jc w:val="center"/>
              <w:rPr>
                <w:rFonts w:cstheme="minorHAnsi"/>
                <w:sz w:val="20"/>
                <w:szCs w:val="20"/>
              </w:rPr>
            </w:pPr>
            <w:r>
              <w:rPr>
                <w:rFonts w:cstheme="minorHAnsi"/>
                <w:sz w:val="20"/>
                <w:szCs w:val="20"/>
              </w:rPr>
              <w:t>62</w:t>
            </w:r>
            <w:r w:rsidR="002B25E0">
              <w:rPr>
                <w:rFonts w:cstheme="minorHAnsi"/>
                <w:sz w:val="20"/>
                <w:szCs w:val="20"/>
              </w:rPr>
              <w:t xml:space="preserve"> (</w:t>
            </w:r>
            <w:r>
              <w:rPr>
                <w:rFonts w:cstheme="minorHAnsi"/>
                <w:sz w:val="20"/>
                <w:szCs w:val="20"/>
              </w:rPr>
              <w:t>26</w:t>
            </w:r>
            <w:r w:rsidR="002B25E0">
              <w:rPr>
                <w:rFonts w:cstheme="minorHAnsi"/>
                <w:sz w:val="20"/>
                <w:szCs w:val="20"/>
              </w:rPr>
              <w:t>, 3</w:t>
            </w:r>
            <w:r>
              <w:rPr>
                <w:rFonts w:cstheme="minorHAnsi"/>
                <w:sz w:val="20"/>
                <w:szCs w:val="20"/>
              </w:rPr>
              <w:t>6</w:t>
            </w:r>
            <w:r w:rsidR="002B25E0">
              <w:rPr>
                <w:rFonts w:cstheme="minorHAnsi"/>
                <w:sz w:val="20"/>
                <w:szCs w:val="20"/>
              </w:rPr>
              <w:t>)</w:t>
            </w:r>
          </w:p>
        </w:tc>
        <w:tc>
          <w:tcPr>
            <w:tcW w:w="1701" w:type="dxa"/>
          </w:tcPr>
          <w:p w14:paraId="3587E7AD" w14:textId="30D4CF36" w:rsidR="002361CD" w:rsidRPr="002361CD" w:rsidRDefault="002B25E0" w:rsidP="002361CD">
            <w:pPr>
              <w:tabs>
                <w:tab w:val="left" w:pos="8277"/>
              </w:tabs>
              <w:jc w:val="center"/>
              <w:rPr>
                <w:rFonts w:cstheme="minorHAnsi"/>
                <w:sz w:val="20"/>
                <w:szCs w:val="20"/>
              </w:rPr>
            </w:pPr>
            <w:r>
              <w:rPr>
                <w:rFonts w:cstheme="minorHAnsi"/>
                <w:sz w:val="20"/>
                <w:szCs w:val="20"/>
              </w:rPr>
              <w:t xml:space="preserve">OR = </w:t>
            </w:r>
            <w:r w:rsidR="00C31F6E">
              <w:rPr>
                <w:rFonts w:cstheme="minorHAnsi"/>
                <w:sz w:val="20"/>
                <w:szCs w:val="20"/>
              </w:rPr>
              <w:t>0.72</w:t>
            </w:r>
          </w:p>
        </w:tc>
        <w:tc>
          <w:tcPr>
            <w:tcW w:w="1701" w:type="dxa"/>
          </w:tcPr>
          <w:p w14:paraId="39CFAF4A" w14:textId="555CB24C" w:rsidR="002361CD" w:rsidRPr="002361CD" w:rsidRDefault="002B25E0" w:rsidP="002361CD">
            <w:pPr>
              <w:tabs>
                <w:tab w:val="left" w:pos="8277"/>
              </w:tabs>
              <w:jc w:val="center"/>
              <w:rPr>
                <w:rFonts w:cstheme="minorHAnsi"/>
                <w:sz w:val="20"/>
                <w:szCs w:val="20"/>
              </w:rPr>
            </w:pPr>
            <w:r>
              <w:rPr>
                <w:rFonts w:cstheme="minorHAnsi"/>
                <w:sz w:val="20"/>
                <w:szCs w:val="20"/>
              </w:rPr>
              <w:t>0.</w:t>
            </w:r>
            <w:r w:rsidR="00C31F6E">
              <w:rPr>
                <w:rFonts w:cstheme="minorHAnsi"/>
                <w:sz w:val="20"/>
                <w:szCs w:val="20"/>
              </w:rPr>
              <w:t>04</w:t>
            </w:r>
            <w:r>
              <w:rPr>
                <w:rFonts w:cstheme="minorHAnsi"/>
                <w:sz w:val="20"/>
                <w:szCs w:val="20"/>
              </w:rPr>
              <w:t xml:space="preserve"> – </w:t>
            </w:r>
            <w:r w:rsidR="00C31F6E">
              <w:rPr>
                <w:rFonts w:cstheme="minorHAnsi"/>
                <w:sz w:val="20"/>
                <w:szCs w:val="20"/>
              </w:rPr>
              <w:t>12</w:t>
            </w:r>
            <w:r>
              <w:rPr>
                <w:rFonts w:cstheme="minorHAnsi"/>
                <w:sz w:val="20"/>
                <w:szCs w:val="20"/>
              </w:rPr>
              <w:t>.</w:t>
            </w:r>
            <w:r w:rsidR="00C31F6E">
              <w:rPr>
                <w:rFonts w:cstheme="minorHAnsi"/>
                <w:sz w:val="20"/>
                <w:szCs w:val="20"/>
              </w:rPr>
              <w:t>70</w:t>
            </w:r>
          </w:p>
        </w:tc>
        <w:tc>
          <w:tcPr>
            <w:tcW w:w="1366" w:type="dxa"/>
          </w:tcPr>
          <w:p w14:paraId="6F8482BF" w14:textId="3A5BDA57" w:rsidR="002361CD" w:rsidRPr="002361CD" w:rsidRDefault="002B25E0" w:rsidP="002361CD">
            <w:pPr>
              <w:tabs>
                <w:tab w:val="left" w:pos="8277"/>
              </w:tabs>
              <w:jc w:val="center"/>
              <w:rPr>
                <w:rFonts w:cstheme="minorHAnsi"/>
                <w:sz w:val="20"/>
                <w:szCs w:val="20"/>
              </w:rPr>
            </w:pPr>
            <w:r>
              <w:rPr>
                <w:rFonts w:cstheme="minorHAnsi"/>
                <w:sz w:val="20"/>
                <w:szCs w:val="20"/>
              </w:rPr>
              <w:t>0.</w:t>
            </w:r>
            <w:r w:rsidR="00C31F6E">
              <w:rPr>
                <w:rFonts w:cstheme="minorHAnsi"/>
                <w:sz w:val="20"/>
                <w:szCs w:val="20"/>
              </w:rPr>
              <w:t>82</w:t>
            </w:r>
          </w:p>
        </w:tc>
      </w:tr>
      <w:tr w:rsidR="00387E52" w14:paraId="746C8E4D" w14:textId="77777777" w:rsidTr="002361CD">
        <w:tc>
          <w:tcPr>
            <w:tcW w:w="2405" w:type="dxa"/>
          </w:tcPr>
          <w:p w14:paraId="55B48BB5" w14:textId="2A7D5AA3" w:rsidR="00387E52" w:rsidRDefault="00387E52" w:rsidP="002361CD">
            <w:pPr>
              <w:tabs>
                <w:tab w:val="left" w:pos="8277"/>
              </w:tabs>
              <w:jc w:val="center"/>
              <w:rPr>
                <w:rFonts w:cstheme="minorHAnsi"/>
                <w:sz w:val="20"/>
                <w:szCs w:val="20"/>
              </w:rPr>
            </w:pPr>
            <w:r>
              <w:rPr>
                <w:rFonts w:cstheme="minorHAnsi"/>
                <w:sz w:val="20"/>
                <w:szCs w:val="20"/>
              </w:rPr>
              <w:t>Secondary: Proximity of completion</w:t>
            </w:r>
          </w:p>
        </w:tc>
        <w:tc>
          <w:tcPr>
            <w:tcW w:w="1843" w:type="dxa"/>
          </w:tcPr>
          <w:p w14:paraId="0A608B2E" w14:textId="43188D6D" w:rsidR="00387E52" w:rsidRDefault="003B6813" w:rsidP="002361CD">
            <w:pPr>
              <w:tabs>
                <w:tab w:val="left" w:pos="8277"/>
              </w:tabs>
              <w:jc w:val="center"/>
              <w:rPr>
                <w:rFonts w:cstheme="minorHAnsi"/>
                <w:sz w:val="20"/>
                <w:szCs w:val="20"/>
              </w:rPr>
            </w:pPr>
            <w:r w:rsidRPr="00387E52">
              <w:rPr>
                <w:rFonts w:cstheme="minorHAnsi"/>
                <w:sz w:val="20"/>
                <w:szCs w:val="20"/>
              </w:rPr>
              <w:t>6</w:t>
            </w:r>
            <w:r>
              <w:rPr>
                <w:rFonts w:cstheme="minorHAnsi"/>
                <w:sz w:val="20"/>
                <w:szCs w:val="20"/>
              </w:rPr>
              <w:t>6</w:t>
            </w:r>
            <w:r w:rsidRPr="00387E52">
              <w:rPr>
                <w:rFonts w:cstheme="minorHAnsi"/>
                <w:sz w:val="20"/>
                <w:szCs w:val="20"/>
              </w:rPr>
              <w:t xml:space="preserve"> (2</w:t>
            </w:r>
            <w:r>
              <w:rPr>
                <w:rFonts w:cstheme="minorHAnsi"/>
                <w:sz w:val="20"/>
                <w:szCs w:val="20"/>
              </w:rPr>
              <w:t>7</w:t>
            </w:r>
            <w:r w:rsidRPr="00387E52">
              <w:rPr>
                <w:rFonts w:cstheme="minorHAnsi"/>
                <w:sz w:val="20"/>
                <w:szCs w:val="20"/>
              </w:rPr>
              <w:t>, 39)</w:t>
            </w:r>
          </w:p>
        </w:tc>
        <w:tc>
          <w:tcPr>
            <w:tcW w:w="1701" w:type="dxa"/>
          </w:tcPr>
          <w:p w14:paraId="34C810D2" w14:textId="600A26F4" w:rsidR="00387E52" w:rsidRDefault="003B6813" w:rsidP="002361CD">
            <w:pPr>
              <w:tabs>
                <w:tab w:val="left" w:pos="8277"/>
              </w:tabs>
              <w:jc w:val="center"/>
              <w:rPr>
                <w:rFonts w:cstheme="minorHAnsi"/>
                <w:sz w:val="20"/>
                <w:szCs w:val="20"/>
              </w:rPr>
            </w:pPr>
            <w:r>
              <w:rPr>
                <w:rFonts w:cstheme="minorHAnsi"/>
                <w:sz w:val="20"/>
                <w:szCs w:val="20"/>
              </w:rPr>
              <w:t>HR = 1.23</w:t>
            </w:r>
          </w:p>
        </w:tc>
        <w:tc>
          <w:tcPr>
            <w:tcW w:w="1701" w:type="dxa"/>
          </w:tcPr>
          <w:p w14:paraId="7A3A0919" w14:textId="7939243D" w:rsidR="00387E52" w:rsidRDefault="003B6813" w:rsidP="002361CD">
            <w:pPr>
              <w:tabs>
                <w:tab w:val="left" w:pos="8277"/>
              </w:tabs>
              <w:jc w:val="center"/>
              <w:rPr>
                <w:rFonts w:cstheme="minorHAnsi"/>
                <w:sz w:val="20"/>
                <w:szCs w:val="20"/>
              </w:rPr>
            </w:pPr>
            <w:r>
              <w:rPr>
                <w:rFonts w:cstheme="minorHAnsi"/>
                <w:sz w:val="20"/>
                <w:szCs w:val="20"/>
              </w:rPr>
              <w:t>0.74 – 2.05</w:t>
            </w:r>
          </w:p>
        </w:tc>
        <w:tc>
          <w:tcPr>
            <w:tcW w:w="1366" w:type="dxa"/>
          </w:tcPr>
          <w:p w14:paraId="1F7C08DB" w14:textId="6FACD236" w:rsidR="00387E52" w:rsidRDefault="003B6813" w:rsidP="002361CD">
            <w:pPr>
              <w:tabs>
                <w:tab w:val="left" w:pos="8277"/>
              </w:tabs>
              <w:jc w:val="center"/>
              <w:rPr>
                <w:rFonts w:cstheme="minorHAnsi"/>
                <w:sz w:val="20"/>
                <w:szCs w:val="20"/>
              </w:rPr>
            </w:pPr>
            <w:r>
              <w:rPr>
                <w:rFonts w:cstheme="minorHAnsi"/>
                <w:sz w:val="20"/>
                <w:szCs w:val="20"/>
              </w:rPr>
              <w:t>0.43</w:t>
            </w:r>
          </w:p>
        </w:tc>
      </w:tr>
    </w:tbl>
    <w:p w14:paraId="4EEAE4A8" w14:textId="08CD1162" w:rsidR="002361CD" w:rsidRPr="003B6813" w:rsidRDefault="003B6813" w:rsidP="00847FAE">
      <w:pPr>
        <w:tabs>
          <w:tab w:val="left" w:pos="8277"/>
        </w:tabs>
        <w:rPr>
          <w:rFonts w:cstheme="minorHAnsi"/>
          <w:sz w:val="18"/>
          <w:szCs w:val="18"/>
        </w:rPr>
      </w:pPr>
      <w:r w:rsidRPr="003B6813">
        <w:rPr>
          <w:rFonts w:cstheme="minorHAnsi"/>
          <w:sz w:val="18"/>
          <w:szCs w:val="18"/>
        </w:rPr>
        <w:t>OR = Odd Ratio, HR = Hazards Ratio</w:t>
      </w:r>
      <w:r w:rsidR="004F01BF">
        <w:rPr>
          <w:rFonts w:cstheme="minorHAnsi"/>
          <w:sz w:val="18"/>
          <w:szCs w:val="18"/>
        </w:rPr>
        <w:t>, CI = Confidence Interval</w:t>
      </w:r>
    </w:p>
    <w:p w14:paraId="282A6A44" w14:textId="77777777" w:rsidR="002361CD" w:rsidRDefault="002361CD" w:rsidP="00387E52">
      <w:pPr>
        <w:tabs>
          <w:tab w:val="left" w:pos="8277"/>
        </w:tabs>
        <w:rPr>
          <w:rFonts w:cstheme="minorHAnsi"/>
        </w:rPr>
      </w:pPr>
    </w:p>
    <w:p w14:paraId="1E0D8CE5" w14:textId="77777777" w:rsidR="00387E52" w:rsidRDefault="00387E52">
      <w:pPr>
        <w:rPr>
          <w:rFonts w:cstheme="minorHAnsi"/>
        </w:rPr>
      </w:pPr>
      <w:r>
        <w:rPr>
          <w:rFonts w:cstheme="minorHAnsi"/>
        </w:rPr>
        <w:br w:type="page"/>
      </w:r>
    </w:p>
    <w:p w14:paraId="19B3D498" w14:textId="26A46EA5" w:rsidR="00387E52" w:rsidRDefault="005E25D6" w:rsidP="00387E52">
      <w:pPr>
        <w:rPr>
          <w:rFonts w:cstheme="minorHAnsi"/>
        </w:rPr>
      </w:pPr>
      <w:r>
        <w:rPr>
          <w:rFonts w:cstheme="minorHAnsi"/>
          <w:noProof/>
        </w:rPr>
        <w:lastRenderedPageBreak/>
        <w:drawing>
          <wp:inline distT="0" distB="0" distL="0" distR="0" wp14:anchorId="31117A09" wp14:editId="51EB9712">
            <wp:extent cx="5436266" cy="5173870"/>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1591" cy="5178938"/>
                    </a:xfrm>
                    <a:prstGeom prst="rect">
                      <a:avLst/>
                    </a:prstGeom>
                    <a:noFill/>
                  </pic:spPr>
                </pic:pic>
              </a:graphicData>
            </a:graphic>
          </wp:inline>
        </w:drawing>
      </w:r>
      <w:r w:rsidR="00387E52">
        <w:rPr>
          <w:rFonts w:cstheme="minorHAnsi"/>
        </w:rPr>
        <w:t xml:space="preserve">Figure 1: Flow of participants through the embedded trial </w:t>
      </w:r>
    </w:p>
    <w:p w14:paraId="010B8CFA" w14:textId="40BB4018" w:rsidR="00574F8C" w:rsidRDefault="00C17D08" w:rsidP="00387E52">
      <w:pPr>
        <w:rPr>
          <w:rFonts w:cstheme="minorHAnsi"/>
        </w:rPr>
      </w:pPr>
      <w:r w:rsidRPr="00C17D08">
        <w:rPr>
          <w:rFonts w:cstheme="minorHAnsi"/>
          <w:noProof/>
        </w:rPr>
        <w:drawing>
          <wp:inline distT="0" distB="0" distL="0" distR="0" wp14:anchorId="2DCCCD08" wp14:editId="6338B18F">
            <wp:extent cx="5731510" cy="27006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00655"/>
                    </a:xfrm>
                    <a:prstGeom prst="rect">
                      <a:avLst/>
                    </a:prstGeom>
                    <a:noFill/>
                    <a:ln>
                      <a:noFill/>
                    </a:ln>
                  </pic:spPr>
                </pic:pic>
              </a:graphicData>
            </a:graphic>
          </wp:inline>
        </w:drawing>
      </w:r>
    </w:p>
    <w:p w14:paraId="731E96B6" w14:textId="77777777" w:rsidR="00F576F5" w:rsidRDefault="00F576F5" w:rsidP="00F576F5">
      <w:pPr>
        <w:rPr>
          <w:rFonts w:cstheme="minorHAnsi"/>
        </w:rPr>
      </w:pPr>
      <w:r>
        <w:rPr>
          <w:rFonts w:cstheme="minorHAnsi"/>
        </w:rPr>
        <w:t>Figure 2: Forest plot of the combined results</w:t>
      </w:r>
    </w:p>
    <w:p w14:paraId="776EEA9C" w14:textId="3DD2DAEA" w:rsidR="00847FAE" w:rsidRDefault="00847FAE">
      <w:pPr>
        <w:rPr>
          <w:rFonts w:cstheme="minorHAnsi"/>
          <w:b/>
          <w:sz w:val="28"/>
          <w:szCs w:val="28"/>
        </w:rPr>
      </w:pPr>
    </w:p>
    <w:p w14:paraId="3936EF15" w14:textId="1AAC462E" w:rsidR="00A54BEF" w:rsidRPr="00DC7D0D" w:rsidRDefault="0078506A" w:rsidP="00387E52">
      <w:pPr>
        <w:rPr>
          <w:rFonts w:cstheme="minorHAnsi"/>
          <w:bCs/>
        </w:rPr>
      </w:pPr>
      <w:r w:rsidRPr="00DC7D0D">
        <w:rPr>
          <w:rFonts w:cstheme="minorHAnsi"/>
          <w:bCs/>
        </w:rPr>
        <w:lastRenderedPageBreak/>
        <w:t>References:</w:t>
      </w:r>
    </w:p>
    <w:p w14:paraId="4335F72E" w14:textId="5CC93DCE" w:rsidR="0078506A" w:rsidRPr="00DC7D0D" w:rsidRDefault="0078506A" w:rsidP="0078506A">
      <w:pPr>
        <w:pStyle w:val="ListParagraph"/>
        <w:numPr>
          <w:ilvl w:val="0"/>
          <w:numId w:val="4"/>
        </w:numPr>
        <w:rPr>
          <w:rFonts w:cstheme="minorHAnsi"/>
          <w:bCs/>
        </w:rPr>
      </w:pPr>
      <w:r w:rsidRPr="00DC7D0D">
        <w:rPr>
          <w:rFonts w:cstheme="minorHAnsi"/>
          <w:shd w:val="clear" w:color="auto" w:fill="FFFFFF"/>
        </w:rPr>
        <w:t>Bower P, Brueton V, Gamble C, </w:t>
      </w:r>
      <w:r w:rsidRPr="00DC7D0D">
        <w:rPr>
          <w:rFonts w:cstheme="minorHAnsi"/>
          <w:i/>
          <w:iCs/>
          <w:shd w:val="clear" w:color="auto" w:fill="FFFFFF"/>
        </w:rPr>
        <w:t>et al.</w:t>
      </w:r>
      <w:r w:rsidRPr="00DC7D0D">
        <w:rPr>
          <w:rFonts w:cstheme="minorHAnsi"/>
          <w:shd w:val="clear" w:color="auto" w:fill="FFFFFF"/>
        </w:rPr>
        <w:t xml:space="preserve"> Interventions to improve recruitment and retention in clinical trials: a survey and workshop to assess current practice and future priorities. </w:t>
      </w:r>
      <w:r w:rsidRPr="00DC7D0D">
        <w:rPr>
          <w:rFonts w:cstheme="minorHAnsi"/>
          <w:i/>
          <w:iCs/>
          <w:shd w:val="clear" w:color="auto" w:fill="FFFFFF"/>
        </w:rPr>
        <w:t>Trials.</w:t>
      </w:r>
      <w:r w:rsidRPr="00DC7D0D">
        <w:rPr>
          <w:rFonts w:cstheme="minorHAnsi"/>
          <w:shd w:val="clear" w:color="auto" w:fill="FFFFFF"/>
        </w:rPr>
        <w:t> 2014; </w:t>
      </w:r>
      <w:r w:rsidRPr="00DC7D0D">
        <w:rPr>
          <w:rFonts w:cstheme="minorHAnsi"/>
          <w:b/>
          <w:bCs/>
          <w:shd w:val="clear" w:color="auto" w:fill="FFFFFF"/>
        </w:rPr>
        <w:t>15</w:t>
      </w:r>
      <w:r w:rsidRPr="00DC7D0D">
        <w:rPr>
          <w:rFonts w:cstheme="minorHAnsi"/>
          <w:shd w:val="clear" w:color="auto" w:fill="FFFFFF"/>
        </w:rPr>
        <w:t>(1)1: 399</w:t>
      </w:r>
    </w:p>
    <w:p w14:paraId="4F520F91" w14:textId="66724AD8" w:rsidR="0078506A" w:rsidRPr="00DC7D0D" w:rsidRDefault="0078506A" w:rsidP="0078506A">
      <w:pPr>
        <w:pStyle w:val="ListParagraph"/>
        <w:numPr>
          <w:ilvl w:val="0"/>
          <w:numId w:val="4"/>
        </w:numPr>
        <w:rPr>
          <w:rFonts w:cstheme="minorHAnsi"/>
          <w:bCs/>
        </w:rPr>
      </w:pPr>
      <w:r w:rsidRPr="00DC7D0D">
        <w:rPr>
          <w:rFonts w:cstheme="minorHAnsi"/>
          <w:shd w:val="clear" w:color="auto" w:fill="FFFFFF"/>
        </w:rPr>
        <w:t>Adamson J, Hewitt CE, Torgerson DJ</w:t>
      </w:r>
      <w:r w:rsidR="00DC7D0D">
        <w:rPr>
          <w:rFonts w:cstheme="minorHAnsi"/>
          <w:shd w:val="clear" w:color="auto" w:fill="FFFFFF"/>
        </w:rPr>
        <w:t>.</w:t>
      </w:r>
      <w:r w:rsidRPr="00DC7D0D">
        <w:rPr>
          <w:rFonts w:cstheme="minorHAnsi"/>
          <w:shd w:val="clear" w:color="auto" w:fill="FFFFFF"/>
        </w:rPr>
        <w:t xml:space="preserve"> Producing better evidence on how to improve randomised controlled trials. </w:t>
      </w:r>
      <w:r w:rsidRPr="00DC7D0D">
        <w:rPr>
          <w:rFonts w:cstheme="minorHAnsi"/>
          <w:i/>
          <w:iCs/>
          <w:shd w:val="clear" w:color="auto" w:fill="FFFFFF"/>
        </w:rPr>
        <w:t>BMJ.</w:t>
      </w:r>
      <w:r w:rsidRPr="00DC7D0D">
        <w:rPr>
          <w:rFonts w:cstheme="minorHAnsi"/>
          <w:shd w:val="clear" w:color="auto" w:fill="FFFFFF"/>
        </w:rPr>
        <w:t> 2015; </w:t>
      </w:r>
      <w:r w:rsidRPr="00DC7D0D">
        <w:rPr>
          <w:rFonts w:cstheme="minorHAnsi"/>
          <w:b/>
          <w:bCs/>
          <w:shd w:val="clear" w:color="auto" w:fill="FFFFFF"/>
        </w:rPr>
        <w:t>351</w:t>
      </w:r>
      <w:r w:rsidRPr="00DC7D0D">
        <w:rPr>
          <w:rFonts w:cstheme="minorHAnsi"/>
          <w:shd w:val="clear" w:color="auto" w:fill="FFFFFF"/>
        </w:rPr>
        <w:t>: h4923.</w:t>
      </w:r>
    </w:p>
    <w:p w14:paraId="05C39A34" w14:textId="49AE2D0A" w:rsidR="0078506A" w:rsidRPr="00DC7D0D" w:rsidRDefault="0078506A" w:rsidP="0078506A">
      <w:pPr>
        <w:pStyle w:val="ListParagraph"/>
        <w:numPr>
          <w:ilvl w:val="0"/>
          <w:numId w:val="4"/>
        </w:numPr>
        <w:rPr>
          <w:rFonts w:cstheme="minorHAnsi"/>
          <w:bCs/>
        </w:rPr>
      </w:pPr>
      <w:r w:rsidRPr="00DC7D0D">
        <w:rPr>
          <w:rFonts w:cstheme="minorHAnsi"/>
          <w:shd w:val="clear" w:color="auto" w:fill="FFFFFF"/>
        </w:rPr>
        <w:t>Treweek S, Bevan S, Bower P, </w:t>
      </w:r>
      <w:r w:rsidRPr="00DC7D0D">
        <w:rPr>
          <w:rFonts w:cstheme="minorHAnsi"/>
          <w:i/>
          <w:iCs/>
          <w:shd w:val="clear" w:color="auto" w:fill="FFFFFF"/>
        </w:rPr>
        <w:t>et al.</w:t>
      </w:r>
      <w:r w:rsidRPr="00DC7D0D">
        <w:rPr>
          <w:rFonts w:cstheme="minorHAnsi"/>
          <w:shd w:val="clear" w:color="auto" w:fill="FFFFFF"/>
        </w:rPr>
        <w:t xml:space="preserve"> Trial Forge Guidance 1: what is a Study Within A Trial (SWAT)? </w:t>
      </w:r>
      <w:r w:rsidRPr="00DC7D0D">
        <w:rPr>
          <w:rFonts w:cstheme="minorHAnsi"/>
          <w:i/>
          <w:iCs/>
          <w:shd w:val="clear" w:color="auto" w:fill="FFFFFF"/>
        </w:rPr>
        <w:t>Trials.</w:t>
      </w:r>
      <w:r w:rsidRPr="00DC7D0D">
        <w:rPr>
          <w:rFonts w:cstheme="minorHAnsi"/>
          <w:shd w:val="clear" w:color="auto" w:fill="FFFFFF"/>
        </w:rPr>
        <w:t> 2018; </w:t>
      </w:r>
      <w:r w:rsidRPr="00DC7D0D">
        <w:rPr>
          <w:rFonts w:cstheme="minorHAnsi"/>
          <w:b/>
          <w:bCs/>
          <w:shd w:val="clear" w:color="auto" w:fill="FFFFFF"/>
        </w:rPr>
        <w:t>19</w:t>
      </w:r>
      <w:r w:rsidRPr="00DC7D0D">
        <w:rPr>
          <w:rFonts w:cstheme="minorHAnsi"/>
          <w:shd w:val="clear" w:color="auto" w:fill="FFFFFF"/>
        </w:rPr>
        <w:t>(1): 139.</w:t>
      </w:r>
    </w:p>
    <w:p w14:paraId="14FD559D" w14:textId="3A02BA0A" w:rsidR="0078506A" w:rsidRPr="00DC7D0D" w:rsidRDefault="00DC7D0D" w:rsidP="0078506A">
      <w:pPr>
        <w:pStyle w:val="ListParagraph"/>
        <w:numPr>
          <w:ilvl w:val="0"/>
          <w:numId w:val="4"/>
        </w:numPr>
        <w:rPr>
          <w:rFonts w:cstheme="minorHAnsi"/>
          <w:bCs/>
        </w:rPr>
      </w:pPr>
      <w:r w:rsidRPr="00DC7D0D">
        <w:rPr>
          <w:rFonts w:cstheme="minorHAnsi"/>
          <w:bCs/>
        </w:rPr>
        <w:t>Gillies K, Kearney A, Keenan C</w:t>
      </w:r>
      <w:r w:rsidRPr="00DC7D0D">
        <w:rPr>
          <w:rFonts w:cstheme="minorHAnsi"/>
          <w:bCs/>
          <w:i/>
          <w:iCs/>
        </w:rPr>
        <w:t>, et al.</w:t>
      </w:r>
      <w:r w:rsidRPr="00DC7D0D">
        <w:rPr>
          <w:rFonts w:cstheme="minorHAnsi"/>
          <w:bCs/>
        </w:rPr>
        <w:t xml:space="preserve"> Strategies</w:t>
      </w:r>
      <w:r w:rsidRPr="00DC7D0D">
        <w:rPr>
          <w:rFonts w:cstheme="minorHAnsi"/>
          <w:bCs/>
          <w:i/>
          <w:iCs/>
        </w:rPr>
        <w:t xml:space="preserve"> </w:t>
      </w:r>
      <w:r w:rsidRPr="00DC7D0D">
        <w:rPr>
          <w:rFonts w:cstheme="minorHAnsi"/>
          <w:bCs/>
        </w:rPr>
        <w:t xml:space="preserve">to improve retention in randomised trials. </w:t>
      </w:r>
      <w:r w:rsidRPr="00DC7D0D">
        <w:rPr>
          <w:rFonts w:cstheme="minorHAnsi"/>
          <w:bCs/>
          <w:i/>
          <w:iCs/>
        </w:rPr>
        <w:t>Cochrane database of systematic reviews</w:t>
      </w:r>
      <w:r>
        <w:rPr>
          <w:rFonts w:cstheme="minorHAnsi"/>
          <w:bCs/>
          <w:i/>
          <w:iCs/>
        </w:rPr>
        <w:t>.</w:t>
      </w:r>
      <w:r w:rsidRPr="00DC7D0D">
        <w:rPr>
          <w:rFonts w:cstheme="minorHAnsi"/>
          <w:bCs/>
        </w:rPr>
        <w:t xml:space="preserve"> 2021. </w:t>
      </w:r>
    </w:p>
    <w:p w14:paraId="4D876CF2" w14:textId="4A80365F" w:rsidR="0078506A" w:rsidRPr="00DC7D0D" w:rsidRDefault="0078506A" w:rsidP="0078506A">
      <w:pPr>
        <w:pStyle w:val="ListParagraph"/>
        <w:numPr>
          <w:ilvl w:val="0"/>
          <w:numId w:val="4"/>
        </w:numPr>
        <w:rPr>
          <w:rFonts w:cstheme="minorHAnsi"/>
          <w:bCs/>
        </w:rPr>
      </w:pPr>
      <w:r w:rsidRPr="00DC7D0D">
        <w:rPr>
          <w:rStyle w:val="article-title-and-info"/>
          <w:rFonts w:cstheme="minorHAnsi"/>
          <w:shd w:val="clear" w:color="auto" w:fill="FFFFFF"/>
        </w:rPr>
        <w:t xml:space="preserve">Rodgers S, </w:t>
      </w:r>
      <w:proofErr w:type="spellStart"/>
      <w:r w:rsidRPr="00DC7D0D">
        <w:rPr>
          <w:rStyle w:val="article-title-and-info"/>
          <w:rFonts w:cstheme="minorHAnsi"/>
          <w:shd w:val="clear" w:color="auto" w:fill="FFFFFF"/>
        </w:rPr>
        <w:t>Sbizzera</w:t>
      </w:r>
      <w:proofErr w:type="spellEnd"/>
      <w:r w:rsidRPr="00DC7D0D">
        <w:rPr>
          <w:rStyle w:val="article-title-and-info"/>
          <w:rFonts w:cstheme="minorHAnsi"/>
          <w:shd w:val="clear" w:color="auto" w:fill="FFFFFF"/>
        </w:rPr>
        <w:t xml:space="preserve"> I, Cockayne S </w:t>
      </w:r>
      <w:r w:rsidRPr="00DC7D0D">
        <w:rPr>
          <w:rStyle w:val="Emphasis"/>
          <w:rFonts w:cstheme="minorHAnsi"/>
          <w:shd w:val="clear" w:color="auto" w:fill="FFFFFF"/>
        </w:rPr>
        <w:t>et al.</w:t>
      </w:r>
      <w:r w:rsidRPr="00DC7D0D">
        <w:rPr>
          <w:rStyle w:val="article-title-and-info"/>
          <w:rFonts w:cstheme="minorHAnsi"/>
          <w:shd w:val="clear" w:color="auto" w:fill="FFFFFF"/>
        </w:rPr>
        <w:t> A study update newsletter or Post-it® note did not increase postal questionnaire response rates in a falls prevention trial: an embedded randomised factorial trial [version 2; peer review: 2 approved]</w:t>
      </w:r>
      <w:r w:rsidRPr="00DC7D0D">
        <w:rPr>
          <w:rFonts w:cstheme="minorHAnsi"/>
          <w:shd w:val="clear" w:color="auto" w:fill="FFFFFF"/>
        </w:rPr>
        <w:t>. </w:t>
      </w:r>
      <w:r w:rsidRPr="00DC7D0D">
        <w:rPr>
          <w:rFonts w:cstheme="minorHAnsi"/>
          <w:i/>
          <w:iCs/>
          <w:shd w:val="clear" w:color="auto" w:fill="FFFFFF"/>
        </w:rPr>
        <w:t>F1000Research</w:t>
      </w:r>
      <w:r w:rsidRPr="00DC7D0D">
        <w:rPr>
          <w:rFonts w:cstheme="minorHAnsi"/>
          <w:shd w:val="clear" w:color="auto" w:fill="FFFFFF"/>
        </w:rPr>
        <w:t> 2019, </w:t>
      </w:r>
      <w:r w:rsidRPr="00DC7D0D">
        <w:rPr>
          <w:rFonts w:cstheme="minorHAnsi"/>
          <w:b/>
          <w:bCs/>
          <w:shd w:val="clear" w:color="auto" w:fill="FFFFFF"/>
        </w:rPr>
        <w:t>7</w:t>
      </w:r>
      <w:r w:rsidRPr="00DC7D0D">
        <w:rPr>
          <w:rFonts w:cstheme="minorHAnsi"/>
          <w:shd w:val="clear" w:color="auto" w:fill="FFFFFF"/>
        </w:rPr>
        <w:t xml:space="preserve">:1083 </w:t>
      </w:r>
    </w:p>
    <w:p w14:paraId="4E38BA49" w14:textId="408A6858" w:rsidR="0078506A" w:rsidRPr="00DC7D0D" w:rsidRDefault="0078506A" w:rsidP="0078506A">
      <w:pPr>
        <w:pStyle w:val="ListParagraph"/>
        <w:numPr>
          <w:ilvl w:val="0"/>
          <w:numId w:val="4"/>
        </w:numPr>
        <w:rPr>
          <w:rFonts w:cstheme="minorHAnsi"/>
          <w:bCs/>
        </w:rPr>
      </w:pPr>
      <w:proofErr w:type="spellStart"/>
      <w:r w:rsidRPr="00DC7D0D">
        <w:rPr>
          <w:rFonts w:cstheme="minorHAnsi"/>
          <w:bCs/>
        </w:rPr>
        <w:t>Goulao</w:t>
      </w:r>
      <w:proofErr w:type="spellEnd"/>
      <w:r w:rsidRPr="00DC7D0D">
        <w:rPr>
          <w:rFonts w:cstheme="minorHAnsi"/>
          <w:bCs/>
        </w:rPr>
        <w:t xml:space="preserve"> B, Duncan A, Ruth Floate R</w:t>
      </w:r>
      <w:r w:rsidRPr="00DC7D0D">
        <w:rPr>
          <w:rStyle w:val="Emphasis"/>
          <w:rFonts w:cstheme="minorHAnsi"/>
          <w:shd w:val="clear" w:color="auto" w:fill="FFFFFF"/>
        </w:rPr>
        <w:t xml:space="preserve"> et al</w:t>
      </w:r>
      <w:r w:rsidRPr="00DC7D0D">
        <w:rPr>
          <w:rFonts w:cstheme="minorHAnsi"/>
          <w:bCs/>
        </w:rPr>
        <w:t xml:space="preserve">. Three </w:t>
      </w:r>
      <w:proofErr w:type="spellStart"/>
      <w:r w:rsidRPr="00DC7D0D">
        <w:rPr>
          <w:rFonts w:cstheme="minorHAnsi"/>
          <w:bCs/>
        </w:rPr>
        <w:t>behavior</w:t>
      </w:r>
      <w:proofErr w:type="spellEnd"/>
      <w:r w:rsidRPr="00DC7D0D">
        <w:rPr>
          <w:rFonts w:cstheme="minorHAnsi"/>
          <w:bCs/>
        </w:rPr>
        <w:t xml:space="preserve"> change theory–informed randomized studies within a trial to improve response rates to trial postal questionnaires, </w:t>
      </w:r>
      <w:r w:rsidRPr="00DC7D0D">
        <w:rPr>
          <w:rFonts w:cstheme="minorHAnsi"/>
          <w:bCs/>
          <w:i/>
          <w:iCs/>
        </w:rPr>
        <w:t>Journal of Clinical Epidemiology</w:t>
      </w:r>
      <w:r w:rsidRPr="00DC7D0D">
        <w:rPr>
          <w:rFonts w:cstheme="minorHAnsi"/>
          <w:bCs/>
        </w:rPr>
        <w:t xml:space="preserve">, Volume 122, 2020, Pages 35-41, ISSN 0895-4356. </w:t>
      </w:r>
    </w:p>
    <w:p w14:paraId="46F2B4F5" w14:textId="47EEE6A1" w:rsidR="0078506A" w:rsidRPr="00DC7D0D" w:rsidRDefault="0078506A" w:rsidP="0078506A">
      <w:pPr>
        <w:pStyle w:val="ListParagraph"/>
        <w:numPr>
          <w:ilvl w:val="0"/>
          <w:numId w:val="4"/>
        </w:numPr>
        <w:rPr>
          <w:rFonts w:cstheme="minorHAnsi"/>
          <w:bCs/>
        </w:rPr>
      </w:pPr>
      <w:r w:rsidRPr="00DC7D0D">
        <w:rPr>
          <w:rFonts w:cstheme="minorHAnsi"/>
          <w:bCs/>
        </w:rPr>
        <w:t xml:space="preserve">Mitchell N, Hewitt CE, Lenaghan E, </w:t>
      </w:r>
      <w:r w:rsidRPr="00DC7D0D">
        <w:rPr>
          <w:rStyle w:val="Emphasis"/>
          <w:rFonts w:cstheme="minorHAnsi"/>
          <w:shd w:val="clear" w:color="auto" w:fill="FFFFFF"/>
        </w:rPr>
        <w:t>et al.</w:t>
      </w:r>
      <w:r w:rsidRPr="00DC7D0D">
        <w:rPr>
          <w:rStyle w:val="article-title-and-info"/>
          <w:rFonts w:cstheme="minorHAnsi"/>
          <w:shd w:val="clear" w:color="auto" w:fill="FFFFFF"/>
        </w:rPr>
        <w:t> </w:t>
      </w:r>
      <w:r w:rsidRPr="00DC7D0D">
        <w:rPr>
          <w:rFonts w:cstheme="minorHAnsi"/>
          <w:bCs/>
        </w:rPr>
        <w:t>Prior notification of trial participants by newsletter increased response rates: a randomized controlled trial</w:t>
      </w:r>
      <w:r w:rsidRPr="00DC7D0D">
        <w:rPr>
          <w:rFonts w:cstheme="minorHAnsi"/>
          <w:bCs/>
          <w:i/>
          <w:iCs/>
        </w:rPr>
        <w:t>. Journal of Clinical Epidemiology</w:t>
      </w:r>
      <w:r w:rsidRPr="00DC7D0D">
        <w:rPr>
          <w:rFonts w:cstheme="minorHAnsi"/>
          <w:bCs/>
        </w:rPr>
        <w:t xml:space="preserve"> 2012;65(12):1348-52.</w:t>
      </w:r>
    </w:p>
    <w:p w14:paraId="0D512EC6" w14:textId="2BEB6191" w:rsidR="0078506A" w:rsidRPr="00DC7D0D" w:rsidRDefault="0078506A" w:rsidP="0078506A">
      <w:pPr>
        <w:pStyle w:val="ListParagraph"/>
        <w:numPr>
          <w:ilvl w:val="0"/>
          <w:numId w:val="4"/>
        </w:numPr>
        <w:rPr>
          <w:rFonts w:cstheme="minorHAnsi"/>
          <w:bCs/>
        </w:rPr>
      </w:pPr>
      <w:r w:rsidRPr="00DC7D0D">
        <w:rPr>
          <w:rFonts w:cstheme="minorHAnsi"/>
          <w:bCs/>
        </w:rPr>
        <w:t>Rangan</w:t>
      </w:r>
      <w:r w:rsidR="00DC7D0D">
        <w:rPr>
          <w:rFonts w:cstheme="minorHAnsi"/>
          <w:bCs/>
        </w:rPr>
        <w:t xml:space="preserve"> </w:t>
      </w:r>
      <w:r w:rsidRPr="00DC7D0D">
        <w:rPr>
          <w:rFonts w:cstheme="minorHAnsi"/>
          <w:bCs/>
        </w:rPr>
        <w:t>A, Gwilym S, Keding A. </w:t>
      </w:r>
      <w:r w:rsidRPr="00DC7D0D">
        <w:rPr>
          <w:rFonts w:cstheme="minorHAnsi"/>
          <w:bCs/>
          <w:i/>
          <w:iCs/>
        </w:rPr>
        <w:t>et al</w:t>
      </w:r>
      <w:r w:rsidRPr="00DC7D0D">
        <w:rPr>
          <w:rFonts w:cstheme="minorHAnsi"/>
          <w:bCs/>
        </w:rPr>
        <w:t xml:space="preserve">. Reverse shoulder arthroplasty versus hemiarthroplasty versus non-surgical treatment for older adults with acute 3- or 4-part fractures of the proximal humerus: study protocol for a randomised controlled trial (PROFHER-2: PROximal Fracture of Humerus Evaluation by Randomisation – Trial Number 2). Trials 24, 270 (2023). </w:t>
      </w:r>
    </w:p>
    <w:p w14:paraId="7CFED6AF" w14:textId="5B826C85" w:rsidR="0078506A" w:rsidRDefault="0078506A" w:rsidP="0078506A">
      <w:pPr>
        <w:pStyle w:val="ListParagraph"/>
        <w:numPr>
          <w:ilvl w:val="0"/>
          <w:numId w:val="4"/>
        </w:numPr>
        <w:rPr>
          <w:rFonts w:cstheme="minorHAnsi"/>
          <w:bCs/>
        </w:rPr>
      </w:pPr>
      <w:r w:rsidRPr="00DC7D0D">
        <w:rPr>
          <w:rFonts w:cstheme="minorHAnsi"/>
          <w:bCs/>
        </w:rPr>
        <w:t>https://www.qub.ac.uk/sites/TheNorthernIrelandNetworkforTrialsMethodologyResearch/FileStore/Filetoupload,604630,en.pdf [Accessed 13June2023]</w:t>
      </w:r>
    </w:p>
    <w:p w14:paraId="5CABF084" w14:textId="614AFDD6" w:rsidR="00B521CD" w:rsidRPr="00DC7D0D" w:rsidRDefault="00AE26DA" w:rsidP="0078506A">
      <w:pPr>
        <w:pStyle w:val="ListParagraph"/>
        <w:numPr>
          <w:ilvl w:val="0"/>
          <w:numId w:val="4"/>
        </w:numPr>
        <w:rPr>
          <w:rFonts w:cstheme="minorHAnsi"/>
          <w:bCs/>
        </w:rPr>
      </w:pPr>
      <w:r w:rsidRPr="00AE26DA">
        <w:rPr>
          <w:rFonts w:cstheme="minorHAnsi"/>
          <w:bCs/>
        </w:rPr>
        <w:t>Arundel, C.E., Welch, C., Saramago, P. </w:t>
      </w:r>
      <w:r w:rsidRPr="00AE26DA">
        <w:rPr>
          <w:rFonts w:cstheme="minorHAnsi"/>
          <w:bCs/>
          <w:i/>
          <w:iCs/>
        </w:rPr>
        <w:t>et al.</w:t>
      </w:r>
      <w:r w:rsidRPr="00AE26DA">
        <w:rPr>
          <w:rFonts w:cstheme="minorHAnsi"/>
          <w:bCs/>
        </w:rPr>
        <w:t> A randomised controlled trial of compression therapies for the treatment of venous leg ulcers (</w:t>
      </w:r>
      <w:proofErr w:type="spellStart"/>
      <w:r w:rsidRPr="00AE26DA">
        <w:rPr>
          <w:rFonts w:cstheme="minorHAnsi"/>
          <w:bCs/>
        </w:rPr>
        <w:t>VenUS</w:t>
      </w:r>
      <w:proofErr w:type="spellEnd"/>
      <w:r w:rsidRPr="00AE26DA">
        <w:rPr>
          <w:rFonts w:cstheme="minorHAnsi"/>
          <w:bCs/>
        </w:rPr>
        <w:t xml:space="preserve"> 6): study protocol for a pragmatic, multicentre, parallel-group, three-arm randomised controlled trial. </w:t>
      </w:r>
      <w:r w:rsidRPr="00AE26DA">
        <w:rPr>
          <w:rFonts w:cstheme="minorHAnsi"/>
          <w:bCs/>
          <w:i/>
          <w:iCs/>
        </w:rPr>
        <w:t>Trials</w:t>
      </w:r>
      <w:r w:rsidRPr="00AE26DA">
        <w:rPr>
          <w:rFonts w:cstheme="minorHAnsi"/>
          <w:bCs/>
        </w:rPr>
        <w:t> </w:t>
      </w:r>
      <w:r w:rsidRPr="00AE26DA">
        <w:rPr>
          <w:rFonts w:cstheme="minorHAnsi"/>
          <w:b/>
          <w:bCs/>
        </w:rPr>
        <w:t>24</w:t>
      </w:r>
      <w:r w:rsidRPr="00AE26DA">
        <w:rPr>
          <w:rFonts w:cstheme="minorHAnsi"/>
          <w:bCs/>
        </w:rPr>
        <w:t>, 357 (2023). https://doi.org/10.1186/s13063-023-07349-2</w:t>
      </w:r>
    </w:p>
    <w:p w14:paraId="7145CCA0" w14:textId="6977C6B6" w:rsidR="00AE26DA" w:rsidRDefault="00AE26DA" w:rsidP="00960A89">
      <w:pPr>
        <w:pStyle w:val="ListParagraph"/>
        <w:numPr>
          <w:ilvl w:val="0"/>
          <w:numId w:val="4"/>
        </w:numPr>
        <w:rPr>
          <w:rFonts w:cstheme="minorHAnsi"/>
          <w:bCs/>
        </w:rPr>
      </w:pPr>
      <w:hyperlink r:id="rId8" w:history="1">
        <w:r w:rsidRPr="005D4568">
          <w:rPr>
            <w:rStyle w:val="Hyperlink"/>
            <w:rFonts w:cstheme="minorHAnsi"/>
            <w:bCs/>
          </w:rPr>
          <w:t>https://fundingawards.nihr.ac.uk/award/NIHR133418</w:t>
        </w:r>
      </w:hyperlink>
      <w:r>
        <w:rPr>
          <w:rFonts w:cstheme="minorHAnsi"/>
          <w:bCs/>
        </w:rPr>
        <w:t xml:space="preserve"> [Accessed 02.10.2025]</w:t>
      </w:r>
    </w:p>
    <w:p w14:paraId="6D9C64DA" w14:textId="77777777" w:rsidR="00AE26DA" w:rsidRDefault="00AE26DA" w:rsidP="00960A89">
      <w:pPr>
        <w:pStyle w:val="ListParagraph"/>
        <w:numPr>
          <w:ilvl w:val="0"/>
          <w:numId w:val="4"/>
        </w:numPr>
        <w:rPr>
          <w:rFonts w:cstheme="minorHAnsi"/>
          <w:bCs/>
        </w:rPr>
      </w:pPr>
      <w:r w:rsidRPr="00DC7D0D">
        <w:rPr>
          <w:rFonts w:cstheme="minorHAnsi"/>
          <w:bCs/>
        </w:rPr>
        <w:t>https://www.trialforge.org/resource/evidence-pack-retention-adding-a-pen-ret3/ [Accessed 13June2023]</w:t>
      </w:r>
    </w:p>
    <w:p w14:paraId="3442B5EE" w14:textId="7CB2ACCE" w:rsidR="00960A89" w:rsidRDefault="00960A89" w:rsidP="00960A89">
      <w:pPr>
        <w:pStyle w:val="ListParagraph"/>
        <w:numPr>
          <w:ilvl w:val="0"/>
          <w:numId w:val="4"/>
        </w:numPr>
        <w:rPr>
          <w:rFonts w:cstheme="minorHAnsi"/>
          <w:bCs/>
        </w:rPr>
      </w:pPr>
      <w:proofErr w:type="spellStart"/>
      <w:r w:rsidRPr="00960A89">
        <w:rPr>
          <w:rFonts w:cstheme="minorHAnsi"/>
          <w:bCs/>
        </w:rPr>
        <w:t>StataCorp</w:t>
      </w:r>
      <w:proofErr w:type="spellEnd"/>
      <w:r w:rsidRPr="00960A89">
        <w:rPr>
          <w:rFonts w:cstheme="minorHAnsi"/>
          <w:bCs/>
        </w:rPr>
        <w:t xml:space="preserve">. 2021. </w:t>
      </w:r>
      <w:r w:rsidRPr="00960A89">
        <w:rPr>
          <w:rFonts w:cstheme="minorHAnsi"/>
          <w:bCs/>
          <w:i/>
          <w:iCs/>
        </w:rPr>
        <w:t>Stata Statistical Software: Release 17</w:t>
      </w:r>
      <w:r w:rsidRPr="00960A89">
        <w:rPr>
          <w:rFonts w:cstheme="minorHAnsi"/>
          <w:bCs/>
        </w:rPr>
        <w:t xml:space="preserve">. College Station, TX: </w:t>
      </w:r>
      <w:proofErr w:type="spellStart"/>
      <w:r w:rsidRPr="00960A89">
        <w:rPr>
          <w:rFonts w:cstheme="minorHAnsi"/>
          <w:bCs/>
        </w:rPr>
        <w:t>StataCorp</w:t>
      </w:r>
      <w:proofErr w:type="spellEnd"/>
      <w:r w:rsidRPr="00960A89">
        <w:rPr>
          <w:rFonts w:cstheme="minorHAnsi"/>
          <w:bCs/>
        </w:rPr>
        <w:t xml:space="preserve"> LLC.</w:t>
      </w:r>
    </w:p>
    <w:p w14:paraId="57AB05EB" w14:textId="77777777" w:rsidR="00AE26DA" w:rsidRPr="00960A89" w:rsidRDefault="00AE26DA" w:rsidP="00AE26DA">
      <w:pPr>
        <w:pStyle w:val="ListParagraph"/>
        <w:numPr>
          <w:ilvl w:val="0"/>
          <w:numId w:val="4"/>
        </w:numPr>
        <w:rPr>
          <w:rFonts w:cstheme="minorHAnsi"/>
          <w:bCs/>
        </w:rPr>
      </w:pPr>
      <w:r w:rsidRPr="00445278">
        <w:rPr>
          <w:rFonts w:cstheme="minorHAnsi"/>
          <w:bCs/>
        </w:rPr>
        <w:t xml:space="preserve">Coleman E, Arundel C, Clark L, </w:t>
      </w:r>
      <w:r w:rsidRPr="00445278">
        <w:rPr>
          <w:rFonts w:cstheme="minorHAnsi"/>
          <w:bCs/>
          <w:i/>
          <w:iCs/>
        </w:rPr>
        <w:t>et al</w:t>
      </w:r>
      <w:r w:rsidRPr="00445278">
        <w:rPr>
          <w:rFonts w:cstheme="minorHAnsi"/>
          <w:bCs/>
        </w:rPr>
        <w:t xml:space="preserve">. Bah humbug! Association between sending Christmas cards to trial participants and trial retention: randomised study within a trial conducted simultaneously across eight host trials, BMJ 2021; 375:e067742 </w:t>
      </w:r>
    </w:p>
    <w:p w14:paraId="2B7F2E6A" w14:textId="2683DAC5" w:rsidR="00AD4ECC" w:rsidRDefault="00270D51" w:rsidP="00BC5DA6">
      <w:pPr>
        <w:pStyle w:val="ListParagraph"/>
        <w:numPr>
          <w:ilvl w:val="0"/>
          <w:numId w:val="4"/>
        </w:numPr>
        <w:rPr>
          <w:rFonts w:cstheme="minorHAnsi"/>
          <w:bCs/>
        </w:rPr>
      </w:pPr>
      <w:r w:rsidRPr="00270D51">
        <w:rPr>
          <w:rFonts w:cstheme="minorHAnsi"/>
          <w:bCs/>
        </w:rPr>
        <w:t xml:space="preserve">Treweek S, Bevan S, Bower P, </w:t>
      </w:r>
      <w:r w:rsidRPr="00270D51">
        <w:rPr>
          <w:rFonts w:cstheme="minorHAnsi"/>
          <w:bCs/>
          <w:i/>
          <w:iCs/>
        </w:rPr>
        <w:t>et al</w:t>
      </w:r>
      <w:r w:rsidRPr="00270D51">
        <w:rPr>
          <w:rFonts w:cstheme="minorHAnsi"/>
          <w:bCs/>
        </w:rPr>
        <w:t xml:space="preserve">. Trial Forge Guidance 2: how to decide if a further Study Within A Trial (SWAT) is needed. </w:t>
      </w:r>
      <w:r w:rsidRPr="00270D51">
        <w:rPr>
          <w:rFonts w:cstheme="minorHAnsi"/>
          <w:bCs/>
          <w:i/>
          <w:iCs/>
        </w:rPr>
        <w:t>Trials</w:t>
      </w:r>
      <w:r w:rsidRPr="00270D51">
        <w:rPr>
          <w:rFonts w:cstheme="minorHAnsi"/>
          <w:bCs/>
        </w:rPr>
        <w:t xml:space="preserve"> 21, 33 (2020). </w:t>
      </w:r>
    </w:p>
    <w:p w14:paraId="0D0C8D5B" w14:textId="60CB33B1" w:rsidR="00445278" w:rsidRPr="00960A89" w:rsidRDefault="00445278" w:rsidP="00AE26DA">
      <w:pPr>
        <w:pStyle w:val="ListParagraph"/>
        <w:rPr>
          <w:rFonts w:cstheme="minorHAnsi"/>
          <w:bCs/>
        </w:rPr>
      </w:pPr>
    </w:p>
    <w:sectPr w:rsidR="00445278" w:rsidRPr="00960A89" w:rsidSect="00E2772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F00"/>
    <w:multiLevelType w:val="hybridMultilevel"/>
    <w:tmpl w:val="D7CE8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97782"/>
    <w:multiLevelType w:val="hybridMultilevel"/>
    <w:tmpl w:val="B88C698E"/>
    <w:lvl w:ilvl="0" w:tplc="AB427E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95B86"/>
    <w:multiLevelType w:val="hybridMultilevel"/>
    <w:tmpl w:val="931E55FA"/>
    <w:lvl w:ilvl="0" w:tplc="EFC63CE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3BD935FA"/>
    <w:multiLevelType w:val="hybridMultilevel"/>
    <w:tmpl w:val="F41EAC82"/>
    <w:lvl w:ilvl="0" w:tplc="7C6EFCF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9331BDA"/>
    <w:multiLevelType w:val="hybridMultilevel"/>
    <w:tmpl w:val="C1601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211128">
    <w:abstractNumId w:val="1"/>
  </w:num>
  <w:num w:numId="2" w16cid:durableId="197133438">
    <w:abstractNumId w:val="2"/>
  </w:num>
  <w:num w:numId="3" w16cid:durableId="2032797061">
    <w:abstractNumId w:val="4"/>
  </w:num>
  <w:num w:numId="4" w16cid:durableId="28770993">
    <w:abstractNumId w:val="0"/>
  </w:num>
  <w:num w:numId="5" w16cid:durableId="2007630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6C"/>
    <w:rsid w:val="000210F3"/>
    <w:rsid w:val="00025426"/>
    <w:rsid w:val="00031F6E"/>
    <w:rsid w:val="000322B1"/>
    <w:rsid w:val="00052B98"/>
    <w:rsid w:val="000632A6"/>
    <w:rsid w:val="00064AC1"/>
    <w:rsid w:val="000705E9"/>
    <w:rsid w:val="00071DDA"/>
    <w:rsid w:val="000817C3"/>
    <w:rsid w:val="00085994"/>
    <w:rsid w:val="000A7879"/>
    <w:rsid w:val="000B4643"/>
    <w:rsid w:val="000C189A"/>
    <w:rsid w:val="00107860"/>
    <w:rsid w:val="00163AA3"/>
    <w:rsid w:val="001A6827"/>
    <w:rsid w:val="001B4DCB"/>
    <w:rsid w:val="001B5643"/>
    <w:rsid w:val="001C1A93"/>
    <w:rsid w:val="001F62A7"/>
    <w:rsid w:val="00200007"/>
    <w:rsid w:val="00200360"/>
    <w:rsid w:val="002076A8"/>
    <w:rsid w:val="002361CD"/>
    <w:rsid w:val="00237943"/>
    <w:rsid w:val="0025514E"/>
    <w:rsid w:val="00270D51"/>
    <w:rsid w:val="00272593"/>
    <w:rsid w:val="002866B6"/>
    <w:rsid w:val="002B25E0"/>
    <w:rsid w:val="002B2E04"/>
    <w:rsid w:val="002C654C"/>
    <w:rsid w:val="002D7668"/>
    <w:rsid w:val="002E33BF"/>
    <w:rsid w:val="002F613A"/>
    <w:rsid w:val="00310FBE"/>
    <w:rsid w:val="0031576E"/>
    <w:rsid w:val="00330EA7"/>
    <w:rsid w:val="00333830"/>
    <w:rsid w:val="0033725B"/>
    <w:rsid w:val="0035239C"/>
    <w:rsid w:val="00353E63"/>
    <w:rsid w:val="00355C8F"/>
    <w:rsid w:val="00362D7E"/>
    <w:rsid w:val="003705C0"/>
    <w:rsid w:val="00371975"/>
    <w:rsid w:val="00371CFD"/>
    <w:rsid w:val="003855D9"/>
    <w:rsid w:val="00387E52"/>
    <w:rsid w:val="003A03E5"/>
    <w:rsid w:val="003B6813"/>
    <w:rsid w:val="003D24F3"/>
    <w:rsid w:val="003D2EA9"/>
    <w:rsid w:val="00405154"/>
    <w:rsid w:val="00417D83"/>
    <w:rsid w:val="004261B1"/>
    <w:rsid w:val="00431942"/>
    <w:rsid w:val="00432F01"/>
    <w:rsid w:val="0043675F"/>
    <w:rsid w:val="004444F3"/>
    <w:rsid w:val="00445278"/>
    <w:rsid w:val="0048346D"/>
    <w:rsid w:val="00491B2E"/>
    <w:rsid w:val="004A34D9"/>
    <w:rsid w:val="004A4281"/>
    <w:rsid w:val="004D49F0"/>
    <w:rsid w:val="004E5B64"/>
    <w:rsid w:val="004F01BF"/>
    <w:rsid w:val="004F24A9"/>
    <w:rsid w:val="0051293C"/>
    <w:rsid w:val="00535CC7"/>
    <w:rsid w:val="005456E5"/>
    <w:rsid w:val="0056442F"/>
    <w:rsid w:val="00574F8C"/>
    <w:rsid w:val="00590A1A"/>
    <w:rsid w:val="005A779E"/>
    <w:rsid w:val="005B1F60"/>
    <w:rsid w:val="005E07F1"/>
    <w:rsid w:val="005E25D6"/>
    <w:rsid w:val="005E7B51"/>
    <w:rsid w:val="005F5855"/>
    <w:rsid w:val="00612E0D"/>
    <w:rsid w:val="00614786"/>
    <w:rsid w:val="0062505E"/>
    <w:rsid w:val="00631595"/>
    <w:rsid w:val="00634602"/>
    <w:rsid w:val="006773E4"/>
    <w:rsid w:val="00685264"/>
    <w:rsid w:val="00692779"/>
    <w:rsid w:val="006B3C6C"/>
    <w:rsid w:val="006D0FC5"/>
    <w:rsid w:val="006F2711"/>
    <w:rsid w:val="00705065"/>
    <w:rsid w:val="00713E14"/>
    <w:rsid w:val="00735E7D"/>
    <w:rsid w:val="007379F9"/>
    <w:rsid w:val="0078506A"/>
    <w:rsid w:val="00794F7B"/>
    <w:rsid w:val="007A229D"/>
    <w:rsid w:val="00800B5C"/>
    <w:rsid w:val="008127AB"/>
    <w:rsid w:val="00823022"/>
    <w:rsid w:val="00825EC3"/>
    <w:rsid w:val="00831869"/>
    <w:rsid w:val="00843CAA"/>
    <w:rsid w:val="00844752"/>
    <w:rsid w:val="00847FAE"/>
    <w:rsid w:val="00850709"/>
    <w:rsid w:val="00866706"/>
    <w:rsid w:val="00872D41"/>
    <w:rsid w:val="00881C71"/>
    <w:rsid w:val="008A0070"/>
    <w:rsid w:val="008B1B07"/>
    <w:rsid w:val="008C3383"/>
    <w:rsid w:val="008C57D7"/>
    <w:rsid w:val="008D1140"/>
    <w:rsid w:val="008E0021"/>
    <w:rsid w:val="008F2278"/>
    <w:rsid w:val="008F6FD8"/>
    <w:rsid w:val="00912DDF"/>
    <w:rsid w:val="00922B31"/>
    <w:rsid w:val="00923D48"/>
    <w:rsid w:val="0093289F"/>
    <w:rsid w:val="009329E0"/>
    <w:rsid w:val="00933359"/>
    <w:rsid w:val="00947846"/>
    <w:rsid w:val="00956972"/>
    <w:rsid w:val="00960A89"/>
    <w:rsid w:val="009717D8"/>
    <w:rsid w:val="00972725"/>
    <w:rsid w:val="00994711"/>
    <w:rsid w:val="00996EB1"/>
    <w:rsid w:val="009A1B2A"/>
    <w:rsid w:val="009D0C2F"/>
    <w:rsid w:val="009F04A1"/>
    <w:rsid w:val="009F6D1D"/>
    <w:rsid w:val="00A111C1"/>
    <w:rsid w:val="00A2256F"/>
    <w:rsid w:val="00A54BEF"/>
    <w:rsid w:val="00A6246B"/>
    <w:rsid w:val="00A64F95"/>
    <w:rsid w:val="00A65EF7"/>
    <w:rsid w:val="00A710BF"/>
    <w:rsid w:val="00A72729"/>
    <w:rsid w:val="00A95046"/>
    <w:rsid w:val="00AB12F5"/>
    <w:rsid w:val="00AD4ECC"/>
    <w:rsid w:val="00AD6133"/>
    <w:rsid w:val="00AE26DA"/>
    <w:rsid w:val="00AE431B"/>
    <w:rsid w:val="00B008C8"/>
    <w:rsid w:val="00B03A24"/>
    <w:rsid w:val="00B27924"/>
    <w:rsid w:val="00B32D8B"/>
    <w:rsid w:val="00B36331"/>
    <w:rsid w:val="00B42474"/>
    <w:rsid w:val="00B521CD"/>
    <w:rsid w:val="00B66C2F"/>
    <w:rsid w:val="00B72956"/>
    <w:rsid w:val="00BC6C28"/>
    <w:rsid w:val="00BE0FB5"/>
    <w:rsid w:val="00C17D08"/>
    <w:rsid w:val="00C278C7"/>
    <w:rsid w:val="00C31F6E"/>
    <w:rsid w:val="00C51E71"/>
    <w:rsid w:val="00C5449B"/>
    <w:rsid w:val="00C63220"/>
    <w:rsid w:val="00C81D54"/>
    <w:rsid w:val="00C93A06"/>
    <w:rsid w:val="00C9670B"/>
    <w:rsid w:val="00CA3E06"/>
    <w:rsid w:val="00CB2189"/>
    <w:rsid w:val="00CE3ED9"/>
    <w:rsid w:val="00CF7774"/>
    <w:rsid w:val="00D039CE"/>
    <w:rsid w:val="00D17231"/>
    <w:rsid w:val="00D175C7"/>
    <w:rsid w:val="00D20A13"/>
    <w:rsid w:val="00D31924"/>
    <w:rsid w:val="00D3335B"/>
    <w:rsid w:val="00D47AFC"/>
    <w:rsid w:val="00D63A87"/>
    <w:rsid w:val="00D81B3D"/>
    <w:rsid w:val="00DA13AC"/>
    <w:rsid w:val="00DA3C91"/>
    <w:rsid w:val="00DB0A4B"/>
    <w:rsid w:val="00DC1711"/>
    <w:rsid w:val="00DC7D0D"/>
    <w:rsid w:val="00DD7B97"/>
    <w:rsid w:val="00E00B22"/>
    <w:rsid w:val="00E153B2"/>
    <w:rsid w:val="00E20741"/>
    <w:rsid w:val="00E2252A"/>
    <w:rsid w:val="00E26067"/>
    <w:rsid w:val="00E27724"/>
    <w:rsid w:val="00E34905"/>
    <w:rsid w:val="00E60841"/>
    <w:rsid w:val="00E61AB2"/>
    <w:rsid w:val="00E67A5E"/>
    <w:rsid w:val="00E7374E"/>
    <w:rsid w:val="00E76BE8"/>
    <w:rsid w:val="00E94639"/>
    <w:rsid w:val="00EA15F4"/>
    <w:rsid w:val="00EB7AD5"/>
    <w:rsid w:val="00EC0637"/>
    <w:rsid w:val="00EE1733"/>
    <w:rsid w:val="00EE344C"/>
    <w:rsid w:val="00F01FF1"/>
    <w:rsid w:val="00F0443B"/>
    <w:rsid w:val="00F210DE"/>
    <w:rsid w:val="00F22C6A"/>
    <w:rsid w:val="00F27E1E"/>
    <w:rsid w:val="00F30059"/>
    <w:rsid w:val="00F32815"/>
    <w:rsid w:val="00F46A57"/>
    <w:rsid w:val="00F46D17"/>
    <w:rsid w:val="00F576F5"/>
    <w:rsid w:val="00F85BB4"/>
    <w:rsid w:val="00F91E9E"/>
    <w:rsid w:val="00F93FFC"/>
    <w:rsid w:val="00FA1467"/>
    <w:rsid w:val="00FA1C19"/>
    <w:rsid w:val="00FA60FA"/>
    <w:rsid w:val="00FC1FA7"/>
    <w:rsid w:val="00FD365D"/>
    <w:rsid w:val="00FF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8684"/>
  <w15:chartTrackingRefBased/>
  <w15:docId w15:val="{DA477286-4168-444F-89CE-548496A5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FB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49F0"/>
    <w:rPr>
      <w:sz w:val="16"/>
      <w:szCs w:val="16"/>
    </w:rPr>
  </w:style>
  <w:style w:type="paragraph" w:styleId="CommentText">
    <w:name w:val="annotation text"/>
    <w:basedOn w:val="Normal"/>
    <w:link w:val="CommentTextChar"/>
    <w:uiPriority w:val="99"/>
    <w:unhideWhenUsed/>
    <w:rsid w:val="004D49F0"/>
    <w:pPr>
      <w:spacing w:line="240" w:lineRule="auto"/>
    </w:pPr>
    <w:rPr>
      <w:sz w:val="20"/>
      <w:szCs w:val="20"/>
    </w:rPr>
  </w:style>
  <w:style w:type="character" w:customStyle="1" w:styleId="CommentTextChar">
    <w:name w:val="Comment Text Char"/>
    <w:basedOn w:val="DefaultParagraphFont"/>
    <w:link w:val="CommentText"/>
    <w:uiPriority w:val="99"/>
    <w:rsid w:val="004D49F0"/>
    <w:rPr>
      <w:sz w:val="20"/>
      <w:szCs w:val="20"/>
    </w:rPr>
  </w:style>
  <w:style w:type="paragraph" w:styleId="CommentSubject">
    <w:name w:val="annotation subject"/>
    <w:basedOn w:val="CommentText"/>
    <w:next w:val="CommentText"/>
    <w:link w:val="CommentSubjectChar"/>
    <w:uiPriority w:val="99"/>
    <w:semiHidden/>
    <w:unhideWhenUsed/>
    <w:rsid w:val="004D49F0"/>
    <w:rPr>
      <w:b/>
      <w:bCs/>
    </w:rPr>
  </w:style>
  <w:style w:type="character" w:customStyle="1" w:styleId="CommentSubjectChar">
    <w:name w:val="Comment Subject Char"/>
    <w:basedOn w:val="CommentTextChar"/>
    <w:link w:val="CommentSubject"/>
    <w:uiPriority w:val="99"/>
    <w:semiHidden/>
    <w:rsid w:val="004D49F0"/>
    <w:rPr>
      <w:b/>
      <w:bCs/>
      <w:sz w:val="20"/>
      <w:szCs w:val="20"/>
    </w:rPr>
  </w:style>
  <w:style w:type="table" w:styleId="TableGrid">
    <w:name w:val="Table Grid"/>
    <w:basedOn w:val="TableNormal"/>
    <w:uiPriority w:val="39"/>
    <w:rsid w:val="008F6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B31"/>
    <w:rPr>
      <w:rFonts w:ascii="Segoe UI" w:hAnsi="Segoe UI" w:cs="Segoe UI"/>
      <w:sz w:val="18"/>
      <w:szCs w:val="18"/>
    </w:rPr>
  </w:style>
  <w:style w:type="character" w:styleId="Hyperlink">
    <w:name w:val="Hyperlink"/>
    <w:basedOn w:val="DefaultParagraphFont"/>
    <w:uiPriority w:val="99"/>
    <w:unhideWhenUsed/>
    <w:rsid w:val="00200360"/>
    <w:rPr>
      <w:color w:val="0563C1" w:themeColor="hyperlink"/>
      <w:u w:val="single"/>
    </w:rPr>
  </w:style>
  <w:style w:type="character" w:styleId="UnresolvedMention">
    <w:name w:val="Unresolved Mention"/>
    <w:basedOn w:val="DefaultParagraphFont"/>
    <w:uiPriority w:val="99"/>
    <w:semiHidden/>
    <w:unhideWhenUsed/>
    <w:rsid w:val="00200360"/>
    <w:rPr>
      <w:color w:val="605E5C"/>
      <w:shd w:val="clear" w:color="auto" w:fill="E1DFDD"/>
    </w:rPr>
  </w:style>
  <w:style w:type="paragraph" w:styleId="Revision">
    <w:name w:val="Revision"/>
    <w:hidden/>
    <w:uiPriority w:val="99"/>
    <w:semiHidden/>
    <w:rsid w:val="007A229D"/>
    <w:pPr>
      <w:spacing w:after="0" w:line="240" w:lineRule="auto"/>
    </w:pPr>
  </w:style>
  <w:style w:type="paragraph" w:styleId="ListParagraph">
    <w:name w:val="List Paragraph"/>
    <w:basedOn w:val="Normal"/>
    <w:uiPriority w:val="34"/>
    <w:qFormat/>
    <w:rsid w:val="00387E52"/>
    <w:pPr>
      <w:ind w:left="720"/>
      <w:contextualSpacing/>
    </w:pPr>
  </w:style>
  <w:style w:type="character" w:customStyle="1" w:styleId="article-title-and-info">
    <w:name w:val="article-title-and-info"/>
    <w:basedOn w:val="DefaultParagraphFont"/>
    <w:rsid w:val="0078506A"/>
  </w:style>
  <w:style w:type="character" w:styleId="Emphasis">
    <w:name w:val="Emphasis"/>
    <w:basedOn w:val="DefaultParagraphFont"/>
    <w:uiPriority w:val="20"/>
    <w:qFormat/>
    <w:rsid w:val="0078506A"/>
    <w:rPr>
      <w:i/>
      <w:iCs/>
    </w:rPr>
  </w:style>
  <w:style w:type="paragraph" w:styleId="NormalWeb">
    <w:name w:val="Normal (Web)"/>
    <w:basedOn w:val="Normal"/>
    <w:uiPriority w:val="99"/>
    <w:semiHidden/>
    <w:unhideWhenUsed/>
    <w:rsid w:val="00EB7A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10FBE"/>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pf0">
    <w:name w:val="pf0"/>
    <w:basedOn w:val="Normal"/>
    <w:rsid w:val="00310F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10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3390">
      <w:bodyDiv w:val="1"/>
      <w:marLeft w:val="0"/>
      <w:marRight w:val="0"/>
      <w:marTop w:val="0"/>
      <w:marBottom w:val="0"/>
      <w:divBdr>
        <w:top w:val="none" w:sz="0" w:space="0" w:color="auto"/>
        <w:left w:val="none" w:sz="0" w:space="0" w:color="auto"/>
        <w:bottom w:val="none" w:sz="0" w:space="0" w:color="auto"/>
        <w:right w:val="none" w:sz="0" w:space="0" w:color="auto"/>
      </w:divBdr>
      <w:divsChild>
        <w:div w:id="1093163218">
          <w:marLeft w:val="0"/>
          <w:marRight w:val="0"/>
          <w:marTop w:val="0"/>
          <w:marBottom w:val="0"/>
          <w:divBdr>
            <w:top w:val="none" w:sz="0" w:space="0" w:color="auto"/>
            <w:left w:val="none" w:sz="0" w:space="0" w:color="auto"/>
            <w:bottom w:val="none" w:sz="0" w:space="0" w:color="auto"/>
            <w:right w:val="none" w:sz="0" w:space="0" w:color="auto"/>
          </w:divBdr>
        </w:div>
      </w:divsChild>
    </w:div>
    <w:div w:id="747312876">
      <w:bodyDiv w:val="1"/>
      <w:marLeft w:val="0"/>
      <w:marRight w:val="0"/>
      <w:marTop w:val="0"/>
      <w:marBottom w:val="0"/>
      <w:divBdr>
        <w:top w:val="none" w:sz="0" w:space="0" w:color="auto"/>
        <w:left w:val="none" w:sz="0" w:space="0" w:color="auto"/>
        <w:bottom w:val="none" w:sz="0" w:space="0" w:color="auto"/>
        <w:right w:val="none" w:sz="0" w:space="0" w:color="auto"/>
      </w:divBdr>
    </w:div>
    <w:div w:id="1018627126">
      <w:bodyDiv w:val="1"/>
      <w:marLeft w:val="0"/>
      <w:marRight w:val="0"/>
      <w:marTop w:val="0"/>
      <w:marBottom w:val="0"/>
      <w:divBdr>
        <w:top w:val="none" w:sz="0" w:space="0" w:color="auto"/>
        <w:left w:val="none" w:sz="0" w:space="0" w:color="auto"/>
        <w:bottom w:val="none" w:sz="0" w:space="0" w:color="auto"/>
        <w:right w:val="none" w:sz="0" w:space="0" w:color="auto"/>
      </w:divBdr>
    </w:div>
    <w:div w:id="1274173101">
      <w:bodyDiv w:val="1"/>
      <w:marLeft w:val="0"/>
      <w:marRight w:val="0"/>
      <w:marTop w:val="0"/>
      <w:marBottom w:val="0"/>
      <w:divBdr>
        <w:top w:val="none" w:sz="0" w:space="0" w:color="auto"/>
        <w:left w:val="none" w:sz="0" w:space="0" w:color="auto"/>
        <w:bottom w:val="none" w:sz="0" w:space="0" w:color="auto"/>
        <w:right w:val="none" w:sz="0" w:space="0" w:color="auto"/>
      </w:divBdr>
    </w:div>
    <w:div w:id="1711034858">
      <w:bodyDiv w:val="1"/>
      <w:marLeft w:val="0"/>
      <w:marRight w:val="0"/>
      <w:marTop w:val="0"/>
      <w:marBottom w:val="0"/>
      <w:divBdr>
        <w:top w:val="none" w:sz="0" w:space="0" w:color="auto"/>
        <w:left w:val="none" w:sz="0" w:space="0" w:color="auto"/>
        <w:bottom w:val="none" w:sz="0" w:space="0" w:color="auto"/>
        <w:right w:val="none" w:sz="0" w:space="0" w:color="auto"/>
      </w:divBdr>
    </w:div>
    <w:div w:id="2094350982">
      <w:bodyDiv w:val="1"/>
      <w:marLeft w:val="0"/>
      <w:marRight w:val="0"/>
      <w:marTop w:val="0"/>
      <w:marBottom w:val="0"/>
      <w:divBdr>
        <w:top w:val="none" w:sz="0" w:space="0" w:color="auto"/>
        <w:left w:val="none" w:sz="0" w:space="0" w:color="auto"/>
        <w:bottom w:val="none" w:sz="0" w:space="0" w:color="auto"/>
        <w:right w:val="none" w:sz="0" w:space="0" w:color="auto"/>
      </w:divBdr>
      <w:divsChild>
        <w:div w:id="12663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ingawards.nihr.ac.uk/award/NIHR133418"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D5FC-084E-47AC-AC3A-858BA3B4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Strachan</dc:creator>
  <cp:keywords/>
  <dc:description/>
  <cp:lastModifiedBy>Catherine Arundel</cp:lastModifiedBy>
  <cp:revision>3</cp:revision>
  <dcterms:created xsi:type="dcterms:W3CDTF">2025-10-02T15:47:00Z</dcterms:created>
  <dcterms:modified xsi:type="dcterms:W3CDTF">2025-10-02T16:06:00Z</dcterms:modified>
</cp:coreProperties>
</file>