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715FD" w14:textId="3B79548F" w:rsidR="00F82377" w:rsidRPr="00B564F7" w:rsidRDefault="009E1DB0" w:rsidP="00F82377">
      <w:pPr>
        <w:rPr>
          <w:rFonts w:ascii="Calibri" w:hAnsi="Calibri" w:cs="Calibri"/>
          <w:b/>
          <w:bCs/>
        </w:rPr>
      </w:pPr>
      <w:r w:rsidRPr="00B564F7">
        <w:rPr>
          <w:rFonts w:ascii="Calibri" w:hAnsi="Calibri" w:cs="Calibri"/>
          <w:b/>
          <w:bCs/>
        </w:rPr>
        <w:t xml:space="preserve">How </w:t>
      </w:r>
      <w:r w:rsidR="00033F1C">
        <w:rPr>
          <w:rFonts w:ascii="Calibri" w:hAnsi="Calibri" w:cs="Calibri"/>
          <w:b/>
          <w:bCs/>
        </w:rPr>
        <w:t>c</w:t>
      </w:r>
      <w:r w:rsidRPr="00B564F7">
        <w:rPr>
          <w:rFonts w:ascii="Calibri" w:hAnsi="Calibri" w:cs="Calibri"/>
          <w:b/>
          <w:bCs/>
        </w:rPr>
        <w:t xml:space="preserve">ould the </w:t>
      </w:r>
      <w:r w:rsidRPr="00B564F7">
        <w:rPr>
          <w:rFonts w:ascii="Calibri" w:hAnsi="Calibri" w:cs="Calibri"/>
          <w:b/>
          <w:bCs/>
          <w:i/>
          <w:iCs/>
        </w:rPr>
        <w:t xml:space="preserve">Misogyny in Music </w:t>
      </w:r>
      <w:r w:rsidRPr="00B564F7">
        <w:rPr>
          <w:rFonts w:ascii="Calibri" w:hAnsi="Calibri" w:cs="Calibri"/>
          <w:b/>
          <w:bCs/>
        </w:rPr>
        <w:t>report’s recommendations for music higher education be enacted?</w:t>
      </w:r>
    </w:p>
    <w:p w14:paraId="1AD35CCF" w14:textId="721071E3" w:rsidR="00F82377" w:rsidRPr="00B564F7" w:rsidRDefault="00F82377" w:rsidP="00F82377">
      <w:pPr>
        <w:rPr>
          <w:rFonts w:ascii="Calibri" w:hAnsi="Calibri" w:cs="Calibri"/>
        </w:rPr>
      </w:pPr>
      <w:r w:rsidRPr="00B564F7">
        <w:rPr>
          <w:rFonts w:ascii="Calibri" w:hAnsi="Calibri" w:cs="Calibri"/>
          <w:b/>
          <w:bCs/>
        </w:rPr>
        <w:t>Anna Bull</w:t>
      </w:r>
    </w:p>
    <w:p w14:paraId="07708113" w14:textId="74D7911E" w:rsidR="00FE0037" w:rsidRPr="00B564F7" w:rsidRDefault="00FE0037" w:rsidP="00FE0037">
      <w:pPr>
        <w:spacing w:line="240" w:lineRule="auto"/>
        <w:rPr>
          <w:rFonts w:ascii="Calibri" w:hAnsi="Calibri" w:cs="Calibri"/>
          <w:color w:val="202124"/>
          <w:spacing w:val="2"/>
          <w:shd w:val="clear" w:color="auto" w:fill="FFFFFF"/>
        </w:rPr>
      </w:pPr>
      <w:r w:rsidRPr="00B564F7">
        <w:rPr>
          <w:rFonts w:ascii="Calibri" w:hAnsi="Calibri" w:cs="Calibri"/>
        </w:rPr>
        <w:t xml:space="preserve">In 2024, </w:t>
      </w:r>
      <w:r w:rsidRPr="00B564F7">
        <w:rPr>
          <w:rFonts w:ascii="Calibri" w:hAnsi="Calibri" w:cs="Calibri"/>
          <w:color w:val="202124"/>
          <w:spacing w:val="2"/>
          <w:shd w:val="clear" w:color="auto" w:fill="FFFFFF"/>
        </w:rPr>
        <w:t xml:space="preserve">the Women and Equalities Select Committee of the House of Commons in the UK Parliament published a report entitled </w:t>
      </w:r>
      <w:hyperlink r:id="rId5" w:history="1">
        <w:r w:rsidRPr="00B564F7">
          <w:rPr>
            <w:rStyle w:val="Hyperlink"/>
            <w:rFonts w:ascii="Calibri" w:hAnsi="Calibri" w:cs="Calibri"/>
            <w:i/>
            <w:iCs/>
          </w:rPr>
          <w:t>Misogyny in Music</w:t>
        </w:r>
      </w:hyperlink>
      <w:r w:rsidRPr="00B564F7">
        <w:rPr>
          <w:rFonts w:ascii="Calibri" w:hAnsi="Calibri" w:cs="Calibri"/>
        </w:rPr>
        <w:t>. It</w:t>
      </w:r>
      <w:r w:rsidRPr="00B564F7">
        <w:rPr>
          <w:rFonts w:ascii="Calibri" w:hAnsi="Calibri" w:cs="Calibri"/>
          <w:color w:val="202124"/>
          <w:spacing w:val="2"/>
          <w:shd w:val="clear" w:color="auto" w:fill="FFFFFF"/>
        </w:rPr>
        <w:t xml:space="preserve"> outlined the ways in which misogyny manifests in the UK music industry and made recommendations </w:t>
      </w:r>
      <w:r w:rsidR="00662F7E">
        <w:rPr>
          <w:rFonts w:ascii="Calibri" w:hAnsi="Calibri" w:cs="Calibri"/>
          <w:color w:val="202124"/>
          <w:spacing w:val="2"/>
          <w:shd w:val="clear" w:color="auto" w:fill="FFFFFF"/>
        </w:rPr>
        <w:t>about how</w:t>
      </w:r>
      <w:r w:rsidRPr="00B564F7">
        <w:rPr>
          <w:rFonts w:ascii="Calibri" w:hAnsi="Calibri" w:cs="Calibri"/>
          <w:color w:val="202124"/>
          <w:spacing w:val="2"/>
          <w:shd w:val="clear" w:color="auto" w:fill="FFFFFF"/>
        </w:rPr>
        <w:t xml:space="preserve"> the music industry, music education organisations, and government</w:t>
      </w:r>
      <w:r w:rsidR="00662F7E">
        <w:rPr>
          <w:rFonts w:ascii="Calibri" w:hAnsi="Calibri" w:cs="Calibri"/>
          <w:color w:val="202124"/>
          <w:spacing w:val="2"/>
          <w:shd w:val="clear" w:color="auto" w:fill="FFFFFF"/>
        </w:rPr>
        <w:t xml:space="preserve"> should address this.</w:t>
      </w:r>
    </w:p>
    <w:p w14:paraId="02145A06" w14:textId="77777777" w:rsidR="00FE0037" w:rsidRPr="00B564F7" w:rsidRDefault="00FE0037" w:rsidP="00FE0037">
      <w:pPr>
        <w:spacing w:line="240" w:lineRule="auto"/>
        <w:rPr>
          <w:rFonts w:ascii="Calibri" w:hAnsi="Calibri" w:cs="Calibri"/>
          <w:color w:val="202124"/>
          <w:spacing w:val="2"/>
          <w:shd w:val="clear" w:color="auto" w:fill="FFFFFF"/>
        </w:rPr>
      </w:pPr>
      <w:r w:rsidRPr="00B564F7">
        <w:rPr>
          <w:rFonts w:ascii="Calibri" w:hAnsi="Calibri" w:cs="Calibri"/>
          <w:color w:val="202124"/>
          <w:spacing w:val="2"/>
          <w:shd w:val="clear" w:color="auto" w:fill="FFFFFF"/>
        </w:rPr>
        <w:t xml:space="preserve">The report’s key recommendation in relation to music education was that </w:t>
      </w:r>
    </w:p>
    <w:p w14:paraId="61CE3A6C" w14:textId="181B739B" w:rsidR="00FE0037" w:rsidRPr="00B564F7" w:rsidRDefault="00FE0037" w:rsidP="00FE0037">
      <w:pPr>
        <w:spacing w:line="240" w:lineRule="auto"/>
        <w:ind w:left="720"/>
        <w:rPr>
          <w:rFonts w:ascii="Calibri" w:hAnsi="Calibri" w:cs="Calibri"/>
        </w:rPr>
      </w:pPr>
      <w:r w:rsidRPr="00B564F7">
        <w:rPr>
          <w:rFonts w:ascii="Calibri" w:hAnsi="Calibri" w:cs="Calibri"/>
        </w:rPr>
        <w:t>Music colleges, conservatoires and other educational settings need to do more to address the gendering of instruments, roles and genres and improve the visibility of and support for female role models. The Government and industry bodies should offer increased, funded and targeted opportunities for women and girls to study subjects and to engage in training in areas of the music industry that remain male-dominated and where women are made to feel unwelcome</w:t>
      </w:r>
      <w:r w:rsidR="00B564F7">
        <w:rPr>
          <w:rFonts w:ascii="Calibri" w:hAnsi="Calibri" w:cs="Calibri"/>
        </w:rPr>
        <w:t>.</w:t>
      </w:r>
    </w:p>
    <w:p w14:paraId="20E64F9E" w14:textId="1B6BAAFA" w:rsidR="00FE0037" w:rsidRPr="00B564F7" w:rsidRDefault="00FE0037" w:rsidP="00FE0037">
      <w:pPr>
        <w:rPr>
          <w:rFonts w:ascii="Calibri" w:hAnsi="Calibri" w:cs="Calibri"/>
        </w:rPr>
      </w:pPr>
      <w:r w:rsidRPr="00B564F7">
        <w:rPr>
          <w:rFonts w:ascii="Calibri" w:hAnsi="Calibri" w:cs="Calibri"/>
        </w:rPr>
        <w:t>The report also made a recommendation in relation to tackling sexual harassment and violence</w:t>
      </w:r>
      <w:r w:rsidR="009E1DB0" w:rsidRPr="00B564F7">
        <w:rPr>
          <w:rFonts w:ascii="Calibri" w:hAnsi="Calibri" w:cs="Calibri"/>
        </w:rPr>
        <w:t>,</w:t>
      </w:r>
      <w:r w:rsidRPr="00B564F7">
        <w:rPr>
          <w:rFonts w:ascii="Calibri" w:hAnsi="Calibri" w:cs="Calibri"/>
        </w:rPr>
        <w:t xml:space="preserve"> </w:t>
      </w:r>
      <w:r w:rsidR="00033F1C">
        <w:rPr>
          <w:rFonts w:ascii="Calibri" w:hAnsi="Calibri" w:cs="Calibri"/>
        </w:rPr>
        <w:t>noting</w:t>
      </w:r>
      <w:r w:rsidRPr="00B564F7">
        <w:rPr>
          <w:rFonts w:ascii="Calibri" w:hAnsi="Calibri" w:cs="Calibri"/>
        </w:rPr>
        <w:t xml:space="preserve"> that ‘[f]or progress to be made the high level of non-reporting in education needs to be tackled’</w:t>
      </w:r>
      <w:r w:rsidR="00B564F7">
        <w:rPr>
          <w:rFonts w:ascii="Calibri" w:hAnsi="Calibri" w:cs="Calibri"/>
        </w:rPr>
        <w:t>.</w:t>
      </w:r>
    </w:p>
    <w:p w14:paraId="4A0DA078" w14:textId="77777777" w:rsidR="00033F1C" w:rsidRDefault="00324A2B" w:rsidP="00FE0037">
      <w:pPr>
        <w:rPr>
          <w:rFonts w:ascii="Calibri" w:hAnsi="Calibri" w:cs="Calibri"/>
        </w:rPr>
      </w:pPr>
      <w:r w:rsidRPr="00B564F7">
        <w:rPr>
          <w:rFonts w:ascii="Calibri" w:hAnsi="Calibri" w:cs="Calibri"/>
        </w:rPr>
        <w:t>However, i</w:t>
      </w:r>
      <w:r w:rsidR="00FE0037" w:rsidRPr="00B564F7">
        <w:rPr>
          <w:rFonts w:ascii="Calibri" w:hAnsi="Calibri" w:cs="Calibri"/>
        </w:rPr>
        <w:t>n the UK Parliament, select committees do not have any powers to compel government to act. The presiding Conservative government at the time of publication rejected the recommendations for government actions and took the position that sufficient work was already underway to address gender inequalities in music education</w:t>
      </w:r>
      <w:r w:rsidRPr="00B564F7">
        <w:rPr>
          <w:rFonts w:ascii="Calibri" w:hAnsi="Calibri" w:cs="Calibri"/>
        </w:rPr>
        <w:t xml:space="preserve">. </w:t>
      </w:r>
    </w:p>
    <w:p w14:paraId="30B75167" w14:textId="276B2EA9" w:rsidR="00FE0037" w:rsidRPr="00B564F7" w:rsidRDefault="00033F1C" w:rsidP="00FE0037">
      <w:pPr>
        <w:rPr>
          <w:rFonts w:ascii="Calibri" w:hAnsi="Calibri" w:cs="Calibri"/>
        </w:rPr>
      </w:pPr>
      <w:r>
        <w:rPr>
          <w:rFonts w:ascii="Calibri" w:hAnsi="Calibri" w:cs="Calibri"/>
        </w:rPr>
        <w:t xml:space="preserve">I disagree. </w:t>
      </w:r>
      <w:r w:rsidR="00324A2B" w:rsidRPr="00B564F7">
        <w:rPr>
          <w:rFonts w:ascii="Calibri" w:hAnsi="Calibri" w:cs="Calibri"/>
        </w:rPr>
        <w:t xml:space="preserve">As I’ve outlined in </w:t>
      </w:r>
      <w:hyperlink r:id="rId6" w:history="1">
        <w:r w:rsidR="00324A2B" w:rsidRPr="00CA3BFA">
          <w:rPr>
            <w:rStyle w:val="Hyperlink"/>
            <w:rFonts w:ascii="Calibri" w:hAnsi="Calibri" w:cs="Calibri"/>
          </w:rPr>
          <w:t>a new article</w:t>
        </w:r>
      </w:hyperlink>
      <w:r w:rsidR="00324A2B" w:rsidRPr="00B564F7">
        <w:rPr>
          <w:rFonts w:ascii="Calibri" w:hAnsi="Calibri" w:cs="Calibri"/>
        </w:rPr>
        <w:t xml:space="preserve"> in the </w:t>
      </w:r>
      <w:r w:rsidR="00324A2B" w:rsidRPr="00B564F7">
        <w:rPr>
          <w:rFonts w:ascii="Calibri" w:hAnsi="Calibri" w:cs="Calibri"/>
          <w:i/>
          <w:iCs/>
        </w:rPr>
        <w:t>British Journal of Music Education</w:t>
      </w:r>
      <w:r w:rsidR="00324A2B" w:rsidRPr="00B564F7">
        <w:rPr>
          <w:rFonts w:ascii="Calibri" w:hAnsi="Calibri" w:cs="Calibri"/>
        </w:rPr>
        <w:t xml:space="preserve">, there is a dearth of policy levers available to enact </w:t>
      </w:r>
      <w:r>
        <w:rPr>
          <w:rFonts w:ascii="Calibri" w:hAnsi="Calibri" w:cs="Calibri"/>
        </w:rPr>
        <w:t>these recommendations</w:t>
      </w:r>
      <w:r w:rsidR="00324A2B" w:rsidRPr="00B564F7">
        <w:rPr>
          <w:rFonts w:ascii="Calibri" w:hAnsi="Calibri" w:cs="Calibri"/>
        </w:rPr>
        <w:t>, and so</w:t>
      </w:r>
      <w:r>
        <w:rPr>
          <w:rFonts w:ascii="Calibri" w:hAnsi="Calibri" w:cs="Calibri"/>
        </w:rPr>
        <w:t>,</w:t>
      </w:r>
      <w:r w:rsidR="00324A2B" w:rsidRPr="00B564F7">
        <w:rPr>
          <w:rFonts w:ascii="Calibri" w:hAnsi="Calibri" w:cs="Calibri"/>
        </w:rPr>
        <w:t xml:space="preserve"> two years on from the </w:t>
      </w:r>
      <w:r w:rsidR="00324A2B" w:rsidRPr="00B564F7">
        <w:rPr>
          <w:rFonts w:ascii="Calibri" w:hAnsi="Calibri" w:cs="Calibri"/>
          <w:i/>
          <w:iCs/>
        </w:rPr>
        <w:t xml:space="preserve">Misogyny in Music </w:t>
      </w:r>
      <w:r w:rsidR="00324A2B" w:rsidRPr="00B564F7">
        <w:rPr>
          <w:rFonts w:ascii="Calibri" w:hAnsi="Calibri" w:cs="Calibri"/>
        </w:rPr>
        <w:t xml:space="preserve">report, there has been </w:t>
      </w:r>
      <w:r>
        <w:rPr>
          <w:rFonts w:ascii="Calibri" w:hAnsi="Calibri" w:cs="Calibri"/>
        </w:rPr>
        <w:t>almost no</w:t>
      </w:r>
      <w:r w:rsidR="00324A2B" w:rsidRPr="00B564F7">
        <w:rPr>
          <w:rFonts w:ascii="Calibri" w:hAnsi="Calibri" w:cs="Calibri"/>
        </w:rPr>
        <w:t xml:space="preserve"> progress.</w:t>
      </w:r>
    </w:p>
    <w:p w14:paraId="7D094BCC" w14:textId="2E19AB67" w:rsidR="00827C44" w:rsidRPr="00B564F7" w:rsidRDefault="00324A2B" w:rsidP="00FE0037">
      <w:pPr>
        <w:rPr>
          <w:rFonts w:ascii="Calibri" w:hAnsi="Calibri" w:cs="Calibri"/>
          <w:b/>
          <w:bCs/>
        </w:rPr>
      </w:pPr>
      <w:r w:rsidRPr="00B564F7">
        <w:rPr>
          <w:rFonts w:ascii="Calibri" w:hAnsi="Calibri" w:cs="Calibri"/>
          <w:b/>
          <w:bCs/>
        </w:rPr>
        <w:t xml:space="preserve">Why focus on </w:t>
      </w:r>
      <w:r w:rsidR="00827C44" w:rsidRPr="00B564F7">
        <w:rPr>
          <w:rFonts w:ascii="Calibri" w:hAnsi="Calibri" w:cs="Calibri"/>
          <w:b/>
          <w:bCs/>
        </w:rPr>
        <w:t>music higher education</w:t>
      </w:r>
      <w:r w:rsidRPr="00B564F7">
        <w:rPr>
          <w:rFonts w:ascii="Calibri" w:hAnsi="Calibri" w:cs="Calibri"/>
          <w:b/>
          <w:bCs/>
        </w:rPr>
        <w:t>?</w:t>
      </w:r>
    </w:p>
    <w:p w14:paraId="25DC8DD5" w14:textId="2C4BBB69" w:rsidR="00033F1C" w:rsidRDefault="00324A2B" w:rsidP="00BC3AE9">
      <w:pPr>
        <w:rPr>
          <w:rFonts w:ascii="Calibri" w:hAnsi="Calibri" w:cs="Calibri"/>
        </w:rPr>
      </w:pPr>
      <w:r w:rsidRPr="00B564F7">
        <w:rPr>
          <w:rFonts w:ascii="Calibri" w:hAnsi="Calibri" w:cs="Calibri"/>
        </w:rPr>
        <w:t>These recommendations are particularly urgent because music higher education</w:t>
      </w:r>
      <w:r w:rsidR="00662F7E">
        <w:rPr>
          <w:rFonts w:ascii="Calibri" w:hAnsi="Calibri" w:cs="Calibri"/>
        </w:rPr>
        <w:t xml:space="preserve"> (HE)</w:t>
      </w:r>
      <w:r w:rsidRPr="00B564F7">
        <w:rPr>
          <w:rFonts w:ascii="Calibri" w:hAnsi="Calibri" w:cs="Calibri"/>
        </w:rPr>
        <w:t xml:space="preserve"> </w:t>
      </w:r>
      <w:r w:rsidR="00662F7E">
        <w:rPr>
          <w:rFonts w:ascii="Calibri" w:hAnsi="Calibri" w:cs="Calibri"/>
        </w:rPr>
        <w:t xml:space="preserve">remains </w:t>
      </w:r>
      <w:r w:rsidR="00B564F7">
        <w:rPr>
          <w:rFonts w:ascii="Calibri" w:hAnsi="Calibri" w:cs="Calibri"/>
        </w:rPr>
        <w:t xml:space="preserve">unequal – much </w:t>
      </w:r>
      <w:r w:rsidRPr="00B564F7">
        <w:rPr>
          <w:rFonts w:ascii="Calibri" w:hAnsi="Calibri" w:cs="Calibri"/>
        </w:rPr>
        <w:t xml:space="preserve">more </w:t>
      </w:r>
      <w:r w:rsidR="00B564F7">
        <w:rPr>
          <w:rFonts w:ascii="Calibri" w:hAnsi="Calibri" w:cs="Calibri"/>
        </w:rPr>
        <w:t xml:space="preserve">so </w:t>
      </w:r>
      <w:hyperlink r:id="rId7" w:history="1">
        <w:r w:rsidRPr="00843A34">
          <w:rPr>
            <w:rStyle w:val="Hyperlink"/>
            <w:rFonts w:ascii="Calibri" w:hAnsi="Calibri" w:cs="Calibri"/>
          </w:rPr>
          <w:t>than other creative arts subjects</w:t>
        </w:r>
      </w:hyperlink>
      <w:r w:rsidRPr="00B564F7">
        <w:rPr>
          <w:rFonts w:ascii="Calibri" w:hAnsi="Calibri" w:cs="Calibri"/>
        </w:rPr>
        <w:t xml:space="preserve">. </w:t>
      </w:r>
      <w:r w:rsidR="00033F1C">
        <w:rPr>
          <w:rFonts w:ascii="Calibri" w:hAnsi="Calibri" w:cs="Calibri"/>
        </w:rPr>
        <w:t>Following</w:t>
      </w:r>
      <w:r w:rsidR="00BC3AE9" w:rsidRPr="00B564F7">
        <w:rPr>
          <w:rFonts w:ascii="Calibri" w:hAnsi="Calibri" w:cs="Calibri"/>
        </w:rPr>
        <w:t xml:space="preserve"> on </w:t>
      </w:r>
      <w:r w:rsidR="00033F1C">
        <w:rPr>
          <w:rFonts w:ascii="Calibri" w:hAnsi="Calibri" w:cs="Calibri"/>
        </w:rPr>
        <w:t xml:space="preserve">from </w:t>
      </w:r>
      <w:r w:rsidR="00BC3AE9" w:rsidRPr="00B564F7">
        <w:rPr>
          <w:rFonts w:ascii="Calibri" w:hAnsi="Calibri" w:cs="Calibri"/>
        </w:rPr>
        <w:t xml:space="preserve">Vick Bain’s </w:t>
      </w:r>
      <w:hyperlink r:id="rId8" w:history="1">
        <w:r w:rsidR="00BC3AE9" w:rsidRPr="00033F1C">
          <w:rPr>
            <w:rStyle w:val="Hyperlink"/>
            <w:rFonts w:ascii="Calibri" w:hAnsi="Calibri" w:cs="Calibri"/>
          </w:rPr>
          <w:t>groundbreaking report</w:t>
        </w:r>
      </w:hyperlink>
      <w:r w:rsidR="00BC3AE9" w:rsidRPr="00B564F7">
        <w:rPr>
          <w:rFonts w:ascii="Calibri" w:hAnsi="Calibri" w:cs="Calibri"/>
        </w:rPr>
        <w:t xml:space="preserve"> on gender inequalities in the music industry, </w:t>
      </w:r>
      <w:r w:rsidR="00662F7E">
        <w:rPr>
          <w:rFonts w:ascii="Calibri" w:hAnsi="Calibri" w:cs="Calibri"/>
        </w:rPr>
        <w:t>our</w:t>
      </w:r>
      <w:r w:rsidR="00B564F7">
        <w:rPr>
          <w:rFonts w:ascii="Calibri" w:hAnsi="Calibri" w:cs="Calibri"/>
        </w:rPr>
        <w:t xml:space="preserve"> report</w:t>
      </w:r>
      <w:r w:rsidR="00CA3BFA">
        <w:rPr>
          <w:rFonts w:ascii="Calibri" w:hAnsi="Calibri" w:cs="Calibri"/>
        </w:rPr>
        <w:t xml:space="preserve"> </w:t>
      </w:r>
      <w:hyperlink r:id="rId9" w:history="1">
        <w:r w:rsidR="00CA3BFA" w:rsidRPr="00CA3BFA">
          <w:rPr>
            <w:rStyle w:val="Hyperlink"/>
            <w:rFonts w:ascii="Calibri" w:hAnsi="Calibri" w:cs="Calibri"/>
            <w:i/>
            <w:iCs/>
          </w:rPr>
          <w:t>Slow Train Coming</w:t>
        </w:r>
        <w:r w:rsidR="00033F1C">
          <w:rPr>
            <w:rStyle w:val="Hyperlink"/>
            <w:rFonts w:ascii="Calibri" w:hAnsi="Calibri" w:cs="Calibri"/>
            <w:i/>
            <w:iCs/>
          </w:rPr>
          <w:t xml:space="preserve"> </w:t>
        </w:r>
      </w:hyperlink>
      <w:r w:rsidR="00033F1C">
        <w:rPr>
          <w:rFonts w:ascii="Calibri" w:hAnsi="Calibri" w:cs="Calibri"/>
          <w:i/>
          <w:iCs/>
        </w:rPr>
        <w:t>(</w:t>
      </w:r>
      <w:hyperlink r:id="rId10" w:history="1">
        <w:r w:rsidR="00CA3BFA" w:rsidRPr="00CA3BFA">
          <w:rPr>
            <w:rStyle w:val="Hyperlink"/>
            <w:rFonts w:ascii="Calibri" w:hAnsi="Calibri" w:cs="Calibri"/>
          </w:rPr>
          <w:t xml:space="preserve">covered in </w:t>
        </w:r>
        <w:r w:rsidR="00CA3BFA" w:rsidRPr="00CA3BFA">
          <w:rPr>
            <w:rStyle w:val="Hyperlink"/>
            <w:rFonts w:ascii="Calibri" w:hAnsi="Calibri" w:cs="Calibri"/>
            <w:i/>
            <w:iCs/>
          </w:rPr>
          <w:t>Arts Professional</w:t>
        </w:r>
      </w:hyperlink>
      <w:r w:rsidR="00B564F7" w:rsidRPr="00CA3BFA">
        <w:rPr>
          <w:rFonts w:ascii="Calibri" w:hAnsi="Calibri" w:cs="Calibri"/>
          <w:i/>
          <w:iCs/>
        </w:rPr>
        <w:t>)</w:t>
      </w:r>
      <w:r w:rsidR="00827C44" w:rsidRPr="00B564F7">
        <w:rPr>
          <w:rFonts w:ascii="Calibri" w:hAnsi="Calibri" w:cs="Calibri"/>
        </w:rPr>
        <w:t xml:space="preserve"> </w:t>
      </w:r>
      <w:r w:rsidR="00662F7E">
        <w:rPr>
          <w:rFonts w:ascii="Calibri" w:hAnsi="Calibri" w:cs="Calibri"/>
        </w:rPr>
        <w:t>explored inequalities in music HE, finding that bet</w:t>
      </w:r>
      <w:r w:rsidR="00033F1C">
        <w:rPr>
          <w:rFonts w:ascii="Calibri" w:hAnsi="Calibri" w:cs="Calibri"/>
        </w:rPr>
        <w:t>ween 2016-20 women</w:t>
      </w:r>
      <w:r w:rsidR="00827C44" w:rsidRPr="00B564F7">
        <w:rPr>
          <w:rFonts w:ascii="Calibri" w:hAnsi="Calibri" w:cs="Calibri"/>
        </w:rPr>
        <w:t xml:space="preserve"> remain</w:t>
      </w:r>
      <w:r w:rsidR="00662F7E">
        <w:rPr>
          <w:rFonts w:ascii="Calibri" w:hAnsi="Calibri" w:cs="Calibri"/>
        </w:rPr>
        <w:t>ed</w:t>
      </w:r>
      <w:r w:rsidR="00827C44" w:rsidRPr="00B564F7">
        <w:rPr>
          <w:rFonts w:ascii="Calibri" w:hAnsi="Calibri" w:cs="Calibri"/>
        </w:rPr>
        <w:t xml:space="preserve"> under-represented</w:t>
      </w:r>
      <w:r w:rsidR="00662F7E">
        <w:rPr>
          <w:rFonts w:ascii="Calibri" w:hAnsi="Calibri" w:cs="Calibri"/>
        </w:rPr>
        <w:t>; m</w:t>
      </w:r>
      <w:r w:rsidR="00662F7E">
        <w:rPr>
          <w:rFonts w:ascii="Calibri" w:hAnsi="Calibri" w:cs="Calibri"/>
        </w:rPr>
        <w:t>ore men than women are still going into the music industry</w:t>
      </w:r>
      <w:r w:rsidR="00662F7E">
        <w:rPr>
          <w:rStyle w:val="Strong"/>
          <w:rFonts w:ascii="Calibri" w:hAnsi="Calibri" w:cs="Calibri"/>
          <w:b w:val="0"/>
          <w:bCs w:val="0"/>
        </w:rPr>
        <w:t>.</w:t>
      </w:r>
    </w:p>
    <w:p w14:paraId="0604BB6B" w14:textId="35CE4DC7" w:rsidR="00BC3AE9" w:rsidRPr="00B564F7" w:rsidRDefault="00662F7E" w:rsidP="00BC3AE9">
      <w:pPr>
        <w:rPr>
          <w:rFonts w:ascii="Calibri" w:hAnsi="Calibri" w:cs="Calibri"/>
          <w:b/>
          <w:bCs/>
        </w:rPr>
      </w:pPr>
      <w:r>
        <w:rPr>
          <w:rFonts w:ascii="Calibri" w:hAnsi="Calibri" w:cs="Calibri"/>
        </w:rPr>
        <w:t>O</w:t>
      </w:r>
      <w:r w:rsidR="00033F1C">
        <w:rPr>
          <w:rFonts w:ascii="Calibri" w:hAnsi="Calibri" w:cs="Calibri"/>
        </w:rPr>
        <w:t>n the basis of current numbers</w:t>
      </w:r>
      <w:r w:rsidR="00A04535">
        <w:rPr>
          <w:rFonts w:ascii="Calibri" w:hAnsi="Calibri" w:cs="Calibri"/>
        </w:rPr>
        <w:t xml:space="preserve"> of women in music HE</w:t>
      </w:r>
      <w:r>
        <w:rPr>
          <w:rFonts w:ascii="Calibri" w:hAnsi="Calibri" w:cs="Calibri"/>
        </w:rPr>
        <w:t>, then</w:t>
      </w:r>
      <w:r w:rsidR="00033F1C">
        <w:rPr>
          <w:rFonts w:ascii="Calibri" w:hAnsi="Calibri" w:cs="Calibri"/>
        </w:rPr>
        <w:t>,</w:t>
      </w:r>
      <w:hyperlink r:id="rId11" w:history="1">
        <w:r w:rsidRPr="00033F1C">
          <w:rPr>
            <w:rStyle w:val="Hyperlink"/>
            <w:rFonts w:ascii="Calibri" w:hAnsi="Calibri" w:cs="Calibri"/>
          </w:rPr>
          <w:t xml:space="preserve"> </w:t>
        </w:r>
        <w:r w:rsidR="00A04535">
          <w:rPr>
            <w:rStyle w:val="Hyperlink"/>
            <w:rFonts w:ascii="Calibri" w:hAnsi="Calibri" w:cs="Calibri"/>
          </w:rPr>
          <w:t>I have argued that</w:t>
        </w:r>
      </w:hyperlink>
      <w:r>
        <w:rPr>
          <w:rFonts w:ascii="Calibri" w:hAnsi="Calibri" w:cs="Calibri"/>
        </w:rPr>
        <w:t xml:space="preserve"> that </w:t>
      </w:r>
      <w:r w:rsidR="00BC3AE9" w:rsidRPr="00B564F7">
        <w:rPr>
          <w:rFonts w:ascii="Calibri" w:hAnsi="Calibri" w:cs="Calibri"/>
        </w:rPr>
        <w:t xml:space="preserve">the prognosis for </w:t>
      </w:r>
      <w:r w:rsidR="00A04535">
        <w:rPr>
          <w:rFonts w:ascii="Calibri" w:hAnsi="Calibri" w:cs="Calibri"/>
        </w:rPr>
        <w:t>improving</w:t>
      </w:r>
      <w:r w:rsidR="00BC3AE9" w:rsidRPr="00B564F7">
        <w:rPr>
          <w:rFonts w:ascii="Calibri" w:hAnsi="Calibri" w:cs="Calibri"/>
        </w:rPr>
        <w:t xml:space="preserve"> gender equality in the </w:t>
      </w:r>
      <w:r>
        <w:rPr>
          <w:rFonts w:ascii="Calibri" w:hAnsi="Calibri" w:cs="Calibri"/>
        </w:rPr>
        <w:t xml:space="preserve">music </w:t>
      </w:r>
      <w:r w:rsidR="00BC3AE9" w:rsidRPr="00B564F7">
        <w:rPr>
          <w:rFonts w:ascii="Calibri" w:hAnsi="Calibri" w:cs="Calibri"/>
        </w:rPr>
        <w:t xml:space="preserve">industry is extremely poor. While there </w:t>
      </w:r>
      <w:r w:rsidR="00033F1C">
        <w:rPr>
          <w:rFonts w:ascii="Calibri" w:hAnsi="Calibri" w:cs="Calibri"/>
        </w:rPr>
        <w:t>we</w:t>
      </w:r>
      <w:r w:rsidR="00BC3AE9" w:rsidRPr="00B564F7">
        <w:rPr>
          <w:rFonts w:ascii="Calibri" w:hAnsi="Calibri" w:cs="Calibri"/>
        </w:rPr>
        <w:t>re very small increases in women students between 2016-20</w:t>
      </w:r>
      <w:r w:rsidR="00033F1C">
        <w:rPr>
          <w:rFonts w:ascii="Calibri" w:hAnsi="Calibri" w:cs="Calibri"/>
        </w:rPr>
        <w:t xml:space="preserve"> (and subsequently)</w:t>
      </w:r>
      <w:r w:rsidR="00BC3AE9" w:rsidRPr="00B564F7">
        <w:rPr>
          <w:rFonts w:ascii="Calibri" w:hAnsi="Calibri" w:cs="Calibri"/>
        </w:rPr>
        <w:t xml:space="preserve">, </w:t>
      </w:r>
      <w:r w:rsidR="00B564F7">
        <w:rPr>
          <w:rFonts w:ascii="Calibri" w:hAnsi="Calibri" w:cs="Calibri"/>
        </w:rPr>
        <w:t>there are still fewer women than men students</w:t>
      </w:r>
      <w:r w:rsidR="00843A34">
        <w:rPr>
          <w:rFonts w:ascii="Calibri" w:hAnsi="Calibri" w:cs="Calibri"/>
        </w:rPr>
        <w:t xml:space="preserve">. </w:t>
      </w:r>
    </w:p>
    <w:p w14:paraId="3135C45E" w14:textId="5285733B" w:rsidR="00BC3AE9" w:rsidRPr="00B564F7" w:rsidRDefault="00BC3AE9" w:rsidP="00BC3AE9">
      <w:pPr>
        <w:rPr>
          <w:rFonts w:ascii="Calibri" w:hAnsi="Calibri" w:cs="Calibri"/>
        </w:rPr>
      </w:pPr>
      <w:r w:rsidRPr="00B564F7">
        <w:rPr>
          <w:rFonts w:ascii="Calibri" w:hAnsi="Calibri" w:cs="Calibri"/>
        </w:rPr>
        <w:t xml:space="preserve">Not only that, but gender inequality is distributed unevenly across the sector. Older, more prestigious institutions, such as traditional universities and conservatoires, tend to have a </w:t>
      </w:r>
      <w:r w:rsidRPr="00B564F7">
        <w:rPr>
          <w:rFonts w:ascii="Calibri" w:hAnsi="Calibri" w:cs="Calibri"/>
        </w:rPr>
        <w:lastRenderedPageBreak/>
        <w:t>more equal gender balance. However, these program</w:t>
      </w:r>
      <w:r w:rsidR="00662F7E">
        <w:rPr>
          <w:rFonts w:ascii="Calibri" w:hAnsi="Calibri" w:cs="Calibri"/>
        </w:rPr>
        <w:t>me</w:t>
      </w:r>
      <w:r w:rsidRPr="00B564F7">
        <w:rPr>
          <w:rFonts w:ascii="Calibri" w:hAnsi="Calibri" w:cs="Calibri"/>
        </w:rPr>
        <w:t xml:space="preserve">s often </w:t>
      </w:r>
      <w:r w:rsidR="00662F7E">
        <w:rPr>
          <w:rFonts w:ascii="Calibri" w:hAnsi="Calibri" w:cs="Calibri"/>
        </w:rPr>
        <w:t>foreground</w:t>
      </w:r>
      <w:r w:rsidRPr="00B564F7">
        <w:rPr>
          <w:rFonts w:ascii="Calibri" w:hAnsi="Calibri" w:cs="Calibri"/>
        </w:rPr>
        <w:t xml:space="preserve"> classical </w:t>
      </w:r>
      <w:r w:rsidR="00B564F7">
        <w:rPr>
          <w:rFonts w:ascii="Calibri" w:hAnsi="Calibri" w:cs="Calibri"/>
        </w:rPr>
        <w:t>music</w:t>
      </w:r>
      <w:r w:rsidRPr="00B564F7">
        <w:rPr>
          <w:rFonts w:ascii="Calibri" w:hAnsi="Calibri" w:cs="Calibri"/>
        </w:rPr>
        <w:t xml:space="preserve"> and may be less likely to equip students with the digital skills—such as sound engineering and music production—that are needed for contemporary music careers.</w:t>
      </w:r>
      <w:r w:rsidR="00B564F7">
        <w:rPr>
          <w:rFonts w:ascii="Calibri" w:hAnsi="Calibri" w:cs="Calibri"/>
        </w:rPr>
        <w:t xml:space="preserve"> </w:t>
      </w:r>
      <w:r w:rsidRPr="00B564F7">
        <w:rPr>
          <w:rFonts w:ascii="Calibri" w:hAnsi="Calibri" w:cs="Calibri"/>
        </w:rPr>
        <w:t xml:space="preserve">Conversely, newer – and often less prestigious </w:t>
      </w:r>
      <w:r w:rsidR="00B564F7">
        <w:rPr>
          <w:rFonts w:ascii="Calibri" w:hAnsi="Calibri" w:cs="Calibri"/>
        </w:rPr>
        <w:t>–</w:t>
      </w:r>
      <w:r w:rsidRPr="00B564F7">
        <w:rPr>
          <w:rFonts w:ascii="Calibri" w:hAnsi="Calibri" w:cs="Calibri"/>
        </w:rPr>
        <w:t xml:space="preserve"> institutions</w:t>
      </w:r>
      <w:r w:rsidR="00B564F7">
        <w:rPr>
          <w:rFonts w:ascii="Calibri" w:hAnsi="Calibri" w:cs="Calibri"/>
        </w:rPr>
        <w:t xml:space="preserve"> </w:t>
      </w:r>
      <w:r w:rsidRPr="00B564F7">
        <w:rPr>
          <w:rFonts w:ascii="Calibri" w:hAnsi="Calibri" w:cs="Calibri"/>
        </w:rPr>
        <w:t xml:space="preserve">often have significant strengths in music technology but remain heavily male-dominated. This creates a double marginalization for women from working-class or </w:t>
      </w:r>
      <w:r w:rsidR="00B564F7">
        <w:rPr>
          <w:rFonts w:ascii="Calibri" w:hAnsi="Calibri" w:cs="Calibri"/>
        </w:rPr>
        <w:t>racial minoritised backgrounds</w:t>
      </w:r>
      <w:r w:rsidRPr="00B564F7">
        <w:rPr>
          <w:rFonts w:ascii="Calibri" w:hAnsi="Calibri" w:cs="Calibri"/>
        </w:rPr>
        <w:t>, who are excluded from prestigious settings where white, middle-class women predominate and in a minority position in the</w:t>
      </w:r>
      <w:r w:rsidR="00B564F7">
        <w:rPr>
          <w:rFonts w:ascii="Calibri" w:hAnsi="Calibri" w:cs="Calibri"/>
        </w:rPr>
        <w:t>se</w:t>
      </w:r>
      <w:r w:rsidRPr="00B564F7">
        <w:rPr>
          <w:rFonts w:ascii="Calibri" w:hAnsi="Calibri" w:cs="Calibri"/>
        </w:rPr>
        <w:t xml:space="preserve"> newer institutions that are more likely to provide the technical skills needed for music industry careers. </w:t>
      </w:r>
    </w:p>
    <w:p w14:paraId="2FAAFDDC" w14:textId="5991168A" w:rsidR="00F82377" w:rsidRPr="00B564F7" w:rsidRDefault="00F82377" w:rsidP="00FE0037">
      <w:pPr>
        <w:rPr>
          <w:rFonts w:ascii="Calibri" w:hAnsi="Calibri" w:cs="Calibri"/>
          <w:b/>
          <w:bCs/>
        </w:rPr>
      </w:pPr>
      <w:r w:rsidRPr="00B564F7">
        <w:rPr>
          <w:rFonts w:ascii="Calibri" w:hAnsi="Calibri" w:cs="Calibri"/>
          <w:b/>
          <w:bCs/>
        </w:rPr>
        <w:t xml:space="preserve">The </w:t>
      </w:r>
      <w:r w:rsidR="00B12E15" w:rsidRPr="00B564F7">
        <w:rPr>
          <w:rFonts w:ascii="Calibri" w:hAnsi="Calibri" w:cs="Calibri"/>
          <w:b/>
          <w:bCs/>
        </w:rPr>
        <w:t>p</w:t>
      </w:r>
      <w:r w:rsidRPr="00B564F7">
        <w:rPr>
          <w:rFonts w:ascii="Calibri" w:hAnsi="Calibri" w:cs="Calibri"/>
          <w:b/>
          <w:bCs/>
        </w:rPr>
        <w:t xml:space="preserve">olicy </w:t>
      </w:r>
      <w:r w:rsidR="00B12E15" w:rsidRPr="00B564F7">
        <w:rPr>
          <w:rFonts w:ascii="Calibri" w:hAnsi="Calibri" w:cs="Calibri"/>
          <w:b/>
          <w:bCs/>
        </w:rPr>
        <w:t>g</w:t>
      </w:r>
      <w:r w:rsidRPr="00B564F7">
        <w:rPr>
          <w:rFonts w:ascii="Calibri" w:hAnsi="Calibri" w:cs="Calibri"/>
          <w:b/>
          <w:bCs/>
        </w:rPr>
        <w:t>ap</w:t>
      </w:r>
      <w:r w:rsidR="00827C44" w:rsidRPr="00B564F7">
        <w:rPr>
          <w:rFonts w:ascii="Calibri" w:hAnsi="Calibri" w:cs="Calibri"/>
          <w:b/>
          <w:bCs/>
        </w:rPr>
        <w:t xml:space="preserve"> in the </w:t>
      </w:r>
      <w:r w:rsidR="00827C44" w:rsidRPr="00B564F7">
        <w:rPr>
          <w:rFonts w:ascii="Calibri" w:hAnsi="Calibri" w:cs="Calibri"/>
          <w:b/>
          <w:bCs/>
          <w:i/>
          <w:iCs/>
        </w:rPr>
        <w:t xml:space="preserve">Misogyny in Music </w:t>
      </w:r>
      <w:r w:rsidR="00827C44" w:rsidRPr="00B564F7">
        <w:rPr>
          <w:rFonts w:ascii="Calibri" w:hAnsi="Calibri" w:cs="Calibri"/>
          <w:b/>
          <w:bCs/>
        </w:rPr>
        <w:t>recommendations</w:t>
      </w:r>
      <w:r w:rsidR="00324A2B" w:rsidRPr="00B564F7">
        <w:rPr>
          <w:rFonts w:ascii="Calibri" w:hAnsi="Calibri" w:cs="Calibri"/>
          <w:b/>
          <w:bCs/>
        </w:rPr>
        <w:t xml:space="preserve"> for music higher education</w:t>
      </w:r>
    </w:p>
    <w:p w14:paraId="336A5A76" w14:textId="298B7AB0" w:rsidR="00EE7992" w:rsidRPr="00B564F7" w:rsidRDefault="00B564F7" w:rsidP="00F82377">
      <w:pPr>
        <w:rPr>
          <w:rFonts w:ascii="Calibri" w:hAnsi="Calibri" w:cs="Calibri"/>
        </w:rPr>
      </w:pPr>
      <w:r>
        <w:rPr>
          <w:rFonts w:ascii="Calibri" w:hAnsi="Calibri" w:cs="Calibri"/>
        </w:rPr>
        <w:t>T</w:t>
      </w:r>
      <w:r w:rsidR="00F93C2F" w:rsidRPr="00B564F7">
        <w:rPr>
          <w:rFonts w:ascii="Calibri" w:hAnsi="Calibri" w:cs="Calibri"/>
        </w:rPr>
        <w:t>he Misogyny in Music report aim</w:t>
      </w:r>
      <w:r>
        <w:rPr>
          <w:rFonts w:ascii="Calibri" w:hAnsi="Calibri" w:cs="Calibri"/>
        </w:rPr>
        <w:t>ed</w:t>
      </w:r>
      <w:r w:rsidR="00F93C2F" w:rsidRPr="00B564F7">
        <w:rPr>
          <w:rFonts w:ascii="Calibri" w:hAnsi="Calibri" w:cs="Calibri"/>
        </w:rPr>
        <w:t xml:space="preserve"> to address th</w:t>
      </w:r>
      <w:r w:rsidR="00324A2B" w:rsidRPr="00B564F7">
        <w:rPr>
          <w:rFonts w:ascii="Calibri" w:hAnsi="Calibri" w:cs="Calibri"/>
        </w:rPr>
        <w:t>ese inequalities</w:t>
      </w:r>
      <w:r w:rsidR="00F93C2F" w:rsidRPr="00B564F7">
        <w:rPr>
          <w:rFonts w:ascii="Calibri" w:hAnsi="Calibri" w:cs="Calibri"/>
        </w:rPr>
        <w:t>. Hower, t</w:t>
      </w:r>
      <w:r w:rsidR="00EE7992" w:rsidRPr="00B564F7">
        <w:rPr>
          <w:rFonts w:ascii="Calibri" w:hAnsi="Calibri" w:cs="Calibri"/>
        </w:rPr>
        <w:t>he report did not outline any policy levers by which the recommendations for music education could be implemente</w:t>
      </w:r>
      <w:r w:rsidR="00F93C2F" w:rsidRPr="00B564F7">
        <w:rPr>
          <w:rFonts w:ascii="Calibri" w:hAnsi="Calibri" w:cs="Calibri"/>
        </w:rPr>
        <w:t>d</w:t>
      </w:r>
      <w:r w:rsidR="00324A2B" w:rsidRPr="00B564F7">
        <w:rPr>
          <w:rFonts w:ascii="Calibri" w:hAnsi="Calibri" w:cs="Calibri"/>
        </w:rPr>
        <w:t xml:space="preserve">. </w:t>
      </w:r>
      <w:hyperlink r:id="rId12" w:history="1">
        <w:r w:rsidRPr="008136D3">
          <w:rPr>
            <w:rStyle w:val="Hyperlink"/>
            <w:rFonts w:ascii="Calibri" w:hAnsi="Calibri" w:cs="Calibri"/>
          </w:rPr>
          <w:t>I’ve outlined</w:t>
        </w:r>
      </w:hyperlink>
      <w:r w:rsidR="00EE7992" w:rsidRPr="00B564F7">
        <w:rPr>
          <w:rFonts w:ascii="Calibri" w:hAnsi="Calibri" w:cs="Calibri"/>
        </w:rPr>
        <w:t xml:space="preserve"> </w:t>
      </w:r>
      <w:r w:rsidR="00324A2B" w:rsidRPr="00B564F7">
        <w:rPr>
          <w:rFonts w:ascii="Calibri" w:hAnsi="Calibri" w:cs="Calibri"/>
        </w:rPr>
        <w:t>two</w:t>
      </w:r>
      <w:r w:rsidR="00EE7992" w:rsidRPr="00B564F7">
        <w:rPr>
          <w:rFonts w:ascii="Calibri" w:hAnsi="Calibri" w:cs="Calibri"/>
        </w:rPr>
        <w:t xml:space="preserve"> existing policy and regulatory frameworks that in theory could play a role in leveraging</w:t>
      </w:r>
      <w:r w:rsidR="00A04535">
        <w:rPr>
          <w:rFonts w:ascii="Calibri" w:hAnsi="Calibri" w:cs="Calibri"/>
        </w:rPr>
        <w:t xml:space="preserve"> some of</w:t>
      </w:r>
      <w:r w:rsidR="00EE7992" w:rsidRPr="00B564F7">
        <w:rPr>
          <w:rFonts w:ascii="Calibri" w:hAnsi="Calibri" w:cs="Calibri"/>
        </w:rPr>
        <w:t xml:space="preserve"> the changes called for</w:t>
      </w:r>
      <w:r>
        <w:rPr>
          <w:rFonts w:ascii="Calibri" w:hAnsi="Calibri" w:cs="Calibri"/>
        </w:rPr>
        <w:t xml:space="preserve"> in </w:t>
      </w:r>
      <w:r w:rsidRPr="00B564F7">
        <w:rPr>
          <w:rFonts w:ascii="Calibri" w:hAnsi="Calibri" w:cs="Calibri"/>
        </w:rPr>
        <w:t>music higher education</w:t>
      </w:r>
      <w:r w:rsidR="00EE7992" w:rsidRPr="00B564F7">
        <w:rPr>
          <w:rFonts w:ascii="Calibri" w:hAnsi="Calibri" w:cs="Calibri"/>
        </w:rPr>
        <w:t xml:space="preserve">. </w:t>
      </w:r>
      <w:r w:rsidR="00324A2B" w:rsidRPr="00B564F7">
        <w:rPr>
          <w:rFonts w:ascii="Calibri" w:hAnsi="Calibri" w:cs="Calibri"/>
        </w:rPr>
        <w:t>O</w:t>
      </w:r>
      <w:r w:rsidR="00EE7992" w:rsidRPr="00B564F7">
        <w:rPr>
          <w:rFonts w:ascii="Calibri" w:hAnsi="Calibri" w:cs="Calibri"/>
        </w:rPr>
        <w:t>ne is the Athena Swan Chartermark for gender equality in higher education</w:t>
      </w:r>
      <w:r w:rsidR="005179DE" w:rsidRPr="00B564F7">
        <w:rPr>
          <w:rFonts w:ascii="Calibri" w:hAnsi="Calibri" w:cs="Calibri"/>
        </w:rPr>
        <w:t xml:space="preserve">. </w:t>
      </w:r>
      <w:r>
        <w:rPr>
          <w:rFonts w:ascii="Calibri" w:hAnsi="Calibri" w:cs="Calibri"/>
        </w:rPr>
        <w:t>O</w:t>
      </w:r>
      <w:r w:rsidR="00324A2B" w:rsidRPr="00B564F7">
        <w:rPr>
          <w:rFonts w:ascii="Calibri" w:hAnsi="Calibri" w:cs="Calibri"/>
        </w:rPr>
        <w:t xml:space="preserve">riginally designed for </w:t>
      </w:r>
      <w:r w:rsidR="005179DE" w:rsidRPr="00B564F7">
        <w:rPr>
          <w:rFonts w:ascii="Calibri" w:hAnsi="Calibri" w:cs="Calibri"/>
        </w:rPr>
        <w:t>Science, Technology, Engineering and Maths (</w:t>
      </w:r>
      <w:r w:rsidR="00324A2B" w:rsidRPr="00B564F7">
        <w:rPr>
          <w:rFonts w:ascii="Calibri" w:hAnsi="Calibri" w:cs="Calibri"/>
        </w:rPr>
        <w:t>STEM</w:t>
      </w:r>
      <w:r w:rsidR="005179DE" w:rsidRPr="00B564F7">
        <w:rPr>
          <w:rFonts w:ascii="Calibri" w:hAnsi="Calibri" w:cs="Calibri"/>
        </w:rPr>
        <w:t>)</w:t>
      </w:r>
      <w:r w:rsidR="00324A2B" w:rsidRPr="00B564F7">
        <w:rPr>
          <w:rFonts w:ascii="Calibri" w:hAnsi="Calibri" w:cs="Calibri"/>
        </w:rPr>
        <w:t xml:space="preserve"> disciplines, </w:t>
      </w:r>
      <w:r>
        <w:rPr>
          <w:rFonts w:ascii="Calibri" w:hAnsi="Calibri" w:cs="Calibri"/>
        </w:rPr>
        <w:t>i</w:t>
      </w:r>
      <w:r w:rsidR="00324A2B" w:rsidRPr="00B564F7">
        <w:rPr>
          <w:rFonts w:ascii="Calibri" w:hAnsi="Calibri" w:cs="Calibri"/>
        </w:rPr>
        <w:t>ts take-up within STEM was greatly supported by research funders requiring departments to have an Athena Swan award</w:t>
      </w:r>
      <w:r w:rsidR="005179DE" w:rsidRPr="00B564F7">
        <w:rPr>
          <w:rFonts w:ascii="Calibri" w:hAnsi="Calibri" w:cs="Calibri"/>
        </w:rPr>
        <w:t>. However, t</w:t>
      </w:r>
      <w:r w:rsidR="00324A2B" w:rsidRPr="00B564F7">
        <w:rPr>
          <w:rFonts w:ascii="Calibri" w:hAnsi="Calibri" w:cs="Calibri"/>
        </w:rPr>
        <w:t>his require</w:t>
      </w:r>
      <w:r w:rsidR="005179DE" w:rsidRPr="00B564F7">
        <w:rPr>
          <w:rFonts w:ascii="Calibri" w:hAnsi="Calibri" w:cs="Calibri"/>
        </w:rPr>
        <w:t>ment is not in place for</w:t>
      </w:r>
      <w:r w:rsidR="00324A2B" w:rsidRPr="00B564F7">
        <w:rPr>
          <w:rFonts w:ascii="Calibri" w:hAnsi="Calibri" w:cs="Calibri"/>
        </w:rPr>
        <w:t xml:space="preserve"> arts and humanities research funders</w:t>
      </w:r>
      <w:r w:rsidR="00536C9C" w:rsidRPr="00B564F7">
        <w:rPr>
          <w:rFonts w:ascii="Calibri" w:hAnsi="Calibri" w:cs="Calibri"/>
        </w:rPr>
        <w:t>, and it is not clear how many music departments hold Athena Swan awards.</w:t>
      </w:r>
    </w:p>
    <w:p w14:paraId="7853E43B" w14:textId="127FDD50" w:rsidR="00536C9C" w:rsidRPr="00B564F7" w:rsidRDefault="00536C9C" w:rsidP="00F82377">
      <w:pPr>
        <w:rPr>
          <w:rFonts w:ascii="Calibri" w:hAnsi="Calibri" w:cs="Calibri"/>
        </w:rPr>
      </w:pPr>
      <w:r w:rsidRPr="00B564F7">
        <w:rPr>
          <w:rFonts w:ascii="Calibri" w:hAnsi="Calibri" w:cs="Calibri"/>
        </w:rPr>
        <w:t>A second regulatory lever is the Office for Students’ regulation to address harassment and sexual misconduct experienced by students in English higher education, in force since August 2025. This requires higher education institutions to provide training to all staff and students on recognising harassment and sexual misconduct and on their institution’s approach to tackling it</w:t>
      </w:r>
      <w:r w:rsidR="008136D3">
        <w:rPr>
          <w:rFonts w:ascii="Calibri" w:hAnsi="Calibri" w:cs="Calibri"/>
        </w:rPr>
        <w:t>, among other steps</w:t>
      </w:r>
      <w:r w:rsidRPr="00B564F7">
        <w:rPr>
          <w:rFonts w:ascii="Calibri" w:hAnsi="Calibri" w:cs="Calibri"/>
        </w:rPr>
        <w:t xml:space="preserve">. However, this condition only applies in England, not in Wales, Scotland or Northern Ireland, and only to students, not </w:t>
      </w:r>
      <w:r w:rsidR="00B564F7">
        <w:rPr>
          <w:rFonts w:ascii="Calibri" w:hAnsi="Calibri" w:cs="Calibri"/>
        </w:rPr>
        <w:t>staff</w:t>
      </w:r>
      <w:r w:rsidRPr="00B564F7">
        <w:rPr>
          <w:rFonts w:ascii="Calibri" w:hAnsi="Calibri" w:cs="Calibri"/>
        </w:rPr>
        <w:t xml:space="preserve">. </w:t>
      </w:r>
      <w:r w:rsidR="00843A34">
        <w:rPr>
          <w:rFonts w:ascii="Calibri" w:hAnsi="Calibri" w:cs="Calibri"/>
        </w:rPr>
        <w:t xml:space="preserve">It is </w:t>
      </w:r>
      <w:hyperlink r:id="rId13" w:history="1">
        <w:r w:rsidR="00843A34" w:rsidRPr="00843A34">
          <w:rPr>
            <w:rStyle w:val="Hyperlink"/>
            <w:rFonts w:ascii="Calibri" w:hAnsi="Calibri" w:cs="Calibri"/>
          </w:rPr>
          <w:t>also unclear</w:t>
        </w:r>
      </w:hyperlink>
      <w:r w:rsidR="00843A34">
        <w:rPr>
          <w:rFonts w:ascii="Calibri" w:hAnsi="Calibri" w:cs="Calibri"/>
        </w:rPr>
        <w:t xml:space="preserve"> how the Office for Students will monitor compliance. </w:t>
      </w:r>
    </w:p>
    <w:p w14:paraId="79E1A317" w14:textId="66EE869B" w:rsidR="005179DE" w:rsidRPr="00B564F7" w:rsidRDefault="00536C9C" w:rsidP="00F82377">
      <w:pPr>
        <w:rPr>
          <w:rFonts w:ascii="Calibri" w:hAnsi="Calibri" w:cs="Calibri"/>
          <w:color w:val="202124"/>
          <w:spacing w:val="2"/>
          <w:shd w:val="clear" w:color="auto" w:fill="FFFFFF"/>
        </w:rPr>
      </w:pPr>
      <w:r w:rsidRPr="00B564F7">
        <w:rPr>
          <w:rFonts w:ascii="Calibri" w:hAnsi="Calibri" w:cs="Calibri"/>
        </w:rPr>
        <w:t>Both of these approaches are severely limited</w:t>
      </w:r>
      <w:r w:rsidR="005179DE" w:rsidRPr="00B564F7">
        <w:rPr>
          <w:rFonts w:ascii="Calibri" w:hAnsi="Calibri" w:cs="Calibri"/>
        </w:rPr>
        <w:t xml:space="preserve"> in addressing the recommendations of the </w:t>
      </w:r>
      <w:r w:rsidR="005179DE" w:rsidRPr="00B564F7">
        <w:rPr>
          <w:rFonts w:ascii="Calibri" w:hAnsi="Calibri" w:cs="Calibri"/>
          <w:i/>
          <w:iCs/>
        </w:rPr>
        <w:t xml:space="preserve">Misogyny in Music </w:t>
      </w:r>
      <w:r w:rsidR="005179DE" w:rsidRPr="00B564F7">
        <w:rPr>
          <w:rFonts w:ascii="Calibri" w:hAnsi="Calibri" w:cs="Calibri"/>
        </w:rPr>
        <w:t>report</w:t>
      </w:r>
      <w:r w:rsidRPr="00B564F7">
        <w:rPr>
          <w:rFonts w:ascii="Calibri" w:hAnsi="Calibri" w:cs="Calibri"/>
        </w:rPr>
        <w:t xml:space="preserve">. </w:t>
      </w:r>
      <w:r w:rsidRPr="00B564F7">
        <w:rPr>
          <w:rFonts w:ascii="Calibri" w:hAnsi="Calibri" w:cs="Calibri"/>
          <w:color w:val="202124"/>
          <w:spacing w:val="2"/>
          <w:shd w:val="clear" w:color="auto" w:fill="FFFFFF"/>
        </w:rPr>
        <w:t xml:space="preserve">Athena Swan requires applicants to produce an action plan to address gender inequalities but does not require applicants to </w:t>
      </w:r>
      <w:r w:rsidR="00B564F7">
        <w:rPr>
          <w:rFonts w:ascii="Calibri" w:hAnsi="Calibri" w:cs="Calibri"/>
          <w:color w:val="202124"/>
          <w:spacing w:val="2"/>
          <w:shd w:val="clear" w:color="auto" w:fill="FFFFFF"/>
        </w:rPr>
        <w:t>address</w:t>
      </w:r>
      <w:r w:rsidRPr="00B564F7">
        <w:rPr>
          <w:rFonts w:ascii="Calibri" w:hAnsi="Calibri" w:cs="Calibri"/>
          <w:color w:val="202124"/>
          <w:spacing w:val="2"/>
          <w:shd w:val="clear" w:color="auto" w:fill="FFFFFF"/>
        </w:rPr>
        <w:t xml:space="preserve"> gender-based violence. By contrast, the Office for Students’ regulation does not mention gender or gender inequalities. </w:t>
      </w:r>
    </w:p>
    <w:p w14:paraId="4E41FF0C" w14:textId="1F8464C1" w:rsidR="00D93BA5" w:rsidRPr="00B564F7" w:rsidRDefault="00B564F7">
      <w:pPr>
        <w:rPr>
          <w:rFonts w:ascii="Calibri" w:hAnsi="Calibri" w:cs="Calibri"/>
        </w:rPr>
      </w:pPr>
      <w:r>
        <w:rPr>
          <w:rFonts w:ascii="Calibri" w:hAnsi="Calibri" w:cs="Calibri"/>
        </w:rPr>
        <w:t xml:space="preserve">Despite these </w:t>
      </w:r>
      <w:r w:rsidR="00A04535">
        <w:rPr>
          <w:rFonts w:ascii="Calibri" w:hAnsi="Calibri" w:cs="Calibri"/>
        </w:rPr>
        <w:t xml:space="preserve">significant </w:t>
      </w:r>
      <w:r>
        <w:rPr>
          <w:rFonts w:ascii="Calibri" w:hAnsi="Calibri" w:cs="Calibri"/>
        </w:rPr>
        <w:t>limitations</w:t>
      </w:r>
      <w:r w:rsidR="00536C9C" w:rsidRPr="00B564F7">
        <w:rPr>
          <w:rFonts w:ascii="Calibri" w:hAnsi="Calibri" w:cs="Calibri"/>
        </w:rPr>
        <w:t xml:space="preserve">, </w:t>
      </w:r>
      <w:r>
        <w:rPr>
          <w:rFonts w:ascii="Calibri" w:hAnsi="Calibri" w:cs="Calibri"/>
        </w:rPr>
        <w:t xml:space="preserve">these </w:t>
      </w:r>
      <w:r w:rsidR="00A04535">
        <w:rPr>
          <w:rFonts w:ascii="Calibri" w:hAnsi="Calibri" w:cs="Calibri"/>
        </w:rPr>
        <w:t>policy frameworks</w:t>
      </w:r>
      <w:r>
        <w:rPr>
          <w:rFonts w:ascii="Calibri" w:hAnsi="Calibri" w:cs="Calibri"/>
        </w:rPr>
        <w:t xml:space="preserve"> could provide starting points for work </w:t>
      </w:r>
      <w:bookmarkStart w:id="0" w:name="_Hlk198734063"/>
      <w:r w:rsidR="00827C44" w:rsidRPr="00B564F7">
        <w:rPr>
          <w:rFonts w:ascii="Calibri" w:hAnsi="Calibri" w:cs="Calibri"/>
        </w:rPr>
        <w:t xml:space="preserve">to support gender equality in music </w:t>
      </w:r>
      <w:bookmarkEnd w:id="0"/>
      <w:r w:rsidR="00A04535">
        <w:rPr>
          <w:rFonts w:ascii="Calibri" w:hAnsi="Calibri" w:cs="Calibri"/>
        </w:rPr>
        <w:t>HE</w:t>
      </w:r>
      <w:r w:rsidR="005179DE" w:rsidRPr="00B564F7">
        <w:rPr>
          <w:rFonts w:ascii="Calibri" w:hAnsi="Calibri" w:cs="Calibri"/>
        </w:rPr>
        <w:t xml:space="preserve">. </w:t>
      </w:r>
      <w:r>
        <w:rPr>
          <w:rFonts w:ascii="Calibri" w:hAnsi="Calibri" w:cs="Calibri"/>
        </w:rPr>
        <w:t>But t</w:t>
      </w:r>
      <w:r w:rsidR="009E1DB0" w:rsidRPr="00B564F7">
        <w:rPr>
          <w:rFonts w:ascii="Calibri" w:hAnsi="Calibri" w:cs="Calibri"/>
        </w:rPr>
        <w:t xml:space="preserve">wo years on from the report’s publication, </w:t>
      </w:r>
      <w:r w:rsidR="00843A34">
        <w:rPr>
          <w:rFonts w:ascii="Calibri" w:hAnsi="Calibri" w:cs="Calibri"/>
        </w:rPr>
        <w:t>minimal</w:t>
      </w:r>
      <w:r w:rsidR="009E1DB0" w:rsidRPr="00B564F7">
        <w:rPr>
          <w:rFonts w:ascii="Calibri" w:hAnsi="Calibri" w:cs="Calibri"/>
        </w:rPr>
        <w:t xml:space="preserve"> progress has been made. More widely, the silence of the Misogyny in Music report around issues faced by trans or non-binary musicians or music students must be challenged. </w:t>
      </w:r>
      <w:r w:rsidR="005179DE" w:rsidRPr="00B564F7">
        <w:rPr>
          <w:rFonts w:ascii="Calibri" w:hAnsi="Calibri" w:cs="Calibri"/>
        </w:rPr>
        <w:t>T</w:t>
      </w:r>
      <w:r w:rsidR="00536C9C" w:rsidRPr="00B564F7">
        <w:rPr>
          <w:rFonts w:ascii="Calibri" w:hAnsi="Calibri" w:cs="Calibri"/>
        </w:rPr>
        <w:t>he Women and Equalities Select Committee, in future hearings on this topic, must call on Athena Swan</w:t>
      </w:r>
      <w:r w:rsidR="009E1DB0" w:rsidRPr="00B564F7">
        <w:rPr>
          <w:rFonts w:ascii="Calibri" w:hAnsi="Calibri" w:cs="Calibri"/>
        </w:rPr>
        <w:t xml:space="preserve">, Arts Council England, </w:t>
      </w:r>
      <w:r w:rsidR="00843A34">
        <w:rPr>
          <w:rFonts w:ascii="Calibri" w:hAnsi="Calibri" w:cs="Calibri"/>
        </w:rPr>
        <w:t xml:space="preserve">and </w:t>
      </w:r>
      <w:r w:rsidR="00536C9C" w:rsidRPr="00B564F7">
        <w:rPr>
          <w:rFonts w:ascii="Calibri" w:hAnsi="Calibri" w:cs="Calibri"/>
        </w:rPr>
        <w:t xml:space="preserve">disciplinary organisations such as </w:t>
      </w:r>
      <w:r w:rsidR="00536C9C" w:rsidRPr="00B564F7">
        <w:rPr>
          <w:rFonts w:ascii="Calibri" w:hAnsi="Calibri" w:cs="Calibri"/>
        </w:rPr>
        <w:lastRenderedPageBreak/>
        <w:t>MusicHE</w:t>
      </w:r>
      <w:r w:rsidR="009E1DB0" w:rsidRPr="00B564F7">
        <w:rPr>
          <w:rFonts w:ascii="Calibri" w:hAnsi="Calibri" w:cs="Calibri"/>
        </w:rPr>
        <w:t xml:space="preserve">, </w:t>
      </w:r>
      <w:r w:rsidR="00A04535">
        <w:rPr>
          <w:rFonts w:ascii="Calibri" w:hAnsi="Calibri" w:cs="Calibri"/>
        </w:rPr>
        <w:t>and hear from</w:t>
      </w:r>
      <w:r w:rsidR="009E1DB0" w:rsidRPr="00B564F7">
        <w:rPr>
          <w:rFonts w:ascii="Calibri" w:hAnsi="Calibri" w:cs="Calibri"/>
        </w:rPr>
        <w:t xml:space="preserve"> trans and non-binary musicians,</w:t>
      </w:r>
      <w:r w:rsidR="00536C9C" w:rsidRPr="00B564F7">
        <w:rPr>
          <w:rFonts w:ascii="Calibri" w:hAnsi="Calibri" w:cs="Calibri"/>
        </w:rPr>
        <w:t xml:space="preserve"> to </w:t>
      </w:r>
      <w:r w:rsidR="00A04535">
        <w:rPr>
          <w:rFonts w:ascii="Calibri" w:hAnsi="Calibri" w:cs="Calibri"/>
        </w:rPr>
        <w:t>explore</w:t>
      </w:r>
      <w:r w:rsidR="00536C9C" w:rsidRPr="00B564F7">
        <w:rPr>
          <w:rFonts w:ascii="Calibri" w:hAnsi="Calibri" w:cs="Calibri"/>
        </w:rPr>
        <w:t xml:space="preserve"> ways to support this work going forward</w:t>
      </w:r>
      <w:r w:rsidR="009E1DB0" w:rsidRPr="00B564F7">
        <w:rPr>
          <w:rFonts w:ascii="Calibri" w:hAnsi="Calibri" w:cs="Calibri"/>
        </w:rPr>
        <w:t>.</w:t>
      </w:r>
    </w:p>
    <w:sectPr w:rsidR="00D93BA5" w:rsidRPr="00B564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701EF7"/>
    <w:multiLevelType w:val="multilevel"/>
    <w:tmpl w:val="25F46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2493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377"/>
    <w:rsid w:val="00033F1C"/>
    <w:rsid w:val="002F06E9"/>
    <w:rsid w:val="00324A2B"/>
    <w:rsid w:val="005179DE"/>
    <w:rsid w:val="00536C9C"/>
    <w:rsid w:val="006253B3"/>
    <w:rsid w:val="00662F7E"/>
    <w:rsid w:val="008136D3"/>
    <w:rsid w:val="00827C44"/>
    <w:rsid w:val="00843A34"/>
    <w:rsid w:val="00850CA1"/>
    <w:rsid w:val="008D5734"/>
    <w:rsid w:val="00912940"/>
    <w:rsid w:val="009E1DB0"/>
    <w:rsid w:val="00A04535"/>
    <w:rsid w:val="00B12E15"/>
    <w:rsid w:val="00B564F7"/>
    <w:rsid w:val="00BC3AE9"/>
    <w:rsid w:val="00CA3BFA"/>
    <w:rsid w:val="00D80ED4"/>
    <w:rsid w:val="00D93BA5"/>
    <w:rsid w:val="00E23A09"/>
    <w:rsid w:val="00EE7992"/>
    <w:rsid w:val="00F82377"/>
    <w:rsid w:val="00F93C2F"/>
    <w:rsid w:val="00FE0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145B0"/>
  <w15:chartTrackingRefBased/>
  <w15:docId w15:val="{8955A98A-CC95-4DB6-9391-920A3C4C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377"/>
  </w:style>
  <w:style w:type="paragraph" w:styleId="Heading1">
    <w:name w:val="heading 1"/>
    <w:basedOn w:val="Normal"/>
    <w:next w:val="Normal"/>
    <w:link w:val="Heading1Char"/>
    <w:uiPriority w:val="9"/>
    <w:qFormat/>
    <w:rsid w:val="00F823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23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23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23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23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23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3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3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3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3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23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23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23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23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23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3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3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377"/>
    <w:rPr>
      <w:rFonts w:eastAsiaTheme="majorEastAsia" w:cstheme="majorBidi"/>
      <w:color w:val="272727" w:themeColor="text1" w:themeTint="D8"/>
    </w:rPr>
  </w:style>
  <w:style w:type="paragraph" w:styleId="Title">
    <w:name w:val="Title"/>
    <w:basedOn w:val="Normal"/>
    <w:next w:val="Normal"/>
    <w:link w:val="TitleChar"/>
    <w:uiPriority w:val="10"/>
    <w:qFormat/>
    <w:rsid w:val="00F823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3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3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3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377"/>
    <w:pPr>
      <w:spacing w:before="160"/>
      <w:jc w:val="center"/>
    </w:pPr>
    <w:rPr>
      <w:i/>
      <w:iCs/>
      <w:color w:val="404040" w:themeColor="text1" w:themeTint="BF"/>
    </w:rPr>
  </w:style>
  <w:style w:type="character" w:customStyle="1" w:styleId="QuoteChar">
    <w:name w:val="Quote Char"/>
    <w:basedOn w:val="DefaultParagraphFont"/>
    <w:link w:val="Quote"/>
    <w:uiPriority w:val="29"/>
    <w:rsid w:val="00F82377"/>
    <w:rPr>
      <w:i/>
      <w:iCs/>
      <w:color w:val="404040" w:themeColor="text1" w:themeTint="BF"/>
    </w:rPr>
  </w:style>
  <w:style w:type="paragraph" w:styleId="ListParagraph">
    <w:name w:val="List Paragraph"/>
    <w:basedOn w:val="Normal"/>
    <w:uiPriority w:val="34"/>
    <w:qFormat/>
    <w:rsid w:val="00F82377"/>
    <w:pPr>
      <w:ind w:left="720"/>
      <w:contextualSpacing/>
    </w:pPr>
  </w:style>
  <w:style w:type="character" w:styleId="IntenseEmphasis">
    <w:name w:val="Intense Emphasis"/>
    <w:basedOn w:val="DefaultParagraphFont"/>
    <w:uiPriority w:val="21"/>
    <w:qFormat/>
    <w:rsid w:val="00F82377"/>
    <w:rPr>
      <w:i/>
      <w:iCs/>
      <w:color w:val="0F4761" w:themeColor="accent1" w:themeShade="BF"/>
    </w:rPr>
  </w:style>
  <w:style w:type="paragraph" w:styleId="IntenseQuote">
    <w:name w:val="Intense Quote"/>
    <w:basedOn w:val="Normal"/>
    <w:next w:val="Normal"/>
    <w:link w:val="IntenseQuoteChar"/>
    <w:uiPriority w:val="30"/>
    <w:qFormat/>
    <w:rsid w:val="00F823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2377"/>
    <w:rPr>
      <w:i/>
      <w:iCs/>
      <w:color w:val="0F4761" w:themeColor="accent1" w:themeShade="BF"/>
    </w:rPr>
  </w:style>
  <w:style w:type="character" w:styleId="IntenseReference">
    <w:name w:val="Intense Reference"/>
    <w:basedOn w:val="DefaultParagraphFont"/>
    <w:uiPriority w:val="32"/>
    <w:qFormat/>
    <w:rsid w:val="00F82377"/>
    <w:rPr>
      <w:b/>
      <w:bCs/>
      <w:smallCaps/>
      <w:color w:val="0F4761" w:themeColor="accent1" w:themeShade="BF"/>
      <w:spacing w:val="5"/>
    </w:rPr>
  </w:style>
  <w:style w:type="character" w:styleId="Strong">
    <w:name w:val="Strong"/>
    <w:basedOn w:val="DefaultParagraphFont"/>
    <w:uiPriority w:val="22"/>
    <w:qFormat/>
    <w:rsid w:val="00BC3AE9"/>
    <w:rPr>
      <w:b/>
      <w:bCs/>
    </w:rPr>
  </w:style>
  <w:style w:type="character" w:styleId="Hyperlink">
    <w:name w:val="Hyperlink"/>
    <w:basedOn w:val="DefaultParagraphFont"/>
    <w:uiPriority w:val="99"/>
    <w:unhideWhenUsed/>
    <w:rsid w:val="00B564F7"/>
    <w:rPr>
      <w:color w:val="467886" w:themeColor="hyperlink"/>
      <w:u w:val="single"/>
    </w:rPr>
  </w:style>
  <w:style w:type="character" w:styleId="UnresolvedMention">
    <w:name w:val="Unresolved Mention"/>
    <w:basedOn w:val="DefaultParagraphFont"/>
    <w:uiPriority w:val="99"/>
    <w:semiHidden/>
    <w:unhideWhenUsed/>
    <w:rsid w:val="00B56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music.org/wp-content/uploads/2020/09/Counting-the-Music-Industry-full-report-2019.pdf" TargetMode="External"/><Relationship Id="rId13" Type="http://schemas.openxmlformats.org/officeDocument/2006/relationships/hyperlink" Target="https://1752group.com/office-for-students-regulation-our-perspective/" TargetMode="External"/><Relationship Id="rId3" Type="http://schemas.openxmlformats.org/officeDocument/2006/relationships/settings" Target="settings.xml"/><Relationship Id="rId7" Type="http://schemas.openxmlformats.org/officeDocument/2006/relationships/hyperlink" Target="https://www.kcl.ac.uk/cultural/resources/reports/making-the-creative-majority-2023/making-the-creative-majority-full-report-2023.pdf" TargetMode="External"/><Relationship Id="rId12" Type="http://schemas.openxmlformats.org/officeDocument/2006/relationships/hyperlink" Target="https://www.cambridge.org/core/journals/british-journal-of-music-education/article/exploring-implementation-of-the-uk-misogyny-in-music-reports-recommendations-to-address-gender-inequalities-in-music-education-in-england/C42CC10D1127D893484DD361DD4A84D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mbridge.org/core/journals/british-journal-of-music-education/article/exploring-implementation-of-the-uk-misogyny-in-music-reports-recommendations-to-address-gender-inequalities-in-music-education-in-england/C42CC10D1127D893484DD361DD4A84D4" TargetMode="External"/><Relationship Id="rId11" Type="http://schemas.openxmlformats.org/officeDocument/2006/relationships/hyperlink" Target="https://doi.org/10.1080/01425692.2025.2502802" TargetMode="External"/><Relationship Id="rId5" Type="http://schemas.openxmlformats.org/officeDocument/2006/relationships/hyperlink" Target="https://committees.parliament.uk/publications/43084/documents/214478/default/" TargetMode="External"/><Relationship Id="rId15" Type="http://schemas.openxmlformats.org/officeDocument/2006/relationships/theme" Target="theme/theme1.xml"/><Relationship Id="rId10" Type="http://schemas.openxmlformats.org/officeDocument/2006/relationships/hyperlink" Target="https://www.artsprofessional.co.uk/magazine/article/slow-train-coming-edi-music-higher-education" TargetMode="External"/><Relationship Id="rId4" Type="http://schemas.openxmlformats.org/officeDocument/2006/relationships/webSettings" Target="webSettings.xml"/><Relationship Id="rId9" Type="http://schemas.openxmlformats.org/officeDocument/2006/relationships/hyperlink" Target="https://edims.network/report/slowtraincom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243</TotalTime>
  <Pages>3</Pages>
  <Words>1092</Words>
  <Characters>6096</Characters>
  <Application>Microsoft Office Word</Application>
  <DocSecurity>0</DocSecurity>
  <Lines>93</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Bull</dc:creator>
  <cp:keywords/>
  <dc:description/>
  <cp:lastModifiedBy>Anna Bull</cp:lastModifiedBy>
  <cp:revision>15</cp:revision>
  <dcterms:created xsi:type="dcterms:W3CDTF">2026-02-17T10:35:00Z</dcterms:created>
  <dcterms:modified xsi:type="dcterms:W3CDTF">2026-03-12T14:10:00Z</dcterms:modified>
</cp:coreProperties>
</file>