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689C48" w14:textId="6A62CBF5" w:rsidR="000E5EA3" w:rsidRPr="00DA5DAC" w:rsidRDefault="00000000" w:rsidP="00DA5DAC">
      <w:pPr>
        <w:pStyle w:val="Heading1"/>
        <w:spacing w:before="0" w:after="0" w:line="240" w:lineRule="auto"/>
        <w:jc w:val="center"/>
        <w:rPr>
          <w:rFonts w:ascii="Times New Roman" w:eastAsia="Times New Roman" w:hAnsi="Times New Roman" w:cs="Times New Roman"/>
          <w:sz w:val="24"/>
          <w:szCs w:val="24"/>
        </w:rPr>
      </w:pPr>
      <w:bookmarkStart w:id="0" w:name="_heading=h.5jceba9hjl57" w:colFirst="0" w:colLast="0"/>
      <w:bookmarkEnd w:id="0"/>
      <w:r w:rsidRPr="00DA5DAC">
        <w:rPr>
          <w:rFonts w:ascii="Times New Roman" w:eastAsia="Times New Roman" w:hAnsi="Times New Roman" w:cs="Times New Roman"/>
          <w:sz w:val="24"/>
          <w:szCs w:val="24"/>
        </w:rPr>
        <w:t>WORLEBURY HILLFORT, SOMERSET: INTERDISCIPLINARY REANALYSIS OF AN IRON AGE MASSACRE</w:t>
      </w:r>
    </w:p>
    <w:p w14:paraId="45F02CC4" w14:textId="532CCBCA" w:rsidR="00DA5DAC" w:rsidRDefault="00DA5DAC" w:rsidP="00DA5DAC">
      <w:pPr>
        <w:spacing w:line="240" w:lineRule="auto"/>
        <w:jc w:val="center"/>
        <w:rPr>
          <w:rFonts w:ascii="Times New Roman" w:hAnsi="Times New Roman" w:cs="Times New Roman"/>
        </w:rPr>
      </w:pPr>
      <w:r w:rsidRPr="00DA5DAC">
        <w:rPr>
          <w:rFonts w:ascii="Times New Roman" w:hAnsi="Times New Roman" w:cs="Times New Roman"/>
        </w:rPr>
        <w:t>SUPPLEMENTARY MATERIAL</w:t>
      </w:r>
    </w:p>
    <w:p w14:paraId="33628431" w14:textId="77777777" w:rsidR="00DA5DAC" w:rsidRPr="00DA5DAC" w:rsidRDefault="00DA5DAC" w:rsidP="00DA5DAC">
      <w:pPr>
        <w:spacing w:line="240" w:lineRule="auto"/>
        <w:jc w:val="center"/>
        <w:rPr>
          <w:rFonts w:ascii="Times New Roman" w:hAnsi="Times New Roman" w:cs="Times New Roman"/>
        </w:rPr>
      </w:pPr>
    </w:p>
    <w:p w14:paraId="771C8AA5" w14:textId="77777777" w:rsidR="00DA5DAC" w:rsidRPr="00DA5DAC" w:rsidRDefault="00DA5DAC" w:rsidP="00DA5DAC">
      <w:pPr>
        <w:spacing w:line="240" w:lineRule="auto"/>
        <w:jc w:val="center"/>
        <w:rPr>
          <w:rFonts w:ascii="Times New Roman" w:eastAsia="Times New Roman" w:hAnsi="Times New Roman" w:cs="Times New Roman"/>
          <w:color w:val="980000"/>
        </w:rPr>
      </w:pPr>
      <w:bookmarkStart w:id="1" w:name="_heading=h.vl00y6wlojex" w:colFirst="0" w:colLast="0"/>
      <w:bookmarkEnd w:id="1"/>
      <w:r w:rsidRPr="00DA5DAC">
        <w:rPr>
          <w:rFonts w:ascii="Times New Roman" w:eastAsia="Times New Roman" w:hAnsi="Times New Roman" w:cs="Times New Roman"/>
        </w:rPr>
        <w:t>Michael Legge, Laura Castells Navarro, Madeleine Bleasdale, Sebastian Metz, Derek Hamilton, Alexandra Nederbragt, Marc-Alban Millet, Richard Madgwick, and Ian Armit</w:t>
      </w:r>
    </w:p>
    <w:p w14:paraId="0855F0C2" w14:textId="77777777" w:rsidR="00DA5DAC" w:rsidRDefault="00DA5DAC" w:rsidP="00DA5DAC">
      <w:pPr>
        <w:spacing w:line="240" w:lineRule="auto"/>
        <w:jc w:val="center"/>
        <w:rPr>
          <w:rFonts w:ascii="Times New Roman" w:eastAsia="Times New Roman" w:hAnsi="Times New Roman" w:cs="Times New Roman"/>
          <w:b/>
        </w:rPr>
      </w:pPr>
    </w:p>
    <w:p w14:paraId="7DE2B507" w14:textId="77777777" w:rsidR="00DA5DAC" w:rsidRDefault="00DA5DAC" w:rsidP="00DA5DAC">
      <w:pPr>
        <w:spacing w:line="240" w:lineRule="auto"/>
        <w:jc w:val="center"/>
        <w:rPr>
          <w:rFonts w:ascii="Times New Roman" w:eastAsia="Times New Roman" w:hAnsi="Times New Roman" w:cs="Times New Roman"/>
          <w:b/>
        </w:rPr>
      </w:pPr>
    </w:p>
    <w:p w14:paraId="441D879F" w14:textId="77777777" w:rsidR="00DA5DAC" w:rsidRPr="00DA5DAC" w:rsidRDefault="00DA5DAC" w:rsidP="00DA5DAC">
      <w:pPr>
        <w:spacing w:line="240" w:lineRule="auto"/>
        <w:jc w:val="center"/>
        <w:rPr>
          <w:rFonts w:ascii="Times New Roman" w:eastAsia="Times New Roman" w:hAnsi="Times New Roman" w:cs="Times New Roman"/>
          <w:b/>
        </w:rPr>
      </w:pPr>
    </w:p>
    <w:p w14:paraId="1228EC3D" w14:textId="593C92E5" w:rsidR="000E5EA3" w:rsidRPr="00DA5DAC" w:rsidRDefault="00DA5DAC" w:rsidP="00DA5DAC">
      <w:pPr>
        <w:spacing w:line="240" w:lineRule="auto"/>
        <w:rPr>
          <w:rFonts w:ascii="Times New Roman" w:eastAsia="Times New Roman" w:hAnsi="Times New Roman" w:cs="Times New Roman"/>
          <w:bCs/>
        </w:rPr>
      </w:pPr>
      <w:r w:rsidRPr="00DA5DAC">
        <w:rPr>
          <w:rFonts w:ascii="Times New Roman" w:eastAsia="Times New Roman" w:hAnsi="Times New Roman" w:cs="Times New Roman"/>
          <w:bCs/>
        </w:rPr>
        <w:t xml:space="preserve">Supplementary S1. Full data </w:t>
      </w:r>
      <w:r w:rsidR="005C0F3F">
        <w:rPr>
          <w:rFonts w:ascii="Times New Roman" w:eastAsia="Times New Roman" w:hAnsi="Times New Roman" w:cs="Times New Roman"/>
          <w:bCs/>
        </w:rPr>
        <w:t>t</w:t>
      </w:r>
      <w:r w:rsidRPr="00DA5DAC">
        <w:rPr>
          <w:rFonts w:ascii="Times New Roman" w:eastAsia="Times New Roman" w:hAnsi="Times New Roman" w:cs="Times New Roman"/>
          <w:bCs/>
        </w:rPr>
        <w:t>able (SFT: sharp-force trauma; BFT: blunt-force trauma)</w:t>
      </w:r>
    </w:p>
    <w:p w14:paraId="46FBA40C" w14:textId="77777777" w:rsidR="000E5EA3" w:rsidRPr="00DA5DAC" w:rsidRDefault="000E5EA3" w:rsidP="00DA5DAC">
      <w:pPr>
        <w:spacing w:line="240" w:lineRule="auto"/>
        <w:rPr>
          <w:rFonts w:ascii="Times New Roman" w:eastAsia="Times New Roman" w:hAnsi="Times New Roman" w:cs="Times New Roman"/>
        </w:rPr>
      </w:pPr>
    </w:p>
    <w:tbl>
      <w:tblPr>
        <w:tblStyle w:val="a6"/>
        <w:tblW w:w="15840" w:type="dxa"/>
        <w:tblInd w:w="-8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80"/>
        <w:gridCol w:w="795"/>
        <w:gridCol w:w="570"/>
        <w:gridCol w:w="1860"/>
        <w:gridCol w:w="1065"/>
        <w:gridCol w:w="1095"/>
        <w:gridCol w:w="1515"/>
        <w:gridCol w:w="1515"/>
        <w:gridCol w:w="1125"/>
        <w:gridCol w:w="1290"/>
        <w:gridCol w:w="900"/>
        <w:gridCol w:w="1050"/>
        <w:gridCol w:w="2280"/>
      </w:tblGrid>
      <w:tr w:rsidR="000E5EA3" w:rsidRPr="00DA5DAC" w14:paraId="5A259271" w14:textId="77777777" w:rsidTr="00DA5DAC">
        <w:trPr>
          <w:trHeight w:val="795"/>
          <w:tblHeader/>
        </w:trPr>
        <w:tc>
          <w:tcPr>
            <w:tcW w:w="780" w:type="dxa"/>
            <w:tcBorders>
              <w:top w:val="single" w:sz="6" w:space="0" w:color="000000"/>
              <w:left w:val="single" w:sz="6" w:space="0" w:color="000000"/>
              <w:bottom w:val="single" w:sz="6" w:space="0" w:color="000000"/>
              <w:right w:val="single" w:sz="6" w:space="0" w:color="000000"/>
            </w:tcBorders>
            <w:shd w:val="clear" w:color="auto" w:fill="D9D9D9"/>
            <w:tcMar>
              <w:top w:w="0" w:type="dxa"/>
              <w:left w:w="40" w:type="dxa"/>
              <w:bottom w:w="0" w:type="dxa"/>
              <w:right w:w="40" w:type="dxa"/>
            </w:tcMar>
            <w:vAlign w:val="center"/>
          </w:tcPr>
          <w:p w14:paraId="3ED1299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Accession number</w:t>
            </w:r>
          </w:p>
        </w:tc>
        <w:tc>
          <w:tcPr>
            <w:tcW w:w="79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93464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MacAlister bone Number</w:t>
            </w:r>
          </w:p>
        </w:tc>
        <w:tc>
          <w:tcPr>
            <w:tcW w:w="57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6A10123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Pit context</w:t>
            </w:r>
          </w:p>
        </w:tc>
        <w:tc>
          <w:tcPr>
            <w:tcW w:w="186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0596A9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Description</w:t>
            </w:r>
          </w:p>
        </w:tc>
        <w:tc>
          <w:tcPr>
            <w:tcW w:w="106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FF7734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Sex</w:t>
            </w:r>
          </w:p>
        </w:tc>
        <w:tc>
          <w:tcPr>
            <w:tcW w:w="109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530EAEE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 xml:space="preserve">Age </w:t>
            </w:r>
          </w:p>
        </w:tc>
        <w:tc>
          <w:tcPr>
            <w:tcW w:w="151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557D536" w14:textId="77777777" w:rsidR="000E5EA3" w:rsidRPr="00DA5DAC" w:rsidRDefault="00000000" w:rsidP="00DA5DAC">
            <w:pPr>
              <w:spacing w:line="240" w:lineRule="auto"/>
              <w:jc w:val="center"/>
              <w:rPr>
                <w:rFonts w:ascii="Times New Roman" w:eastAsia="Times New Roman" w:hAnsi="Times New Roman" w:cs="Times New Roman"/>
                <w:b/>
                <w:sz w:val="16"/>
                <w:szCs w:val="16"/>
              </w:rPr>
            </w:pPr>
            <w:r w:rsidRPr="00DA5DAC">
              <w:rPr>
                <w:rFonts w:ascii="Times New Roman" w:eastAsia="Times New Roman" w:hAnsi="Times New Roman" w:cs="Times New Roman"/>
                <w:b/>
                <w:sz w:val="16"/>
                <w:szCs w:val="16"/>
              </w:rPr>
              <w:t>Non-metric traits</w:t>
            </w:r>
          </w:p>
        </w:tc>
        <w:tc>
          <w:tcPr>
            <w:tcW w:w="151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459B72E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Palaeopathology summary</w:t>
            </w:r>
          </w:p>
        </w:tc>
        <w:tc>
          <w:tcPr>
            <w:tcW w:w="1125"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793CC2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Perimortem trauma</w:t>
            </w:r>
          </w:p>
        </w:tc>
        <w:tc>
          <w:tcPr>
            <w:tcW w:w="129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7C0CC66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Detail of trauma</w:t>
            </w:r>
          </w:p>
        </w:tc>
        <w:tc>
          <w:tcPr>
            <w:tcW w:w="90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1123E7B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Isotope Sample number</w:t>
            </w:r>
          </w:p>
        </w:tc>
        <w:tc>
          <w:tcPr>
            <w:tcW w:w="105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297BFA1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DNA Sample number</w:t>
            </w:r>
          </w:p>
        </w:tc>
        <w:tc>
          <w:tcPr>
            <w:tcW w:w="2280" w:type="dxa"/>
            <w:tcBorders>
              <w:top w:val="single" w:sz="6" w:space="0" w:color="000000"/>
              <w:left w:val="single" w:sz="6" w:space="0" w:color="CCCCCC"/>
              <w:bottom w:val="single" w:sz="6" w:space="0" w:color="000000"/>
              <w:right w:val="single" w:sz="6" w:space="0" w:color="000000"/>
            </w:tcBorders>
            <w:shd w:val="clear" w:color="auto" w:fill="D9D9D9"/>
            <w:tcMar>
              <w:top w:w="0" w:type="dxa"/>
              <w:left w:w="40" w:type="dxa"/>
              <w:bottom w:w="0" w:type="dxa"/>
              <w:right w:w="40" w:type="dxa"/>
            </w:tcMar>
            <w:vAlign w:val="center"/>
          </w:tcPr>
          <w:p w14:paraId="143541A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b/>
                <w:sz w:val="16"/>
                <w:szCs w:val="16"/>
              </w:rPr>
              <w:t>Comments and archive issues</w:t>
            </w:r>
          </w:p>
        </w:tc>
      </w:tr>
      <w:tr w:rsidR="000E5EA3" w:rsidRPr="00DA5DAC" w14:paraId="3601C069" w14:textId="77777777">
        <w:trPr>
          <w:trHeight w:val="52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E6FD7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A.681</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3BADDD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2DD2CA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A06578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Almost complete skull with dentition</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057FE7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Indeterminate</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AC97504" w14:textId="24DE9E86"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17</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25 years </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D9B023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Ossicle at lambda, one ossicle on the right lambdoid suture and one on the left one, metopic suture, Bilateral supraorbital foramina, accessory supraorbital foramina</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EB15AF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Cribra orbitalia, ectocranial porosity</w:t>
            </w:r>
          </w:p>
        </w:tc>
        <w:tc>
          <w:tcPr>
            <w:tcW w:w="11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4FA8A4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9848A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10 blade injuries and dental trauma - enamel chipping on four molars and one incisor</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F28B7C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WB21</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81EA66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AE2B33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6D2B4E38" w14:textId="77777777">
        <w:trPr>
          <w:trHeight w:val="1050"/>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C3F52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a17 SID 6</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45C9B8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FC7264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6</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614D114" w14:textId="67554340"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Small fragments of parietal or frontal bone, left temporal bone, right orbit and zygomatic process, left maxilla with ULPM2, ULM1, ULM2, left mandible with LLC</w:t>
            </w:r>
            <w:r w:rsidR="00CE2D3E">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LLM3, right clavicle, right humerus head, two cervical and three thoracic verts</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7A5D13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Indeterminate</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F573857" w14:textId="6FD05C5F"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17</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25 years </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193EE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8E9023" w14:textId="5E42C07C"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Discarthrosis, osteoarthritis and ossification of the ligamentum flava on three thoracic vertebrae. Clavicle with well-developed entheses</w:t>
            </w:r>
          </w:p>
        </w:tc>
        <w:tc>
          <w:tcPr>
            <w:tcW w:w="11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F3C6A5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C8DE2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3FF67B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WB04 (mandible), WB28, WB29 (parietal bones)</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83BBB3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1 (I11142)</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68AFD7C" w14:textId="450BB3F3"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WB28 has black staining. The two parietal bones are likely from different individuals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different thickness</w:t>
            </w:r>
          </w:p>
        </w:tc>
      </w:tr>
      <w:tr w:rsidR="000E5EA3" w:rsidRPr="00DA5DAC" w14:paraId="0D0D71B1" w14:textId="77777777">
        <w:trPr>
          <w:trHeight w:val="130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3164A1D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a18 SID7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CA0C94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F56C0B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E2D474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Cranial vault fragments, maxilla with ULM2, left mandibles (3), one with LLM2, one thoracic fragment, right humerus head, left humerus (condyles), proximal left ulna, proximal right radius, one manual phalanx, right tibia diaphysis, right calcaneum</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A159F6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9210D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09D8FD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Double anterior calcaneal facet</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A4866B" w14:textId="24120A53"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Oroantral fistula (ULM3), possible early rotator cuff disease. </w:t>
            </w:r>
            <w:r w:rsidR="00DA5DAC" w:rsidRPr="00DA5DAC">
              <w:rPr>
                <w:rFonts w:ascii="Times New Roman" w:eastAsia="Times New Roman" w:hAnsi="Times New Roman" w:cs="Times New Roman"/>
                <w:sz w:val="16"/>
                <w:szCs w:val="16"/>
              </w:rPr>
              <w:t>Well-developed</w:t>
            </w:r>
            <w:r w:rsidRPr="00DA5DAC">
              <w:rPr>
                <w:rFonts w:ascii="Times New Roman" w:eastAsia="Times New Roman" w:hAnsi="Times New Roman" w:cs="Times New Roman"/>
                <w:sz w:val="16"/>
                <w:szCs w:val="16"/>
              </w:rPr>
              <w:t xml:space="preserve"> left brachialis muscle (ulna) and right biceps brachii muscle (radius) entheses </w:t>
            </w:r>
          </w:p>
        </w:tc>
        <w:tc>
          <w:tcPr>
            <w:tcW w:w="11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DC5AA3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31EBBD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D182C9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WB05-7 (ulna, tibia, mandible)</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373C41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6 (I16596)</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B36B6B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The bones within this box have an MNI of three based on the left mandible. GENLAB 6 (right petrous) was the same individual as GENLAB 10 (mandible). </w:t>
            </w:r>
          </w:p>
        </w:tc>
      </w:tr>
      <w:tr w:rsidR="000E5EA3" w:rsidRPr="00DA5DAC" w14:paraId="4F570854" w14:textId="77777777">
        <w:trPr>
          <w:trHeight w:val="1050"/>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7CF3E8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a19</w:t>
            </w:r>
          </w:p>
        </w:tc>
        <w:tc>
          <w:tcPr>
            <w:tcW w:w="795"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449EE03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2</w:t>
            </w:r>
          </w:p>
        </w:tc>
        <w:tc>
          <w:tcPr>
            <w:tcW w:w="570"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1E0B8A2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8</w:t>
            </w:r>
          </w:p>
        </w:tc>
        <w:tc>
          <w:tcPr>
            <w:tcW w:w="1860"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3BBF9F2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Almost complete neurocranium</w:t>
            </w:r>
          </w:p>
        </w:tc>
        <w:tc>
          <w:tcPr>
            <w:tcW w:w="1065"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414A9D9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Indeterminate</w:t>
            </w:r>
          </w:p>
        </w:tc>
        <w:tc>
          <w:tcPr>
            <w:tcW w:w="1095"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668BDF8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 possibly middle to older</w:t>
            </w:r>
          </w:p>
        </w:tc>
        <w:tc>
          <w:tcPr>
            <w:tcW w:w="1515"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1F0B10B1"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Left supraorbital foramen, ossicle at left asterion, two ossicles at right lambdoid suture</w:t>
            </w:r>
          </w:p>
        </w:tc>
        <w:tc>
          <w:tcPr>
            <w:tcW w:w="151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68C1731"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 w:name="_heading=h.5mo83k5ki4v5" w:colFirst="0" w:colLast="0"/>
            <w:bookmarkEnd w:id="2"/>
            <w:r w:rsidRPr="00DA5DAC">
              <w:rPr>
                <w:rFonts w:ascii="Times New Roman" w:eastAsia="Times New Roman" w:hAnsi="Times New Roman" w:cs="Times New Roman"/>
                <w:sz w:val="16"/>
                <w:szCs w:val="16"/>
              </w:rPr>
              <w:t>Ectocranial porosity. Partial atlanto-occipital fusion, cranial blastic lesion</w:t>
            </w:r>
          </w:p>
        </w:tc>
        <w:tc>
          <w:tcPr>
            <w:tcW w:w="112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76271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BFT</w:t>
            </w:r>
          </w:p>
        </w:tc>
        <w:tc>
          <w:tcPr>
            <w:tcW w:w="129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6B52F8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3 instances of blunt force trauma with radiating fractures</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FEDF8C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WB08</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76DF23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FF1EE7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7484799D" w14:textId="77777777">
        <w:trPr>
          <w:trHeight w:val="79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58E74CF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shd w:val="clear" w:color="auto" w:fill="FFFFFF"/>
            <w:tcMar>
              <w:top w:w="0" w:type="dxa"/>
              <w:left w:w="40" w:type="dxa"/>
              <w:bottom w:w="0" w:type="dxa"/>
              <w:right w:w="40" w:type="dxa"/>
            </w:tcMar>
            <w:vAlign w:val="center"/>
          </w:tcPr>
          <w:p w14:paraId="3C808063" w14:textId="0582AA88"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21 </w:t>
            </w:r>
            <w:r w:rsidR="00DA5DAC" w:rsidRPr="00DA5DAC">
              <w:rPr>
                <w:rFonts w:ascii="Times New Roman" w:eastAsia="Times New Roman" w:hAnsi="Times New Roman" w:cs="Times New Roman"/>
                <w:sz w:val="16"/>
                <w:szCs w:val="16"/>
              </w:rPr>
              <w:t>&amp;</w:t>
            </w:r>
            <w:r w:rsidRPr="00DA5DAC">
              <w:rPr>
                <w:rFonts w:ascii="Times New Roman" w:eastAsia="Times New Roman" w:hAnsi="Times New Roman" w:cs="Times New Roman"/>
                <w:sz w:val="16"/>
                <w:szCs w:val="16"/>
              </w:rPr>
              <w:t xml:space="preserve"> 22</w:t>
            </w:r>
          </w:p>
        </w:tc>
        <w:tc>
          <w:tcPr>
            <w:tcW w:w="570" w:type="dxa"/>
            <w:shd w:val="clear" w:color="auto" w:fill="FFFFFF"/>
            <w:tcMar>
              <w:top w:w="0" w:type="dxa"/>
              <w:left w:w="40" w:type="dxa"/>
              <w:bottom w:w="0" w:type="dxa"/>
              <w:right w:w="40" w:type="dxa"/>
            </w:tcMar>
            <w:vAlign w:val="center"/>
          </w:tcPr>
          <w:p w14:paraId="28CA3BF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716A6E8E" w14:textId="51194009" w:rsidR="000E5EA3" w:rsidRPr="00DA5DAC" w:rsidRDefault="00000000" w:rsidP="00DA5DAC">
            <w:pPr>
              <w:spacing w:line="240" w:lineRule="auto"/>
              <w:jc w:val="center"/>
              <w:rPr>
                <w:rFonts w:ascii="Times New Roman" w:eastAsia="Times New Roman" w:hAnsi="Times New Roman" w:cs="Times New Roman"/>
                <w:sz w:val="16"/>
                <w:szCs w:val="16"/>
              </w:rPr>
            </w:pPr>
            <w:bookmarkStart w:id="3" w:name="_Hlk211940569"/>
            <w:r w:rsidRPr="00DA5DAC">
              <w:rPr>
                <w:rFonts w:ascii="Times New Roman" w:eastAsia="Times New Roman" w:hAnsi="Times New Roman" w:cs="Times New Roman"/>
                <w:sz w:val="16"/>
                <w:szCs w:val="16"/>
              </w:rPr>
              <w:t>Mandible with LRM2</w:t>
            </w:r>
            <w:r w:rsidR="004F2758">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LRC, LLC, LLPM2</w:t>
            </w:r>
            <w:r w:rsidR="004F2758">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LLM3; and maxilla with URPM1</w:t>
            </w:r>
            <w:r w:rsidR="004F2758">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URI2, ULI2</w:t>
            </w:r>
            <w:r w:rsidR="004F2758">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ULPM2</w:t>
            </w:r>
            <w:bookmarkEnd w:id="3"/>
          </w:p>
        </w:tc>
        <w:tc>
          <w:tcPr>
            <w:tcW w:w="1065" w:type="dxa"/>
            <w:shd w:val="clear" w:color="auto" w:fill="FFFFFF"/>
            <w:tcMar>
              <w:top w:w="0" w:type="dxa"/>
              <w:left w:w="40" w:type="dxa"/>
              <w:bottom w:w="0" w:type="dxa"/>
              <w:right w:w="40" w:type="dxa"/>
            </w:tcMar>
            <w:vAlign w:val="center"/>
          </w:tcPr>
          <w:p w14:paraId="1B202D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3C8DDB8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Old adult (45+ years)</w:t>
            </w:r>
          </w:p>
        </w:tc>
        <w:tc>
          <w:tcPr>
            <w:tcW w:w="1515" w:type="dxa"/>
            <w:shd w:val="clear" w:color="auto" w:fill="FFFFFF"/>
            <w:tcMar>
              <w:top w:w="0" w:type="dxa"/>
              <w:left w:w="40" w:type="dxa"/>
              <w:bottom w:w="0" w:type="dxa"/>
              <w:right w:w="40" w:type="dxa"/>
            </w:tcMar>
            <w:vAlign w:val="center"/>
          </w:tcPr>
          <w:p w14:paraId="292C618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Possible left accessory palatine foramen</w:t>
            </w:r>
          </w:p>
        </w:tc>
        <w:tc>
          <w:tcPr>
            <w:tcW w:w="1515" w:type="dxa"/>
            <w:tcBorders>
              <w:right w:val="single" w:sz="6" w:space="0" w:color="000000"/>
            </w:tcBorders>
            <w:shd w:val="clear" w:color="auto" w:fill="FFFFFF"/>
            <w:tcMar>
              <w:top w:w="0" w:type="dxa"/>
              <w:left w:w="40" w:type="dxa"/>
              <w:bottom w:w="0" w:type="dxa"/>
              <w:right w:w="40" w:type="dxa"/>
            </w:tcMar>
            <w:vAlign w:val="center"/>
          </w:tcPr>
          <w:p w14:paraId="26A63F74" w14:textId="19390982"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Increased porosity at maxillary palatine process accompanied by irregular deposits of porous compact bone</w:t>
            </w:r>
            <w:r w:rsidR="00DA5DAC">
              <w:rPr>
                <w:rFonts w:ascii="Times New Roman" w:eastAsia="Times New Roman" w:hAnsi="Times New Roman" w:cs="Times New Roman"/>
                <w:sz w:val="16"/>
                <w:szCs w:val="16"/>
              </w:rPr>
              <w:t xml:space="preserve"> </w:t>
            </w:r>
          </w:p>
        </w:tc>
        <w:tc>
          <w:tcPr>
            <w:tcW w:w="1125" w:type="dxa"/>
            <w:tcBorders>
              <w:left w:val="single" w:sz="6" w:space="0" w:color="CCCCCC"/>
              <w:right w:val="single" w:sz="6" w:space="0" w:color="000000"/>
            </w:tcBorders>
            <w:shd w:val="clear" w:color="auto" w:fill="FFFFFF"/>
            <w:tcMar>
              <w:top w:w="0" w:type="dxa"/>
              <w:left w:w="40" w:type="dxa"/>
              <w:bottom w:w="0" w:type="dxa"/>
              <w:right w:w="40" w:type="dxa"/>
            </w:tcMar>
            <w:vAlign w:val="center"/>
          </w:tcPr>
          <w:p w14:paraId="52DCFC9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02D2F03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156532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WB16</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7C0217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8 (I13681)</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0CF874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Possibly weathered but unconvincing; root etching and cortical damage</w:t>
            </w:r>
          </w:p>
        </w:tc>
      </w:tr>
      <w:tr w:rsidR="000E5EA3" w:rsidRPr="00DA5DAC" w14:paraId="784B94B6" w14:textId="77777777">
        <w:trPr>
          <w:trHeight w:val="157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93A744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8C4F9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6</w:t>
            </w:r>
          </w:p>
        </w:tc>
        <w:tc>
          <w:tcPr>
            <w:tcW w:w="570" w:type="dxa"/>
            <w:tcBorders>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BD7293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9 ind. 1?</w:t>
            </w:r>
          </w:p>
        </w:tc>
        <w:tc>
          <w:tcPr>
            <w:tcW w:w="1860" w:type="dxa"/>
            <w:tcBorders>
              <w:left w:val="single" w:sz="6" w:space="0" w:color="CCCCCC"/>
              <w:bottom w:val="single" w:sz="6" w:space="0" w:color="000000"/>
            </w:tcBorders>
            <w:shd w:val="clear" w:color="auto" w:fill="FFFFFF"/>
            <w:tcMar>
              <w:top w:w="0" w:type="dxa"/>
              <w:left w:w="40" w:type="dxa"/>
              <w:bottom w:w="0" w:type="dxa"/>
              <w:right w:w="40" w:type="dxa"/>
            </w:tcMar>
            <w:vAlign w:val="center"/>
          </w:tcPr>
          <w:p w14:paraId="63E36A96" w14:textId="2539E7E6"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Mandible </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has area of black staining (not burnt)</w:t>
            </w:r>
          </w:p>
        </w:tc>
        <w:tc>
          <w:tcPr>
            <w:tcW w:w="1065" w:type="dxa"/>
            <w:shd w:val="clear" w:color="auto" w:fill="FFFFFF"/>
            <w:tcMar>
              <w:top w:w="0" w:type="dxa"/>
              <w:left w:w="40" w:type="dxa"/>
              <w:bottom w:w="0" w:type="dxa"/>
              <w:right w:w="40" w:type="dxa"/>
            </w:tcMar>
            <w:vAlign w:val="center"/>
          </w:tcPr>
          <w:p w14:paraId="267CE8C4"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4" w:name="_heading=h.b8fwzx3zdce6" w:colFirst="0" w:colLast="0"/>
            <w:bookmarkEnd w:id="4"/>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20FA6CB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422A57B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6D73E52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122A71D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015F18C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8458C6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WB20</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F28925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9</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28375D1" w14:textId="606F4BA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color w:val="000000"/>
                <w:sz w:val="16"/>
                <w:szCs w:val="16"/>
              </w:rPr>
              <w:t>A mandibular M1 (MacAlister bone No.</w:t>
            </w:r>
            <w:r w:rsidR="00DA5DAC">
              <w:rPr>
                <w:rFonts w:ascii="Times New Roman" w:eastAsia="Times New Roman" w:hAnsi="Times New Roman" w:cs="Times New Roman"/>
                <w:color w:val="000000"/>
                <w:sz w:val="16"/>
                <w:szCs w:val="16"/>
              </w:rPr>
              <w:t xml:space="preserve"> </w:t>
            </w:r>
            <w:r w:rsidRPr="00DA5DAC">
              <w:rPr>
                <w:rFonts w:ascii="Times New Roman" w:eastAsia="Times New Roman" w:hAnsi="Times New Roman" w:cs="Times New Roman"/>
                <w:color w:val="000000"/>
                <w:sz w:val="16"/>
                <w:szCs w:val="16"/>
              </w:rPr>
              <w:t>6) was sampled for isotopes (WB20). At the time of isotope sampling this mandible was in a box labelled ARCHtemp49, with the cranium (MacAlister bone No.</w:t>
            </w:r>
            <w:r w:rsidR="00DA5DAC">
              <w:rPr>
                <w:rFonts w:ascii="Times New Roman" w:eastAsia="Times New Roman" w:hAnsi="Times New Roman" w:cs="Times New Roman"/>
                <w:color w:val="000000"/>
                <w:sz w:val="16"/>
                <w:szCs w:val="16"/>
              </w:rPr>
              <w:t xml:space="preserve"> </w:t>
            </w:r>
            <w:r w:rsidRPr="00DA5DAC">
              <w:rPr>
                <w:rFonts w:ascii="Times New Roman" w:eastAsia="Times New Roman" w:hAnsi="Times New Roman" w:cs="Times New Roman"/>
                <w:color w:val="000000"/>
                <w:sz w:val="16"/>
                <w:szCs w:val="16"/>
              </w:rPr>
              <w:t>1, the bone with the 'coward's blow').</w:t>
            </w:r>
            <w:r w:rsidR="00DA5DAC">
              <w:rPr>
                <w:rFonts w:ascii="Times New Roman" w:eastAsia="Times New Roman" w:hAnsi="Times New Roman" w:cs="Times New Roman"/>
                <w:color w:val="000000"/>
                <w:sz w:val="16"/>
                <w:szCs w:val="16"/>
              </w:rPr>
              <w:t xml:space="preserve"> </w:t>
            </w:r>
            <w:r w:rsidRPr="00DA5DAC">
              <w:rPr>
                <w:rFonts w:ascii="Times New Roman" w:eastAsia="Times New Roman" w:hAnsi="Times New Roman" w:cs="Times New Roman"/>
                <w:color w:val="000000"/>
                <w:sz w:val="16"/>
                <w:szCs w:val="16"/>
              </w:rPr>
              <w:t xml:space="preserve">However, the cranium is labelled as ARCHtemp51 internally, and when sampled for DNA, was in a box with a maxilla also labelled as ARCHtemp51. There is no way to confirm they are one individual, as the bones have clearly been mixed at some point. GENLAB 7 (maxilla) and GENLAB 9 (mandible) are not the same individual genetically. </w:t>
            </w:r>
            <w:r w:rsidRPr="00DA5DAC">
              <w:rPr>
                <w:rFonts w:ascii="Times New Roman" w:eastAsia="Times New Roman" w:hAnsi="Times New Roman" w:cs="Times New Roman"/>
                <w:sz w:val="16"/>
                <w:szCs w:val="16"/>
              </w:rPr>
              <w:t>The maxilla was not osteologically re-examined.</w:t>
            </w:r>
          </w:p>
        </w:tc>
      </w:tr>
      <w:tr w:rsidR="000E5EA3" w:rsidRPr="00DA5DAC" w14:paraId="1873B729" w14:textId="77777777">
        <w:trPr>
          <w:trHeight w:val="690"/>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694F66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BBD1FF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13</w:t>
            </w:r>
          </w:p>
        </w:tc>
        <w:tc>
          <w:tcPr>
            <w:tcW w:w="5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417F0A3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41B7932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Distal 1/3 of right humerus with epicondylar area and condyles</w:t>
            </w:r>
          </w:p>
        </w:tc>
        <w:tc>
          <w:tcPr>
            <w:tcW w:w="1065" w:type="dxa"/>
            <w:shd w:val="clear" w:color="auto" w:fill="FFFFFF"/>
            <w:tcMar>
              <w:top w:w="0" w:type="dxa"/>
              <w:left w:w="40" w:type="dxa"/>
              <w:bottom w:w="0" w:type="dxa"/>
              <w:right w:w="40" w:type="dxa"/>
            </w:tcMar>
            <w:vAlign w:val="center"/>
          </w:tcPr>
          <w:p w14:paraId="3A9541B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Male</w:t>
            </w:r>
          </w:p>
        </w:tc>
        <w:tc>
          <w:tcPr>
            <w:tcW w:w="1095" w:type="dxa"/>
            <w:shd w:val="clear" w:color="auto" w:fill="FFFFFF"/>
            <w:tcMar>
              <w:top w:w="0" w:type="dxa"/>
              <w:left w:w="40" w:type="dxa"/>
              <w:bottom w:w="0" w:type="dxa"/>
              <w:right w:w="40" w:type="dxa"/>
            </w:tcMar>
            <w:vAlign w:val="center"/>
          </w:tcPr>
          <w:p w14:paraId="0B060D2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0234441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2A2466B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518658B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2A05950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334259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WB23</w:t>
            </w:r>
          </w:p>
        </w:tc>
        <w:tc>
          <w:tcPr>
            <w:tcW w:w="105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2939E3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42AC92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Black soil staining on distal epiphysis</w:t>
            </w:r>
          </w:p>
        </w:tc>
      </w:tr>
      <w:tr w:rsidR="000E5EA3" w:rsidRPr="00DA5DAC" w14:paraId="5E153250" w14:textId="77777777">
        <w:trPr>
          <w:trHeight w:val="79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A46592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7D68B3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14</w:t>
            </w:r>
          </w:p>
        </w:tc>
        <w:tc>
          <w:tcPr>
            <w:tcW w:w="57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CA7FF0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6?</w:t>
            </w:r>
          </w:p>
        </w:tc>
        <w:tc>
          <w:tcPr>
            <w:tcW w:w="1860" w:type="dxa"/>
            <w:tcBorders>
              <w:top w:val="single" w:sz="6" w:space="0" w:color="CCCCCC"/>
              <w:left w:val="single" w:sz="6" w:space="0" w:color="CCCCCC"/>
            </w:tcBorders>
            <w:shd w:val="clear" w:color="auto" w:fill="FFFFFF"/>
            <w:tcMar>
              <w:top w:w="0" w:type="dxa"/>
              <w:left w:w="40" w:type="dxa"/>
              <w:bottom w:w="0" w:type="dxa"/>
              <w:right w:w="40" w:type="dxa"/>
            </w:tcMar>
            <w:vAlign w:val="center"/>
          </w:tcPr>
          <w:p w14:paraId="43F03412" w14:textId="39822398"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Distal 1/3 of the diaphysis of the left humerus. The epicondyles, condyles</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and distal fossae are all missing.</w:t>
            </w:r>
          </w:p>
        </w:tc>
        <w:tc>
          <w:tcPr>
            <w:tcW w:w="1065" w:type="dxa"/>
            <w:shd w:val="clear" w:color="auto" w:fill="FFFFFF"/>
            <w:tcMar>
              <w:top w:w="0" w:type="dxa"/>
              <w:left w:w="40" w:type="dxa"/>
              <w:bottom w:w="0" w:type="dxa"/>
              <w:right w:w="40" w:type="dxa"/>
            </w:tcMar>
            <w:vAlign w:val="center"/>
          </w:tcPr>
          <w:p w14:paraId="710A5FAB"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5" w:name="_heading=h.b72w1y0jzsp" w:colFirst="0" w:colLast="0"/>
            <w:bookmarkEnd w:id="5"/>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360507C0"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6" w:name="_heading=h.6tie4mvcbof" w:colFirst="0" w:colLast="0"/>
            <w:bookmarkEnd w:id="6"/>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7A07287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7FA9382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19DBE37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23B342F3" w14:textId="6E5F2A56"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Possible chop-mark:</w:t>
            </w:r>
            <w:r w:rsidR="00DA5DAC">
              <w:rPr>
                <w:rFonts w:ascii="Times New Roman" w:eastAsia="Times New Roman" w:hAnsi="Times New Roman" w:cs="Times New Roman"/>
                <w:sz w:val="16"/>
                <w:szCs w:val="16"/>
              </w:rPr>
              <w:t xml:space="preserve"> </w:t>
            </w:r>
            <w:r w:rsidRPr="00DA5DAC">
              <w:rPr>
                <w:rFonts w:ascii="Times New Roman" w:eastAsia="Times New Roman" w:hAnsi="Times New Roman" w:cs="Times New Roman"/>
                <w:sz w:val="16"/>
                <w:szCs w:val="16"/>
              </w:rPr>
              <w:t>transverse blow on medial edge</w:t>
            </w:r>
          </w:p>
        </w:tc>
        <w:tc>
          <w:tcPr>
            <w:tcW w:w="900" w:type="dxa"/>
            <w:tcBorders>
              <w:top w:val="single" w:sz="6" w:space="0" w:color="CCCCCC"/>
              <w:right w:val="single" w:sz="6" w:space="0" w:color="000000"/>
            </w:tcBorders>
            <w:shd w:val="clear" w:color="auto" w:fill="FFFFFF"/>
            <w:tcMar>
              <w:top w:w="0" w:type="dxa"/>
              <w:left w:w="40" w:type="dxa"/>
              <w:bottom w:w="0" w:type="dxa"/>
              <w:right w:w="40" w:type="dxa"/>
            </w:tcMar>
            <w:vAlign w:val="center"/>
          </w:tcPr>
          <w:p w14:paraId="2F1C268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WB22</w:t>
            </w:r>
          </w:p>
        </w:tc>
        <w:tc>
          <w:tcPr>
            <w:tcW w:w="1050"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65FE5F4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left w:val="single" w:sz="6" w:space="0" w:color="CCCCCC"/>
              <w:right w:val="single" w:sz="6" w:space="0" w:color="000000"/>
            </w:tcBorders>
            <w:shd w:val="clear" w:color="auto" w:fill="FFFFFF"/>
            <w:tcMar>
              <w:top w:w="0" w:type="dxa"/>
              <w:left w:w="40" w:type="dxa"/>
              <w:bottom w:w="0" w:type="dxa"/>
              <w:right w:w="40" w:type="dxa"/>
            </w:tcMar>
            <w:vAlign w:val="center"/>
          </w:tcPr>
          <w:p w14:paraId="6A9B2CD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6A71B33A" w14:textId="77777777">
        <w:trPr>
          <w:trHeight w:val="52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E3815F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78AF2B3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15</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731B089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6F25A10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Small left frontal bone fragment (see comments)</w:t>
            </w:r>
          </w:p>
        </w:tc>
        <w:tc>
          <w:tcPr>
            <w:tcW w:w="1065" w:type="dxa"/>
            <w:shd w:val="clear" w:color="auto" w:fill="FFFFFF"/>
            <w:tcMar>
              <w:top w:w="0" w:type="dxa"/>
              <w:left w:w="40" w:type="dxa"/>
              <w:bottom w:w="0" w:type="dxa"/>
              <w:right w:w="40" w:type="dxa"/>
            </w:tcMar>
            <w:vAlign w:val="center"/>
          </w:tcPr>
          <w:p w14:paraId="119FACD1"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7" w:name="_heading=h.207g2lfb7xo1" w:colFirst="0" w:colLast="0"/>
            <w:bookmarkEnd w:id="7"/>
            <w:r w:rsidRPr="00DA5DAC">
              <w:rPr>
                <w:rFonts w:ascii="Times New Roman" w:eastAsia="Times New Roman" w:hAnsi="Times New Roman" w:cs="Times New Roman"/>
                <w:sz w:val="16"/>
                <w:szCs w:val="16"/>
              </w:rPr>
              <w:t>-</w:t>
            </w:r>
          </w:p>
        </w:tc>
        <w:tc>
          <w:tcPr>
            <w:tcW w:w="1095" w:type="dxa"/>
            <w:tcMar>
              <w:top w:w="0" w:type="dxa"/>
              <w:bottom w:w="0" w:type="dxa"/>
            </w:tcMar>
            <w:vAlign w:val="center"/>
          </w:tcPr>
          <w:p w14:paraId="35B5799C"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8" w:name="_heading=h.d1phcz8kqv6b" w:colFirst="0" w:colLast="0"/>
            <w:bookmarkEnd w:id="8"/>
            <w:r w:rsidRPr="00DA5DAC">
              <w:rPr>
                <w:rFonts w:ascii="Times New Roman" w:eastAsia="Times New Roman" w:hAnsi="Times New Roman" w:cs="Times New Roman"/>
                <w:sz w:val="16"/>
                <w:szCs w:val="16"/>
              </w:rPr>
              <w:t>-</w:t>
            </w:r>
          </w:p>
        </w:tc>
        <w:tc>
          <w:tcPr>
            <w:tcW w:w="1515" w:type="dxa"/>
            <w:tcMar>
              <w:top w:w="0" w:type="dxa"/>
              <w:bottom w:w="0" w:type="dxa"/>
            </w:tcMar>
            <w:vAlign w:val="center"/>
          </w:tcPr>
          <w:p w14:paraId="0E072B8B"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tcMar>
              <w:top w:w="0" w:type="dxa"/>
              <w:bottom w:w="0" w:type="dxa"/>
            </w:tcMar>
            <w:vAlign w:val="center"/>
          </w:tcPr>
          <w:p w14:paraId="441E2D1E"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9" w:name="_heading=h.h9e0opy2xi2e" w:colFirst="0" w:colLast="0"/>
            <w:bookmarkEnd w:id="9"/>
            <w:r w:rsidRPr="00DA5DAC">
              <w:rPr>
                <w:rFonts w:ascii="Times New Roman" w:eastAsia="Times New Roman" w:hAnsi="Times New Roman" w:cs="Times New Roman"/>
                <w:sz w:val="16"/>
                <w:szCs w:val="16"/>
              </w:rPr>
              <w:t>-</w:t>
            </w:r>
          </w:p>
        </w:tc>
        <w:tc>
          <w:tcPr>
            <w:tcW w:w="1125" w:type="dxa"/>
            <w:tcMar>
              <w:top w:w="0" w:type="dxa"/>
              <w:bottom w:w="0" w:type="dxa"/>
            </w:tcMar>
            <w:vAlign w:val="center"/>
          </w:tcPr>
          <w:p w14:paraId="54B5A586"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0" w:name="_heading=h.2yqjca7suguy" w:colFirst="0" w:colLast="0"/>
            <w:bookmarkEnd w:id="10"/>
            <w:r w:rsidRPr="00DA5DAC">
              <w:rPr>
                <w:rFonts w:ascii="Times New Roman" w:eastAsia="Times New Roman" w:hAnsi="Times New Roman" w:cs="Times New Roman"/>
                <w:sz w:val="16"/>
                <w:szCs w:val="16"/>
              </w:rPr>
              <w:t>-</w:t>
            </w:r>
          </w:p>
        </w:tc>
        <w:tc>
          <w:tcPr>
            <w:tcW w:w="1290" w:type="dxa"/>
            <w:shd w:val="clear" w:color="auto" w:fill="FFFFFF"/>
            <w:tcMar>
              <w:top w:w="0" w:type="dxa"/>
              <w:left w:w="40" w:type="dxa"/>
              <w:bottom w:w="0" w:type="dxa"/>
              <w:right w:w="40" w:type="dxa"/>
            </w:tcMar>
            <w:vAlign w:val="center"/>
          </w:tcPr>
          <w:p w14:paraId="579BE66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12E3371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31C54B3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78E453D9" w14:textId="0C096058"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MacAlister</w:t>
            </w:r>
            <w:r w:rsidR="00DA5DAC">
              <w:rPr>
                <w:rFonts w:ascii="Times New Roman" w:eastAsia="Times New Roman" w:hAnsi="Times New Roman" w:cs="Times New Roman"/>
                <w:sz w:val="16"/>
                <w:szCs w:val="16"/>
              </w:rPr>
              <w:t xml:space="preserve"> (</w:t>
            </w:r>
            <w:r w:rsidR="00751569">
              <w:rPr>
                <w:rFonts w:ascii="Times New Roman" w:eastAsia="Times New Roman" w:hAnsi="Times New Roman" w:cs="Times New Roman"/>
                <w:sz w:val="16"/>
                <w:szCs w:val="16"/>
              </w:rPr>
              <w:t>1886</w:t>
            </w:r>
            <w:r w:rsidR="00DA5DAC">
              <w:rPr>
                <w:rFonts w:ascii="Times New Roman" w:eastAsia="Times New Roman" w:hAnsi="Times New Roman" w:cs="Times New Roman"/>
                <w:sz w:val="16"/>
                <w:szCs w:val="16"/>
              </w:rPr>
              <w:t>,</w:t>
            </w:r>
            <w:r w:rsidR="00751569">
              <w:rPr>
                <w:rFonts w:ascii="Times New Roman" w:eastAsia="Times New Roman" w:hAnsi="Times New Roman" w:cs="Times New Roman"/>
                <w:sz w:val="16"/>
                <w:szCs w:val="16"/>
              </w:rPr>
              <w:t xml:space="preserve"> 1)</w:t>
            </w:r>
            <w:r w:rsidRPr="00DA5DAC">
              <w:rPr>
                <w:rFonts w:ascii="Times New Roman" w:eastAsia="Times New Roman" w:hAnsi="Times New Roman" w:cs="Times New Roman"/>
                <w:sz w:val="16"/>
                <w:szCs w:val="16"/>
              </w:rPr>
              <w:t xml:space="preserve"> records bone 15 as a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Frontal bone of female, rounded, low-browed, with small frontal sinuses and not very strongly marked temporal crests. It was broken by two blows of a puncturing instrument, which struck it from before</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The bone now labelled with a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15</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is a parietal fragment. It is probable that frontal bone ARCHtemp356 Skull 15(10) is the bone MacAlister describes, as it does have perforations (which are likely not traumatic in origin), and that at some point, the bones have become mixed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see below for further details.</w:t>
            </w:r>
          </w:p>
        </w:tc>
      </w:tr>
      <w:tr w:rsidR="000E5EA3" w:rsidRPr="00DA5DAC" w14:paraId="6AF01566" w14:textId="77777777">
        <w:trPr>
          <w:trHeight w:val="52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6F59A9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3738DA5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16</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1B1C1D2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209674A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Occipital squama and left parietal bone</w:t>
            </w:r>
          </w:p>
        </w:tc>
        <w:tc>
          <w:tcPr>
            <w:tcW w:w="1065" w:type="dxa"/>
            <w:shd w:val="clear" w:color="auto" w:fill="FFFFFF"/>
            <w:tcMar>
              <w:top w:w="0" w:type="dxa"/>
              <w:left w:w="40" w:type="dxa"/>
              <w:bottom w:w="0" w:type="dxa"/>
              <w:right w:w="40" w:type="dxa"/>
            </w:tcMar>
            <w:vAlign w:val="center"/>
          </w:tcPr>
          <w:p w14:paraId="4706C3B9"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1" w:name="_heading=h.uqm4x8anc10" w:colFirst="0" w:colLast="0"/>
            <w:bookmarkEnd w:id="11"/>
            <w:r w:rsidRPr="00DA5DAC">
              <w:rPr>
                <w:rFonts w:ascii="Times New Roman" w:eastAsia="Times New Roman" w:hAnsi="Times New Roman" w:cs="Times New Roman"/>
                <w:sz w:val="16"/>
                <w:szCs w:val="16"/>
              </w:rPr>
              <w:t>Unobservable</w:t>
            </w:r>
          </w:p>
        </w:tc>
        <w:tc>
          <w:tcPr>
            <w:tcW w:w="1095" w:type="dxa"/>
            <w:tcMar>
              <w:top w:w="0" w:type="dxa"/>
              <w:bottom w:w="0" w:type="dxa"/>
            </w:tcMar>
            <w:vAlign w:val="center"/>
          </w:tcPr>
          <w:p w14:paraId="698F76DB"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2" w:name="_heading=h.83hj79cvr4s9" w:colFirst="0" w:colLast="0"/>
            <w:bookmarkEnd w:id="12"/>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3FCFA9EB"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1CB6679A"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3" w:name="_heading=h.auejoo7loqjl" w:colFirst="0" w:colLast="0"/>
            <w:bookmarkEnd w:id="13"/>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1CB1408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5704929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6578A31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WB25</w:t>
            </w:r>
          </w:p>
        </w:tc>
        <w:tc>
          <w:tcPr>
            <w:tcW w:w="1050" w:type="dxa"/>
            <w:shd w:val="clear" w:color="auto" w:fill="FFFFFF"/>
            <w:tcMar>
              <w:top w:w="0" w:type="dxa"/>
              <w:left w:w="40" w:type="dxa"/>
              <w:bottom w:w="0" w:type="dxa"/>
              <w:right w:w="40" w:type="dxa"/>
            </w:tcMar>
            <w:vAlign w:val="center"/>
          </w:tcPr>
          <w:p w14:paraId="60167DD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59E616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covered in white glue</w:t>
            </w:r>
          </w:p>
        </w:tc>
      </w:tr>
      <w:tr w:rsidR="000E5EA3" w:rsidRPr="00DA5DAC" w14:paraId="668F9352" w14:textId="77777777">
        <w:trPr>
          <w:trHeight w:val="52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1771D1D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48BA1E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17</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7BCE3C3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31E8A6A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Maxilla and mandible</w:t>
            </w:r>
          </w:p>
        </w:tc>
        <w:tc>
          <w:tcPr>
            <w:tcW w:w="1065" w:type="dxa"/>
            <w:shd w:val="clear" w:color="auto" w:fill="FFFFFF"/>
            <w:tcMar>
              <w:top w:w="0" w:type="dxa"/>
              <w:left w:w="40" w:type="dxa"/>
              <w:bottom w:w="0" w:type="dxa"/>
              <w:right w:w="40" w:type="dxa"/>
            </w:tcMar>
            <w:vAlign w:val="center"/>
          </w:tcPr>
          <w:p w14:paraId="454F2A91"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4" w:name="_heading=h.8pgw7z7jx6pb" w:colFirst="0" w:colLast="0"/>
            <w:bookmarkEnd w:id="14"/>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0920CFD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shd w:val="clear" w:color="auto" w:fill="FFFFFF"/>
            <w:tcMar>
              <w:top w:w="0" w:type="dxa"/>
              <w:left w:w="40" w:type="dxa"/>
              <w:bottom w:w="0" w:type="dxa"/>
              <w:right w:w="40" w:type="dxa"/>
            </w:tcMar>
            <w:vAlign w:val="center"/>
          </w:tcPr>
          <w:p w14:paraId="4AD28322"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Possible right mandibular torus</w:t>
            </w:r>
          </w:p>
        </w:tc>
        <w:tc>
          <w:tcPr>
            <w:tcW w:w="1515" w:type="dxa"/>
            <w:shd w:val="clear" w:color="auto" w:fill="FFFFFF"/>
            <w:tcMar>
              <w:top w:w="0" w:type="dxa"/>
              <w:left w:w="40" w:type="dxa"/>
              <w:bottom w:w="0" w:type="dxa"/>
              <w:right w:w="40" w:type="dxa"/>
            </w:tcMar>
            <w:vAlign w:val="center"/>
          </w:tcPr>
          <w:p w14:paraId="08FD9E40"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5" w:name="_heading=h.5i84gzjgimr6" w:colFirst="0" w:colLast="0"/>
            <w:bookmarkEnd w:id="15"/>
            <w:r w:rsidRPr="00DA5DAC">
              <w:rPr>
                <w:rFonts w:ascii="Times New Roman" w:eastAsia="Times New Roman" w:hAnsi="Times New Roman" w:cs="Times New Roman"/>
                <w:sz w:val="16"/>
                <w:szCs w:val="16"/>
              </w:rPr>
              <w:t>Apical abscess (URM2), linear enamel hypoplasia (one line, URPM1)</w:t>
            </w:r>
          </w:p>
        </w:tc>
        <w:tc>
          <w:tcPr>
            <w:tcW w:w="1125" w:type="dxa"/>
            <w:shd w:val="clear" w:color="auto" w:fill="FFFFFF"/>
            <w:tcMar>
              <w:top w:w="0" w:type="dxa"/>
              <w:left w:w="40" w:type="dxa"/>
              <w:bottom w:w="0" w:type="dxa"/>
              <w:right w:w="40" w:type="dxa"/>
            </w:tcMar>
            <w:vAlign w:val="center"/>
          </w:tcPr>
          <w:p w14:paraId="04ACAA2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6F07AC9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14763A8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WB24</w:t>
            </w:r>
          </w:p>
        </w:tc>
        <w:tc>
          <w:tcPr>
            <w:tcW w:w="1050" w:type="dxa"/>
            <w:shd w:val="clear" w:color="auto" w:fill="FFFFFF"/>
            <w:tcMar>
              <w:top w:w="0" w:type="dxa"/>
              <w:left w:w="40" w:type="dxa"/>
              <w:bottom w:w="0" w:type="dxa"/>
              <w:right w:w="40" w:type="dxa"/>
            </w:tcMar>
            <w:vAlign w:val="center"/>
          </w:tcPr>
          <w:p w14:paraId="16B06D7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096443F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155C26AD" w14:textId="77777777">
        <w:trPr>
          <w:trHeight w:val="300"/>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D13AD0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6E178C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18</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72E41E1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346385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Mandible (not analysed)</w:t>
            </w:r>
          </w:p>
        </w:tc>
        <w:tc>
          <w:tcPr>
            <w:tcW w:w="1065" w:type="dxa"/>
            <w:shd w:val="clear" w:color="auto" w:fill="FFFFFF"/>
            <w:tcMar>
              <w:top w:w="0" w:type="dxa"/>
              <w:left w:w="40" w:type="dxa"/>
              <w:bottom w:w="0" w:type="dxa"/>
              <w:right w:w="40" w:type="dxa"/>
            </w:tcMar>
            <w:vAlign w:val="center"/>
          </w:tcPr>
          <w:p w14:paraId="6911699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95" w:type="dxa"/>
            <w:shd w:val="clear" w:color="auto" w:fill="FFFFFF"/>
            <w:tcMar>
              <w:top w:w="0" w:type="dxa"/>
              <w:left w:w="40" w:type="dxa"/>
              <w:bottom w:w="0" w:type="dxa"/>
              <w:right w:w="40" w:type="dxa"/>
            </w:tcMar>
            <w:vAlign w:val="center"/>
          </w:tcPr>
          <w:p w14:paraId="5C0C5DF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shd w:val="clear" w:color="auto" w:fill="FFFFFF"/>
            <w:tcMar>
              <w:top w:w="0" w:type="dxa"/>
              <w:left w:w="40" w:type="dxa"/>
              <w:bottom w:w="0" w:type="dxa"/>
              <w:right w:w="40" w:type="dxa"/>
            </w:tcMar>
            <w:vAlign w:val="center"/>
          </w:tcPr>
          <w:p w14:paraId="617E52C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shd w:val="clear" w:color="auto" w:fill="FFFFFF"/>
            <w:tcMar>
              <w:top w:w="0" w:type="dxa"/>
              <w:left w:w="40" w:type="dxa"/>
              <w:bottom w:w="0" w:type="dxa"/>
              <w:right w:w="40" w:type="dxa"/>
            </w:tcMar>
            <w:vAlign w:val="center"/>
          </w:tcPr>
          <w:p w14:paraId="4639978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125" w:type="dxa"/>
            <w:shd w:val="clear" w:color="auto" w:fill="FFFFFF"/>
            <w:tcMar>
              <w:top w:w="0" w:type="dxa"/>
              <w:left w:w="40" w:type="dxa"/>
              <w:bottom w:w="0" w:type="dxa"/>
              <w:right w:w="40" w:type="dxa"/>
            </w:tcMar>
            <w:vAlign w:val="center"/>
          </w:tcPr>
          <w:p w14:paraId="2A76A84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290" w:type="dxa"/>
            <w:shd w:val="clear" w:color="auto" w:fill="FFFFFF"/>
            <w:tcMar>
              <w:top w:w="0" w:type="dxa"/>
              <w:left w:w="40" w:type="dxa"/>
              <w:bottom w:w="0" w:type="dxa"/>
              <w:right w:w="40" w:type="dxa"/>
            </w:tcMar>
            <w:vAlign w:val="center"/>
          </w:tcPr>
          <w:p w14:paraId="25217E6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10FB4FD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1432F92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GENLAB 10 (I13726) </w:t>
            </w:r>
          </w:p>
        </w:tc>
        <w:tc>
          <w:tcPr>
            <w:tcW w:w="2280" w:type="dxa"/>
            <w:shd w:val="clear" w:color="auto" w:fill="FFFFFF"/>
            <w:tcMar>
              <w:top w:w="0" w:type="dxa"/>
              <w:left w:w="40" w:type="dxa"/>
              <w:bottom w:w="0" w:type="dxa"/>
              <w:right w:w="40" w:type="dxa"/>
            </w:tcMar>
            <w:vAlign w:val="center"/>
          </w:tcPr>
          <w:p w14:paraId="028DCF7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6 (right petrous) was the same individual as GENLAB 10 (mandible)</w:t>
            </w:r>
          </w:p>
        </w:tc>
      </w:tr>
      <w:tr w:rsidR="000E5EA3" w:rsidRPr="00DA5DAC" w14:paraId="157B1A8B" w14:textId="77777777">
        <w:trPr>
          <w:trHeight w:val="795"/>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0B4481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E2EED7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19</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4958A32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68770BF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Mandible (not analysed)</w:t>
            </w:r>
          </w:p>
        </w:tc>
        <w:tc>
          <w:tcPr>
            <w:tcW w:w="1065" w:type="dxa"/>
            <w:shd w:val="clear" w:color="auto" w:fill="FFFFFF"/>
            <w:tcMar>
              <w:top w:w="0" w:type="dxa"/>
              <w:left w:w="40" w:type="dxa"/>
              <w:bottom w:w="0" w:type="dxa"/>
              <w:right w:w="40" w:type="dxa"/>
            </w:tcMar>
            <w:vAlign w:val="center"/>
          </w:tcPr>
          <w:p w14:paraId="3A1300E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95" w:type="dxa"/>
            <w:shd w:val="clear" w:color="auto" w:fill="FFFFFF"/>
            <w:tcMar>
              <w:top w:w="0" w:type="dxa"/>
              <w:left w:w="40" w:type="dxa"/>
              <w:bottom w:w="0" w:type="dxa"/>
              <w:right w:w="40" w:type="dxa"/>
            </w:tcMar>
            <w:vAlign w:val="center"/>
          </w:tcPr>
          <w:p w14:paraId="0616BFF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shd w:val="clear" w:color="auto" w:fill="FFFFFF"/>
            <w:tcMar>
              <w:top w:w="0" w:type="dxa"/>
              <w:left w:w="40" w:type="dxa"/>
              <w:bottom w:w="0" w:type="dxa"/>
              <w:right w:w="40" w:type="dxa"/>
            </w:tcMar>
            <w:vAlign w:val="center"/>
          </w:tcPr>
          <w:p w14:paraId="31D0227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shd w:val="clear" w:color="auto" w:fill="FFFFFF"/>
            <w:tcMar>
              <w:top w:w="0" w:type="dxa"/>
              <w:left w:w="40" w:type="dxa"/>
              <w:bottom w:w="0" w:type="dxa"/>
              <w:right w:w="40" w:type="dxa"/>
            </w:tcMar>
            <w:vAlign w:val="center"/>
          </w:tcPr>
          <w:p w14:paraId="18C78CC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125" w:type="dxa"/>
            <w:shd w:val="clear" w:color="auto" w:fill="FFFFFF"/>
            <w:tcMar>
              <w:top w:w="0" w:type="dxa"/>
              <w:left w:w="40" w:type="dxa"/>
              <w:bottom w:w="0" w:type="dxa"/>
              <w:right w:w="40" w:type="dxa"/>
            </w:tcMar>
            <w:vAlign w:val="center"/>
          </w:tcPr>
          <w:p w14:paraId="3A7125D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290" w:type="dxa"/>
            <w:shd w:val="clear" w:color="auto" w:fill="FFFFFF"/>
            <w:tcMar>
              <w:top w:w="0" w:type="dxa"/>
              <w:left w:w="40" w:type="dxa"/>
              <w:bottom w:w="0" w:type="dxa"/>
              <w:right w:w="40" w:type="dxa"/>
            </w:tcMar>
            <w:vAlign w:val="center"/>
          </w:tcPr>
          <w:p w14:paraId="21C621C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490B3D6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4F3FEF1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11 (I11992)</w:t>
            </w:r>
          </w:p>
        </w:tc>
        <w:tc>
          <w:tcPr>
            <w:tcW w:w="2280" w:type="dxa"/>
            <w:shd w:val="clear" w:color="auto" w:fill="FFFFFF"/>
            <w:tcMar>
              <w:top w:w="0" w:type="dxa"/>
              <w:left w:w="40" w:type="dxa"/>
              <w:bottom w:w="0" w:type="dxa"/>
              <w:right w:w="40" w:type="dxa"/>
            </w:tcMar>
            <w:vAlign w:val="center"/>
          </w:tcPr>
          <w:p w14:paraId="62C4083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4 (right petrous) was the same individual as GENLAB 11 (tooth)</w:t>
            </w:r>
          </w:p>
        </w:tc>
      </w:tr>
      <w:tr w:rsidR="000E5EA3" w:rsidRPr="00DA5DAC" w14:paraId="4ADBDD5D" w14:textId="77777777">
        <w:trPr>
          <w:trHeight w:val="1050"/>
        </w:trPr>
        <w:tc>
          <w:tcPr>
            <w:tcW w:w="78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2EB5F8B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a22 SID 7</w:t>
            </w:r>
          </w:p>
        </w:tc>
        <w:tc>
          <w:tcPr>
            <w:tcW w:w="795"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612B95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20</w:t>
            </w:r>
          </w:p>
        </w:tc>
        <w:tc>
          <w:tcPr>
            <w:tcW w:w="570" w:type="dxa"/>
            <w:tcBorders>
              <w:top w:val="single" w:sz="6" w:space="0" w:color="CCCCCC"/>
              <w:left w:val="single" w:sz="6" w:space="0" w:color="CCCCCC"/>
              <w:bottom w:val="single" w:sz="6" w:space="0" w:color="000000"/>
            </w:tcBorders>
            <w:shd w:val="clear" w:color="auto" w:fill="FFFFFF"/>
            <w:tcMar>
              <w:top w:w="0" w:type="dxa"/>
              <w:left w:w="40" w:type="dxa"/>
              <w:bottom w:w="0" w:type="dxa"/>
              <w:right w:w="40" w:type="dxa"/>
            </w:tcMar>
            <w:vAlign w:val="center"/>
          </w:tcPr>
          <w:p w14:paraId="675C9E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672F5204" w14:textId="147DB726"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Temporal bone fragment consisting of petrous portion and mastoid area wired to the right inferior quadrant of the occipital squama</w:t>
            </w:r>
          </w:p>
        </w:tc>
        <w:tc>
          <w:tcPr>
            <w:tcW w:w="1065" w:type="dxa"/>
            <w:shd w:val="clear" w:color="auto" w:fill="FFFFFF"/>
            <w:tcMar>
              <w:top w:w="0" w:type="dxa"/>
              <w:left w:w="40" w:type="dxa"/>
              <w:bottom w:w="0" w:type="dxa"/>
              <w:right w:w="40" w:type="dxa"/>
            </w:tcMar>
            <w:vAlign w:val="center"/>
          </w:tcPr>
          <w:p w14:paraId="1D6A44B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tcMar>
              <w:top w:w="0" w:type="dxa"/>
              <w:bottom w:w="0" w:type="dxa"/>
            </w:tcMar>
            <w:vAlign w:val="center"/>
          </w:tcPr>
          <w:p w14:paraId="10DACB1E"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6" w:name="_heading=h.ur3b3wf41fm4" w:colFirst="0" w:colLast="0"/>
            <w:bookmarkEnd w:id="16"/>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34AEFEF0"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38770A24"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7" w:name="_heading=h.avpii08upn1i" w:colFirst="0" w:colLast="0"/>
            <w:bookmarkEnd w:id="17"/>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49CCCF7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513FA72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11FD43D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3C2138F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2 (I11143)</w:t>
            </w:r>
          </w:p>
        </w:tc>
        <w:tc>
          <w:tcPr>
            <w:tcW w:w="2280" w:type="dxa"/>
            <w:shd w:val="clear" w:color="auto" w:fill="FFFFFF"/>
            <w:tcMar>
              <w:top w:w="0" w:type="dxa"/>
              <w:left w:w="40" w:type="dxa"/>
              <w:bottom w:w="0" w:type="dxa"/>
              <w:right w:w="40" w:type="dxa"/>
            </w:tcMar>
            <w:vAlign w:val="center"/>
          </w:tcPr>
          <w:p w14:paraId="6192769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covered in white glue</w:t>
            </w:r>
          </w:p>
        </w:tc>
      </w:tr>
      <w:tr w:rsidR="000E5EA3" w:rsidRPr="00DA5DAC" w14:paraId="7D53590E" w14:textId="77777777">
        <w:trPr>
          <w:trHeight w:val="1575"/>
        </w:trPr>
        <w:tc>
          <w:tcPr>
            <w:tcW w:w="780" w:type="dxa"/>
            <w:shd w:val="clear" w:color="auto" w:fill="FFFFFF"/>
            <w:tcMar>
              <w:top w:w="0" w:type="dxa"/>
              <w:left w:w="40" w:type="dxa"/>
              <w:bottom w:w="0" w:type="dxa"/>
              <w:right w:w="40" w:type="dxa"/>
            </w:tcMar>
            <w:vAlign w:val="center"/>
          </w:tcPr>
          <w:p w14:paraId="6FC80B3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a22 SID 7</w:t>
            </w:r>
          </w:p>
        </w:tc>
        <w:tc>
          <w:tcPr>
            <w:tcW w:w="795" w:type="dxa"/>
            <w:shd w:val="clear" w:color="auto" w:fill="FFFFFF"/>
            <w:tcMar>
              <w:top w:w="0" w:type="dxa"/>
              <w:left w:w="40" w:type="dxa"/>
              <w:bottom w:w="0" w:type="dxa"/>
              <w:right w:w="40" w:type="dxa"/>
            </w:tcMar>
            <w:vAlign w:val="center"/>
          </w:tcPr>
          <w:p w14:paraId="6862C29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Warre? </w:t>
            </w:r>
          </w:p>
        </w:tc>
        <w:tc>
          <w:tcPr>
            <w:tcW w:w="570" w:type="dxa"/>
            <w:shd w:val="clear" w:color="auto" w:fill="FFFFFF"/>
            <w:tcMar>
              <w:top w:w="0" w:type="dxa"/>
              <w:left w:w="40" w:type="dxa"/>
              <w:bottom w:w="0" w:type="dxa"/>
              <w:right w:w="40" w:type="dxa"/>
            </w:tcMar>
            <w:vAlign w:val="center"/>
          </w:tcPr>
          <w:p w14:paraId="2FD0596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6?</w:t>
            </w:r>
          </w:p>
        </w:tc>
        <w:tc>
          <w:tcPr>
            <w:tcW w:w="1860" w:type="dxa"/>
            <w:tcMar>
              <w:top w:w="0" w:type="dxa"/>
              <w:bottom w:w="0" w:type="dxa"/>
            </w:tcMar>
            <w:vAlign w:val="center"/>
          </w:tcPr>
          <w:p w14:paraId="67027485" w14:textId="1A7768A2"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8" w:name="_heading=h.p8x8d8o8gnba" w:colFirst="0" w:colLast="0"/>
            <w:bookmarkEnd w:id="18"/>
            <w:r w:rsidRPr="00DA5DAC">
              <w:rPr>
                <w:rFonts w:ascii="Times New Roman" w:eastAsia="Times New Roman" w:hAnsi="Times New Roman" w:cs="Times New Roman"/>
                <w:sz w:val="16"/>
                <w:szCs w:val="16"/>
              </w:rPr>
              <w:t xml:space="preserve">Cranial fragments </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 sphenoid, zygomatic bones (3), frontal, petrous bones (3), occipital bones (2), left parietal bones (2)</w:t>
            </w:r>
          </w:p>
        </w:tc>
        <w:tc>
          <w:tcPr>
            <w:tcW w:w="1065" w:type="dxa"/>
            <w:shd w:val="clear" w:color="auto" w:fill="FFFFFF"/>
            <w:tcMar>
              <w:top w:w="0" w:type="dxa"/>
              <w:left w:w="40" w:type="dxa"/>
              <w:bottom w:w="0" w:type="dxa"/>
              <w:right w:w="40" w:type="dxa"/>
            </w:tcMar>
            <w:vAlign w:val="center"/>
          </w:tcPr>
          <w:p w14:paraId="643D03A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13C3239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403961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746F780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735D5D3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5FCE06B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One fragment, where the right and left parietal bones are still together at the obelic region, shows a blade injury at the left side. The injury is straight and runs parallel and about 2cm from the sagittal suture. It would have affected the lambdoid suture and most likely the occipital bone. The injury is bevelled laterally – outwards and it may have been inflicted with a right to left blow.</w:t>
            </w:r>
          </w:p>
        </w:tc>
        <w:tc>
          <w:tcPr>
            <w:tcW w:w="900" w:type="dxa"/>
            <w:shd w:val="clear" w:color="auto" w:fill="FFFFFF"/>
            <w:tcMar>
              <w:top w:w="0" w:type="dxa"/>
              <w:left w:w="40" w:type="dxa"/>
              <w:bottom w:w="0" w:type="dxa"/>
              <w:right w:w="40" w:type="dxa"/>
            </w:tcMar>
            <w:vAlign w:val="center"/>
          </w:tcPr>
          <w:p w14:paraId="7DE5289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WB27</w:t>
            </w:r>
          </w:p>
        </w:tc>
        <w:tc>
          <w:tcPr>
            <w:tcW w:w="1050" w:type="dxa"/>
            <w:shd w:val="clear" w:color="auto" w:fill="FFFFFF"/>
            <w:tcMar>
              <w:top w:w="0" w:type="dxa"/>
              <w:left w:w="40" w:type="dxa"/>
              <w:bottom w:w="0" w:type="dxa"/>
              <w:right w:w="40" w:type="dxa"/>
            </w:tcMar>
            <w:vAlign w:val="center"/>
          </w:tcPr>
          <w:p w14:paraId="5B53484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3 and GENLAB 4 (I11991-2)</w:t>
            </w:r>
          </w:p>
        </w:tc>
        <w:tc>
          <w:tcPr>
            <w:tcW w:w="2280" w:type="dxa"/>
            <w:shd w:val="clear" w:color="auto" w:fill="FFFFFF"/>
            <w:tcMar>
              <w:top w:w="0" w:type="dxa"/>
              <w:left w:w="40" w:type="dxa"/>
              <w:bottom w:w="0" w:type="dxa"/>
              <w:right w:w="40" w:type="dxa"/>
            </w:tcMar>
            <w:vAlign w:val="center"/>
          </w:tcPr>
          <w:p w14:paraId="2509A032" w14:textId="786E30BC"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GENLAB 3 (left petrous) and GENLAB 4 (right petrous) were in a small box labelled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Worlebury Warre [?]</w:t>
            </w:r>
            <w:r w:rsid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within box a22 SID 7, with other skull fragments including another right petrous. GENLAB 4 was the same individual as GENLAB 11 (tooth), and GENLAB 3 was the same individual as GENLAB 5 (right petrous)</w:t>
            </w:r>
          </w:p>
        </w:tc>
      </w:tr>
      <w:tr w:rsidR="000E5EA3" w:rsidRPr="00DA5DAC" w14:paraId="4C4031C0" w14:textId="77777777">
        <w:trPr>
          <w:trHeight w:val="795"/>
        </w:trPr>
        <w:tc>
          <w:tcPr>
            <w:tcW w:w="780" w:type="dxa"/>
            <w:shd w:val="clear" w:color="auto" w:fill="FFFFFF"/>
            <w:tcMar>
              <w:top w:w="0" w:type="dxa"/>
              <w:left w:w="40" w:type="dxa"/>
              <w:bottom w:w="0" w:type="dxa"/>
              <w:right w:w="40" w:type="dxa"/>
            </w:tcMar>
            <w:vAlign w:val="center"/>
          </w:tcPr>
          <w:p w14:paraId="018C657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a23 SID 7</w:t>
            </w:r>
          </w:p>
        </w:tc>
        <w:tc>
          <w:tcPr>
            <w:tcW w:w="795" w:type="dxa"/>
            <w:shd w:val="clear" w:color="auto" w:fill="FFFFFF"/>
            <w:tcMar>
              <w:top w:w="0" w:type="dxa"/>
              <w:left w:w="40" w:type="dxa"/>
              <w:bottom w:w="0" w:type="dxa"/>
              <w:right w:w="40" w:type="dxa"/>
            </w:tcMar>
            <w:vAlign w:val="center"/>
          </w:tcPr>
          <w:p w14:paraId="021CADE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2147D7C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5C2CB08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Vertebrae, both humeri, right ulna and both radii, left scaphoid, left 5th metacarpal, two proximal manual phalanges, three intermediate manual phalanges, both femora and tibiae, left talus, two proximal pedal phalanges</w:t>
            </w:r>
          </w:p>
        </w:tc>
        <w:tc>
          <w:tcPr>
            <w:tcW w:w="1065" w:type="dxa"/>
            <w:shd w:val="clear" w:color="auto" w:fill="FFFFFF"/>
            <w:tcMar>
              <w:top w:w="0" w:type="dxa"/>
              <w:left w:w="40" w:type="dxa"/>
              <w:bottom w:w="0" w:type="dxa"/>
              <w:right w:w="40" w:type="dxa"/>
            </w:tcMar>
            <w:vAlign w:val="center"/>
          </w:tcPr>
          <w:p w14:paraId="397C4EE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Probable male</w:t>
            </w:r>
          </w:p>
        </w:tc>
        <w:tc>
          <w:tcPr>
            <w:tcW w:w="1095" w:type="dxa"/>
            <w:shd w:val="clear" w:color="auto" w:fill="FFFFFF"/>
            <w:tcMar>
              <w:top w:w="0" w:type="dxa"/>
              <w:left w:w="40" w:type="dxa"/>
              <w:bottom w:w="0" w:type="dxa"/>
              <w:right w:w="40" w:type="dxa"/>
            </w:tcMar>
            <w:vAlign w:val="center"/>
          </w:tcPr>
          <w:p w14:paraId="70EC6DE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shd w:val="clear" w:color="auto" w:fill="FFFFFF"/>
            <w:tcMar>
              <w:top w:w="0" w:type="dxa"/>
              <w:left w:w="40" w:type="dxa"/>
              <w:bottom w:w="0" w:type="dxa"/>
              <w:right w:w="40" w:type="dxa"/>
            </w:tcMar>
            <w:vAlign w:val="center"/>
          </w:tcPr>
          <w:p w14:paraId="394028C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Bilateral third trochanter, left double anterior calcaneal facet, left peroneal tubercle</w:t>
            </w:r>
          </w:p>
        </w:tc>
        <w:tc>
          <w:tcPr>
            <w:tcW w:w="1515" w:type="dxa"/>
            <w:shd w:val="clear" w:color="auto" w:fill="FFFFFF"/>
            <w:tcMar>
              <w:top w:w="0" w:type="dxa"/>
              <w:left w:w="40" w:type="dxa"/>
              <w:bottom w:w="0" w:type="dxa"/>
              <w:right w:w="40" w:type="dxa"/>
            </w:tcMar>
            <w:vAlign w:val="center"/>
          </w:tcPr>
          <w:p w14:paraId="6D69449D" w14:textId="79CA26B5"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Schmorl’s nodes on T10-12, anterior expansion of the annular ring, and erosive lesions on T6-8. Healed trauma at proximal pedal phalanx, possible dislocation at a manual distal interphalangeal joint. Long bone fragments with </w:t>
            </w:r>
            <w:r w:rsidR="00DA5DAC" w:rsidRPr="00DA5DAC">
              <w:rPr>
                <w:rFonts w:ascii="Times New Roman" w:eastAsia="Times New Roman" w:hAnsi="Times New Roman" w:cs="Times New Roman"/>
                <w:sz w:val="16"/>
                <w:szCs w:val="16"/>
              </w:rPr>
              <w:t>well-developed</w:t>
            </w:r>
            <w:r w:rsidRPr="00DA5DAC">
              <w:rPr>
                <w:rFonts w:ascii="Times New Roman" w:eastAsia="Times New Roman" w:hAnsi="Times New Roman" w:cs="Times New Roman"/>
                <w:sz w:val="16"/>
                <w:szCs w:val="16"/>
              </w:rPr>
              <w:t xml:space="preserve"> entheses</w:t>
            </w:r>
          </w:p>
        </w:tc>
        <w:tc>
          <w:tcPr>
            <w:tcW w:w="1125" w:type="dxa"/>
            <w:shd w:val="clear" w:color="auto" w:fill="FFFFFF"/>
            <w:tcMar>
              <w:top w:w="0" w:type="dxa"/>
              <w:left w:w="40" w:type="dxa"/>
              <w:bottom w:w="0" w:type="dxa"/>
              <w:right w:w="40" w:type="dxa"/>
            </w:tcMar>
            <w:vAlign w:val="center"/>
          </w:tcPr>
          <w:p w14:paraId="7A7A319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3CCC958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0F90BC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WB01-2</w:t>
            </w:r>
          </w:p>
        </w:tc>
        <w:tc>
          <w:tcPr>
            <w:tcW w:w="1050" w:type="dxa"/>
            <w:shd w:val="clear" w:color="auto" w:fill="FFFFFF"/>
            <w:tcMar>
              <w:top w:w="0" w:type="dxa"/>
              <w:left w:w="40" w:type="dxa"/>
              <w:bottom w:w="0" w:type="dxa"/>
              <w:right w:w="40" w:type="dxa"/>
            </w:tcMar>
            <w:vAlign w:val="center"/>
          </w:tcPr>
          <w:p w14:paraId="3EAD818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bottom w:val="single" w:sz="6" w:space="0" w:color="000000"/>
              <w:right w:val="single" w:sz="6" w:space="0" w:color="000000"/>
            </w:tcBorders>
            <w:shd w:val="clear" w:color="auto" w:fill="FFFFFF"/>
            <w:tcMar>
              <w:top w:w="0" w:type="dxa"/>
              <w:left w:w="40" w:type="dxa"/>
              <w:bottom w:w="0" w:type="dxa"/>
              <w:right w:w="40" w:type="dxa"/>
            </w:tcMar>
            <w:vAlign w:val="center"/>
          </w:tcPr>
          <w:p w14:paraId="214E19C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1F2C931C" w14:textId="77777777">
        <w:trPr>
          <w:trHeight w:val="525"/>
        </w:trPr>
        <w:tc>
          <w:tcPr>
            <w:tcW w:w="780" w:type="dxa"/>
            <w:shd w:val="clear" w:color="auto" w:fill="FFFFFF"/>
            <w:tcMar>
              <w:top w:w="0" w:type="dxa"/>
              <w:left w:w="40" w:type="dxa"/>
              <w:bottom w:w="0" w:type="dxa"/>
              <w:right w:w="40" w:type="dxa"/>
            </w:tcMar>
            <w:vAlign w:val="center"/>
          </w:tcPr>
          <w:p w14:paraId="55C164A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a24 SID 7</w:t>
            </w:r>
          </w:p>
        </w:tc>
        <w:tc>
          <w:tcPr>
            <w:tcW w:w="795" w:type="dxa"/>
            <w:shd w:val="clear" w:color="auto" w:fill="FFFFFF"/>
            <w:tcMar>
              <w:top w:w="0" w:type="dxa"/>
              <w:left w:w="40" w:type="dxa"/>
              <w:bottom w:w="0" w:type="dxa"/>
              <w:right w:w="40" w:type="dxa"/>
            </w:tcMar>
            <w:vAlign w:val="center"/>
          </w:tcPr>
          <w:p w14:paraId="773EFC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4</w:t>
            </w:r>
          </w:p>
        </w:tc>
        <w:tc>
          <w:tcPr>
            <w:tcW w:w="570" w:type="dxa"/>
            <w:shd w:val="clear" w:color="auto" w:fill="FFFFFF"/>
            <w:tcMar>
              <w:top w:w="0" w:type="dxa"/>
              <w:left w:w="40" w:type="dxa"/>
              <w:bottom w:w="0" w:type="dxa"/>
              <w:right w:w="40" w:type="dxa"/>
            </w:tcMar>
            <w:vAlign w:val="center"/>
          </w:tcPr>
          <w:p w14:paraId="465F720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56A61D2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Frontal bone with the superior half of both nasal bones</w:t>
            </w:r>
          </w:p>
        </w:tc>
        <w:tc>
          <w:tcPr>
            <w:tcW w:w="1065" w:type="dxa"/>
            <w:shd w:val="clear" w:color="auto" w:fill="FFFFFF"/>
            <w:tcMar>
              <w:top w:w="0" w:type="dxa"/>
              <w:left w:w="40" w:type="dxa"/>
              <w:bottom w:w="0" w:type="dxa"/>
              <w:right w:w="40" w:type="dxa"/>
            </w:tcMar>
            <w:vAlign w:val="center"/>
          </w:tcPr>
          <w:p w14:paraId="3DB869B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Probable male</w:t>
            </w:r>
          </w:p>
        </w:tc>
        <w:tc>
          <w:tcPr>
            <w:tcW w:w="1095" w:type="dxa"/>
            <w:shd w:val="clear" w:color="auto" w:fill="FFFFFF"/>
            <w:tcMar>
              <w:top w:w="0" w:type="dxa"/>
              <w:left w:w="40" w:type="dxa"/>
              <w:bottom w:w="0" w:type="dxa"/>
              <w:right w:w="40" w:type="dxa"/>
            </w:tcMar>
            <w:vAlign w:val="center"/>
          </w:tcPr>
          <w:p w14:paraId="66BD169A"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19" w:name="_heading=h.huk1vsmyzwj1" w:colFirst="0" w:colLast="0"/>
            <w:bookmarkEnd w:id="19"/>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7F1912D2"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0" w:name="_heading=h.wfjqr8f0u2aw" w:colFirst="0" w:colLast="0"/>
            <w:bookmarkEnd w:id="20"/>
            <w:r w:rsidRPr="00DA5DAC">
              <w:rPr>
                <w:rFonts w:ascii="Times New Roman" w:eastAsia="Times New Roman" w:hAnsi="Times New Roman" w:cs="Times New Roman"/>
                <w:sz w:val="16"/>
                <w:szCs w:val="16"/>
              </w:rPr>
              <w:t>Left supraorbital notch, right supraorbital foramen</w:t>
            </w:r>
          </w:p>
        </w:tc>
        <w:tc>
          <w:tcPr>
            <w:tcW w:w="1515" w:type="dxa"/>
            <w:tcMar>
              <w:top w:w="0" w:type="dxa"/>
              <w:bottom w:w="0" w:type="dxa"/>
            </w:tcMar>
            <w:vAlign w:val="center"/>
          </w:tcPr>
          <w:p w14:paraId="7FF3EC4F"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1" w:name="_heading=h.9w7y5d2gxw7y" w:colFirst="0" w:colLast="0"/>
            <w:bookmarkEnd w:id="21"/>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4BBD93C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42DBF81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0BCA45C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WB14</w:t>
            </w:r>
          </w:p>
        </w:tc>
        <w:tc>
          <w:tcPr>
            <w:tcW w:w="1050" w:type="dxa"/>
            <w:shd w:val="clear" w:color="auto" w:fill="FFFFFF"/>
            <w:tcMar>
              <w:top w:w="0" w:type="dxa"/>
              <w:left w:w="40" w:type="dxa"/>
              <w:bottom w:w="0" w:type="dxa"/>
              <w:right w:w="40" w:type="dxa"/>
            </w:tcMar>
            <w:vAlign w:val="center"/>
          </w:tcPr>
          <w:p w14:paraId="69E4BE6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76A96E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covered in white glue</w:t>
            </w:r>
          </w:p>
        </w:tc>
      </w:tr>
      <w:tr w:rsidR="000E5EA3" w:rsidRPr="00DA5DAC" w14:paraId="469936B3" w14:textId="77777777">
        <w:trPr>
          <w:trHeight w:val="525"/>
        </w:trPr>
        <w:tc>
          <w:tcPr>
            <w:tcW w:w="780" w:type="dxa"/>
            <w:shd w:val="clear" w:color="auto" w:fill="FFFFFF"/>
            <w:tcMar>
              <w:top w:w="0" w:type="dxa"/>
              <w:left w:w="40" w:type="dxa"/>
              <w:bottom w:w="0" w:type="dxa"/>
              <w:right w:w="40" w:type="dxa"/>
            </w:tcMar>
            <w:vAlign w:val="center"/>
          </w:tcPr>
          <w:p w14:paraId="0C14559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a24 SID 7</w:t>
            </w:r>
          </w:p>
        </w:tc>
        <w:tc>
          <w:tcPr>
            <w:tcW w:w="795" w:type="dxa"/>
            <w:shd w:val="clear" w:color="auto" w:fill="FFFFFF"/>
            <w:tcMar>
              <w:top w:w="0" w:type="dxa"/>
              <w:left w:w="40" w:type="dxa"/>
              <w:bottom w:w="0" w:type="dxa"/>
              <w:right w:w="40" w:type="dxa"/>
            </w:tcMar>
            <w:vAlign w:val="center"/>
          </w:tcPr>
          <w:p w14:paraId="03235E9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5</w:t>
            </w:r>
          </w:p>
        </w:tc>
        <w:tc>
          <w:tcPr>
            <w:tcW w:w="570" w:type="dxa"/>
            <w:shd w:val="clear" w:color="auto" w:fill="FFFFFF"/>
            <w:tcMar>
              <w:top w:w="0" w:type="dxa"/>
              <w:left w:w="40" w:type="dxa"/>
              <w:bottom w:w="0" w:type="dxa"/>
              <w:right w:w="40" w:type="dxa"/>
            </w:tcMar>
            <w:vAlign w:val="center"/>
          </w:tcPr>
          <w:p w14:paraId="7EF0823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6BBFB2F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Frontal bone with the superior half of both nasal bones</w:t>
            </w:r>
          </w:p>
        </w:tc>
        <w:tc>
          <w:tcPr>
            <w:tcW w:w="1065" w:type="dxa"/>
            <w:shd w:val="clear" w:color="auto" w:fill="FFFFFF"/>
            <w:tcMar>
              <w:top w:w="0" w:type="dxa"/>
              <w:left w:w="40" w:type="dxa"/>
              <w:bottom w:w="0" w:type="dxa"/>
              <w:right w:w="40" w:type="dxa"/>
            </w:tcMar>
            <w:vAlign w:val="center"/>
          </w:tcPr>
          <w:p w14:paraId="3441E02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Indeterminate</w:t>
            </w:r>
          </w:p>
        </w:tc>
        <w:tc>
          <w:tcPr>
            <w:tcW w:w="1095" w:type="dxa"/>
            <w:shd w:val="clear" w:color="auto" w:fill="FFFFFF"/>
            <w:tcMar>
              <w:top w:w="0" w:type="dxa"/>
              <w:left w:w="40" w:type="dxa"/>
              <w:bottom w:w="0" w:type="dxa"/>
              <w:right w:w="40" w:type="dxa"/>
            </w:tcMar>
            <w:vAlign w:val="center"/>
          </w:tcPr>
          <w:p w14:paraId="5E4064EC"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2" w:name="_heading=h.h4k09va6ak3u" w:colFirst="0" w:colLast="0"/>
            <w:bookmarkEnd w:id="22"/>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676C9324"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Left supraorbital notch</w:t>
            </w:r>
          </w:p>
        </w:tc>
        <w:tc>
          <w:tcPr>
            <w:tcW w:w="1515" w:type="dxa"/>
            <w:tcMar>
              <w:top w:w="0" w:type="dxa"/>
              <w:bottom w:w="0" w:type="dxa"/>
            </w:tcMar>
            <w:vAlign w:val="center"/>
          </w:tcPr>
          <w:p w14:paraId="4B55AB03"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3" w:name="_heading=h.ckft8abd4f6k" w:colFirst="0" w:colLast="0"/>
            <w:bookmarkEnd w:id="23"/>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308E714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639B71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Glancing perimortem blade injury at the centre of the frontal bone</w:t>
            </w:r>
          </w:p>
        </w:tc>
        <w:tc>
          <w:tcPr>
            <w:tcW w:w="900" w:type="dxa"/>
            <w:shd w:val="clear" w:color="auto" w:fill="FFFFFF"/>
            <w:tcMar>
              <w:top w:w="0" w:type="dxa"/>
              <w:left w:w="40" w:type="dxa"/>
              <w:bottom w:w="0" w:type="dxa"/>
              <w:right w:w="40" w:type="dxa"/>
            </w:tcMar>
            <w:vAlign w:val="center"/>
          </w:tcPr>
          <w:p w14:paraId="5D6F5EF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WB12</w:t>
            </w:r>
          </w:p>
        </w:tc>
        <w:tc>
          <w:tcPr>
            <w:tcW w:w="1050" w:type="dxa"/>
            <w:shd w:val="clear" w:color="auto" w:fill="FFFFFF"/>
            <w:tcMar>
              <w:top w:w="0" w:type="dxa"/>
              <w:left w:w="40" w:type="dxa"/>
              <w:bottom w:w="0" w:type="dxa"/>
              <w:right w:w="40" w:type="dxa"/>
            </w:tcMar>
            <w:vAlign w:val="center"/>
          </w:tcPr>
          <w:p w14:paraId="149B85A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D62E93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glued together, reconstruction with textile, wood fragments and paste</w:t>
            </w:r>
          </w:p>
        </w:tc>
      </w:tr>
      <w:tr w:rsidR="000E5EA3" w:rsidRPr="00DA5DAC" w14:paraId="21EFF605" w14:textId="77777777">
        <w:trPr>
          <w:trHeight w:val="300"/>
        </w:trPr>
        <w:tc>
          <w:tcPr>
            <w:tcW w:w="780" w:type="dxa"/>
            <w:shd w:val="clear" w:color="auto" w:fill="FFFFFF"/>
            <w:tcMar>
              <w:top w:w="0" w:type="dxa"/>
              <w:left w:w="40" w:type="dxa"/>
              <w:bottom w:w="0" w:type="dxa"/>
              <w:right w:w="40" w:type="dxa"/>
            </w:tcMar>
            <w:vAlign w:val="center"/>
          </w:tcPr>
          <w:p w14:paraId="7ED43D7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a24 SID 7</w:t>
            </w:r>
          </w:p>
        </w:tc>
        <w:tc>
          <w:tcPr>
            <w:tcW w:w="795" w:type="dxa"/>
            <w:shd w:val="clear" w:color="auto" w:fill="FFFFFF"/>
            <w:tcMar>
              <w:top w:w="0" w:type="dxa"/>
              <w:left w:w="40" w:type="dxa"/>
              <w:bottom w:w="0" w:type="dxa"/>
              <w:right w:w="40" w:type="dxa"/>
            </w:tcMar>
            <w:vAlign w:val="center"/>
          </w:tcPr>
          <w:p w14:paraId="2F466F7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8</w:t>
            </w:r>
          </w:p>
        </w:tc>
        <w:tc>
          <w:tcPr>
            <w:tcW w:w="570" w:type="dxa"/>
            <w:shd w:val="clear" w:color="auto" w:fill="FFFFFF"/>
            <w:tcMar>
              <w:top w:w="0" w:type="dxa"/>
              <w:left w:w="40" w:type="dxa"/>
              <w:bottom w:w="0" w:type="dxa"/>
              <w:right w:w="40" w:type="dxa"/>
            </w:tcMar>
            <w:vAlign w:val="center"/>
          </w:tcPr>
          <w:p w14:paraId="3C2F30D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7970ED8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Frontal and parietal bones</w:t>
            </w:r>
          </w:p>
        </w:tc>
        <w:tc>
          <w:tcPr>
            <w:tcW w:w="1065" w:type="dxa"/>
            <w:tcMar>
              <w:top w:w="0" w:type="dxa"/>
              <w:bottom w:w="0" w:type="dxa"/>
            </w:tcMar>
            <w:vAlign w:val="center"/>
          </w:tcPr>
          <w:p w14:paraId="7C5492C7" w14:textId="77777777" w:rsidR="000E5EA3" w:rsidRPr="00DA5DAC" w:rsidRDefault="00000000" w:rsidP="00DA5DAC">
            <w:pPr>
              <w:spacing w:line="240" w:lineRule="auto"/>
              <w:ind w:left="-141" w:right="-137"/>
              <w:jc w:val="center"/>
              <w:rPr>
                <w:rFonts w:ascii="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tcMar>
              <w:top w:w="0" w:type="dxa"/>
              <w:bottom w:w="0" w:type="dxa"/>
            </w:tcMar>
            <w:vAlign w:val="center"/>
          </w:tcPr>
          <w:p w14:paraId="538FD48D" w14:textId="77777777" w:rsidR="000E5EA3" w:rsidRPr="00DA5DAC" w:rsidRDefault="00000000" w:rsidP="00DA5DAC">
            <w:pPr>
              <w:pStyle w:val="Heading2"/>
              <w:spacing w:before="0" w:after="0" w:line="240" w:lineRule="auto"/>
              <w:jc w:val="center"/>
              <w:rPr>
                <w:rFonts w:ascii="Times New Roman" w:hAnsi="Times New Roman" w:cs="Times New Roman"/>
                <w:sz w:val="16"/>
                <w:szCs w:val="16"/>
              </w:rPr>
            </w:pPr>
            <w:bookmarkStart w:id="24" w:name="_heading=h.c5g4sjq1krko" w:colFirst="0" w:colLast="0"/>
            <w:bookmarkEnd w:id="24"/>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4FDA1397"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5" w:name="_heading=h.nh4r5ugier25" w:colFirst="0" w:colLast="0"/>
            <w:bookmarkEnd w:id="25"/>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7C2E770C"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6" w:name="_heading=h.b50i98wbpegc" w:colFirst="0" w:colLast="0"/>
            <w:bookmarkEnd w:id="26"/>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1D99F67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36918E8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09165DB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WB13</w:t>
            </w:r>
          </w:p>
        </w:tc>
        <w:tc>
          <w:tcPr>
            <w:tcW w:w="1050" w:type="dxa"/>
            <w:shd w:val="clear" w:color="auto" w:fill="FFFFFF"/>
            <w:tcMar>
              <w:top w:w="0" w:type="dxa"/>
              <w:left w:w="40" w:type="dxa"/>
              <w:bottom w:w="0" w:type="dxa"/>
              <w:right w:w="40" w:type="dxa"/>
            </w:tcMar>
            <w:vAlign w:val="center"/>
          </w:tcPr>
          <w:p w14:paraId="3A16DD1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A2BEB5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covered in white glue</w:t>
            </w:r>
          </w:p>
        </w:tc>
      </w:tr>
      <w:tr w:rsidR="000E5EA3" w:rsidRPr="00DA5DAC" w14:paraId="06935201" w14:textId="77777777">
        <w:trPr>
          <w:trHeight w:val="315"/>
        </w:trPr>
        <w:tc>
          <w:tcPr>
            <w:tcW w:w="780" w:type="dxa"/>
            <w:shd w:val="clear" w:color="auto" w:fill="FFFFFF"/>
            <w:tcMar>
              <w:top w:w="0" w:type="dxa"/>
              <w:left w:w="40" w:type="dxa"/>
              <w:bottom w:w="0" w:type="dxa"/>
              <w:right w:w="40" w:type="dxa"/>
            </w:tcMar>
            <w:vAlign w:val="center"/>
          </w:tcPr>
          <w:p w14:paraId="0DBDE50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a24 SID 7</w:t>
            </w:r>
          </w:p>
        </w:tc>
        <w:tc>
          <w:tcPr>
            <w:tcW w:w="795" w:type="dxa"/>
            <w:shd w:val="clear" w:color="auto" w:fill="FFFFFF"/>
            <w:tcMar>
              <w:top w:w="0" w:type="dxa"/>
              <w:left w:w="40" w:type="dxa"/>
              <w:bottom w:w="0" w:type="dxa"/>
              <w:right w:w="40" w:type="dxa"/>
            </w:tcMar>
            <w:vAlign w:val="center"/>
          </w:tcPr>
          <w:p w14:paraId="4906F9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2BAE090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tcMar>
              <w:top w:w="0" w:type="dxa"/>
              <w:bottom w:w="0" w:type="dxa"/>
            </w:tcMar>
            <w:vAlign w:val="center"/>
          </w:tcPr>
          <w:p w14:paraId="4E9C4F64" w14:textId="71F5DA3A"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7" w:name="_heading=h.y5bfnj3ldfq5" w:colFirst="0" w:colLast="0"/>
            <w:bookmarkEnd w:id="27"/>
            <w:r w:rsidRPr="00DA5DAC">
              <w:rPr>
                <w:rFonts w:ascii="Times New Roman" w:eastAsia="Times New Roman" w:hAnsi="Times New Roman" w:cs="Times New Roman"/>
                <w:sz w:val="16"/>
                <w:szCs w:val="16"/>
              </w:rPr>
              <w:t>Small fragments of scapular blade, manubrium, right radius, right ulna, 1st right metacarpal, metacarpal head, two cervical, five thoracic and one lumbar verts, ribs, os coxa, sacrum, left fibula, navicular, right cuboid, one metatarsal, one pedal phalanx</w:t>
            </w:r>
          </w:p>
        </w:tc>
        <w:tc>
          <w:tcPr>
            <w:tcW w:w="1065" w:type="dxa"/>
            <w:shd w:val="clear" w:color="auto" w:fill="FFFFFF"/>
            <w:tcMar>
              <w:top w:w="0" w:type="dxa"/>
              <w:left w:w="40" w:type="dxa"/>
              <w:bottom w:w="0" w:type="dxa"/>
              <w:right w:w="40" w:type="dxa"/>
            </w:tcMar>
            <w:vAlign w:val="center"/>
          </w:tcPr>
          <w:p w14:paraId="5D9E9BF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28D287D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2FB1D13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53B3245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1A85C16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185A1F5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5470C43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WB15 (radius)</w:t>
            </w:r>
          </w:p>
        </w:tc>
        <w:tc>
          <w:tcPr>
            <w:tcW w:w="1050" w:type="dxa"/>
            <w:shd w:val="clear" w:color="auto" w:fill="FFFFFF"/>
            <w:tcMar>
              <w:top w:w="0" w:type="dxa"/>
              <w:left w:w="40" w:type="dxa"/>
              <w:bottom w:w="0" w:type="dxa"/>
              <w:right w:w="40" w:type="dxa"/>
            </w:tcMar>
            <w:vAlign w:val="center"/>
          </w:tcPr>
          <w:p w14:paraId="05243EA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5A839F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42395872" w14:textId="77777777">
        <w:trPr>
          <w:trHeight w:val="525"/>
        </w:trPr>
        <w:tc>
          <w:tcPr>
            <w:tcW w:w="780" w:type="dxa"/>
            <w:shd w:val="clear" w:color="auto" w:fill="FFFFFF"/>
            <w:tcMar>
              <w:top w:w="0" w:type="dxa"/>
              <w:left w:w="40" w:type="dxa"/>
              <w:bottom w:w="0" w:type="dxa"/>
              <w:right w:w="40" w:type="dxa"/>
            </w:tcMar>
            <w:vAlign w:val="center"/>
          </w:tcPr>
          <w:p w14:paraId="5CBDA30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a28 SID 7</w:t>
            </w:r>
          </w:p>
        </w:tc>
        <w:tc>
          <w:tcPr>
            <w:tcW w:w="795" w:type="dxa"/>
            <w:shd w:val="clear" w:color="auto" w:fill="FFFFFF"/>
            <w:tcMar>
              <w:top w:w="0" w:type="dxa"/>
              <w:left w:w="40" w:type="dxa"/>
              <w:bottom w:w="0" w:type="dxa"/>
              <w:right w:w="40" w:type="dxa"/>
            </w:tcMar>
            <w:vAlign w:val="center"/>
          </w:tcPr>
          <w:p w14:paraId="7223A23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7</w:t>
            </w:r>
          </w:p>
        </w:tc>
        <w:tc>
          <w:tcPr>
            <w:tcW w:w="570" w:type="dxa"/>
            <w:shd w:val="clear" w:color="auto" w:fill="FFFFFF"/>
            <w:tcMar>
              <w:top w:w="0" w:type="dxa"/>
              <w:left w:w="40" w:type="dxa"/>
              <w:bottom w:w="0" w:type="dxa"/>
              <w:right w:w="40" w:type="dxa"/>
            </w:tcMar>
            <w:vAlign w:val="center"/>
          </w:tcPr>
          <w:p w14:paraId="5C125EE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47CEF49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Cranial fragments: right temporal, right parietal, left parietal and occipital bones</w:t>
            </w:r>
          </w:p>
        </w:tc>
        <w:tc>
          <w:tcPr>
            <w:tcW w:w="1065" w:type="dxa"/>
            <w:shd w:val="clear" w:color="auto" w:fill="FFFFFF"/>
            <w:tcMar>
              <w:top w:w="0" w:type="dxa"/>
              <w:left w:w="40" w:type="dxa"/>
              <w:bottom w:w="0" w:type="dxa"/>
              <w:right w:w="40" w:type="dxa"/>
            </w:tcMar>
            <w:vAlign w:val="center"/>
          </w:tcPr>
          <w:p w14:paraId="6989512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Probable Male</w:t>
            </w:r>
          </w:p>
        </w:tc>
        <w:tc>
          <w:tcPr>
            <w:tcW w:w="1095" w:type="dxa"/>
            <w:shd w:val="clear" w:color="auto" w:fill="FFFFFF"/>
            <w:tcMar>
              <w:top w:w="0" w:type="dxa"/>
              <w:left w:w="40" w:type="dxa"/>
              <w:bottom w:w="0" w:type="dxa"/>
              <w:right w:w="40" w:type="dxa"/>
            </w:tcMar>
            <w:vAlign w:val="center"/>
          </w:tcPr>
          <w:p w14:paraId="53FBA71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515" w:type="dxa"/>
            <w:tcMar>
              <w:top w:w="0" w:type="dxa"/>
              <w:bottom w:w="0" w:type="dxa"/>
            </w:tcMar>
            <w:vAlign w:val="center"/>
          </w:tcPr>
          <w:p w14:paraId="7845768A"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1BE188E4"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8" w:name="_heading=h.qmswhgvimfoz" w:colFirst="0" w:colLast="0"/>
            <w:bookmarkEnd w:id="28"/>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364D56F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500D134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Possible oblique blade injury at L parietal bone</w:t>
            </w:r>
          </w:p>
        </w:tc>
        <w:tc>
          <w:tcPr>
            <w:tcW w:w="900" w:type="dxa"/>
            <w:shd w:val="clear" w:color="auto" w:fill="FFFFFF"/>
            <w:tcMar>
              <w:top w:w="0" w:type="dxa"/>
              <w:left w:w="40" w:type="dxa"/>
              <w:bottom w:w="0" w:type="dxa"/>
              <w:right w:w="40" w:type="dxa"/>
            </w:tcMar>
            <w:vAlign w:val="center"/>
          </w:tcPr>
          <w:p w14:paraId="20AA29D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WB03</w:t>
            </w:r>
          </w:p>
        </w:tc>
        <w:tc>
          <w:tcPr>
            <w:tcW w:w="1050" w:type="dxa"/>
            <w:shd w:val="clear" w:color="auto" w:fill="FFFFFF"/>
            <w:tcMar>
              <w:top w:w="0" w:type="dxa"/>
              <w:left w:w="40" w:type="dxa"/>
              <w:bottom w:w="0" w:type="dxa"/>
              <w:right w:w="40" w:type="dxa"/>
            </w:tcMar>
            <w:vAlign w:val="center"/>
          </w:tcPr>
          <w:p w14:paraId="3B14182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CEEDA4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Fragments covered in white glue</w:t>
            </w:r>
          </w:p>
        </w:tc>
      </w:tr>
      <w:tr w:rsidR="000E5EA3" w:rsidRPr="00DA5DAC" w14:paraId="671603EB" w14:textId="77777777">
        <w:trPr>
          <w:trHeight w:val="525"/>
        </w:trPr>
        <w:tc>
          <w:tcPr>
            <w:tcW w:w="780" w:type="dxa"/>
            <w:shd w:val="clear" w:color="auto" w:fill="FFFFFF"/>
            <w:tcMar>
              <w:top w:w="0" w:type="dxa"/>
              <w:left w:w="40" w:type="dxa"/>
              <w:bottom w:w="0" w:type="dxa"/>
              <w:right w:w="40" w:type="dxa"/>
            </w:tcMar>
            <w:vAlign w:val="center"/>
          </w:tcPr>
          <w:p w14:paraId="2D02E827"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29" w:name="_heading=h.v967a2ig7ahs" w:colFirst="0" w:colLast="0"/>
            <w:bookmarkEnd w:id="29"/>
            <w:r w:rsidRPr="00DA5DAC">
              <w:rPr>
                <w:rFonts w:ascii="Times New Roman" w:eastAsia="Times New Roman" w:hAnsi="Times New Roman" w:cs="Times New Roman"/>
                <w:sz w:val="16"/>
                <w:szCs w:val="16"/>
              </w:rPr>
              <w:t xml:space="preserve">A30 SID 7 </w:t>
            </w:r>
          </w:p>
        </w:tc>
        <w:tc>
          <w:tcPr>
            <w:tcW w:w="795" w:type="dxa"/>
            <w:shd w:val="clear" w:color="auto" w:fill="FFFFFF"/>
            <w:tcMar>
              <w:top w:w="0" w:type="dxa"/>
              <w:left w:w="40" w:type="dxa"/>
              <w:bottom w:w="0" w:type="dxa"/>
              <w:right w:w="40" w:type="dxa"/>
            </w:tcMar>
            <w:vAlign w:val="center"/>
          </w:tcPr>
          <w:p w14:paraId="6390F8B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4BA3129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4A0D4A4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ilium (R1)</w:t>
            </w:r>
          </w:p>
        </w:tc>
        <w:tc>
          <w:tcPr>
            <w:tcW w:w="1065" w:type="dxa"/>
            <w:tcMar>
              <w:top w:w="0" w:type="dxa"/>
              <w:bottom w:w="0" w:type="dxa"/>
            </w:tcMar>
            <w:vAlign w:val="center"/>
          </w:tcPr>
          <w:p w14:paraId="7AE85A30"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0" w:name="_heading=h.awmi8bsx7jr4" w:colFirst="0" w:colLast="0"/>
            <w:bookmarkEnd w:id="30"/>
            <w:r w:rsidRPr="00DA5DAC">
              <w:rPr>
                <w:rFonts w:ascii="Times New Roman" w:eastAsia="Times New Roman" w:hAnsi="Times New Roman" w:cs="Times New Roman"/>
                <w:sz w:val="16"/>
                <w:szCs w:val="16"/>
              </w:rPr>
              <w:t>Male</w:t>
            </w:r>
          </w:p>
        </w:tc>
        <w:tc>
          <w:tcPr>
            <w:tcW w:w="1095" w:type="dxa"/>
            <w:tcMar>
              <w:top w:w="0" w:type="dxa"/>
              <w:bottom w:w="0" w:type="dxa"/>
            </w:tcMar>
            <w:vAlign w:val="center"/>
          </w:tcPr>
          <w:p w14:paraId="3ED8EB0F"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1" w:name="_heading=h.hbtuj2cb4po7" w:colFirst="0" w:colLast="0"/>
            <w:bookmarkEnd w:id="31"/>
            <w:r w:rsidRPr="00DA5DAC">
              <w:rPr>
                <w:rFonts w:ascii="Times New Roman" w:eastAsia="Times New Roman" w:hAnsi="Times New Roman" w:cs="Times New Roman"/>
                <w:sz w:val="16"/>
                <w:szCs w:val="16"/>
              </w:rPr>
              <w:t>Young adult</w:t>
            </w:r>
          </w:p>
        </w:tc>
        <w:tc>
          <w:tcPr>
            <w:tcW w:w="1515" w:type="dxa"/>
            <w:tcMar>
              <w:top w:w="0" w:type="dxa"/>
              <w:bottom w:w="0" w:type="dxa"/>
            </w:tcMar>
            <w:vAlign w:val="center"/>
          </w:tcPr>
          <w:p w14:paraId="22BE6F7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7EC64FD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18F0D1E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69B06D3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3059E37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03773C7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56A57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5C7353D3" w14:textId="77777777">
        <w:trPr>
          <w:trHeight w:val="525"/>
        </w:trPr>
        <w:tc>
          <w:tcPr>
            <w:tcW w:w="780" w:type="dxa"/>
            <w:shd w:val="clear" w:color="auto" w:fill="FFFFFF"/>
            <w:tcMar>
              <w:top w:w="0" w:type="dxa"/>
              <w:left w:w="40" w:type="dxa"/>
              <w:bottom w:w="0" w:type="dxa"/>
              <w:right w:w="40" w:type="dxa"/>
            </w:tcMar>
            <w:vAlign w:val="center"/>
          </w:tcPr>
          <w:p w14:paraId="52A131BA"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32" w:name="_heading=h.1eujdljjgyoh" w:colFirst="0" w:colLast="0"/>
            <w:bookmarkEnd w:id="32"/>
            <w:r w:rsidRPr="00DA5DAC">
              <w:rPr>
                <w:rFonts w:ascii="Times New Roman" w:eastAsia="Times New Roman" w:hAnsi="Times New Roman" w:cs="Times New Roman"/>
                <w:sz w:val="16"/>
                <w:szCs w:val="16"/>
              </w:rPr>
              <w:t xml:space="preserve">A30 SID 7 </w:t>
            </w:r>
          </w:p>
        </w:tc>
        <w:tc>
          <w:tcPr>
            <w:tcW w:w="795" w:type="dxa"/>
            <w:shd w:val="clear" w:color="auto" w:fill="FFFFFF"/>
            <w:tcMar>
              <w:top w:w="0" w:type="dxa"/>
              <w:left w:w="40" w:type="dxa"/>
              <w:bottom w:w="0" w:type="dxa"/>
              <w:right w:w="40" w:type="dxa"/>
            </w:tcMar>
            <w:vAlign w:val="center"/>
          </w:tcPr>
          <w:p w14:paraId="0CFD80D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7445856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2A1AFE6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ilium and ischium (R2)</w:t>
            </w:r>
          </w:p>
        </w:tc>
        <w:tc>
          <w:tcPr>
            <w:tcW w:w="1065" w:type="dxa"/>
            <w:tcMar>
              <w:top w:w="0" w:type="dxa"/>
              <w:bottom w:w="0" w:type="dxa"/>
            </w:tcMar>
            <w:vAlign w:val="center"/>
          </w:tcPr>
          <w:p w14:paraId="689EB4B8"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3" w:name="_heading=h.a791vh9mzr4e" w:colFirst="0" w:colLast="0"/>
            <w:bookmarkEnd w:id="33"/>
            <w:r w:rsidRPr="00DA5DAC">
              <w:rPr>
                <w:rFonts w:ascii="Times New Roman" w:eastAsia="Times New Roman" w:hAnsi="Times New Roman" w:cs="Times New Roman"/>
                <w:sz w:val="16"/>
                <w:szCs w:val="16"/>
              </w:rPr>
              <w:t>Unobservable</w:t>
            </w:r>
          </w:p>
        </w:tc>
        <w:tc>
          <w:tcPr>
            <w:tcW w:w="1095" w:type="dxa"/>
            <w:tcMar>
              <w:top w:w="0" w:type="dxa"/>
              <w:bottom w:w="0" w:type="dxa"/>
            </w:tcMar>
            <w:vAlign w:val="center"/>
          </w:tcPr>
          <w:p w14:paraId="2B87E7FD"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4" w:name="_heading=h.h44f23vsc5jm" w:colFirst="0" w:colLast="0"/>
            <w:bookmarkEnd w:id="34"/>
            <w:r w:rsidRPr="00DA5DAC">
              <w:rPr>
                <w:rFonts w:ascii="Times New Roman" w:eastAsia="Times New Roman" w:hAnsi="Times New Roman" w:cs="Times New Roman"/>
                <w:sz w:val="16"/>
                <w:szCs w:val="16"/>
              </w:rPr>
              <w:t>Old adult</w:t>
            </w:r>
          </w:p>
        </w:tc>
        <w:tc>
          <w:tcPr>
            <w:tcW w:w="1515" w:type="dxa"/>
            <w:tcMar>
              <w:top w:w="0" w:type="dxa"/>
              <w:bottom w:w="0" w:type="dxa"/>
            </w:tcMar>
            <w:vAlign w:val="center"/>
          </w:tcPr>
          <w:p w14:paraId="17DB930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5DA43D4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Entheseal changes at the ischial tuberosity and at the iliac crest</w:t>
            </w:r>
          </w:p>
        </w:tc>
        <w:tc>
          <w:tcPr>
            <w:tcW w:w="1125" w:type="dxa"/>
            <w:shd w:val="clear" w:color="auto" w:fill="FFFFFF"/>
            <w:tcMar>
              <w:top w:w="0" w:type="dxa"/>
              <w:left w:w="40" w:type="dxa"/>
              <w:bottom w:w="0" w:type="dxa"/>
              <w:right w:w="40" w:type="dxa"/>
            </w:tcMar>
            <w:vAlign w:val="center"/>
          </w:tcPr>
          <w:p w14:paraId="00CF761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31F1BA5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2185F2E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2AC514E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5BE9BF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Considering entheseal changes observed, this fragment may belong with the left ischium and ilium below</w:t>
            </w:r>
          </w:p>
        </w:tc>
      </w:tr>
      <w:tr w:rsidR="000E5EA3" w:rsidRPr="00DA5DAC" w14:paraId="5B5969DB" w14:textId="77777777">
        <w:trPr>
          <w:trHeight w:val="525"/>
        </w:trPr>
        <w:tc>
          <w:tcPr>
            <w:tcW w:w="780" w:type="dxa"/>
            <w:shd w:val="clear" w:color="auto" w:fill="FFFFFF"/>
            <w:tcMar>
              <w:top w:w="0" w:type="dxa"/>
              <w:left w:w="40" w:type="dxa"/>
              <w:bottom w:w="0" w:type="dxa"/>
              <w:right w:w="40" w:type="dxa"/>
            </w:tcMar>
            <w:vAlign w:val="center"/>
          </w:tcPr>
          <w:p w14:paraId="4F63A124"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35" w:name="_heading=h.36oynaq6oezu" w:colFirst="0" w:colLast="0"/>
            <w:bookmarkEnd w:id="35"/>
            <w:r w:rsidRPr="00DA5DAC">
              <w:rPr>
                <w:rFonts w:ascii="Times New Roman" w:eastAsia="Times New Roman" w:hAnsi="Times New Roman" w:cs="Times New Roman"/>
                <w:sz w:val="16"/>
                <w:szCs w:val="16"/>
              </w:rPr>
              <w:t xml:space="preserve">A30 SID 7 </w:t>
            </w:r>
          </w:p>
        </w:tc>
        <w:tc>
          <w:tcPr>
            <w:tcW w:w="795" w:type="dxa"/>
            <w:shd w:val="clear" w:color="auto" w:fill="FFFFFF"/>
            <w:tcMar>
              <w:top w:w="0" w:type="dxa"/>
              <w:left w:w="40" w:type="dxa"/>
              <w:bottom w:w="0" w:type="dxa"/>
              <w:right w:w="40" w:type="dxa"/>
            </w:tcMar>
            <w:vAlign w:val="center"/>
          </w:tcPr>
          <w:p w14:paraId="3C29B39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26DBE66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5D22AD8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Left ilium and ischium</w:t>
            </w:r>
          </w:p>
        </w:tc>
        <w:tc>
          <w:tcPr>
            <w:tcW w:w="1065" w:type="dxa"/>
            <w:tcMar>
              <w:top w:w="0" w:type="dxa"/>
              <w:bottom w:w="0" w:type="dxa"/>
            </w:tcMar>
            <w:vAlign w:val="center"/>
          </w:tcPr>
          <w:p w14:paraId="1667B8B0"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tcMar>
              <w:top w:w="0" w:type="dxa"/>
              <w:bottom w:w="0" w:type="dxa"/>
            </w:tcMar>
            <w:vAlign w:val="center"/>
          </w:tcPr>
          <w:p w14:paraId="2424E499"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Old adult</w:t>
            </w:r>
          </w:p>
        </w:tc>
        <w:tc>
          <w:tcPr>
            <w:tcW w:w="1515" w:type="dxa"/>
            <w:tcMar>
              <w:top w:w="0" w:type="dxa"/>
              <w:bottom w:w="0" w:type="dxa"/>
            </w:tcMar>
            <w:vAlign w:val="center"/>
          </w:tcPr>
          <w:p w14:paraId="36627E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7BAD010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Entheseal changes at the ischial tuberosity and at the iliac crest</w:t>
            </w:r>
          </w:p>
        </w:tc>
        <w:tc>
          <w:tcPr>
            <w:tcW w:w="1125" w:type="dxa"/>
            <w:shd w:val="clear" w:color="auto" w:fill="FFFFFF"/>
            <w:tcMar>
              <w:top w:w="0" w:type="dxa"/>
              <w:left w:w="40" w:type="dxa"/>
              <w:bottom w:w="0" w:type="dxa"/>
              <w:right w:w="40" w:type="dxa"/>
            </w:tcMar>
            <w:vAlign w:val="center"/>
          </w:tcPr>
          <w:p w14:paraId="370E223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344397B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2020D58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26AC416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tcBorders>
              <w:top w:val="single" w:sz="6" w:space="0" w:color="CCCCCC"/>
              <w:right w:val="single" w:sz="6" w:space="0" w:color="000000"/>
            </w:tcBorders>
            <w:shd w:val="clear" w:color="auto" w:fill="FFFFFF"/>
            <w:tcMar>
              <w:top w:w="0" w:type="dxa"/>
              <w:left w:w="40" w:type="dxa"/>
              <w:bottom w:w="0" w:type="dxa"/>
              <w:right w:w="40" w:type="dxa"/>
            </w:tcMar>
            <w:vAlign w:val="center"/>
          </w:tcPr>
          <w:p w14:paraId="39570B4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Considering entheseal changes observed, this fragment may belong with the right ischium and ilium above</w:t>
            </w:r>
          </w:p>
        </w:tc>
      </w:tr>
      <w:tr w:rsidR="000E5EA3" w:rsidRPr="00DA5DAC" w14:paraId="26219CA5" w14:textId="77777777">
        <w:trPr>
          <w:trHeight w:val="525"/>
        </w:trPr>
        <w:tc>
          <w:tcPr>
            <w:tcW w:w="780" w:type="dxa"/>
            <w:tcBorders>
              <w:left w:val="single" w:sz="6" w:space="0" w:color="000000"/>
              <w:bottom w:val="single" w:sz="6" w:space="0" w:color="000000"/>
            </w:tcBorders>
            <w:shd w:val="clear" w:color="auto" w:fill="FFFFFF"/>
            <w:tcMar>
              <w:top w:w="0" w:type="dxa"/>
              <w:left w:w="40" w:type="dxa"/>
              <w:bottom w:w="0" w:type="dxa"/>
              <w:right w:w="40" w:type="dxa"/>
            </w:tcMar>
            <w:vAlign w:val="center"/>
          </w:tcPr>
          <w:p w14:paraId="103ECB15"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36" w:name="_heading=h.vt3rqoagxe9r" w:colFirst="0" w:colLast="0"/>
            <w:bookmarkEnd w:id="36"/>
            <w:r w:rsidRPr="00DA5DAC">
              <w:rPr>
                <w:rFonts w:ascii="Times New Roman" w:eastAsia="Times New Roman" w:hAnsi="Times New Roman" w:cs="Times New Roman"/>
                <w:sz w:val="16"/>
                <w:szCs w:val="16"/>
              </w:rPr>
              <w:t xml:space="preserve">A30 SID 7 </w:t>
            </w:r>
          </w:p>
        </w:tc>
        <w:tc>
          <w:tcPr>
            <w:tcW w:w="795" w:type="dxa"/>
            <w:shd w:val="clear" w:color="auto" w:fill="FFFFFF"/>
            <w:tcMar>
              <w:top w:w="0" w:type="dxa"/>
              <w:left w:w="40" w:type="dxa"/>
              <w:bottom w:w="0" w:type="dxa"/>
              <w:right w:w="40" w:type="dxa"/>
            </w:tcMar>
            <w:vAlign w:val="center"/>
          </w:tcPr>
          <w:p w14:paraId="540193E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5B941C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5C1EBF32"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37" w:name="_heading=h.qz1r3gha4628" w:colFirst="0" w:colLast="0"/>
            <w:bookmarkEnd w:id="37"/>
            <w:r w:rsidRPr="00DA5DAC">
              <w:rPr>
                <w:rFonts w:ascii="Times New Roman" w:eastAsia="Times New Roman" w:hAnsi="Times New Roman" w:cs="Times New Roman"/>
                <w:sz w:val="16"/>
                <w:szCs w:val="16"/>
              </w:rPr>
              <w:t>1st sacral vertebra, right acromion, right 2nd metacarpal</w:t>
            </w:r>
          </w:p>
        </w:tc>
        <w:tc>
          <w:tcPr>
            <w:tcW w:w="1065" w:type="dxa"/>
            <w:tcMar>
              <w:top w:w="0" w:type="dxa"/>
              <w:bottom w:w="0" w:type="dxa"/>
            </w:tcMar>
            <w:vAlign w:val="center"/>
          </w:tcPr>
          <w:p w14:paraId="2299C0C6"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8" w:name="_heading=h.fvud6rdz69r" w:colFirst="0" w:colLast="0"/>
            <w:bookmarkEnd w:id="38"/>
            <w:r w:rsidRPr="00DA5DAC">
              <w:rPr>
                <w:rFonts w:ascii="Times New Roman" w:eastAsia="Times New Roman" w:hAnsi="Times New Roman" w:cs="Times New Roman"/>
                <w:sz w:val="16"/>
                <w:szCs w:val="16"/>
              </w:rPr>
              <w:t>Unobserbable</w:t>
            </w:r>
          </w:p>
        </w:tc>
        <w:tc>
          <w:tcPr>
            <w:tcW w:w="1095" w:type="dxa"/>
            <w:tcMar>
              <w:top w:w="0" w:type="dxa"/>
              <w:bottom w:w="0" w:type="dxa"/>
            </w:tcMar>
            <w:vAlign w:val="center"/>
          </w:tcPr>
          <w:p w14:paraId="7F853D13" w14:textId="77777777" w:rsidR="000E5EA3" w:rsidRPr="00DA5DAC" w:rsidRDefault="00000000" w:rsidP="00DA5DAC">
            <w:pPr>
              <w:pStyle w:val="Heading2"/>
              <w:spacing w:before="0" w:after="0" w:line="240" w:lineRule="auto"/>
              <w:ind w:left="-141" w:right="-137"/>
              <w:jc w:val="center"/>
              <w:rPr>
                <w:rFonts w:ascii="Times New Roman" w:eastAsia="Times New Roman" w:hAnsi="Times New Roman" w:cs="Times New Roman"/>
                <w:sz w:val="16"/>
                <w:szCs w:val="16"/>
              </w:rPr>
            </w:pPr>
            <w:bookmarkStart w:id="39" w:name="_heading=h.1oopwekrlm2q" w:colFirst="0" w:colLast="0"/>
            <w:bookmarkEnd w:id="39"/>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3584F73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490DCA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311428E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6D72F0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6D89E7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5E78D69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5CCC568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505CBD53" w14:textId="77777777">
        <w:trPr>
          <w:trHeight w:val="52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7283209C"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0" w:name="_heading=h.zra3g3mnt5" w:colFirst="0" w:colLast="0"/>
            <w:bookmarkEnd w:id="40"/>
            <w:r w:rsidRPr="00DA5DAC">
              <w:rPr>
                <w:rFonts w:ascii="Times New Roman" w:eastAsia="Times New Roman" w:hAnsi="Times New Roman" w:cs="Times New Roman"/>
                <w:sz w:val="16"/>
                <w:szCs w:val="16"/>
              </w:rPr>
              <w:t>A 33 - Cranium III - ARCHtemp49</w:t>
            </w:r>
          </w:p>
        </w:tc>
        <w:tc>
          <w:tcPr>
            <w:tcW w:w="795" w:type="dxa"/>
            <w:shd w:val="clear" w:color="auto" w:fill="FFFFFF"/>
            <w:tcMar>
              <w:top w:w="0" w:type="dxa"/>
              <w:left w:w="40" w:type="dxa"/>
              <w:bottom w:w="0" w:type="dxa"/>
              <w:right w:w="40" w:type="dxa"/>
            </w:tcMar>
            <w:vAlign w:val="center"/>
          </w:tcPr>
          <w:p w14:paraId="2B86E32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3 (III)</w:t>
            </w:r>
          </w:p>
        </w:tc>
        <w:tc>
          <w:tcPr>
            <w:tcW w:w="570" w:type="dxa"/>
            <w:shd w:val="clear" w:color="auto" w:fill="FFFFFF"/>
            <w:tcMar>
              <w:top w:w="0" w:type="dxa"/>
              <w:left w:w="40" w:type="dxa"/>
              <w:bottom w:w="0" w:type="dxa"/>
              <w:right w:w="40" w:type="dxa"/>
            </w:tcMar>
            <w:vAlign w:val="center"/>
          </w:tcPr>
          <w:p w14:paraId="70C4366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32676628"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1" w:name="_heading=h.c51t9kbzsohd" w:colFirst="0" w:colLast="0"/>
            <w:bookmarkEnd w:id="41"/>
            <w:r w:rsidRPr="00DA5DAC">
              <w:rPr>
                <w:rFonts w:ascii="Times New Roman" w:eastAsia="Times New Roman" w:hAnsi="Times New Roman" w:cs="Times New Roman"/>
                <w:sz w:val="16"/>
                <w:szCs w:val="16"/>
              </w:rPr>
              <w:t>Cranium, mandible and maxilla</w:t>
            </w:r>
          </w:p>
        </w:tc>
        <w:tc>
          <w:tcPr>
            <w:tcW w:w="1065" w:type="dxa"/>
            <w:shd w:val="clear" w:color="auto" w:fill="FFFFFF"/>
            <w:tcMar>
              <w:top w:w="0" w:type="dxa"/>
              <w:left w:w="40" w:type="dxa"/>
              <w:bottom w:w="0" w:type="dxa"/>
              <w:right w:w="40" w:type="dxa"/>
            </w:tcMar>
            <w:vAlign w:val="center"/>
          </w:tcPr>
          <w:p w14:paraId="43C6DF7A"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2" w:name="_heading=h.5y7mv3vtmvwu" w:colFirst="0" w:colLast="0"/>
            <w:bookmarkEnd w:id="42"/>
            <w:r w:rsidRPr="00DA5DAC">
              <w:rPr>
                <w:rFonts w:ascii="Times New Roman" w:eastAsia="Times New Roman" w:hAnsi="Times New Roman" w:cs="Times New Roman"/>
                <w:sz w:val="16"/>
                <w:szCs w:val="16"/>
              </w:rPr>
              <w:t>see comments</w:t>
            </w:r>
          </w:p>
        </w:tc>
        <w:tc>
          <w:tcPr>
            <w:tcW w:w="1095" w:type="dxa"/>
            <w:shd w:val="clear" w:color="auto" w:fill="FFFFFF"/>
            <w:tcMar>
              <w:top w:w="0" w:type="dxa"/>
              <w:left w:w="40" w:type="dxa"/>
              <w:bottom w:w="0" w:type="dxa"/>
              <w:right w:w="40" w:type="dxa"/>
            </w:tcMar>
            <w:vAlign w:val="center"/>
          </w:tcPr>
          <w:p w14:paraId="3F782815" w14:textId="4AAC1806"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3" w:name="_heading=h.2edu128j9x3u" w:colFirst="0" w:colLast="0"/>
            <w:bookmarkEnd w:id="43"/>
            <w:r w:rsidRPr="00DA5DAC">
              <w:rPr>
                <w:rFonts w:ascii="Times New Roman" w:eastAsia="Times New Roman" w:hAnsi="Times New Roman" w:cs="Times New Roman"/>
                <w:sz w:val="16"/>
                <w:szCs w:val="16"/>
              </w:rPr>
              <w:t>35</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45 years </w:t>
            </w:r>
          </w:p>
        </w:tc>
        <w:tc>
          <w:tcPr>
            <w:tcW w:w="1515" w:type="dxa"/>
            <w:shd w:val="clear" w:color="auto" w:fill="FFFFFF"/>
            <w:tcMar>
              <w:top w:w="0" w:type="dxa"/>
              <w:left w:w="40" w:type="dxa"/>
              <w:bottom w:w="0" w:type="dxa"/>
              <w:right w:w="40" w:type="dxa"/>
            </w:tcMar>
            <w:vAlign w:val="center"/>
          </w:tcPr>
          <w:p w14:paraId="7FA6828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Bilateral parietal foramina, bilateral supraorbital notches</w:t>
            </w:r>
          </w:p>
        </w:tc>
        <w:tc>
          <w:tcPr>
            <w:tcW w:w="1515" w:type="dxa"/>
            <w:shd w:val="clear" w:color="auto" w:fill="FFFFFF"/>
            <w:tcMar>
              <w:top w:w="0" w:type="dxa"/>
              <w:left w:w="40" w:type="dxa"/>
              <w:bottom w:w="0" w:type="dxa"/>
              <w:right w:w="40" w:type="dxa"/>
            </w:tcMar>
            <w:vAlign w:val="center"/>
          </w:tcPr>
          <w:p w14:paraId="31EA20CD" w14:textId="5B3BE710"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Button osteoma, carious lesion in URM1 (mesial crown); compact, porous new bone at maxillary palatine process</w:t>
            </w:r>
          </w:p>
        </w:tc>
        <w:tc>
          <w:tcPr>
            <w:tcW w:w="1125" w:type="dxa"/>
            <w:shd w:val="clear" w:color="auto" w:fill="FFFFFF"/>
            <w:tcMar>
              <w:top w:w="0" w:type="dxa"/>
              <w:left w:w="40" w:type="dxa"/>
              <w:bottom w:w="0" w:type="dxa"/>
              <w:right w:w="40" w:type="dxa"/>
            </w:tcMar>
            <w:vAlign w:val="center"/>
          </w:tcPr>
          <w:p w14:paraId="7DF9354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5C7EF38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0D52A95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WB19</w:t>
            </w:r>
          </w:p>
        </w:tc>
        <w:tc>
          <w:tcPr>
            <w:tcW w:w="1050" w:type="dxa"/>
            <w:shd w:val="clear" w:color="auto" w:fill="FFFFFF"/>
            <w:tcMar>
              <w:top w:w="0" w:type="dxa"/>
              <w:left w:w="40" w:type="dxa"/>
              <w:bottom w:w="0" w:type="dxa"/>
              <w:right w:w="40" w:type="dxa"/>
            </w:tcMar>
            <w:vAlign w:val="center"/>
          </w:tcPr>
          <w:p w14:paraId="37363F46" w14:textId="77777777" w:rsidR="000E5EA3" w:rsidRPr="00DA5DAC" w:rsidRDefault="000E5EA3" w:rsidP="00DA5DAC">
            <w:pPr>
              <w:spacing w:line="240" w:lineRule="auto"/>
              <w:rPr>
                <w:rFonts w:ascii="Times New Roman" w:eastAsia="Times New Roman" w:hAnsi="Times New Roman" w:cs="Times New Roman"/>
                <w:sz w:val="16"/>
                <w:szCs w:val="16"/>
              </w:rPr>
            </w:pPr>
          </w:p>
        </w:tc>
        <w:tc>
          <w:tcPr>
            <w:tcW w:w="2280" w:type="dxa"/>
            <w:shd w:val="clear" w:color="auto" w:fill="FFFFFF"/>
            <w:tcMar>
              <w:top w:w="0" w:type="dxa"/>
              <w:left w:w="40" w:type="dxa"/>
              <w:bottom w:w="0" w:type="dxa"/>
              <w:right w:w="40" w:type="dxa"/>
            </w:tcMar>
            <w:vAlign w:val="center"/>
          </w:tcPr>
          <w:p w14:paraId="372638C5" w14:textId="2F6A60E4"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At the time of isotope sampling, cranium No.</w:t>
            </w:r>
            <w:r w:rsidR="00DA5DAC">
              <w:rPr>
                <w:rFonts w:ascii="Times New Roman" w:eastAsia="Times New Roman" w:hAnsi="Times New Roman" w:cs="Times New Roman"/>
                <w:sz w:val="16"/>
                <w:szCs w:val="16"/>
              </w:rPr>
              <w:t xml:space="preserve"> </w:t>
            </w:r>
            <w:r w:rsidRPr="00DA5DAC">
              <w:rPr>
                <w:rFonts w:ascii="Times New Roman" w:eastAsia="Times New Roman" w:hAnsi="Times New Roman" w:cs="Times New Roman"/>
                <w:sz w:val="16"/>
                <w:szCs w:val="16"/>
              </w:rPr>
              <w:t xml:space="preserve">3 (MacAlister number, III) was in a box with a maxilla and mandible. The box was labelled ARCHTemp51, but the maxilla had A.681 written on it, and the cranium had ARCHTemp49 written on it. The bones do not appear to match one </w:t>
            </w:r>
            <w:r w:rsidRPr="00DA5DAC">
              <w:rPr>
                <w:rFonts w:ascii="Times New Roman" w:eastAsia="Times New Roman" w:hAnsi="Times New Roman" w:cs="Times New Roman"/>
                <w:sz w:val="16"/>
                <w:szCs w:val="16"/>
              </w:rPr>
              <w:lastRenderedPageBreak/>
              <w:t>another in robusticity or dental occlusion. There has been a mix-up at some point since excavation.</w:t>
            </w:r>
          </w:p>
        </w:tc>
      </w:tr>
      <w:tr w:rsidR="000E5EA3" w:rsidRPr="00DA5DAC" w14:paraId="09019C23" w14:textId="77777777">
        <w:trPr>
          <w:trHeight w:val="79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10D7F8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a70 SID 11</w:t>
            </w:r>
          </w:p>
        </w:tc>
        <w:tc>
          <w:tcPr>
            <w:tcW w:w="795" w:type="dxa"/>
            <w:shd w:val="clear" w:color="auto" w:fill="FFFFFF"/>
            <w:tcMar>
              <w:top w:w="0" w:type="dxa"/>
              <w:left w:w="40" w:type="dxa"/>
              <w:bottom w:w="0" w:type="dxa"/>
              <w:right w:w="40" w:type="dxa"/>
            </w:tcMar>
            <w:vAlign w:val="center"/>
          </w:tcPr>
          <w:p w14:paraId="485B02E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12</w:t>
            </w:r>
          </w:p>
        </w:tc>
        <w:tc>
          <w:tcPr>
            <w:tcW w:w="570" w:type="dxa"/>
            <w:shd w:val="clear" w:color="auto" w:fill="FFFFFF"/>
            <w:tcMar>
              <w:top w:w="0" w:type="dxa"/>
              <w:left w:w="40" w:type="dxa"/>
              <w:bottom w:w="0" w:type="dxa"/>
              <w:right w:w="40" w:type="dxa"/>
            </w:tcMar>
            <w:vAlign w:val="center"/>
          </w:tcPr>
          <w:p w14:paraId="668AD0A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9 ind. 1?</w:t>
            </w:r>
          </w:p>
        </w:tc>
        <w:tc>
          <w:tcPr>
            <w:tcW w:w="1860" w:type="dxa"/>
            <w:shd w:val="clear" w:color="auto" w:fill="FFFFFF"/>
            <w:tcMar>
              <w:top w:w="0" w:type="dxa"/>
              <w:left w:w="40" w:type="dxa"/>
              <w:bottom w:w="0" w:type="dxa"/>
              <w:right w:w="40" w:type="dxa"/>
            </w:tcMar>
            <w:vAlign w:val="center"/>
          </w:tcPr>
          <w:p w14:paraId="767358C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humerus</w:t>
            </w:r>
          </w:p>
        </w:tc>
        <w:tc>
          <w:tcPr>
            <w:tcW w:w="1065" w:type="dxa"/>
            <w:shd w:val="clear" w:color="auto" w:fill="FFFFFF"/>
            <w:tcMar>
              <w:top w:w="0" w:type="dxa"/>
              <w:left w:w="40" w:type="dxa"/>
              <w:bottom w:w="0" w:type="dxa"/>
              <w:right w:w="40" w:type="dxa"/>
            </w:tcMar>
            <w:vAlign w:val="center"/>
          </w:tcPr>
          <w:p w14:paraId="4220C5E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7E54BDA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13FD8DB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013330C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23E20C3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31FB8B5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1A1DB3D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WB11</w:t>
            </w:r>
          </w:p>
        </w:tc>
        <w:tc>
          <w:tcPr>
            <w:tcW w:w="1050" w:type="dxa"/>
            <w:shd w:val="clear" w:color="auto" w:fill="FFFFFF"/>
            <w:tcMar>
              <w:top w:w="0" w:type="dxa"/>
              <w:left w:w="40" w:type="dxa"/>
              <w:bottom w:w="0" w:type="dxa"/>
              <w:right w:w="40" w:type="dxa"/>
            </w:tcMar>
            <w:vAlign w:val="center"/>
          </w:tcPr>
          <w:p w14:paraId="0089A49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3B7B6C9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5E33CD50" w14:textId="77777777">
        <w:trPr>
          <w:trHeight w:val="31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1DCFA5B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a71 SID 11</w:t>
            </w:r>
          </w:p>
        </w:tc>
        <w:tc>
          <w:tcPr>
            <w:tcW w:w="795" w:type="dxa"/>
            <w:shd w:val="clear" w:color="auto" w:fill="FFFFFF"/>
            <w:tcMar>
              <w:top w:w="0" w:type="dxa"/>
              <w:left w:w="40" w:type="dxa"/>
              <w:bottom w:w="0" w:type="dxa"/>
              <w:right w:w="40" w:type="dxa"/>
            </w:tcMar>
            <w:vAlign w:val="center"/>
          </w:tcPr>
          <w:p w14:paraId="4214028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14B24B6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1703EED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Small fragments: axis, right clavicle, humeri, right ulna, right radius (2), left femur, right femur (2), unsided tibia</w:t>
            </w:r>
          </w:p>
        </w:tc>
        <w:tc>
          <w:tcPr>
            <w:tcW w:w="1065" w:type="dxa"/>
            <w:shd w:val="clear" w:color="auto" w:fill="FFFFFF"/>
            <w:tcMar>
              <w:top w:w="0" w:type="dxa"/>
              <w:left w:w="40" w:type="dxa"/>
              <w:bottom w:w="0" w:type="dxa"/>
              <w:right w:w="40" w:type="dxa"/>
            </w:tcMar>
            <w:vAlign w:val="center"/>
          </w:tcPr>
          <w:p w14:paraId="0CEE4C9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2CFD870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Probably adult</w:t>
            </w:r>
          </w:p>
        </w:tc>
        <w:tc>
          <w:tcPr>
            <w:tcW w:w="1515" w:type="dxa"/>
            <w:tcMar>
              <w:top w:w="0" w:type="dxa"/>
              <w:bottom w:w="0" w:type="dxa"/>
            </w:tcMar>
            <w:vAlign w:val="center"/>
          </w:tcPr>
          <w:p w14:paraId="15315A7B"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2168D2BD"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44" w:name="_heading=h.50v35q4fiq11" w:colFirst="0" w:colLast="0"/>
            <w:bookmarkEnd w:id="44"/>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4D695D06" w14:textId="77777777" w:rsidR="000E5EA3" w:rsidRPr="00DA5DAC" w:rsidRDefault="00000000" w:rsidP="00DA5DAC">
            <w:pPr>
              <w:pStyle w:val="Heading2"/>
              <w:spacing w:before="0" w:after="0" w:line="240" w:lineRule="auto"/>
              <w:jc w:val="center"/>
              <w:rPr>
                <w:rFonts w:ascii="Times New Roman" w:eastAsia="Times New Roman" w:hAnsi="Times New Roman" w:cs="Times New Roman"/>
                <w:sz w:val="16"/>
                <w:szCs w:val="16"/>
              </w:rPr>
            </w:pPr>
            <w:bookmarkStart w:id="45" w:name="_heading=h.i4hf8b4ztonj" w:colFirst="0" w:colLast="0"/>
            <w:bookmarkEnd w:id="45"/>
            <w:r w:rsidRPr="00DA5DAC">
              <w:rPr>
                <w:rFonts w:ascii="Times New Roman" w:eastAsia="Times New Roman" w:hAnsi="Times New Roman" w:cs="Times New Roman"/>
                <w:sz w:val="16"/>
                <w:szCs w:val="16"/>
              </w:rPr>
              <w:t>Not assessable</w:t>
            </w:r>
          </w:p>
        </w:tc>
        <w:tc>
          <w:tcPr>
            <w:tcW w:w="1290" w:type="dxa"/>
            <w:shd w:val="clear" w:color="auto" w:fill="FFFFFF"/>
            <w:tcMar>
              <w:top w:w="0" w:type="dxa"/>
              <w:left w:w="40" w:type="dxa"/>
              <w:bottom w:w="0" w:type="dxa"/>
              <w:right w:w="40" w:type="dxa"/>
            </w:tcMar>
            <w:vAlign w:val="center"/>
          </w:tcPr>
          <w:p w14:paraId="5E228A2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6E1A748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WB26 (humerus)</w:t>
            </w:r>
          </w:p>
        </w:tc>
        <w:tc>
          <w:tcPr>
            <w:tcW w:w="1050" w:type="dxa"/>
            <w:shd w:val="clear" w:color="auto" w:fill="FFFFFF"/>
            <w:tcMar>
              <w:top w:w="0" w:type="dxa"/>
              <w:left w:w="40" w:type="dxa"/>
              <w:bottom w:w="0" w:type="dxa"/>
              <w:right w:w="40" w:type="dxa"/>
            </w:tcMar>
            <w:vAlign w:val="center"/>
          </w:tcPr>
          <w:p w14:paraId="07F6072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047D83B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Very poor cortical preservation</w:t>
            </w:r>
          </w:p>
        </w:tc>
      </w:tr>
      <w:tr w:rsidR="000E5EA3" w:rsidRPr="00DA5DAC" w14:paraId="5E620606" w14:textId="77777777">
        <w:trPr>
          <w:trHeight w:val="31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045866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a72 SID 11</w:t>
            </w:r>
          </w:p>
        </w:tc>
        <w:tc>
          <w:tcPr>
            <w:tcW w:w="795" w:type="dxa"/>
            <w:shd w:val="clear" w:color="auto" w:fill="FFFFFF"/>
            <w:tcMar>
              <w:top w:w="0" w:type="dxa"/>
              <w:left w:w="40" w:type="dxa"/>
              <w:bottom w:w="0" w:type="dxa"/>
              <w:right w:w="40" w:type="dxa"/>
            </w:tcMar>
            <w:vAlign w:val="center"/>
          </w:tcPr>
          <w:p w14:paraId="4E56BC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10</w:t>
            </w:r>
          </w:p>
        </w:tc>
        <w:tc>
          <w:tcPr>
            <w:tcW w:w="570" w:type="dxa"/>
            <w:shd w:val="clear" w:color="auto" w:fill="FFFFFF"/>
            <w:tcMar>
              <w:top w:w="0" w:type="dxa"/>
              <w:left w:w="40" w:type="dxa"/>
              <w:bottom w:w="0" w:type="dxa"/>
              <w:right w:w="40" w:type="dxa"/>
            </w:tcMar>
            <w:vAlign w:val="center"/>
          </w:tcPr>
          <w:p w14:paraId="707917A9"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1860" w:type="dxa"/>
            <w:shd w:val="clear" w:color="auto" w:fill="FFFFFF"/>
            <w:tcMar>
              <w:top w:w="0" w:type="dxa"/>
              <w:left w:w="40" w:type="dxa"/>
              <w:bottom w:w="0" w:type="dxa"/>
              <w:right w:w="40" w:type="dxa"/>
            </w:tcMar>
            <w:vAlign w:val="center"/>
          </w:tcPr>
          <w:p w14:paraId="708D9F8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femur</w:t>
            </w:r>
          </w:p>
        </w:tc>
        <w:tc>
          <w:tcPr>
            <w:tcW w:w="1065" w:type="dxa"/>
            <w:shd w:val="clear" w:color="auto" w:fill="FFFFFF"/>
            <w:tcMar>
              <w:top w:w="0" w:type="dxa"/>
              <w:left w:w="40" w:type="dxa"/>
              <w:bottom w:w="0" w:type="dxa"/>
              <w:right w:w="40" w:type="dxa"/>
            </w:tcMar>
            <w:vAlign w:val="center"/>
          </w:tcPr>
          <w:p w14:paraId="042E2F4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7AD774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368C13B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36DCB95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4CBEBCA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4C585D8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7508345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WB09</w:t>
            </w:r>
          </w:p>
        </w:tc>
        <w:tc>
          <w:tcPr>
            <w:tcW w:w="1050" w:type="dxa"/>
            <w:shd w:val="clear" w:color="auto" w:fill="FFFFFF"/>
            <w:tcMar>
              <w:top w:w="0" w:type="dxa"/>
              <w:left w:w="40" w:type="dxa"/>
              <w:bottom w:w="0" w:type="dxa"/>
              <w:right w:w="40" w:type="dxa"/>
            </w:tcMar>
            <w:vAlign w:val="center"/>
          </w:tcPr>
          <w:p w14:paraId="56CBFD7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6AC68ED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13B511F5" w14:textId="77777777">
        <w:trPr>
          <w:trHeight w:val="795"/>
        </w:trPr>
        <w:tc>
          <w:tcPr>
            <w:tcW w:w="780" w:type="dxa"/>
            <w:tcBorders>
              <w:top w:val="single" w:sz="6" w:space="0" w:color="CCCCCC"/>
              <w:left w:val="single" w:sz="6" w:space="0" w:color="000000"/>
              <w:bottom w:val="single" w:sz="6" w:space="0" w:color="000000"/>
            </w:tcBorders>
            <w:shd w:val="clear" w:color="auto" w:fill="FFFFFF"/>
            <w:tcMar>
              <w:top w:w="0" w:type="dxa"/>
              <w:left w:w="40" w:type="dxa"/>
              <w:bottom w:w="0" w:type="dxa"/>
              <w:right w:w="40" w:type="dxa"/>
            </w:tcMar>
            <w:vAlign w:val="center"/>
          </w:tcPr>
          <w:p w14:paraId="718DF80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a73 SID 11</w:t>
            </w:r>
          </w:p>
        </w:tc>
        <w:tc>
          <w:tcPr>
            <w:tcW w:w="795" w:type="dxa"/>
            <w:shd w:val="clear" w:color="auto" w:fill="FFFFFF"/>
            <w:tcMar>
              <w:top w:w="0" w:type="dxa"/>
              <w:left w:w="40" w:type="dxa"/>
              <w:bottom w:w="0" w:type="dxa"/>
              <w:right w:w="40" w:type="dxa"/>
            </w:tcMar>
            <w:vAlign w:val="center"/>
          </w:tcPr>
          <w:p w14:paraId="6E72362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2E948D2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13F7C4F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femur head and posterior 1/2 of neck</w:t>
            </w:r>
          </w:p>
        </w:tc>
        <w:tc>
          <w:tcPr>
            <w:tcW w:w="1065" w:type="dxa"/>
            <w:shd w:val="clear" w:color="auto" w:fill="FFFFFF"/>
            <w:tcMar>
              <w:top w:w="0" w:type="dxa"/>
              <w:left w:w="40" w:type="dxa"/>
              <w:bottom w:w="0" w:type="dxa"/>
              <w:right w:w="40" w:type="dxa"/>
            </w:tcMar>
            <w:vAlign w:val="center"/>
          </w:tcPr>
          <w:p w14:paraId="234B3F1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18C06AF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28D53BA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175D99E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7CE5396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00D74CF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5EB0EDB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050" w:type="dxa"/>
            <w:shd w:val="clear" w:color="auto" w:fill="FFFFFF"/>
            <w:tcMar>
              <w:top w:w="0" w:type="dxa"/>
              <w:left w:w="40" w:type="dxa"/>
              <w:bottom w:w="0" w:type="dxa"/>
              <w:right w:w="40" w:type="dxa"/>
            </w:tcMar>
            <w:vAlign w:val="center"/>
          </w:tcPr>
          <w:p w14:paraId="449C1F4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3467F880" w14:textId="356CF11B"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There has been an archive mix-up of this bone - paperwork in the box indicates that this is MacAlister's bone No.</w:t>
            </w:r>
            <w:r w:rsidR="00DA5DAC">
              <w:rPr>
                <w:rFonts w:ascii="Times New Roman" w:eastAsia="Times New Roman" w:hAnsi="Times New Roman" w:cs="Times New Roman"/>
                <w:sz w:val="16"/>
                <w:szCs w:val="16"/>
              </w:rPr>
              <w:t xml:space="preserve"> </w:t>
            </w:r>
            <w:r w:rsidRPr="00DA5DAC">
              <w:rPr>
                <w:rFonts w:ascii="Times New Roman" w:eastAsia="Times New Roman" w:hAnsi="Times New Roman" w:cs="Times New Roman"/>
                <w:sz w:val="16"/>
                <w:szCs w:val="16"/>
              </w:rPr>
              <w:t>9, the large cut-marked femur, however, that description does not match this bone.</w:t>
            </w:r>
          </w:p>
        </w:tc>
      </w:tr>
      <w:tr w:rsidR="000E5EA3" w:rsidRPr="00DA5DAC" w14:paraId="6A9A9A1F" w14:textId="77777777">
        <w:trPr>
          <w:trHeight w:val="795"/>
        </w:trPr>
        <w:tc>
          <w:tcPr>
            <w:tcW w:w="780" w:type="dxa"/>
            <w:tcBorders>
              <w:top w:val="single" w:sz="6" w:space="0" w:color="CCCCCC"/>
              <w:left w:val="single" w:sz="6" w:space="0" w:color="000000"/>
            </w:tcBorders>
            <w:shd w:val="clear" w:color="auto" w:fill="FFFFFF"/>
            <w:tcMar>
              <w:top w:w="0" w:type="dxa"/>
              <w:left w:w="40" w:type="dxa"/>
              <w:bottom w:w="0" w:type="dxa"/>
              <w:right w:w="40" w:type="dxa"/>
            </w:tcMar>
            <w:vAlign w:val="center"/>
          </w:tcPr>
          <w:p w14:paraId="247E941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a75 SID 11</w:t>
            </w:r>
          </w:p>
        </w:tc>
        <w:tc>
          <w:tcPr>
            <w:tcW w:w="795" w:type="dxa"/>
            <w:shd w:val="clear" w:color="auto" w:fill="FFFFFF"/>
            <w:tcMar>
              <w:top w:w="0" w:type="dxa"/>
              <w:left w:w="40" w:type="dxa"/>
              <w:bottom w:w="0" w:type="dxa"/>
              <w:right w:w="40" w:type="dxa"/>
            </w:tcMar>
            <w:vAlign w:val="center"/>
          </w:tcPr>
          <w:p w14:paraId="2704C12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11</w:t>
            </w:r>
          </w:p>
        </w:tc>
        <w:tc>
          <w:tcPr>
            <w:tcW w:w="570" w:type="dxa"/>
            <w:shd w:val="clear" w:color="auto" w:fill="FFFFFF"/>
            <w:tcMar>
              <w:top w:w="0" w:type="dxa"/>
              <w:left w:w="40" w:type="dxa"/>
              <w:bottom w:w="0" w:type="dxa"/>
              <w:right w:w="40" w:type="dxa"/>
            </w:tcMar>
            <w:vAlign w:val="center"/>
          </w:tcPr>
          <w:p w14:paraId="7C73AE5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7CF52FE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femur. All the area proximal to the lesser trochanter is missing and the medial and lateral epicondylar areas are damaged.</w:t>
            </w:r>
          </w:p>
        </w:tc>
        <w:tc>
          <w:tcPr>
            <w:tcW w:w="1065" w:type="dxa"/>
            <w:shd w:val="clear" w:color="auto" w:fill="FFFFFF"/>
            <w:tcMar>
              <w:top w:w="0" w:type="dxa"/>
              <w:left w:w="40" w:type="dxa"/>
              <w:bottom w:w="0" w:type="dxa"/>
              <w:right w:w="40" w:type="dxa"/>
            </w:tcMar>
            <w:vAlign w:val="center"/>
          </w:tcPr>
          <w:p w14:paraId="653A9B9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146FA30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19CE461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515" w:type="dxa"/>
            <w:tcMar>
              <w:top w:w="0" w:type="dxa"/>
              <w:bottom w:w="0" w:type="dxa"/>
            </w:tcMar>
            <w:vAlign w:val="center"/>
          </w:tcPr>
          <w:p w14:paraId="1962E4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 pathology observed</w:t>
            </w:r>
          </w:p>
        </w:tc>
        <w:tc>
          <w:tcPr>
            <w:tcW w:w="1125" w:type="dxa"/>
            <w:shd w:val="clear" w:color="auto" w:fill="FFFFFF"/>
            <w:tcMar>
              <w:top w:w="0" w:type="dxa"/>
              <w:left w:w="40" w:type="dxa"/>
              <w:bottom w:w="0" w:type="dxa"/>
              <w:right w:w="40" w:type="dxa"/>
            </w:tcMar>
            <w:vAlign w:val="center"/>
          </w:tcPr>
          <w:p w14:paraId="01D3937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2CCC7C9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3BD58B1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WB10</w:t>
            </w:r>
          </w:p>
        </w:tc>
        <w:tc>
          <w:tcPr>
            <w:tcW w:w="1050" w:type="dxa"/>
            <w:shd w:val="clear" w:color="auto" w:fill="FFFFFF"/>
            <w:tcMar>
              <w:top w:w="0" w:type="dxa"/>
              <w:left w:w="40" w:type="dxa"/>
              <w:bottom w:w="0" w:type="dxa"/>
              <w:right w:w="40" w:type="dxa"/>
            </w:tcMar>
            <w:vAlign w:val="center"/>
          </w:tcPr>
          <w:p w14:paraId="0A4521E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2280" w:type="dxa"/>
            <w:shd w:val="clear" w:color="auto" w:fill="FFFFFF"/>
            <w:tcMar>
              <w:top w:w="0" w:type="dxa"/>
              <w:left w:w="40" w:type="dxa"/>
              <w:bottom w:w="0" w:type="dxa"/>
              <w:right w:w="40" w:type="dxa"/>
            </w:tcMar>
            <w:vAlign w:val="center"/>
          </w:tcPr>
          <w:p w14:paraId="193392F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r>
      <w:tr w:rsidR="000E5EA3" w:rsidRPr="00DA5DAC" w14:paraId="1F0157EE" w14:textId="77777777">
        <w:trPr>
          <w:trHeight w:val="1575"/>
        </w:trPr>
        <w:tc>
          <w:tcPr>
            <w:tcW w:w="780" w:type="dxa"/>
            <w:shd w:val="clear" w:color="auto" w:fill="FFFFFF"/>
            <w:tcMar>
              <w:top w:w="0" w:type="dxa"/>
              <w:left w:w="40" w:type="dxa"/>
              <w:bottom w:w="0" w:type="dxa"/>
              <w:right w:w="40" w:type="dxa"/>
            </w:tcMar>
            <w:vAlign w:val="center"/>
          </w:tcPr>
          <w:p w14:paraId="4817898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ARCHtemp51</w:t>
            </w:r>
          </w:p>
        </w:tc>
        <w:tc>
          <w:tcPr>
            <w:tcW w:w="795" w:type="dxa"/>
            <w:shd w:val="clear" w:color="auto" w:fill="FFFFFF"/>
            <w:tcMar>
              <w:top w:w="0" w:type="dxa"/>
              <w:left w:w="40" w:type="dxa"/>
              <w:bottom w:w="0" w:type="dxa"/>
              <w:right w:w="40" w:type="dxa"/>
            </w:tcMar>
            <w:vAlign w:val="center"/>
          </w:tcPr>
          <w:p w14:paraId="4A03D9F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w:t>
            </w:r>
          </w:p>
        </w:tc>
        <w:tc>
          <w:tcPr>
            <w:tcW w:w="570" w:type="dxa"/>
            <w:shd w:val="clear" w:color="auto" w:fill="FFFFFF"/>
            <w:tcMar>
              <w:top w:w="0" w:type="dxa"/>
              <w:left w:w="40" w:type="dxa"/>
              <w:bottom w:w="0" w:type="dxa"/>
              <w:right w:w="40" w:type="dxa"/>
            </w:tcMar>
            <w:vAlign w:val="center"/>
          </w:tcPr>
          <w:p w14:paraId="10CD64A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9 ind. 1</w:t>
            </w:r>
          </w:p>
        </w:tc>
        <w:tc>
          <w:tcPr>
            <w:tcW w:w="1860" w:type="dxa"/>
            <w:shd w:val="clear" w:color="auto" w:fill="FFFFFF"/>
            <w:tcMar>
              <w:top w:w="0" w:type="dxa"/>
              <w:left w:w="40" w:type="dxa"/>
              <w:bottom w:w="0" w:type="dxa"/>
              <w:right w:w="40" w:type="dxa"/>
            </w:tcMar>
            <w:vAlign w:val="center"/>
          </w:tcPr>
          <w:p w14:paraId="329AE33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Cranium and mandible</w:t>
            </w:r>
          </w:p>
        </w:tc>
        <w:tc>
          <w:tcPr>
            <w:tcW w:w="1065" w:type="dxa"/>
            <w:shd w:val="clear" w:color="auto" w:fill="FFFFFF"/>
            <w:tcMar>
              <w:top w:w="0" w:type="dxa"/>
              <w:left w:w="40" w:type="dxa"/>
              <w:bottom w:w="0" w:type="dxa"/>
              <w:right w:w="40" w:type="dxa"/>
            </w:tcMar>
            <w:vAlign w:val="center"/>
          </w:tcPr>
          <w:p w14:paraId="7B0B5D3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Male</w:t>
            </w:r>
          </w:p>
        </w:tc>
        <w:tc>
          <w:tcPr>
            <w:tcW w:w="1095" w:type="dxa"/>
            <w:shd w:val="clear" w:color="auto" w:fill="FFFFFF"/>
            <w:tcMar>
              <w:top w:w="0" w:type="dxa"/>
              <w:left w:w="40" w:type="dxa"/>
              <w:bottom w:w="0" w:type="dxa"/>
              <w:right w:w="40" w:type="dxa"/>
            </w:tcMar>
            <w:vAlign w:val="center"/>
          </w:tcPr>
          <w:p w14:paraId="7E03F592" w14:textId="105D69C0"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17</w:t>
            </w:r>
            <w:r w:rsidR="00DA5DAC" w:rsidRPr="00DA5DAC">
              <w:rPr>
                <w:rFonts w:ascii="Times New Roman" w:eastAsia="Times New Roman" w:hAnsi="Times New Roman" w:cs="Times New Roman"/>
                <w:sz w:val="16"/>
                <w:szCs w:val="16"/>
              </w:rPr>
              <w:t>–</w:t>
            </w:r>
            <w:r w:rsidRPr="00DA5DAC">
              <w:rPr>
                <w:rFonts w:ascii="Times New Roman" w:eastAsia="Times New Roman" w:hAnsi="Times New Roman" w:cs="Times New Roman"/>
                <w:sz w:val="16"/>
                <w:szCs w:val="16"/>
              </w:rPr>
              <w:t xml:space="preserve">25 years </w:t>
            </w:r>
          </w:p>
        </w:tc>
        <w:tc>
          <w:tcPr>
            <w:tcW w:w="1515" w:type="dxa"/>
            <w:tcMar>
              <w:top w:w="0" w:type="dxa"/>
              <w:bottom w:w="0" w:type="dxa"/>
            </w:tcMar>
            <w:vAlign w:val="center"/>
          </w:tcPr>
          <w:p w14:paraId="78F0E62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Not assessable</w:t>
            </w:r>
          </w:p>
        </w:tc>
        <w:tc>
          <w:tcPr>
            <w:tcW w:w="1515" w:type="dxa"/>
            <w:tcMar>
              <w:top w:w="0" w:type="dxa"/>
              <w:bottom w:w="0" w:type="dxa"/>
            </w:tcMar>
            <w:vAlign w:val="center"/>
          </w:tcPr>
          <w:p w14:paraId="4CB9AF8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Linear enamel hypoplasia (mandibular canines and premolars), button osteoma</w:t>
            </w:r>
          </w:p>
        </w:tc>
        <w:tc>
          <w:tcPr>
            <w:tcW w:w="1125" w:type="dxa"/>
            <w:shd w:val="clear" w:color="auto" w:fill="FFFFFF"/>
            <w:tcMar>
              <w:top w:w="0" w:type="dxa"/>
              <w:left w:w="40" w:type="dxa"/>
              <w:bottom w:w="0" w:type="dxa"/>
              <w:right w:w="40" w:type="dxa"/>
            </w:tcMar>
            <w:vAlign w:val="center"/>
          </w:tcPr>
          <w:p w14:paraId="0A9057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5E85AB1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 xml:space="preserve">Left parietal bone: 1 SFT; </w:t>
            </w:r>
          </w:p>
          <w:p w14:paraId="49026E9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parietal bone: 1 possible SFT</w:t>
            </w:r>
          </w:p>
        </w:tc>
        <w:tc>
          <w:tcPr>
            <w:tcW w:w="900" w:type="dxa"/>
            <w:shd w:val="clear" w:color="auto" w:fill="FFFFFF"/>
            <w:tcMar>
              <w:top w:w="0" w:type="dxa"/>
              <w:left w:w="40" w:type="dxa"/>
              <w:bottom w:w="0" w:type="dxa"/>
              <w:right w:w="40" w:type="dxa"/>
            </w:tcMar>
            <w:vAlign w:val="center"/>
          </w:tcPr>
          <w:p w14:paraId="7D59AF1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WB20</w:t>
            </w:r>
          </w:p>
        </w:tc>
        <w:tc>
          <w:tcPr>
            <w:tcW w:w="1050" w:type="dxa"/>
            <w:tcBorders>
              <w:bottom w:val="single" w:sz="6" w:space="0" w:color="000000"/>
              <w:right w:val="single" w:sz="6" w:space="0" w:color="000000"/>
            </w:tcBorders>
            <w:shd w:val="clear" w:color="auto" w:fill="FFFFFF"/>
            <w:tcMar>
              <w:top w:w="0" w:type="dxa"/>
              <w:left w:w="40" w:type="dxa"/>
              <w:bottom w:w="0" w:type="dxa"/>
              <w:right w:w="40" w:type="dxa"/>
            </w:tcMar>
            <w:vAlign w:val="center"/>
          </w:tcPr>
          <w:p w14:paraId="749FA29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7 (I16596)</w:t>
            </w:r>
          </w:p>
        </w:tc>
        <w:tc>
          <w:tcPr>
            <w:tcW w:w="2280" w:type="dxa"/>
            <w:tcBorders>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2B2E01A1" w14:textId="0850E1DD"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 mandibular M1 (MacAlister bone No.</w:t>
            </w:r>
            <w:r w:rsidR="00DA5DAC">
              <w:rPr>
                <w:rFonts w:ascii="Times New Roman" w:eastAsia="Times New Roman" w:hAnsi="Times New Roman" w:cs="Times New Roman"/>
                <w:sz w:val="16"/>
                <w:szCs w:val="16"/>
              </w:rPr>
              <w:t xml:space="preserve"> </w:t>
            </w:r>
            <w:r w:rsidRPr="00DA5DAC">
              <w:rPr>
                <w:rFonts w:ascii="Times New Roman" w:eastAsia="Times New Roman" w:hAnsi="Times New Roman" w:cs="Times New Roman"/>
                <w:sz w:val="16"/>
                <w:szCs w:val="16"/>
              </w:rPr>
              <w:t>6) was sampled for isotopes (WB20). At the time of isotope sampling this mandible was in a box labelled ARCHtemp49, with the cranium (MacAlister bone No.1, the bone with the 'coward's blow').</w:t>
            </w:r>
            <w:r w:rsidR="00DA5DAC">
              <w:rPr>
                <w:rFonts w:ascii="Times New Roman" w:eastAsia="Times New Roman" w:hAnsi="Times New Roman" w:cs="Times New Roman"/>
                <w:sz w:val="16"/>
                <w:szCs w:val="16"/>
              </w:rPr>
              <w:t xml:space="preserve"> </w:t>
            </w:r>
            <w:r w:rsidRPr="00DA5DAC">
              <w:rPr>
                <w:rFonts w:ascii="Times New Roman" w:eastAsia="Times New Roman" w:hAnsi="Times New Roman" w:cs="Times New Roman"/>
                <w:sz w:val="16"/>
                <w:szCs w:val="16"/>
              </w:rPr>
              <w:t xml:space="preserve">However, the cranium is labelled as ARCHtemp51 internally, and when sampled for DNA, was in a box with a maxilla also labelled as ARCHtemp51. There is no way to confirm they are one individual, as the bones have </w:t>
            </w:r>
            <w:r w:rsidRPr="00DA5DAC">
              <w:rPr>
                <w:rFonts w:ascii="Times New Roman" w:eastAsia="Times New Roman" w:hAnsi="Times New Roman" w:cs="Times New Roman"/>
                <w:sz w:val="16"/>
                <w:szCs w:val="16"/>
              </w:rPr>
              <w:lastRenderedPageBreak/>
              <w:t>clearly been mixed at some point. The maxilla was not re-examined. GENLAB 7 (maxilla) and GENLAB 9 (mandible) are not the same individual genetically.</w:t>
            </w:r>
          </w:p>
        </w:tc>
      </w:tr>
      <w:tr w:rsidR="000E5EA3" w:rsidRPr="00DA5DAC" w14:paraId="4CEE4126" w14:textId="77777777">
        <w:trPr>
          <w:trHeight w:val="1575"/>
        </w:trPr>
        <w:tc>
          <w:tcPr>
            <w:tcW w:w="780" w:type="dxa"/>
            <w:shd w:val="clear" w:color="auto" w:fill="FFFFFF"/>
            <w:tcMar>
              <w:top w:w="0" w:type="dxa"/>
              <w:left w:w="40" w:type="dxa"/>
              <w:bottom w:w="0" w:type="dxa"/>
              <w:right w:w="40" w:type="dxa"/>
            </w:tcMar>
            <w:vAlign w:val="center"/>
          </w:tcPr>
          <w:p w14:paraId="1197022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lastRenderedPageBreak/>
              <w:t>ARCHtemp356 Skull 15(10)</w:t>
            </w:r>
          </w:p>
        </w:tc>
        <w:tc>
          <w:tcPr>
            <w:tcW w:w="795" w:type="dxa"/>
            <w:shd w:val="clear" w:color="auto" w:fill="FFFFFF"/>
            <w:tcMar>
              <w:top w:w="0" w:type="dxa"/>
              <w:left w:w="40" w:type="dxa"/>
              <w:bottom w:w="0" w:type="dxa"/>
              <w:right w:w="40" w:type="dxa"/>
            </w:tcMar>
            <w:vAlign w:val="center"/>
          </w:tcPr>
          <w:p w14:paraId="693A70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570" w:type="dxa"/>
            <w:shd w:val="clear" w:color="auto" w:fill="FFFFFF"/>
            <w:tcMar>
              <w:top w:w="0" w:type="dxa"/>
              <w:left w:w="40" w:type="dxa"/>
              <w:bottom w:w="0" w:type="dxa"/>
              <w:right w:w="40" w:type="dxa"/>
            </w:tcMar>
            <w:vAlign w:val="center"/>
          </w:tcPr>
          <w:p w14:paraId="020C11D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1860" w:type="dxa"/>
            <w:shd w:val="clear" w:color="auto" w:fill="FFFFFF"/>
            <w:tcMar>
              <w:top w:w="0" w:type="dxa"/>
              <w:left w:w="40" w:type="dxa"/>
              <w:bottom w:w="0" w:type="dxa"/>
              <w:right w:w="40" w:type="dxa"/>
            </w:tcMar>
            <w:vAlign w:val="center"/>
          </w:tcPr>
          <w:p w14:paraId="2416213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Frontal bone and petrous portion of left temporal bone</w:t>
            </w:r>
          </w:p>
        </w:tc>
        <w:tc>
          <w:tcPr>
            <w:tcW w:w="1065" w:type="dxa"/>
            <w:shd w:val="clear" w:color="auto" w:fill="FFFFFF"/>
            <w:tcMar>
              <w:top w:w="0" w:type="dxa"/>
              <w:left w:w="40" w:type="dxa"/>
              <w:bottom w:w="0" w:type="dxa"/>
              <w:right w:w="40" w:type="dxa"/>
            </w:tcMar>
            <w:vAlign w:val="center"/>
          </w:tcPr>
          <w:p w14:paraId="00059507"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6" w:name="_heading=h.m1tb3vkfgjve" w:colFirst="0" w:colLast="0"/>
            <w:bookmarkEnd w:id="46"/>
            <w:r w:rsidRPr="00DA5DAC">
              <w:rPr>
                <w:rFonts w:ascii="Times New Roman" w:eastAsia="Times New Roman" w:hAnsi="Times New Roman" w:cs="Times New Roman"/>
                <w:sz w:val="16"/>
                <w:szCs w:val="16"/>
              </w:rPr>
              <w:t>Indeterminate</w:t>
            </w:r>
          </w:p>
        </w:tc>
        <w:tc>
          <w:tcPr>
            <w:tcW w:w="1095" w:type="dxa"/>
            <w:shd w:val="clear" w:color="auto" w:fill="FFFFFF"/>
            <w:tcMar>
              <w:top w:w="0" w:type="dxa"/>
              <w:left w:w="40" w:type="dxa"/>
              <w:bottom w:w="0" w:type="dxa"/>
              <w:right w:w="40" w:type="dxa"/>
            </w:tcMar>
            <w:vAlign w:val="center"/>
          </w:tcPr>
          <w:p w14:paraId="7132E7AF"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7" w:name="_heading=h.l82bmrualj48" w:colFirst="0" w:colLast="0"/>
            <w:bookmarkEnd w:id="47"/>
            <w:r w:rsidRPr="00DA5DAC">
              <w:rPr>
                <w:rFonts w:ascii="Times New Roman" w:eastAsia="Times New Roman" w:hAnsi="Times New Roman" w:cs="Times New Roman"/>
                <w:sz w:val="16"/>
                <w:szCs w:val="16"/>
              </w:rPr>
              <w:t>Possible young adult</w:t>
            </w:r>
          </w:p>
        </w:tc>
        <w:tc>
          <w:tcPr>
            <w:tcW w:w="1515" w:type="dxa"/>
            <w:tcMar>
              <w:top w:w="0" w:type="dxa"/>
              <w:bottom w:w="0" w:type="dxa"/>
            </w:tcMar>
            <w:vAlign w:val="center"/>
          </w:tcPr>
          <w:p w14:paraId="48EF22FB"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Bilateral supraorbital notches</w:t>
            </w:r>
          </w:p>
        </w:tc>
        <w:tc>
          <w:tcPr>
            <w:tcW w:w="1515" w:type="dxa"/>
            <w:tcMar>
              <w:top w:w="0" w:type="dxa"/>
              <w:bottom w:w="0" w:type="dxa"/>
            </w:tcMar>
            <w:vAlign w:val="center"/>
          </w:tcPr>
          <w:p w14:paraId="191DC8EF" w14:textId="77777777" w:rsidR="000E5EA3" w:rsidRPr="00DA5DAC" w:rsidRDefault="00000000" w:rsidP="00DA5DAC">
            <w:pPr>
              <w:pStyle w:val="Heading2"/>
              <w:keepNext w:val="0"/>
              <w:keepLines w:val="0"/>
              <w:spacing w:before="0" w:after="0" w:line="240" w:lineRule="auto"/>
              <w:jc w:val="center"/>
              <w:rPr>
                <w:rFonts w:ascii="Times New Roman" w:eastAsia="Times New Roman" w:hAnsi="Times New Roman" w:cs="Times New Roman"/>
                <w:sz w:val="16"/>
                <w:szCs w:val="16"/>
              </w:rPr>
            </w:pPr>
            <w:bookmarkStart w:id="48" w:name="_heading=h.jn1ohlul5wly" w:colFirst="0" w:colLast="0"/>
            <w:bookmarkEnd w:id="48"/>
            <w:r w:rsidRPr="00DA5DAC">
              <w:rPr>
                <w:rFonts w:ascii="Times New Roman" w:eastAsia="Times New Roman" w:hAnsi="Times New Roman" w:cs="Times New Roman"/>
                <w:sz w:val="16"/>
                <w:szCs w:val="16"/>
              </w:rPr>
              <w:t>Not assessable</w:t>
            </w:r>
          </w:p>
        </w:tc>
        <w:tc>
          <w:tcPr>
            <w:tcW w:w="1125" w:type="dxa"/>
            <w:shd w:val="clear" w:color="auto" w:fill="FFFFFF"/>
            <w:tcMar>
              <w:top w:w="0" w:type="dxa"/>
              <w:left w:w="40" w:type="dxa"/>
              <w:bottom w:w="0" w:type="dxa"/>
              <w:right w:w="40" w:type="dxa"/>
            </w:tcMar>
            <w:vAlign w:val="center"/>
          </w:tcPr>
          <w:p w14:paraId="26B232D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No</w:t>
            </w:r>
          </w:p>
        </w:tc>
        <w:tc>
          <w:tcPr>
            <w:tcW w:w="1290" w:type="dxa"/>
            <w:shd w:val="clear" w:color="auto" w:fill="FFFFFF"/>
            <w:tcMar>
              <w:top w:w="0" w:type="dxa"/>
              <w:left w:w="40" w:type="dxa"/>
              <w:bottom w:w="0" w:type="dxa"/>
              <w:right w:w="40" w:type="dxa"/>
            </w:tcMar>
            <w:vAlign w:val="center"/>
          </w:tcPr>
          <w:p w14:paraId="1D546C6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t>
            </w:r>
          </w:p>
        </w:tc>
        <w:tc>
          <w:tcPr>
            <w:tcW w:w="900" w:type="dxa"/>
            <w:shd w:val="clear" w:color="auto" w:fill="FFFFFF"/>
            <w:tcMar>
              <w:top w:w="0" w:type="dxa"/>
              <w:left w:w="40" w:type="dxa"/>
              <w:bottom w:w="0" w:type="dxa"/>
              <w:right w:w="40" w:type="dxa"/>
            </w:tcMar>
            <w:vAlign w:val="center"/>
          </w:tcPr>
          <w:p w14:paraId="4ACF2A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WB17</w:t>
            </w:r>
          </w:p>
        </w:tc>
        <w:tc>
          <w:tcPr>
            <w:tcW w:w="105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08AA82C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5 (I11991)</w:t>
            </w: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1066A5A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GENLAB 3 (left petrous) was the same individual ad GENLAB 5 (right petrous). Heavily fragmented and covered in glue</w:t>
            </w:r>
          </w:p>
        </w:tc>
      </w:tr>
      <w:tr w:rsidR="000E5EA3" w:rsidRPr="00DA5DAC" w14:paraId="05617DBE" w14:textId="77777777">
        <w:trPr>
          <w:trHeight w:val="1050"/>
        </w:trPr>
        <w:tc>
          <w:tcPr>
            <w:tcW w:w="780" w:type="dxa"/>
            <w:shd w:val="clear" w:color="auto" w:fill="FFFFFF"/>
            <w:tcMar>
              <w:top w:w="0" w:type="dxa"/>
              <w:left w:w="40" w:type="dxa"/>
              <w:bottom w:w="0" w:type="dxa"/>
              <w:right w:w="40" w:type="dxa"/>
            </w:tcMar>
            <w:vAlign w:val="center"/>
          </w:tcPr>
          <w:p w14:paraId="6B46393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Femur display</w:t>
            </w:r>
          </w:p>
        </w:tc>
        <w:tc>
          <w:tcPr>
            <w:tcW w:w="795" w:type="dxa"/>
            <w:shd w:val="clear" w:color="auto" w:fill="FFFFFF"/>
            <w:tcMar>
              <w:top w:w="0" w:type="dxa"/>
              <w:left w:w="40" w:type="dxa"/>
              <w:bottom w:w="0" w:type="dxa"/>
              <w:right w:w="40" w:type="dxa"/>
            </w:tcMar>
            <w:vAlign w:val="center"/>
          </w:tcPr>
          <w:p w14:paraId="000D570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9</w:t>
            </w:r>
          </w:p>
        </w:tc>
        <w:tc>
          <w:tcPr>
            <w:tcW w:w="570" w:type="dxa"/>
            <w:shd w:val="clear" w:color="auto" w:fill="FFFFFF"/>
            <w:tcMar>
              <w:top w:w="0" w:type="dxa"/>
              <w:left w:w="40" w:type="dxa"/>
              <w:bottom w:w="0" w:type="dxa"/>
              <w:right w:w="40" w:type="dxa"/>
            </w:tcMar>
            <w:vAlign w:val="center"/>
          </w:tcPr>
          <w:p w14:paraId="1AD0B15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Pit 9 ind. 1?</w:t>
            </w:r>
          </w:p>
        </w:tc>
        <w:tc>
          <w:tcPr>
            <w:tcW w:w="1860" w:type="dxa"/>
            <w:shd w:val="clear" w:color="auto" w:fill="FFFFFF"/>
            <w:tcMar>
              <w:top w:w="0" w:type="dxa"/>
              <w:left w:w="40" w:type="dxa"/>
              <w:bottom w:w="0" w:type="dxa"/>
              <w:right w:w="40" w:type="dxa"/>
            </w:tcMar>
            <w:vAlign w:val="center"/>
          </w:tcPr>
          <w:p w14:paraId="53300B8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Proximal 2/3 of right femur</w:t>
            </w:r>
          </w:p>
        </w:tc>
        <w:tc>
          <w:tcPr>
            <w:tcW w:w="1065" w:type="dxa"/>
            <w:shd w:val="clear" w:color="auto" w:fill="FFFFFF"/>
            <w:tcMar>
              <w:top w:w="0" w:type="dxa"/>
              <w:left w:w="40" w:type="dxa"/>
              <w:bottom w:w="0" w:type="dxa"/>
              <w:right w:w="40" w:type="dxa"/>
            </w:tcMar>
            <w:vAlign w:val="center"/>
          </w:tcPr>
          <w:p w14:paraId="7536447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Unobservable</w:t>
            </w:r>
          </w:p>
        </w:tc>
        <w:tc>
          <w:tcPr>
            <w:tcW w:w="1095" w:type="dxa"/>
            <w:shd w:val="clear" w:color="auto" w:fill="FFFFFF"/>
            <w:tcMar>
              <w:top w:w="0" w:type="dxa"/>
              <w:left w:w="40" w:type="dxa"/>
              <w:bottom w:w="0" w:type="dxa"/>
              <w:right w:w="40" w:type="dxa"/>
            </w:tcMar>
            <w:vAlign w:val="center"/>
          </w:tcPr>
          <w:p w14:paraId="3DEDFCB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Adult</w:t>
            </w:r>
          </w:p>
        </w:tc>
        <w:tc>
          <w:tcPr>
            <w:tcW w:w="1515" w:type="dxa"/>
            <w:tcMar>
              <w:top w:w="0" w:type="dxa"/>
              <w:bottom w:w="0" w:type="dxa"/>
            </w:tcMar>
            <w:vAlign w:val="center"/>
          </w:tcPr>
          <w:p w14:paraId="6E0611F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Plaque</w:t>
            </w:r>
          </w:p>
        </w:tc>
        <w:tc>
          <w:tcPr>
            <w:tcW w:w="1515" w:type="dxa"/>
            <w:tcMar>
              <w:top w:w="0" w:type="dxa"/>
              <w:bottom w:w="0" w:type="dxa"/>
            </w:tcMar>
            <w:vAlign w:val="center"/>
          </w:tcPr>
          <w:p w14:paraId="79EBFDC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Periarticular osteophytosis at the head and well developed entheses. Raised area at medial aspect.</w:t>
            </w:r>
          </w:p>
        </w:tc>
        <w:tc>
          <w:tcPr>
            <w:tcW w:w="1125" w:type="dxa"/>
            <w:shd w:val="clear" w:color="auto" w:fill="FFFFFF"/>
            <w:tcMar>
              <w:top w:w="0" w:type="dxa"/>
              <w:left w:w="40" w:type="dxa"/>
              <w:bottom w:w="0" w:type="dxa"/>
              <w:right w:w="40" w:type="dxa"/>
            </w:tcMar>
            <w:vAlign w:val="center"/>
          </w:tcPr>
          <w:p w14:paraId="6D72CAD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SFT</w:t>
            </w:r>
          </w:p>
        </w:tc>
        <w:tc>
          <w:tcPr>
            <w:tcW w:w="1290" w:type="dxa"/>
            <w:shd w:val="clear" w:color="auto" w:fill="FFFFFF"/>
            <w:tcMar>
              <w:top w:w="0" w:type="dxa"/>
              <w:left w:w="40" w:type="dxa"/>
              <w:bottom w:w="0" w:type="dxa"/>
              <w:right w:w="40" w:type="dxa"/>
            </w:tcMar>
            <w:vAlign w:val="center"/>
          </w:tcPr>
          <w:p w14:paraId="67DBE84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Oblique blade injury at the lateral aspect</w:t>
            </w:r>
          </w:p>
        </w:tc>
        <w:tc>
          <w:tcPr>
            <w:tcW w:w="900" w:type="dxa"/>
            <w:shd w:val="clear" w:color="auto" w:fill="FFFFFF"/>
            <w:tcMar>
              <w:top w:w="0" w:type="dxa"/>
              <w:left w:w="40" w:type="dxa"/>
              <w:bottom w:w="0" w:type="dxa"/>
              <w:right w:w="40" w:type="dxa"/>
            </w:tcMar>
            <w:vAlign w:val="center"/>
          </w:tcPr>
          <w:p w14:paraId="7A6ACD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WB18</w:t>
            </w:r>
          </w:p>
        </w:tc>
        <w:tc>
          <w:tcPr>
            <w:tcW w:w="1050" w:type="dxa"/>
            <w:tcBorders>
              <w:top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E631B8E" w14:textId="77777777" w:rsidR="000E5EA3" w:rsidRPr="00DA5DAC" w:rsidRDefault="000E5EA3" w:rsidP="00DA5DAC">
            <w:pPr>
              <w:spacing w:line="240" w:lineRule="auto"/>
              <w:rPr>
                <w:rFonts w:ascii="Times New Roman" w:eastAsia="Times New Roman" w:hAnsi="Times New Roman" w:cs="Times New Roman"/>
                <w:sz w:val="16"/>
                <w:szCs w:val="16"/>
              </w:rPr>
            </w:pPr>
          </w:p>
        </w:tc>
        <w:tc>
          <w:tcPr>
            <w:tcW w:w="2280" w:type="dxa"/>
            <w:tcBorders>
              <w:top w:val="single" w:sz="6" w:space="0" w:color="CCCCCC"/>
              <w:left w:val="single" w:sz="6" w:space="0" w:color="CCCCCC"/>
              <w:bottom w:val="single" w:sz="6" w:space="0" w:color="000000"/>
              <w:right w:val="single" w:sz="6" w:space="0" w:color="000000"/>
            </w:tcBorders>
            <w:shd w:val="clear" w:color="auto" w:fill="FFFFFF"/>
            <w:tcMar>
              <w:top w:w="0" w:type="dxa"/>
              <w:left w:w="40" w:type="dxa"/>
              <w:bottom w:w="0" w:type="dxa"/>
              <w:right w:w="40" w:type="dxa"/>
            </w:tcMar>
            <w:vAlign w:val="center"/>
          </w:tcPr>
          <w:p w14:paraId="6B24FF4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During isotope sampling this was labelled Number 9/Temp 54 (loan). Possible trampling, but complicated by preservation and post-excavation treatment</w:t>
            </w:r>
          </w:p>
        </w:tc>
      </w:tr>
    </w:tbl>
    <w:p w14:paraId="082191C2" w14:textId="77777777" w:rsidR="000E5EA3" w:rsidRPr="00DA5DAC" w:rsidRDefault="000E5EA3" w:rsidP="00DA5DAC">
      <w:pPr>
        <w:spacing w:line="240" w:lineRule="auto"/>
        <w:rPr>
          <w:rFonts w:ascii="Times New Roman" w:eastAsia="Times New Roman" w:hAnsi="Times New Roman" w:cs="Times New Roman"/>
        </w:rPr>
        <w:sectPr w:rsidR="000E5EA3" w:rsidRPr="00DA5DAC">
          <w:footerReference w:type="even" r:id="rId9"/>
          <w:footerReference w:type="default" r:id="rId10"/>
          <w:pgSz w:w="16834" w:h="11909" w:orient="landscape"/>
          <w:pgMar w:top="1440" w:right="1440" w:bottom="1440" w:left="1440" w:header="720" w:footer="720" w:gutter="0"/>
          <w:pgNumType w:start="1"/>
          <w:cols w:space="720"/>
        </w:sectPr>
      </w:pPr>
    </w:p>
    <w:p w14:paraId="0AE167A4" w14:textId="03DC52A2" w:rsidR="000E5EA3" w:rsidRPr="00DA5DAC" w:rsidRDefault="00DA5DAC" w:rsidP="00DA5DAC">
      <w:pPr>
        <w:pStyle w:val="Title"/>
        <w:spacing w:after="0" w:line="240" w:lineRule="auto"/>
        <w:rPr>
          <w:rFonts w:ascii="Times New Roman" w:eastAsia="Times New Roman" w:hAnsi="Times New Roman" w:cs="Times New Roman"/>
          <w:bCs/>
          <w:sz w:val="24"/>
          <w:szCs w:val="24"/>
        </w:rPr>
      </w:pPr>
      <w:bookmarkStart w:id="49" w:name="_heading=h.o2sxal9z19nd" w:colFirst="0" w:colLast="0"/>
      <w:bookmarkEnd w:id="49"/>
      <w:r w:rsidRPr="00DA5DAC">
        <w:rPr>
          <w:rFonts w:ascii="Times New Roman" w:eastAsia="Times New Roman" w:hAnsi="Times New Roman" w:cs="Times New Roman"/>
          <w:bCs/>
          <w:sz w:val="24"/>
          <w:szCs w:val="24"/>
        </w:rPr>
        <w:lastRenderedPageBreak/>
        <w:t>Supplementary S2. aDNA analysis</w:t>
      </w:r>
    </w:p>
    <w:p w14:paraId="0451BFD8" w14:textId="099DF498" w:rsidR="000E5EA3" w:rsidRPr="00DA5DAC" w:rsidRDefault="00000000" w:rsidP="00DA5DAC">
      <w:pPr>
        <w:spacing w:line="240" w:lineRule="auto"/>
        <w:jc w:val="both"/>
        <w:rPr>
          <w:rFonts w:ascii="Times New Roman" w:eastAsia="Times New Roman" w:hAnsi="Times New Roman" w:cs="Times New Roman"/>
          <w:b/>
          <w:sz w:val="24"/>
          <w:szCs w:val="24"/>
        </w:rPr>
      </w:pPr>
      <w:r w:rsidRPr="00DA5DAC">
        <w:rPr>
          <w:rFonts w:ascii="Times New Roman" w:eastAsia="Times New Roman" w:hAnsi="Times New Roman" w:cs="Times New Roman"/>
          <w:sz w:val="24"/>
          <w:szCs w:val="24"/>
        </w:rPr>
        <w:t xml:space="preserve">Sebastian Metz </w:t>
      </w:r>
      <w:r w:rsidR="00DA5DAC">
        <w:rPr>
          <w:rFonts w:ascii="Times New Roman" w:eastAsia="Times New Roman" w:hAnsi="Times New Roman" w:cs="Times New Roman"/>
          <w:sz w:val="24"/>
          <w:szCs w:val="24"/>
        </w:rPr>
        <w:t>&amp;</w:t>
      </w:r>
      <w:r w:rsidRPr="00DA5DAC">
        <w:rPr>
          <w:rFonts w:ascii="Times New Roman" w:eastAsia="Times New Roman" w:hAnsi="Times New Roman" w:cs="Times New Roman"/>
          <w:sz w:val="24"/>
          <w:szCs w:val="24"/>
        </w:rPr>
        <w:t xml:space="preserve"> Ian Armit</w:t>
      </w:r>
    </w:p>
    <w:p w14:paraId="4F397CF6"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6B7BCBBF" w14:textId="5355B30D"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Further to the work described in the main body of the report</w:t>
      </w:r>
      <w:r w:rsidR="00DA5DAC">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we conducted a series of additional analyses. To analyse the relationship between Worlebury individuals and modern populations, we performed a principal component analysis (PCA), where the genotypes of modern individuals from across Western Europe were analysed, and the ancient individuals were projected using smartPCA (Patterson </w:t>
      </w:r>
      <w:r w:rsidRPr="00DA5DAC">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2012</w:t>
      </w:r>
      <w:r w:rsidR="00DA5DAC">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highlight w:val="green"/>
        </w:rPr>
        <w:t>1</w:t>
      </w:r>
      <w:r w:rsidRPr="00DA5DAC">
        <w:rPr>
          <w:rFonts w:ascii="Times New Roman" w:eastAsia="Times New Roman" w:hAnsi="Times New Roman" w:cs="Times New Roman"/>
          <w:sz w:val="24"/>
          <w:szCs w:val="24"/>
        </w:rPr>
        <w:t xml:space="preserve">). The Worlebury individuals (yellow diamond, </w:t>
      </w:r>
      <w:r w:rsidRPr="00DA5DAC">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highlight w:val="green"/>
        </w:rPr>
        <w:t>1A</w:t>
      </w:r>
      <w:r w:rsidRPr="00DA5DAC">
        <w:rPr>
          <w:rFonts w:ascii="Times New Roman" w:eastAsia="Times New Roman" w:hAnsi="Times New Roman" w:cs="Times New Roman"/>
          <w:sz w:val="24"/>
          <w:szCs w:val="24"/>
        </w:rPr>
        <w:t>) plot close to modern English and French individuals and fall within a group of Iron Age individuals from what is now England (</w:t>
      </w:r>
      <w:r w:rsidRPr="00DA5DAC">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highlight w:val="green"/>
        </w:rPr>
        <w:t>1B</w:t>
      </w:r>
      <w:r w:rsidRPr="00DA5DAC">
        <w:rPr>
          <w:rFonts w:ascii="Times New Roman" w:eastAsia="Times New Roman" w:hAnsi="Times New Roman" w:cs="Times New Roman"/>
          <w:sz w:val="24"/>
          <w:szCs w:val="24"/>
        </w:rPr>
        <w:t>).</w:t>
      </w:r>
    </w:p>
    <w:p w14:paraId="07444B30" w14:textId="365E0D0F" w:rsidR="000E5EA3" w:rsidRPr="00DA5DAC" w:rsidRDefault="00000000" w:rsidP="00DA5DA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We also performed a qpAdm analysis to estimate the admixture weights of the contribution of various ancient populations to each individual (</w:t>
      </w:r>
      <w:r w:rsidRPr="00610CB4">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610CB4">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rPr>
        <w:t xml:space="preserve">) using the database published by Patterson </w:t>
      </w:r>
      <w:r w:rsidR="00610CB4">
        <w:rPr>
          <w:rFonts w:ascii="Times New Roman" w:eastAsia="Times New Roman" w:hAnsi="Times New Roman" w:cs="Times New Roman"/>
          <w:sz w:val="24"/>
          <w:szCs w:val="24"/>
        </w:rPr>
        <w:t>and colleagues (</w:t>
      </w:r>
      <w:r w:rsidR="00610CB4" w:rsidRPr="00DA5DAC">
        <w:rPr>
          <w:rFonts w:ascii="Times New Roman" w:eastAsia="Times New Roman" w:hAnsi="Times New Roman" w:cs="Times New Roman"/>
          <w:sz w:val="24"/>
          <w:szCs w:val="24"/>
        </w:rPr>
        <w:t xml:space="preserve">Patterson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 This demonstrated that all five Worlebury individuals, where sufficient data was available for analysis, share a similar percentage of contribution of Early European farmers (EEF), Steppe and Western European hunter-gatherers (WHG). These results are commonly observed in Iron Age individuals from Britain (Patterson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w:t>
      </w:r>
    </w:p>
    <w:p w14:paraId="62051A05" w14:textId="10A5AB16" w:rsidR="000E5EA3" w:rsidRPr="00DA5DAC" w:rsidRDefault="00000000" w:rsidP="00DA5DA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We also carried out an f3 analysis in the form </w:t>
      </w:r>
      <w:r w:rsidRPr="00DA5DAC">
        <w:rPr>
          <w:rFonts w:ascii="Times New Roman" w:eastAsia="Times New Roman" w:hAnsi="Times New Roman" w:cs="Times New Roman"/>
          <w:i/>
          <w:sz w:val="24"/>
          <w:szCs w:val="24"/>
        </w:rPr>
        <w:t>f3(Mbuti; Ancient population, Individual*)</w:t>
      </w:r>
      <w:r w:rsidRPr="00DA5DAC">
        <w:rPr>
          <w:rFonts w:ascii="Times New Roman" w:eastAsia="Times New Roman" w:hAnsi="Times New Roman" w:cs="Times New Roman"/>
          <w:sz w:val="24"/>
          <w:szCs w:val="24"/>
        </w:rPr>
        <w:t> where we tested the affinity of individuals from Worlebury and contemporaneous individuals from England, Scotland, France</w:t>
      </w:r>
      <w:r w:rsidR="00610CB4">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Spain with EEF and Steppe populations (</w:t>
      </w:r>
      <w:r w:rsidRPr="00610CB4">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610CB4">
        <w:rPr>
          <w:rFonts w:ascii="Times New Roman" w:eastAsia="Times New Roman" w:hAnsi="Times New Roman" w:cs="Times New Roman"/>
          <w:sz w:val="24"/>
          <w:szCs w:val="24"/>
          <w:highlight w:val="green"/>
        </w:rPr>
        <w:t>3A</w:t>
      </w:r>
      <w:r w:rsidRPr="00DA5DAC">
        <w:rPr>
          <w:rFonts w:ascii="Times New Roman" w:eastAsia="Times New Roman" w:hAnsi="Times New Roman" w:cs="Times New Roman"/>
          <w:sz w:val="24"/>
          <w:szCs w:val="24"/>
        </w:rPr>
        <w:t>). Higher f3 results indicate a higher degree of affinity between the individual and the population concerned. We also analysed the percentage of Steppe and EEF for each individual using the qpAdm method (</w:t>
      </w:r>
      <w:r w:rsidRPr="00610CB4">
        <w:rPr>
          <w:rFonts w:ascii="Times New Roman" w:eastAsia="Times New Roman" w:hAnsi="Times New Roman" w:cs="Times New Roman"/>
          <w:sz w:val="24"/>
          <w:szCs w:val="24"/>
          <w:highlight w:val="green"/>
        </w:rPr>
        <w:t>Figure S</w:t>
      </w:r>
      <w:r w:rsidR="00B23A57">
        <w:rPr>
          <w:rFonts w:ascii="Times New Roman" w:eastAsia="Times New Roman" w:hAnsi="Times New Roman" w:cs="Times New Roman"/>
          <w:sz w:val="24"/>
          <w:szCs w:val="24"/>
          <w:highlight w:val="green"/>
        </w:rPr>
        <w:t>2.</w:t>
      </w:r>
      <w:r w:rsidRPr="00610CB4">
        <w:rPr>
          <w:rFonts w:ascii="Times New Roman" w:eastAsia="Times New Roman" w:hAnsi="Times New Roman" w:cs="Times New Roman"/>
          <w:sz w:val="24"/>
          <w:szCs w:val="24"/>
          <w:highlight w:val="green"/>
        </w:rPr>
        <w:t>3B</w:t>
      </w:r>
      <w:r w:rsidRPr="00DA5DAC">
        <w:rPr>
          <w:rFonts w:ascii="Times New Roman" w:eastAsia="Times New Roman" w:hAnsi="Times New Roman" w:cs="Times New Roman"/>
          <w:sz w:val="24"/>
          <w:szCs w:val="24"/>
        </w:rPr>
        <w:t>).</w:t>
      </w:r>
    </w:p>
    <w:p w14:paraId="78C42ABF" w14:textId="7C315B5D" w:rsidR="000E5EA3" w:rsidRPr="00DA5DAC" w:rsidRDefault="00000000" w:rsidP="00DA5DA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We can observe that Worlebury individuals I11991, I13726</w:t>
      </w:r>
      <w:r w:rsidR="00610CB4">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I11143 are positioned below the 1:1 line, similar to the majority of French individuals. This pattern was previously observed in Late Bronze Age individuals from southeastern Britain (eg</w:t>
      </w:r>
      <w:r w:rsidR="00610CB4">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Kent) where a genetic influence from Europe was previously proposed (Patterson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 Individuals I11142 and I11992 have a similar affinity to the Steppe and EEF populations as most IA individuals from Britain. Similar results were obtained when examining the percentage of Steppe and EEF for each individual. </w:t>
      </w:r>
    </w:p>
    <w:p w14:paraId="18A8E809" w14:textId="6C3F3132" w:rsidR="000E5EA3" w:rsidRPr="00DA5DAC" w:rsidRDefault="00000000" w:rsidP="00DA5DA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We further performed a qpWave analysis to determine if any of the individuals from Worlebury can be defined as genetic outliers, following Fernandes</w:t>
      </w:r>
      <w:r w:rsidR="00610CB4">
        <w:rPr>
          <w:rFonts w:ascii="Times New Roman" w:eastAsia="Times New Roman" w:hAnsi="Times New Roman" w:cs="Times New Roman"/>
          <w:sz w:val="24"/>
          <w:szCs w:val="24"/>
        </w:rPr>
        <w:t xml:space="preserve"> and colleagues</w:t>
      </w:r>
      <w:r w:rsidRPr="00DA5DAC">
        <w:rPr>
          <w:rFonts w:ascii="Times New Roman" w:eastAsia="Times New Roman" w:hAnsi="Times New Roman" w:cs="Times New Roman"/>
          <w:sz w:val="24"/>
          <w:szCs w:val="24"/>
        </w:rPr>
        <w:t xml:space="preserve"> </w:t>
      </w:r>
      <w:r w:rsidR="00610CB4">
        <w:rPr>
          <w:rFonts w:ascii="Times New Roman" w:eastAsia="Times New Roman" w:hAnsi="Times New Roman" w:cs="Times New Roman"/>
          <w:sz w:val="24"/>
          <w:szCs w:val="24"/>
        </w:rPr>
        <w:t>(</w:t>
      </w:r>
      <w:r w:rsidR="00610CB4" w:rsidRPr="00DA5DAC">
        <w:rPr>
          <w:rFonts w:ascii="Times New Roman" w:eastAsia="Times New Roman" w:hAnsi="Times New Roman" w:cs="Times New Roman"/>
          <w:sz w:val="24"/>
          <w:szCs w:val="24"/>
        </w:rPr>
        <w:t>Fernandes</w:t>
      </w:r>
      <w:r w:rsidR="00610CB4">
        <w:rPr>
          <w:rFonts w:ascii="Times New Roman" w:eastAsia="Times New Roman" w:hAnsi="Times New Roman" w:cs="Times New Roman"/>
          <w:sz w:val="24"/>
          <w:szCs w:val="24"/>
        </w:rPr>
        <w:t xml:space="preserve">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2020), where outliers are defined when p &lt; 0.1. No outliers were observed, and Worlebury individuals can be considered a consistent group. </w:t>
      </w:r>
    </w:p>
    <w:p w14:paraId="22DA647B" w14:textId="46629008" w:rsidR="000E5EA3" w:rsidRPr="00DA5DAC" w:rsidRDefault="00000000" w:rsidP="00DA5DA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Using this methodology, we also tested the relationship of the Worlebury individuals to each of the regional groups defined by </w:t>
      </w:r>
      <w:r w:rsidR="00610CB4" w:rsidRPr="00DA5DAC">
        <w:rPr>
          <w:rFonts w:ascii="Times New Roman" w:eastAsia="Times New Roman" w:hAnsi="Times New Roman" w:cs="Times New Roman"/>
          <w:sz w:val="24"/>
          <w:szCs w:val="24"/>
        </w:rPr>
        <w:t xml:space="preserve">Patterson </w:t>
      </w:r>
      <w:r w:rsidR="00610CB4">
        <w:rPr>
          <w:rFonts w:ascii="Times New Roman" w:eastAsia="Times New Roman" w:hAnsi="Times New Roman" w:cs="Times New Roman"/>
          <w:sz w:val="24"/>
          <w:szCs w:val="24"/>
        </w:rPr>
        <w:t>and colleagues (</w:t>
      </w:r>
      <w:r w:rsidR="00610CB4" w:rsidRPr="00DA5DAC">
        <w:rPr>
          <w:rFonts w:ascii="Times New Roman" w:eastAsia="Times New Roman" w:hAnsi="Times New Roman" w:cs="Times New Roman"/>
          <w:sz w:val="24"/>
          <w:szCs w:val="24"/>
        </w:rPr>
        <w:t xml:space="preserve">Patterson </w:t>
      </w:r>
      <w:r w:rsidR="00610CB4" w:rsidRPr="00610CB4">
        <w:rPr>
          <w:rFonts w:ascii="Times New Roman" w:eastAsia="Times New Roman" w:hAnsi="Times New Roman" w:cs="Times New Roman"/>
          <w:i/>
          <w:iCs/>
          <w:sz w:val="24"/>
          <w:szCs w:val="24"/>
        </w:rPr>
        <w:t>et al.</w:t>
      </w:r>
      <w:r w:rsidR="00610CB4" w:rsidRPr="00DA5DAC">
        <w:rPr>
          <w:rFonts w:ascii="Times New Roman" w:eastAsia="Times New Roman" w:hAnsi="Times New Roman" w:cs="Times New Roman"/>
          <w:sz w:val="24"/>
          <w:szCs w:val="24"/>
        </w:rPr>
        <w:t xml:space="preserve"> 2022)</w:t>
      </w:r>
      <w:r w:rsidRPr="00DA5DAC">
        <w:rPr>
          <w:rFonts w:ascii="Times New Roman" w:eastAsia="Times New Roman" w:hAnsi="Times New Roman" w:cs="Times New Roman"/>
          <w:sz w:val="24"/>
          <w:szCs w:val="24"/>
        </w:rPr>
        <w:t>. This analysis demonstrates that the Worlebury individuals are genetically most similar to Iron Age individuals from Patterson’s ‘England Southeast’ group (p-value 0.56, England.Southeast_IA) (</w:t>
      </w:r>
      <w:r w:rsidRPr="00610CB4">
        <w:rPr>
          <w:rFonts w:ascii="Times New Roman" w:eastAsia="Times New Roman" w:hAnsi="Times New Roman" w:cs="Times New Roman"/>
          <w:sz w:val="24"/>
          <w:szCs w:val="24"/>
          <w:highlight w:val="green"/>
        </w:rPr>
        <w:t>Table S</w:t>
      </w:r>
      <w:r w:rsidR="00B23A57">
        <w:rPr>
          <w:rFonts w:ascii="Times New Roman" w:eastAsia="Times New Roman" w:hAnsi="Times New Roman" w:cs="Times New Roman"/>
          <w:sz w:val="24"/>
          <w:szCs w:val="24"/>
          <w:highlight w:val="green"/>
        </w:rPr>
        <w:t>2.</w:t>
      </w:r>
      <w:r w:rsidRPr="00610CB4">
        <w:rPr>
          <w:rFonts w:ascii="Times New Roman" w:eastAsia="Times New Roman" w:hAnsi="Times New Roman" w:cs="Times New Roman"/>
          <w:sz w:val="24"/>
          <w:szCs w:val="24"/>
          <w:highlight w:val="green"/>
        </w:rPr>
        <w:t>1</w:t>
      </w:r>
      <w:r w:rsidRPr="00DA5DAC">
        <w:rPr>
          <w:rFonts w:ascii="Times New Roman" w:eastAsia="Times New Roman" w:hAnsi="Times New Roman" w:cs="Times New Roman"/>
          <w:sz w:val="24"/>
          <w:szCs w:val="24"/>
        </w:rPr>
        <w:t>).</w:t>
      </w:r>
    </w:p>
    <w:p w14:paraId="2F4D99E7" w14:textId="55FE00D1" w:rsidR="000E5EA3" w:rsidRPr="00DA5DAC" w:rsidRDefault="00DA5DAC" w:rsidP="00DA5DAC">
      <w:pPr>
        <w:spacing w:line="240" w:lineRule="auto"/>
        <w:ind w:firstLine="36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Finally, we used the HIrisPlex-S SNPs panel (Walsh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2013; Chaitanya </w:t>
      </w:r>
      <w:r w:rsidRPr="00610CB4">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2018), which targeted 41 SNPs to predict eye and hair colour as well as skin pigmentation. We were able to predict the phenotype for four individuals, following the threshold of p≥ 0.7 recommended by Walsh </w:t>
      </w:r>
      <w:r w:rsidR="00610CB4">
        <w:rPr>
          <w:rFonts w:ascii="Times New Roman" w:eastAsia="Times New Roman" w:hAnsi="Times New Roman" w:cs="Times New Roman"/>
          <w:sz w:val="24"/>
          <w:szCs w:val="24"/>
        </w:rPr>
        <w:t>and colleagues (</w:t>
      </w:r>
      <w:r w:rsidR="00610CB4" w:rsidRPr="00DA5DAC">
        <w:rPr>
          <w:rFonts w:ascii="Times New Roman" w:eastAsia="Times New Roman" w:hAnsi="Times New Roman" w:cs="Times New Roman"/>
          <w:sz w:val="24"/>
          <w:szCs w:val="24"/>
        </w:rPr>
        <w:t xml:space="preserve">Walsh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w:t>
      </w:r>
      <w:r w:rsidR="005D08D6">
        <w:rPr>
          <w:rFonts w:ascii="Times New Roman" w:eastAsia="Times New Roman" w:hAnsi="Times New Roman" w:cs="Times New Roman"/>
          <w:sz w:val="24"/>
          <w:szCs w:val="24"/>
        </w:rPr>
        <w:t>3</w:t>
      </w:r>
      <w:r w:rsidRPr="00DA5DAC">
        <w:rPr>
          <w:rFonts w:ascii="Times New Roman" w:eastAsia="Times New Roman" w:hAnsi="Times New Roman" w:cs="Times New Roman"/>
          <w:sz w:val="24"/>
          <w:szCs w:val="24"/>
        </w:rPr>
        <w:t>.</w:t>
      </w:r>
    </w:p>
    <w:p w14:paraId="4F15F6E1" w14:textId="048C3EB6" w:rsidR="000E5EA3" w:rsidRPr="00DA5DAC" w:rsidRDefault="00000000" w:rsidP="00DA5DAC">
      <w:pPr>
        <w:numPr>
          <w:ilvl w:val="0"/>
          <w:numId w:val="1"/>
        </w:num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I11142 (GENLAB 1)</w:t>
      </w:r>
      <w:r w:rsidR="00B23A57">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was probably an individual with brown eyes (P = 0.87) and </w:t>
      </w:r>
      <w:r w:rsidR="005D08D6">
        <w:rPr>
          <w:rFonts w:ascii="Times New Roman" w:eastAsia="Times New Roman" w:hAnsi="Times New Roman" w:cs="Times New Roman"/>
          <w:sz w:val="24"/>
          <w:szCs w:val="24"/>
        </w:rPr>
        <w:t>i</w:t>
      </w:r>
      <w:r w:rsidRPr="00DA5DAC">
        <w:rPr>
          <w:rFonts w:ascii="Times New Roman" w:eastAsia="Times New Roman" w:hAnsi="Times New Roman" w:cs="Times New Roman"/>
          <w:sz w:val="24"/>
          <w:szCs w:val="24"/>
        </w:rPr>
        <w:t xml:space="preserve">ntermediate skin colour (P = 0.72). </w:t>
      </w:r>
    </w:p>
    <w:p w14:paraId="18ACE5EA" w14:textId="37921AB1" w:rsidR="000E5EA3" w:rsidRPr="00DA5DAC" w:rsidRDefault="00000000" w:rsidP="00DA5DAC">
      <w:pPr>
        <w:numPr>
          <w:ilvl w:val="0"/>
          <w:numId w:val="1"/>
        </w:num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I11143 (GENLAB 2) was probably an individual with brown eyes (P = 0.77), </w:t>
      </w:r>
      <w:r w:rsidR="005D08D6">
        <w:rPr>
          <w:rFonts w:ascii="Times New Roman" w:eastAsia="Times New Roman" w:hAnsi="Times New Roman" w:cs="Times New Roman"/>
          <w:sz w:val="24"/>
          <w:szCs w:val="24"/>
        </w:rPr>
        <w:t>r</w:t>
      </w:r>
      <w:r w:rsidRPr="00DA5DAC">
        <w:rPr>
          <w:rFonts w:ascii="Times New Roman" w:eastAsia="Times New Roman" w:hAnsi="Times New Roman" w:cs="Times New Roman"/>
          <w:sz w:val="24"/>
          <w:szCs w:val="24"/>
        </w:rPr>
        <w:t>ed hair (P = 0.99) and Intermediate skin colour (P = 0.83).</w:t>
      </w:r>
    </w:p>
    <w:p w14:paraId="3BFD031F" w14:textId="77777777" w:rsidR="000E5EA3" w:rsidRPr="00DA5DAC" w:rsidRDefault="00000000" w:rsidP="00DA5DAC">
      <w:pPr>
        <w:numPr>
          <w:ilvl w:val="0"/>
          <w:numId w:val="1"/>
        </w:num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I11991 (GENLAB 3/5) was probably an individual with blue eyes (P = 0.95).</w:t>
      </w:r>
    </w:p>
    <w:p w14:paraId="746D902E" w14:textId="1AE33743" w:rsidR="000E5EA3" w:rsidRPr="00DA5DAC" w:rsidRDefault="00000000" w:rsidP="00DA5DAC">
      <w:pPr>
        <w:numPr>
          <w:ilvl w:val="0"/>
          <w:numId w:val="1"/>
        </w:num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I11992 (GENLAB 4/11) was probably an individual with blue eyes (P = 0.89) and </w:t>
      </w:r>
      <w:r w:rsidR="005D08D6">
        <w:rPr>
          <w:rFonts w:ascii="Times New Roman" w:eastAsia="Times New Roman" w:hAnsi="Times New Roman" w:cs="Times New Roman"/>
          <w:sz w:val="24"/>
          <w:szCs w:val="24"/>
        </w:rPr>
        <w:t>b</w:t>
      </w:r>
      <w:r w:rsidRPr="00DA5DAC">
        <w:rPr>
          <w:rFonts w:ascii="Times New Roman" w:eastAsia="Times New Roman" w:hAnsi="Times New Roman" w:cs="Times New Roman"/>
          <w:sz w:val="24"/>
          <w:szCs w:val="24"/>
        </w:rPr>
        <w:t>rown hair (P = 0.85).</w:t>
      </w:r>
    </w:p>
    <w:p w14:paraId="434D9CE5" w14:textId="1A97043F" w:rsidR="00DA5DAC" w:rsidRPr="00DA5DAC" w:rsidRDefault="00DA5DAC"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lastRenderedPageBreak/>
        <w:t>We performed an Identity</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by</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Descent (IBD) analysis using ancIBD (Ringbauer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w:t>
      </w:r>
      <w:r w:rsidR="005D08D6">
        <w:rPr>
          <w:rFonts w:ascii="Times New Roman" w:eastAsia="Times New Roman" w:hAnsi="Times New Roman" w:cs="Times New Roman"/>
          <w:sz w:val="24"/>
          <w:szCs w:val="24"/>
        </w:rPr>
        <w:t>4)</w:t>
      </w:r>
      <w:r w:rsidRPr="00DA5DAC">
        <w:rPr>
          <w:rFonts w:ascii="Times New Roman" w:eastAsia="Times New Roman" w:hAnsi="Times New Roman" w:cs="Times New Roman"/>
          <w:sz w:val="24"/>
          <w:szCs w:val="24"/>
        </w:rPr>
        <w:t xml:space="preserve"> to investigate biological relationships, identifying genomic regions shared due to recent common ancestry. Using a threshold of at least one segment ≥14 cM to minimize false positives, we detected 20 putative biological connections between individuals from Worlebury and others from the AADR dataset (Mallick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2024). A summary of the results </w:t>
      </w:r>
      <w:r w:rsidR="00B23A57" w:rsidRPr="00DA5DAC">
        <w:rPr>
          <w:rFonts w:ascii="Times New Roman" w:eastAsia="Times New Roman" w:hAnsi="Times New Roman" w:cs="Times New Roman"/>
          <w:sz w:val="24"/>
          <w:szCs w:val="24"/>
        </w:rPr>
        <w:t>is</w:t>
      </w:r>
      <w:r w:rsidRPr="00DA5DAC">
        <w:rPr>
          <w:rFonts w:ascii="Times New Roman" w:eastAsia="Times New Roman" w:hAnsi="Times New Roman" w:cs="Times New Roman"/>
          <w:sz w:val="24"/>
          <w:szCs w:val="24"/>
        </w:rPr>
        <w:t xml:space="preserve"> shown in </w:t>
      </w:r>
      <w:r w:rsidRPr="00B23A57">
        <w:rPr>
          <w:rFonts w:ascii="Times New Roman" w:eastAsia="Times New Roman" w:hAnsi="Times New Roman" w:cs="Times New Roman"/>
          <w:sz w:val="24"/>
          <w:szCs w:val="24"/>
          <w:highlight w:val="green"/>
        </w:rPr>
        <w:t>Table S2</w:t>
      </w:r>
      <w:r w:rsidR="00B23A57" w:rsidRPr="00B23A57">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rPr>
        <w:t>.</w:t>
      </w:r>
    </w:p>
    <w:p w14:paraId="247999F6"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6C74ADAB" w14:textId="280E907F"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hAnsi="Times New Roman" w:cs="Times New Roman"/>
        </w:rPr>
        <w:br w:type="page"/>
      </w:r>
    </w:p>
    <w:tbl>
      <w:tblPr>
        <w:tblStyle w:val="a7"/>
        <w:tblW w:w="9020" w:type="dxa"/>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000" w:firstRow="0" w:lastRow="0" w:firstColumn="0" w:lastColumn="0" w:noHBand="0" w:noVBand="0"/>
      </w:tblPr>
      <w:tblGrid>
        <w:gridCol w:w="301"/>
        <w:gridCol w:w="8719"/>
      </w:tblGrid>
      <w:tr w:rsidR="000E5EA3" w:rsidRPr="00DA5DAC" w14:paraId="11E00CA1" w14:textId="77777777" w:rsidTr="000E5EA3">
        <w:tc>
          <w:tcPr>
            <w:tcW w:w="301" w:type="dxa"/>
          </w:tcPr>
          <w:p w14:paraId="53375BF3" w14:textId="77777777" w:rsidR="000E5EA3" w:rsidRPr="00DA5DAC" w:rsidRDefault="000E5EA3" w:rsidP="00DA5DAC">
            <w:pPr>
              <w:spacing w:line="240" w:lineRule="auto"/>
              <w:jc w:val="both"/>
              <w:rPr>
                <w:rFonts w:ascii="Times New Roman" w:eastAsia="Times New Roman" w:hAnsi="Times New Roman" w:cs="Times New Roman"/>
                <w:sz w:val="24"/>
                <w:szCs w:val="24"/>
              </w:rPr>
            </w:pPr>
          </w:p>
        </w:tc>
        <w:tc>
          <w:tcPr>
            <w:tcW w:w="8719" w:type="dxa"/>
          </w:tcPr>
          <w:p w14:paraId="0DCF6999"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6912D0C5" w14:textId="77777777" w:rsidR="000E5EA3" w:rsidRPr="00DA5DAC" w:rsidRDefault="00000000" w:rsidP="00DA5DAC">
            <w:pPr>
              <w:spacing w:line="240" w:lineRule="auto"/>
              <w:jc w:val="center"/>
              <w:rPr>
                <w:rFonts w:ascii="Times New Roman" w:eastAsia="Times New Roman" w:hAnsi="Times New Roman" w:cs="Times New Roman"/>
                <w:sz w:val="24"/>
                <w:szCs w:val="24"/>
              </w:rPr>
            </w:pPr>
            <w:r w:rsidRPr="00DA5DAC">
              <w:rPr>
                <w:rFonts w:ascii="Times New Roman" w:eastAsia="Times New Roman" w:hAnsi="Times New Roman" w:cs="Times New Roman"/>
                <w:noProof/>
                <w:sz w:val="24"/>
                <w:szCs w:val="24"/>
              </w:rPr>
              <w:drawing>
                <wp:inline distT="0" distB="0" distL="0" distR="0" wp14:anchorId="057BFE58" wp14:editId="00D91A77">
                  <wp:extent cx="4003613" cy="7650217"/>
                  <wp:effectExtent l="0" t="0" r="0" b="0"/>
                  <wp:docPr id="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4003613" cy="7650217"/>
                          </a:xfrm>
                          <a:prstGeom prst="rect">
                            <a:avLst/>
                          </a:prstGeom>
                          <a:ln/>
                        </pic:spPr>
                      </pic:pic>
                    </a:graphicData>
                  </a:graphic>
                </wp:inline>
              </w:drawing>
            </w:r>
          </w:p>
        </w:tc>
      </w:tr>
    </w:tbl>
    <w:p w14:paraId="12A535D0" w14:textId="77777777" w:rsidR="00B23A57" w:rsidRDefault="00B23A57" w:rsidP="00DA5DAC">
      <w:pPr>
        <w:spacing w:line="240" w:lineRule="auto"/>
        <w:jc w:val="both"/>
        <w:rPr>
          <w:rFonts w:ascii="Times New Roman" w:eastAsia="Times New Roman" w:hAnsi="Times New Roman" w:cs="Times New Roman"/>
          <w:bCs/>
          <w:sz w:val="24"/>
          <w:szCs w:val="24"/>
        </w:rPr>
      </w:pPr>
      <w:bookmarkStart w:id="50" w:name="_heading=h.e0decv1sm6mc" w:colFirst="0" w:colLast="0"/>
      <w:bookmarkEnd w:id="50"/>
    </w:p>
    <w:p w14:paraId="5B514804" w14:textId="4A7FACD2"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bCs/>
          <w:sz w:val="24"/>
          <w:szCs w:val="24"/>
        </w:rPr>
        <w:t>Figure S</w:t>
      </w:r>
      <w:r w:rsidR="00DA5DAC" w:rsidRPr="00DA5DAC">
        <w:rPr>
          <w:rFonts w:ascii="Times New Roman" w:eastAsia="Times New Roman" w:hAnsi="Times New Roman" w:cs="Times New Roman"/>
          <w:bCs/>
          <w:sz w:val="24"/>
          <w:szCs w:val="24"/>
        </w:rPr>
        <w:t>2.</w:t>
      </w:r>
      <w:r w:rsidRPr="00DA5DAC">
        <w:rPr>
          <w:rFonts w:ascii="Times New Roman" w:eastAsia="Times New Roman" w:hAnsi="Times New Roman" w:cs="Times New Roman"/>
          <w:bCs/>
          <w:sz w:val="24"/>
          <w:szCs w:val="24"/>
        </w:rPr>
        <w:t>1</w:t>
      </w:r>
      <w:r w:rsidR="00DA5DAC" w:rsidRPr="00DA5DAC">
        <w:rPr>
          <w:rFonts w:ascii="Times New Roman" w:eastAsia="Times New Roman" w:hAnsi="Times New Roman" w:cs="Times New Roman"/>
          <w:bCs/>
          <w:sz w:val="24"/>
          <w:szCs w:val="24"/>
        </w:rPr>
        <w:t>.</w:t>
      </w:r>
      <w:r w:rsidRPr="00DA5DAC">
        <w:rPr>
          <w:rFonts w:ascii="Times New Roman" w:eastAsia="Times New Roman" w:hAnsi="Times New Roman" w:cs="Times New Roman"/>
          <w:bCs/>
          <w:sz w:val="24"/>
          <w:szCs w:val="24"/>
        </w:rPr>
        <w:t> A)</w:t>
      </w:r>
      <w:r w:rsidRPr="00DA5DAC">
        <w:rPr>
          <w:rFonts w:ascii="Times New Roman" w:eastAsia="Times New Roman" w:hAnsi="Times New Roman" w:cs="Times New Roman"/>
          <w:b/>
          <w:sz w:val="24"/>
          <w:szCs w:val="24"/>
        </w:rPr>
        <w:t xml:space="preserve"> </w:t>
      </w:r>
      <w:r w:rsidRPr="00DA5DAC">
        <w:rPr>
          <w:rFonts w:ascii="Times New Roman" w:eastAsia="Times New Roman" w:hAnsi="Times New Roman" w:cs="Times New Roman"/>
          <w:sz w:val="24"/>
          <w:szCs w:val="24"/>
        </w:rPr>
        <w:t>Principal Component Analysis (PCA) of Western Europe</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s modern population with ancient individuals from Worlebury (yellow diamonds) projected using smartPCA (Patterson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2012). B) Zoom of PCA to highlight individuals from the Iron Age closely related to the Worlebury individuals</w:t>
      </w:r>
      <w:r w:rsidRPr="00B23A57">
        <w:rPr>
          <w:rFonts w:ascii="Times New Roman" w:eastAsia="Times New Roman" w:hAnsi="Times New Roman" w:cs="Times New Roman"/>
          <w:bCs/>
          <w:sz w:val="24"/>
          <w:szCs w:val="24"/>
        </w:rPr>
        <w:t>.</w:t>
      </w:r>
      <w:r w:rsidRPr="00DA5DAC">
        <w:rPr>
          <w:rFonts w:ascii="Times New Roman" w:eastAsia="Times New Roman" w:hAnsi="Times New Roman" w:cs="Times New Roman"/>
          <w:b/>
          <w:sz w:val="24"/>
          <w:szCs w:val="24"/>
        </w:rPr>
        <w:t xml:space="preserve"> </w:t>
      </w:r>
      <w:r w:rsidRPr="00DA5DAC">
        <w:rPr>
          <w:rFonts w:ascii="Times New Roman" w:eastAsia="Times New Roman" w:hAnsi="Times New Roman" w:cs="Times New Roman"/>
          <w:sz w:val="24"/>
          <w:szCs w:val="24"/>
        </w:rPr>
        <w:t>Small grey dots represent modern individuals. Iron Age (IA) individuals from England, France, Scotland</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Spain are plotted as triangles.</w:t>
      </w:r>
    </w:p>
    <w:p w14:paraId="58449EE3"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5B9057B5"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4B81B483" w14:textId="77777777" w:rsidR="000E5EA3" w:rsidRPr="00DA5DAC" w:rsidRDefault="00000000" w:rsidP="00DA5DAC">
      <w:pPr>
        <w:spacing w:line="240" w:lineRule="auto"/>
        <w:jc w:val="center"/>
        <w:rPr>
          <w:rFonts w:ascii="Times New Roman" w:eastAsia="Times New Roman" w:hAnsi="Times New Roman" w:cs="Times New Roman"/>
          <w:sz w:val="24"/>
          <w:szCs w:val="24"/>
        </w:rPr>
      </w:pPr>
      <w:r w:rsidRPr="00DA5DAC">
        <w:rPr>
          <w:rFonts w:ascii="Times New Roman" w:eastAsia="Times New Roman" w:hAnsi="Times New Roman" w:cs="Times New Roman"/>
          <w:noProof/>
          <w:sz w:val="24"/>
          <w:szCs w:val="24"/>
        </w:rPr>
        <w:drawing>
          <wp:inline distT="0" distB="0" distL="0" distR="0" wp14:anchorId="23D8E5F4" wp14:editId="52FA8740">
            <wp:extent cx="3343715" cy="3764460"/>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3343715" cy="3764460"/>
                    </a:xfrm>
                    <a:prstGeom prst="rect">
                      <a:avLst/>
                    </a:prstGeom>
                    <a:ln/>
                  </pic:spPr>
                </pic:pic>
              </a:graphicData>
            </a:graphic>
          </wp:inline>
        </w:drawing>
      </w:r>
    </w:p>
    <w:p w14:paraId="577030B6" w14:textId="77777777" w:rsidR="008E5A8E" w:rsidRDefault="008E5A8E" w:rsidP="00DA5DAC">
      <w:pPr>
        <w:spacing w:line="240" w:lineRule="auto"/>
        <w:jc w:val="both"/>
        <w:rPr>
          <w:rFonts w:ascii="Times New Roman" w:eastAsia="Times New Roman" w:hAnsi="Times New Roman" w:cs="Times New Roman"/>
          <w:bCs/>
          <w:sz w:val="24"/>
          <w:szCs w:val="24"/>
        </w:rPr>
      </w:pPr>
      <w:bookmarkStart w:id="51" w:name="_heading=h.oigvn9dn0qpn" w:colFirst="0" w:colLast="0"/>
      <w:bookmarkEnd w:id="51"/>
    </w:p>
    <w:p w14:paraId="49F6E5CC" w14:textId="1211FEFF" w:rsidR="000E5EA3" w:rsidRPr="00DA5DAC" w:rsidRDefault="00000000" w:rsidP="00DA5DAC">
      <w:pPr>
        <w:spacing w:line="240" w:lineRule="auto"/>
        <w:jc w:val="both"/>
        <w:rPr>
          <w:rFonts w:ascii="Times New Roman" w:eastAsia="Times New Roman" w:hAnsi="Times New Roman" w:cs="Times New Roman"/>
          <w:sz w:val="24"/>
          <w:szCs w:val="24"/>
        </w:rPr>
      </w:pPr>
      <w:r w:rsidRPr="00B23A57">
        <w:rPr>
          <w:rFonts w:ascii="Times New Roman" w:eastAsia="Times New Roman" w:hAnsi="Times New Roman" w:cs="Times New Roman"/>
          <w:bCs/>
          <w:sz w:val="24"/>
          <w:szCs w:val="24"/>
        </w:rPr>
        <w:t>Figure S2</w:t>
      </w:r>
      <w:r w:rsidR="00B23A57" w:rsidRPr="00B23A57">
        <w:rPr>
          <w:rFonts w:ascii="Times New Roman" w:eastAsia="Times New Roman" w:hAnsi="Times New Roman" w:cs="Times New Roman"/>
          <w:bCs/>
          <w:sz w:val="24"/>
          <w:szCs w:val="24"/>
        </w:rPr>
        <w:t>.2.</w:t>
      </w:r>
      <w:r w:rsidRPr="00DA5DAC">
        <w:rPr>
          <w:rFonts w:ascii="Times New Roman" w:eastAsia="Times New Roman" w:hAnsi="Times New Roman" w:cs="Times New Roman"/>
          <w:sz w:val="24"/>
          <w:szCs w:val="24"/>
        </w:rPr>
        <w:t xml:space="preserve"> Percentage of the contribution of ancient populations to each individual (EEF: Early European Farmers; WHGA: Western Hunter Gatherers)</w:t>
      </w:r>
    </w:p>
    <w:p w14:paraId="1FDAA5A4"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221158F3" w14:textId="77777777" w:rsidR="000E5EA3" w:rsidRPr="00DA5DAC" w:rsidRDefault="000E5EA3" w:rsidP="00DA5DAC">
      <w:pPr>
        <w:spacing w:line="240" w:lineRule="auto"/>
        <w:jc w:val="both"/>
        <w:rPr>
          <w:rFonts w:ascii="Times New Roman" w:eastAsia="Times New Roman" w:hAnsi="Times New Roman" w:cs="Times New Roman"/>
          <w:sz w:val="24"/>
          <w:szCs w:val="24"/>
        </w:rPr>
      </w:pPr>
    </w:p>
    <w:p w14:paraId="5B48B0A6" w14:textId="77777777" w:rsidR="008E5A8E" w:rsidRDefault="00000000" w:rsidP="00DA5DAC">
      <w:pPr>
        <w:spacing w:line="240" w:lineRule="auto"/>
        <w:jc w:val="both"/>
        <w:rPr>
          <w:rFonts w:ascii="Times New Roman" w:eastAsia="Times New Roman" w:hAnsi="Times New Roman" w:cs="Times New Roman"/>
          <w:bCs/>
          <w:sz w:val="24"/>
          <w:szCs w:val="24"/>
        </w:rPr>
      </w:pPr>
      <w:bookmarkStart w:id="52" w:name="_heading=h.3m18u985uz9k" w:colFirst="0" w:colLast="0"/>
      <w:bookmarkEnd w:id="52"/>
      <w:r w:rsidRPr="00DA5DAC">
        <w:rPr>
          <w:rFonts w:ascii="Times New Roman" w:eastAsia="Times New Roman" w:hAnsi="Times New Roman" w:cs="Times New Roman"/>
          <w:noProof/>
          <w:sz w:val="24"/>
          <w:szCs w:val="24"/>
        </w:rPr>
        <w:drawing>
          <wp:inline distT="0" distB="0" distL="0" distR="0" wp14:anchorId="70237DC6" wp14:editId="1C9CFD28">
            <wp:extent cx="5727700" cy="3051175"/>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727700" cy="3051175"/>
                    </a:xfrm>
                    <a:prstGeom prst="rect">
                      <a:avLst/>
                    </a:prstGeom>
                    <a:ln/>
                  </pic:spPr>
                </pic:pic>
              </a:graphicData>
            </a:graphic>
          </wp:inline>
        </w:drawing>
      </w:r>
    </w:p>
    <w:p w14:paraId="3771568C" w14:textId="77777777" w:rsidR="008E5A8E" w:rsidRDefault="008E5A8E" w:rsidP="00DA5DAC">
      <w:pPr>
        <w:spacing w:line="240" w:lineRule="auto"/>
        <w:jc w:val="both"/>
        <w:rPr>
          <w:rFonts w:ascii="Times New Roman" w:eastAsia="Times New Roman" w:hAnsi="Times New Roman" w:cs="Times New Roman"/>
          <w:bCs/>
          <w:sz w:val="24"/>
          <w:szCs w:val="24"/>
        </w:rPr>
      </w:pPr>
    </w:p>
    <w:p w14:paraId="0E8E29FD" w14:textId="0EADAA77" w:rsidR="000E5EA3" w:rsidRDefault="00000000" w:rsidP="00DA5DAC">
      <w:pPr>
        <w:spacing w:line="240" w:lineRule="auto"/>
        <w:jc w:val="both"/>
        <w:rPr>
          <w:rFonts w:ascii="Times New Roman" w:eastAsia="Times New Roman" w:hAnsi="Times New Roman" w:cs="Times New Roman"/>
          <w:sz w:val="24"/>
          <w:szCs w:val="24"/>
        </w:rPr>
      </w:pPr>
      <w:r w:rsidRPr="00B23A57">
        <w:rPr>
          <w:rFonts w:ascii="Times New Roman" w:eastAsia="Times New Roman" w:hAnsi="Times New Roman" w:cs="Times New Roman"/>
          <w:bCs/>
          <w:sz w:val="24"/>
          <w:szCs w:val="24"/>
        </w:rPr>
        <w:t>Figure S</w:t>
      </w:r>
      <w:r w:rsidR="00B23A57" w:rsidRPr="00B23A57">
        <w:rPr>
          <w:rFonts w:ascii="Times New Roman" w:eastAsia="Times New Roman" w:hAnsi="Times New Roman" w:cs="Times New Roman"/>
          <w:bCs/>
          <w:sz w:val="24"/>
          <w:szCs w:val="24"/>
        </w:rPr>
        <w:t>2.</w:t>
      </w:r>
      <w:r w:rsidRPr="00B23A57">
        <w:rPr>
          <w:rFonts w:ascii="Times New Roman" w:eastAsia="Times New Roman" w:hAnsi="Times New Roman" w:cs="Times New Roman"/>
          <w:bCs/>
          <w:sz w:val="24"/>
          <w:szCs w:val="24"/>
        </w:rPr>
        <w:t>3</w:t>
      </w:r>
      <w:r w:rsidR="00B23A57" w:rsidRPr="00B23A57">
        <w:rPr>
          <w:rFonts w:ascii="Times New Roman" w:eastAsia="Times New Roman" w:hAnsi="Times New Roman" w:cs="Times New Roman"/>
          <w:bCs/>
          <w:sz w:val="24"/>
          <w:szCs w:val="24"/>
        </w:rPr>
        <w:t>.</w:t>
      </w:r>
      <w:r w:rsidRPr="00B23A57">
        <w:rPr>
          <w:rFonts w:ascii="Times New Roman" w:eastAsia="Times New Roman" w:hAnsi="Times New Roman" w:cs="Times New Roman"/>
          <w:bCs/>
          <w:sz w:val="24"/>
          <w:szCs w:val="24"/>
        </w:rPr>
        <w:t xml:space="preserve"> A) Affinity between each individual with Early European Farmer (EEF) and Steppe populations. B)</w:t>
      </w:r>
      <w:r w:rsidRPr="00DA5DAC">
        <w:rPr>
          <w:rFonts w:ascii="Times New Roman" w:eastAsia="Times New Roman" w:hAnsi="Times New Roman" w:cs="Times New Roman"/>
          <w:sz w:val="24"/>
          <w:szCs w:val="24"/>
        </w:rPr>
        <w:t xml:space="preserve"> Percentage of contribution of Steppe and EEF ancestry to each individual.</w:t>
      </w:r>
    </w:p>
    <w:p w14:paraId="7EED7BDD" w14:textId="77777777" w:rsidR="000E5EA3" w:rsidRPr="00DA5DAC" w:rsidRDefault="000E5EA3" w:rsidP="00DA5DAC">
      <w:pPr>
        <w:spacing w:line="240" w:lineRule="auto"/>
        <w:jc w:val="both"/>
        <w:rPr>
          <w:rFonts w:ascii="Times New Roman" w:eastAsia="Times New Roman" w:hAnsi="Times New Roman" w:cs="Times New Roman"/>
          <w:b/>
          <w:sz w:val="24"/>
          <w:szCs w:val="24"/>
        </w:rPr>
      </w:pPr>
    </w:p>
    <w:tbl>
      <w:tblPr>
        <w:tblStyle w:val="a8"/>
        <w:tblW w:w="4575" w:type="dxa"/>
        <w:jc w:val="center"/>
        <w:tblBorders>
          <w:top w:val="single" w:sz="4" w:space="0" w:color="666666"/>
          <w:left w:val="single" w:sz="4" w:space="0" w:color="000000"/>
          <w:bottom w:val="single" w:sz="4" w:space="0" w:color="666666"/>
          <w:right w:val="single" w:sz="4" w:space="0" w:color="000000"/>
          <w:insideH w:val="single" w:sz="4" w:space="0" w:color="666666"/>
          <w:insideV w:val="single" w:sz="4" w:space="0" w:color="666666"/>
        </w:tblBorders>
        <w:tblLayout w:type="fixed"/>
        <w:tblLook w:val="04A0" w:firstRow="1" w:lastRow="0" w:firstColumn="1" w:lastColumn="0" w:noHBand="0" w:noVBand="1"/>
      </w:tblPr>
      <w:tblGrid>
        <w:gridCol w:w="3000"/>
        <w:gridCol w:w="735"/>
        <w:gridCol w:w="840"/>
      </w:tblGrid>
      <w:tr w:rsidR="000E5EA3" w:rsidRPr="00DA5DAC" w14:paraId="4331AF2E" w14:textId="77777777" w:rsidTr="00B23A57">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3000" w:type="dxa"/>
            <w:vAlign w:val="center"/>
          </w:tcPr>
          <w:p w14:paraId="77B5CCE3" w14:textId="77777777" w:rsidR="000E5EA3" w:rsidRPr="00DA5DAC" w:rsidRDefault="00000000" w:rsidP="00B23A57">
            <w:pPr>
              <w:spacing w:line="240" w:lineRule="auto"/>
              <w:jc w:val="left"/>
              <w:rPr>
                <w:rFonts w:ascii="Times New Roman" w:eastAsia="Times New Roman" w:hAnsi="Times New Roman" w:cs="Times New Roman"/>
                <w:b/>
              </w:rPr>
            </w:pPr>
            <w:r w:rsidRPr="00DA5DAC">
              <w:rPr>
                <w:rFonts w:ascii="Times New Roman" w:eastAsia="Times New Roman" w:hAnsi="Times New Roman" w:cs="Times New Roman"/>
                <w:b/>
                <w:sz w:val="22"/>
                <w:szCs w:val="22"/>
              </w:rPr>
              <w:lastRenderedPageBreak/>
              <w:t>Group (Patterson et al. 2022)</w:t>
            </w:r>
          </w:p>
        </w:tc>
        <w:tc>
          <w:tcPr>
            <w:tcW w:w="735" w:type="dxa"/>
            <w:vAlign w:val="center"/>
          </w:tcPr>
          <w:p w14:paraId="14820732" w14:textId="77777777" w:rsidR="000E5EA3" w:rsidRPr="00DA5DAC" w:rsidRDefault="00000000" w:rsidP="00B23A57">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DA5DAC">
              <w:rPr>
                <w:rFonts w:ascii="Times New Roman" w:eastAsia="Times New Roman" w:hAnsi="Times New Roman" w:cs="Times New Roman"/>
                <w:b/>
                <w:sz w:val="22"/>
                <w:szCs w:val="22"/>
              </w:rPr>
              <w:t>chisq</w:t>
            </w:r>
          </w:p>
        </w:tc>
        <w:tc>
          <w:tcPr>
            <w:tcW w:w="840" w:type="dxa"/>
            <w:vAlign w:val="center"/>
          </w:tcPr>
          <w:p w14:paraId="5B5ABDD6" w14:textId="77777777" w:rsidR="000E5EA3" w:rsidRPr="00DA5DAC" w:rsidRDefault="00000000" w:rsidP="00B23A57">
            <w:pPr>
              <w:spacing w:line="240" w:lineRule="auto"/>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sz w:val="24"/>
                <w:szCs w:val="24"/>
              </w:rPr>
            </w:pPr>
            <w:r w:rsidRPr="00DA5DAC">
              <w:rPr>
                <w:rFonts w:ascii="Times New Roman" w:eastAsia="Times New Roman" w:hAnsi="Times New Roman" w:cs="Times New Roman"/>
                <w:b/>
                <w:sz w:val="24"/>
                <w:szCs w:val="24"/>
              </w:rPr>
              <w:t>p</w:t>
            </w:r>
          </w:p>
        </w:tc>
      </w:tr>
      <w:tr w:rsidR="000E5EA3" w:rsidRPr="00DA5DAC" w14:paraId="74C13755" w14:textId="77777777" w:rsidTr="00B23A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641A5BE3"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England.Southeast_IA</w:t>
            </w:r>
          </w:p>
        </w:tc>
        <w:tc>
          <w:tcPr>
            <w:tcW w:w="735" w:type="dxa"/>
            <w:vAlign w:val="center"/>
          </w:tcPr>
          <w:p w14:paraId="62440E0C"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5.8</w:t>
            </w:r>
          </w:p>
        </w:tc>
        <w:tc>
          <w:tcPr>
            <w:tcW w:w="840" w:type="dxa"/>
            <w:vAlign w:val="center"/>
          </w:tcPr>
          <w:p w14:paraId="67DBC27E"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sz w:val="24"/>
                <w:szCs w:val="24"/>
              </w:rPr>
            </w:pPr>
            <w:r w:rsidRPr="00DA5DAC">
              <w:rPr>
                <w:rFonts w:ascii="Times New Roman" w:eastAsia="Times New Roman" w:hAnsi="Times New Roman" w:cs="Times New Roman"/>
                <w:b/>
                <w:sz w:val="24"/>
                <w:szCs w:val="24"/>
              </w:rPr>
              <w:t>0.565</w:t>
            </w:r>
          </w:p>
        </w:tc>
      </w:tr>
      <w:tr w:rsidR="000E5EA3" w:rsidRPr="00DA5DAC" w14:paraId="6F7D0240" w14:textId="77777777" w:rsidTr="00B23A57">
        <w:trPr>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3374B6BC"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England.Southwest_IA</w:t>
            </w:r>
          </w:p>
        </w:tc>
        <w:tc>
          <w:tcPr>
            <w:tcW w:w="735" w:type="dxa"/>
            <w:vAlign w:val="center"/>
          </w:tcPr>
          <w:p w14:paraId="1F9311B5"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6.4</w:t>
            </w:r>
          </w:p>
        </w:tc>
        <w:tc>
          <w:tcPr>
            <w:tcW w:w="840" w:type="dxa"/>
            <w:vAlign w:val="center"/>
          </w:tcPr>
          <w:p w14:paraId="681B0433"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0.495</w:t>
            </w:r>
          </w:p>
        </w:tc>
      </w:tr>
      <w:tr w:rsidR="000E5EA3" w:rsidRPr="00DA5DAC" w14:paraId="32CC59AB" w14:textId="77777777" w:rsidTr="00B23A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29CC3668"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England.Southcentral_IA</w:t>
            </w:r>
          </w:p>
        </w:tc>
        <w:tc>
          <w:tcPr>
            <w:tcW w:w="735" w:type="dxa"/>
            <w:vAlign w:val="center"/>
          </w:tcPr>
          <w:p w14:paraId="1A4FEF80"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7.2</w:t>
            </w:r>
          </w:p>
        </w:tc>
        <w:tc>
          <w:tcPr>
            <w:tcW w:w="840" w:type="dxa"/>
            <w:vAlign w:val="center"/>
          </w:tcPr>
          <w:p w14:paraId="07A3D26D"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0.409</w:t>
            </w:r>
          </w:p>
        </w:tc>
      </w:tr>
      <w:tr w:rsidR="000E5EA3" w:rsidRPr="00DA5DAC" w14:paraId="49BACEAE" w14:textId="77777777" w:rsidTr="00B23A57">
        <w:trPr>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6498C631"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England.EastYorkshire_IA</w:t>
            </w:r>
          </w:p>
        </w:tc>
        <w:tc>
          <w:tcPr>
            <w:tcW w:w="735" w:type="dxa"/>
            <w:vAlign w:val="center"/>
          </w:tcPr>
          <w:p w14:paraId="53F8342B"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8.9</w:t>
            </w:r>
          </w:p>
        </w:tc>
        <w:tc>
          <w:tcPr>
            <w:tcW w:w="840" w:type="dxa"/>
            <w:vAlign w:val="center"/>
          </w:tcPr>
          <w:p w14:paraId="73F644D0"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0.261</w:t>
            </w:r>
          </w:p>
        </w:tc>
      </w:tr>
      <w:tr w:rsidR="000E5EA3" w:rsidRPr="00DA5DAC" w14:paraId="587959C9" w14:textId="77777777" w:rsidTr="00B23A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1E97D170"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England.North_IA</w:t>
            </w:r>
          </w:p>
        </w:tc>
        <w:tc>
          <w:tcPr>
            <w:tcW w:w="735" w:type="dxa"/>
            <w:vAlign w:val="center"/>
          </w:tcPr>
          <w:p w14:paraId="414A8290"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9.4</w:t>
            </w:r>
          </w:p>
        </w:tc>
        <w:tc>
          <w:tcPr>
            <w:tcW w:w="840" w:type="dxa"/>
            <w:vAlign w:val="center"/>
          </w:tcPr>
          <w:p w14:paraId="627FB616"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0.223</w:t>
            </w:r>
          </w:p>
        </w:tc>
      </w:tr>
      <w:tr w:rsidR="000E5EA3" w:rsidRPr="00DA5DAC" w14:paraId="18D5E1B6" w14:textId="77777777" w:rsidTr="00B23A57">
        <w:trPr>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42764E29"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Wales.South_IA</w:t>
            </w:r>
          </w:p>
        </w:tc>
        <w:tc>
          <w:tcPr>
            <w:tcW w:w="735" w:type="dxa"/>
            <w:vAlign w:val="center"/>
          </w:tcPr>
          <w:p w14:paraId="4FA14213"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9.7</w:t>
            </w:r>
          </w:p>
        </w:tc>
        <w:tc>
          <w:tcPr>
            <w:tcW w:w="840" w:type="dxa"/>
            <w:vAlign w:val="center"/>
          </w:tcPr>
          <w:p w14:paraId="7870C22B"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0.206</w:t>
            </w:r>
          </w:p>
        </w:tc>
      </w:tr>
      <w:tr w:rsidR="000E5EA3" w:rsidRPr="00DA5DAC" w14:paraId="25EA2826" w14:textId="77777777" w:rsidTr="00B23A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6040C0C8"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England.EastAnglia_IA</w:t>
            </w:r>
          </w:p>
        </w:tc>
        <w:tc>
          <w:tcPr>
            <w:tcW w:w="735" w:type="dxa"/>
            <w:vAlign w:val="center"/>
          </w:tcPr>
          <w:p w14:paraId="2F30A54E"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14.7</w:t>
            </w:r>
          </w:p>
        </w:tc>
        <w:tc>
          <w:tcPr>
            <w:tcW w:w="840" w:type="dxa"/>
            <w:vAlign w:val="center"/>
          </w:tcPr>
          <w:p w14:paraId="78426358"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0.040</w:t>
            </w:r>
          </w:p>
        </w:tc>
      </w:tr>
      <w:tr w:rsidR="000E5EA3" w:rsidRPr="00DA5DAC" w14:paraId="3BEBED6B" w14:textId="77777777" w:rsidTr="00B23A57">
        <w:trPr>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2312F2FA"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England.Cornwall_IA</w:t>
            </w:r>
          </w:p>
        </w:tc>
        <w:tc>
          <w:tcPr>
            <w:tcW w:w="735" w:type="dxa"/>
            <w:vAlign w:val="center"/>
          </w:tcPr>
          <w:p w14:paraId="29002B00"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15.5</w:t>
            </w:r>
          </w:p>
        </w:tc>
        <w:tc>
          <w:tcPr>
            <w:tcW w:w="840" w:type="dxa"/>
            <w:vAlign w:val="center"/>
          </w:tcPr>
          <w:p w14:paraId="067E7219"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0.031</w:t>
            </w:r>
          </w:p>
        </w:tc>
      </w:tr>
      <w:tr w:rsidR="000E5EA3" w:rsidRPr="00DA5DAC" w14:paraId="065E3279" w14:textId="77777777" w:rsidTr="00B23A57">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64FFEE85"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Wales.North_IA</w:t>
            </w:r>
          </w:p>
        </w:tc>
        <w:tc>
          <w:tcPr>
            <w:tcW w:w="735" w:type="dxa"/>
            <w:vAlign w:val="center"/>
          </w:tcPr>
          <w:p w14:paraId="496E5D8D"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15.9</w:t>
            </w:r>
          </w:p>
        </w:tc>
        <w:tc>
          <w:tcPr>
            <w:tcW w:w="840" w:type="dxa"/>
            <w:vAlign w:val="center"/>
          </w:tcPr>
          <w:p w14:paraId="2A07C004" w14:textId="77777777" w:rsidR="000E5EA3" w:rsidRPr="00DA5DAC" w:rsidRDefault="00000000" w:rsidP="00B23A57">
            <w:pPr>
              <w:spacing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0.026</w:t>
            </w:r>
          </w:p>
        </w:tc>
      </w:tr>
      <w:tr w:rsidR="000E5EA3" w:rsidRPr="00DA5DAC" w14:paraId="07D61AE0" w14:textId="77777777" w:rsidTr="00B23A57">
        <w:trPr>
          <w:trHeight w:val="315"/>
          <w:jc w:val="center"/>
        </w:trPr>
        <w:tc>
          <w:tcPr>
            <w:cnfStyle w:val="001000000000" w:firstRow="0" w:lastRow="0" w:firstColumn="1" w:lastColumn="0" w:oddVBand="0" w:evenVBand="0" w:oddHBand="0" w:evenHBand="0" w:firstRowFirstColumn="0" w:firstRowLastColumn="0" w:lastRowFirstColumn="0" w:lastRowLastColumn="0"/>
            <w:tcW w:w="3000" w:type="dxa"/>
            <w:vAlign w:val="center"/>
          </w:tcPr>
          <w:p w14:paraId="66C2F757" w14:textId="77777777" w:rsidR="000E5EA3" w:rsidRPr="00DA5DAC" w:rsidRDefault="00000000" w:rsidP="00B23A57">
            <w:pPr>
              <w:spacing w:line="240" w:lineRule="auto"/>
              <w:jc w:val="left"/>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France_IA</w:t>
            </w:r>
          </w:p>
        </w:tc>
        <w:tc>
          <w:tcPr>
            <w:tcW w:w="735" w:type="dxa"/>
            <w:vAlign w:val="center"/>
          </w:tcPr>
          <w:p w14:paraId="6097A4F6"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22.6</w:t>
            </w:r>
          </w:p>
        </w:tc>
        <w:tc>
          <w:tcPr>
            <w:tcW w:w="840" w:type="dxa"/>
            <w:vAlign w:val="center"/>
          </w:tcPr>
          <w:p w14:paraId="34A061D6" w14:textId="77777777" w:rsidR="000E5EA3" w:rsidRPr="00DA5DAC" w:rsidRDefault="00000000" w:rsidP="00B23A57">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0.002</w:t>
            </w:r>
          </w:p>
        </w:tc>
      </w:tr>
    </w:tbl>
    <w:p w14:paraId="507E7AF7" w14:textId="77777777" w:rsidR="005C0F3F" w:rsidRDefault="005C0F3F" w:rsidP="00DA5DAC">
      <w:pPr>
        <w:spacing w:line="240" w:lineRule="auto"/>
        <w:jc w:val="both"/>
        <w:rPr>
          <w:rFonts w:ascii="Times New Roman" w:eastAsia="Times New Roman" w:hAnsi="Times New Roman" w:cs="Times New Roman"/>
          <w:bCs/>
          <w:sz w:val="24"/>
          <w:szCs w:val="24"/>
        </w:rPr>
      </w:pPr>
      <w:bookmarkStart w:id="53" w:name="_heading=h.x7z7w7hxzbk3" w:colFirst="0" w:colLast="0"/>
      <w:bookmarkEnd w:id="53"/>
    </w:p>
    <w:p w14:paraId="3BD1A578" w14:textId="365AB27F" w:rsidR="000E5EA3" w:rsidRPr="00DA5DAC" w:rsidRDefault="00000000" w:rsidP="00DA5DAC">
      <w:pPr>
        <w:spacing w:line="240" w:lineRule="auto"/>
        <w:jc w:val="both"/>
        <w:rPr>
          <w:rFonts w:ascii="Times New Roman" w:eastAsia="Times New Roman" w:hAnsi="Times New Roman" w:cs="Times New Roman"/>
          <w:b/>
          <w:sz w:val="24"/>
          <w:szCs w:val="24"/>
        </w:rPr>
      </w:pPr>
      <w:r w:rsidRPr="00B23A57">
        <w:rPr>
          <w:rFonts w:ascii="Times New Roman" w:eastAsia="Times New Roman" w:hAnsi="Times New Roman" w:cs="Times New Roman"/>
          <w:bCs/>
          <w:sz w:val="24"/>
          <w:szCs w:val="24"/>
        </w:rPr>
        <w:t>Table S</w:t>
      </w:r>
      <w:r w:rsidR="00B23A57" w:rsidRPr="00B23A57">
        <w:rPr>
          <w:rFonts w:ascii="Times New Roman" w:eastAsia="Times New Roman" w:hAnsi="Times New Roman" w:cs="Times New Roman"/>
          <w:bCs/>
          <w:sz w:val="24"/>
          <w:szCs w:val="24"/>
        </w:rPr>
        <w:t>2.</w:t>
      </w:r>
      <w:r w:rsidRPr="00B23A57">
        <w:rPr>
          <w:rFonts w:ascii="Times New Roman" w:eastAsia="Times New Roman" w:hAnsi="Times New Roman" w:cs="Times New Roman"/>
          <w:bCs/>
          <w:sz w:val="24"/>
          <w:szCs w:val="24"/>
        </w:rPr>
        <w:t>1</w:t>
      </w:r>
      <w:r w:rsidR="00B23A57" w:rsidRPr="00B23A57">
        <w:rPr>
          <w:rFonts w:ascii="Times New Roman" w:eastAsia="Times New Roman" w:hAnsi="Times New Roman" w:cs="Times New Roman"/>
          <w:bCs/>
          <w:sz w:val="24"/>
          <w:szCs w:val="24"/>
        </w:rPr>
        <w:t>.</w:t>
      </w:r>
      <w:r w:rsidRPr="00DA5DAC">
        <w:rPr>
          <w:rFonts w:ascii="Times New Roman" w:eastAsia="Times New Roman" w:hAnsi="Times New Roman" w:cs="Times New Roman"/>
          <w:sz w:val="24"/>
          <w:szCs w:val="24"/>
        </w:rPr>
        <w:t xml:space="preserve"> qpWave results between Worlebury and contemporaneous groups. The right groups consisted of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OldSteppe</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WHG</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EEF</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OldAfrica</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Afanasievo</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Turkey_N</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WHGB</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Mbuti</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individuals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from Patterson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 The left groups were extracted </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from Patterson </w:t>
      </w:r>
      <w:r w:rsidRPr="00B23A5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w:t>
      </w:r>
    </w:p>
    <w:p w14:paraId="74C5B8DE" w14:textId="7F9E20FB" w:rsidR="005C0F3F" w:rsidRDefault="005C0F3F" w:rsidP="00DA5DA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70642974" w14:textId="77777777" w:rsidR="000E5EA3" w:rsidRPr="00DA5DAC" w:rsidRDefault="000E5EA3" w:rsidP="00DA5DAC">
      <w:pPr>
        <w:spacing w:line="240" w:lineRule="auto"/>
        <w:jc w:val="both"/>
        <w:rPr>
          <w:rFonts w:ascii="Times New Roman" w:eastAsia="Times New Roman" w:hAnsi="Times New Roman" w:cs="Times New Roman"/>
          <w:b/>
          <w:sz w:val="24"/>
          <w:szCs w:val="24"/>
        </w:rPr>
      </w:pPr>
    </w:p>
    <w:tbl>
      <w:tblPr>
        <w:tblStyle w:val="a9"/>
        <w:tblW w:w="11145" w:type="dxa"/>
        <w:tblInd w:w="-1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55"/>
        <w:gridCol w:w="1200"/>
        <w:gridCol w:w="1035"/>
        <w:gridCol w:w="1260"/>
        <w:gridCol w:w="705"/>
        <w:gridCol w:w="900"/>
        <w:gridCol w:w="525"/>
        <w:gridCol w:w="945"/>
        <w:gridCol w:w="510"/>
        <w:gridCol w:w="930"/>
        <w:gridCol w:w="525"/>
        <w:gridCol w:w="930"/>
        <w:gridCol w:w="525"/>
      </w:tblGrid>
      <w:tr w:rsidR="000E5EA3" w:rsidRPr="00DA5DAC" w14:paraId="65316A26"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60521967"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DNA Sample 1</w:t>
            </w:r>
          </w:p>
        </w:tc>
        <w:tc>
          <w:tcPr>
            <w:tcW w:w="12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48A56EE4"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DNA Sample 2</w:t>
            </w:r>
          </w:p>
        </w:tc>
        <w:tc>
          <w:tcPr>
            <w:tcW w:w="103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0D9BFEF1"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Locality 1</w:t>
            </w:r>
          </w:p>
        </w:tc>
        <w:tc>
          <w:tcPr>
            <w:tcW w:w="126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34901C6C"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Locality 2</w:t>
            </w:r>
          </w:p>
        </w:tc>
        <w:tc>
          <w:tcPr>
            <w:tcW w:w="70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179F2FE8"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max_IBD</w:t>
            </w:r>
          </w:p>
        </w:tc>
        <w:tc>
          <w:tcPr>
            <w:tcW w:w="90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50FD947F"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sum_IBD&gt;8</w:t>
            </w:r>
          </w:p>
        </w:tc>
        <w:tc>
          <w:tcPr>
            <w:tcW w:w="5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2B36B556"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n_IBD&gt;8</w:t>
            </w:r>
          </w:p>
        </w:tc>
        <w:tc>
          <w:tcPr>
            <w:tcW w:w="94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6CD77EFA"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sum_IBD&gt;12</w:t>
            </w:r>
          </w:p>
        </w:tc>
        <w:tc>
          <w:tcPr>
            <w:tcW w:w="51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222F3BC0"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n_IBD&gt;12</w:t>
            </w:r>
          </w:p>
        </w:tc>
        <w:tc>
          <w:tcPr>
            <w:tcW w:w="9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0914030E"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sum_IBD&gt;16</w:t>
            </w:r>
          </w:p>
        </w:tc>
        <w:tc>
          <w:tcPr>
            <w:tcW w:w="5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5FC5DC71"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n_IBD&gt;16</w:t>
            </w:r>
          </w:p>
        </w:tc>
        <w:tc>
          <w:tcPr>
            <w:tcW w:w="930"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44A6C945"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sum_IBD&gt;20</w:t>
            </w:r>
          </w:p>
        </w:tc>
        <w:tc>
          <w:tcPr>
            <w:tcW w:w="525"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40" w:type="dxa"/>
              <w:left w:w="40" w:type="dxa"/>
              <w:bottom w:w="40" w:type="dxa"/>
              <w:right w:w="40" w:type="dxa"/>
            </w:tcMar>
            <w:vAlign w:val="center"/>
          </w:tcPr>
          <w:p w14:paraId="4D843D53" w14:textId="77777777" w:rsidR="000E5EA3" w:rsidRPr="00B23A57" w:rsidRDefault="00000000" w:rsidP="00B23A57">
            <w:pPr>
              <w:widowControl w:val="0"/>
              <w:spacing w:line="240" w:lineRule="auto"/>
              <w:rPr>
                <w:rFonts w:ascii="Times New Roman" w:eastAsia="Times New Roman" w:hAnsi="Times New Roman" w:cs="Times New Roman"/>
                <w:b/>
                <w:bCs/>
                <w:sz w:val="15"/>
                <w:szCs w:val="15"/>
                <w:shd w:val="clear" w:color="auto" w:fill="CCCCCC"/>
              </w:rPr>
            </w:pPr>
            <w:r w:rsidRPr="00B23A57">
              <w:rPr>
                <w:rFonts w:ascii="Times New Roman" w:eastAsia="Times New Roman" w:hAnsi="Times New Roman" w:cs="Times New Roman"/>
                <w:b/>
                <w:bCs/>
                <w:sz w:val="15"/>
                <w:szCs w:val="15"/>
                <w:shd w:val="clear" w:color="auto" w:fill="CCCCCC"/>
              </w:rPr>
              <w:t>n_IBD&gt;20</w:t>
            </w:r>
          </w:p>
        </w:tc>
      </w:tr>
      <w:tr w:rsidR="000E5EA3" w:rsidRPr="00DA5DAC" w14:paraId="34BCB2CE"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C21B3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I11142.AG (GENLAB 1)</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9A8D3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I16592.AG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C27F2A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941C8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 (Somerset)</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171B32"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30.848</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7B10D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78.12939733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41495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6</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CA67A0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43.24990511</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9A40AA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3A682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30.84779978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CBADA8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5DC9D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30.84779978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14959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5C5A8823"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6244B9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I11143.AG (GENLAB 2)</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75005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9B596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AC0D29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5C3B27"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27.917</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75645D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168.2812123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C35BD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10</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A7538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127.3203967</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3BFE4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6</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97491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111.7636977</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DB693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5F705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76.34869798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6596E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r>
      <w:tr w:rsidR="000E5EA3" w:rsidRPr="00DA5DAC" w14:paraId="0E89B3EB"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25825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I11143.AG (GENLAB 2)</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06962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I21271.AG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BB3FB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89335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Gravelly Guy (Oxfordshire)</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82755B"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27.225</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DD071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27.22450495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66665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6FB3D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27.22450495</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52784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DDF9D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27.22450495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C76F9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11120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27.22450495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CED816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05AF0578" w14:textId="77777777" w:rsidTr="00B23A57">
        <w:trPr>
          <w:trHeight w:val="528"/>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C8090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I11143.AG (GENLAB 2)</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C0E1B8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I11148.AG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43757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FE4B7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A304E0"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25.913</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FEF8F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46.52110934</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A2E63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67945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25.91289878</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B1BF5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20562B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25.91289878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A9BE1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EEFCA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25.91289878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5F939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7DF08A8D"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7183D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I11143.AG (GENLAB 2)</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DABDB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AE138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30762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320BB7"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25.281</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F838E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75.17469525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AB01E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75DA6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42.60318279</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48A48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DD3D6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42.60318279</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988F77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89D39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25.28139353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8809E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2FAF6BE7"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0046C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I11142.AG (GENLAB 1)</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5A8E3F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B3F3F9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78810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FA5097"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24.502</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6F29E7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55.88409901</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B67E3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140FC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37.45320439</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ADB6A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46214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24.50190783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787CF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5FAC9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24.50190783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6DA71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47B345B2"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7CB5B4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I13726.AG (GENLAB 6/10)</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F789A6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C7B6A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B6498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30AB39"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24.318</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256CF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71.12018615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D32A7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10B0B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52.93228626</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57E04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D44CE0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24.31789637</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39FC2A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FB1C5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24.31789637</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67A2A3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29337453"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859ED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82BB4D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I16592.AG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C6477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AFAD1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8F380C"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23.668</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B65FA2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36.4825964</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3A832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C773D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36.4825964</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B31FB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D4CD4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23.6684978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D40B2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8BD131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23.6684978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92221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279A9971"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025A1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45DD5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49686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367B9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3184E9"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22.360</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CC4CC1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58.37109983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D75CD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11519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40.16619921</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73CB2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453A9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40.16619921</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FE6494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9674D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22.35969305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70C8D6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541E5BDB"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0FD594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I17015.AG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56FD7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46289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8F7CA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FADBFB4"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21.962</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A0163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74.43630099</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81DE5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83B10E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54.79599833</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D039C2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8B174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54.79599833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909E49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B92C20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21.96190357</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2B671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r>
      <w:tr w:rsidR="000E5EA3" w:rsidRPr="00DA5DAC" w14:paraId="762296F3"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B6C87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I13685.AG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36146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I13726.AG (GENLAB 6/10)</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B9F86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7B75B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35FAF58"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19.862</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D68FD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19.86150146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59393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BF5EF5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19.86150146</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EAD09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F5011E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19.86150146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CCCDB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4FC17A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235FE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5F262CDE"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05E26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I13726.AG (GENLAB 6/10)</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4CBB2D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I11148.AG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8634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267D9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Dibbles Farm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AC733A"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19.224</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CD577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77.46499777</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BA0DFB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5</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5B47DB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67.33430028</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480C2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4</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072E3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38.02319765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1853CC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F79E36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16C8E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3087CB1B"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94308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I11143.AG (GENLAB 2)</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E16191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I11147.AG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0CC3DE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Worlebury</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66E83A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8BD903C"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19.066</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B5328B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38.58840466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04CA81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7D8CD5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19.06599998</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349BCA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ED606F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19.06599998</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D5039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DF7D95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8592FB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187EAA9A"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487A5E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I17015.AG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2F523C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I11142.AG (GENLAB 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16A695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Dibbles Farm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58764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BED17F"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18.682</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77BC1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33.84580612</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77BF1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EA64B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33.84580612</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6A36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56DDD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18.681705</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0884E0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2637B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D35154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44C1100A"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E638CF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I11148.AG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C22DFD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F19F8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Dibbles Farm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82043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6E97E36"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17.125</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69BC69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17.12500006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1E7B0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96386A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17.12500006</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3181D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4F18C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17.12500006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D75836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FA1E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431C78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7A5E5932"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D9122B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I11142.AG (GENLAB 1)</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3EE244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1F237B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Worlebury</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45060B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A9B2246"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14.772</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7EB07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65.86421132</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43D72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6</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CA2205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29.18040752</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2BF079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592F3D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A22E1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CFFDA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42D7D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2DAEA699"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90BF1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I11142.AG (GENLAB 1)</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BFE91DF"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I11147.AG</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02ECF5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Worlebury</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D3E57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Dibbles Farm</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217B371"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13.120</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24BD76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76.53048933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292A29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7</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7377F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26.04559958</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ECDBF5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2</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631E4B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20FDBA"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3B2A4F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6F236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2E1B4C8F"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03A168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I13726.AG (GENLAB 6/10)</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F7FBFF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I11991.AG (GENLAB 3/5)</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2F44F0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188B9C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54ADE68"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15.751</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443059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15.75089693</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3A221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33B651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15.75089693</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8A2D45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9B7E58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EEDCF3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433B3B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8276F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4C74C97F"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54C77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I16439.AG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774FEF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I13726.AG (GENLAB 6/10)</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652DC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Harlyn Bay (Cornwall)</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A9B11E7"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A0A8B21"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15.476</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188646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15.47560096</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87FAC96"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50CDE0C"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15.47560096</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AF325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12B5ED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7E153A3"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A527AA4"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937CB0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r w:rsidR="000E5EA3" w:rsidRPr="00DA5DAC" w14:paraId="675F479F" w14:textId="77777777" w:rsidTr="00B23A57">
        <w:trPr>
          <w:trHeight w:val="315"/>
        </w:trPr>
        <w:tc>
          <w:tcPr>
            <w:tcW w:w="115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762F3F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I14858.AG</w:t>
            </w:r>
          </w:p>
        </w:tc>
        <w:tc>
          <w:tcPr>
            <w:tcW w:w="12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A35201E"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I11992.AG (GENLAB 4/11)</w:t>
            </w:r>
          </w:p>
        </w:tc>
        <w:tc>
          <w:tcPr>
            <w:tcW w:w="103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131E0840"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Cliffs End Farm (Kent)</w:t>
            </w:r>
          </w:p>
        </w:tc>
        <w:tc>
          <w:tcPr>
            <w:tcW w:w="126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022F4191"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Worlebury </w:t>
            </w:r>
          </w:p>
        </w:tc>
        <w:tc>
          <w:tcPr>
            <w:tcW w:w="70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69F301A2" w14:textId="77777777" w:rsidR="000E5EA3" w:rsidRPr="00DA5DAC" w:rsidRDefault="00000000" w:rsidP="00B23A57">
            <w:pPr>
              <w:keepNext/>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 xml:space="preserve">14.128 </w:t>
            </w:r>
          </w:p>
        </w:tc>
        <w:tc>
          <w:tcPr>
            <w:tcW w:w="90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A929945"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14.12827969</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550EA862"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4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2E5E99E9"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14.12827969</w:t>
            </w:r>
          </w:p>
        </w:tc>
        <w:tc>
          <w:tcPr>
            <w:tcW w:w="51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E433F1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1</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4D8E93D"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4078C1B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930"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73AC93B8"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c>
          <w:tcPr>
            <w:tcW w:w="525" w:type="dxa"/>
            <w:tcBorders>
              <w:top w:val="single" w:sz="8" w:space="0" w:color="000000"/>
              <w:left w:val="single" w:sz="8" w:space="0" w:color="000000"/>
              <w:bottom w:val="single" w:sz="8" w:space="0" w:color="000000"/>
              <w:right w:val="single" w:sz="8" w:space="0" w:color="000000"/>
            </w:tcBorders>
            <w:tcMar>
              <w:top w:w="40" w:type="dxa"/>
              <w:left w:w="40" w:type="dxa"/>
              <w:bottom w:w="40" w:type="dxa"/>
              <w:right w:w="40" w:type="dxa"/>
            </w:tcMar>
          </w:tcPr>
          <w:p w14:paraId="3EABFEEB" w14:textId="77777777" w:rsidR="000E5EA3" w:rsidRPr="00DA5DAC" w:rsidRDefault="00000000" w:rsidP="00B23A57">
            <w:pPr>
              <w:widowControl w:val="0"/>
              <w:spacing w:line="240" w:lineRule="auto"/>
              <w:rPr>
                <w:rFonts w:ascii="Times New Roman" w:eastAsia="Times New Roman" w:hAnsi="Times New Roman" w:cs="Times New Roman"/>
                <w:sz w:val="15"/>
                <w:szCs w:val="15"/>
              </w:rPr>
            </w:pPr>
            <w:r w:rsidRPr="00DA5DAC">
              <w:rPr>
                <w:rFonts w:ascii="Times New Roman" w:eastAsia="Times New Roman" w:hAnsi="Times New Roman" w:cs="Times New Roman"/>
                <w:sz w:val="15"/>
                <w:szCs w:val="15"/>
              </w:rPr>
              <w:t>0</w:t>
            </w:r>
          </w:p>
        </w:tc>
      </w:tr>
    </w:tbl>
    <w:p w14:paraId="39460BC5" w14:textId="77777777" w:rsidR="008E5A8E" w:rsidRDefault="008E5A8E" w:rsidP="00DA5DAC">
      <w:pPr>
        <w:spacing w:line="240" w:lineRule="auto"/>
        <w:jc w:val="both"/>
        <w:rPr>
          <w:rFonts w:ascii="Times New Roman" w:eastAsia="Times New Roman" w:hAnsi="Times New Roman" w:cs="Times New Roman"/>
          <w:bCs/>
          <w:sz w:val="24"/>
          <w:szCs w:val="24"/>
        </w:rPr>
      </w:pPr>
      <w:bookmarkStart w:id="54" w:name="_heading=h.lkv4b83ahf9t" w:colFirst="0" w:colLast="0"/>
      <w:bookmarkEnd w:id="54"/>
    </w:p>
    <w:p w14:paraId="4D4B9F30" w14:textId="0609992D" w:rsidR="000E5EA3" w:rsidRPr="00DA5DAC" w:rsidRDefault="00000000" w:rsidP="00DA5DAC">
      <w:pPr>
        <w:spacing w:line="240" w:lineRule="auto"/>
        <w:jc w:val="both"/>
        <w:rPr>
          <w:rFonts w:ascii="Times New Roman" w:eastAsia="Times New Roman" w:hAnsi="Times New Roman" w:cs="Times New Roman"/>
          <w:sz w:val="24"/>
          <w:szCs w:val="24"/>
        </w:rPr>
      </w:pPr>
      <w:r w:rsidRPr="00B23A57">
        <w:rPr>
          <w:rFonts w:ascii="Times New Roman" w:eastAsia="Times New Roman" w:hAnsi="Times New Roman" w:cs="Times New Roman"/>
          <w:bCs/>
          <w:sz w:val="24"/>
          <w:szCs w:val="24"/>
        </w:rPr>
        <w:t>Table S</w:t>
      </w:r>
      <w:r w:rsidR="00B23A57" w:rsidRPr="00B23A57">
        <w:rPr>
          <w:rFonts w:ascii="Times New Roman" w:eastAsia="Times New Roman" w:hAnsi="Times New Roman" w:cs="Times New Roman"/>
          <w:bCs/>
          <w:sz w:val="24"/>
          <w:szCs w:val="24"/>
        </w:rPr>
        <w:t>2.</w:t>
      </w:r>
      <w:r w:rsidRPr="00B23A57">
        <w:rPr>
          <w:rFonts w:ascii="Times New Roman" w:eastAsia="Times New Roman" w:hAnsi="Times New Roman" w:cs="Times New Roman"/>
          <w:bCs/>
          <w:sz w:val="24"/>
          <w:szCs w:val="24"/>
        </w:rPr>
        <w:t>2</w:t>
      </w:r>
      <w:r w:rsidR="00B23A57" w:rsidRPr="00B23A57">
        <w:rPr>
          <w:rFonts w:ascii="Times New Roman" w:eastAsia="Times New Roman" w:hAnsi="Times New Roman" w:cs="Times New Roman"/>
          <w:bCs/>
          <w:sz w:val="24"/>
          <w:szCs w:val="24"/>
        </w:rPr>
        <w:t>.</w:t>
      </w:r>
      <w:r w:rsidRPr="00DA5DAC">
        <w:rPr>
          <w:rFonts w:ascii="Times New Roman" w:eastAsia="Times New Roman" w:hAnsi="Times New Roman" w:cs="Times New Roman"/>
          <w:sz w:val="24"/>
          <w:szCs w:val="24"/>
        </w:rPr>
        <w:t xml:space="preserve"> Table showing results of Identity</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by</w:t>
      </w:r>
      <w:r w:rsidR="00B23A5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Descent (IBD) analysis</w:t>
      </w:r>
    </w:p>
    <w:p w14:paraId="6926DB03" w14:textId="77777777" w:rsidR="000E5EA3" w:rsidRPr="00DA5DAC" w:rsidRDefault="000E5EA3" w:rsidP="00DA5DAC">
      <w:pPr>
        <w:spacing w:line="240" w:lineRule="auto"/>
        <w:rPr>
          <w:rFonts w:ascii="Times New Roman" w:eastAsia="Times New Roman" w:hAnsi="Times New Roman" w:cs="Times New Roman"/>
          <w:sz w:val="24"/>
          <w:szCs w:val="24"/>
        </w:rPr>
      </w:pPr>
    </w:p>
    <w:p w14:paraId="6D5EEF5B" w14:textId="77777777" w:rsidR="005B6379" w:rsidRPr="00DA5DAC" w:rsidRDefault="005B6379" w:rsidP="00DA5DAC">
      <w:pPr>
        <w:spacing w:line="240" w:lineRule="auto"/>
        <w:rPr>
          <w:rFonts w:ascii="Times New Roman" w:eastAsia="Times New Roman" w:hAnsi="Times New Roman" w:cs="Times New Roman"/>
          <w:b/>
          <w:sz w:val="24"/>
          <w:szCs w:val="24"/>
        </w:rPr>
      </w:pPr>
      <w:r w:rsidRPr="00DA5DAC">
        <w:rPr>
          <w:rFonts w:ascii="Times New Roman" w:eastAsia="Times New Roman" w:hAnsi="Times New Roman" w:cs="Times New Roman"/>
          <w:b/>
          <w:sz w:val="24"/>
          <w:szCs w:val="24"/>
        </w:rPr>
        <w:br w:type="page"/>
      </w:r>
    </w:p>
    <w:p w14:paraId="12ACF57C" w14:textId="15AEBA5D" w:rsidR="000E5EA3" w:rsidRPr="00B23A57" w:rsidRDefault="00B23A57" w:rsidP="00DA5DAC">
      <w:pPr>
        <w:spacing w:line="240" w:lineRule="auto"/>
        <w:jc w:val="both"/>
        <w:rPr>
          <w:rFonts w:ascii="Times New Roman" w:eastAsia="Times New Roman" w:hAnsi="Times New Roman" w:cs="Times New Roman"/>
          <w:bCs/>
          <w:sz w:val="24"/>
          <w:szCs w:val="24"/>
        </w:rPr>
      </w:pPr>
      <w:r w:rsidRPr="00B23A57">
        <w:rPr>
          <w:rFonts w:ascii="Times New Roman" w:eastAsia="Times New Roman" w:hAnsi="Times New Roman" w:cs="Times New Roman"/>
          <w:bCs/>
          <w:sz w:val="24"/>
          <w:szCs w:val="24"/>
        </w:rPr>
        <w:lastRenderedPageBreak/>
        <w:t xml:space="preserve">Supplementary S3. </w:t>
      </w:r>
      <w:r w:rsidR="005C0F3F">
        <w:rPr>
          <w:rFonts w:ascii="Times New Roman" w:eastAsia="Times New Roman" w:hAnsi="Times New Roman" w:cs="Times New Roman"/>
          <w:bCs/>
          <w:sz w:val="24"/>
          <w:szCs w:val="24"/>
        </w:rPr>
        <w:t>O</w:t>
      </w:r>
      <w:r w:rsidRPr="00B23A57">
        <w:rPr>
          <w:rFonts w:ascii="Times New Roman" w:eastAsia="Times New Roman" w:hAnsi="Times New Roman" w:cs="Times New Roman"/>
          <w:bCs/>
          <w:sz w:val="24"/>
          <w:szCs w:val="24"/>
        </w:rPr>
        <w:t>steological methods</w:t>
      </w:r>
    </w:p>
    <w:p w14:paraId="10523F09" w14:textId="77777777" w:rsidR="000E5EA3"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Laura Castells Navarro</w:t>
      </w:r>
    </w:p>
    <w:p w14:paraId="4289B8D7" w14:textId="77777777" w:rsidR="00E06D30" w:rsidRPr="00DA5DAC" w:rsidRDefault="00E06D30" w:rsidP="00DA5DAC">
      <w:pPr>
        <w:spacing w:line="240" w:lineRule="auto"/>
        <w:jc w:val="both"/>
        <w:rPr>
          <w:rFonts w:ascii="Times New Roman" w:eastAsia="Times New Roman" w:hAnsi="Times New Roman" w:cs="Times New Roman"/>
          <w:sz w:val="24"/>
          <w:szCs w:val="24"/>
        </w:rPr>
      </w:pPr>
    </w:p>
    <w:p w14:paraId="3E48FD75" w14:textId="695C6E7A"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Following the guidelines for the recording of commingled human remains (Mitchell &amp; Brickley 2017), each fragment was described in detail with special attention to skeletal markers and parts of elements present to allow the estimation of a minimum number of individuals (MNI). Surface preservation was evaluated using the seven-stage gradient system developed for human remains (McKinley 2004) and completeness of the remains was recorded as 0</w:t>
      </w:r>
      <w:r w:rsidR="00E06D3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25%, 25</w:t>
      </w:r>
      <w:r w:rsidR="00E06D3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50%, 50</w:t>
      </w:r>
      <w:r w:rsidR="00E06D3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75%, and 75</w:t>
      </w:r>
      <w:r w:rsidR="00E06D3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100%, as amended from Mays &amp; Brickley (2004). As all the remains belonged to adult individuals, only the methods applicable to this age category are described.</w:t>
      </w:r>
    </w:p>
    <w:p w14:paraId="11304C65" w14:textId="3F104A10" w:rsidR="000E5EA3" w:rsidRPr="00DA5DAC" w:rsidRDefault="00000000" w:rsidP="0040451C">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Osteological sex was estimated using pelvic and skull discriminant functions for morphological features (</w:t>
      </w:r>
      <w:r w:rsidR="00E06D30" w:rsidRPr="00DA5DAC">
        <w:rPr>
          <w:rFonts w:ascii="Times New Roman" w:eastAsia="Times New Roman" w:hAnsi="Times New Roman" w:cs="Times New Roman"/>
          <w:sz w:val="24"/>
          <w:szCs w:val="24"/>
        </w:rPr>
        <w:t>Walker 2008</w:t>
      </w:r>
      <w:r w:rsidR="00E06D30">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Klales </w:t>
      </w:r>
      <w:r w:rsidRPr="00E06D30">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2012) as required. In the absence of pelvis and skull, sex was estimated by metric analysis (Bass 2005). Sex estimation by metric analysis was considered reliable only when at least three measurements were congruent. The sex estimation categories used were: female, male, probable female</w:t>
      </w:r>
      <w:r w:rsidR="00E06D3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probable male. Where no sex estimation method was applicable, the estimation was deemed ‘unobservable’, and where the features (or combination of) were not clearly dimorphic, the sex estimation was classified as ‘indeterminate’. Estimation of age was evaluated using transition analysis (Milner &amp; Boldsen 201</w:t>
      </w:r>
      <w:r w:rsidR="0040451C">
        <w:rPr>
          <w:rFonts w:ascii="Times New Roman" w:eastAsia="Times New Roman" w:hAnsi="Times New Roman" w:cs="Times New Roman"/>
          <w:sz w:val="24"/>
          <w:szCs w:val="24"/>
        </w:rPr>
        <w:t>2)</w:t>
      </w:r>
      <w:r w:rsidRPr="00DA5DAC">
        <w:rPr>
          <w:rFonts w:ascii="Times New Roman" w:eastAsia="Times New Roman" w:hAnsi="Times New Roman" w:cs="Times New Roman"/>
          <w:sz w:val="24"/>
          <w:szCs w:val="24"/>
        </w:rPr>
        <w:t xml:space="preserve"> and dental wear (Brothwell 1981) as appropriate. Using the maximum likelihood estimate, the remains were classified, following (Falys &amp; Lewis 2011), in the following categories: young adult (18–25 years old); young middle adult (26–35 years old); old middle adult (36–45 years old); middle adult (26–45 years old)</w:t>
      </w:r>
      <w:r w:rsidR="0011796A">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old adult (46+ years old). If no age estimation method was applicable, the remains were classified as ‘adult’. Metric assessment was carried out following Buikstra </w:t>
      </w:r>
      <w:r w:rsidR="0011796A">
        <w:rPr>
          <w:rFonts w:ascii="Times New Roman" w:eastAsia="Times New Roman" w:hAnsi="Times New Roman" w:cs="Times New Roman"/>
          <w:sz w:val="24"/>
          <w:szCs w:val="24"/>
        </w:rPr>
        <w:t>and</w:t>
      </w:r>
      <w:r w:rsidRPr="00DA5DAC">
        <w:rPr>
          <w:rFonts w:ascii="Times New Roman" w:eastAsia="Times New Roman" w:hAnsi="Times New Roman" w:cs="Times New Roman"/>
          <w:sz w:val="24"/>
          <w:szCs w:val="24"/>
        </w:rPr>
        <w:t xml:space="preserve"> Ubelaker (1994) guidelines. Stature was not estimated in any of the remains due to absence of complete bones. Cranial and post-cranial non-metric traits were recorded following Berry and Berry (1967) and Finnegan (1978), respectively. </w:t>
      </w:r>
    </w:p>
    <w:p w14:paraId="04EF7ED5" w14:textId="1768C07D" w:rsidR="000E5EA3" w:rsidRPr="00DA5DAC" w:rsidRDefault="00000000" w:rsidP="00E06D30">
      <w:pPr>
        <w:spacing w:line="240" w:lineRule="auto"/>
        <w:ind w:firstLine="720"/>
        <w:jc w:val="both"/>
        <w:rPr>
          <w:rFonts w:ascii="Times New Roman" w:eastAsia="Times New Roman" w:hAnsi="Times New Roman" w:cs="Times New Roman"/>
          <w:sz w:val="24"/>
          <w:szCs w:val="24"/>
          <w:highlight w:val="white"/>
        </w:rPr>
      </w:pPr>
      <w:r w:rsidRPr="00DA5DAC">
        <w:rPr>
          <w:rFonts w:ascii="Times New Roman" w:eastAsia="Times New Roman" w:hAnsi="Times New Roman" w:cs="Times New Roman"/>
          <w:sz w:val="24"/>
          <w:szCs w:val="24"/>
        </w:rPr>
        <w:t xml:space="preserve">In terms of palaeopathology, dental health was assessed by recording calculus (Dobney &amp; Brothwell 1987), carious lesions (Hillson 2023), periapical lesions (Dias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2007), enamel hypoplasia (Ogden </w:t>
      </w:r>
      <w:r w:rsidRPr="0011796A">
        <w:rPr>
          <w:rFonts w:ascii="Times New Roman" w:eastAsia="Times New Roman" w:hAnsi="Times New Roman" w:cs="Times New Roman"/>
          <w:i/>
          <w:iCs/>
          <w:sz w:val="24"/>
          <w:szCs w:val="24"/>
        </w:rPr>
        <w:t>et al</w:t>
      </w:r>
      <w:r w:rsidR="0011796A" w:rsidRPr="0011796A">
        <w:rPr>
          <w:rFonts w:ascii="Times New Roman" w:eastAsia="Times New Roman" w:hAnsi="Times New Roman" w:cs="Times New Roman"/>
          <w:i/>
          <w:iCs/>
          <w:sz w:val="24"/>
          <w:szCs w:val="24"/>
        </w:rPr>
        <w:t>.</w:t>
      </w:r>
      <w:r w:rsidRPr="00DA5DAC">
        <w:rPr>
          <w:rFonts w:ascii="Times New Roman" w:eastAsia="Times New Roman" w:hAnsi="Times New Roman" w:cs="Times New Roman"/>
          <w:sz w:val="24"/>
          <w:szCs w:val="24"/>
        </w:rPr>
        <w:t xml:space="preserve"> 2007)</w:t>
      </w:r>
      <w:r w:rsidR="0011796A">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dental trauma (Hillson 2005). Patterns of dental wear were recorded according to Smith (1984). Skeletal pathologies were recorded with reference to general palaeopathological texts (Ortner 2003; </w:t>
      </w:r>
      <w:r w:rsidR="0011796A" w:rsidRPr="00DA5DAC">
        <w:rPr>
          <w:rFonts w:ascii="Times New Roman" w:eastAsia="Times New Roman" w:hAnsi="Times New Roman" w:cs="Times New Roman"/>
          <w:sz w:val="24"/>
          <w:szCs w:val="24"/>
        </w:rPr>
        <w:t>Roberts &amp; Manchester 2007</w:t>
      </w:r>
      <w:r w:rsidR="0011796A">
        <w:rPr>
          <w:rFonts w:ascii="Times New Roman" w:eastAsia="Times New Roman" w:hAnsi="Times New Roman" w:cs="Times New Roman"/>
          <w:sz w:val="24"/>
          <w:szCs w:val="24"/>
        </w:rPr>
        <w:t xml:space="preserve">; </w:t>
      </w:r>
      <w:r w:rsidR="0011796A" w:rsidRPr="00DA5DAC">
        <w:rPr>
          <w:rFonts w:ascii="Times New Roman" w:eastAsia="Times New Roman" w:hAnsi="Times New Roman" w:cs="Times New Roman"/>
          <w:sz w:val="24"/>
          <w:szCs w:val="24"/>
        </w:rPr>
        <w:t xml:space="preserve">Waldron 2009; </w:t>
      </w:r>
      <w:r w:rsidRPr="00DA5DAC">
        <w:rPr>
          <w:rFonts w:ascii="Times New Roman" w:eastAsia="Times New Roman" w:hAnsi="Times New Roman" w:cs="Times New Roman"/>
          <w:sz w:val="24"/>
          <w:szCs w:val="24"/>
        </w:rPr>
        <w:t xml:space="preserve">Aufderheide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2011). More specifically, oro-antral fistula was identified following Mays </w:t>
      </w:r>
      <w:r w:rsidR="0011796A">
        <w:rPr>
          <w:rFonts w:ascii="Times New Roman" w:eastAsia="Times New Roman" w:hAnsi="Times New Roman" w:cs="Times New Roman"/>
          <w:sz w:val="24"/>
          <w:szCs w:val="24"/>
        </w:rPr>
        <w:t xml:space="preserve">and colleagues (Mays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2024), button osteoma following Eshed</w:t>
      </w:r>
      <w:r w:rsidR="0011796A" w:rsidRPr="0011796A">
        <w:rPr>
          <w:rFonts w:ascii="Times New Roman" w:eastAsia="Times New Roman" w:hAnsi="Times New Roman" w:cs="Times New Roman"/>
          <w:sz w:val="24"/>
          <w:szCs w:val="24"/>
        </w:rPr>
        <w:t xml:space="preserve"> </w:t>
      </w:r>
      <w:r w:rsidR="0011796A">
        <w:rPr>
          <w:rFonts w:ascii="Times New Roman" w:eastAsia="Times New Roman" w:hAnsi="Times New Roman" w:cs="Times New Roman"/>
          <w:sz w:val="24"/>
          <w:szCs w:val="24"/>
        </w:rPr>
        <w:t>and colleagues</w:t>
      </w:r>
      <w:r w:rsidRPr="00DA5DAC">
        <w:rPr>
          <w:rFonts w:ascii="Times New Roman" w:eastAsia="Times New Roman" w:hAnsi="Times New Roman" w:cs="Times New Roman"/>
          <w:sz w:val="24"/>
          <w:szCs w:val="24"/>
        </w:rPr>
        <w:t xml:space="preserve"> </w:t>
      </w:r>
      <w:r w:rsidR="0011796A">
        <w:rPr>
          <w:rFonts w:ascii="Times New Roman" w:eastAsia="Times New Roman" w:hAnsi="Times New Roman" w:cs="Times New Roman"/>
          <w:sz w:val="24"/>
          <w:szCs w:val="24"/>
        </w:rPr>
        <w:t>(</w:t>
      </w:r>
      <w:r w:rsidR="0011796A" w:rsidRPr="00DA5DAC">
        <w:rPr>
          <w:rFonts w:ascii="Times New Roman" w:eastAsia="Times New Roman" w:hAnsi="Times New Roman" w:cs="Times New Roman"/>
          <w:sz w:val="24"/>
          <w:szCs w:val="24"/>
        </w:rPr>
        <w:t>Eshed</w:t>
      </w:r>
      <w:r w:rsidR="0011796A" w:rsidRPr="0011796A">
        <w:rPr>
          <w:rFonts w:ascii="Times New Roman" w:eastAsia="Times New Roman" w:hAnsi="Times New Roman" w:cs="Times New Roman"/>
          <w:sz w:val="24"/>
          <w:szCs w:val="24"/>
        </w:rPr>
        <w:t xml:space="preserve"> </w:t>
      </w:r>
      <w:r w:rsidRPr="0011796A">
        <w:rPr>
          <w:rFonts w:ascii="Times New Roman" w:eastAsia="Times New Roman" w:hAnsi="Times New Roman" w:cs="Times New Roman"/>
          <w:i/>
          <w:iCs/>
          <w:sz w:val="24"/>
          <w:szCs w:val="24"/>
        </w:rPr>
        <w:t xml:space="preserve">et al. </w:t>
      </w:r>
      <w:r w:rsidRPr="00DA5DAC">
        <w:rPr>
          <w:rFonts w:ascii="Times New Roman" w:eastAsia="Times New Roman" w:hAnsi="Times New Roman" w:cs="Times New Roman"/>
          <w:sz w:val="24"/>
          <w:szCs w:val="24"/>
        </w:rPr>
        <w:t xml:space="preserve">2002), partial occipitalisation based on Barnes (1994), discarthrosis and Schmorl’s nodes following François </w:t>
      </w:r>
      <w:r w:rsidR="0011796A">
        <w:rPr>
          <w:rFonts w:ascii="Times New Roman" w:eastAsia="Times New Roman" w:hAnsi="Times New Roman" w:cs="Times New Roman"/>
          <w:sz w:val="24"/>
          <w:szCs w:val="24"/>
        </w:rPr>
        <w:t>and colleagues</w:t>
      </w:r>
      <w:r w:rsidR="0011796A" w:rsidRPr="00DA5DAC">
        <w:rPr>
          <w:rFonts w:ascii="Times New Roman" w:eastAsia="Times New Roman" w:hAnsi="Times New Roman" w:cs="Times New Roman"/>
          <w:sz w:val="24"/>
          <w:szCs w:val="24"/>
        </w:rPr>
        <w:t xml:space="preserve"> </w:t>
      </w:r>
      <w:r w:rsidR="0011796A">
        <w:rPr>
          <w:rFonts w:ascii="Times New Roman" w:eastAsia="Times New Roman" w:hAnsi="Times New Roman" w:cs="Times New Roman"/>
          <w:sz w:val="24"/>
          <w:szCs w:val="24"/>
        </w:rPr>
        <w:t>(</w:t>
      </w:r>
      <w:r w:rsidR="0011796A" w:rsidRPr="00DA5DAC">
        <w:rPr>
          <w:rFonts w:ascii="Times New Roman" w:eastAsia="Times New Roman" w:hAnsi="Times New Roman" w:cs="Times New Roman"/>
          <w:sz w:val="24"/>
          <w:szCs w:val="24"/>
        </w:rPr>
        <w:t xml:space="preserve">François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199</w:t>
      </w:r>
      <w:r w:rsidR="0040451C">
        <w:rPr>
          <w:rFonts w:ascii="Times New Roman" w:eastAsia="Times New Roman" w:hAnsi="Times New Roman" w:cs="Times New Roman"/>
          <w:sz w:val="24"/>
          <w:szCs w:val="24"/>
        </w:rPr>
        <w:t>5</w:t>
      </w:r>
      <w:r w:rsidRPr="00DA5DAC">
        <w:rPr>
          <w:rFonts w:ascii="Times New Roman" w:eastAsia="Times New Roman" w:hAnsi="Times New Roman" w:cs="Times New Roman"/>
          <w:sz w:val="24"/>
          <w:szCs w:val="24"/>
        </w:rPr>
        <w:t xml:space="preserve">) and cribra orbitalia was identified by the presence of porous lesions at the orbital roof (Brickley 2018). Osteoarthritis was diagnosed by the presence or eburnation; however, in absence of eburnation, it can also be diagnosed by at least two of the following features: contour changes of the joint, presence of marginal osteophytes and presence of subchondral cysts (Rogers &amp; Waldron 1995). Rotator cuff disease is associated with the inflammation of the shoulder joint and is characterised by </w:t>
      </w:r>
      <w:r w:rsidRPr="00DA5DAC">
        <w:rPr>
          <w:rFonts w:ascii="Times New Roman" w:eastAsia="Times New Roman" w:hAnsi="Times New Roman" w:cs="Times New Roman"/>
          <w:sz w:val="24"/>
          <w:szCs w:val="24"/>
          <w:highlight w:val="white"/>
        </w:rPr>
        <w:t xml:space="preserve">enthesopathy and pitting on the greater and lesser tuberosities (Buikstra 2019). Finally, </w:t>
      </w:r>
      <w:r w:rsidRPr="00DA5DAC">
        <w:rPr>
          <w:rFonts w:ascii="Times New Roman" w:eastAsia="Times New Roman" w:hAnsi="Times New Roman" w:cs="Times New Roman"/>
          <w:sz w:val="24"/>
          <w:szCs w:val="24"/>
        </w:rPr>
        <w:t>peri-mortem sharp</w:t>
      </w:r>
      <w:r w:rsidR="0011796A">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force trauma was identified by the presence of smooth bevelled surfaces with sharp margins and cut surfaces of the same colour as the rest of the bone, and peri-mortem blunt</w:t>
      </w:r>
      <w:r w:rsidR="0011796A">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force trauma on the cranial vault was identified by the cranial compression and the presence of radiating fractures (Symes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2012). Following Boylston</w:t>
      </w:r>
      <w:r w:rsidR="0011796A" w:rsidRPr="0011796A">
        <w:rPr>
          <w:rFonts w:ascii="Times New Roman" w:eastAsia="Times New Roman" w:hAnsi="Times New Roman" w:cs="Times New Roman"/>
          <w:sz w:val="24"/>
          <w:szCs w:val="24"/>
        </w:rPr>
        <w:t xml:space="preserve"> </w:t>
      </w:r>
      <w:r w:rsidR="0011796A">
        <w:rPr>
          <w:rFonts w:ascii="Times New Roman" w:eastAsia="Times New Roman" w:hAnsi="Times New Roman" w:cs="Times New Roman"/>
          <w:sz w:val="24"/>
          <w:szCs w:val="24"/>
        </w:rPr>
        <w:t>and colleagues</w:t>
      </w:r>
      <w:r w:rsidRPr="00DA5DAC">
        <w:rPr>
          <w:rFonts w:ascii="Times New Roman" w:eastAsia="Times New Roman" w:hAnsi="Times New Roman" w:cs="Times New Roman"/>
          <w:sz w:val="24"/>
          <w:szCs w:val="24"/>
        </w:rPr>
        <w:t xml:space="preserve"> </w:t>
      </w:r>
      <w:r w:rsidR="0011796A">
        <w:rPr>
          <w:rFonts w:ascii="Times New Roman" w:eastAsia="Times New Roman" w:hAnsi="Times New Roman" w:cs="Times New Roman"/>
          <w:sz w:val="24"/>
          <w:szCs w:val="24"/>
        </w:rPr>
        <w:t>(</w:t>
      </w:r>
      <w:r w:rsidR="0011796A" w:rsidRPr="00DA5DAC">
        <w:rPr>
          <w:rFonts w:ascii="Times New Roman" w:eastAsia="Times New Roman" w:hAnsi="Times New Roman" w:cs="Times New Roman"/>
          <w:sz w:val="24"/>
          <w:szCs w:val="24"/>
        </w:rPr>
        <w:t>Boylston</w:t>
      </w:r>
      <w:r w:rsidR="0011796A" w:rsidRPr="0011796A">
        <w:rPr>
          <w:rFonts w:ascii="Times New Roman" w:eastAsia="Times New Roman" w:hAnsi="Times New Roman" w:cs="Times New Roman"/>
          <w:sz w:val="24"/>
          <w:szCs w:val="24"/>
        </w:rPr>
        <w:t xml:space="preserve"> </w:t>
      </w:r>
      <w:r w:rsidRPr="0011796A">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2000), cut-marks are identified as incisions and chop-marks are blade injuries where a heavy weapon was involved. Where it was not possible to assert whether the injury represented a cut- or a chop-mark, the term ‘blade injury’ has been used.</w:t>
      </w:r>
    </w:p>
    <w:p w14:paraId="27921E39" w14:textId="5DB075F0" w:rsidR="005B6379" w:rsidRPr="00DA5DAC" w:rsidRDefault="00000000" w:rsidP="00E06D30">
      <w:pPr>
        <w:spacing w:line="240" w:lineRule="auto"/>
        <w:ind w:firstLine="720"/>
        <w:jc w:val="both"/>
        <w:rPr>
          <w:rFonts w:ascii="Times New Roman" w:eastAsia="Times New Roman" w:hAnsi="Times New Roman" w:cs="Times New Roman"/>
          <w:b/>
          <w:sz w:val="24"/>
          <w:szCs w:val="24"/>
        </w:rPr>
      </w:pPr>
      <w:r w:rsidRPr="00DA5DAC">
        <w:rPr>
          <w:rFonts w:ascii="Times New Roman" w:eastAsia="Times New Roman" w:hAnsi="Times New Roman" w:cs="Times New Roman"/>
          <w:sz w:val="24"/>
          <w:szCs w:val="24"/>
        </w:rPr>
        <w:lastRenderedPageBreak/>
        <w:t xml:space="preserve">In </w:t>
      </w:r>
      <w:r w:rsidRPr="0011796A">
        <w:rPr>
          <w:rFonts w:ascii="Times New Roman" w:eastAsia="Times New Roman" w:hAnsi="Times New Roman" w:cs="Times New Roman"/>
          <w:sz w:val="24"/>
          <w:szCs w:val="24"/>
          <w:highlight w:val="green"/>
        </w:rPr>
        <w:t>Table 1</w:t>
      </w:r>
      <w:r w:rsidRPr="00DA5DAC">
        <w:rPr>
          <w:rFonts w:ascii="Times New Roman" w:eastAsia="Times New Roman" w:hAnsi="Times New Roman" w:cs="Times New Roman"/>
          <w:sz w:val="24"/>
          <w:szCs w:val="24"/>
        </w:rPr>
        <w:t xml:space="preserve"> and </w:t>
      </w:r>
      <w:r w:rsidRPr="0011796A">
        <w:rPr>
          <w:rFonts w:ascii="Times New Roman" w:eastAsia="Times New Roman" w:hAnsi="Times New Roman" w:cs="Times New Roman"/>
          <w:sz w:val="24"/>
          <w:szCs w:val="24"/>
          <w:highlight w:val="green"/>
        </w:rPr>
        <w:t xml:space="preserve">Supplementary </w:t>
      </w:r>
      <w:r w:rsidR="0011796A">
        <w:rPr>
          <w:rFonts w:ascii="Times New Roman" w:eastAsia="Times New Roman" w:hAnsi="Times New Roman" w:cs="Times New Roman"/>
          <w:sz w:val="24"/>
          <w:szCs w:val="24"/>
          <w:highlight w:val="green"/>
        </w:rPr>
        <w:t>S</w:t>
      </w:r>
      <w:r w:rsidRPr="0011796A">
        <w:rPr>
          <w:rFonts w:ascii="Times New Roman" w:eastAsia="Times New Roman" w:hAnsi="Times New Roman" w:cs="Times New Roman"/>
          <w:sz w:val="24"/>
          <w:szCs w:val="24"/>
          <w:highlight w:val="green"/>
        </w:rPr>
        <w:t>1</w:t>
      </w:r>
      <w:r w:rsidRPr="00DA5DAC">
        <w:rPr>
          <w:rFonts w:ascii="Times New Roman" w:eastAsia="Times New Roman" w:hAnsi="Times New Roman" w:cs="Times New Roman"/>
          <w:sz w:val="24"/>
          <w:szCs w:val="24"/>
        </w:rPr>
        <w:t>, ‘not assessable’ indicates that sex or sex could not be estimated, non-metric traits assessed, or palaeopathological analysis carried out due to post-mortem damage or curatorial practices</w:t>
      </w:r>
      <w:r w:rsidR="00E06D30">
        <w:rPr>
          <w:rFonts w:ascii="Times New Roman" w:eastAsia="Times New Roman" w:hAnsi="Times New Roman" w:cs="Times New Roman"/>
          <w:sz w:val="24"/>
          <w:szCs w:val="24"/>
        </w:rPr>
        <w:t>.</w:t>
      </w:r>
    </w:p>
    <w:p w14:paraId="3BCE5FB0" w14:textId="77777777" w:rsidR="0011796A" w:rsidRDefault="0011796A" w:rsidP="00DA5DAC">
      <w:pPr>
        <w:spacing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14:paraId="4EAFD728" w14:textId="4B63E81A" w:rsidR="000E5EA3" w:rsidRPr="0011796A" w:rsidRDefault="0011796A" w:rsidP="00DA5DAC">
      <w:pPr>
        <w:spacing w:line="240" w:lineRule="auto"/>
        <w:jc w:val="both"/>
        <w:rPr>
          <w:rFonts w:ascii="Times New Roman" w:eastAsia="Times New Roman" w:hAnsi="Times New Roman" w:cs="Times New Roman"/>
          <w:bCs/>
          <w:sz w:val="24"/>
          <w:szCs w:val="24"/>
        </w:rPr>
      </w:pPr>
      <w:r w:rsidRPr="005C0F3F">
        <w:rPr>
          <w:rFonts w:ascii="Times New Roman" w:eastAsia="Times New Roman" w:hAnsi="Times New Roman" w:cs="Times New Roman"/>
          <w:bCs/>
          <w:sz w:val="24"/>
          <w:szCs w:val="24"/>
        </w:rPr>
        <w:lastRenderedPageBreak/>
        <w:t xml:space="preserve">Supplementary S4. </w:t>
      </w:r>
      <w:r w:rsidR="005C0F3F">
        <w:rPr>
          <w:rFonts w:ascii="Times New Roman" w:eastAsia="Times New Roman" w:hAnsi="Times New Roman" w:cs="Times New Roman"/>
          <w:bCs/>
          <w:sz w:val="24"/>
          <w:szCs w:val="24"/>
        </w:rPr>
        <w:t>H</w:t>
      </w:r>
      <w:r w:rsidRPr="005C0F3F">
        <w:rPr>
          <w:rFonts w:ascii="Times New Roman" w:eastAsia="Times New Roman" w:hAnsi="Times New Roman" w:cs="Times New Roman"/>
          <w:bCs/>
          <w:sz w:val="24"/>
          <w:szCs w:val="24"/>
        </w:rPr>
        <w:t>istotaphonomy</w:t>
      </w:r>
    </w:p>
    <w:p w14:paraId="4ADE00B5" w14:textId="77777777" w:rsidR="000E5EA3"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Richard Madgwick</w:t>
      </w:r>
    </w:p>
    <w:p w14:paraId="7D50ECDC" w14:textId="77777777" w:rsidR="0011796A" w:rsidRPr="00DA5DAC" w:rsidRDefault="0011796A" w:rsidP="00DA5DAC">
      <w:pPr>
        <w:spacing w:line="240" w:lineRule="auto"/>
        <w:jc w:val="both"/>
        <w:rPr>
          <w:rFonts w:ascii="Times New Roman" w:eastAsia="Times New Roman" w:hAnsi="Times New Roman" w:cs="Times New Roman"/>
          <w:sz w:val="24"/>
          <w:szCs w:val="24"/>
        </w:rPr>
      </w:pPr>
    </w:p>
    <w:p w14:paraId="41CDFE2A" w14:textId="7AE98E8A"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Histological analysis was undertaken on the same 29 samples of human bone that were subject to isotope analysis (19 from the skull and 10 from the postcrania). This study supplements existing taphonomic, archaeological</w:t>
      </w:r>
      <w:r w:rsidR="005C0F3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osteological evidence to enhance understanding of the treatment of the dead at Worlebury. The histotaphonomic research (along with the isotope analysis) was undertaken as a series of student projects, principally as part of the Cardiff Undergraduate Research Opportunities Programme</w:t>
      </w:r>
      <w:r w:rsidR="005C0F3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therefore there is some imbalance in the dataset. The poor contextual records and mixed evidence for articulation of the remains means that it is likely that in some instances more than one sample has been taken from the same individual, but the precise number of individuals cannot be determined.</w:t>
      </w:r>
    </w:p>
    <w:p w14:paraId="169C6601" w14:textId="623BADC5" w:rsidR="000E5EA3" w:rsidRPr="00DA5DAC" w:rsidRDefault="00000000" w:rsidP="0011796A">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Histotaphonomic analysis has commonly been used to explore early post-mortem treatment of human remains in archaeological contexts in recent years. The principles of the approach have been presented in detail elsewhere (eg</w:t>
      </w:r>
      <w:r w:rsidR="005C0F3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Booth 2016; Booth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2022; Jans </w:t>
      </w:r>
      <w:r w:rsidRPr="005C0F3F">
        <w:rPr>
          <w:rFonts w:ascii="Times New Roman" w:eastAsia="Times New Roman" w:hAnsi="Times New Roman" w:cs="Times New Roman"/>
          <w:i/>
          <w:iCs/>
          <w:sz w:val="24"/>
          <w:szCs w:val="24"/>
        </w:rPr>
        <w:t xml:space="preserve">et al. </w:t>
      </w:r>
      <w:r w:rsidRPr="00DA5DAC">
        <w:rPr>
          <w:rFonts w:ascii="Times New Roman" w:eastAsia="Times New Roman" w:hAnsi="Times New Roman" w:cs="Times New Roman"/>
          <w:sz w:val="24"/>
          <w:szCs w:val="24"/>
        </w:rPr>
        <w:t>2002</w:t>
      </w:r>
      <w:r w:rsidR="005C0F3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2004), but a brief summary is provided here. Transmitted light microscopy of thin sections is used to assess the degree and character of degradation of bone microstructure, generally using the Oxford Histological Index (Hedges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1995; Millard 2001), alongside birefringence and other diagenetic changes such as infiltrations, inclusions</w:t>
      </w:r>
      <w:r w:rsidR="005C0F3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microcracking (Brönnimann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2018). Bacterial bioerosion is the most common form of degradation, though fungal tunnelling (frequently termed Wedl tunnels) can also have a major impact, particularly in wet environments (Booth 2016).</w:t>
      </w:r>
    </w:p>
    <w:p w14:paraId="0901F88D" w14:textId="3C5E0438" w:rsidR="000E5EA3" w:rsidRPr="00DA5DAC" w:rsidRDefault="00000000" w:rsidP="0011796A">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The origin of the bacteria that degrade bone microstructure is hotly debated. Two competing models have been put forward, each with very different interpretative ramifications. Some researchers favour an exogenous model, whereby soil bacteria are responsible for microstructural degradation and therefore the character of the burial environment dictates variable preservation (Turner-Walker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2023). The alternative, endogenous model of bacterial attack, dictates that collagenolytic gut bacteria migrate around the body causing bioerosion during the early post-mortem phase (Booth 2016; Booth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2024). Under this model, mortuary practice has a key role in determining variation in the extent and character of degradation. Practices which cause rapid soft tissue decay, such as exposure or excarnation through intentional defleshing would remove enteric bacteria and thus reduce bioerosion (Booth &amp; Madgwick 2016). Similarly, deposition in anoxic environments where bacteria cannot thrive would limit bioerosion. By contrast, mortuary treatments that slow soft tissue decay, such as standard inhumations, would encourage bacterial attack and lead to poorly preserved microstructure (Bricking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w:t>
      </w:r>
      <w:r w:rsidR="0040451C">
        <w:rPr>
          <w:rFonts w:ascii="Times New Roman" w:eastAsia="Times New Roman" w:hAnsi="Times New Roman" w:cs="Times New Roman"/>
          <w:sz w:val="24"/>
          <w:szCs w:val="24"/>
        </w:rPr>
        <w:t>5</w:t>
      </w:r>
      <w:r w:rsidRPr="00DA5DAC">
        <w:rPr>
          <w:rFonts w:ascii="Times New Roman" w:eastAsia="Times New Roman" w:hAnsi="Times New Roman" w:cs="Times New Roman"/>
          <w:sz w:val="24"/>
          <w:szCs w:val="24"/>
        </w:rPr>
        <w:t xml:space="preserve"> Tudor </w:t>
      </w:r>
      <w:r w:rsidRPr="005C0F3F">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w:t>
      </w:r>
      <w:r w:rsidR="0040451C">
        <w:rPr>
          <w:rFonts w:ascii="Times New Roman" w:eastAsia="Times New Roman" w:hAnsi="Times New Roman" w:cs="Times New Roman"/>
          <w:sz w:val="24"/>
          <w:szCs w:val="24"/>
        </w:rPr>
        <w:t>5</w:t>
      </w:r>
      <w:r w:rsidRPr="00DA5DAC">
        <w:rPr>
          <w:rFonts w:ascii="Times New Roman" w:eastAsia="Times New Roman" w:hAnsi="Times New Roman" w:cs="Times New Roman"/>
          <w:sz w:val="24"/>
          <w:szCs w:val="24"/>
        </w:rPr>
        <w:t>.</w:t>
      </w:r>
    </w:p>
    <w:p w14:paraId="2BA8F7F0" w14:textId="662351CF" w:rsidR="000E5EA3" w:rsidRPr="00DA5DAC" w:rsidRDefault="00000000" w:rsidP="0011796A">
      <w:pPr>
        <w:spacing w:line="240" w:lineRule="auto"/>
        <w:ind w:firstLine="720"/>
        <w:jc w:val="both"/>
        <w:rPr>
          <w:rFonts w:ascii="Times New Roman" w:eastAsia="Times New Roman" w:hAnsi="Times New Roman" w:cs="Times New Roman"/>
          <w:sz w:val="24"/>
          <w:szCs w:val="24"/>
        </w:rPr>
      </w:pPr>
      <w:r w:rsidRPr="00B23E09">
        <w:rPr>
          <w:rFonts w:ascii="Times New Roman" w:eastAsia="Times New Roman" w:hAnsi="Times New Roman" w:cs="Times New Roman"/>
          <w:sz w:val="24"/>
          <w:szCs w:val="24"/>
        </w:rPr>
        <w:t>Reviews of histotaphonomic</w:t>
      </w:r>
      <w:r w:rsidRPr="00DA5DAC">
        <w:rPr>
          <w:rFonts w:ascii="Times New Roman" w:eastAsia="Times New Roman" w:hAnsi="Times New Roman" w:cs="Times New Roman"/>
          <w:sz w:val="24"/>
          <w:szCs w:val="24"/>
        </w:rPr>
        <w:t xml:space="preserve"> studies along with experimental and actualistic research have made important contributions to understanding of the timing and aetiology of variation (</w:t>
      </w:r>
      <w:r w:rsidR="00B23E09" w:rsidRPr="00DA5DAC">
        <w:rPr>
          <w:rFonts w:ascii="Times New Roman" w:eastAsia="Times New Roman" w:hAnsi="Times New Roman" w:cs="Times New Roman"/>
          <w:sz w:val="24"/>
          <w:szCs w:val="24"/>
        </w:rPr>
        <w:t xml:space="preserve">Turner-Walker </w:t>
      </w:r>
      <w:r w:rsidR="00B23E09" w:rsidRPr="002264B7">
        <w:rPr>
          <w:rFonts w:ascii="Times New Roman" w:eastAsia="Times New Roman" w:hAnsi="Times New Roman" w:cs="Times New Roman"/>
          <w:i/>
          <w:iCs/>
          <w:sz w:val="24"/>
          <w:szCs w:val="24"/>
        </w:rPr>
        <w:t>et al.</w:t>
      </w:r>
      <w:r w:rsidR="00B23E09" w:rsidRPr="00DA5DAC">
        <w:rPr>
          <w:rFonts w:ascii="Times New Roman" w:eastAsia="Times New Roman" w:hAnsi="Times New Roman" w:cs="Times New Roman"/>
          <w:sz w:val="24"/>
          <w:szCs w:val="24"/>
        </w:rPr>
        <w:t xml:space="preserve"> 2022</w:t>
      </w:r>
      <w:r w:rsidR="00B23E09">
        <w:rPr>
          <w:rFonts w:ascii="Times New Roman" w:eastAsia="Times New Roman" w:hAnsi="Times New Roman" w:cs="Times New Roman"/>
          <w:sz w:val="24"/>
          <w:szCs w:val="24"/>
        </w:rPr>
        <w:t xml:space="preserve">; </w:t>
      </w:r>
      <w:r w:rsidR="00B23E09" w:rsidRPr="00DA5DAC">
        <w:rPr>
          <w:rFonts w:ascii="Times New Roman" w:eastAsia="Times New Roman" w:hAnsi="Times New Roman" w:cs="Times New Roman"/>
          <w:sz w:val="24"/>
          <w:szCs w:val="24"/>
        </w:rPr>
        <w:t xml:space="preserve">Mavroudas </w:t>
      </w:r>
      <w:r w:rsidR="00B23E09" w:rsidRPr="002264B7">
        <w:rPr>
          <w:rFonts w:ascii="Times New Roman" w:eastAsia="Times New Roman" w:hAnsi="Times New Roman" w:cs="Times New Roman"/>
          <w:i/>
          <w:iCs/>
          <w:sz w:val="24"/>
          <w:szCs w:val="24"/>
        </w:rPr>
        <w:t>et al.</w:t>
      </w:r>
      <w:r w:rsidR="00B23E09" w:rsidRPr="00DA5DAC">
        <w:rPr>
          <w:rFonts w:ascii="Times New Roman" w:eastAsia="Times New Roman" w:hAnsi="Times New Roman" w:cs="Times New Roman"/>
          <w:sz w:val="24"/>
          <w:szCs w:val="24"/>
        </w:rPr>
        <w:t xml:space="preserve"> 2023; </w:t>
      </w:r>
      <w:r w:rsidRPr="00DA5DAC">
        <w:rPr>
          <w:rFonts w:ascii="Times New Roman" w:eastAsia="Times New Roman" w:hAnsi="Times New Roman" w:cs="Times New Roman"/>
          <w:sz w:val="24"/>
          <w:szCs w:val="24"/>
        </w:rPr>
        <w:t xml:space="preserve">Booth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2024; Schotsmans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2024). Whilst the subdiscipline is evolving rapidly</w:t>
      </w:r>
      <w:r w:rsidR="00B23E09">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there remains no consensus on the origins of bacteria and thus the interpretative potential of histotaphonomic data. Based on the author’s (RM) own primary, archaeological</w:t>
      </w:r>
      <w:r w:rsidR="00B23E09">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review research, evidence suggests that both endogenous and exogenous bacteria can affect bone microstructure but that gut bacteria have a dominant impact, particularly in northern latitudes. However, further experimental research is required to clarify the drivers of variation and consequently findings presented here may require future interpretative revision.</w:t>
      </w:r>
    </w:p>
    <w:p w14:paraId="6E79870D" w14:textId="77777777" w:rsidR="0011796A" w:rsidRDefault="0011796A" w:rsidP="00DA5DAC">
      <w:pPr>
        <w:spacing w:line="240" w:lineRule="auto"/>
        <w:jc w:val="both"/>
        <w:rPr>
          <w:rFonts w:ascii="Times New Roman" w:eastAsia="Times New Roman" w:hAnsi="Times New Roman" w:cs="Times New Roman"/>
          <w:b/>
          <w:sz w:val="24"/>
          <w:szCs w:val="24"/>
        </w:rPr>
      </w:pPr>
    </w:p>
    <w:p w14:paraId="0C3C8D4E" w14:textId="32908CE2" w:rsidR="000E5EA3" w:rsidRPr="008E5A8E" w:rsidRDefault="00000000" w:rsidP="00DA5DAC">
      <w:pPr>
        <w:spacing w:line="240" w:lineRule="auto"/>
        <w:jc w:val="both"/>
        <w:rPr>
          <w:rFonts w:ascii="Times New Roman" w:eastAsia="Times New Roman" w:hAnsi="Times New Roman" w:cs="Times New Roman"/>
          <w:bCs/>
          <w:caps/>
          <w:sz w:val="24"/>
          <w:szCs w:val="24"/>
        </w:rPr>
      </w:pPr>
      <w:r w:rsidRPr="008E5A8E">
        <w:rPr>
          <w:rFonts w:ascii="Times New Roman" w:eastAsia="Times New Roman" w:hAnsi="Times New Roman" w:cs="Times New Roman"/>
          <w:bCs/>
          <w:caps/>
          <w:sz w:val="24"/>
          <w:szCs w:val="24"/>
        </w:rPr>
        <w:t>Materials and Methods</w:t>
      </w:r>
    </w:p>
    <w:p w14:paraId="0A059805" w14:textId="30E20A55"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Transverse bone sections were cut (approximately 5 x 10 mm) using a Dremel 8200 with a diamond wheel attachment at the South West Heritage Trust. They were then transferred to Cardiff University BioArchaeology Laboratory. Bone sections were then placed in individual </w:t>
      </w:r>
      <w:r w:rsidRPr="00DA5DAC">
        <w:rPr>
          <w:rFonts w:ascii="Times New Roman" w:eastAsia="Times New Roman" w:hAnsi="Times New Roman" w:cs="Times New Roman"/>
          <w:sz w:val="24"/>
          <w:szCs w:val="24"/>
        </w:rPr>
        <w:lastRenderedPageBreak/>
        <w:t>cylindrical moulds. A solution of EpoFix resin and EpoFix hardener (25:3 ratio) was then poured over each sample to ensure structural integrity. Samples were placed in a Nucerite vacuum desiccator for &gt;24 hours for curing and to draw out any air bubbles. Rough edges of thick sections were removed with sandpaper. Embedded samples were cut into thin sections (</w:t>
      </w:r>
      <w:r w:rsidRPr="002264B7">
        <w:rPr>
          <w:rFonts w:ascii="Times New Roman" w:eastAsia="Times New Roman" w:hAnsi="Times New Roman" w:cs="Times New Roman"/>
          <w:i/>
          <w:iCs/>
          <w:sz w:val="24"/>
          <w:szCs w:val="24"/>
        </w:rPr>
        <w:t>c.</w:t>
      </w:r>
      <w:r w:rsidRPr="00DA5DAC">
        <w:rPr>
          <w:rFonts w:ascii="Times New Roman" w:eastAsia="Times New Roman" w:hAnsi="Times New Roman" w:cs="Times New Roman"/>
          <w:sz w:val="24"/>
          <w:szCs w:val="24"/>
        </w:rPr>
        <w:t xml:space="preserve"> 100</w:t>
      </w:r>
      <w:r w:rsidR="00B23E09">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μm) using a Struers Minitom. They were then polished using a Struers Labo-pol 5 automated polishing machine and by hand using increasing grades of aluminium oxide lapping film to reduce thickness (to </w:t>
      </w:r>
      <w:r w:rsidRPr="002264B7">
        <w:rPr>
          <w:rFonts w:ascii="Times New Roman" w:eastAsia="Times New Roman" w:hAnsi="Times New Roman" w:cs="Times New Roman"/>
          <w:i/>
          <w:iCs/>
          <w:sz w:val="24"/>
          <w:szCs w:val="24"/>
        </w:rPr>
        <w:t>c.</w:t>
      </w:r>
      <w:r w:rsidRPr="00DA5DAC">
        <w:rPr>
          <w:rFonts w:ascii="Times New Roman" w:eastAsia="Times New Roman" w:hAnsi="Times New Roman" w:cs="Times New Roman"/>
          <w:sz w:val="24"/>
          <w:szCs w:val="24"/>
        </w:rPr>
        <w:t xml:space="preserve"> 80</w:t>
      </w:r>
      <w:r w:rsidR="00B23E09">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μm). Thin sections were mounted on VWR 90 glass slides using Entellan rapid adhesive and shielded with a cover slip. One sample (WB22) disintegrated during thin sectioning and therefore has not been analysed. Samples were then analysed using transmitted light binocular Lecia DM EP microscope at 50x, 100x and 200x magnification. Digital micrographs were produced using Nikon Eclipse ME600 and SPOT Software 5.1.</w:t>
      </w:r>
    </w:p>
    <w:p w14:paraId="13A5B184" w14:textId="6400B641" w:rsidR="000E5EA3" w:rsidRDefault="00000000" w:rsidP="0011796A">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Each sample was scored on a scale of 0</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5 using the Oxford Histological Index (OHI), which defines the percentage of preserved microstructure (Millard 2001</w:t>
      </w:r>
      <w:r w:rsidR="00B23E09">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t>
      </w:r>
      <w:r w:rsidRPr="00B23E09">
        <w:rPr>
          <w:rFonts w:ascii="Times New Roman" w:eastAsia="Times New Roman" w:hAnsi="Times New Roman" w:cs="Times New Roman"/>
          <w:sz w:val="24"/>
          <w:szCs w:val="24"/>
          <w:highlight w:val="green"/>
        </w:rPr>
        <w:t>Table S</w:t>
      </w:r>
      <w:r w:rsidR="00B23E09">
        <w:rPr>
          <w:rFonts w:ascii="Times New Roman" w:eastAsia="Times New Roman" w:hAnsi="Times New Roman" w:cs="Times New Roman"/>
          <w:sz w:val="24"/>
          <w:szCs w:val="24"/>
          <w:highlight w:val="green"/>
        </w:rPr>
        <w:t>4.1</w:t>
      </w:r>
      <w:r w:rsidRPr="00DA5DAC">
        <w:rPr>
          <w:rFonts w:ascii="Times New Roman" w:eastAsia="Times New Roman" w:hAnsi="Times New Roman" w:cs="Times New Roman"/>
          <w:sz w:val="24"/>
          <w:szCs w:val="24"/>
        </w:rPr>
        <w:t xml:space="preserve">). Whilst widely used in histotaphonomic research, using OHI alone is coarse and a more nuanced approach including qualitative descriptions is required (Brönnimann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2018; Mavroudas </w:t>
      </w:r>
      <w:r w:rsidRPr="002264B7">
        <w:rPr>
          <w:rFonts w:ascii="Times New Roman" w:eastAsia="Times New Roman" w:hAnsi="Times New Roman" w:cs="Times New Roman"/>
          <w:i/>
          <w:iCs/>
          <w:sz w:val="24"/>
          <w:szCs w:val="24"/>
        </w:rPr>
        <w:t xml:space="preserve">et al. </w:t>
      </w:r>
      <w:r w:rsidRPr="00DA5DAC">
        <w:rPr>
          <w:rFonts w:ascii="Times New Roman" w:eastAsia="Times New Roman" w:hAnsi="Times New Roman" w:cs="Times New Roman"/>
          <w:sz w:val="24"/>
          <w:szCs w:val="24"/>
        </w:rPr>
        <w:t>2023). Therefore, noteworthy features (eg</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inclusions, infiltrations</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cracks) were assessed and patterns of preservation described, though the homogeneity of the Worlebury sample meant such features were rarely present.</w:t>
      </w:r>
    </w:p>
    <w:p w14:paraId="3FFF120B" w14:textId="77777777" w:rsidR="0011796A" w:rsidRPr="00DA5DAC" w:rsidRDefault="0011796A" w:rsidP="0011796A">
      <w:pPr>
        <w:spacing w:line="240" w:lineRule="auto"/>
        <w:ind w:firstLine="720"/>
        <w:jc w:val="both"/>
        <w:rPr>
          <w:rFonts w:ascii="Times New Roman" w:eastAsia="Times New Roman" w:hAnsi="Times New Roman" w:cs="Times New Roman"/>
          <w:sz w:val="24"/>
          <w:szCs w:val="24"/>
        </w:rPr>
      </w:pPr>
    </w:p>
    <w:tbl>
      <w:tblPr>
        <w:tblStyle w:val="aa"/>
        <w:tblW w:w="8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
        <w:gridCol w:w="1605"/>
        <w:gridCol w:w="6744"/>
      </w:tblGrid>
      <w:tr w:rsidR="000E5EA3" w:rsidRPr="00DA5DAC" w14:paraId="0F86278F"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shd w:val="clear" w:color="auto" w:fill="D1D1D1"/>
            <w:tcMar>
              <w:left w:w="108" w:type="dxa"/>
              <w:right w:w="108" w:type="dxa"/>
            </w:tcMar>
          </w:tcPr>
          <w:p w14:paraId="5697C32F" w14:textId="77777777" w:rsidR="000E5EA3" w:rsidRPr="00DA5DAC" w:rsidRDefault="00000000" w:rsidP="00DA5DAC">
            <w:pPr>
              <w:jc w:val="center"/>
              <w:rPr>
                <w:rFonts w:ascii="Times New Roman" w:eastAsia="Times New Roman" w:hAnsi="Times New Roman" w:cs="Times New Roman"/>
                <w:sz w:val="20"/>
                <w:szCs w:val="20"/>
              </w:rPr>
            </w:pPr>
            <w:r w:rsidRPr="00DA5DAC">
              <w:rPr>
                <w:rFonts w:ascii="Times New Roman" w:eastAsia="Times New Roman" w:hAnsi="Times New Roman" w:cs="Times New Roman"/>
                <w:b/>
                <w:sz w:val="20"/>
                <w:szCs w:val="20"/>
              </w:rPr>
              <w:t>OHI score</w:t>
            </w:r>
          </w:p>
        </w:tc>
        <w:tc>
          <w:tcPr>
            <w:tcW w:w="1605" w:type="dxa"/>
            <w:tcBorders>
              <w:top w:val="single" w:sz="8" w:space="0" w:color="000000"/>
              <w:left w:val="single" w:sz="8" w:space="0" w:color="000000"/>
              <w:bottom w:val="single" w:sz="8" w:space="0" w:color="000000"/>
              <w:right w:val="single" w:sz="8" w:space="0" w:color="000000"/>
            </w:tcBorders>
            <w:shd w:val="clear" w:color="auto" w:fill="D1D1D1"/>
            <w:tcMar>
              <w:left w:w="108" w:type="dxa"/>
              <w:right w:w="108" w:type="dxa"/>
            </w:tcMar>
          </w:tcPr>
          <w:p w14:paraId="1727BEB0" w14:textId="77777777" w:rsidR="000E5EA3" w:rsidRPr="00DA5DAC" w:rsidRDefault="00000000" w:rsidP="00DA5DAC">
            <w:pPr>
              <w:jc w:val="center"/>
              <w:rPr>
                <w:rFonts w:ascii="Times New Roman" w:eastAsia="Times New Roman" w:hAnsi="Times New Roman" w:cs="Times New Roman"/>
                <w:sz w:val="20"/>
                <w:szCs w:val="20"/>
              </w:rPr>
            </w:pPr>
            <w:r w:rsidRPr="00DA5DAC">
              <w:rPr>
                <w:rFonts w:ascii="Times New Roman" w:eastAsia="Times New Roman" w:hAnsi="Times New Roman" w:cs="Times New Roman"/>
                <w:b/>
                <w:sz w:val="20"/>
                <w:szCs w:val="20"/>
              </w:rPr>
              <w:t xml:space="preserve">% preserved bone microstructure </w:t>
            </w:r>
          </w:p>
        </w:tc>
        <w:tc>
          <w:tcPr>
            <w:tcW w:w="6744" w:type="dxa"/>
            <w:tcBorders>
              <w:top w:val="single" w:sz="8" w:space="0" w:color="000000"/>
              <w:left w:val="single" w:sz="8" w:space="0" w:color="000000"/>
              <w:bottom w:val="single" w:sz="8" w:space="0" w:color="000000"/>
              <w:right w:val="single" w:sz="8" w:space="0" w:color="000000"/>
            </w:tcBorders>
            <w:shd w:val="clear" w:color="auto" w:fill="D1D1D1"/>
            <w:tcMar>
              <w:left w:w="108" w:type="dxa"/>
              <w:right w:w="108" w:type="dxa"/>
            </w:tcMar>
          </w:tcPr>
          <w:p w14:paraId="6ACB2CE4" w14:textId="77777777" w:rsidR="000E5EA3" w:rsidRPr="00DA5DAC" w:rsidRDefault="00000000" w:rsidP="00DA5DAC">
            <w:pPr>
              <w:jc w:val="center"/>
              <w:rPr>
                <w:rFonts w:ascii="Times New Roman" w:eastAsia="Times New Roman" w:hAnsi="Times New Roman" w:cs="Times New Roman"/>
                <w:sz w:val="20"/>
                <w:szCs w:val="20"/>
              </w:rPr>
            </w:pPr>
            <w:r w:rsidRPr="00DA5DAC">
              <w:rPr>
                <w:rFonts w:ascii="Times New Roman" w:eastAsia="Times New Roman" w:hAnsi="Times New Roman" w:cs="Times New Roman"/>
                <w:b/>
                <w:sz w:val="20"/>
                <w:szCs w:val="20"/>
              </w:rPr>
              <w:t>Description</w:t>
            </w:r>
          </w:p>
        </w:tc>
      </w:tr>
      <w:tr w:rsidR="000E5EA3" w:rsidRPr="00DA5DAC" w14:paraId="19F447D1"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8A84EAD"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BDEFF63"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&lt;5%</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4F8702E"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No original microstructural features identifiable except Haversian canals</w:t>
            </w:r>
          </w:p>
        </w:tc>
      </w:tr>
      <w:tr w:rsidR="000E5EA3" w:rsidRPr="00DA5DAC" w14:paraId="16AA590B"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B73CBC1"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1</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345C991C"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&lt;15%</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5F6A9386"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Small areas of well-preserved microstructure, or some lamellae preserved by pattern of destructive foci</w:t>
            </w:r>
          </w:p>
        </w:tc>
      </w:tr>
      <w:tr w:rsidR="000E5EA3" w:rsidRPr="00DA5DAC" w14:paraId="4C742D9F"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26BAEA"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2</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08DD542A"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&lt;50%</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DF288BB"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Some well-preserved microstructure present between destroyed areas</w:t>
            </w:r>
          </w:p>
        </w:tc>
      </w:tr>
      <w:tr w:rsidR="000E5EA3" w:rsidRPr="00DA5DAC" w14:paraId="369DF591"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00715BD"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3</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AD9B97E"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&gt;50%</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DADFBB4"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Larger areas of well-preserved microstructure present among destroyed areas</w:t>
            </w:r>
          </w:p>
        </w:tc>
      </w:tr>
      <w:tr w:rsidR="000E5EA3" w:rsidRPr="00DA5DAC" w14:paraId="56EBB081"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E298F6"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4</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6412F4AD"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&gt;85%</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6416C7C"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Bone microstructure is fairly well-preserved with minor amounts of destroyed areas</w:t>
            </w:r>
          </w:p>
        </w:tc>
      </w:tr>
      <w:tr w:rsidR="000E5EA3" w:rsidRPr="00DA5DAC" w14:paraId="6F7B3FB2" w14:textId="77777777" w:rsidTr="008E5A8E">
        <w:trPr>
          <w:trHeight w:val="300"/>
          <w:jc w:val="center"/>
        </w:trPr>
        <w:tc>
          <w:tcPr>
            <w:tcW w:w="581"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2ADF2E70"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5</w:t>
            </w:r>
          </w:p>
        </w:tc>
        <w:tc>
          <w:tcPr>
            <w:tcW w:w="1605"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4F0555E7"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&gt;95%</w:t>
            </w:r>
          </w:p>
        </w:tc>
        <w:tc>
          <w:tcPr>
            <w:tcW w:w="6744" w:type="dxa"/>
            <w:tcBorders>
              <w:top w:val="single" w:sz="8" w:space="0" w:color="000000"/>
              <w:left w:val="single" w:sz="8" w:space="0" w:color="000000"/>
              <w:bottom w:val="single" w:sz="8" w:space="0" w:color="000000"/>
              <w:right w:val="single" w:sz="8" w:space="0" w:color="000000"/>
            </w:tcBorders>
            <w:tcMar>
              <w:left w:w="108" w:type="dxa"/>
              <w:right w:w="108" w:type="dxa"/>
            </w:tcMar>
            <w:vAlign w:val="center"/>
          </w:tcPr>
          <w:p w14:paraId="1ABD693E" w14:textId="77777777" w:rsidR="000E5EA3" w:rsidRPr="00DA5DAC" w:rsidRDefault="00000000" w:rsidP="00B23E09">
            <w:pPr>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Microstructure is very well preserved, similar to that of fresh/modern bone</w:t>
            </w:r>
          </w:p>
        </w:tc>
      </w:tr>
    </w:tbl>
    <w:p w14:paraId="3A917AAE" w14:textId="77777777" w:rsidR="008E5A8E" w:rsidRDefault="008E5A8E" w:rsidP="00DA5DAC">
      <w:pPr>
        <w:spacing w:line="240" w:lineRule="auto"/>
        <w:rPr>
          <w:rFonts w:ascii="Times New Roman" w:eastAsia="Times New Roman" w:hAnsi="Times New Roman" w:cs="Times New Roman"/>
          <w:bCs/>
          <w:sz w:val="24"/>
          <w:szCs w:val="24"/>
        </w:rPr>
      </w:pPr>
    </w:p>
    <w:p w14:paraId="66477723" w14:textId="4EA211CB" w:rsidR="000E5EA3" w:rsidRPr="00DA5DAC" w:rsidRDefault="00000000" w:rsidP="00DA5DAC">
      <w:pPr>
        <w:spacing w:line="240" w:lineRule="auto"/>
        <w:rPr>
          <w:rFonts w:ascii="Times New Roman" w:eastAsia="Times New Roman" w:hAnsi="Times New Roman" w:cs="Times New Roman"/>
          <w:sz w:val="24"/>
          <w:szCs w:val="24"/>
        </w:rPr>
      </w:pPr>
      <w:r w:rsidRPr="002264B7">
        <w:rPr>
          <w:rFonts w:ascii="Times New Roman" w:eastAsia="Times New Roman" w:hAnsi="Times New Roman" w:cs="Times New Roman"/>
          <w:bCs/>
          <w:sz w:val="24"/>
          <w:szCs w:val="24"/>
        </w:rPr>
        <w:t>Table S</w:t>
      </w:r>
      <w:r w:rsidR="00B23E09">
        <w:rPr>
          <w:rFonts w:ascii="Times New Roman" w:eastAsia="Times New Roman" w:hAnsi="Times New Roman" w:cs="Times New Roman"/>
          <w:bCs/>
          <w:sz w:val="24"/>
          <w:szCs w:val="24"/>
        </w:rPr>
        <w:t>4.1</w:t>
      </w:r>
      <w:r w:rsidRPr="002264B7">
        <w:rPr>
          <w:rFonts w:ascii="Times New Roman" w:eastAsia="Times New Roman" w:hAnsi="Times New Roman" w:cs="Times New Roman"/>
          <w:bCs/>
          <w:sz w:val="24"/>
          <w:szCs w:val="24"/>
        </w:rPr>
        <w:t>.</w:t>
      </w:r>
      <w:r w:rsidRPr="00DA5DAC">
        <w:rPr>
          <w:rFonts w:ascii="Times New Roman" w:eastAsia="Times New Roman" w:hAnsi="Times New Roman" w:cs="Times New Roman"/>
          <w:b/>
          <w:sz w:val="24"/>
          <w:szCs w:val="24"/>
        </w:rPr>
        <w:t xml:space="preserve"> </w:t>
      </w:r>
      <w:r w:rsidRPr="00DA5DAC">
        <w:rPr>
          <w:rFonts w:ascii="Times New Roman" w:eastAsia="Times New Roman" w:hAnsi="Times New Roman" w:cs="Times New Roman"/>
          <w:sz w:val="24"/>
          <w:szCs w:val="24"/>
        </w:rPr>
        <w:t>The Oxford Histological Index (OHI) (after Millard 2001).</w:t>
      </w:r>
    </w:p>
    <w:p w14:paraId="12367B4C" w14:textId="77777777" w:rsidR="0011796A" w:rsidRDefault="0011796A" w:rsidP="00DA5DAC">
      <w:pPr>
        <w:spacing w:line="240" w:lineRule="auto"/>
        <w:jc w:val="both"/>
        <w:rPr>
          <w:rFonts w:ascii="Times New Roman" w:eastAsia="Times New Roman" w:hAnsi="Times New Roman" w:cs="Times New Roman"/>
          <w:b/>
          <w:sz w:val="24"/>
          <w:szCs w:val="24"/>
        </w:rPr>
      </w:pPr>
    </w:p>
    <w:p w14:paraId="5EB27412" w14:textId="3763FEE5" w:rsidR="000E5EA3" w:rsidRPr="008E5A8E" w:rsidRDefault="00000000" w:rsidP="00DA5DAC">
      <w:pPr>
        <w:spacing w:line="240" w:lineRule="auto"/>
        <w:jc w:val="both"/>
        <w:rPr>
          <w:rFonts w:ascii="Times New Roman" w:eastAsia="Times New Roman" w:hAnsi="Times New Roman" w:cs="Times New Roman"/>
          <w:bCs/>
          <w:caps/>
          <w:sz w:val="24"/>
          <w:szCs w:val="24"/>
        </w:rPr>
      </w:pPr>
      <w:r w:rsidRPr="008E5A8E">
        <w:rPr>
          <w:rFonts w:ascii="Times New Roman" w:eastAsia="Times New Roman" w:hAnsi="Times New Roman" w:cs="Times New Roman"/>
          <w:bCs/>
          <w:caps/>
          <w:sz w:val="24"/>
          <w:szCs w:val="24"/>
        </w:rPr>
        <w:t>Results and discussion</w:t>
      </w:r>
    </w:p>
    <w:p w14:paraId="7F1BC820" w14:textId="644A9880"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OHI scores are presented in </w:t>
      </w:r>
      <w:r w:rsidRPr="008E5A8E">
        <w:rPr>
          <w:rFonts w:ascii="Times New Roman" w:eastAsia="Times New Roman" w:hAnsi="Times New Roman" w:cs="Times New Roman"/>
          <w:sz w:val="24"/>
          <w:szCs w:val="24"/>
          <w:highlight w:val="green"/>
        </w:rPr>
        <w:t>Table S4</w:t>
      </w:r>
      <w:r w:rsidR="008E5A8E" w:rsidRPr="008E5A8E">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rPr>
        <w:t>. The Worlebury samples show very homogenous patterns of microstructural preservation. Of the 28 samples, 23 showed almost complete histological destruction through bioerosion, with OHI scores of 0 and budded microbial attack (Hackett 1981) being overwhelmingly dominant. Poorly preserved histology is dominant across both postcranial and cranial remains, fragmentary and complete elements, those with and without evidence for sharp force trauma</w:t>
      </w:r>
      <w:r w:rsidR="008E5A8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those with poorly and well-preserved cortical surfaces. Whilst a full understanding of the level of articulation across samples cannot be attained, there is no indication that this correlates with histological preservation. Four samples produced OHI scores of 1 – one humerus and three skull elements (WB2, 12, 14, 19 </w:t>
      </w:r>
      <w:r w:rsidR="002264B7">
        <w:rPr>
          <w:rFonts w:ascii="Times New Roman" w:eastAsia="Times New Roman" w:hAnsi="Times New Roman" w:cs="Times New Roman"/>
          <w:sz w:val="24"/>
          <w:szCs w:val="24"/>
        </w:rPr>
        <w:t>[</w:t>
      </w:r>
      <w:r w:rsidRPr="008E5A8E">
        <w:rPr>
          <w:rFonts w:ascii="Times New Roman" w:eastAsia="Times New Roman" w:hAnsi="Times New Roman" w:cs="Times New Roman"/>
          <w:sz w:val="24"/>
          <w:szCs w:val="24"/>
          <w:highlight w:val="green"/>
        </w:rPr>
        <w:t>Table S4</w:t>
      </w:r>
      <w:r w:rsidR="008E5A8E" w:rsidRPr="008E5A8E">
        <w:rPr>
          <w:rFonts w:ascii="Times New Roman" w:eastAsia="Times New Roman" w:hAnsi="Times New Roman" w:cs="Times New Roman"/>
          <w:sz w:val="24"/>
          <w:szCs w:val="24"/>
          <w:highlight w:val="green"/>
        </w:rPr>
        <w:t>.2</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In all instances, areas of microstructural preservation were very limited, with occasional osteons retaining integrity or, in some instances, portions of the periosteal surface being well preserved. These isolated zones of preservation are insufficient to be suggestive of a different mode of early post-mortem treatment and can be considered broadly representative of a mortuary practice in which soft tissue degraded slowly</w:t>
      </w:r>
      <w:r w:rsidR="008E5A8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allowing the transmigration of bacteria into the bones and thus extensive bioerosion. </w:t>
      </w:r>
      <w:r w:rsidRPr="008E5A8E">
        <w:rPr>
          <w:rFonts w:ascii="Times New Roman" w:eastAsia="Times New Roman" w:hAnsi="Times New Roman" w:cs="Times New Roman"/>
          <w:sz w:val="24"/>
          <w:szCs w:val="24"/>
          <w:highlight w:val="green"/>
        </w:rPr>
        <w:t>Figure S4</w:t>
      </w:r>
      <w:r w:rsidR="008E5A8E" w:rsidRPr="008E5A8E">
        <w:rPr>
          <w:rFonts w:ascii="Times New Roman" w:eastAsia="Times New Roman" w:hAnsi="Times New Roman" w:cs="Times New Roman"/>
          <w:sz w:val="24"/>
          <w:szCs w:val="24"/>
          <w:highlight w:val="green"/>
        </w:rPr>
        <w:t>.1</w:t>
      </w:r>
      <w:r w:rsidRPr="00DA5DAC">
        <w:rPr>
          <w:rFonts w:ascii="Times New Roman" w:eastAsia="Times New Roman" w:hAnsi="Times New Roman" w:cs="Times New Roman"/>
          <w:sz w:val="24"/>
          <w:szCs w:val="24"/>
        </w:rPr>
        <w:t xml:space="preserve"> shows typical patterns of preservation, where the Haversian system is still observable but microstructural features have </w:t>
      </w:r>
      <w:r w:rsidRPr="00DA5DAC">
        <w:rPr>
          <w:rFonts w:ascii="Times New Roman" w:eastAsia="Times New Roman" w:hAnsi="Times New Roman" w:cs="Times New Roman"/>
          <w:sz w:val="24"/>
          <w:szCs w:val="24"/>
        </w:rPr>
        <w:lastRenderedPageBreak/>
        <w:t>been entirely destroyed or obscured by bacterial attack. Although in varying states of articulation, evidence indicates that these remains were all deposited fleshed and subject to burial shortly after death. It is noteworthy that seven of the sampled bones showed stage 1 weathering (Behrensmeyer 1978). Therefore, if these remains were subject to primary subterranean deposition as the OHI data suggest, they may have been subject to more complex taphonomic trajectories, with later manipulation and sub-aerial exposure. The spiral fractured humerus also points to a wider range of processes, with fragmentation of remains whilst still fresh, prior to early postmortem subterranean deposition. Given the mixed states of articulation, it is clear that various stages of practice were often enacted</w:t>
      </w:r>
      <w:r w:rsidR="008E5A8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but early burial (o</w:t>
      </w:r>
      <w:r w:rsidR="00BB3B88">
        <w:rPr>
          <w:rFonts w:ascii="Times New Roman" w:eastAsia="Times New Roman" w:hAnsi="Times New Roman" w:cs="Times New Roman"/>
          <w:sz w:val="24"/>
          <w:szCs w:val="24"/>
        </w:rPr>
        <w:t>f</w:t>
      </w:r>
      <w:r w:rsidRPr="00DA5DAC">
        <w:rPr>
          <w:rFonts w:ascii="Times New Roman" w:eastAsia="Times New Roman" w:hAnsi="Times New Roman" w:cs="Times New Roman"/>
          <w:sz w:val="24"/>
          <w:szCs w:val="24"/>
        </w:rPr>
        <w:t xml:space="preserve"> whole or part bodies) was often part of this process.</w:t>
      </w:r>
    </w:p>
    <w:p w14:paraId="67D981E9" w14:textId="77777777" w:rsidR="000E5EA3" w:rsidRPr="00DA5DAC" w:rsidRDefault="000E5EA3" w:rsidP="00DA5DAC">
      <w:pPr>
        <w:spacing w:line="240" w:lineRule="auto"/>
        <w:jc w:val="both"/>
        <w:rPr>
          <w:rFonts w:ascii="Times New Roman" w:eastAsia="Times New Roman" w:hAnsi="Times New Roman" w:cs="Times New Roman"/>
          <w:sz w:val="24"/>
          <w:szCs w:val="24"/>
        </w:rPr>
      </w:pPr>
    </w:p>
    <w:tbl>
      <w:tblPr>
        <w:tblStyle w:val="ab"/>
        <w:tblW w:w="7891"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1051"/>
        <w:gridCol w:w="870"/>
        <w:gridCol w:w="3015"/>
        <w:gridCol w:w="2955"/>
      </w:tblGrid>
      <w:tr w:rsidR="000E5EA3" w:rsidRPr="00DA5DAC" w14:paraId="7290B9EC" w14:textId="77777777" w:rsidTr="008E5A8E">
        <w:trPr>
          <w:trHeight w:val="300"/>
        </w:trPr>
        <w:tc>
          <w:tcPr>
            <w:tcW w:w="1051" w:type="dxa"/>
            <w:tcBorders>
              <w:top w:val="single" w:sz="5" w:space="0" w:color="000000"/>
              <w:left w:val="single" w:sz="5" w:space="0" w:color="000000"/>
              <w:bottom w:val="single" w:sz="5" w:space="0" w:color="000000"/>
              <w:right w:val="single" w:sz="5" w:space="0" w:color="000000"/>
            </w:tcBorders>
            <w:shd w:val="clear" w:color="auto" w:fill="CCCCCC"/>
            <w:tcMar>
              <w:top w:w="0" w:type="dxa"/>
              <w:left w:w="100" w:type="dxa"/>
              <w:bottom w:w="0" w:type="dxa"/>
              <w:right w:w="100" w:type="dxa"/>
            </w:tcMar>
            <w:vAlign w:val="bottom"/>
          </w:tcPr>
          <w:p w14:paraId="1E59C574" w14:textId="77777777" w:rsidR="000E5EA3" w:rsidRPr="00DA5DAC" w:rsidRDefault="00000000" w:rsidP="00DA5DAC">
            <w:pPr>
              <w:spacing w:line="240" w:lineRule="auto"/>
              <w:jc w:val="center"/>
              <w:rPr>
                <w:rFonts w:ascii="Times New Roman" w:eastAsia="Times New Roman" w:hAnsi="Times New Roman" w:cs="Times New Roman"/>
                <w:b/>
                <w:sz w:val="20"/>
                <w:szCs w:val="20"/>
              </w:rPr>
            </w:pPr>
            <w:r w:rsidRPr="00DA5DAC">
              <w:rPr>
                <w:rFonts w:ascii="Times New Roman" w:eastAsia="Times New Roman" w:hAnsi="Times New Roman" w:cs="Times New Roman"/>
                <w:b/>
                <w:sz w:val="20"/>
                <w:szCs w:val="20"/>
              </w:rPr>
              <w:t>Sample no</w:t>
            </w:r>
          </w:p>
        </w:tc>
        <w:tc>
          <w:tcPr>
            <w:tcW w:w="870" w:type="dxa"/>
            <w:tcBorders>
              <w:top w:val="single" w:sz="5" w:space="0" w:color="000000"/>
              <w:left w:val="nil"/>
              <w:bottom w:val="single" w:sz="5" w:space="0" w:color="000000"/>
              <w:right w:val="single" w:sz="5" w:space="0" w:color="000000"/>
            </w:tcBorders>
            <w:shd w:val="clear" w:color="auto" w:fill="CCCCCC"/>
            <w:tcMar>
              <w:top w:w="0" w:type="dxa"/>
              <w:left w:w="100" w:type="dxa"/>
              <w:bottom w:w="0" w:type="dxa"/>
              <w:right w:w="100" w:type="dxa"/>
            </w:tcMar>
            <w:vAlign w:val="bottom"/>
          </w:tcPr>
          <w:p w14:paraId="74F8A5A4" w14:textId="77777777" w:rsidR="000E5EA3" w:rsidRPr="00DA5DAC" w:rsidRDefault="00000000" w:rsidP="00DA5DAC">
            <w:pPr>
              <w:spacing w:line="240" w:lineRule="auto"/>
              <w:jc w:val="center"/>
              <w:rPr>
                <w:rFonts w:ascii="Times New Roman" w:eastAsia="Times New Roman" w:hAnsi="Times New Roman" w:cs="Times New Roman"/>
                <w:b/>
                <w:sz w:val="20"/>
                <w:szCs w:val="20"/>
              </w:rPr>
            </w:pPr>
            <w:r w:rsidRPr="00DA5DAC">
              <w:rPr>
                <w:rFonts w:ascii="Times New Roman" w:eastAsia="Times New Roman" w:hAnsi="Times New Roman" w:cs="Times New Roman"/>
                <w:b/>
                <w:sz w:val="20"/>
                <w:szCs w:val="20"/>
              </w:rPr>
              <w:t>OHI</w:t>
            </w:r>
          </w:p>
        </w:tc>
        <w:tc>
          <w:tcPr>
            <w:tcW w:w="3015" w:type="dxa"/>
            <w:tcBorders>
              <w:top w:val="single" w:sz="5" w:space="0" w:color="000000"/>
              <w:left w:val="nil"/>
              <w:bottom w:val="single" w:sz="5" w:space="0" w:color="000000"/>
              <w:right w:val="single" w:sz="5" w:space="0" w:color="000000"/>
            </w:tcBorders>
            <w:shd w:val="clear" w:color="auto" w:fill="CCCCCC"/>
            <w:tcMar>
              <w:top w:w="0" w:type="dxa"/>
              <w:left w:w="100" w:type="dxa"/>
              <w:bottom w:w="0" w:type="dxa"/>
              <w:right w:w="100" w:type="dxa"/>
            </w:tcMar>
            <w:vAlign w:val="bottom"/>
          </w:tcPr>
          <w:p w14:paraId="01F76EC1" w14:textId="77777777" w:rsidR="000E5EA3" w:rsidRPr="00DA5DAC" w:rsidRDefault="00000000" w:rsidP="00DA5DAC">
            <w:pPr>
              <w:spacing w:line="240" w:lineRule="auto"/>
              <w:jc w:val="center"/>
              <w:rPr>
                <w:rFonts w:ascii="Times New Roman" w:eastAsia="Times New Roman" w:hAnsi="Times New Roman" w:cs="Times New Roman"/>
                <w:b/>
                <w:sz w:val="20"/>
                <w:szCs w:val="20"/>
              </w:rPr>
            </w:pPr>
            <w:r w:rsidRPr="00DA5DAC">
              <w:rPr>
                <w:rFonts w:ascii="Times New Roman" w:eastAsia="Times New Roman" w:hAnsi="Times New Roman" w:cs="Times New Roman"/>
                <w:b/>
                <w:sz w:val="20"/>
                <w:szCs w:val="20"/>
              </w:rPr>
              <w:t>Sampled element (bone present)</w:t>
            </w:r>
          </w:p>
        </w:tc>
        <w:tc>
          <w:tcPr>
            <w:tcW w:w="2955" w:type="dxa"/>
            <w:tcBorders>
              <w:top w:val="single" w:sz="5" w:space="0" w:color="000000"/>
              <w:left w:val="nil"/>
              <w:bottom w:val="single" w:sz="5" w:space="0" w:color="000000"/>
              <w:right w:val="single" w:sz="5" w:space="0" w:color="000000"/>
            </w:tcBorders>
            <w:shd w:val="clear" w:color="auto" w:fill="CCCCCC"/>
            <w:tcMar>
              <w:top w:w="0" w:type="dxa"/>
              <w:left w:w="100" w:type="dxa"/>
              <w:bottom w:w="0" w:type="dxa"/>
              <w:right w:w="100" w:type="dxa"/>
            </w:tcMar>
            <w:vAlign w:val="bottom"/>
          </w:tcPr>
          <w:p w14:paraId="0C60A46E" w14:textId="77777777" w:rsidR="000E5EA3" w:rsidRPr="00DA5DAC" w:rsidRDefault="00000000" w:rsidP="00DA5DAC">
            <w:pPr>
              <w:spacing w:line="240" w:lineRule="auto"/>
              <w:jc w:val="center"/>
              <w:rPr>
                <w:rFonts w:ascii="Times New Roman" w:eastAsia="Times New Roman" w:hAnsi="Times New Roman" w:cs="Times New Roman"/>
                <w:b/>
                <w:sz w:val="20"/>
                <w:szCs w:val="20"/>
              </w:rPr>
            </w:pPr>
            <w:r w:rsidRPr="00DA5DAC">
              <w:rPr>
                <w:rFonts w:ascii="Times New Roman" w:eastAsia="Times New Roman" w:hAnsi="Times New Roman" w:cs="Times New Roman"/>
                <w:b/>
                <w:sz w:val="20"/>
                <w:szCs w:val="20"/>
              </w:rPr>
              <w:t>Other taphonomy</w:t>
            </w:r>
          </w:p>
        </w:tc>
      </w:tr>
      <w:tr w:rsidR="000E5EA3" w:rsidRPr="00DA5DAC" w14:paraId="391D7FDC"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53978C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WB01</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8DB43F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CBDE49" w14:textId="49A2CC78"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w:t>
            </w:r>
            <w:r w:rsidR="00DA5DAC">
              <w:rPr>
                <w:rFonts w:ascii="Times New Roman" w:eastAsia="Times New Roman" w:hAnsi="Times New Roman" w:cs="Times New Roman"/>
                <w:sz w:val="20"/>
                <w:szCs w:val="20"/>
              </w:rPr>
              <w:t xml:space="preserve"> </w:t>
            </w:r>
            <w:r w:rsidRPr="00DA5DAC">
              <w:rPr>
                <w:rFonts w:ascii="Times New Roman" w:eastAsia="Times New Roman" w:hAnsi="Times New Roman" w:cs="Times New Roman"/>
                <w:sz w:val="20"/>
                <w:szCs w:val="20"/>
              </w:rPr>
              <w:t>humerus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1B51C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0E858237"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BBEEDB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WB02</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B27AA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1</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818CF4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Left humerus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AD3E859"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129B8B3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2E1305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WB03</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407D0C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AE0EFA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Left parietal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255DA10"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573EFB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438193D"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WB04</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72D20B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94CC10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Mandible and 1st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09529DD"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1ED3FC81"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BBFC639"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WB05</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7245FE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7F3F8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Left ulna</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1B4595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5132D964"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58AA68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WB06</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3241FD9"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BE6C39D"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tibia</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EEB3A9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747C82AE"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6CAAFD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WB07</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8C79A4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C7655D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Mandible and 2nd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2C8980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7209F62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7AE340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WB08</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10E390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9AE5E2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Parietal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15F59EE"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3EE14C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334DED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WB09</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E564350"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E61200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femur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171785"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21681CE4"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F9FA00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WB10</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9CB444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607048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femur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645736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Excellent surface preservation</w:t>
            </w:r>
          </w:p>
        </w:tc>
      </w:tr>
      <w:tr w:rsidR="000E5EA3" w:rsidRPr="00DA5DAC" w14:paraId="30FB99FD"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22929B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WB11</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0318DD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81A8A4E"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humerus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D38A415"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44E057F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F4F490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WB12</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FB0EA9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1</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1241E9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Frontal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1B62CC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F07FCB5"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D9B3C6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WB13</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769298F"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86C539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parietal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D0102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871B62B"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0769E7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WB14</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1AA3EF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1</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B3DFCE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Frontal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41C9AF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1AFC9DC2"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D66718E"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WB15</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E1F179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9D824B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radius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40550E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A1EFDCB"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83CE30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WB16</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2DE95A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020092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Mandible and 2nd premolar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80BDCB5"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7AE88D80"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71FB401E"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WB17</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ED7A3E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1B7A910"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Frontal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DDA3F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17480B2B"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68965F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WB18</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01A190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43F59B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femur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D61AD7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4BC85894"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1E123C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WB19</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5272545"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1</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9CDB1F0"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Parietal bone and 2nd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330375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6B5A9E0A"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5FFAFA4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WB20</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A60982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6BA4E5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Parietal bone and 2nd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5C133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57B0C5E2"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0E6DDD2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WB21</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27C9A37E"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D91E47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Occipital bone and 2nd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0F5FB2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021B1FBB"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3A44A3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WB23</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0BFF50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F27C73D"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Right humerus</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41343C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Black staining on distal epiphysis</w:t>
            </w:r>
          </w:p>
        </w:tc>
      </w:tr>
      <w:tr w:rsidR="000E5EA3" w:rsidRPr="00DA5DAC" w14:paraId="10C99ADF"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659CE987"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WB24</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FB7BA6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2</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6771ADF"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Mandible and 1st molar</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4EB6D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41560389"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147100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WB25</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E3F1DD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6694CAD"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Occipital bone</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60AF54D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3093CEDC"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1BD2734B"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WB26</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739DB386"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FD0D20"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 xml:space="preserve">Unsided humerus </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DED3841"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r w:rsidR="000E5EA3" w:rsidRPr="00DA5DAC" w14:paraId="293E2318"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31739F1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WB27</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BAA448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E1340AA"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Temporal bone fragment</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13A482E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Stage 1 weathering</w:t>
            </w:r>
          </w:p>
        </w:tc>
      </w:tr>
      <w:tr w:rsidR="000E5EA3" w:rsidRPr="00DA5DAC" w14:paraId="323B5FBF" w14:textId="77777777" w:rsidTr="008E5A8E">
        <w:trPr>
          <w:trHeight w:val="300"/>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4FD52762"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WB28</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F54C85F"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297C253"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Parietal bone fragment</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0306AD84"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Black staining</w:t>
            </w:r>
          </w:p>
        </w:tc>
      </w:tr>
      <w:tr w:rsidR="000E5EA3" w:rsidRPr="00DA5DAC" w14:paraId="69E38BF6" w14:textId="77777777" w:rsidTr="008E5A8E">
        <w:trPr>
          <w:trHeight w:val="315"/>
        </w:trPr>
        <w:tc>
          <w:tcPr>
            <w:tcW w:w="1051" w:type="dxa"/>
            <w:tcBorders>
              <w:top w:val="nil"/>
              <w:left w:val="single" w:sz="5" w:space="0" w:color="000000"/>
              <w:bottom w:val="single" w:sz="5" w:space="0" w:color="000000"/>
              <w:right w:val="single" w:sz="5" w:space="0" w:color="000000"/>
            </w:tcBorders>
            <w:tcMar>
              <w:top w:w="0" w:type="dxa"/>
              <w:left w:w="100" w:type="dxa"/>
              <w:bottom w:w="0" w:type="dxa"/>
              <w:right w:w="100" w:type="dxa"/>
            </w:tcMar>
            <w:vAlign w:val="center"/>
          </w:tcPr>
          <w:p w14:paraId="2AD4DE1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WB29</w:t>
            </w:r>
          </w:p>
        </w:tc>
        <w:tc>
          <w:tcPr>
            <w:tcW w:w="870"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435999BC"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0</w:t>
            </w:r>
          </w:p>
        </w:tc>
        <w:tc>
          <w:tcPr>
            <w:tcW w:w="301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5F6B98A9"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Parietal bone fragment</w:t>
            </w:r>
          </w:p>
        </w:tc>
        <w:tc>
          <w:tcPr>
            <w:tcW w:w="2955" w:type="dxa"/>
            <w:tcBorders>
              <w:top w:val="nil"/>
              <w:left w:val="nil"/>
              <w:bottom w:val="single" w:sz="5" w:space="0" w:color="000000"/>
              <w:right w:val="single" w:sz="5" w:space="0" w:color="000000"/>
            </w:tcBorders>
            <w:tcMar>
              <w:top w:w="0" w:type="dxa"/>
              <w:left w:w="100" w:type="dxa"/>
              <w:bottom w:w="0" w:type="dxa"/>
              <w:right w:w="100" w:type="dxa"/>
            </w:tcMar>
            <w:vAlign w:val="center"/>
          </w:tcPr>
          <w:p w14:paraId="3DCC83A8" w14:textId="77777777" w:rsidR="000E5EA3" w:rsidRPr="00DA5DAC" w:rsidRDefault="00000000" w:rsidP="008E5A8E">
            <w:pPr>
              <w:spacing w:line="240" w:lineRule="auto"/>
              <w:rPr>
                <w:rFonts w:ascii="Times New Roman" w:eastAsia="Times New Roman" w:hAnsi="Times New Roman" w:cs="Times New Roman"/>
                <w:sz w:val="20"/>
                <w:szCs w:val="20"/>
              </w:rPr>
            </w:pPr>
            <w:r w:rsidRPr="00DA5DAC">
              <w:rPr>
                <w:rFonts w:ascii="Times New Roman" w:eastAsia="Times New Roman" w:hAnsi="Times New Roman" w:cs="Times New Roman"/>
                <w:sz w:val="20"/>
                <w:szCs w:val="20"/>
              </w:rPr>
              <w:t>-</w:t>
            </w:r>
          </w:p>
        </w:tc>
      </w:tr>
    </w:tbl>
    <w:p w14:paraId="256DFC54" w14:textId="77777777" w:rsidR="008E5A8E" w:rsidRDefault="008E5A8E" w:rsidP="00DA5DAC">
      <w:pPr>
        <w:spacing w:line="240" w:lineRule="auto"/>
        <w:rPr>
          <w:rFonts w:ascii="Times New Roman" w:eastAsia="Times New Roman" w:hAnsi="Times New Roman" w:cs="Times New Roman"/>
          <w:bCs/>
          <w:sz w:val="24"/>
          <w:szCs w:val="24"/>
        </w:rPr>
      </w:pPr>
    </w:p>
    <w:p w14:paraId="597D4497" w14:textId="4F3E55CA" w:rsidR="000E5EA3" w:rsidRPr="00DA5DAC" w:rsidRDefault="00000000" w:rsidP="00DA5DAC">
      <w:pPr>
        <w:spacing w:line="240" w:lineRule="auto"/>
        <w:rPr>
          <w:rFonts w:ascii="Times New Roman" w:eastAsia="Times New Roman" w:hAnsi="Times New Roman" w:cs="Times New Roman"/>
          <w:sz w:val="24"/>
          <w:szCs w:val="24"/>
        </w:rPr>
      </w:pPr>
      <w:r w:rsidRPr="002264B7">
        <w:rPr>
          <w:rFonts w:ascii="Times New Roman" w:eastAsia="Times New Roman" w:hAnsi="Times New Roman" w:cs="Times New Roman"/>
          <w:bCs/>
          <w:sz w:val="24"/>
          <w:szCs w:val="24"/>
        </w:rPr>
        <w:t>Table S</w:t>
      </w:r>
      <w:r w:rsidR="008E5A8E">
        <w:rPr>
          <w:rFonts w:ascii="Times New Roman" w:eastAsia="Times New Roman" w:hAnsi="Times New Roman" w:cs="Times New Roman"/>
          <w:bCs/>
          <w:sz w:val="24"/>
          <w:szCs w:val="24"/>
        </w:rPr>
        <w:t>4.2</w:t>
      </w:r>
      <w:r w:rsidRPr="002264B7">
        <w:rPr>
          <w:rFonts w:ascii="Times New Roman" w:eastAsia="Times New Roman" w:hAnsi="Times New Roman" w:cs="Times New Roman"/>
          <w:bCs/>
          <w:sz w:val="24"/>
          <w:szCs w:val="24"/>
        </w:rPr>
        <w:t>.</w:t>
      </w:r>
      <w:r w:rsidRPr="00DA5DAC">
        <w:rPr>
          <w:rFonts w:ascii="Times New Roman" w:eastAsia="Times New Roman" w:hAnsi="Times New Roman" w:cs="Times New Roman"/>
          <w:sz w:val="24"/>
          <w:szCs w:val="24"/>
        </w:rPr>
        <w:t xml:space="preserve"> OHI scores for all samples along with information on element and other taphonomic modifications.</w:t>
      </w:r>
    </w:p>
    <w:p w14:paraId="35BD4819" w14:textId="77777777" w:rsidR="000E5EA3" w:rsidRPr="00DA5DAC" w:rsidRDefault="00000000" w:rsidP="00DA5DAC">
      <w:pPr>
        <w:spacing w:line="240" w:lineRule="auto"/>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 </w:t>
      </w:r>
    </w:p>
    <w:p w14:paraId="3983A87F" w14:textId="77777777" w:rsidR="000E5EA3" w:rsidRPr="00DA5DAC" w:rsidRDefault="00000000" w:rsidP="00DA5DAC">
      <w:pPr>
        <w:spacing w:line="240" w:lineRule="auto"/>
        <w:jc w:val="center"/>
        <w:rPr>
          <w:rFonts w:ascii="Times New Roman" w:eastAsia="Times New Roman" w:hAnsi="Times New Roman" w:cs="Times New Roman"/>
          <w:sz w:val="24"/>
          <w:szCs w:val="24"/>
        </w:rPr>
      </w:pPr>
      <w:r w:rsidRPr="00DA5DAC">
        <w:rPr>
          <w:rFonts w:ascii="Times New Roman" w:eastAsia="Times New Roman" w:hAnsi="Times New Roman" w:cs="Times New Roman"/>
          <w:noProof/>
          <w:sz w:val="24"/>
          <w:szCs w:val="24"/>
        </w:rPr>
        <w:lastRenderedPageBreak/>
        <w:drawing>
          <wp:inline distT="114300" distB="114300" distL="114300" distR="114300" wp14:anchorId="4DA8B47B" wp14:editId="5C20C16D">
            <wp:extent cx="3187700" cy="2400300"/>
            <wp:effectExtent l="0" t="0" r="0" b="0"/>
            <wp:docPr id="10" name="image3.jpg" descr="A yellow and black surface with white spot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3.jpg" descr="A yellow and black surface with white spots&#10;&#10;Description automatically generated with medium confidence"/>
                    <pic:cNvPicPr preferRelativeResize="0"/>
                  </pic:nvPicPr>
                  <pic:blipFill>
                    <a:blip r:embed="rId14"/>
                    <a:srcRect/>
                    <a:stretch>
                      <a:fillRect/>
                    </a:stretch>
                  </pic:blipFill>
                  <pic:spPr>
                    <a:xfrm>
                      <a:off x="0" y="0"/>
                      <a:ext cx="3187700" cy="2400300"/>
                    </a:xfrm>
                    <a:prstGeom prst="rect">
                      <a:avLst/>
                    </a:prstGeom>
                    <a:ln/>
                  </pic:spPr>
                </pic:pic>
              </a:graphicData>
            </a:graphic>
          </wp:inline>
        </w:drawing>
      </w:r>
    </w:p>
    <w:p w14:paraId="50964C50" w14:textId="77777777" w:rsidR="008E5A8E" w:rsidRDefault="008E5A8E" w:rsidP="00DA5DAC">
      <w:pPr>
        <w:spacing w:line="240" w:lineRule="auto"/>
        <w:rPr>
          <w:rFonts w:ascii="Times New Roman" w:eastAsia="Times New Roman" w:hAnsi="Times New Roman" w:cs="Times New Roman"/>
          <w:bCs/>
          <w:sz w:val="24"/>
          <w:szCs w:val="24"/>
        </w:rPr>
      </w:pPr>
    </w:p>
    <w:p w14:paraId="0AE3D992" w14:textId="0775E31C" w:rsidR="000E5EA3" w:rsidRDefault="00000000" w:rsidP="00DA5DAC">
      <w:pPr>
        <w:spacing w:line="240" w:lineRule="auto"/>
        <w:rPr>
          <w:rFonts w:ascii="Times New Roman" w:eastAsia="Times New Roman" w:hAnsi="Times New Roman" w:cs="Times New Roman"/>
          <w:sz w:val="24"/>
          <w:szCs w:val="24"/>
        </w:rPr>
      </w:pPr>
      <w:r w:rsidRPr="002264B7">
        <w:rPr>
          <w:rFonts w:ascii="Times New Roman" w:eastAsia="Times New Roman" w:hAnsi="Times New Roman" w:cs="Times New Roman"/>
          <w:bCs/>
          <w:sz w:val="24"/>
          <w:szCs w:val="24"/>
        </w:rPr>
        <w:t>Figure S4</w:t>
      </w:r>
      <w:r w:rsidR="008E5A8E">
        <w:rPr>
          <w:rFonts w:ascii="Times New Roman" w:eastAsia="Times New Roman" w:hAnsi="Times New Roman" w:cs="Times New Roman"/>
          <w:bCs/>
          <w:sz w:val="24"/>
          <w:szCs w:val="24"/>
        </w:rPr>
        <w:t>.1</w:t>
      </w:r>
      <w:r w:rsidRPr="002264B7">
        <w:rPr>
          <w:rFonts w:ascii="Times New Roman" w:eastAsia="Times New Roman" w:hAnsi="Times New Roman" w:cs="Times New Roman"/>
          <w:bCs/>
          <w:sz w:val="24"/>
          <w:szCs w:val="24"/>
        </w:rPr>
        <w:t>.</w:t>
      </w:r>
      <w:r w:rsidRPr="00DA5DAC">
        <w:rPr>
          <w:rFonts w:ascii="Times New Roman" w:eastAsia="Times New Roman" w:hAnsi="Times New Roman" w:cs="Times New Roman"/>
          <w:sz w:val="24"/>
          <w:szCs w:val="24"/>
        </w:rPr>
        <w:t xml:space="preserve"> Micrograph of WB10 showing an area of poorly preserved microstructure that is typical across the Worlebury sample set.</w:t>
      </w:r>
    </w:p>
    <w:p w14:paraId="2EB64CEF" w14:textId="77777777" w:rsidR="002264B7" w:rsidRPr="00DA5DAC" w:rsidRDefault="002264B7" w:rsidP="00DA5DAC">
      <w:pPr>
        <w:spacing w:line="240" w:lineRule="auto"/>
        <w:rPr>
          <w:rFonts w:ascii="Times New Roman" w:eastAsia="Times New Roman" w:hAnsi="Times New Roman" w:cs="Times New Roman"/>
          <w:sz w:val="24"/>
          <w:szCs w:val="24"/>
        </w:rPr>
      </w:pPr>
    </w:p>
    <w:p w14:paraId="621E69D0" w14:textId="12951348" w:rsidR="000E5EA3" w:rsidRPr="00DA5DAC" w:rsidRDefault="00000000" w:rsidP="008E5A8E">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Only one sample showed a different pattern of preservation.</w:t>
      </w:r>
      <w:r w:rsidR="006B7D78">
        <w:rPr>
          <w:rFonts w:ascii="Times New Roman" w:eastAsia="Times New Roman" w:hAnsi="Times New Roman" w:cs="Times New Roman"/>
          <w:sz w:val="24"/>
          <w:szCs w:val="24"/>
        </w:rPr>
        <w:t xml:space="preserve"> A</w:t>
      </w:r>
      <w:r w:rsidRPr="00DA5DAC">
        <w:rPr>
          <w:rFonts w:ascii="Times New Roman" w:eastAsia="Times New Roman" w:hAnsi="Times New Roman" w:cs="Times New Roman"/>
          <w:sz w:val="24"/>
          <w:szCs w:val="24"/>
        </w:rPr>
        <w:t xml:space="preserve"> mandible with associated maxilla</w:t>
      </w:r>
      <w:r w:rsidR="006B7D78">
        <w:rPr>
          <w:rFonts w:ascii="Times New Roman" w:eastAsia="Times New Roman" w:hAnsi="Times New Roman" w:cs="Times New Roman"/>
          <w:sz w:val="24"/>
          <w:szCs w:val="24"/>
        </w:rPr>
        <w:t xml:space="preserve">, </w:t>
      </w:r>
      <w:r w:rsidR="006B7D78" w:rsidRPr="00DA5DAC">
        <w:rPr>
          <w:rFonts w:ascii="Times New Roman" w:eastAsia="Times New Roman" w:hAnsi="Times New Roman" w:cs="Times New Roman"/>
          <w:sz w:val="24"/>
          <w:szCs w:val="24"/>
        </w:rPr>
        <w:t>WB24</w:t>
      </w:r>
      <w:r w:rsidR="006B7D78">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showed markedly better histological preservation – scoring OHI 2. The sample had large areas of well-preserved microstructure, with osteocyte lacunae and lamellae clearly visible</w:t>
      </w:r>
      <w:r w:rsidR="006B7D78">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was on the border of scoring OHI 3 (</w:t>
      </w:r>
      <w:r w:rsidRPr="002264B7">
        <w:rPr>
          <w:rFonts w:ascii="Times New Roman" w:eastAsia="Times New Roman" w:hAnsi="Times New Roman" w:cs="Times New Roman"/>
          <w:sz w:val="24"/>
          <w:szCs w:val="24"/>
          <w:highlight w:val="green"/>
        </w:rPr>
        <w:t>Fig</w:t>
      </w:r>
      <w:r w:rsidR="008E5A8E">
        <w:rPr>
          <w:rFonts w:ascii="Times New Roman" w:eastAsia="Times New Roman" w:hAnsi="Times New Roman" w:cs="Times New Roman"/>
          <w:sz w:val="24"/>
          <w:szCs w:val="24"/>
          <w:highlight w:val="green"/>
        </w:rPr>
        <w:t>.</w:t>
      </w:r>
      <w:r w:rsidRPr="002264B7">
        <w:rPr>
          <w:rFonts w:ascii="Times New Roman" w:eastAsia="Times New Roman" w:hAnsi="Times New Roman" w:cs="Times New Roman"/>
          <w:sz w:val="24"/>
          <w:szCs w:val="24"/>
          <w:highlight w:val="green"/>
        </w:rPr>
        <w:t xml:space="preserve"> </w:t>
      </w:r>
      <w:r w:rsidR="008E5A8E">
        <w:rPr>
          <w:rFonts w:ascii="Times New Roman" w:eastAsia="Times New Roman" w:hAnsi="Times New Roman" w:cs="Times New Roman"/>
          <w:sz w:val="24"/>
          <w:szCs w:val="24"/>
          <w:highlight w:val="green"/>
        </w:rPr>
        <w:t>S4.</w:t>
      </w:r>
      <w:r w:rsidR="00D36C14">
        <w:rPr>
          <w:rFonts w:ascii="Times New Roman" w:eastAsia="Times New Roman" w:hAnsi="Times New Roman" w:cs="Times New Roman"/>
          <w:sz w:val="24"/>
          <w:szCs w:val="24"/>
          <w:highlight w:val="green"/>
        </w:rPr>
        <w:t>2</w:t>
      </w:r>
      <w:r w:rsidRPr="00DA5DAC">
        <w:rPr>
          <w:rFonts w:ascii="Times New Roman" w:eastAsia="Times New Roman" w:hAnsi="Times New Roman" w:cs="Times New Roman"/>
          <w:sz w:val="24"/>
          <w:szCs w:val="24"/>
        </w:rPr>
        <w:t xml:space="preserve">). Samples with mid-ranging scores are relatively rare archaeologically and there is a lack of experimental work to support their interpretation. Rather than having a distinct interface between areas of good and poor preservation, this sample shows a patchy, disordered pattern of preservation. Distinct interfaces have been suggested to indicate a rapid change in circumstance, such as movement from an oxic to anoxic environment (Mulville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2012). This patchy preservation is more difficult to interpret. In the largest study of archaeological histotaphonomy to data (Booth 2014), mid</w:t>
      </w:r>
      <w:r w:rsidR="00404FAD">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ranging scores were not particularly prevalent in specific periods or places but were notable in commonly deriving from cave contexts. This could result from caves providing sufficient shelter to delay soft tissue degradation but for removal to occur markedly quicker than in a protected subterranean zone. This interpretation is somewhat speculative but plausible, as at the base of the hill was a cave, Spring Cove, accessible at low tide but destroyed by landslide in 1861 (Quinn 1999). Iron Age human remains have </w:t>
      </w:r>
      <w:r w:rsidR="00E7007F" w:rsidRPr="00DA5DAC">
        <w:rPr>
          <w:rFonts w:ascii="Times New Roman" w:eastAsia="Times New Roman" w:hAnsi="Times New Roman" w:cs="Times New Roman"/>
          <w:sz w:val="24"/>
          <w:szCs w:val="24"/>
        </w:rPr>
        <w:t xml:space="preserve">also </w:t>
      </w:r>
      <w:r w:rsidRPr="00DA5DAC">
        <w:rPr>
          <w:rFonts w:ascii="Times New Roman" w:eastAsia="Times New Roman" w:hAnsi="Times New Roman" w:cs="Times New Roman"/>
          <w:sz w:val="24"/>
          <w:szCs w:val="24"/>
        </w:rPr>
        <w:t>been recorded at other caves in Somerset</w:t>
      </w:r>
      <w:r w:rsidR="00E7007F">
        <w:rPr>
          <w:rFonts w:ascii="Times New Roman" w:eastAsia="Times New Roman" w:hAnsi="Times New Roman" w:cs="Times New Roman"/>
          <w:sz w:val="24"/>
          <w:szCs w:val="24"/>
        </w:rPr>
        <w:t xml:space="preserve"> </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Read’s Cavern (</w:t>
      </w:r>
      <w:r w:rsidRPr="004039D3">
        <w:rPr>
          <w:rFonts w:ascii="Times New Roman" w:eastAsia="Times New Roman" w:hAnsi="Times New Roman" w:cs="Times New Roman"/>
          <w:sz w:val="24"/>
          <w:szCs w:val="24"/>
        </w:rPr>
        <w:t>Kerns &amp; Marcucci 2011</w:t>
      </w:r>
      <w:r w:rsidRPr="00DA5DAC">
        <w:rPr>
          <w:rFonts w:ascii="Times New Roman" w:eastAsia="Times New Roman" w:hAnsi="Times New Roman" w:cs="Times New Roman"/>
          <w:sz w:val="24"/>
          <w:szCs w:val="24"/>
        </w:rPr>
        <w:t xml:space="preserve">); Screech Hole (Simmonds &amp; Brayne 2019); Gough’s Cave (Hedges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1988); Browne’s Hole (Edwards &amp; Wisbey 2022)</w:t>
      </w:r>
      <w:r w:rsidR="00E7007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Wookey Hole (Lane 2015), as well as Charterhouse Warren Farm Swallet (Levitan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1988), St Cuthbert</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s Swallet (Lane 2015)</w:t>
      </w:r>
      <w:r w:rsidR="00E7007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Tyning’s Great Swallet (Mullan &amp; Boycott 2005). Similar mid-ranging OHI scores have been found on occasions in deep silting pits used as mortuary features in Iron Age Britain (Booth &amp; Madgwick 2016; Bricking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2025) and in a monumental Neolithic chambered cairn (Tudor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2025). Both features could have a similar role in providing circumstances of sheltered exposure (though it is noteworthy that these mid-ranging scores were the exception rather than the rule in all instances).</w:t>
      </w:r>
    </w:p>
    <w:p w14:paraId="43CE3E1C" w14:textId="77777777" w:rsidR="000E5EA3" w:rsidRPr="00DA5DAC" w:rsidRDefault="00000000" w:rsidP="00DA5DAC">
      <w:pPr>
        <w:spacing w:line="240" w:lineRule="auto"/>
        <w:jc w:val="center"/>
        <w:rPr>
          <w:rFonts w:ascii="Times New Roman" w:eastAsia="Times New Roman" w:hAnsi="Times New Roman" w:cs="Times New Roman"/>
          <w:sz w:val="24"/>
          <w:szCs w:val="24"/>
        </w:rPr>
      </w:pPr>
      <w:r w:rsidRPr="00DA5DAC">
        <w:rPr>
          <w:rFonts w:ascii="Times New Roman" w:eastAsia="Times New Roman" w:hAnsi="Times New Roman" w:cs="Times New Roman"/>
          <w:noProof/>
          <w:sz w:val="24"/>
          <w:szCs w:val="24"/>
        </w:rPr>
        <w:lastRenderedPageBreak/>
        <w:drawing>
          <wp:inline distT="114300" distB="114300" distL="114300" distR="114300" wp14:anchorId="6FA95E44" wp14:editId="4F925794">
            <wp:extent cx="3543300" cy="2654300"/>
            <wp:effectExtent l="0" t="0" r="0" b="0"/>
            <wp:docPr id="9" name="image2.jpg" descr="A close-up of a yellow su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lose-up of a yellow surface&#10;&#10;Description automatically generated"/>
                    <pic:cNvPicPr preferRelativeResize="0"/>
                  </pic:nvPicPr>
                  <pic:blipFill>
                    <a:blip r:embed="rId15"/>
                    <a:srcRect/>
                    <a:stretch>
                      <a:fillRect/>
                    </a:stretch>
                  </pic:blipFill>
                  <pic:spPr>
                    <a:xfrm>
                      <a:off x="0" y="0"/>
                      <a:ext cx="3543300" cy="2654300"/>
                    </a:xfrm>
                    <a:prstGeom prst="rect">
                      <a:avLst/>
                    </a:prstGeom>
                    <a:ln/>
                  </pic:spPr>
                </pic:pic>
              </a:graphicData>
            </a:graphic>
          </wp:inline>
        </w:drawing>
      </w:r>
      <w:r w:rsidRPr="00DA5DAC">
        <w:rPr>
          <w:rFonts w:ascii="Times New Roman" w:eastAsia="Times New Roman" w:hAnsi="Times New Roman" w:cs="Times New Roman"/>
          <w:sz w:val="24"/>
          <w:szCs w:val="24"/>
        </w:rPr>
        <w:t xml:space="preserve"> </w:t>
      </w:r>
    </w:p>
    <w:p w14:paraId="4C94D49B" w14:textId="77777777" w:rsidR="004F05F0" w:rsidRDefault="004F05F0" w:rsidP="00DA5DAC">
      <w:pPr>
        <w:spacing w:line="240" w:lineRule="auto"/>
        <w:rPr>
          <w:rFonts w:ascii="Times New Roman" w:eastAsia="Times New Roman" w:hAnsi="Times New Roman" w:cs="Times New Roman"/>
          <w:bCs/>
          <w:sz w:val="24"/>
          <w:szCs w:val="24"/>
          <w:highlight w:val="green"/>
        </w:rPr>
      </w:pPr>
    </w:p>
    <w:p w14:paraId="5A318113" w14:textId="51AF3205" w:rsidR="000E5EA3" w:rsidRPr="00DA5DAC" w:rsidRDefault="00000000" w:rsidP="00DA5DAC">
      <w:pPr>
        <w:spacing w:line="240" w:lineRule="auto"/>
        <w:rPr>
          <w:rFonts w:ascii="Times New Roman" w:eastAsia="Times New Roman" w:hAnsi="Times New Roman" w:cs="Times New Roman"/>
          <w:sz w:val="24"/>
          <w:szCs w:val="24"/>
        </w:rPr>
      </w:pPr>
      <w:r w:rsidRPr="008E5A8E">
        <w:rPr>
          <w:rFonts w:ascii="Times New Roman" w:eastAsia="Times New Roman" w:hAnsi="Times New Roman" w:cs="Times New Roman"/>
          <w:bCs/>
          <w:sz w:val="24"/>
          <w:szCs w:val="24"/>
          <w:highlight w:val="green"/>
        </w:rPr>
        <w:t>Figure S</w:t>
      </w:r>
      <w:r w:rsidR="008E5A8E" w:rsidRPr="008E5A8E">
        <w:rPr>
          <w:rFonts w:ascii="Times New Roman" w:eastAsia="Times New Roman" w:hAnsi="Times New Roman" w:cs="Times New Roman"/>
          <w:bCs/>
          <w:sz w:val="24"/>
          <w:szCs w:val="24"/>
          <w:highlight w:val="green"/>
        </w:rPr>
        <w:t>4.</w:t>
      </w:r>
      <w:r w:rsidR="00D36C14" w:rsidRPr="00D36C14">
        <w:rPr>
          <w:rFonts w:ascii="Times New Roman" w:eastAsia="Times New Roman" w:hAnsi="Times New Roman" w:cs="Times New Roman"/>
          <w:bCs/>
          <w:sz w:val="24"/>
          <w:szCs w:val="24"/>
          <w:highlight w:val="green"/>
        </w:rPr>
        <w:t>2</w:t>
      </w:r>
      <w:r w:rsidRPr="002264B7">
        <w:rPr>
          <w:rFonts w:ascii="Times New Roman" w:eastAsia="Times New Roman" w:hAnsi="Times New Roman" w:cs="Times New Roman"/>
          <w:bCs/>
          <w:sz w:val="24"/>
          <w:szCs w:val="24"/>
        </w:rPr>
        <w:t>.</w:t>
      </w:r>
      <w:r w:rsidRPr="00DA5DAC">
        <w:rPr>
          <w:rFonts w:ascii="Times New Roman" w:eastAsia="Times New Roman" w:hAnsi="Times New Roman" w:cs="Times New Roman"/>
          <w:sz w:val="24"/>
          <w:szCs w:val="24"/>
        </w:rPr>
        <w:t xml:space="preserve"> Micrograph of WB24 showing a mixed pattern of preservation (OHI 2)</w:t>
      </w:r>
    </w:p>
    <w:p w14:paraId="095E3CE4" w14:textId="77777777" w:rsidR="002264B7" w:rsidRDefault="002264B7" w:rsidP="00DA5DAC">
      <w:pPr>
        <w:spacing w:line="240" w:lineRule="auto"/>
        <w:jc w:val="both"/>
        <w:rPr>
          <w:rFonts w:ascii="Times New Roman" w:eastAsia="Times New Roman" w:hAnsi="Times New Roman" w:cs="Times New Roman"/>
          <w:sz w:val="24"/>
          <w:szCs w:val="24"/>
        </w:rPr>
      </w:pPr>
    </w:p>
    <w:p w14:paraId="3831ABFD" w14:textId="08026323"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Evidence suggests that WB24 was subject to different treatment in death and that some form of sheltered exposure resulted in delayed, but fairly rapid soft tissue degradation, prior to final deposition. The lack of contextual information means more detailed interpretation is not possible. There is no evidence as to why this individual was afforded a different mortuary practice. There was no indication of differential treatment from macroscopic taphonomy (though the remains were poorly preserved and consolidated, meaning some modifications could have been obscured). Due to limited enamel survival and extensive consolidant on the remains, no provenancing isotope analysis was undertaken. The carbon and nitrogen dietary isotope data </w:t>
      </w:r>
      <w:r w:rsidR="004F05F0">
        <w:rPr>
          <w:rFonts w:ascii="Times New Roman" w:eastAsia="Times New Roman" w:hAnsi="Times New Roman" w:cs="Times New Roman"/>
          <w:sz w:val="24"/>
          <w:szCs w:val="24"/>
        </w:rPr>
        <w:t>were</w:t>
      </w:r>
      <w:r w:rsidRPr="00DA5DAC">
        <w:rPr>
          <w:rFonts w:ascii="Times New Roman" w:eastAsia="Times New Roman" w:hAnsi="Times New Roman" w:cs="Times New Roman"/>
          <w:sz w:val="24"/>
          <w:szCs w:val="24"/>
        </w:rPr>
        <w:t>, however, typical of the Worlebury dataset, with a high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value (12.0‰) for Iron Age Britain, though this was not an outlier.</w:t>
      </w:r>
    </w:p>
    <w:p w14:paraId="21C97F18" w14:textId="77777777" w:rsidR="002264B7" w:rsidRDefault="002264B7" w:rsidP="00DA5DAC">
      <w:pPr>
        <w:spacing w:line="240" w:lineRule="auto"/>
        <w:rPr>
          <w:rFonts w:ascii="Times New Roman" w:eastAsia="Times New Roman" w:hAnsi="Times New Roman" w:cs="Times New Roman"/>
          <w:b/>
          <w:sz w:val="24"/>
          <w:szCs w:val="24"/>
        </w:rPr>
      </w:pPr>
    </w:p>
    <w:p w14:paraId="649FECF0" w14:textId="7F52AD26" w:rsidR="000E5EA3" w:rsidRPr="004F05F0" w:rsidRDefault="00000000" w:rsidP="00DA5DAC">
      <w:pPr>
        <w:spacing w:line="240" w:lineRule="auto"/>
        <w:rPr>
          <w:rFonts w:ascii="Times New Roman" w:eastAsia="Times New Roman" w:hAnsi="Times New Roman" w:cs="Times New Roman"/>
          <w:bCs/>
          <w:caps/>
          <w:sz w:val="24"/>
          <w:szCs w:val="24"/>
        </w:rPr>
      </w:pPr>
      <w:r w:rsidRPr="004F05F0">
        <w:rPr>
          <w:rFonts w:ascii="Times New Roman" w:eastAsia="Times New Roman" w:hAnsi="Times New Roman" w:cs="Times New Roman"/>
          <w:bCs/>
          <w:caps/>
          <w:sz w:val="24"/>
          <w:szCs w:val="24"/>
        </w:rPr>
        <w:t>Concluding comments</w:t>
      </w:r>
    </w:p>
    <w:p w14:paraId="66519FD5" w14:textId="32C77FCC"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Histotaphonomic analysis provides an important supplementary source of evidence for early postmortem treatment of human remains. The subdiscipline remains at a developmental stage</w:t>
      </w:r>
      <w:r w:rsidR="004F05F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with more experimental work, knowledge of the drivers and timing of histological modification will advance and interpretative revision may be required. These data are interpreted on the basis of an endogenous model of bioerosion and, as such, evidence points to the vast majority of remains (whether as whole or part bodies) buried fleshed in the early post-mortem phase, with some being fleshed before burial and others being re-exposed once soft tissue had degraded. One sampled bone, a mandible with associated maxilla, shows evidence for a different practice. Patterns of preservation are characteristic of sheltered exposure – perhaps in a covered pit or structure, prior to final deposition. Whilst patterns of microstructural preservation were relatively homogenous, combined with evidence of macroscopic taphonomic data, completeness</w:t>
      </w:r>
      <w:r w:rsidR="004F05F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trauma, this provides more evidence for the diverse, multi-stage practices that were employed in depositing the dead in Iron Age Britain.</w:t>
      </w:r>
    </w:p>
    <w:p w14:paraId="6B7566D4" w14:textId="77777777" w:rsidR="002264B7" w:rsidRDefault="002264B7">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B3D44ED" w14:textId="089F9898" w:rsidR="000E5EA3" w:rsidRPr="002264B7" w:rsidRDefault="002264B7" w:rsidP="00DA5DAC">
      <w:pPr>
        <w:spacing w:line="240" w:lineRule="auto"/>
        <w:rPr>
          <w:rFonts w:ascii="Times New Roman" w:eastAsia="Times New Roman" w:hAnsi="Times New Roman" w:cs="Times New Roman"/>
          <w:bCs/>
          <w:sz w:val="24"/>
          <w:szCs w:val="24"/>
        </w:rPr>
      </w:pPr>
      <w:r w:rsidRPr="002264B7">
        <w:rPr>
          <w:rFonts w:ascii="Times New Roman" w:eastAsia="Times New Roman" w:hAnsi="Times New Roman" w:cs="Times New Roman"/>
          <w:bCs/>
          <w:sz w:val="24"/>
          <w:szCs w:val="24"/>
        </w:rPr>
        <w:lastRenderedPageBreak/>
        <w:t>Supplementary S5. Isotope methodology</w:t>
      </w:r>
    </w:p>
    <w:p w14:paraId="588A17A1" w14:textId="542D92B9" w:rsidR="000E5EA3" w:rsidRDefault="00000000" w:rsidP="00DA5DAC">
      <w:pPr>
        <w:spacing w:line="240" w:lineRule="auto"/>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Madeleine Bleasdale </w:t>
      </w:r>
      <w:r w:rsidR="004F05F0">
        <w:rPr>
          <w:rFonts w:ascii="Times New Roman" w:eastAsia="Times New Roman" w:hAnsi="Times New Roman" w:cs="Times New Roman"/>
          <w:sz w:val="24"/>
          <w:szCs w:val="24"/>
        </w:rPr>
        <w:t>&amp;</w:t>
      </w:r>
      <w:r w:rsidRPr="00DA5DAC">
        <w:rPr>
          <w:rFonts w:ascii="Times New Roman" w:eastAsia="Times New Roman" w:hAnsi="Times New Roman" w:cs="Times New Roman"/>
          <w:sz w:val="24"/>
          <w:szCs w:val="24"/>
        </w:rPr>
        <w:t xml:space="preserve"> Richard Madgwick</w:t>
      </w:r>
    </w:p>
    <w:p w14:paraId="4026D5BC" w14:textId="77777777" w:rsidR="002264B7" w:rsidRPr="00DA5DAC" w:rsidRDefault="002264B7" w:rsidP="00DA5DAC">
      <w:pPr>
        <w:spacing w:line="240" w:lineRule="auto"/>
        <w:rPr>
          <w:rFonts w:ascii="Times New Roman" w:eastAsia="Times New Roman" w:hAnsi="Times New Roman" w:cs="Times New Roman"/>
          <w:sz w:val="24"/>
          <w:szCs w:val="24"/>
        </w:rPr>
      </w:pPr>
    </w:p>
    <w:p w14:paraId="44B96C08" w14:textId="2D4E795C" w:rsidR="000E5EA3" w:rsidRPr="00DA5DAC" w:rsidRDefault="00000000" w:rsidP="00DA5DAC">
      <w:pPr>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Isotope analysis of the Worlebury human remains was </w:t>
      </w:r>
      <w:r w:rsidRPr="00DA5DAC">
        <w:rPr>
          <w:rFonts w:ascii="Times New Roman" w:eastAsia="Times New Roman" w:hAnsi="Times New Roman" w:cs="Times New Roman"/>
          <w:sz w:val="24"/>
          <w:szCs w:val="24"/>
          <w:highlight w:val="white"/>
        </w:rPr>
        <w:t xml:space="preserve">undertaken in 2018 as part of the Cardiff Undergraduate Research Opportunities Programme (CUROP). This formed part of a multi-year student-led project employing a multi-scalar approach to lifeways in Iron Age Somerset, as human remains from the county have received far less attention than other parts of Iron Age Wessex. In total, 29 human bones were sampled from Worlebury for stable </w:t>
      </w:r>
      <w:r w:rsidRPr="00DA5DAC">
        <w:rPr>
          <w:rFonts w:ascii="Times New Roman" w:eastAsia="Times New Roman" w:hAnsi="Times New Roman" w:cs="Times New Roman"/>
          <w:sz w:val="24"/>
          <w:szCs w:val="24"/>
        </w:rPr>
        <w:t>carbon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w:t>
      </w:r>
      <w:r w:rsidRPr="00DA5DAC">
        <w:rPr>
          <w:rFonts w:ascii="Times New Roman" w:eastAsia="Times New Roman" w:hAnsi="Times New Roman" w:cs="Times New Roman"/>
          <w:sz w:val="24"/>
          <w:szCs w:val="24"/>
          <w:vertAlign w:val="subscript"/>
        </w:rPr>
        <w:t>coll</w:t>
      </w:r>
      <w:r w:rsidRPr="00DA5DAC">
        <w:rPr>
          <w:rFonts w:ascii="Times New Roman" w:eastAsia="Times New Roman" w:hAnsi="Times New Roman" w:cs="Times New Roman"/>
          <w:sz w:val="24"/>
          <w:szCs w:val="24"/>
        </w:rPr>
        <w:t>) and nitrogen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isotope analysis. Additionally, strontium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oxygen (δ</w:t>
      </w:r>
      <w:r w:rsidRPr="00DA5DAC">
        <w:rPr>
          <w:rFonts w:ascii="Times New Roman" w:eastAsia="Times New Roman" w:hAnsi="Times New Roman" w:cs="Times New Roman"/>
          <w:sz w:val="24"/>
          <w:szCs w:val="24"/>
          <w:vertAlign w:val="superscript"/>
        </w:rPr>
        <w:t>18</w:t>
      </w:r>
      <w:r w:rsidRPr="00DA5DAC">
        <w:rPr>
          <w:rFonts w:ascii="Times New Roman" w:eastAsia="Times New Roman" w:hAnsi="Times New Roman" w:cs="Times New Roman"/>
          <w:sz w:val="24"/>
          <w:szCs w:val="24"/>
        </w:rPr>
        <w:t>O)</w:t>
      </w:r>
      <w:r w:rsidR="00B12EC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carbon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w:t>
      </w:r>
      <w:r w:rsidRPr="00DA5DAC">
        <w:rPr>
          <w:rFonts w:ascii="Times New Roman" w:eastAsia="Times New Roman" w:hAnsi="Times New Roman" w:cs="Times New Roman"/>
          <w:sz w:val="24"/>
          <w:szCs w:val="24"/>
          <w:vertAlign w:val="subscript"/>
        </w:rPr>
        <w:t>carb</w:t>
      </w:r>
      <w:r w:rsidRPr="00DA5DAC">
        <w:rPr>
          <w:rFonts w:ascii="Times New Roman" w:eastAsia="Times New Roman" w:hAnsi="Times New Roman" w:cs="Times New Roman"/>
          <w:sz w:val="24"/>
          <w:szCs w:val="24"/>
        </w:rPr>
        <w:t>) isotope measurements were generated from the enamel of six teeth. A range of bones were sampled for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including long bones, skull fragments</w:t>
      </w:r>
      <w:r w:rsidR="00B12EC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mandible/maxilla. For the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δ</w:t>
      </w:r>
      <w:r w:rsidRPr="00DA5DAC">
        <w:rPr>
          <w:rFonts w:ascii="Times New Roman" w:eastAsia="Times New Roman" w:hAnsi="Times New Roman" w:cs="Times New Roman"/>
          <w:sz w:val="24"/>
          <w:szCs w:val="24"/>
          <w:vertAlign w:val="superscript"/>
        </w:rPr>
        <w:t>18</w:t>
      </w:r>
      <w:r w:rsidRPr="00DA5DAC">
        <w:rPr>
          <w:rFonts w:ascii="Times New Roman" w:eastAsia="Times New Roman" w:hAnsi="Times New Roman" w:cs="Times New Roman"/>
          <w:sz w:val="24"/>
          <w:szCs w:val="24"/>
        </w:rPr>
        <w:t>O and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w:t>
      </w:r>
      <w:r w:rsidRPr="00DA5DAC">
        <w:rPr>
          <w:rFonts w:ascii="Times New Roman" w:eastAsia="Times New Roman" w:hAnsi="Times New Roman" w:cs="Times New Roman"/>
          <w:sz w:val="24"/>
          <w:szCs w:val="24"/>
          <w:vertAlign w:val="subscript"/>
        </w:rPr>
        <w:t>carb</w:t>
      </w:r>
      <w:r w:rsidRPr="00DA5DAC">
        <w:rPr>
          <w:rFonts w:ascii="Times New Roman" w:eastAsia="Times New Roman" w:hAnsi="Times New Roman" w:cs="Times New Roman"/>
          <w:sz w:val="24"/>
          <w:szCs w:val="24"/>
        </w:rPr>
        <w:t xml:space="preserve"> isotope analysis, enamel was sampled from a first molar, second molars (n = 4)</w:t>
      </w:r>
      <w:r w:rsidR="00B12EC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a single premolar. Additionally,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values were generated when petrous samples were AMS-dated at the Scottish Universities Environmental Research Centre (SUERC) in 2020. In this paper</w:t>
      </w:r>
      <w:r w:rsidR="00B12EC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the isotope results produced by the two institutions are considered together giving a combined total of 34 specimens. Wherever possible, multiple analyses were undertaken on each specimen to enhance interpretative potential, with δ</w:t>
      </w:r>
      <w:r w:rsidRPr="00DA5DAC">
        <w:rPr>
          <w:rFonts w:ascii="Times New Roman" w:eastAsia="Times New Roman" w:hAnsi="Times New Roman" w:cs="Times New Roman"/>
          <w:sz w:val="24"/>
          <w:szCs w:val="24"/>
          <w:vertAlign w:val="superscript"/>
        </w:rPr>
        <w:t>18</w:t>
      </w:r>
      <w:r w:rsidRPr="00DA5DAC">
        <w:rPr>
          <w:rFonts w:ascii="Times New Roman" w:eastAsia="Times New Roman" w:hAnsi="Times New Roman" w:cs="Times New Roman"/>
          <w:sz w:val="24"/>
          <w:szCs w:val="24"/>
        </w:rPr>
        <w:t xml:space="preserve">O and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 xml:space="preserve">Sr isotopes analysed in dental enamel when teeth were </w:t>
      </w:r>
      <w:r w:rsidRPr="00B12ECF">
        <w:rPr>
          <w:rFonts w:ascii="Times New Roman" w:eastAsia="Times New Roman" w:hAnsi="Times New Roman" w:cs="Times New Roman"/>
          <w:i/>
          <w:iCs/>
          <w:sz w:val="24"/>
          <w:szCs w:val="24"/>
        </w:rPr>
        <w:t>in situ</w:t>
      </w:r>
      <w:r w:rsidRPr="00DA5DAC">
        <w:rPr>
          <w:rFonts w:ascii="Times New Roman" w:eastAsia="Times New Roman" w:hAnsi="Times New Roman" w:cs="Times New Roman"/>
          <w:sz w:val="24"/>
          <w:szCs w:val="24"/>
        </w:rPr>
        <w:t xml:space="preserve"> in mandibles and maxillae that were analysed for carbon and nitrogen. It is important to point out that this sample does not (necessarily) equate to 34 individuals due to the disarticulated state of much of the material and the complexity of matching curated remains with those listed in the original report (Dymond 1902). Therefore</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it is likely that some repeat sampling of the same individual has taken place.</w:t>
      </w:r>
    </w:p>
    <w:p w14:paraId="18724201" w14:textId="4FF0135F" w:rsidR="000E5EA3" w:rsidRPr="00DA5DAC" w:rsidRDefault="00000000" w:rsidP="002264B7">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The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 xml:space="preserve">N isotope analysis of bone collagen is a well-established method of dietary reconstruction. This provides a </w:t>
      </w:r>
      <w:r w:rsidR="00B12ECF" w:rsidRPr="00DA5DAC">
        <w:rPr>
          <w:rFonts w:ascii="Times New Roman" w:eastAsia="Times New Roman" w:hAnsi="Times New Roman" w:cs="Times New Roman"/>
          <w:sz w:val="24"/>
          <w:szCs w:val="24"/>
        </w:rPr>
        <w:t>long-term</w:t>
      </w:r>
      <w:r w:rsidRPr="00DA5DAC">
        <w:rPr>
          <w:rFonts w:ascii="Times New Roman" w:eastAsia="Times New Roman" w:hAnsi="Times New Roman" w:cs="Times New Roman"/>
          <w:sz w:val="24"/>
          <w:szCs w:val="24"/>
        </w:rPr>
        <w:t xml:space="preserve"> average of dietary protein, with the temporal resolution of values dictated by the turnover rates of bones and thus different elements (and even parts of elements) providing different temporal ranges </w:t>
      </w:r>
      <w:r w:rsidR="000E5EA3" w:rsidRPr="00DA5DAC">
        <w:rPr>
          <w:rFonts w:ascii="Times New Roman" w:eastAsia="Times New Roman" w:hAnsi="Times New Roman" w:cs="Times New Roman"/>
          <w:sz w:val="24"/>
          <w:szCs w:val="24"/>
        </w:rPr>
        <w:t xml:space="preserve">(de Gruchy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2024)</w:t>
      </w:r>
      <w:r w:rsidRPr="00DA5DAC">
        <w:rPr>
          <w:rFonts w:ascii="Times New Roman" w:eastAsia="Times New Roman" w:hAnsi="Times New Roman" w:cs="Times New Roman"/>
          <w:sz w:val="24"/>
          <w:szCs w:val="24"/>
        </w:rPr>
        <w:t>. Therefore</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samples in this study are not directly comparable in terms of the period of life </w:t>
      </w:r>
      <w:r w:rsidR="001B59E9">
        <w:rPr>
          <w:rFonts w:ascii="Times New Roman" w:eastAsia="Times New Roman" w:hAnsi="Times New Roman" w:cs="Times New Roman"/>
          <w:sz w:val="24"/>
          <w:szCs w:val="24"/>
        </w:rPr>
        <w:t>to which</w:t>
      </w:r>
      <w:r w:rsidRPr="00DA5DAC">
        <w:rPr>
          <w:rFonts w:ascii="Times New Roman" w:eastAsia="Times New Roman" w:hAnsi="Times New Roman" w:cs="Times New Roman"/>
          <w:sz w:val="24"/>
          <w:szCs w:val="24"/>
        </w:rPr>
        <w:t xml:space="preserve"> values pertain. The petrous bones analysed at SUERC for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and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 xml:space="preserve">S are an extreme example of this inter-element variation, as they undergo very little remodelling and therefore provide a more temporally resolved snapshot for the early developmental years </w:t>
      </w:r>
      <w:r w:rsidR="000E5EA3" w:rsidRPr="00DA5DAC">
        <w:rPr>
          <w:rFonts w:ascii="Times New Roman" w:eastAsia="Times New Roman" w:hAnsi="Times New Roman" w:cs="Times New Roman"/>
          <w:sz w:val="24"/>
          <w:szCs w:val="24"/>
        </w:rPr>
        <w:t xml:space="preserve">(Jørkov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2009)</w:t>
      </w:r>
      <w:r w:rsidRPr="00DA5DAC">
        <w:rPr>
          <w:rFonts w:ascii="Times New Roman" w:eastAsia="Times New Roman" w:hAnsi="Times New Roman" w:cs="Times New Roman"/>
          <w:sz w:val="24"/>
          <w:szCs w:val="24"/>
        </w:rPr>
        <w:t>.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isotope ratios help distinguish plant groups based on their photosynthetic pathways: C</w:t>
      </w:r>
      <w:r w:rsidRPr="00DA5DAC">
        <w:rPr>
          <w:rFonts w:ascii="Times New Roman" w:eastAsia="Times New Roman" w:hAnsi="Times New Roman" w:cs="Times New Roman"/>
          <w:sz w:val="24"/>
          <w:szCs w:val="24"/>
          <w:vertAlign w:val="subscript"/>
        </w:rPr>
        <w:t>3</w:t>
      </w:r>
      <w:r w:rsidRPr="00DA5DAC">
        <w:rPr>
          <w:rFonts w:ascii="Times New Roman" w:eastAsia="Times New Roman" w:hAnsi="Times New Roman" w:cs="Times New Roman"/>
          <w:sz w:val="24"/>
          <w:szCs w:val="24"/>
        </w:rPr>
        <w:t xml:space="preserve"> for most temperate plants have more negative values and C</w:t>
      </w:r>
      <w:r w:rsidRPr="00DA5DAC">
        <w:rPr>
          <w:rFonts w:ascii="Times New Roman" w:eastAsia="Times New Roman" w:hAnsi="Times New Roman" w:cs="Times New Roman"/>
          <w:sz w:val="24"/>
          <w:szCs w:val="24"/>
          <w:vertAlign w:val="subscript"/>
        </w:rPr>
        <w:t>4</w:t>
      </w:r>
      <w:r w:rsidRPr="00DA5DAC">
        <w:rPr>
          <w:rFonts w:ascii="Times New Roman" w:eastAsia="Times New Roman" w:hAnsi="Times New Roman" w:cs="Times New Roman"/>
          <w:sz w:val="24"/>
          <w:szCs w:val="24"/>
        </w:rPr>
        <w:t xml:space="preserve"> for tropical grasses like maize and sugarcane have </w:t>
      </w:r>
      <w:r w:rsidR="00C13ECA">
        <w:rPr>
          <w:rFonts w:ascii="Times New Roman" w:eastAsia="Times New Roman" w:hAnsi="Times New Roman" w:cs="Times New Roman"/>
          <w:sz w:val="24"/>
          <w:szCs w:val="24"/>
        </w:rPr>
        <w:t>less</w:t>
      </w:r>
      <w:r w:rsidR="00E80079">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negative values </w:t>
      </w:r>
      <w:r w:rsidR="000E5EA3" w:rsidRPr="00DA5DAC">
        <w:rPr>
          <w:rFonts w:ascii="Times New Roman" w:eastAsia="Times New Roman" w:hAnsi="Times New Roman" w:cs="Times New Roman"/>
          <w:sz w:val="24"/>
          <w:szCs w:val="24"/>
        </w:rPr>
        <w:t>(Calvin &amp; Benson 1948; Hatch &amp; Slack 1966)</w:t>
      </w:r>
      <w:r w:rsidRPr="00DA5DAC">
        <w:rPr>
          <w:rFonts w:ascii="Times New Roman" w:eastAsia="Times New Roman" w:hAnsi="Times New Roman" w:cs="Times New Roman"/>
          <w:sz w:val="24"/>
          <w:szCs w:val="24"/>
        </w:rPr>
        <w:t>. In addition,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 xml:space="preserve">C isotope values are higher in marine </w:t>
      </w:r>
      <w:r w:rsidR="00B95AEE" w:rsidRPr="00DA5DAC">
        <w:rPr>
          <w:rFonts w:ascii="Times New Roman" w:eastAsia="Times New Roman" w:hAnsi="Times New Roman" w:cs="Times New Roman"/>
          <w:sz w:val="24"/>
          <w:szCs w:val="24"/>
        </w:rPr>
        <w:t>food chains</w:t>
      </w:r>
      <w:r w:rsidRPr="00DA5DAC">
        <w:rPr>
          <w:rFonts w:ascii="Times New Roman" w:eastAsia="Times New Roman" w:hAnsi="Times New Roman" w:cs="Times New Roman"/>
          <w:sz w:val="24"/>
          <w:szCs w:val="24"/>
        </w:rPr>
        <w:t xml:space="preserve"> and are therefore a good indication of the consumption of marine produce (Richards 2020).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isotopes reveal trophic levels, with values increasing by 2</w:t>
      </w:r>
      <w:r w:rsidR="00B95AE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5‰ per trophic level and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values by 0</w:t>
      </w:r>
      <w:r w:rsidR="00B95AE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2‰ </w:t>
      </w:r>
      <w:r w:rsidR="000E5EA3" w:rsidRPr="00DA5DAC">
        <w:rPr>
          <w:rFonts w:ascii="Times New Roman" w:eastAsia="Times New Roman" w:hAnsi="Times New Roman" w:cs="Times New Roman"/>
          <w:sz w:val="24"/>
          <w:szCs w:val="24"/>
        </w:rPr>
        <w:t xml:space="preserve">(Bocherens &amp; Drucker 2003; O’Connell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2012)</w:t>
      </w:r>
      <w:r w:rsidRPr="00DA5DAC">
        <w:rPr>
          <w:rFonts w:ascii="Times New Roman" w:eastAsia="Times New Roman" w:hAnsi="Times New Roman" w:cs="Times New Roman"/>
          <w:sz w:val="24"/>
          <w:szCs w:val="24"/>
        </w:rPr>
        <w:t>. It can also be a helpful tool in identifying high marine consumption, as fully marine diets result in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 xml:space="preserve">N values approximately 9‰ higher than terrestrial diets </w:t>
      </w:r>
      <w:r w:rsidR="000E5EA3" w:rsidRPr="00DA5DAC">
        <w:rPr>
          <w:rFonts w:ascii="Times New Roman" w:eastAsia="Times New Roman" w:hAnsi="Times New Roman" w:cs="Times New Roman"/>
          <w:sz w:val="24"/>
          <w:szCs w:val="24"/>
        </w:rPr>
        <w:t xml:space="preserve">(Schoeninger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1983; Schoeninger &amp; DeNiro 1984)</w:t>
      </w:r>
      <w:r w:rsidRPr="00DA5DAC">
        <w:rPr>
          <w:rFonts w:ascii="Times New Roman" w:eastAsia="Times New Roman" w:hAnsi="Times New Roman" w:cs="Times New Roman"/>
          <w:sz w:val="24"/>
          <w:szCs w:val="24"/>
        </w:rPr>
        <w:t>. If the individuals buried at Worlebury represent a typical local Iron Age community, their diets should be predominantly C</w:t>
      </w:r>
      <w:r w:rsidRPr="00DA5DAC">
        <w:rPr>
          <w:rFonts w:ascii="Times New Roman" w:eastAsia="Times New Roman" w:hAnsi="Times New Roman" w:cs="Times New Roman"/>
          <w:sz w:val="24"/>
          <w:szCs w:val="24"/>
          <w:vertAlign w:val="subscript"/>
        </w:rPr>
        <w:t>3</w:t>
      </w:r>
      <w:r w:rsidRPr="00DA5DAC">
        <w:rPr>
          <w:rFonts w:ascii="Times New Roman" w:eastAsia="Times New Roman" w:hAnsi="Times New Roman" w:cs="Times New Roman"/>
          <w:sz w:val="24"/>
          <w:szCs w:val="24"/>
        </w:rPr>
        <w:t>-based</w:t>
      </w:r>
      <w:r w:rsidR="00B95AEE">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as C</w:t>
      </w:r>
      <w:r w:rsidRPr="00DA5DAC">
        <w:rPr>
          <w:rFonts w:ascii="Times New Roman" w:eastAsia="Times New Roman" w:hAnsi="Times New Roman" w:cs="Times New Roman"/>
          <w:sz w:val="24"/>
          <w:szCs w:val="24"/>
          <w:vertAlign w:val="subscript"/>
        </w:rPr>
        <w:t>4</w:t>
      </w:r>
      <w:r w:rsidRPr="00DA5DAC">
        <w:rPr>
          <w:rFonts w:ascii="Times New Roman" w:eastAsia="Times New Roman" w:hAnsi="Times New Roman" w:cs="Times New Roman"/>
          <w:sz w:val="24"/>
          <w:szCs w:val="24"/>
        </w:rPr>
        <w:t xml:space="preserve"> plants were absent during this time. Many Iron Age sites across Britain have an absence of fish remains despite being near rivers/the coast (eg</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Brancaster, Catcote, Colchester, Cottingham Creyke Beck, Meare Village, Slonk Hill</w:t>
      </w:r>
      <w:r w:rsidR="00AD03C0">
        <w:rPr>
          <w:rFonts w:ascii="Times New Roman" w:eastAsia="Times New Roman" w:hAnsi="Times New Roman" w:cs="Times New Roman"/>
          <w:sz w:val="24"/>
          <w:szCs w:val="24"/>
        </w:rPr>
        <w:t xml:space="preserve">; </w:t>
      </w:r>
      <w:r w:rsidR="000E5EA3" w:rsidRPr="00DA5DAC">
        <w:rPr>
          <w:rFonts w:ascii="Times New Roman" w:eastAsia="Times New Roman" w:hAnsi="Times New Roman" w:cs="Times New Roman"/>
          <w:sz w:val="24"/>
          <w:szCs w:val="24"/>
        </w:rPr>
        <w:t>Dobney &amp; Ervynck 2007)</w:t>
      </w:r>
      <w:r w:rsidRPr="00DA5DAC">
        <w:rPr>
          <w:rFonts w:ascii="Times New Roman" w:eastAsia="Times New Roman" w:hAnsi="Times New Roman" w:cs="Times New Roman"/>
          <w:sz w:val="24"/>
          <w:szCs w:val="24"/>
        </w:rPr>
        <w:t>. If the individuals at Worlebury conform to the wider trend of marine avoidance</w:t>
      </w:r>
      <w:r w:rsidR="00AD03C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we would not expect them to have elevated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and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values despite the site’s proximity to the Severn Estuary. However</w:t>
      </w:r>
      <w:r w:rsidR="002264B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it is notable that while no fish remains are reported for Worlebury itself, limpet shells were recovered suggesting some aquatic resource exploitation </w:t>
      </w:r>
      <w:r w:rsidR="000E5EA3" w:rsidRPr="00DA5DAC">
        <w:rPr>
          <w:rFonts w:ascii="Times New Roman" w:eastAsia="Times New Roman" w:hAnsi="Times New Roman" w:cs="Times New Roman"/>
          <w:sz w:val="24"/>
          <w:szCs w:val="24"/>
        </w:rPr>
        <w:t>(Dymond 1902)</w:t>
      </w:r>
      <w:r w:rsidR="00AD03C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the issue of how much marine produce was avoided in Iron Age Britain remains unresolved </w:t>
      </w:r>
      <w:r w:rsidR="000E5EA3" w:rsidRPr="00DA5DAC">
        <w:rPr>
          <w:rFonts w:ascii="Times New Roman" w:eastAsia="Times New Roman" w:hAnsi="Times New Roman" w:cs="Times New Roman"/>
          <w:sz w:val="24"/>
          <w:szCs w:val="24"/>
        </w:rPr>
        <w:t>(Rainsford &amp; Roberts 2013)</w:t>
      </w:r>
      <w:r w:rsidRPr="00DA5DAC">
        <w:rPr>
          <w:rFonts w:ascii="Times New Roman" w:eastAsia="Times New Roman" w:hAnsi="Times New Roman" w:cs="Times New Roman"/>
          <w:sz w:val="24"/>
          <w:szCs w:val="24"/>
        </w:rPr>
        <w:t>.</w:t>
      </w:r>
    </w:p>
    <w:p w14:paraId="725AE4B2" w14:textId="5EFDB45D" w:rsidR="000E5EA3" w:rsidRPr="00DA5DAC" w:rsidRDefault="00000000" w:rsidP="002264B7">
      <w:pPr>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lastRenderedPageBreak/>
        <w:t xml:space="preserve">The collagen was extracted using a modified Longin method (Brown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1988).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isotope samples analysed at the Stable Isotope Facility at Cardiff University were run in duplicate (with the exception of WB03, WB19</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WB24</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28</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for which there was only sufficient collagen for single analysis) and analysed using continuous flow elemental analyser mass spectrometry at Cardiff University Stable Isotope Facility. Instrumentation comprised a Flash 1105 elemental analyser coupled to a Thermo Finnigan Delta V Advantage. Carbon and nitrogen isotope ratios were calibrated against caffeine (laboratory grade, 98.5%, Acros Organics, lot A0342883) and an in-house supermarket gelatine standard, which is calibrated against IAEA-600 (</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 xml:space="preserve">C and </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IAEA-CH-6 (</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IAEA-N-2 (</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The long term 1σ standard reproducibility was 0.08 for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0.07 for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Caffeine was used to calculate %N and %C (28.85% N and 49.48% C, calculated from the molecular formula C</w:t>
      </w:r>
      <w:r w:rsidRPr="00DA5DAC">
        <w:rPr>
          <w:rFonts w:ascii="Times New Roman" w:eastAsia="Times New Roman" w:hAnsi="Times New Roman" w:cs="Times New Roman"/>
          <w:sz w:val="24"/>
          <w:szCs w:val="24"/>
          <w:vertAlign w:val="subscript"/>
        </w:rPr>
        <w:t>8</w:t>
      </w:r>
      <w:r w:rsidRPr="00DA5DAC">
        <w:rPr>
          <w:rFonts w:ascii="Times New Roman" w:eastAsia="Times New Roman" w:hAnsi="Times New Roman" w:cs="Times New Roman"/>
          <w:sz w:val="24"/>
          <w:szCs w:val="24"/>
        </w:rPr>
        <w:t>H</w:t>
      </w:r>
      <w:r w:rsidRPr="00DA5DAC">
        <w:rPr>
          <w:rFonts w:ascii="Times New Roman" w:eastAsia="Times New Roman" w:hAnsi="Times New Roman" w:cs="Times New Roman"/>
          <w:sz w:val="24"/>
          <w:szCs w:val="24"/>
          <w:vertAlign w:val="subscript"/>
        </w:rPr>
        <w:t>10</w:t>
      </w:r>
      <w:r w:rsidRPr="00DA5DAC">
        <w:rPr>
          <w:rFonts w:ascii="Times New Roman" w:eastAsia="Times New Roman" w:hAnsi="Times New Roman" w:cs="Times New Roman"/>
          <w:sz w:val="24"/>
          <w:szCs w:val="24"/>
        </w:rPr>
        <w:t>N</w:t>
      </w:r>
      <w:r w:rsidRPr="00DA5DAC">
        <w:rPr>
          <w:rFonts w:ascii="Times New Roman" w:eastAsia="Times New Roman" w:hAnsi="Times New Roman" w:cs="Times New Roman"/>
          <w:sz w:val="24"/>
          <w:szCs w:val="24"/>
          <w:vertAlign w:val="subscript"/>
        </w:rPr>
        <w:t>4</w:t>
      </w:r>
      <w:r w:rsidRPr="00DA5DAC">
        <w:rPr>
          <w:rFonts w:ascii="Times New Roman" w:eastAsia="Times New Roman" w:hAnsi="Times New Roman" w:cs="Times New Roman"/>
          <w:sz w:val="24"/>
          <w:szCs w:val="24"/>
        </w:rPr>
        <w:t>O</w:t>
      </w:r>
      <w:r w:rsidRPr="00DA5DAC">
        <w:rPr>
          <w:rFonts w:ascii="Times New Roman" w:eastAsia="Times New Roman" w:hAnsi="Times New Roman" w:cs="Times New Roman"/>
          <w:sz w:val="24"/>
          <w:szCs w:val="24"/>
          <w:vertAlign w:val="subscript"/>
        </w:rPr>
        <w:t>2</w:t>
      </w:r>
      <w:r w:rsidRPr="00DA5DAC">
        <w:rPr>
          <w:rFonts w:ascii="Times New Roman" w:eastAsia="Times New Roman" w:hAnsi="Times New Roman" w:cs="Times New Roman"/>
          <w:sz w:val="24"/>
          <w:szCs w:val="24"/>
        </w:rPr>
        <w:t xml:space="preserve">). </w:t>
      </w:r>
    </w:p>
    <w:p w14:paraId="240473AE" w14:textId="45FD3C9C" w:rsidR="000E5EA3" w:rsidRPr="00DA5DAC" w:rsidRDefault="00000000" w:rsidP="002264B7">
      <w:pPr>
        <w:shd w:val="clear" w:color="auto" w:fill="FFFFFF"/>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At SUERC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and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 xml:space="preserve">S isotopic compositions were determined on a Delta V Advantage continuous-flow isotope ratio mass spectrometer coupled via a ConfloIV to an IsoLink elemental analyser (Thermo Scientific, Bremen) as described in </w:t>
      </w:r>
      <w:r w:rsidR="002264B7" w:rsidRPr="00DA5DAC">
        <w:rPr>
          <w:rFonts w:ascii="Times New Roman" w:eastAsia="Times New Roman" w:hAnsi="Times New Roman" w:cs="Times New Roman"/>
          <w:sz w:val="24"/>
          <w:szCs w:val="24"/>
        </w:rPr>
        <w:t xml:space="preserve">Sayle </w:t>
      </w:r>
      <w:r w:rsidR="002264B7">
        <w:rPr>
          <w:rFonts w:ascii="Times New Roman" w:eastAsia="Times New Roman" w:hAnsi="Times New Roman" w:cs="Times New Roman"/>
          <w:sz w:val="24"/>
          <w:szCs w:val="24"/>
        </w:rPr>
        <w:t>and colleagues (</w:t>
      </w:r>
      <w:r w:rsidRPr="00DA5DAC">
        <w:rPr>
          <w:rFonts w:ascii="Times New Roman" w:eastAsia="Times New Roman" w:hAnsi="Times New Roman" w:cs="Times New Roman"/>
          <w:sz w:val="24"/>
          <w:szCs w:val="24"/>
        </w:rPr>
        <w:t xml:space="preserve">Sayle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2019). Collagen samples were combusted in the presence of oxygen in a single reactor containing tungstic oxide and copper wires at 1020°C to produce N</w:t>
      </w:r>
      <w:r w:rsidRPr="00DA5DAC">
        <w:rPr>
          <w:rFonts w:ascii="Times New Roman" w:eastAsia="Times New Roman" w:hAnsi="Times New Roman" w:cs="Times New Roman"/>
          <w:sz w:val="24"/>
          <w:szCs w:val="24"/>
          <w:vertAlign w:val="subscript"/>
        </w:rPr>
        <w:t>2</w:t>
      </w:r>
      <w:r w:rsidRPr="00DA5DAC">
        <w:rPr>
          <w:rFonts w:ascii="Times New Roman" w:eastAsia="Times New Roman" w:hAnsi="Times New Roman" w:cs="Times New Roman"/>
          <w:sz w:val="24"/>
          <w:szCs w:val="24"/>
        </w:rPr>
        <w:t>, CO</w:t>
      </w:r>
      <w:r w:rsidRPr="00DA5DAC">
        <w:rPr>
          <w:rFonts w:ascii="Times New Roman" w:eastAsia="Times New Roman" w:hAnsi="Times New Roman" w:cs="Times New Roman"/>
          <w:sz w:val="24"/>
          <w:szCs w:val="24"/>
          <w:vertAlign w:val="subscript"/>
        </w:rPr>
        <w:t>2</w:t>
      </w:r>
      <w:r w:rsidR="00711FD7">
        <w:rPr>
          <w:rFonts w:ascii="Times New Roman" w:eastAsia="Times New Roman" w:hAnsi="Times New Roman" w:cs="Times New Roman"/>
          <w:sz w:val="24"/>
          <w:szCs w:val="24"/>
          <w:vertAlign w:val="subscript"/>
        </w:rPr>
        <w:t>,</w:t>
      </w:r>
      <w:r w:rsidRPr="00DA5DAC">
        <w:rPr>
          <w:rFonts w:ascii="Times New Roman" w:eastAsia="Times New Roman" w:hAnsi="Times New Roman" w:cs="Times New Roman"/>
          <w:sz w:val="24"/>
          <w:szCs w:val="24"/>
        </w:rPr>
        <w:t xml:space="preserve"> and SO</w:t>
      </w:r>
      <w:r w:rsidRPr="00DA5DAC">
        <w:rPr>
          <w:rFonts w:ascii="Times New Roman" w:eastAsia="Times New Roman" w:hAnsi="Times New Roman" w:cs="Times New Roman"/>
          <w:sz w:val="24"/>
          <w:szCs w:val="24"/>
          <w:vertAlign w:val="subscript"/>
        </w:rPr>
        <w:t>2</w:t>
      </w:r>
      <w:r w:rsidRPr="00DA5DAC">
        <w:rPr>
          <w:rFonts w:ascii="Times New Roman" w:eastAsia="Times New Roman" w:hAnsi="Times New Roman" w:cs="Times New Roman"/>
          <w:sz w:val="24"/>
          <w:szCs w:val="24"/>
        </w:rPr>
        <w:t>. A magnesium perchlorate trap was used to eliminate water produced during the combustion process, and the gases were separated in a GC column heated between 70°C and 240°C. Helium was used as a carrier gas throughout the procedure. N</w:t>
      </w:r>
      <w:r w:rsidRPr="00DA5DAC">
        <w:rPr>
          <w:rFonts w:ascii="Times New Roman" w:eastAsia="Times New Roman" w:hAnsi="Times New Roman" w:cs="Times New Roman"/>
          <w:sz w:val="24"/>
          <w:szCs w:val="24"/>
          <w:vertAlign w:val="subscript"/>
        </w:rPr>
        <w:t>2</w:t>
      </w:r>
      <w:r w:rsidRPr="00DA5DAC">
        <w:rPr>
          <w:rFonts w:ascii="Times New Roman" w:eastAsia="Times New Roman" w:hAnsi="Times New Roman" w:cs="Times New Roman"/>
          <w:sz w:val="24"/>
          <w:szCs w:val="24"/>
        </w:rPr>
        <w:t>, CO</w:t>
      </w:r>
      <w:r w:rsidRPr="00DA5DAC">
        <w:rPr>
          <w:rFonts w:ascii="Times New Roman" w:eastAsia="Times New Roman" w:hAnsi="Times New Roman" w:cs="Times New Roman"/>
          <w:sz w:val="24"/>
          <w:szCs w:val="24"/>
          <w:vertAlign w:val="subscript"/>
        </w:rPr>
        <w:t>2</w:t>
      </w:r>
      <w:r w:rsidRPr="00DA5DAC">
        <w:rPr>
          <w:rFonts w:ascii="Times New Roman" w:eastAsia="Times New Roman" w:hAnsi="Times New Roman" w:cs="Times New Roman"/>
          <w:sz w:val="24"/>
          <w:szCs w:val="24"/>
        </w:rPr>
        <w:t>, and SO</w:t>
      </w:r>
      <w:r w:rsidRPr="00DA5DAC">
        <w:rPr>
          <w:rFonts w:ascii="Times New Roman" w:eastAsia="Times New Roman" w:hAnsi="Times New Roman" w:cs="Times New Roman"/>
          <w:sz w:val="24"/>
          <w:szCs w:val="24"/>
          <w:vertAlign w:val="subscript"/>
        </w:rPr>
        <w:t xml:space="preserve">2 </w:t>
      </w:r>
      <w:r w:rsidRPr="00DA5DAC">
        <w:rPr>
          <w:rFonts w:ascii="Times New Roman" w:eastAsia="Times New Roman" w:hAnsi="Times New Roman" w:cs="Times New Roman"/>
          <w:sz w:val="24"/>
          <w:szCs w:val="24"/>
        </w:rPr>
        <w:t>entered the mass spectrometer via an open split arrangement within the ConfloIV and were analysed against their corresponding reference gases.</w:t>
      </w:r>
    </w:p>
    <w:p w14:paraId="1BBDB44C" w14:textId="1F0B0AEF" w:rsidR="000E5EA3" w:rsidRPr="00DA5DAC" w:rsidRDefault="00000000" w:rsidP="002264B7">
      <w:pPr>
        <w:shd w:val="clear" w:color="auto" w:fill="FFFFFF"/>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The International Atomic Energy Agency (IAEA) reference materials USGS40 (L-glutamic acid,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VPDB = –26.39 ± 0.04‰,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AIR = –4.52 ± 0.06‰) and USGS41a (L-glutamic acid,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VPDB = 36.55 ± 0.08‰,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AIR = 47.55 ± 0.15‰) were used to normalise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values. Two in-house standards (SAG2B, δ 34 S VCTD = –9.22 ± 0.11‰ and MSAG2,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VCTD = 11.31 ± 0.10‰) that are calibrated to the International Atomic Energy Agency (IAEA) reference materials IAEA-S-2 (silver sulfide,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VCTD = 22.62 ± 0.08‰) and IAEA-S-3 (silver sulfide,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VCTD = –32.49 ± 0.08‰) were used to normalise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values. Results are reported as per mil (‰) relative to the internationally accepted standards VPDB, AIR</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VCDT.</w:t>
      </w:r>
    </w:p>
    <w:p w14:paraId="27531534" w14:textId="05AF39A3" w:rsidR="000E5EA3" w:rsidRPr="00DA5DAC" w:rsidRDefault="00000000" w:rsidP="002264B7">
      <w:pPr>
        <w:shd w:val="clear" w:color="auto" w:fill="FFFFFF"/>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Normalisation was checked using an in-house collagen standard (DHB2019: long-term average: –21.24 ± 0.13‰ (n=816), 3.71 ± 0.12‰ (n = 818), and 9.40 ± 0.37‰ (n = 765)), which gave values of –21.11 ± 0.18‰ (n = 8), 3.72 ± 0.04‰ (n = 8), and 9.95 ± 0.29‰ (n = 7) for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and δ</w:t>
      </w:r>
      <w:r w:rsidRPr="00DA5DAC">
        <w:rPr>
          <w:rFonts w:ascii="Times New Roman" w:eastAsia="Times New Roman" w:hAnsi="Times New Roman" w:cs="Times New Roman"/>
          <w:sz w:val="24"/>
          <w:szCs w:val="24"/>
          <w:vertAlign w:val="superscript"/>
        </w:rPr>
        <w:t>34</w:t>
      </w:r>
      <w:r w:rsidRPr="00DA5DAC">
        <w:rPr>
          <w:rFonts w:ascii="Times New Roman" w:eastAsia="Times New Roman" w:hAnsi="Times New Roman" w:cs="Times New Roman"/>
          <w:sz w:val="24"/>
          <w:szCs w:val="24"/>
        </w:rPr>
        <w:t>S respectively.</w:t>
      </w:r>
    </w:p>
    <w:p w14:paraId="155CE73D" w14:textId="4D1EE71D" w:rsidR="00711FD7" w:rsidRPr="00711FD7" w:rsidRDefault="00000000" w:rsidP="00711FD7">
      <w:pPr>
        <w:shd w:val="clear" w:color="auto" w:fill="FFFFFF"/>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Tooth enamel samples were analysed at CELTIC</w:t>
      </w:r>
      <w:r w:rsidR="00711FD7">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 Cardiff Environmental Laboratory for Trace element and Isotope Chemistry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and the Stable Isotope Facility (δ</w:t>
      </w:r>
      <w:r w:rsidRPr="00DA5DAC">
        <w:rPr>
          <w:rFonts w:ascii="Times New Roman" w:eastAsia="Times New Roman" w:hAnsi="Times New Roman" w:cs="Times New Roman"/>
          <w:sz w:val="24"/>
          <w:szCs w:val="24"/>
          <w:vertAlign w:val="superscript"/>
        </w:rPr>
        <w:t>18</w:t>
      </w:r>
      <w:r w:rsidRPr="00DA5DAC">
        <w:rPr>
          <w:rFonts w:ascii="Times New Roman" w:eastAsia="Times New Roman" w:hAnsi="Times New Roman" w:cs="Times New Roman"/>
          <w:sz w:val="24"/>
          <w:szCs w:val="24"/>
        </w:rPr>
        <w:t>O) at Cardiff University. Enamel was sampled from the root-enamel junction, extending 3</w:t>
      </w:r>
      <w:r w:rsidR="00711FD7">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4</w:t>
      </w:r>
      <w:r w:rsidR="00711FD7">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mm up the cusp on the lingual surface. This is estimated to provide a signal of at least 12 months’ duration. All dentine and adhering contaminants were removed using a diamond rotary burr. For oxygen isotope analysis, a slice was taken from the sample and crushed using an agate pestle and mortar. No further pretreatment was undertaken. The δ</w:t>
      </w:r>
      <w:r w:rsidRPr="00DA5DAC">
        <w:rPr>
          <w:rFonts w:ascii="Times New Roman" w:eastAsia="Times New Roman" w:hAnsi="Times New Roman" w:cs="Times New Roman"/>
          <w:sz w:val="24"/>
          <w:szCs w:val="24"/>
          <w:vertAlign w:val="superscript"/>
        </w:rPr>
        <w:t>18</w:t>
      </w:r>
      <w:r w:rsidRPr="00DA5DAC">
        <w:rPr>
          <w:rFonts w:ascii="Times New Roman" w:eastAsia="Times New Roman" w:hAnsi="Times New Roman" w:cs="Times New Roman"/>
          <w:sz w:val="24"/>
          <w:szCs w:val="24"/>
        </w:rPr>
        <w:t>O and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 xml:space="preserve">C composition of the sample powders was measured on a Thermo Mat 253 dual inlet mass spectrometer coupled to a Kiel IV carbonate preparation device in the School of Earth and Ocean Sciences at Cardiff University. Samples were acidified for 5 minutes with &gt;100% ortho-phosphoric acid at 70°C. Results are reported in per-mil (‰) on the Vienna-Pee Dee Belemnite (VPDB) scale, that is, in-house standards are calibrated against NBS 19. During the period that the samples were measured, a correction for scale-compression was not necessary: using NBS19 as a single anchor point the measured </w:t>
      </w:r>
      <w:r w:rsidR="00711FD7" w:rsidRPr="00711FD7">
        <w:rPr>
          <w:rFonts w:ascii="Times New Roman" w:eastAsia="Times New Roman" w:hAnsi="Times New Roman" w:cs="Times New Roman"/>
          <w:sz w:val="24"/>
          <w:szCs w:val="24"/>
        </w:rPr>
        <w:t>δ</w:t>
      </w:r>
      <w:r w:rsidR="00711FD7" w:rsidRPr="00711FD7">
        <w:rPr>
          <w:rFonts w:ascii="Times New Roman" w:eastAsia="Times New Roman" w:hAnsi="Times New Roman" w:cs="Times New Roman"/>
          <w:sz w:val="24"/>
          <w:szCs w:val="24"/>
          <w:vertAlign w:val="superscript"/>
        </w:rPr>
        <w:t>18</w:t>
      </w:r>
      <w:r w:rsidR="00711FD7" w:rsidRPr="00711FD7">
        <w:rPr>
          <w:rFonts w:ascii="Times New Roman" w:eastAsia="Times New Roman" w:hAnsi="Times New Roman" w:cs="Times New Roman"/>
          <w:sz w:val="24"/>
          <w:szCs w:val="24"/>
        </w:rPr>
        <w:t>O values for NBS18 are within one standard deviation of the accepted values. The long-term precision of an in-house Carrara marble standard is ≤0.04‰ in δ</w:t>
      </w:r>
      <w:r w:rsidR="00711FD7" w:rsidRPr="00711FD7">
        <w:rPr>
          <w:rFonts w:ascii="Times New Roman" w:eastAsia="Times New Roman" w:hAnsi="Times New Roman" w:cs="Times New Roman"/>
          <w:sz w:val="24"/>
          <w:szCs w:val="24"/>
          <w:vertAlign w:val="superscript"/>
        </w:rPr>
        <w:t>18</w:t>
      </w:r>
      <w:r w:rsidR="00711FD7" w:rsidRPr="00711FD7">
        <w:rPr>
          <w:rFonts w:ascii="Times New Roman" w:eastAsia="Times New Roman" w:hAnsi="Times New Roman" w:cs="Times New Roman"/>
          <w:sz w:val="24"/>
          <w:szCs w:val="24"/>
        </w:rPr>
        <w:t xml:space="preserve">O and ≤0.03‰ in </w:t>
      </w:r>
      <w:r w:rsidR="00711FD7" w:rsidRPr="00711FD7">
        <w:rPr>
          <w:rFonts w:ascii="Times New Roman" w:eastAsia="Times New Roman" w:hAnsi="Times New Roman" w:cs="Times New Roman"/>
          <w:sz w:val="24"/>
          <w:szCs w:val="24"/>
          <w:vertAlign w:val="superscript"/>
        </w:rPr>
        <w:t>13</w:t>
      </w:r>
      <w:r w:rsidR="00711FD7" w:rsidRPr="00711FD7">
        <w:rPr>
          <w:rFonts w:ascii="Times New Roman" w:eastAsia="Times New Roman" w:hAnsi="Times New Roman" w:cs="Times New Roman"/>
          <w:sz w:val="24"/>
          <w:szCs w:val="24"/>
        </w:rPr>
        <w:t>C.</w:t>
      </w:r>
    </w:p>
    <w:p w14:paraId="0F611F4F" w14:textId="77777777" w:rsidR="000E5EA3" w:rsidRPr="00DA5DAC" w:rsidRDefault="00000000" w:rsidP="00DA5DAC">
      <w:pPr>
        <w:shd w:val="clear" w:color="auto" w:fill="FFFFFF"/>
        <w:spacing w:line="240" w:lineRule="auto"/>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 </w:t>
      </w:r>
    </w:p>
    <w:p w14:paraId="1BFAD08D" w14:textId="07114D4F" w:rsidR="000E5EA3" w:rsidRPr="00DA5DAC" w:rsidRDefault="00000000" w:rsidP="002264B7">
      <w:pPr>
        <w:shd w:val="clear" w:color="auto" w:fill="FFFFFF"/>
        <w:spacing w:line="240" w:lineRule="auto"/>
        <w:ind w:firstLine="720"/>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lastRenderedPageBreak/>
        <w:t>Mechanically cleaned slices of enamel (</w:t>
      </w:r>
      <w:r w:rsidRPr="002264B7">
        <w:rPr>
          <w:rFonts w:ascii="Times New Roman" w:eastAsia="Times New Roman" w:hAnsi="Times New Roman" w:cs="Times New Roman"/>
          <w:i/>
          <w:iCs/>
          <w:sz w:val="24"/>
          <w:szCs w:val="24"/>
        </w:rPr>
        <w:t>c.</w:t>
      </w:r>
      <w:r w:rsidRPr="00DA5DAC">
        <w:rPr>
          <w:rFonts w:ascii="Times New Roman" w:eastAsia="Times New Roman" w:hAnsi="Times New Roman" w:cs="Times New Roman"/>
          <w:sz w:val="24"/>
          <w:szCs w:val="24"/>
        </w:rPr>
        <w:t xml:space="preserve"> 20</w:t>
      </w:r>
      <w:r w:rsidR="002264B7">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mg) were cleaned in an ultrasonic bath and then transferred to the clean laboratory (class 100, laminar flow) of CELTIC. Samples were digested in 8M HNO3 and heated overnight at 120°C. Strontium extraction from enamel samples used Sr.Spec™ resin using a revised version of protocol of </w:t>
      </w:r>
      <w:r w:rsidR="000E5EA3" w:rsidRPr="00DA5DAC">
        <w:rPr>
          <w:rFonts w:ascii="Times New Roman" w:eastAsia="Times New Roman" w:hAnsi="Times New Roman" w:cs="Times New Roman"/>
          <w:sz w:val="24"/>
          <w:szCs w:val="24"/>
        </w:rPr>
        <w:t xml:space="preserve">(Font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2007)</w:t>
      </w:r>
      <w:r w:rsidRPr="00DA5DAC">
        <w:rPr>
          <w:rFonts w:ascii="Times New Roman" w:eastAsia="Times New Roman" w:hAnsi="Times New Roman" w:cs="Times New Roman"/>
          <w:sz w:val="24"/>
          <w:szCs w:val="24"/>
        </w:rPr>
        <w:t>. Samples were loaded into resin columns in 1</w:t>
      </w:r>
      <w:r w:rsidR="00C2165F">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ml 8M HNO3. Matrix elements (including Ca and traces of Rb) were then eluted in several washes of 8M HNO3 and the samples placed on a hotplate (120°C) overnight. This process was then repeated for a second pass to remove all remaining Ca. Once purified samples were dry, they were redissolved in 2% HNO3. Strontium isotope ratios were measured using a Nu Instruments Multi-Collector Inductively Coupled Plasma mass spectrometer (MC-ICP-MS). All data </w:t>
      </w:r>
      <w:r w:rsidR="00C2165F">
        <w:rPr>
          <w:rFonts w:ascii="Times New Roman" w:eastAsia="Times New Roman" w:hAnsi="Times New Roman" w:cs="Times New Roman"/>
          <w:sz w:val="24"/>
          <w:szCs w:val="24"/>
        </w:rPr>
        <w:t>were</w:t>
      </w:r>
      <w:r w:rsidRPr="00DA5DAC">
        <w:rPr>
          <w:rFonts w:ascii="Times New Roman" w:eastAsia="Times New Roman" w:hAnsi="Times New Roman" w:cs="Times New Roman"/>
          <w:sz w:val="24"/>
          <w:szCs w:val="24"/>
        </w:rPr>
        <w:t xml:space="preserve"> first corrected for on-peak blank intensities, then mass bias corrected using the exponential law and a normalization ratio of 8.375209 for </w:t>
      </w:r>
      <w:r w:rsidRPr="00DA5DAC">
        <w:rPr>
          <w:rFonts w:ascii="Times New Roman" w:eastAsia="Times New Roman" w:hAnsi="Times New Roman" w:cs="Times New Roman"/>
          <w:sz w:val="24"/>
          <w:szCs w:val="24"/>
          <w:vertAlign w:val="superscript"/>
        </w:rPr>
        <w:t>88</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(Nier 1938). Residual krypton (Kr) and rubidium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 xml:space="preserve">Rb) interferences were monitored and corrected for using </w:t>
      </w:r>
      <w:r w:rsidRPr="00DA5DAC">
        <w:rPr>
          <w:rFonts w:ascii="Times New Roman" w:eastAsia="Times New Roman" w:hAnsi="Times New Roman" w:cs="Times New Roman"/>
          <w:sz w:val="24"/>
          <w:szCs w:val="24"/>
          <w:vertAlign w:val="superscript"/>
        </w:rPr>
        <w:t>82</w:t>
      </w:r>
      <w:r w:rsidRPr="00DA5DAC">
        <w:rPr>
          <w:rFonts w:ascii="Times New Roman" w:eastAsia="Times New Roman" w:hAnsi="Times New Roman" w:cs="Times New Roman"/>
          <w:sz w:val="24"/>
          <w:szCs w:val="24"/>
        </w:rPr>
        <w:t xml:space="preserve">Kr and </w:t>
      </w:r>
      <w:r w:rsidRPr="00DA5DAC">
        <w:rPr>
          <w:rFonts w:ascii="Times New Roman" w:eastAsia="Times New Roman" w:hAnsi="Times New Roman" w:cs="Times New Roman"/>
          <w:sz w:val="24"/>
          <w:szCs w:val="24"/>
          <w:vertAlign w:val="superscript"/>
        </w:rPr>
        <w:t>83</w:t>
      </w:r>
      <w:r w:rsidRPr="00DA5DAC">
        <w:rPr>
          <w:rFonts w:ascii="Times New Roman" w:eastAsia="Times New Roman" w:hAnsi="Times New Roman" w:cs="Times New Roman"/>
          <w:sz w:val="24"/>
          <w:szCs w:val="24"/>
        </w:rPr>
        <w:t>Kr (</w:t>
      </w:r>
      <w:r w:rsidRPr="00DA5DAC">
        <w:rPr>
          <w:rFonts w:ascii="Times New Roman" w:eastAsia="Times New Roman" w:hAnsi="Times New Roman" w:cs="Times New Roman"/>
          <w:sz w:val="24"/>
          <w:szCs w:val="24"/>
          <w:vertAlign w:val="superscript"/>
        </w:rPr>
        <w:t>83</w:t>
      </w:r>
      <w:r w:rsidRPr="00DA5DAC">
        <w:rPr>
          <w:rFonts w:ascii="Times New Roman" w:eastAsia="Times New Roman" w:hAnsi="Times New Roman" w:cs="Times New Roman"/>
          <w:sz w:val="24"/>
          <w:szCs w:val="24"/>
        </w:rPr>
        <w:t>Kr/</w:t>
      </w:r>
      <w:r w:rsidRPr="00DA5DAC">
        <w:rPr>
          <w:rFonts w:ascii="Times New Roman" w:eastAsia="Times New Roman" w:hAnsi="Times New Roman" w:cs="Times New Roman"/>
          <w:sz w:val="24"/>
          <w:szCs w:val="24"/>
          <w:vertAlign w:val="superscript"/>
        </w:rPr>
        <w:t>84</w:t>
      </w:r>
      <w:r w:rsidRPr="00DA5DAC">
        <w:rPr>
          <w:rFonts w:ascii="Times New Roman" w:eastAsia="Times New Roman" w:hAnsi="Times New Roman" w:cs="Times New Roman"/>
          <w:sz w:val="24"/>
          <w:szCs w:val="24"/>
        </w:rPr>
        <w:t xml:space="preserve">Kr = 0.20175 and </w:t>
      </w:r>
      <w:r w:rsidRPr="00DA5DAC">
        <w:rPr>
          <w:rFonts w:ascii="Times New Roman" w:eastAsia="Times New Roman" w:hAnsi="Times New Roman" w:cs="Times New Roman"/>
          <w:sz w:val="24"/>
          <w:szCs w:val="24"/>
          <w:vertAlign w:val="superscript"/>
        </w:rPr>
        <w:t>83</w:t>
      </w:r>
      <w:r w:rsidRPr="00DA5DAC">
        <w:rPr>
          <w:rFonts w:ascii="Times New Roman" w:eastAsia="Times New Roman" w:hAnsi="Times New Roman" w:cs="Times New Roman"/>
          <w:sz w:val="24"/>
          <w:szCs w:val="24"/>
        </w:rPr>
        <w:t>Kr/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 xml:space="preserve">Kr = 0.66474; without normalization) and </w:t>
      </w:r>
      <w:r w:rsidRPr="00DA5DAC">
        <w:rPr>
          <w:rFonts w:ascii="Times New Roman" w:eastAsia="Times New Roman" w:hAnsi="Times New Roman" w:cs="Times New Roman"/>
          <w:sz w:val="24"/>
          <w:szCs w:val="24"/>
          <w:vertAlign w:val="superscript"/>
        </w:rPr>
        <w:t>85</w:t>
      </w:r>
      <w:r w:rsidRPr="00DA5DAC">
        <w:rPr>
          <w:rFonts w:ascii="Times New Roman" w:eastAsia="Times New Roman" w:hAnsi="Times New Roman" w:cs="Times New Roman"/>
          <w:sz w:val="24"/>
          <w:szCs w:val="24"/>
        </w:rPr>
        <w:t>Rb (</w:t>
      </w:r>
      <w:r w:rsidRPr="00DA5DAC">
        <w:rPr>
          <w:rFonts w:ascii="Times New Roman" w:eastAsia="Times New Roman" w:hAnsi="Times New Roman" w:cs="Times New Roman"/>
          <w:sz w:val="24"/>
          <w:szCs w:val="24"/>
          <w:vertAlign w:val="superscript"/>
        </w:rPr>
        <w:t>85</w:t>
      </w:r>
      <w:r w:rsidRPr="00DA5DAC">
        <w:rPr>
          <w:rFonts w:ascii="Times New Roman" w:eastAsia="Times New Roman" w:hAnsi="Times New Roman" w:cs="Times New Roman"/>
          <w:sz w:val="24"/>
          <w:szCs w:val="24"/>
        </w:rPr>
        <w:t>Rb/</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Rb = 2.5926), respectively. Analysis of NIST SRM 987 during the analytical session gave a</w:t>
      </w:r>
      <w:r w:rsidR="00C2165F">
        <w:rPr>
          <w:rFonts w:ascii="Times New Roman" w:eastAsia="Times New Roman" w:hAnsi="Times New Roman" w:cs="Times New Roman"/>
          <w:sz w:val="24"/>
          <w:szCs w:val="24"/>
        </w:rPr>
        <w:t>n</w:t>
      </w:r>
      <w:r w:rsidRPr="00DA5DAC">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value of 0.710292 ± 0.000007 (2σ, n</w:t>
      </w:r>
      <w:r w:rsidR="00C2165F">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w:t>
      </w:r>
      <w:r w:rsidR="00C2165F">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11) and all data is corrected to a NIST SRM 987 values of 0.710248 (Avanzinelli </w:t>
      </w:r>
      <w:r w:rsidRPr="002264B7">
        <w:rPr>
          <w:rFonts w:ascii="Times New Roman" w:eastAsia="Times New Roman" w:hAnsi="Times New Roman" w:cs="Times New Roman"/>
          <w:i/>
          <w:iCs/>
          <w:sz w:val="24"/>
          <w:szCs w:val="24"/>
        </w:rPr>
        <w:t>et al.</w:t>
      </w:r>
      <w:r w:rsidRPr="00DA5DAC">
        <w:rPr>
          <w:rFonts w:ascii="Times New Roman" w:eastAsia="Times New Roman" w:hAnsi="Times New Roman" w:cs="Times New Roman"/>
          <w:sz w:val="24"/>
          <w:szCs w:val="24"/>
        </w:rPr>
        <w:t xml:space="preserve"> 2005). Total procedural blanks are typically less than 20pg of Sr, which is negligible relative to the Sr in each sample. Accuracy of the method was assessed by measurement of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 xml:space="preserve">Sr in NIST SRM 1400 (Bone Ash), which gave a </w:t>
      </w:r>
      <w:r w:rsidRPr="00DA5DAC">
        <w:rPr>
          <w:rFonts w:ascii="Times New Roman" w:eastAsia="Times New Roman" w:hAnsi="Times New Roman" w:cs="Times New Roman"/>
          <w:sz w:val="24"/>
          <w:szCs w:val="24"/>
          <w:vertAlign w:val="superscript"/>
        </w:rPr>
        <w:t>87</w:t>
      </w:r>
      <w:r w:rsidRPr="00DA5DAC">
        <w:rPr>
          <w:rFonts w:ascii="Times New Roman" w:eastAsia="Times New Roman" w:hAnsi="Times New Roman" w:cs="Times New Roman"/>
          <w:sz w:val="24"/>
          <w:szCs w:val="24"/>
        </w:rPr>
        <w:t>Sr/</w:t>
      </w:r>
      <w:r w:rsidRPr="00DA5DAC">
        <w:rPr>
          <w:rFonts w:ascii="Times New Roman" w:eastAsia="Times New Roman" w:hAnsi="Times New Roman" w:cs="Times New Roman"/>
          <w:sz w:val="24"/>
          <w:szCs w:val="24"/>
          <w:vertAlign w:val="superscript"/>
        </w:rPr>
        <w:t>86</w:t>
      </w:r>
      <w:r w:rsidRPr="00DA5DAC">
        <w:rPr>
          <w:rFonts w:ascii="Times New Roman" w:eastAsia="Times New Roman" w:hAnsi="Times New Roman" w:cs="Times New Roman"/>
          <w:sz w:val="24"/>
          <w:szCs w:val="24"/>
        </w:rPr>
        <w:t>Sr value of 0.713129±0.000019 (2SD), which is consistent with the published value (0.713126±0.000017</w:t>
      </w:r>
      <w:r w:rsidR="00C2165F">
        <w:rPr>
          <w:rFonts w:ascii="Times New Roman" w:eastAsia="Times New Roman" w:hAnsi="Times New Roman" w:cs="Times New Roman"/>
          <w:sz w:val="24"/>
          <w:szCs w:val="24"/>
        </w:rPr>
        <w:t xml:space="preserve">; </w:t>
      </w:r>
      <w:r w:rsidR="000E5EA3" w:rsidRPr="00DA5DAC">
        <w:rPr>
          <w:rFonts w:ascii="Times New Roman" w:eastAsia="Times New Roman" w:hAnsi="Times New Roman" w:cs="Times New Roman"/>
          <w:sz w:val="24"/>
          <w:szCs w:val="24"/>
        </w:rPr>
        <w:t xml:space="preserve">Romaniello </w:t>
      </w:r>
      <w:r w:rsidR="000E5EA3" w:rsidRPr="00C2165F">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2015)</w:t>
      </w:r>
      <w:r w:rsidRPr="00DA5DAC">
        <w:rPr>
          <w:rFonts w:ascii="Times New Roman" w:eastAsia="Times New Roman" w:hAnsi="Times New Roman" w:cs="Times New Roman"/>
          <w:sz w:val="24"/>
          <w:szCs w:val="24"/>
        </w:rPr>
        <w:t xml:space="preserve">. Individual errors for the reported samples are similar to the 2 standard deviations of the NIST 1400. </w:t>
      </w:r>
    </w:p>
    <w:p w14:paraId="001F6334" w14:textId="0700FEB8" w:rsidR="000E5EA3" w:rsidRPr="00DA5DAC" w:rsidRDefault="00000000" w:rsidP="002264B7">
      <w:pPr>
        <w:spacing w:line="240" w:lineRule="auto"/>
        <w:ind w:firstLine="720"/>
        <w:jc w:val="both"/>
        <w:rPr>
          <w:rFonts w:ascii="Times New Roman" w:eastAsia="Times New Roman" w:hAnsi="Times New Roman" w:cs="Times New Roman"/>
          <w:sz w:val="24"/>
          <w:szCs w:val="24"/>
        </w:rPr>
        <w:sectPr w:rsidR="000E5EA3" w:rsidRPr="00DA5DAC" w:rsidSect="00B23A57">
          <w:pgSz w:w="11909" w:h="16834"/>
          <w:pgMar w:top="1174" w:right="1440" w:bottom="1440" w:left="1440" w:header="720" w:footer="720" w:gutter="0"/>
          <w:cols w:space="720"/>
        </w:sectPr>
      </w:pPr>
      <w:r w:rsidRPr="00DA5DAC">
        <w:rPr>
          <w:rFonts w:ascii="Times New Roman" w:eastAsia="Times New Roman" w:hAnsi="Times New Roman" w:cs="Times New Roman"/>
          <w:sz w:val="24"/>
          <w:szCs w:val="24"/>
        </w:rPr>
        <w:t xml:space="preserve">The full isotope results are contained in </w:t>
      </w:r>
      <w:r w:rsidRPr="004F05F0">
        <w:rPr>
          <w:rFonts w:ascii="Times New Roman" w:eastAsia="Times New Roman" w:hAnsi="Times New Roman" w:cs="Times New Roman"/>
          <w:sz w:val="24"/>
          <w:szCs w:val="24"/>
          <w:highlight w:val="green"/>
        </w:rPr>
        <w:t>Table S5.</w:t>
      </w:r>
      <w:r w:rsidR="004F05F0" w:rsidRPr="004F05F0">
        <w:rPr>
          <w:rFonts w:ascii="Times New Roman" w:eastAsia="Times New Roman" w:hAnsi="Times New Roman" w:cs="Times New Roman"/>
          <w:sz w:val="24"/>
          <w:szCs w:val="24"/>
          <w:highlight w:val="green"/>
        </w:rPr>
        <w:t>1</w:t>
      </w:r>
      <w:r w:rsidR="004F05F0">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Samples with the prefix </w:t>
      </w:r>
      <w:r w:rsidR="00C2165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WB</w:t>
      </w:r>
      <w:r w:rsidR="00C2165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were processed at Cardiff University, samples with prefix </w:t>
      </w:r>
      <w:r w:rsidR="00C2165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GENLAB</w:t>
      </w:r>
      <w:r w:rsidR="00C2165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were processed at SUERC as part of the AMS-dating programme.</w:t>
      </w:r>
      <w:r w:rsidR="00DA5DAC">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The δ</w:t>
      </w:r>
      <w:r w:rsidRPr="00DA5DAC">
        <w:rPr>
          <w:rFonts w:ascii="Times New Roman" w:eastAsia="Times New Roman" w:hAnsi="Times New Roman" w:cs="Times New Roman"/>
          <w:sz w:val="24"/>
          <w:szCs w:val="24"/>
          <w:vertAlign w:val="superscript"/>
        </w:rPr>
        <w:t>13</w:t>
      </w:r>
      <w:r w:rsidRPr="00DA5DAC">
        <w:rPr>
          <w:rFonts w:ascii="Times New Roman" w:eastAsia="Times New Roman" w:hAnsi="Times New Roman" w:cs="Times New Roman"/>
          <w:sz w:val="24"/>
          <w:szCs w:val="24"/>
        </w:rPr>
        <w:t>C and δ</w:t>
      </w:r>
      <w:r w:rsidRPr="00DA5DAC">
        <w:rPr>
          <w:rFonts w:ascii="Times New Roman" w:eastAsia="Times New Roman" w:hAnsi="Times New Roman" w:cs="Times New Roman"/>
          <w:sz w:val="24"/>
          <w:szCs w:val="24"/>
          <w:vertAlign w:val="superscript"/>
        </w:rPr>
        <w:t>15</w:t>
      </w:r>
      <w:r w:rsidRPr="00DA5DAC">
        <w:rPr>
          <w:rFonts w:ascii="Times New Roman" w:eastAsia="Times New Roman" w:hAnsi="Times New Roman" w:cs="Times New Roman"/>
          <w:sz w:val="24"/>
          <w:szCs w:val="24"/>
        </w:rPr>
        <w:t>N samples were assessed using a series of quality controls indicating good collagen preservation</w:t>
      </w:r>
      <w:r w:rsidR="00C2165F">
        <w:rPr>
          <w:rFonts w:ascii="Times New Roman" w:eastAsia="Times New Roman" w:hAnsi="Times New Roman" w:cs="Times New Roman"/>
          <w:sz w:val="24"/>
          <w:szCs w:val="24"/>
        </w:rPr>
        <w:t>;</w:t>
      </w:r>
      <w:r w:rsidRPr="00DA5DAC">
        <w:rPr>
          <w:rFonts w:ascii="Times New Roman" w:eastAsia="Times New Roman" w:hAnsi="Times New Roman" w:cs="Times New Roman"/>
          <w:sz w:val="24"/>
          <w:szCs w:val="24"/>
        </w:rPr>
        <w:t xml:space="preserve"> these controls were a C:N atomic ratio of 2.9–3.6, %C of </w:t>
      </w:r>
      <w:r w:rsidRPr="00C2165F">
        <w:rPr>
          <w:rFonts w:ascii="Times New Roman" w:eastAsia="Times New Roman" w:hAnsi="Times New Roman" w:cs="Times New Roman"/>
          <w:i/>
          <w:iCs/>
          <w:sz w:val="24"/>
          <w:szCs w:val="24"/>
        </w:rPr>
        <w:t>c.</w:t>
      </w:r>
      <w:r w:rsidR="00C2165F">
        <w:rPr>
          <w:rFonts w:ascii="Times New Roman" w:eastAsia="Times New Roman" w:hAnsi="Times New Roman" w:cs="Times New Roman"/>
          <w:sz w:val="24"/>
          <w:szCs w:val="24"/>
        </w:rPr>
        <w:t xml:space="preserve"> </w:t>
      </w:r>
      <w:r w:rsidRPr="00DA5DAC">
        <w:rPr>
          <w:rFonts w:ascii="Times New Roman" w:eastAsia="Times New Roman" w:hAnsi="Times New Roman" w:cs="Times New Roman"/>
          <w:sz w:val="24"/>
          <w:szCs w:val="24"/>
        </w:rPr>
        <w:t xml:space="preserve">15–48% and %N of </w:t>
      </w:r>
      <w:r w:rsidR="00C2165F" w:rsidRPr="00C2165F">
        <w:rPr>
          <w:rFonts w:ascii="Times New Roman" w:eastAsia="Times New Roman" w:hAnsi="Times New Roman" w:cs="Times New Roman"/>
          <w:i/>
          <w:iCs/>
          <w:sz w:val="24"/>
          <w:szCs w:val="24"/>
        </w:rPr>
        <w:t>c.</w:t>
      </w:r>
      <w:r w:rsidRPr="00DA5DAC">
        <w:rPr>
          <w:rFonts w:ascii="Times New Roman" w:eastAsia="Times New Roman" w:hAnsi="Times New Roman" w:cs="Times New Roman"/>
          <w:sz w:val="24"/>
          <w:szCs w:val="24"/>
        </w:rPr>
        <w:t xml:space="preserve"> 5 –17% </w:t>
      </w:r>
      <w:r w:rsidR="000E5EA3" w:rsidRPr="00DA5DAC">
        <w:rPr>
          <w:rFonts w:ascii="Times New Roman" w:eastAsia="Times New Roman" w:hAnsi="Times New Roman" w:cs="Times New Roman"/>
          <w:sz w:val="24"/>
          <w:szCs w:val="24"/>
        </w:rPr>
        <w:t xml:space="preserve">(DeNiro 1985; </w:t>
      </w:r>
      <w:r w:rsidR="00C2165F" w:rsidRPr="00DA5DAC">
        <w:rPr>
          <w:rFonts w:ascii="Times New Roman" w:eastAsia="Times New Roman" w:hAnsi="Times New Roman" w:cs="Times New Roman"/>
          <w:sz w:val="24"/>
          <w:szCs w:val="24"/>
        </w:rPr>
        <w:t>Ambrose 1990; van Klinken 1999</w:t>
      </w:r>
      <w:r w:rsidR="00C2165F">
        <w:rPr>
          <w:rFonts w:ascii="Times New Roman" w:eastAsia="Times New Roman" w:hAnsi="Times New Roman" w:cs="Times New Roman"/>
          <w:sz w:val="24"/>
          <w:szCs w:val="24"/>
        </w:rPr>
        <w:t xml:space="preserve">; </w:t>
      </w:r>
      <w:r w:rsidR="000E5EA3" w:rsidRPr="00DA5DAC">
        <w:rPr>
          <w:rFonts w:ascii="Times New Roman" w:eastAsia="Times New Roman" w:hAnsi="Times New Roman" w:cs="Times New Roman"/>
          <w:sz w:val="24"/>
          <w:szCs w:val="24"/>
        </w:rPr>
        <w:t xml:space="preserve">Sealy </w:t>
      </w:r>
      <w:r w:rsidR="000E5EA3" w:rsidRPr="002264B7">
        <w:rPr>
          <w:rFonts w:ascii="Times New Roman" w:eastAsia="Times New Roman" w:hAnsi="Times New Roman" w:cs="Times New Roman"/>
          <w:i/>
          <w:iCs/>
          <w:sz w:val="24"/>
          <w:szCs w:val="24"/>
        </w:rPr>
        <w:t>et al.</w:t>
      </w:r>
      <w:r w:rsidR="000E5EA3" w:rsidRPr="00DA5DAC">
        <w:rPr>
          <w:rFonts w:ascii="Times New Roman" w:eastAsia="Times New Roman" w:hAnsi="Times New Roman" w:cs="Times New Roman"/>
          <w:sz w:val="24"/>
          <w:szCs w:val="24"/>
        </w:rPr>
        <w:t xml:space="preserve"> 2014)</w:t>
      </w:r>
      <w:r w:rsidRPr="00DA5DAC">
        <w:rPr>
          <w:rFonts w:ascii="Times New Roman" w:eastAsia="Times New Roman" w:hAnsi="Times New Roman" w:cs="Times New Roman"/>
          <w:sz w:val="24"/>
          <w:szCs w:val="24"/>
        </w:rPr>
        <w:t>. Sample WB29 failed to produce results due to poor preservation. Samples WB05 and WB19 have a C:N &gt;3.6 and are therefore excluded from figures and further discussion.</w:t>
      </w:r>
    </w:p>
    <w:p w14:paraId="4F2D7B49" w14:textId="324FDFE3" w:rsidR="000E5EA3" w:rsidRPr="00DA5DAC" w:rsidRDefault="000E5EA3" w:rsidP="00DA5DAC">
      <w:pPr>
        <w:pStyle w:val="Heading2"/>
        <w:spacing w:before="0" w:after="0" w:line="240" w:lineRule="auto"/>
        <w:jc w:val="both"/>
        <w:rPr>
          <w:rFonts w:ascii="Times New Roman" w:eastAsia="Times New Roman" w:hAnsi="Times New Roman" w:cs="Times New Roman"/>
          <w:b/>
          <w:sz w:val="24"/>
          <w:szCs w:val="24"/>
        </w:rPr>
      </w:pPr>
    </w:p>
    <w:tbl>
      <w:tblPr>
        <w:tblStyle w:val="ac"/>
        <w:tblW w:w="1536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930"/>
        <w:gridCol w:w="945"/>
        <w:gridCol w:w="1080"/>
        <w:gridCol w:w="1110"/>
        <w:gridCol w:w="585"/>
        <w:gridCol w:w="615"/>
        <w:gridCol w:w="525"/>
        <w:gridCol w:w="570"/>
        <w:gridCol w:w="510"/>
        <w:gridCol w:w="615"/>
        <w:gridCol w:w="630"/>
        <w:gridCol w:w="600"/>
        <w:gridCol w:w="690"/>
        <w:gridCol w:w="660"/>
        <w:gridCol w:w="840"/>
        <w:gridCol w:w="810"/>
        <w:gridCol w:w="675"/>
        <w:gridCol w:w="690"/>
        <w:gridCol w:w="555"/>
        <w:gridCol w:w="930"/>
        <w:gridCol w:w="795"/>
      </w:tblGrid>
      <w:tr w:rsidR="000E5EA3" w:rsidRPr="00DA5DAC" w14:paraId="223D7DA8" w14:textId="77777777" w:rsidTr="004F05F0">
        <w:trPr>
          <w:trHeight w:val="330"/>
          <w:tblHeader/>
        </w:trPr>
        <w:tc>
          <w:tcPr>
            <w:tcW w:w="930" w:type="dxa"/>
            <w:tcBorders>
              <w:top w:val="single" w:sz="5" w:space="0" w:color="000000"/>
              <w:left w:val="single" w:sz="5" w:space="0" w:color="000000"/>
              <w:bottom w:val="single" w:sz="5" w:space="0" w:color="000000"/>
              <w:right w:val="single" w:sz="5" w:space="0" w:color="000000"/>
            </w:tcBorders>
            <w:shd w:val="clear" w:color="auto" w:fill="B7B7B7"/>
            <w:tcMar>
              <w:top w:w="0" w:type="dxa"/>
              <w:left w:w="0" w:type="dxa"/>
              <w:bottom w:w="0" w:type="dxa"/>
              <w:right w:w="0" w:type="dxa"/>
            </w:tcMar>
            <w:vAlign w:val="center"/>
          </w:tcPr>
          <w:p w14:paraId="1EDF7E9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Sample no</w:t>
            </w:r>
          </w:p>
        </w:tc>
        <w:tc>
          <w:tcPr>
            <w:tcW w:w="94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7F08D56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Bone sampled for δ</w:t>
            </w:r>
            <w:r w:rsidRPr="00517188">
              <w:rPr>
                <w:rFonts w:ascii="Times New Roman" w:eastAsia="Times New Roman" w:hAnsi="Times New Roman" w:cs="Times New Roman"/>
                <w:sz w:val="18"/>
                <w:szCs w:val="18"/>
                <w:vertAlign w:val="superscript"/>
              </w:rPr>
              <w:t>13</w:t>
            </w:r>
            <w:r w:rsidRPr="00DA5DAC">
              <w:rPr>
                <w:rFonts w:ascii="Times New Roman" w:eastAsia="Times New Roman" w:hAnsi="Times New Roman" w:cs="Times New Roman"/>
                <w:sz w:val="18"/>
                <w:szCs w:val="18"/>
              </w:rPr>
              <w:t>C δ</w:t>
            </w:r>
            <w:r w:rsidRPr="00517188">
              <w:rPr>
                <w:rFonts w:ascii="Times New Roman" w:eastAsia="Times New Roman" w:hAnsi="Times New Roman" w:cs="Times New Roman"/>
                <w:sz w:val="18"/>
                <w:szCs w:val="18"/>
                <w:vertAlign w:val="superscript"/>
              </w:rPr>
              <w:t>15</w:t>
            </w:r>
            <w:r w:rsidRPr="00DA5DAC">
              <w:rPr>
                <w:rFonts w:ascii="Times New Roman" w:eastAsia="Times New Roman" w:hAnsi="Times New Roman" w:cs="Times New Roman"/>
                <w:sz w:val="18"/>
                <w:szCs w:val="18"/>
              </w:rPr>
              <w:t>N</w:t>
            </w:r>
          </w:p>
        </w:tc>
        <w:tc>
          <w:tcPr>
            <w:tcW w:w="108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0F09DA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Sample Location</w:t>
            </w:r>
          </w:p>
        </w:tc>
        <w:tc>
          <w:tcPr>
            <w:tcW w:w="111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79DBD3A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Sample Description</w:t>
            </w:r>
          </w:p>
        </w:tc>
        <w:tc>
          <w:tcPr>
            <w:tcW w:w="58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0154517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δ</w:t>
            </w:r>
            <w:r w:rsidRPr="00517188">
              <w:rPr>
                <w:rFonts w:ascii="Times New Roman" w:eastAsia="Times New Roman" w:hAnsi="Times New Roman" w:cs="Times New Roman"/>
                <w:sz w:val="18"/>
                <w:szCs w:val="18"/>
                <w:vertAlign w:val="superscript"/>
              </w:rPr>
              <w:t>13</w:t>
            </w:r>
            <w:r w:rsidRPr="00DA5DAC">
              <w:rPr>
                <w:rFonts w:ascii="Times New Roman" w:eastAsia="Times New Roman" w:hAnsi="Times New Roman" w:cs="Times New Roman"/>
                <w:sz w:val="18"/>
                <w:szCs w:val="18"/>
              </w:rPr>
              <w:t>C (‰)</w:t>
            </w:r>
          </w:p>
        </w:tc>
        <w:tc>
          <w:tcPr>
            <w:tcW w:w="61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AC51B5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δ</w:t>
            </w:r>
            <w:r w:rsidRPr="00517188">
              <w:rPr>
                <w:rFonts w:ascii="Times New Roman" w:eastAsia="Times New Roman" w:hAnsi="Times New Roman" w:cs="Times New Roman"/>
                <w:sz w:val="18"/>
                <w:szCs w:val="18"/>
                <w:vertAlign w:val="superscript"/>
              </w:rPr>
              <w:t>15</w:t>
            </w:r>
            <w:r w:rsidRPr="00DA5DAC">
              <w:rPr>
                <w:rFonts w:ascii="Times New Roman" w:eastAsia="Times New Roman" w:hAnsi="Times New Roman" w:cs="Times New Roman"/>
                <w:sz w:val="18"/>
                <w:szCs w:val="18"/>
              </w:rPr>
              <w:t>N (‰)</w:t>
            </w:r>
          </w:p>
        </w:tc>
        <w:tc>
          <w:tcPr>
            <w:tcW w:w="52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6B7AB4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δ</w:t>
            </w:r>
            <w:r w:rsidRPr="00517188">
              <w:rPr>
                <w:rFonts w:ascii="Times New Roman" w:eastAsia="Times New Roman" w:hAnsi="Times New Roman" w:cs="Times New Roman"/>
                <w:sz w:val="18"/>
                <w:szCs w:val="18"/>
                <w:vertAlign w:val="superscript"/>
              </w:rPr>
              <w:t>34</w:t>
            </w:r>
            <w:r w:rsidRPr="00DA5DAC">
              <w:rPr>
                <w:rFonts w:ascii="Times New Roman" w:eastAsia="Times New Roman" w:hAnsi="Times New Roman" w:cs="Times New Roman"/>
                <w:sz w:val="18"/>
                <w:szCs w:val="18"/>
              </w:rPr>
              <w:t>S (‰)</w:t>
            </w:r>
          </w:p>
        </w:tc>
        <w:tc>
          <w:tcPr>
            <w:tcW w:w="57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F32CF1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C:N</w:t>
            </w:r>
          </w:p>
        </w:tc>
        <w:tc>
          <w:tcPr>
            <w:tcW w:w="51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7B3FBD6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C:S</w:t>
            </w:r>
          </w:p>
        </w:tc>
        <w:tc>
          <w:tcPr>
            <w:tcW w:w="61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5752B76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N:S</w:t>
            </w:r>
          </w:p>
        </w:tc>
        <w:tc>
          <w:tcPr>
            <w:tcW w:w="63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B53DB4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%C</w:t>
            </w:r>
          </w:p>
        </w:tc>
        <w:tc>
          <w:tcPr>
            <w:tcW w:w="60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7B1088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w:t>
            </w:r>
          </w:p>
        </w:tc>
        <w:tc>
          <w:tcPr>
            <w:tcW w:w="69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443FBF8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w:t>
            </w:r>
          </w:p>
        </w:tc>
        <w:tc>
          <w:tcPr>
            <w:tcW w:w="66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5CA3541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Reps (C/N)</w:t>
            </w:r>
          </w:p>
        </w:tc>
        <w:tc>
          <w:tcPr>
            <w:tcW w:w="84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00DCE89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Tooth sampled for δ</w:t>
            </w:r>
            <w:r w:rsidRPr="00517188">
              <w:rPr>
                <w:rFonts w:ascii="Times New Roman" w:eastAsia="Times New Roman" w:hAnsi="Times New Roman" w:cs="Times New Roman"/>
                <w:sz w:val="18"/>
                <w:szCs w:val="18"/>
                <w:vertAlign w:val="superscript"/>
              </w:rPr>
              <w:t>18</w:t>
            </w:r>
            <w:r w:rsidRPr="00DA5DAC">
              <w:rPr>
                <w:rFonts w:ascii="Times New Roman" w:eastAsia="Times New Roman" w:hAnsi="Times New Roman" w:cs="Times New Roman"/>
                <w:sz w:val="18"/>
                <w:szCs w:val="18"/>
              </w:rPr>
              <w:t>O, δ</w:t>
            </w:r>
            <w:r w:rsidRPr="00517188">
              <w:rPr>
                <w:rFonts w:ascii="Times New Roman" w:eastAsia="Times New Roman" w:hAnsi="Times New Roman" w:cs="Times New Roman"/>
                <w:sz w:val="18"/>
                <w:szCs w:val="18"/>
                <w:vertAlign w:val="superscript"/>
              </w:rPr>
              <w:t>13</w:t>
            </w:r>
            <w:r w:rsidRPr="00DA5DAC">
              <w:rPr>
                <w:rFonts w:ascii="Times New Roman" w:eastAsia="Times New Roman" w:hAnsi="Times New Roman" w:cs="Times New Roman"/>
                <w:sz w:val="18"/>
                <w:szCs w:val="18"/>
              </w:rPr>
              <w:t xml:space="preserve">C &amp; </w:t>
            </w:r>
            <w:r w:rsidRPr="00517188">
              <w:rPr>
                <w:rFonts w:ascii="Times New Roman" w:eastAsia="Times New Roman" w:hAnsi="Times New Roman" w:cs="Times New Roman"/>
                <w:sz w:val="18"/>
                <w:szCs w:val="18"/>
                <w:vertAlign w:val="superscript"/>
              </w:rPr>
              <w:t>87</w:t>
            </w:r>
            <w:r w:rsidRPr="00DA5DAC">
              <w:rPr>
                <w:rFonts w:ascii="Times New Roman" w:eastAsia="Times New Roman" w:hAnsi="Times New Roman" w:cs="Times New Roman"/>
                <w:sz w:val="18"/>
                <w:szCs w:val="18"/>
              </w:rPr>
              <w:t>Sr/</w:t>
            </w:r>
            <w:r w:rsidRPr="00517188">
              <w:rPr>
                <w:rFonts w:ascii="Times New Roman" w:eastAsia="Times New Roman" w:hAnsi="Times New Roman" w:cs="Times New Roman"/>
                <w:sz w:val="18"/>
                <w:szCs w:val="18"/>
                <w:vertAlign w:val="superscript"/>
              </w:rPr>
              <w:t>86</w:t>
            </w:r>
            <w:r w:rsidRPr="00DA5DAC">
              <w:rPr>
                <w:rFonts w:ascii="Times New Roman" w:eastAsia="Times New Roman" w:hAnsi="Times New Roman" w:cs="Times New Roman"/>
                <w:sz w:val="18"/>
                <w:szCs w:val="18"/>
              </w:rPr>
              <w:t>Sr</w:t>
            </w:r>
          </w:p>
        </w:tc>
        <w:tc>
          <w:tcPr>
            <w:tcW w:w="81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35D3CF9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δ</w:t>
            </w:r>
            <w:r w:rsidRPr="00517188">
              <w:rPr>
                <w:rFonts w:ascii="Times New Roman" w:eastAsia="Times New Roman" w:hAnsi="Times New Roman" w:cs="Times New Roman"/>
                <w:sz w:val="18"/>
                <w:szCs w:val="18"/>
                <w:vertAlign w:val="superscript"/>
              </w:rPr>
              <w:t>18</w:t>
            </w:r>
            <w:r w:rsidRPr="00DA5DAC">
              <w:rPr>
                <w:rFonts w:ascii="Times New Roman" w:eastAsia="Times New Roman" w:hAnsi="Times New Roman" w:cs="Times New Roman"/>
                <w:sz w:val="18"/>
                <w:szCs w:val="18"/>
              </w:rPr>
              <w:t>Op (SMOW)</w:t>
            </w:r>
          </w:p>
        </w:tc>
        <w:tc>
          <w:tcPr>
            <w:tcW w:w="67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19CF621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Daux (Corr)</w:t>
            </w:r>
          </w:p>
        </w:tc>
        <w:tc>
          <w:tcPr>
            <w:tcW w:w="69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43F3054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δ</w:t>
            </w:r>
            <w:r w:rsidRPr="00517188">
              <w:rPr>
                <w:rFonts w:ascii="Times New Roman" w:eastAsia="Times New Roman" w:hAnsi="Times New Roman" w:cs="Times New Roman"/>
                <w:sz w:val="18"/>
                <w:szCs w:val="18"/>
                <w:vertAlign w:val="superscript"/>
              </w:rPr>
              <w:t>13</w:t>
            </w:r>
            <w:r w:rsidRPr="00517188">
              <w:rPr>
                <w:rFonts w:ascii="Times New Roman" w:eastAsia="Times New Roman" w:hAnsi="Times New Roman" w:cs="Times New Roman"/>
                <w:sz w:val="18"/>
                <w:szCs w:val="18"/>
              </w:rPr>
              <w:t>C</w:t>
            </w:r>
            <w:r w:rsidRPr="00DA5DAC">
              <w:rPr>
                <w:rFonts w:ascii="Times New Roman" w:eastAsia="Times New Roman" w:hAnsi="Times New Roman" w:cs="Times New Roman"/>
                <w:sz w:val="18"/>
                <w:szCs w:val="18"/>
              </w:rPr>
              <w:t xml:space="preserve"> (carb)</w:t>
            </w:r>
          </w:p>
        </w:tc>
        <w:tc>
          <w:tcPr>
            <w:tcW w:w="55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5D1EC82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Reps (O/C)</w:t>
            </w:r>
          </w:p>
        </w:tc>
        <w:tc>
          <w:tcPr>
            <w:tcW w:w="930"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00F1DCC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517188">
              <w:rPr>
                <w:rFonts w:ascii="Times New Roman" w:eastAsia="Times New Roman" w:hAnsi="Times New Roman" w:cs="Times New Roman"/>
                <w:sz w:val="18"/>
                <w:szCs w:val="18"/>
                <w:vertAlign w:val="superscript"/>
              </w:rPr>
              <w:t>87</w:t>
            </w:r>
            <w:r w:rsidRPr="00DA5DAC">
              <w:rPr>
                <w:rFonts w:ascii="Times New Roman" w:eastAsia="Times New Roman" w:hAnsi="Times New Roman" w:cs="Times New Roman"/>
                <w:sz w:val="18"/>
                <w:szCs w:val="18"/>
              </w:rPr>
              <w:t>Sr/</w:t>
            </w:r>
            <w:r w:rsidRPr="00517188">
              <w:rPr>
                <w:rFonts w:ascii="Times New Roman" w:eastAsia="Times New Roman" w:hAnsi="Times New Roman" w:cs="Times New Roman"/>
                <w:sz w:val="18"/>
                <w:szCs w:val="18"/>
                <w:vertAlign w:val="superscript"/>
              </w:rPr>
              <w:t>86</w:t>
            </w:r>
            <w:r w:rsidRPr="00DA5DAC">
              <w:rPr>
                <w:rFonts w:ascii="Times New Roman" w:eastAsia="Times New Roman" w:hAnsi="Times New Roman" w:cs="Times New Roman"/>
                <w:sz w:val="18"/>
                <w:szCs w:val="18"/>
              </w:rPr>
              <w:t>Sr</w:t>
            </w:r>
          </w:p>
        </w:tc>
        <w:tc>
          <w:tcPr>
            <w:tcW w:w="795" w:type="dxa"/>
            <w:tcBorders>
              <w:top w:val="single" w:sz="5" w:space="0" w:color="000000"/>
              <w:left w:val="single" w:sz="5" w:space="0" w:color="CCCCCC"/>
              <w:bottom w:val="single" w:sz="5" w:space="0" w:color="000000"/>
              <w:right w:val="single" w:sz="5" w:space="0" w:color="000000"/>
            </w:tcBorders>
            <w:shd w:val="clear" w:color="auto" w:fill="B7B7B7"/>
            <w:tcMar>
              <w:top w:w="0" w:type="dxa"/>
              <w:left w:w="0" w:type="dxa"/>
              <w:bottom w:w="0" w:type="dxa"/>
              <w:right w:w="0" w:type="dxa"/>
            </w:tcMar>
            <w:vAlign w:val="center"/>
          </w:tcPr>
          <w:p w14:paraId="59AECEB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Sr 2SE</w:t>
            </w:r>
          </w:p>
        </w:tc>
      </w:tr>
      <w:tr w:rsidR="000E5EA3" w:rsidRPr="00DA5DAC" w14:paraId="37183B36"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C0A4A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WB01</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E96F7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6519D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89E2EFE" w14:textId="5F96D176" w:rsidR="000E5EA3" w:rsidRPr="00DA5DAC" w:rsidRDefault="0000000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sidR="004F05F0" w:rsidRPr="004F05F0">
              <w:rPr>
                <w:rFonts w:ascii="Times New Roman" w:eastAsia="Times New Roman" w:hAnsi="Times New Roman" w:cs="Times New Roman"/>
                <w:i/>
                <w:iCs/>
                <w:sz w:val="18"/>
                <w:szCs w:val="18"/>
              </w:rPr>
              <w:t>.</w:t>
            </w:r>
            <w:r w:rsidRPr="00DA5DAC">
              <w:rPr>
                <w:rFonts w:ascii="Times New Roman" w:eastAsia="Times New Roman" w:hAnsi="Times New Roman" w:cs="Times New Roman"/>
                <w:sz w:val="18"/>
                <w:szCs w:val="18"/>
              </w:rPr>
              <w:t xml:space="preserve"> 1cm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7D9BD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-21.0</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D0719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11.8</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A218E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A1289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99FBD5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02F963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A1724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40.2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A9C22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13.6</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8AC43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9533B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EEAC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257F37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23B0C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40F9D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BD6E2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C374E6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0C7411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476B4D4F"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7A4612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WB02</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2F190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Left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DF62C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DC57B5" w14:textId="4B4C3277"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sidRPr="00DA5DAC">
              <w:rPr>
                <w:rFonts w:ascii="Times New Roman" w:eastAsia="Times New Roman" w:hAnsi="Times New Roman" w:cs="Times New Roman"/>
                <w:sz w:val="18"/>
                <w:szCs w:val="18"/>
              </w:rPr>
              <w:t xml:space="preserve"> 1cm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1DB38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7D9E6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11.7</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32DD7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67D8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DF7183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6984F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A20044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41.8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94FEE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14.2</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78E4F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F5B15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A2863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02E93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BA57C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5C60A9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9911D8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F2648E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C80B6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01D72A10"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A819B1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WB03</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271DC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ADB76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Left parietal</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61C408" w14:textId="3E81F1C1"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AA4A0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-21.0</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E7210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4EAB04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79907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A8556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E0924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A597DE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41.1</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6409A6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14.1</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77143A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3E3C4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9A85D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00D8F7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4522C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5399F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4552C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85447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9FFDC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00ABB0DA"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67563D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WB04</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83A8D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Mandible</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F01A8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Mandibular angle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360375" w14:textId="0AEFB1E4"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 + M1</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2F809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-23.1</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65CA1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06EA6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5C9D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23AC2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90DF5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D5C24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34.0</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8B39A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11.3</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52F419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0F3FEB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80A46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LM1 (unsided)</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2FD41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19.2</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2E94E6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7289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-15.2</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3FFE52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B06DC9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0.71035</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48608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0.00001</w:t>
            </w:r>
          </w:p>
        </w:tc>
      </w:tr>
      <w:tr w:rsidR="000E5EA3" w:rsidRPr="00DA5DAC" w14:paraId="659ACC0A"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55AC494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WB05</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83F77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Left ulna</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B9914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066293" w14:textId="46DC9526"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 x 1cm</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C0073D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-21.1</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86837F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11.7</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39236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80F0FB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5.4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4DB94C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E7B5A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31220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41.1</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F28C1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8.9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0F5B87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B13EE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3C645A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86B367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1462E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D23B15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57BDB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A14C34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995744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44B8831A"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E928C5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WB06</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1E2D2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tibia</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BB8469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797CAE" w14:textId="376E0888"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1 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B0E6E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9798B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11.2</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5C9978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C76F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B1B25E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B893C9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E5955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23.2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9EFE7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7.8</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294656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2041D2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DE519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5ED803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5DE2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B50B0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374AEE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66F04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1D4A4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336022B7"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58A648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WB07</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3F279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Mandible</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DFC86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Mandibular angle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218798D" w14:textId="06DDF8D8"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x 1cm</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FBF76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04F1AD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C462B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0C1FC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2C2DE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EA90A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BC08F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42.1</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B0014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13.9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2D168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7C6BCF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4C543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LM2 (unsided)</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472E2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18.4</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2C1565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-5.3</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1B3EB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-14.1</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641233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F1EB4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0.70978</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DAB5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0.00001</w:t>
            </w:r>
          </w:p>
        </w:tc>
      </w:tr>
      <w:tr w:rsidR="000E5EA3" w:rsidRPr="00DA5DAC" w14:paraId="1D25A6A2"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0A20977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WB08</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600AB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88282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Parietal</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C797546" w14:textId="2B7B3756"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94EA1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-21.1</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DE5C2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11.7</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519DE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023571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D12C0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93E3F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9E1EA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42.5</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A0AB9E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14.1</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88B50A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A0F0D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43463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FE8651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7C2D4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E0EC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CBCB7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48946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27211E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61905729"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487654E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WB09</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A47A7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femur</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6FAD87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04EE761" w14:textId="5F1BD29B"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 xml:space="preserve">c. </w:t>
            </w:r>
            <w:r w:rsidRPr="00DA5DAC">
              <w:rPr>
                <w:rFonts w:ascii="Times New Roman" w:eastAsia="Times New Roman" w:hAnsi="Times New Roman" w:cs="Times New Roman"/>
                <w:sz w:val="18"/>
                <w:szCs w:val="18"/>
              </w:rPr>
              <w:t>1 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0F5D2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-20.7</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74ECF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11.6</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6B2C29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2E05AB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06323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C075B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E70C73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35.4</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98869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702C5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62DFF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382F4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7A710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4E5F1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A3283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4A694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B56B1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DAF25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682C684F"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96CB2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WB10</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04486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femur</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5B239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710EDA" w14:textId="1D290837"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1 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53A77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-20.7</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4CA47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4E95C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CD54C7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E2274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80A7AC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1615C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40.3</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B4DCD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CCDF8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A7F6F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BB238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4F915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86BA0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9A693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C34D4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79798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3757B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09347EED"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0AAA895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WB11</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B62FAD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F3DBAB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3193B6" w14:textId="5094286C"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1 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FCB00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-20.7</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F96FE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11.5</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245F04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1F3F4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CAD00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9B492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512D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33.2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94703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6BE10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9A53FD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8EAA3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325DA8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3D23E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96BA2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70E36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CCFDF5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B739E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0122E954"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DF60C2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WB12</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33E48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7DD4F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Frontal squama</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1601F03" w14:textId="46539B30"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9285A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-21.2</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1EA0D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11.5</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90D99C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D1EF5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D7BA5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147E5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4078B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43.2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D63265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C3DEF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4D2BA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91816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01E72C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255F9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3D1A31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69784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38F37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E21A9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7319BBEA"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35DE02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WB13</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6D318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12DD7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parietal</w:t>
            </w:r>
          </w:p>
          <w:p w14:paraId="11C68A9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 xml:space="preserve">squama </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BE8943" w14:textId="3D889185"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0A485B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-21.2</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AB788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3CB1B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7A499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46601B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85CBDD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EBE4A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37.9</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B0BF8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B163F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755734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33E4C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5DD51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69CFFE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126F6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49840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55A31A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02F569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22C78D36"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D4AF0C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WB14</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03C40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833FA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Frontal squama</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2E4CC7" w14:textId="212185A8"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74436F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FDCFA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13909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9F75D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7839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30BAC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27A3A1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42.8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13370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14.8</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32197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F08175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73488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5B2558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588313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D54A5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5920EB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4BB99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1C467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70E8A010"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5C81058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WB15</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BD7B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radius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4857A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E5703EC" w14:textId="3E0E56C7"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3E4A6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-20.5</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B8365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089B6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3F113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835CE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906E3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E16C2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39.2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FF002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13.3</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4B5351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C2FFF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E342C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85E37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9756E1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90DDC0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3BEA05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319A1A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95BC6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41A2A4A3"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751843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WB16</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D4A1C4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Mandible</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2CAC8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Mandibular sub-alveolar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E2DEB5" w14:textId="62B54AAA"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D86735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02885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11.8</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349DD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397F1B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7218EB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6CDF0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4B482C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42.2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0AF75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13.9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BEE08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B774E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D0D8D8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LRPM2</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FC31D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18.1</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0FDF5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-5.9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F8D4B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-14.6</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0559D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55402B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0.71019</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F810A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0.00002</w:t>
            </w:r>
          </w:p>
        </w:tc>
      </w:tr>
      <w:tr w:rsidR="000E5EA3" w:rsidRPr="00DA5DAC" w14:paraId="779195D0"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1792EB3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WB17</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575DD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B7394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Frontal squama</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1C1EC0" w14:textId="3DCB8571"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5D45EB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41E6A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E3A3E2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B70365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E07F7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86E15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E8033D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38.3</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75128B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934F5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56ACA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2AF8A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922B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972D1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A980B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BB5FD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57BA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95F2D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3B5A3779"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72D54D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WB18</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11D3EF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femur</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A0612D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0D1B38" w14:textId="37D19FF4"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DA02C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-21.0</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9A907B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49A1B0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70C893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6F874A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4A0A9C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29EE39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44.2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8E8BC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94017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082AD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6024F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76EDA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088C67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A31803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80FB8E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3585B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573A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57E187F0"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0F0EEC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WB19</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A8F33C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2C1703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Parietal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FBE167" w14:textId="592F0BC7"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702EF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-21.3</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698CBB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12.8</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ECD0D9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B8F445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3.8</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3D28A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F4C615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03FDB1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35.2</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C4E4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8F8E0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64856E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03B4DE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UM2 (unsided)</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E29BE7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18.7</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7D943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6AB841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-14.6</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F6D06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A5D0D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0.70965</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4A992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0.00001</w:t>
            </w:r>
          </w:p>
        </w:tc>
      </w:tr>
      <w:tr w:rsidR="000E5EA3" w:rsidRPr="00DA5DAC" w14:paraId="5907BD65"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0228F32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lastRenderedPageBreak/>
              <w:t>WB20</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806024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991499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Parietal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5C0E551" w14:textId="64059AC0"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2A4ED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-21.2</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20201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11.7</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7D02B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BDD8B2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3.6</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D2F65C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614A2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565B9F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36.3</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A9C1AD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BD6E7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B446B7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ADC1EC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UM2 (unsided)</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94C07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18.7</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A91DE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-4.9</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EC097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-15.3</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350EE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8A600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0.70941</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B91F24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0.00002</w:t>
            </w:r>
          </w:p>
        </w:tc>
      </w:tr>
      <w:tr w:rsidR="000E5EA3" w:rsidRPr="00DA5DAC" w14:paraId="7E9C8158"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18F9A96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WB21</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CE59D5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FD26EF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Occipital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F801CD" w14:textId="5BD068C7"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69E9E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-21.4</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13FAB0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291BA8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BAED99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3.6</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DDD4C7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CA70C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A565BF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36.8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E11DC9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48042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D4966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59AAA7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UM2 (unsided)</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98B324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18.2</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15E3A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-5.7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CC62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-14.6</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D97BE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7289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0.71026</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7FFE26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0.00001</w:t>
            </w:r>
          </w:p>
        </w:tc>
      </w:tr>
      <w:tr w:rsidR="000E5EA3" w:rsidRPr="00DA5DAC" w14:paraId="373E5DD6"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551B129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WB22</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AA4196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Left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70086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FFD5F2" w14:textId="1127EF2B"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9BFA66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5F1F6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11.4</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4435F9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B638A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A77B7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384B3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A94AC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38.4</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A7769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A7C2ED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91E586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C32674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AFB116"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293A4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ACE8B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67ABA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3158AD"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32395F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1FEF8F2C"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6EA29A8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WB23</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0E36C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Right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5964E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3812405" w14:textId="0806306D"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C4FCAC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24056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11.3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EFD53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D4BEC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A6EF7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3DA40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C9E3A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39.7</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12E577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13.2</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DEC1C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BDD78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B02FC4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C9561F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9DC650C"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1D642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985AD4"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E13A00"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7AFAAE"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5517DBBE"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44545A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WB24</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30ED6F2"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Mandible</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B58ED4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Mandibular angle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D93EE99" w14:textId="1D6E3D5D" w:rsidR="000E5EA3" w:rsidRPr="00DA5DAC" w:rsidRDefault="004F05F0" w:rsidP="00DA5DAC">
            <w:pPr>
              <w:spacing w:line="240" w:lineRule="auto"/>
              <w:jc w:val="center"/>
              <w:rPr>
                <w:rFonts w:ascii="Times New Roman" w:eastAsia="Times New Roman" w:hAnsi="Times New Roman" w:cs="Times New Roman"/>
                <w:sz w:val="18"/>
                <w:szCs w:val="18"/>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F353EB1"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-20.9</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B307B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12.0</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73B8AE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24C020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8F69F0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3FE39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60B78C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30.7</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125C22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10.3</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096849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68C188"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2</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D57F35"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37DF763"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88505A"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27F8029"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0647B37"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D7AA0B"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A3699F" w14:textId="77777777" w:rsidR="000E5EA3" w:rsidRPr="00DA5DAC" w:rsidRDefault="00000000" w:rsidP="00DA5DAC">
            <w:pPr>
              <w:spacing w:line="240" w:lineRule="auto"/>
              <w:jc w:val="center"/>
              <w:rPr>
                <w:rFonts w:ascii="Times New Roman" w:eastAsia="Times New Roman" w:hAnsi="Times New Roman" w:cs="Times New Roman"/>
                <w:sz w:val="18"/>
                <w:szCs w:val="18"/>
              </w:rPr>
            </w:pPr>
            <w:r w:rsidRPr="00DA5DAC">
              <w:rPr>
                <w:rFonts w:ascii="Times New Roman" w:eastAsia="Times New Roman" w:hAnsi="Times New Roman" w:cs="Times New Roman"/>
                <w:sz w:val="18"/>
                <w:szCs w:val="18"/>
              </w:rPr>
              <w:t>N/A</w:t>
            </w:r>
          </w:p>
        </w:tc>
      </w:tr>
      <w:tr w:rsidR="000E5EA3" w:rsidRPr="00DA5DAC" w14:paraId="2D14E920"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0F55DFD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WB25</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79107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B78E15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Occipital squama</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69D771" w14:textId="4A6CE923" w:rsidR="000E5EA3" w:rsidRPr="00DA5DAC" w:rsidRDefault="004F05F0" w:rsidP="00DA5DAC">
            <w:pPr>
              <w:spacing w:line="240" w:lineRule="auto"/>
              <w:jc w:val="center"/>
              <w:rPr>
                <w:rFonts w:ascii="Times New Roman" w:eastAsia="Times New Roman" w:hAnsi="Times New Roman" w:cs="Times New Roman"/>
                <w:sz w:val="16"/>
                <w:szCs w:val="16"/>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7AE83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-21.1</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2C2C0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11.4</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A0CC8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D3FA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49E3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89F87A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B24127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42.3</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E568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14.6</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EF66F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34DB87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7AAA9E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945331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EC53B2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F7B9D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4C04F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67C02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E43E0D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r>
      <w:tr w:rsidR="000E5EA3" w:rsidRPr="00DA5DAC" w14:paraId="38B8FF83"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16404EB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WB26</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C1961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Unsided humerus</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BF731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Midshaft</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FAE837C" w14:textId="6F62B197" w:rsidR="000E5EA3" w:rsidRPr="00DA5DAC" w:rsidRDefault="004F05F0" w:rsidP="00DA5DAC">
            <w:pPr>
              <w:spacing w:line="240" w:lineRule="auto"/>
              <w:jc w:val="center"/>
              <w:rPr>
                <w:rFonts w:ascii="Times New Roman" w:eastAsia="Times New Roman" w:hAnsi="Times New Roman" w:cs="Times New Roman"/>
                <w:sz w:val="16"/>
                <w:szCs w:val="16"/>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F6EEE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372ED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00CC6A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2E82C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5C2BB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06ED8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7D37C6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42.0</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5881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962EAB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2D4058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E45CE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5CD4D2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16C53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497965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6700BA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37CFE4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3300F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r>
      <w:tr w:rsidR="000E5EA3" w:rsidRPr="00DA5DAC" w14:paraId="5AC1088A"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2C2F212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WB27</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16AEF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C438B4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Temporal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6440B0D" w14:textId="72B83FA4" w:rsidR="000E5EA3" w:rsidRPr="00DA5DAC" w:rsidRDefault="004F05F0" w:rsidP="00DA5DAC">
            <w:pPr>
              <w:spacing w:line="240" w:lineRule="auto"/>
              <w:jc w:val="center"/>
              <w:rPr>
                <w:rFonts w:ascii="Times New Roman" w:eastAsia="Times New Roman" w:hAnsi="Times New Roman" w:cs="Times New Roman"/>
                <w:sz w:val="16"/>
                <w:szCs w:val="16"/>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B68B1C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-21.2</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A79517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11.4</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B37668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765EF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A8085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54418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C61B42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37.9</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B49F2A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12.5</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EEF7F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FC768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5BBE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AE13E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73ECC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392CB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74270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6099E7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1034A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r>
      <w:tr w:rsidR="000E5EA3" w:rsidRPr="00DA5DAC" w14:paraId="45DC86CF"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A718B8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WB28</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103458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58F842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Parietal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CD3E15" w14:textId="2489715F" w:rsidR="000E5EA3" w:rsidRPr="00DA5DAC" w:rsidRDefault="004F05F0" w:rsidP="00DA5DAC">
            <w:pPr>
              <w:spacing w:line="240" w:lineRule="auto"/>
              <w:jc w:val="center"/>
              <w:rPr>
                <w:rFonts w:ascii="Times New Roman" w:eastAsia="Times New Roman" w:hAnsi="Times New Roman" w:cs="Times New Roman"/>
                <w:sz w:val="16"/>
                <w:szCs w:val="16"/>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5D37FC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-21.8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D9A81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10.1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212806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D4C7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F79D9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66C84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1E652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11.0</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41C1BD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32.6</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65765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07A33B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B1E9ED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0C164A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63ED8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3F3107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CC53D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FBA37E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600557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r>
      <w:tr w:rsidR="000E5EA3" w:rsidRPr="00DA5DAC" w14:paraId="022F07B3"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82C8A5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WB29</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C40EF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7EC7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 xml:space="preserve">Parietal bone </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DBE857E" w14:textId="33356379" w:rsidR="000E5EA3" w:rsidRPr="00DA5DAC" w:rsidRDefault="004F05F0" w:rsidP="00DA5DAC">
            <w:pPr>
              <w:spacing w:line="240" w:lineRule="auto"/>
              <w:jc w:val="center"/>
              <w:rPr>
                <w:rFonts w:ascii="Times New Roman" w:eastAsia="Times New Roman" w:hAnsi="Times New Roman" w:cs="Times New Roman"/>
                <w:sz w:val="16"/>
                <w:szCs w:val="16"/>
              </w:rPr>
            </w:pPr>
            <w:r w:rsidRPr="004F05F0">
              <w:rPr>
                <w:rFonts w:ascii="Times New Roman" w:eastAsia="Times New Roman" w:hAnsi="Times New Roman" w:cs="Times New Roman"/>
                <w:i/>
                <w:iCs/>
                <w:sz w:val="18"/>
                <w:szCs w:val="18"/>
              </w:rPr>
              <w:t>c.</w:t>
            </w:r>
            <w:r>
              <w:rPr>
                <w:rFonts w:ascii="Times New Roman" w:eastAsia="Times New Roman" w:hAnsi="Times New Roman" w:cs="Times New Roman"/>
                <w:i/>
                <w:iCs/>
                <w:sz w:val="18"/>
                <w:szCs w:val="18"/>
              </w:rPr>
              <w:t xml:space="preserve"> </w:t>
            </w:r>
            <w:r w:rsidRPr="00DA5DAC">
              <w:rPr>
                <w:rFonts w:ascii="Times New Roman" w:eastAsia="Times New Roman" w:hAnsi="Times New Roman" w:cs="Times New Roman"/>
                <w:sz w:val="18"/>
                <w:szCs w:val="18"/>
              </w:rPr>
              <w:t>2cm square</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114309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Failed</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E9876B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Failed</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A0EC8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2FEDE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Failed</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DC5E73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4338D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9E7609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Failed</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C72A48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Failed</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51EB70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660FF5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302DB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D572E3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9487D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2BFBC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65DAE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w:t>
            </w: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8AB36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10F26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r>
      <w:tr w:rsidR="000E5EA3" w:rsidRPr="00DA5DAC" w14:paraId="33CA6EE9" w14:textId="77777777">
        <w:trPr>
          <w:trHeight w:val="896"/>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614701B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GENLAB 1</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C18DA5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07C666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Left petrous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F71B64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86A2CA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-20.7</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C40470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11.6</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F2C0F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13.0</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3E2D97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3.6</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0BD9A7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523</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DBF18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145</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CE365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36.8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6068C9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12.0</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44BEAB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0.19</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7896B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39FC2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B8C88E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96C694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10539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064810F"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AB7D9D1"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2BF7B3"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r>
      <w:tr w:rsidR="000E5EA3" w:rsidRPr="00DA5DAC" w14:paraId="796A21AB"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80DB52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GENLAB 2</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0EBE1E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46261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Right petrous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22F618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EBC209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-20.5</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23C6BA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2FAA1B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13.3</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419A36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3.5</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9D437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498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31D87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143</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54920F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36.8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182B39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12.3</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309E7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0.20</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3C29A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17AD2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5A5E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9D6EB1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504DCE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69BF2DE"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7C12423"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94255D"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r>
      <w:tr w:rsidR="000E5EA3" w:rsidRPr="00DA5DAC" w14:paraId="496B5717"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779AA8D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GENLAB 3</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34CF6F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ABED2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Left petrous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0B5AF3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0F846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-20.4</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F566E4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12.3</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D283D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12.3</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18E9A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C9ADE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476</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221E4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140</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5F0B16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34.0</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DD2C94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11.7</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A80BB9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0.19</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7A8F03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71514F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D272D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A8D836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1F67DE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47DF74"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544042"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331D2A9"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r>
      <w:tr w:rsidR="000E5EA3" w:rsidRPr="00DA5DAC" w14:paraId="2D6930F3"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5F8E1F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GENLAB 4</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80103E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9FF08C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6"/>
                <w:szCs w:val="16"/>
              </w:rPr>
              <w:t>Right petrous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00E16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4D348B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-20.7</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8986AD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11.5</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47B15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14.6</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B6A49E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7A1850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548</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A78FECF"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159</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ED43DE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42.8</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F58177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14.5</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188374B"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0.21</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1BE320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9130A5"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04137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86AA64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7E7AA00D"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15B08E3"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C70B12C"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49D47A"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r>
      <w:tr w:rsidR="000E5EA3" w:rsidRPr="00DA5DAC" w14:paraId="5CCE2751" w14:textId="77777777">
        <w:trPr>
          <w:trHeight w:val="330"/>
        </w:trPr>
        <w:tc>
          <w:tcPr>
            <w:tcW w:w="930" w:type="dxa"/>
            <w:tcBorders>
              <w:top w:val="single" w:sz="5" w:space="0" w:color="CCCCCC"/>
              <w:left w:val="single" w:sz="5" w:space="0" w:color="000000"/>
              <w:bottom w:val="single" w:sz="5" w:space="0" w:color="000000"/>
              <w:right w:val="single" w:sz="5" w:space="0" w:color="000000"/>
            </w:tcBorders>
            <w:tcMar>
              <w:top w:w="0" w:type="dxa"/>
              <w:left w:w="0" w:type="dxa"/>
              <w:bottom w:w="0" w:type="dxa"/>
              <w:right w:w="0" w:type="dxa"/>
            </w:tcMar>
            <w:vAlign w:val="center"/>
          </w:tcPr>
          <w:p w14:paraId="3787B1F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GENLAB 6</w:t>
            </w:r>
          </w:p>
        </w:tc>
        <w:tc>
          <w:tcPr>
            <w:tcW w:w="94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BC2585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Skull</w:t>
            </w:r>
          </w:p>
        </w:tc>
        <w:tc>
          <w:tcPr>
            <w:tcW w:w="108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9C31F9A"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Right petrous bone</w:t>
            </w:r>
          </w:p>
        </w:tc>
        <w:tc>
          <w:tcPr>
            <w:tcW w:w="11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DA01A4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8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21E077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-20.1</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512287E"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12.1</w:t>
            </w:r>
          </w:p>
        </w:tc>
        <w:tc>
          <w:tcPr>
            <w:tcW w:w="52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4A83AB2"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12.5</w:t>
            </w:r>
          </w:p>
        </w:tc>
        <w:tc>
          <w:tcPr>
            <w:tcW w:w="57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4E09F1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w:t>
            </w:r>
          </w:p>
        </w:tc>
        <w:tc>
          <w:tcPr>
            <w:tcW w:w="5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8445327"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465</w:t>
            </w:r>
          </w:p>
        </w:tc>
        <w:tc>
          <w:tcPr>
            <w:tcW w:w="61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36ED8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135</w:t>
            </w:r>
          </w:p>
        </w:tc>
        <w:tc>
          <w:tcPr>
            <w:tcW w:w="6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438FF6"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34.9</w:t>
            </w:r>
          </w:p>
        </w:tc>
        <w:tc>
          <w:tcPr>
            <w:tcW w:w="60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48F6BF7C"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11.8</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3D1CE033"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0.20</w:t>
            </w:r>
          </w:p>
        </w:tc>
        <w:tc>
          <w:tcPr>
            <w:tcW w:w="66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17D1CA70"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4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64FF038"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81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23BF83C4"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7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52EAD81"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69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6AC2E349" w14:textId="77777777" w:rsidR="000E5EA3" w:rsidRPr="00DA5DAC" w:rsidRDefault="00000000" w:rsidP="00DA5DAC">
            <w:pPr>
              <w:spacing w:line="240" w:lineRule="auto"/>
              <w:jc w:val="center"/>
              <w:rPr>
                <w:rFonts w:ascii="Times New Roman" w:eastAsia="Times New Roman" w:hAnsi="Times New Roman" w:cs="Times New Roman"/>
                <w:sz w:val="16"/>
                <w:szCs w:val="16"/>
              </w:rPr>
            </w:pPr>
            <w:r w:rsidRPr="00DA5DAC">
              <w:rPr>
                <w:rFonts w:ascii="Times New Roman" w:eastAsia="Times New Roman" w:hAnsi="Times New Roman" w:cs="Times New Roman"/>
                <w:sz w:val="18"/>
                <w:szCs w:val="18"/>
              </w:rPr>
              <w:t>N/A</w:t>
            </w:r>
          </w:p>
        </w:tc>
        <w:tc>
          <w:tcPr>
            <w:tcW w:w="55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19654EA"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930"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0F447658"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c>
          <w:tcPr>
            <w:tcW w:w="795" w:type="dxa"/>
            <w:tcBorders>
              <w:top w:val="single" w:sz="5" w:space="0" w:color="CCCCCC"/>
              <w:left w:val="single" w:sz="5" w:space="0" w:color="CCCCCC"/>
              <w:bottom w:val="single" w:sz="5" w:space="0" w:color="000000"/>
              <w:right w:val="single" w:sz="5" w:space="0" w:color="000000"/>
            </w:tcBorders>
            <w:tcMar>
              <w:top w:w="0" w:type="dxa"/>
              <w:left w:w="0" w:type="dxa"/>
              <w:bottom w:w="0" w:type="dxa"/>
              <w:right w:w="0" w:type="dxa"/>
            </w:tcMar>
            <w:vAlign w:val="center"/>
          </w:tcPr>
          <w:p w14:paraId="507CBF92" w14:textId="77777777" w:rsidR="000E5EA3" w:rsidRPr="00DA5DAC" w:rsidRDefault="000E5EA3" w:rsidP="00DA5DAC">
            <w:pPr>
              <w:spacing w:line="240" w:lineRule="auto"/>
              <w:jc w:val="center"/>
              <w:rPr>
                <w:rFonts w:ascii="Times New Roman" w:eastAsia="Times New Roman" w:hAnsi="Times New Roman" w:cs="Times New Roman"/>
                <w:sz w:val="16"/>
                <w:szCs w:val="16"/>
              </w:rPr>
            </w:pPr>
          </w:p>
        </w:tc>
      </w:tr>
    </w:tbl>
    <w:p w14:paraId="09182026" w14:textId="77777777" w:rsidR="004F05F0" w:rsidRDefault="004F05F0" w:rsidP="00DA5DAC">
      <w:pPr>
        <w:pStyle w:val="Heading2"/>
        <w:spacing w:before="0" w:after="0" w:line="240" w:lineRule="auto"/>
        <w:jc w:val="both"/>
        <w:rPr>
          <w:rFonts w:ascii="Times New Roman" w:eastAsia="Times New Roman" w:hAnsi="Times New Roman" w:cs="Times New Roman"/>
          <w:bCs/>
          <w:sz w:val="24"/>
          <w:szCs w:val="24"/>
        </w:rPr>
      </w:pPr>
      <w:bookmarkStart w:id="55" w:name="_heading=h.v969i3waiob3" w:colFirst="0" w:colLast="0"/>
      <w:bookmarkEnd w:id="55"/>
    </w:p>
    <w:p w14:paraId="56403DC2" w14:textId="39EE3811" w:rsidR="000E5EA3" w:rsidRPr="00DA5DAC" w:rsidRDefault="00000000" w:rsidP="00DA5DAC">
      <w:pPr>
        <w:pStyle w:val="Heading2"/>
        <w:spacing w:before="0" w:after="0" w:line="240" w:lineRule="auto"/>
        <w:jc w:val="both"/>
        <w:rPr>
          <w:rFonts w:ascii="Times New Roman" w:eastAsia="Times New Roman" w:hAnsi="Times New Roman" w:cs="Times New Roman"/>
          <w:sz w:val="24"/>
          <w:szCs w:val="24"/>
        </w:rPr>
        <w:sectPr w:rsidR="000E5EA3" w:rsidRPr="00DA5DAC">
          <w:pgSz w:w="16834" w:h="11909" w:orient="landscape"/>
          <w:pgMar w:top="1440" w:right="1440" w:bottom="1440" w:left="1440" w:header="720" w:footer="720" w:gutter="0"/>
          <w:cols w:space="720"/>
        </w:sectPr>
      </w:pPr>
      <w:r w:rsidRPr="004F05F0">
        <w:rPr>
          <w:rFonts w:ascii="Times New Roman" w:eastAsia="Times New Roman" w:hAnsi="Times New Roman" w:cs="Times New Roman"/>
          <w:bCs/>
          <w:sz w:val="24"/>
          <w:szCs w:val="24"/>
        </w:rPr>
        <w:t>Table S5</w:t>
      </w:r>
      <w:r w:rsidR="004F05F0" w:rsidRPr="004F05F0">
        <w:rPr>
          <w:rFonts w:ascii="Times New Roman" w:eastAsia="Times New Roman" w:hAnsi="Times New Roman" w:cs="Times New Roman"/>
          <w:bCs/>
          <w:sz w:val="24"/>
          <w:szCs w:val="24"/>
        </w:rPr>
        <w:t>.</w:t>
      </w:r>
      <w:r w:rsidR="004F05F0">
        <w:rPr>
          <w:rFonts w:ascii="Times New Roman" w:eastAsia="Times New Roman" w:hAnsi="Times New Roman" w:cs="Times New Roman"/>
          <w:sz w:val="24"/>
          <w:szCs w:val="24"/>
        </w:rPr>
        <w:t>1.</w:t>
      </w:r>
      <w:r w:rsidRPr="00DA5DAC">
        <w:rPr>
          <w:rFonts w:ascii="Times New Roman" w:eastAsia="Times New Roman" w:hAnsi="Times New Roman" w:cs="Times New Roman"/>
          <w:sz w:val="24"/>
          <w:szCs w:val="24"/>
        </w:rPr>
        <w:t xml:space="preserve"> Full isotope results for all samples. LRPM2: Lower right </w:t>
      </w:r>
      <w:r w:rsidRPr="00D36C14">
        <w:rPr>
          <w:rFonts w:ascii="Times New Roman" w:eastAsia="Times New Roman" w:hAnsi="Times New Roman" w:cs="Times New Roman"/>
          <w:sz w:val="24"/>
          <w:szCs w:val="24"/>
        </w:rPr>
        <w:t xml:space="preserve">2nd </w:t>
      </w:r>
      <w:r w:rsidRPr="00DA5DAC">
        <w:rPr>
          <w:rFonts w:ascii="Times New Roman" w:eastAsia="Times New Roman" w:hAnsi="Times New Roman" w:cs="Times New Roman"/>
          <w:sz w:val="24"/>
          <w:szCs w:val="24"/>
        </w:rPr>
        <w:t xml:space="preserve">premolar; LM1: Lower </w:t>
      </w:r>
      <w:r w:rsidRPr="00D36C14">
        <w:rPr>
          <w:rFonts w:ascii="Times New Roman" w:eastAsia="Times New Roman" w:hAnsi="Times New Roman" w:cs="Times New Roman"/>
          <w:sz w:val="24"/>
          <w:szCs w:val="24"/>
        </w:rPr>
        <w:t xml:space="preserve">1st </w:t>
      </w:r>
      <w:r w:rsidRPr="00DA5DAC">
        <w:rPr>
          <w:rFonts w:ascii="Times New Roman" w:eastAsia="Times New Roman" w:hAnsi="Times New Roman" w:cs="Times New Roman"/>
          <w:sz w:val="24"/>
          <w:szCs w:val="24"/>
        </w:rPr>
        <w:t>molar; LM2: Lower 2nd molar; UM2: Upper 2nd molar</w:t>
      </w:r>
      <w:bookmarkStart w:id="56" w:name="_heading=h.b7d5l7bicoz3" w:colFirst="0" w:colLast="0"/>
      <w:bookmarkEnd w:id="56"/>
    </w:p>
    <w:p w14:paraId="798E129D" w14:textId="77777777" w:rsidR="000E5EA3" w:rsidRPr="0058669A" w:rsidRDefault="00000000" w:rsidP="00DA5DAC">
      <w:pPr>
        <w:pStyle w:val="Heading2"/>
        <w:spacing w:before="0" w:after="0" w:line="240" w:lineRule="auto"/>
        <w:jc w:val="both"/>
        <w:rPr>
          <w:rFonts w:ascii="Times New Roman" w:eastAsia="Times New Roman" w:hAnsi="Times New Roman" w:cs="Times New Roman"/>
          <w:bCs/>
          <w:caps/>
          <w:sz w:val="24"/>
          <w:szCs w:val="24"/>
        </w:rPr>
      </w:pPr>
      <w:bookmarkStart w:id="57" w:name="_heading=h.jn3aawqb7krj" w:colFirst="0" w:colLast="0"/>
      <w:bookmarkEnd w:id="57"/>
      <w:r w:rsidRPr="0058669A">
        <w:rPr>
          <w:rFonts w:ascii="Times New Roman" w:eastAsia="Times New Roman" w:hAnsi="Times New Roman" w:cs="Times New Roman"/>
          <w:bCs/>
          <w:caps/>
          <w:sz w:val="24"/>
          <w:szCs w:val="24"/>
        </w:rPr>
        <w:lastRenderedPageBreak/>
        <w:t>Supplementary bibliography</w:t>
      </w:r>
    </w:p>
    <w:p w14:paraId="5A6D1AC1" w14:textId="41DFF32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Ambrose, S.H. 1990. Preparation and characterization of bone and tooth collagen for isotopic analysis. </w:t>
      </w:r>
      <w:r w:rsidRPr="00DA5DAC">
        <w:rPr>
          <w:rFonts w:ascii="Times New Roman" w:eastAsia="Times New Roman" w:hAnsi="Times New Roman" w:cs="Times New Roman"/>
          <w:i/>
        </w:rPr>
        <w:t>Journal of Archaeological Science</w:t>
      </w:r>
      <w:r w:rsidRPr="0058669A">
        <w:rPr>
          <w:rFonts w:ascii="Times New Roman" w:eastAsia="Times New Roman" w:hAnsi="Times New Roman" w:cs="Times New Roman"/>
          <w:iCs/>
        </w:rPr>
        <w:t xml:space="preserve"> 17(4),</w:t>
      </w:r>
      <w:r w:rsidRPr="00DA5DAC">
        <w:rPr>
          <w:rFonts w:ascii="Times New Roman" w:eastAsia="Times New Roman" w:hAnsi="Times New Roman" w:cs="Times New Roman"/>
        </w:rPr>
        <w:t xml:space="preserve"> 431–51</w:t>
      </w:r>
    </w:p>
    <w:p w14:paraId="26A83269" w14:textId="7777777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Aufderheide, A., Rodríguez Martín, C. &amp; Langsjoen, O. 2011. </w:t>
      </w:r>
      <w:r w:rsidRPr="0058669A">
        <w:rPr>
          <w:rFonts w:ascii="Times New Roman" w:eastAsia="Times New Roman" w:hAnsi="Times New Roman" w:cs="Times New Roman"/>
          <w:i/>
          <w:iCs/>
        </w:rPr>
        <w:t>T</w:t>
      </w:r>
      <w:r w:rsidRPr="00DA5DAC">
        <w:rPr>
          <w:rFonts w:ascii="Times New Roman" w:eastAsia="Times New Roman" w:hAnsi="Times New Roman" w:cs="Times New Roman"/>
          <w:i/>
        </w:rPr>
        <w:t>he Cambridge Encyclopedia of Human Paleopathology</w:t>
      </w:r>
      <w:r w:rsidRPr="00DA5DAC">
        <w:rPr>
          <w:rFonts w:ascii="Times New Roman" w:eastAsia="Times New Roman" w:hAnsi="Times New Roman" w:cs="Times New Roman"/>
        </w:rPr>
        <w:t>. Cambridge: Cambridge University Press</w:t>
      </w:r>
    </w:p>
    <w:p w14:paraId="605E8C87" w14:textId="18B55DA3" w:rsidR="00CA51F5" w:rsidRDefault="00CA51F5" w:rsidP="00CA51F5">
      <w:pPr>
        <w:spacing w:line="240" w:lineRule="auto"/>
        <w:ind w:left="709" w:hanging="709"/>
        <w:jc w:val="both"/>
        <w:rPr>
          <w:rFonts w:ascii="Times New Roman" w:eastAsia="Times New Roman" w:hAnsi="Times New Roman" w:cs="Times New Roman"/>
          <w:sz w:val="24"/>
          <w:szCs w:val="24"/>
        </w:rPr>
      </w:pPr>
      <w:r w:rsidRPr="00DA5DAC">
        <w:rPr>
          <w:rFonts w:ascii="Times New Roman" w:eastAsia="Times New Roman" w:hAnsi="Times New Roman" w:cs="Times New Roman"/>
          <w:sz w:val="24"/>
          <w:szCs w:val="24"/>
        </w:rPr>
        <w:t xml:space="preserve">Avanzinelli </w:t>
      </w:r>
      <w:r w:rsidRPr="00CA51F5">
        <w:rPr>
          <w:rFonts w:ascii="Times New Roman" w:eastAsia="Times New Roman" w:hAnsi="Times New Roman" w:cs="Times New Roman"/>
          <w:sz w:val="24"/>
          <w:szCs w:val="24"/>
        </w:rPr>
        <w:t>R</w:t>
      </w:r>
      <w:r>
        <w:rPr>
          <w:rFonts w:ascii="Times New Roman" w:eastAsia="Times New Roman" w:hAnsi="Times New Roman" w:cs="Times New Roman"/>
          <w:sz w:val="24"/>
          <w:szCs w:val="24"/>
        </w:rPr>
        <w:t xml:space="preserve">., </w:t>
      </w:r>
      <w:r w:rsidRPr="00CA51F5">
        <w:rPr>
          <w:rFonts w:ascii="Times New Roman" w:eastAsia="Times New Roman" w:hAnsi="Times New Roman" w:cs="Times New Roman"/>
          <w:sz w:val="24"/>
          <w:szCs w:val="24"/>
        </w:rPr>
        <w:t>Boari</w:t>
      </w:r>
      <w:r>
        <w:rPr>
          <w:rFonts w:ascii="Times New Roman" w:eastAsia="Times New Roman" w:hAnsi="Times New Roman" w:cs="Times New Roman"/>
          <w:sz w:val="24"/>
          <w:szCs w:val="24"/>
        </w:rPr>
        <w:t>, E.,</w:t>
      </w:r>
      <w:r w:rsidRPr="00CA51F5">
        <w:rPr>
          <w:rFonts w:ascii="Times New Roman" w:eastAsia="Times New Roman" w:hAnsi="Times New Roman" w:cs="Times New Roman"/>
          <w:sz w:val="24"/>
          <w:szCs w:val="24"/>
        </w:rPr>
        <w:t xml:space="preserve"> Conticelli, S</w:t>
      </w:r>
      <w:r>
        <w:rPr>
          <w:rFonts w:ascii="Times New Roman" w:eastAsia="Times New Roman" w:hAnsi="Times New Roman" w:cs="Times New Roman"/>
          <w:sz w:val="24"/>
          <w:szCs w:val="24"/>
        </w:rPr>
        <w:t>.,</w:t>
      </w:r>
      <w:r w:rsidRPr="00CA51F5">
        <w:rPr>
          <w:rFonts w:ascii="Times New Roman" w:eastAsia="Times New Roman" w:hAnsi="Times New Roman" w:cs="Times New Roman"/>
          <w:sz w:val="24"/>
          <w:szCs w:val="24"/>
        </w:rPr>
        <w:t xml:space="preserve"> Francalanci, L</w:t>
      </w:r>
      <w:r>
        <w:rPr>
          <w:rFonts w:ascii="Times New Roman" w:eastAsia="Times New Roman" w:hAnsi="Times New Roman" w:cs="Times New Roman"/>
          <w:sz w:val="24"/>
          <w:szCs w:val="24"/>
        </w:rPr>
        <w:t xml:space="preserve">., </w:t>
      </w:r>
      <w:r w:rsidRPr="00CA51F5">
        <w:rPr>
          <w:rFonts w:ascii="Times New Roman" w:eastAsia="Times New Roman" w:hAnsi="Times New Roman" w:cs="Times New Roman"/>
          <w:sz w:val="24"/>
          <w:szCs w:val="24"/>
        </w:rPr>
        <w:t>Guarnieri, L</w:t>
      </w:r>
      <w:r>
        <w:rPr>
          <w:rFonts w:ascii="Times New Roman" w:eastAsia="Times New Roman" w:hAnsi="Times New Roman" w:cs="Times New Roman"/>
          <w:sz w:val="24"/>
          <w:szCs w:val="24"/>
        </w:rPr>
        <w:t xml:space="preserve">., </w:t>
      </w:r>
      <w:r w:rsidRPr="00CA51F5">
        <w:rPr>
          <w:rFonts w:ascii="Times New Roman" w:eastAsia="Times New Roman" w:hAnsi="Times New Roman" w:cs="Times New Roman"/>
          <w:sz w:val="24"/>
          <w:szCs w:val="24"/>
        </w:rPr>
        <w:t>Perini</w:t>
      </w:r>
      <w:r>
        <w:rPr>
          <w:rFonts w:ascii="Times New Roman" w:eastAsia="Times New Roman" w:hAnsi="Times New Roman" w:cs="Times New Roman"/>
          <w:sz w:val="24"/>
          <w:szCs w:val="24"/>
        </w:rPr>
        <w:t xml:space="preserve">, G., </w:t>
      </w:r>
      <w:r w:rsidRPr="00CA51F5">
        <w:rPr>
          <w:rFonts w:ascii="Times New Roman" w:eastAsia="Times New Roman" w:hAnsi="Times New Roman" w:cs="Times New Roman"/>
          <w:sz w:val="24"/>
          <w:szCs w:val="24"/>
        </w:rPr>
        <w:t>Petrone,</w:t>
      </w:r>
      <w:r>
        <w:rPr>
          <w:rFonts w:ascii="Times New Roman" w:eastAsia="Times New Roman" w:hAnsi="Times New Roman" w:cs="Times New Roman"/>
          <w:sz w:val="24"/>
          <w:szCs w:val="24"/>
        </w:rPr>
        <w:t xml:space="preserve"> </w:t>
      </w:r>
      <w:r w:rsidRPr="00CA51F5">
        <w:rPr>
          <w:rFonts w:ascii="Times New Roman" w:eastAsia="Times New Roman" w:hAnsi="Times New Roman" w:cs="Times New Roman"/>
          <w:sz w:val="24"/>
          <w:szCs w:val="24"/>
        </w:rPr>
        <w:t xml:space="preserve"> C</w:t>
      </w:r>
      <w:r>
        <w:rPr>
          <w:rFonts w:ascii="Times New Roman" w:eastAsia="Times New Roman" w:hAnsi="Times New Roman" w:cs="Times New Roman"/>
          <w:sz w:val="24"/>
          <w:szCs w:val="24"/>
        </w:rPr>
        <w:t xml:space="preserve">., </w:t>
      </w:r>
      <w:r w:rsidRPr="00CA51F5">
        <w:rPr>
          <w:rFonts w:ascii="Times New Roman" w:eastAsia="Times New Roman" w:hAnsi="Times New Roman" w:cs="Times New Roman"/>
          <w:sz w:val="24"/>
          <w:szCs w:val="24"/>
        </w:rPr>
        <w:t xml:space="preserve">Tommasini, </w:t>
      </w:r>
      <w:r>
        <w:rPr>
          <w:rFonts w:ascii="Times New Roman" w:eastAsia="Times New Roman" w:hAnsi="Times New Roman" w:cs="Times New Roman"/>
          <w:sz w:val="24"/>
          <w:szCs w:val="24"/>
        </w:rPr>
        <w:t xml:space="preserve">S. &amp; </w:t>
      </w:r>
      <w:r w:rsidRPr="00CA51F5">
        <w:rPr>
          <w:rFonts w:ascii="Times New Roman" w:eastAsia="Times New Roman" w:hAnsi="Times New Roman" w:cs="Times New Roman"/>
          <w:sz w:val="24"/>
          <w:szCs w:val="24"/>
        </w:rPr>
        <w:t>Ulivi</w:t>
      </w:r>
      <w:r>
        <w:rPr>
          <w:rFonts w:ascii="Times New Roman" w:eastAsia="Times New Roman" w:hAnsi="Times New Roman" w:cs="Times New Roman"/>
          <w:sz w:val="24"/>
          <w:szCs w:val="24"/>
        </w:rPr>
        <w:t>, M.</w:t>
      </w:r>
      <w:r w:rsidRPr="00CA51F5">
        <w:rPr>
          <w:rFonts w:ascii="Times New Roman" w:eastAsia="Times New Roman" w:hAnsi="Times New Roman" w:cs="Times New Roman"/>
          <w:sz w:val="24"/>
          <w:szCs w:val="24"/>
        </w:rPr>
        <w:t xml:space="preserve"> 2005. High precision Sr, Nd, and Pb isotopic analyses and reproducibility using new generation Thermal Ionisation Mass Spectrometer: aims and perspective for Isotope Geology Applications. </w:t>
      </w:r>
      <w:r w:rsidRPr="00CA51F5">
        <w:rPr>
          <w:rFonts w:ascii="Times New Roman" w:eastAsia="Times New Roman" w:hAnsi="Times New Roman" w:cs="Times New Roman"/>
          <w:i/>
          <w:iCs/>
          <w:sz w:val="24"/>
          <w:szCs w:val="24"/>
        </w:rPr>
        <w:t>Periodico di Mineralogia. 74</w:t>
      </w:r>
      <w:r w:rsidRPr="00CA51F5">
        <w:rPr>
          <w:rFonts w:ascii="Times New Roman" w:eastAsia="Times New Roman" w:hAnsi="Times New Roman" w:cs="Times New Roman"/>
          <w:sz w:val="24"/>
          <w:szCs w:val="24"/>
        </w:rPr>
        <w:t>. 147-166</w:t>
      </w:r>
    </w:p>
    <w:p w14:paraId="1DA2A6E3" w14:textId="073462E8"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Barnes, E. 1994. </w:t>
      </w:r>
      <w:r w:rsidRPr="00DA5DAC">
        <w:rPr>
          <w:rFonts w:ascii="Times New Roman" w:eastAsia="Times New Roman" w:hAnsi="Times New Roman" w:cs="Times New Roman"/>
          <w:i/>
        </w:rPr>
        <w:t xml:space="preserve">Developmental </w:t>
      </w:r>
      <w:r w:rsidR="0058669A">
        <w:rPr>
          <w:rFonts w:ascii="Times New Roman" w:eastAsia="Times New Roman" w:hAnsi="Times New Roman" w:cs="Times New Roman"/>
          <w:i/>
        </w:rPr>
        <w:t>D</w:t>
      </w:r>
      <w:r w:rsidRPr="00DA5DAC">
        <w:rPr>
          <w:rFonts w:ascii="Times New Roman" w:eastAsia="Times New Roman" w:hAnsi="Times New Roman" w:cs="Times New Roman"/>
          <w:i/>
        </w:rPr>
        <w:t xml:space="preserve">efects of the </w:t>
      </w:r>
      <w:r w:rsidR="0058669A">
        <w:rPr>
          <w:rFonts w:ascii="Times New Roman" w:eastAsia="Times New Roman" w:hAnsi="Times New Roman" w:cs="Times New Roman"/>
          <w:i/>
        </w:rPr>
        <w:t>A</w:t>
      </w:r>
      <w:r w:rsidRPr="00DA5DAC">
        <w:rPr>
          <w:rFonts w:ascii="Times New Roman" w:eastAsia="Times New Roman" w:hAnsi="Times New Roman" w:cs="Times New Roman"/>
          <w:i/>
        </w:rPr>
        <w:t xml:space="preserve">xial </w:t>
      </w:r>
      <w:r w:rsidR="0058669A">
        <w:rPr>
          <w:rFonts w:ascii="Times New Roman" w:eastAsia="Times New Roman" w:hAnsi="Times New Roman" w:cs="Times New Roman"/>
          <w:i/>
        </w:rPr>
        <w:t>S</w:t>
      </w:r>
      <w:r w:rsidRPr="00DA5DAC">
        <w:rPr>
          <w:rFonts w:ascii="Times New Roman" w:eastAsia="Times New Roman" w:hAnsi="Times New Roman" w:cs="Times New Roman"/>
          <w:i/>
        </w:rPr>
        <w:t xml:space="preserve">keleton in </w:t>
      </w:r>
      <w:r w:rsidR="0058669A" w:rsidRPr="0048461C">
        <w:rPr>
          <w:rFonts w:ascii="Times New Roman" w:eastAsia="Times New Roman" w:hAnsi="Times New Roman" w:cs="Times New Roman"/>
          <w:i/>
        </w:rPr>
        <w:t>P</w:t>
      </w:r>
      <w:r w:rsidRPr="0048461C">
        <w:rPr>
          <w:rFonts w:ascii="Times New Roman" w:eastAsia="Times New Roman" w:hAnsi="Times New Roman" w:cs="Times New Roman"/>
          <w:i/>
        </w:rPr>
        <w:t>aleopathology</w:t>
      </w:r>
      <w:r w:rsidRPr="0048461C">
        <w:rPr>
          <w:rFonts w:ascii="Times New Roman" w:eastAsia="Times New Roman" w:hAnsi="Times New Roman" w:cs="Times New Roman"/>
        </w:rPr>
        <w:t xml:space="preserve">. </w:t>
      </w:r>
      <w:r w:rsidR="0058669A" w:rsidRPr="0048461C">
        <w:rPr>
          <w:rFonts w:ascii="Times New Roman" w:eastAsia="Times New Roman" w:hAnsi="Times New Roman" w:cs="Times New Roman"/>
        </w:rPr>
        <w:t>Denver, CO</w:t>
      </w:r>
      <w:r w:rsidRPr="0048461C">
        <w:rPr>
          <w:rFonts w:ascii="Times New Roman" w:eastAsia="Times New Roman" w:hAnsi="Times New Roman" w:cs="Times New Roman"/>
        </w:rPr>
        <w:t>:</w:t>
      </w:r>
      <w:r w:rsidRPr="00DA5DAC">
        <w:rPr>
          <w:rFonts w:ascii="Times New Roman" w:eastAsia="Times New Roman" w:hAnsi="Times New Roman" w:cs="Times New Roman"/>
        </w:rPr>
        <w:t xml:space="preserve"> Colorado University Press.</w:t>
      </w:r>
    </w:p>
    <w:p w14:paraId="03E9038C" w14:textId="03F3989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Bass, W. 2005. </w:t>
      </w:r>
      <w:r w:rsidRPr="00DA5DAC">
        <w:rPr>
          <w:rFonts w:ascii="Times New Roman" w:eastAsia="Times New Roman" w:hAnsi="Times New Roman" w:cs="Times New Roman"/>
          <w:i/>
        </w:rPr>
        <w:t>Human Osteology</w:t>
      </w:r>
      <w:r w:rsidRPr="00DA5DAC">
        <w:rPr>
          <w:rFonts w:ascii="Times New Roman" w:eastAsia="Times New Roman" w:hAnsi="Times New Roman" w:cs="Times New Roman"/>
        </w:rPr>
        <w:t>. San Diego</w:t>
      </w:r>
      <w:r w:rsidR="0058669A">
        <w:rPr>
          <w:rFonts w:ascii="Times New Roman" w:eastAsia="Times New Roman" w:hAnsi="Times New Roman" w:cs="Times New Roman"/>
        </w:rPr>
        <w:t>, CA</w:t>
      </w:r>
      <w:r w:rsidRPr="00DA5DAC">
        <w:rPr>
          <w:rFonts w:ascii="Times New Roman" w:eastAsia="Times New Roman" w:hAnsi="Times New Roman" w:cs="Times New Roman"/>
        </w:rPr>
        <w:t>: Academic Press</w:t>
      </w:r>
    </w:p>
    <w:p w14:paraId="263CE1DB"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Behrensmeyer, A.K. 1978. Taphonomic and ecologic information from bone weathering. </w:t>
      </w:r>
      <w:r w:rsidRPr="000C5AFC">
        <w:rPr>
          <w:rFonts w:ascii="Times New Roman" w:eastAsia="Times New Roman" w:hAnsi="Times New Roman" w:cs="Times New Roman"/>
          <w:i/>
          <w:iCs/>
        </w:rPr>
        <w:t>Paleobiology</w:t>
      </w:r>
      <w:r w:rsidRPr="000C5AFC">
        <w:rPr>
          <w:rFonts w:ascii="Times New Roman" w:eastAsia="Times New Roman" w:hAnsi="Times New Roman" w:cs="Times New Roman"/>
        </w:rPr>
        <w:t xml:space="preserve"> 4, 150–62</w:t>
      </w:r>
    </w:p>
    <w:p w14:paraId="1D39C45D" w14:textId="3FEA2E3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Berry, A. &amp; Berry, R. 1967. Epigenetic Variation in the human cranium. </w:t>
      </w:r>
      <w:r w:rsidRPr="00DA5DAC">
        <w:rPr>
          <w:rFonts w:ascii="Times New Roman" w:eastAsia="Times New Roman" w:hAnsi="Times New Roman" w:cs="Times New Roman"/>
          <w:i/>
        </w:rPr>
        <w:t xml:space="preserve">Journal Of Anatomy </w:t>
      </w:r>
      <w:r w:rsidRPr="0058669A">
        <w:rPr>
          <w:rFonts w:ascii="Times New Roman" w:eastAsia="Times New Roman" w:hAnsi="Times New Roman" w:cs="Times New Roman"/>
          <w:iCs/>
        </w:rPr>
        <w:t>101</w:t>
      </w:r>
      <w:r w:rsidRPr="00DA5DAC">
        <w:rPr>
          <w:rFonts w:ascii="Times New Roman" w:eastAsia="Times New Roman" w:hAnsi="Times New Roman" w:cs="Times New Roman"/>
        </w:rPr>
        <w:t>, 361</w:t>
      </w:r>
      <w:r w:rsidR="0058669A">
        <w:rPr>
          <w:rFonts w:ascii="Times New Roman" w:eastAsia="Times New Roman" w:hAnsi="Times New Roman" w:cs="Times New Roman"/>
        </w:rPr>
        <w:t>–</w:t>
      </w:r>
      <w:r w:rsidRPr="00DA5DAC">
        <w:rPr>
          <w:rFonts w:ascii="Times New Roman" w:eastAsia="Times New Roman" w:hAnsi="Times New Roman" w:cs="Times New Roman"/>
        </w:rPr>
        <w:t>79</w:t>
      </w:r>
    </w:p>
    <w:p w14:paraId="4C2EE798" w14:textId="1901A33C"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Bocherens, H. &amp; Drucker, D. 2003. Trophic level isotopic enrichment of carbon and nitrogen in bone collagen: </w:t>
      </w:r>
      <w:r w:rsidR="0058669A">
        <w:rPr>
          <w:rFonts w:ascii="Times New Roman" w:eastAsia="Times New Roman" w:hAnsi="Times New Roman" w:cs="Times New Roman"/>
        </w:rPr>
        <w:t>C</w:t>
      </w:r>
      <w:r w:rsidRPr="00DA5DAC">
        <w:rPr>
          <w:rFonts w:ascii="Times New Roman" w:eastAsia="Times New Roman" w:hAnsi="Times New Roman" w:cs="Times New Roman"/>
        </w:rPr>
        <w:t xml:space="preserve">ase studies from recent and ancient terrestrial ecosystems. </w:t>
      </w:r>
      <w:r w:rsidRPr="00DA5DAC">
        <w:rPr>
          <w:rFonts w:ascii="Times New Roman" w:eastAsia="Times New Roman" w:hAnsi="Times New Roman" w:cs="Times New Roman"/>
          <w:i/>
        </w:rPr>
        <w:t>International Journal of Osteoarchaeology</w:t>
      </w:r>
      <w:r w:rsidRPr="0058669A">
        <w:rPr>
          <w:rFonts w:ascii="Times New Roman" w:eastAsia="Times New Roman" w:hAnsi="Times New Roman" w:cs="Times New Roman"/>
          <w:iCs/>
        </w:rPr>
        <w:t xml:space="preserve"> 13(1</w:t>
      </w:r>
      <w:r w:rsidR="0058669A">
        <w:rPr>
          <w:rFonts w:ascii="Times New Roman" w:eastAsia="Times New Roman" w:hAnsi="Times New Roman" w:cs="Times New Roman"/>
          <w:iCs/>
        </w:rPr>
        <w:t>–</w:t>
      </w:r>
      <w:r w:rsidRPr="0058669A">
        <w:rPr>
          <w:rFonts w:ascii="Times New Roman" w:eastAsia="Times New Roman" w:hAnsi="Times New Roman" w:cs="Times New Roman"/>
          <w:iCs/>
        </w:rPr>
        <w:t>2),</w:t>
      </w:r>
      <w:r w:rsidRPr="00DA5DAC">
        <w:rPr>
          <w:rFonts w:ascii="Times New Roman" w:eastAsia="Times New Roman" w:hAnsi="Times New Roman" w:cs="Times New Roman"/>
        </w:rPr>
        <w:t xml:space="preserve"> 46–53</w:t>
      </w:r>
    </w:p>
    <w:p w14:paraId="3E779AD2" w14:textId="6EDFEE6A"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Booth, T.J. 2014. </w:t>
      </w:r>
      <w:r w:rsidRPr="00DA5DAC">
        <w:rPr>
          <w:rFonts w:ascii="Times New Roman" w:eastAsia="Times New Roman" w:hAnsi="Times New Roman" w:cs="Times New Roman"/>
          <w:i/>
        </w:rPr>
        <w:t xml:space="preserve">An Investigation into the relationship between bone diagenesis and funerary treatment. </w:t>
      </w:r>
      <w:r w:rsidRPr="00DA5DAC">
        <w:rPr>
          <w:rFonts w:ascii="Times New Roman" w:eastAsia="Times New Roman" w:hAnsi="Times New Roman" w:cs="Times New Roman"/>
        </w:rPr>
        <w:t>Unpublished PhD thesis, University of Sheffield</w:t>
      </w:r>
    </w:p>
    <w:p w14:paraId="5B843C38" w14:textId="77777777" w:rsidR="00E62A1A" w:rsidRPr="000C5AFC" w:rsidRDefault="00E62A1A" w:rsidP="00E62A1A">
      <w:pPr>
        <w:ind w:left="709" w:hanging="709"/>
        <w:rPr>
          <w:rFonts w:ascii="Times New Roman" w:eastAsia="Times New Roman" w:hAnsi="Times New Roman" w:cs="Times New Roman"/>
        </w:rPr>
      </w:pPr>
      <w:bookmarkStart w:id="58" w:name="_heading=h.i0nrnyluac9e" w:colFirst="0" w:colLast="0"/>
      <w:bookmarkEnd w:id="58"/>
      <w:r w:rsidRPr="000C5AFC">
        <w:rPr>
          <w:rFonts w:ascii="Times New Roman" w:eastAsia="Times New Roman" w:hAnsi="Times New Roman" w:cs="Times New Roman"/>
        </w:rPr>
        <w:t xml:space="preserve">Booth, T.J. 2016. An investigation into the relationship between funerary treatment and bacterial bioerosion in European archaeological human bone. </w:t>
      </w:r>
      <w:r w:rsidRPr="000C5AFC">
        <w:rPr>
          <w:rFonts w:ascii="Times New Roman" w:eastAsia="Times New Roman" w:hAnsi="Times New Roman" w:cs="Times New Roman"/>
          <w:i/>
          <w:iCs/>
        </w:rPr>
        <w:t>Archaeometry</w:t>
      </w:r>
      <w:r w:rsidRPr="000C5AFC">
        <w:rPr>
          <w:rFonts w:ascii="Times New Roman" w:eastAsia="Times New Roman" w:hAnsi="Times New Roman" w:cs="Times New Roman"/>
        </w:rPr>
        <w:t xml:space="preserve"> 58(3), 484–99</w:t>
      </w:r>
    </w:p>
    <w:p w14:paraId="0BC5860F" w14:textId="77777777" w:rsidR="00E62A1A"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Booth, T., Bricking, A. &amp; Madgwick, R. 2024. Comment on ‘Bacterial bioerosion of bones is a post-skeletonisation phenomenon and appears contingent on soil burial’ [</w:t>
      </w:r>
      <w:r w:rsidRPr="000C5AFC">
        <w:rPr>
          <w:rFonts w:ascii="Times New Roman" w:eastAsia="Times New Roman" w:hAnsi="Times New Roman" w:cs="Times New Roman"/>
          <w:i/>
          <w:iCs/>
        </w:rPr>
        <w:t>Quat. Int.</w:t>
      </w:r>
      <w:r w:rsidRPr="000C5AFC">
        <w:rPr>
          <w:rFonts w:ascii="Times New Roman" w:eastAsia="Times New Roman" w:hAnsi="Times New Roman" w:cs="Times New Roman"/>
        </w:rPr>
        <w:t xml:space="preserve"> 660(2023), 75–83]. </w:t>
      </w:r>
      <w:r w:rsidRPr="000C5AFC">
        <w:rPr>
          <w:rFonts w:ascii="Times New Roman" w:eastAsia="Times New Roman" w:hAnsi="Times New Roman" w:cs="Times New Roman"/>
          <w:i/>
          <w:iCs/>
        </w:rPr>
        <w:t xml:space="preserve">Quaternary International </w:t>
      </w:r>
      <w:r w:rsidRPr="000C5AFC">
        <w:rPr>
          <w:rFonts w:ascii="Times New Roman" w:eastAsia="Times New Roman" w:hAnsi="Times New Roman" w:cs="Times New Roman"/>
        </w:rPr>
        <w:t>702, 61–4</w:t>
      </w:r>
    </w:p>
    <w:p w14:paraId="6021B935"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Booth, T.J., Bronnimann, D., Madgwick, R. &amp; Portmann, C. 2022. The taphonomic and archaeothanatological potentials of diagenetic alterations of archaeological bone. In C. Knüsel &amp; E. Schotsmans (eds), </w:t>
      </w:r>
      <w:r w:rsidRPr="000C5AFC">
        <w:rPr>
          <w:rFonts w:ascii="Times New Roman" w:eastAsia="Times New Roman" w:hAnsi="Times New Roman" w:cs="Times New Roman"/>
          <w:i/>
          <w:iCs/>
        </w:rPr>
        <w:t>The Routledge handbook of Archaeothanatology</w:t>
      </w:r>
      <w:r w:rsidRPr="000C5AFC">
        <w:rPr>
          <w:rFonts w:ascii="Times New Roman" w:eastAsia="Times New Roman" w:hAnsi="Times New Roman" w:cs="Times New Roman"/>
        </w:rPr>
        <w:t>, 580–99</w:t>
      </w:r>
      <w:r w:rsidRPr="000C5AFC">
        <w:rPr>
          <w:rFonts w:ascii="Times New Roman" w:eastAsia="Times New Roman" w:hAnsi="Times New Roman" w:cs="Times New Roman"/>
          <w:i/>
          <w:iCs/>
        </w:rPr>
        <w:t>.</w:t>
      </w:r>
      <w:r w:rsidRPr="000C5AFC">
        <w:rPr>
          <w:rFonts w:ascii="Times New Roman" w:eastAsia="Times New Roman" w:hAnsi="Times New Roman" w:cs="Times New Roman"/>
        </w:rPr>
        <w:t xml:space="preserve"> London: Routledge</w:t>
      </w:r>
    </w:p>
    <w:p w14:paraId="631737B1"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Booth, T.J. &amp; Madgwick, R. 2016. New evidence for diverse secondary burial practices in Iron Age Britain: A histological case study. </w:t>
      </w:r>
      <w:r w:rsidRPr="000C5AFC">
        <w:rPr>
          <w:rFonts w:ascii="Times New Roman" w:eastAsia="Times New Roman" w:hAnsi="Times New Roman" w:cs="Times New Roman"/>
          <w:i/>
          <w:iCs/>
        </w:rPr>
        <w:t>Journal of Archaeology Science</w:t>
      </w:r>
      <w:r w:rsidRPr="000C5AFC">
        <w:rPr>
          <w:rFonts w:ascii="Times New Roman" w:eastAsia="Times New Roman" w:hAnsi="Times New Roman" w:cs="Times New Roman"/>
        </w:rPr>
        <w:t xml:space="preserve"> 67, 14–24</w:t>
      </w:r>
    </w:p>
    <w:p w14:paraId="0D7B33A6" w14:textId="757503CD" w:rsidR="000E5EA3" w:rsidRPr="00DA5DAC" w:rsidRDefault="00000000" w:rsidP="0058669A">
      <w:pPr>
        <w:pStyle w:val="Heading1"/>
        <w:keepNext w:val="0"/>
        <w:keepLines w:val="0"/>
        <w:spacing w:before="0" w:after="0" w:line="240" w:lineRule="auto"/>
        <w:ind w:left="709" w:hanging="709"/>
        <w:jc w:val="both"/>
        <w:rPr>
          <w:rFonts w:ascii="Times New Roman" w:eastAsia="Times New Roman" w:hAnsi="Times New Roman" w:cs="Times New Roman"/>
          <w:sz w:val="22"/>
          <w:szCs w:val="22"/>
        </w:rPr>
      </w:pPr>
      <w:r w:rsidRPr="00DA5DAC">
        <w:rPr>
          <w:rFonts w:ascii="Times New Roman" w:eastAsia="Times New Roman" w:hAnsi="Times New Roman" w:cs="Times New Roman"/>
          <w:sz w:val="22"/>
          <w:szCs w:val="22"/>
        </w:rPr>
        <w:t xml:space="preserve">Boylston, A., Knüsel, C.J., Roberts, C.A. </w:t>
      </w:r>
      <w:r w:rsidR="0058669A">
        <w:rPr>
          <w:rFonts w:ascii="Times New Roman" w:eastAsia="Times New Roman" w:hAnsi="Times New Roman" w:cs="Times New Roman"/>
          <w:sz w:val="22"/>
          <w:szCs w:val="22"/>
        </w:rPr>
        <w:t>&amp;</w:t>
      </w:r>
      <w:r w:rsidRPr="00DA5DAC">
        <w:rPr>
          <w:rFonts w:ascii="Times New Roman" w:eastAsia="Times New Roman" w:hAnsi="Times New Roman" w:cs="Times New Roman"/>
          <w:sz w:val="22"/>
          <w:szCs w:val="22"/>
        </w:rPr>
        <w:t xml:space="preserve"> Dawson, M. 2000. Investigation of a Romano-British rural ritual in Bedford, England. </w:t>
      </w:r>
      <w:r w:rsidRPr="00DA5DAC">
        <w:rPr>
          <w:rFonts w:ascii="Times New Roman" w:eastAsia="Times New Roman" w:hAnsi="Times New Roman" w:cs="Times New Roman"/>
          <w:i/>
          <w:sz w:val="22"/>
          <w:szCs w:val="22"/>
        </w:rPr>
        <w:t>Journal of Archaeological Sciences</w:t>
      </w:r>
      <w:r w:rsidRPr="00DA5DAC">
        <w:rPr>
          <w:rFonts w:ascii="Times New Roman" w:eastAsia="Times New Roman" w:hAnsi="Times New Roman" w:cs="Times New Roman"/>
          <w:sz w:val="22"/>
          <w:szCs w:val="22"/>
        </w:rPr>
        <w:t xml:space="preserve"> 27 (3)</w:t>
      </w:r>
      <w:r w:rsidR="0058669A">
        <w:rPr>
          <w:rFonts w:ascii="Times New Roman" w:eastAsia="Times New Roman" w:hAnsi="Times New Roman" w:cs="Times New Roman"/>
          <w:sz w:val="22"/>
          <w:szCs w:val="22"/>
        </w:rPr>
        <w:t xml:space="preserve">, </w:t>
      </w:r>
      <w:r w:rsidRPr="00DA5DAC">
        <w:rPr>
          <w:rFonts w:ascii="Times New Roman" w:eastAsia="Times New Roman" w:hAnsi="Times New Roman" w:cs="Times New Roman"/>
          <w:sz w:val="22"/>
          <w:szCs w:val="22"/>
        </w:rPr>
        <w:t>241</w:t>
      </w:r>
      <w:r w:rsidR="0058669A">
        <w:rPr>
          <w:rFonts w:ascii="Times New Roman" w:eastAsia="Times New Roman" w:hAnsi="Times New Roman" w:cs="Times New Roman"/>
          <w:sz w:val="22"/>
          <w:szCs w:val="22"/>
        </w:rPr>
        <w:t>–</w:t>
      </w:r>
      <w:r w:rsidRPr="00DA5DAC">
        <w:rPr>
          <w:rFonts w:ascii="Times New Roman" w:eastAsia="Times New Roman" w:hAnsi="Times New Roman" w:cs="Times New Roman"/>
          <w:sz w:val="22"/>
          <w:szCs w:val="22"/>
        </w:rPr>
        <w:t>54</w:t>
      </w:r>
    </w:p>
    <w:p w14:paraId="4A79141D" w14:textId="20BA8827" w:rsidR="000E5EA3" w:rsidRPr="0040451C" w:rsidRDefault="00000000" w:rsidP="0058669A">
      <w:pPr>
        <w:spacing w:line="240" w:lineRule="auto"/>
        <w:ind w:left="709" w:hanging="709"/>
        <w:jc w:val="both"/>
        <w:rPr>
          <w:rFonts w:ascii="Times New Roman" w:eastAsia="Times New Roman" w:hAnsi="Times New Roman" w:cs="Times New Roman"/>
          <w:iCs/>
        </w:rPr>
      </w:pPr>
      <w:r w:rsidRPr="004202C1">
        <w:rPr>
          <w:rFonts w:ascii="Times New Roman" w:eastAsia="Times New Roman" w:hAnsi="Times New Roman" w:cs="Times New Roman"/>
        </w:rPr>
        <w:t xml:space="preserve">Bricking, A., Revell, B. &amp; Madgwick, R. 2025. Death and </w:t>
      </w:r>
      <w:r w:rsidR="0058669A" w:rsidRPr="004202C1">
        <w:rPr>
          <w:rFonts w:ascii="Times New Roman" w:eastAsia="Times New Roman" w:hAnsi="Times New Roman" w:cs="Times New Roman"/>
        </w:rPr>
        <w:t>d</w:t>
      </w:r>
      <w:r w:rsidRPr="004202C1">
        <w:rPr>
          <w:rFonts w:ascii="Times New Roman" w:eastAsia="Times New Roman" w:hAnsi="Times New Roman" w:cs="Times New Roman"/>
        </w:rPr>
        <w:t xml:space="preserve">ichotomy: Exploring </w:t>
      </w:r>
      <w:r w:rsidR="0058669A" w:rsidRPr="004202C1">
        <w:rPr>
          <w:rFonts w:ascii="Times New Roman" w:eastAsia="Times New Roman" w:hAnsi="Times New Roman" w:cs="Times New Roman"/>
        </w:rPr>
        <w:t>c</w:t>
      </w:r>
      <w:r w:rsidRPr="004202C1">
        <w:rPr>
          <w:rFonts w:ascii="Times New Roman" w:eastAsia="Times New Roman" w:hAnsi="Times New Roman" w:cs="Times New Roman"/>
        </w:rPr>
        <w:t xml:space="preserve">aried </w:t>
      </w:r>
      <w:r w:rsidR="0058669A" w:rsidRPr="004202C1">
        <w:rPr>
          <w:rFonts w:ascii="Times New Roman" w:eastAsia="Times New Roman" w:hAnsi="Times New Roman" w:cs="Times New Roman"/>
        </w:rPr>
        <w:t>h</w:t>
      </w:r>
      <w:r w:rsidRPr="004202C1">
        <w:rPr>
          <w:rFonts w:ascii="Times New Roman" w:eastAsia="Times New Roman" w:hAnsi="Times New Roman" w:cs="Times New Roman"/>
        </w:rPr>
        <w:t xml:space="preserve">uman and </w:t>
      </w:r>
      <w:r w:rsidR="0058669A" w:rsidRPr="004202C1">
        <w:rPr>
          <w:rFonts w:ascii="Times New Roman" w:eastAsia="Times New Roman" w:hAnsi="Times New Roman" w:cs="Times New Roman"/>
        </w:rPr>
        <w:t>a</w:t>
      </w:r>
      <w:r w:rsidRPr="004202C1">
        <w:rPr>
          <w:rFonts w:ascii="Times New Roman" w:eastAsia="Times New Roman" w:hAnsi="Times New Roman" w:cs="Times New Roman"/>
        </w:rPr>
        <w:t xml:space="preserve">nimal </w:t>
      </w:r>
      <w:r w:rsidR="0058669A" w:rsidRPr="004202C1">
        <w:rPr>
          <w:rFonts w:ascii="Times New Roman" w:eastAsia="Times New Roman" w:hAnsi="Times New Roman" w:cs="Times New Roman"/>
        </w:rPr>
        <w:t>d</w:t>
      </w:r>
      <w:r w:rsidRPr="004202C1">
        <w:rPr>
          <w:rFonts w:ascii="Times New Roman" w:eastAsia="Times New Roman" w:hAnsi="Times New Roman" w:cs="Times New Roman"/>
        </w:rPr>
        <w:t xml:space="preserve">epositional </w:t>
      </w:r>
      <w:r w:rsidR="0058669A" w:rsidRPr="004202C1">
        <w:rPr>
          <w:rFonts w:ascii="Times New Roman" w:eastAsia="Times New Roman" w:hAnsi="Times New Roman" w:cs="Times New Roman"/>
        </w:rPr>
        <w:t>p</w:t>
      </w:r>
      <w:r w:rsidRPr="004202C1">
        <w:rPr>
          <w:rFonts w:ascii="Times New Roman" w:eastAsia="Times New Roman" w:hAnsi="Times New Roman" w:cs="Times New Roman"/>
        </w:rPr>
        <w:t xml:space="preserve">ractices in the Iron Age at Battlesbury Bowl, UK, through </w:t>
      </w:r>
      <w:r w:rsidR="0058669A" w:rsidRPr="004202C1">
        <w:rPr>
          <w:rFonts w:ascii="Times New Roman" w:eastAsia="Times New Roman" w:hAnsi="Times New Roman" w:cs="Times New Roman"/>
        </w:rPr>
        <w:t>h</w:t>
      </w:r>
      <w:r w:rsidRPr="004202C1">
        <w:rPr>
          <w:rFonts w:ascii="Times New Roman" w:eastAsia="Times New Roman" w:hAnsi="Times New Roman" w:cs="Times New Roman"/>
        </w:rPr>
        <w:t xml:space="preserve">istotaphonomy. </w:t>
      </w:r>
      <w:r w:rsidRPr="004202C1">
        <w:rPr>
          <w:rFonts w:ascii="Times New Roman" w:eastAsia="Times New Roman" w:hAnsi="Times New Roman" w:cs="Times New Roman"/>
          <w:i/>
        </w:rPr>
        <w:t>Journal of Archaeological Method and Theor</w:t>
      </w:r>
      <w:r w:rsidR="0040451C">
        <w:rPr>
          <w:rFonts w:ascii="Times New Roman" w:eastAsia="Times New Roman" w:hAnsi="Times New Roman" w:cs="Times New Roman"/>
          <w:i/>
        </w:rPr>
        <w:t xml:space="preserve">y </w:t>
      </w:r>
      <w:r w:rsidR="0040451C">
        <w:rPr>
          <w:rFonts w:ascii="Times New Roman" w:eastAsia="Times New Roman" w:hAnsi="Times New Roman" w:cs="Times New Roman"/>
          <w:iCs/>
        </w:rPr>
        <w:t>32</w:t>
      </w:r>
      <w:r w:rsidR="00CE2D3E">
        <w:rPr>
          <w:rFonts w:ascii="Times New Roman" w:eastAsia="Times New Roman" w:hAnsi="Times New Roman" w:cs="Times New Roman"/>
          <w:iCs/>
        </w:rPr>
        <w:t>(</w:t>
      </w:r>
      <w:r w:rsidR="00CA51F5">
        <w:rPr>
          <w:rFonts w:ascii="Times New Roman" w:eastAsia="Times New Roman" w:hAnsi="Times New Roman" w:cs="Times New Roman"/>
          <w:iCs/>
        </w:rPr>
        <w:t>18</w:t>
      </w:r>
      <w:r w:rsidR="00CE2D3E">
        <w:rPr>
          <w:rFonts w:ascii="Times New Roman" w:eastAsia="Times New Roman" w:hAnsi="Times New Roman" w:cs="Times New Roman"/>
          <w:iCs/>
        </w:rPr>
        <w:t>)</w:t>
      </w:r>
    </w:p>
    <w:p w14:paraId="77F8199B" w14:textId="6B693F74" w:rsidR="00E50A69" w:rsidRDefault="00E50A69" w:rsidP="0058669A">
      <w:pPr>
        <w:spacing w:line="240" w:lineRule="auto"/>
        <w:ind w:left="709" w:hanging="709"/>
        <w:jc w:val="both"/>
        <w:rPr>
          <w:rFonts w:ascii="Times New Roman" w:eastAsia="Times New Roman" w:hAnsi="Times New Roman" w:cs="Times New Roman"/>
        </w:rPr>
      </w:pPr>
      <w:r w:rsidRPr="00E50A69">
        <w:rPr>
          <w:rFonts w:ascii="Times New Roman" w:eastAsia="Times New Roman" w:hAnsi="Times New Roman" w:cs="Times New Roman"/>
        </w:rPr>
        <w:t>Brickley</w:t>
      </w:r>
      <w:r>
        <w:rPr>
          <w:rFonts w:ascii="Times New Roman" w:eastAsia="Times New Roman" w:hAnsi="Times New Roman" w:cs="Times New Roman"/>
        </w:rPr>
        <w:t>, M. 2018.</w:t>
      </w:r>
      <w:r w:rsidRPr="00E50A69">
        <w:rPr>
          <w:rFonts w:ascii="Times New Roman" w:eastAsia="Times New Roman" w:hAnsi="Times New Roman" w:cs="Times New Roman"/>
        </w:rPr>
        <w:t xml:space="preserve"> Cribra orbitalia and porotic hyperostosis: A biological approach to diagnosis. </w:t>
      </w:r>
      <w:r w:rsidRPr="00E50A69">
        <w:rPr>
          <w:rFonts w:ascii="Times New Roman" w:eastAsia="Times New Roman" w:hAnsi="Times New Roman" w:cs="Times New Roman"/>
          <w:i/>
          <w:iCs/>
        </w:rPr>
        <w:t>American Journal of Physical Anthropology</w:t>
      </w:r>
      <w:r w:rsidRPr="00E50A69">
        <w:rPr>
          <w:rFonts w:ascii="Times New Roman" w:eastAsia="Times New Roman" w:hAnsi="Times New Roman" w:cs="Times New Roman"/>
        </w:rPr>
        <w:t xml:space="preserve"> 167(4)</w:t>
      </w:r>
      <w:r>
        <w:rPr>
          <w:rFonts w:ascii="Times New Roman" w:eastAsia="Times New Roman" w:hAnsi="Times New Roman" w:cs="Times New Roman"/>
        </w:rPr>
        <w:t xml:space="preserve">, </w:t>
      </w:r>
      <w:r w:rsidRPr="00E50A69">
        <w:rPr>
          <w:rFonts w:ascii="Times New Roman" w:eastAsia="Times New Roman" w:hAnsi="Times New Roman" w:cs="Times New Roman"/>
        </w:rPr>
        <w:t>896-902</w:t>
      </w:r>
    </w:p>
    <w:p w14:paraId="220567D7" w14:textId="0069DAB6"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Br</w:t>
      </w:r>
      <w:r w:rsidR="00637F8D">
        <w:rPr>
          <w:rFonts w:ascii="Times New Roman" w:eastAsia="Times New Roman" w:hAnsi="Times New Roman" w:cs="Times New Roman"/>
        </w:rPr>
        <w:t>ö</w:t>
      </w:r>
      <w:r w:rsidRPr="00DA5DAC">
        <w:rPr>
          <w:rFonts w:ascii="Times New Roman" w:eastAsia="Times New Roman" w:hAnsi="Times New Roman" w:cs="Times New Roman"/>
        </w:rPr>
        <w:t xml:space="preserve">nnimann, D., Portmann, C., Pichler, S.L., Booth, T.J., Roder, B., Vach, W., Schibler, J. &amp; Rentzel, P. 2018. Contextualising the dead </w:t>
      </w:r>
      <w:r w:rsidR="0058669A">
        <w:rPr>
          <w:rFonts w:ascii="Times New Roman" w:eastAsia="Times New Roman" w:hAnsi="Times New Roman" w:cs="Times New Roman"/>
        </w:rPr>
        <w:t>–</w:t>
      </w:r>
      <w:r w:rsidRPr="00DA5DAC">
        <w:rPr>
          <w:rFonts w:ascii="Times New Roman" w:eastAsia="Times New Roman" w:hAnsi="Times New Roman" w:cs="Times New Roman"/>
        </w:rPr>
        <w:t xml:space="preserve"> Combining geoarchaeology and osteoanthropology in a new multi-focus approach in bone histotaphonomy. </w:t>
      </w:r>
      <w:r w:rsidRPr="00DA5DAC">
        <w:rPr>
          <w:rFonts w:ascii="Times New Roman" w:eastAsia="Times New Roman" w:hAnsi="Times New Roman" w:cs="Times New Roman"/>
          <w:i/>
        </w:rPr>
        <w:t>Journal of Archaeological Science</w:t>
      </w:r>
      <w:r w:rsidRPr="00DA5DAC">
        <w:rPr>
          <w:rFonts w:ascii="Times New Roman" w:eastAsia="Times New Roman" w:hAnsi="Times New Roman" w:cs="Times New Roman"/>
        </w:rPr>
        <w:t xml:space="preserve"> 98, 45</w:t>
      </w:r>
      <w:r w:rsidR="00BF3EF3">
        <w:rPr>
          <w:rFonts w:ascii="Times New Roman" w:eastAsia="Times New Roman" w:hAnsi="Times New Roman" w:cs="Times New Roman"/>
        </w:rPr>
        <w:t>–</w:t>
      </w:r>
      <w:r w:rsidRPr="00DA5DAC">
        <w:rPr>
          <w:rFonts w:ascii="Times New Roman" w:eastAsia="Times New Roman" w:hAnsi="Times New Roman" w:cs="Times New Roman"/>
        </w:rPr>
        <w:t>58</w:t>
      </w:r>
    </w:p>
    <w:p w14:paraId="446D6BA3" w14:textId="0798D47B"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Brothwell, D. 1981. </w:t>
      </w:r>
      <w:r w:rsidRPr="00DA5DAC">
        <w:rPr>
          <w:rFonts w:ascii="Times New Roman" w:eastAsia="Times New Roman" w:hAnsi="Times New Roman" w:cs="Times New Roman"/>
          <w:i/>
        </w:rPr>
        <w:t>Digging Up Bones</w:t>
      </w:r>
      <w:r w:rsidR="00BF3EF3">
        <w:rPr>
          <w:rFonts w:ascii="Times New Roman" w:eastAsia="Times New Roman" w:hAnsi="Times New Roman" w:cs="Times New Roman"/>
          <w:i/>
        </w:rPr>
        <w:t xml:space="preserve">. </w:t>
      </w:r>
      <w:r w:rsidRPr="00BF3EF3">
        <w:rPr>
          <w:rFonts w:ascii="Times New Roman" w:eastAsia="Times New Roman" w:hAnsi="Times New Roman" w:cs="Times New Roman"/>
          <w:iCs/>
        </w:rPr>
        <w:t xml:space="preserve">3rd </w:t>
      </w:r>
      <w:r w:rsidR="00BF3EF3">
        <w:rPr>
          <w:rFonts w:ascii="Times New Roman" w:eastAsia="Times New Roman" w:hAnsi="Times New Roman" w:cs="Times New Roman"/>
          <w:iCs/>
        </w:rPr>
        <w:t>e</w:t>
      </w:r>
      <w:r w:rsidRPr="00BF3EF3">
        <w:rPr>
          <w:rFonts w:ascii="Times New Roman" w:eastAsia="Times New Roman" w:hAnsi="Times New Roman" w:cs="Times New Roman"/>
          <w:iCs/>
        </w:rPr>
        <w:t>dition.</w:t>
      </w:r>
      <w:r w:rsidRPr="00DA5DAC">
        <w:rPr>
          <w:rFonts w:ascii="Times New Roman" w:eastAsia="Times New Roman" w:hAnsi="Times New Roman" w:cs="Times New Roman"/>
        </w:rPr>
        <w:t xml:space="preserve"> New York</w:t>
      </w:r>
      <w:r w:rsidR="00BF3EF3">
        <w:rPr>
          <w:rFonts w:ascii="Times New Roman" w:eastAsia="Times New Roman" w:hAnsi="Times New Roman" w:cs="Times New Roman"/>
        </w:rPr>
        <w:t>, NY</w:t>
      </w:r>
      <w:r w:rsidRPr="00DA5DAC">
        <w:rPr>
          <w:rFonts w:ascii="Times New Roman" w:eastAsia="Times New Roman" w:hAnsi="Times New Roman" w:cs="Times New Roman"/>
        </w:rPr>
        <w:t>: Cornell University Press</w:t>
      </w:r>
    </w:p>
    <w:p w14:paraId="34C71F76" w14:textId="730E28C1"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Brown, T.A., Nelson, D.E., Vogel, J.S., &amp; Southon, J.R. 1988. Improved </w:t>
      </w:r>
      <w:r w:rsidR="00BF3EF3">
        <w:rPr>
          <w:rFonts w:ascii="Times New Roman" w:eastAsia="Times New Roman" w:hAnsi="Times New Roman" w:cs="Times New Roman"/>
        </w:rPr>
        <w:t>c</w:t>
      </w:r>
      <w:r w:rsidRPr="00DA5DAC">
        <w:rPr>
          <w:rFonts w:ascii="Times New Roman" w:eastAsia="Times New Roman" w:hAnsi="Times New Roman" w:cs="Times New Roman"/>
        </w:rPr>
        <w:t xml:space="preserve">ollagen </w:t>
      </w:r>
      <w:r w:rsidR="00BF3EF3">
        <w:rPr>
          <w:rFonts w:ascii="Times New Roman" w:eastAsia="Times New Roman" w:hAnsi="Times New Roman" w:cs="Times New Roman"/>
        </w:rPr>
        <w:t>e</w:t>
      </w:r>
      <w:r w:rsidRPr="00DA5DAC">
        <w:rPr>
          <w:rFonts w:ascii="Times New Roman" w:eastAsia="Times New Roman" w:hAnsi="Times New Roman" w:cs="Times New Roman"/>
        </w:rPr>
        <w:t xml:space="preserve">xtraction by </w:t>
      </w:r>
      <w:r w:rsidR="00BF3EF3">
        <w:rPr>
          <w:rFonts w:ascii="Times New Roman" w:eastAsia="Times New Roman" w:hAnsi="Times New Roman" w:cs="Times New Roman"/>
        </w:rPr>
        <w:t>m</w:t>
      </w:r>
      <w:r w:rsidRPr="00DA5DAC">
        <w:rPr>
          <w:rFonts w:ascii="Times New Roman" w:eastAsia="Times New Roman" w:hAnsi="Times New Roman" w:cs="Times New Roman"/>
        </w:rPr>
        <w:t xml:space="preserve">odified </w:t>
      </w:r>
      <w:r w:rsidR="00BF3EF3">
        <w:rPr>
          <w:rFonts w:ascii="Times New Roman" w:eastAsia="Times New Roman" w:hAnsi="Times New Roman" w:cs="Times New Roman"/>
        </w:rPr>
        <w:t>l</w:t>
      </w:r>
      <w:r w:rsidRPr="00DA5DAC">
        <w:rPr>
          <w:rFonts w:ascii="Times New Roman" w:eastAsia="Times New Roman" w:hAnsi="Times New Roman" w:cs="Times New Roman"/>
        </w:rPr>
        <w:t xml:space="preserve">ongin </w:t>
      </w:r>
      <w:r w:rsidR="00BF3EF3">
        <w:rPr>
          <w:rFonts w:ascii="Times New Roman" w:eastAsia="Times New Roman" w:hAnsi="Times New Roman" w:cs="Times New Roman"/>
        </w:rPr>
        <w:t>m</w:t>
      </w:r>
      <w:r w:rsidRPr="00DA5DAC">
        <w:rPr>
          <w:rFonts w:ascii="Times New Roman" w:eastAsia="Times New Roman" w:hAnsi="Times New Roman" w:cs="Times New Roman"/>
        </w:rPr>
        <w:t xml:space="preserve">ethod. </w:t>
      </w:r>
      <w:r w:rsidRPr="00DA5DAC">
        <w:rPr>
          <w:rFonts w:ascii="Times New Roman" w:eastAsia="Times New Roman" w:hAnsi="Times New Roman" w:cs="Times New Roman"/>
          <w:i/>
        </w:rPr>
        <w:t xml:space="preserve">Radiocarbon </w:t>
      </w:r>
      <w:r w:rsidRPr="00BF3EF3">
        <w:rPr>
          <w:rFonts w:ascii="Times New Roman" w:eastAsia="Times New Roman" w:hAnsi="Times New Roman" w:cs="Times New Roman"/>
          <w:iCs/>
        </w:rPr>
        <w:t>30(2),</w:t>
      </w:r>
      <w:r w:rsidRPr="00DA5DAC">
        <w:rPr>
          <w:rFonts w:ascii="Times New Roman" w:eastAsia="Times New Roman" w:hAnsi="Times New Roman" w:cs="Times New Roman"/>
        </w:rPr>
        <w:t xml:space="preserve"> 171–77</w:t>
      </w:r>
    </w:p>
    <w:p w14:paraId="560EC423" w14:textId="526A5F61"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highlight w:val="white"/>
        </w:rPr>
        <w:t>Buikstra, J.E.</w:t>
      </w:r>
      <w:r w:rsidR="001766EF">
        <w:rPr>
          <w:rFonts w:ascii="Times New Roman" w:eastAsia="Times New Roman" w:hAnsi="Times New Roman" w:cs="Times New Roman"/>
          <w:highlight w:val="white"/>
        </w:rPr>
        <w:t xml:space="preserve"> (ed.)</w:t>
      </w:r>
      <w:r w:rsidRPr="00DA5DAC">
        <w:rPr>
          <w:rFonts w:ascii="Times New Roman" w:eastAsia="Times New Roman" w:hAnsi="Times New Roman" w:cs="Times New Roman"/>
          <w:highlight w:val="white"/>
        </w:rPr>
        <w:t xml:space="preserve"> 2019. </w:t>
      </w:r>
      <w:r w:rsidRPr="00DA5DAC">
        <w:rPr>
          <w:rFonts w:ascii="Times New Roman" w:eastAsia="Times New Roman" w:hAnsi="Times New Roman" w:cs="Times New Roman"/>
          <w:i/>
          <w:highlight w:val="white"/>
        </w:rPr>
        <w:t xml:space="preserve">Ortner’s </w:t>
      </w:r>
      <w:r w:rsidR="001766EF">
        <w:rPr>
          <w:rFonts w:ascii="Times New Roman" w:eastAsia="Times New Roman" w:hAnsi="Times New Roman" w:cs="Times New Roman"/>
          <w:i/>
          <w:highlight w:val="white"/>
        </w:rPr>
        <w:t>I</w:t>
      </w:r>
      <w:r w:rsidRPr="00DA5DAC">
        <w:rPr>
          <w:rFonts w:ascii="Times New Roman" w:eastAsia="Times New Roman" w:hAnsi="Times New Roman" w:cs="Times New Roman"/>
          <w:i/>
          <w:highlight w:val="white"/>
        </w:rPr>
        <w:t xml:space="preserve">dentification of </w:t>
      </w:r>
      <w:r w:rsidR="001766EF">
        <w:rPr>
          <w:rFonts w:ascii="Times New Roman" w:eastAsia="Times New Roman" w:hAnsi="Times New Roman" w:cs="Times New Roman"/>
          <w:i/>
          <w:highlight w:val="white"/>
        </w:rPr>
        <w:t>P</w:t>
      </w:r>
      <w:r w:rsidRPr="00DA5DAC">
        <w:rPr>
          <w:rFonts w:ascii="Times New Roman" w:eastAsia="Times New Roman" w:hAnsi="Times New Roman" w:cs="Times New Roman"/>
          <w:i/>
          <w:highlight w:val="white"/>
        </w:rPr>
        <w:t xml:space="preserve">athological </w:t>
      </w:r>
      <w:r w:rsidR="001766EF">
        <w:rPr>
          <w:rFonts w:ascii="Times New Roman" w:eastAsia="Times New Roman" w:hAnsi="Times New Roman" w:cs="Times New Roman"/>
          <w:i/>
          <w:highlight w:val="white"/>
        </w:rPr>
        <w:t>C</w:t>
      </w:r>
      <w:r w:rsidRPr="00DA5DAC">
        <w:rPr>
          <w:rFonts w:ascii="Times New Roman" w:eastAsia="Times New Roman" w:hAnsi="Times New Roman" w:cs="Times New Roman"/>
          <w:i/>
          <w:highlight w:val="white"/>
        </w:rPr>
        <w:t xml:space="preserve">onditions in </w:t>
      </w:r>
      <w:r w:rsidR="001766EF">
        <w:rPr>
          <w:rFonts w:ascii="Times New Roman" w:eastAsia="Times New Roman" w:hAnsi="Times New Roman" w:cs="Times New Roman"/>
          <w:i/>
          <w:highlight w:val="white"/>
        </w:rPr>
        <w:t>H</w:t>
      </w:r>
      <w:r w:rsidRPr="00DA5DAC">
        <w:rPr>
          <w:rFonts w:ascii="Times New Roman" w:eastAsia="Times New Roman" w:hAnsi="Times New Roman" w:cs="Times New Roman"/>
          <w:i/>
          <w:highlight w:val="white"/>
        </w:rPr>
        <w:t xml:space="preserve">uman </w:t>
      </w:r>
      <w:r w:rsidR="001766EF">
        <w:rPr>
          <w:rFonts w:ascii="Times New Roman" w:eastAsia="Times New Roman" w:hAnsi="Times New Roman" w:cs="Times New Roman"/>
          <w:i/>
          <w:highlight w:val="white"/>
        </w:rPr>
        <w:t>S</w:t>
      </w:r>
      <w:r w:rsidRPr="00DA5DAC">
        <w:rPr>
          <w:rFonts w:ascii="Times New Roman" w:eastAsia="Times New Roman" w:hAnsi="Times New Roman" w:cs="Times New Roman"/>
          <w:i/>
          <w:highlight w:val="white"/>
        </w:rPr>
        <w:t xml:space="preserve">keletal </w:t>
      </w:r>
      <w:r w:rsidR="001766EF">
        <w:rPr>
          <w:rFonts w:ascii="Times New Roman" w:eastAsia="Times New Roman" w:hAnsi="Times New Roman" w:cs="Times New Roman"/>
          <w:i/>
          <w:highlight w:val="white"/>
        </w:rPr>
        <w:t>R</w:t>
      </w:r>
      <w:r w:rsidRPr="00DA5DAC">
        <w:rPr>
          <w:rFonts w:ascii="Times New Roman" w:eastAsia="Times New Roman" w:hAnsi="Times New Roman" w:cs="Times New Roman"/>
          <w:i/>
          <w:highlight w:val="white"/>
        </w:rPr>
        <w:t>emains.</w:t>
      </w:r>
      <w:r w:rsidRPr="00DA5DAC">
        <w:rPr>
          <w:rFonts w:ascii="Times New Roman" w:eastAsia="Times New Roman" w:hAnsi="Times New Roman" w:cs="Times New Roman"/>
          <w:highlight w:val="white"/>
        </w:rPr>
        <w:t xml:space="preserve"> </w:t>
      </w:r>
      <w:r w:rsidR="001766EF">
        <w:rPr>
          <w:rFonts w:ascii="Times New Roman" w:eastAsia="Times New Roman" w:hAnsi="Times New Roman" w:cs="Times New Roman"/>
          <w:highlight w:val="white"/>
        </w:rPr>
        <w:t>3rd</w:t>
      </w:r>
      <w:r w:rsidRPr="00DA5DAC">
        <w:rPr>
          <w:rFonts w:ascii="Times New Roman" w:eastAsia="Times New Roman" w:hAnsi="Times New Roman" w:cs="Times New Roman"/>
          <w:highlight w:val="white"/>
        </w:rPr>
        <w:t xml:space="preserve"> edition. London: Academic Press</w:t>
      </w:r>
    </w:p>
    <w:p w14:paraId="0F875D7E" w14:textId="3D72087D"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Buikstra, J</w:t>
      </w:r>
      <w:r w:rsidR="001766EF">
        <w:rPr>
          <w:rFonts w:ascii="Times New Roman" w:eastAsia="Times New Roman" w:hAnsi="Times New Roman" w:cs="Times New Roman"/>
        </w:rPr>
        <w:t>.</w:t>
      </w:r>
      <w:r w:rsidRPr="00DA5DAC">
        <w:rPr>
          <w:rFonts w:ascii="Times New Roman" w:eastAsia="Times New Roman" w:hAnsi="Times New Roman" w:cs="Times New Roman"/>
        </w:rPr>
        <w:t xml:space="preserve"> </w:t>
      </w:r>
      <w:r w:rsidR="001766EF">
        <w:rPr>
          <w:rFonts w:ascii="Times New Roman" w:eastAsia="Times New Roman" w:hAnsi="Times New Roman" w:cs="Times New Roman"/>
        </w:rPr>
        <w:t>&amp;</w:t>
      </w:r>
      <w:r w:rsidRPr="00DA5DAC">
        <w:rPr>
          <w:rFonts w:ascii="Times New Roman" w:eastAsia="Times New Roman" w:hAnsi="Times New Roman" w:cs="Times New Roman"/>
        </w:rPr>
        <w:t xml:space="preserve"> Ubelaker, D. 1994.</w:t>
      </w:r>
      <w:r w:rsidRPr="00DA5DAC">
        <w:rPr>
          <w:rFonts w:ascii="Times New Roman" w:eastAsia="Times New Roman" w:hAnsi="Times New Roman" w:cs="Times New Roman"/>
          <w:i/>
        </w:rPr>
        <w:t xml:space="preserve"> Standards for Data Collection from Human Skeletal Remains. </w:t>
      </w:r>
      <w:r w:rsidR="0048461C" w:rsidRPr="0048461C">
        <w:rPr>
          <w:rFonts w:ascii="Times New Roman" w:eastAsia="Times New Roman" w:hAnsi="Times New Roman" w:cs="Times New Roman"/>
        </w:rPr>
        <w:t>Fayetteville</w:t>
      </w:r>
      <w:r w:rsidR="0048461C">
        <w:rPr>
          <w:rFonts w:ascii="Times New Roman" w:eastAsia="Times New Roman" w:hAnsi="Times New Roman" w:cs="Times New Roman"/>
        </w:rPr>
        <w:t>, AR</w:t>
      </w:r>
      <w:r w:rsidRPr="00DA5DAC">
        <w:rPr>
          <w:rFonts w:ascii="Times New Roman" w:eastAsia="Times New Roman" w:hAnsi="Times New Roman" w:cs="Times New Roman"/>
        </w:rPr>
        <w:t>: Arkansas Archaeological Survey Report Number 44</w:t>
      </w:r>
    </w:p>
    <w:p w14:paraId="571A5807" w14:textId="2E8C6D9B"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Calvin, M. &amp; Benson, A.A. 1948. The path of carbon in photosynthesis. </w:t>
      </w:r>
      <w:r w:rsidRPr="00DA5DAC">
        <w:rPr>
          <w:rFonts w:ascii="Times New Roman" w:eastAsia="Times New Roman" w:hAnsi="Times New Roman" w:cs="Times New Roman"/>
          <w:i/>
        </w:rPr>
        <w:t xml:space="preserve">Science </w:t>
      </w:r>
      <w:r w:rsidRPr="001766EF">
        <w:rPr>
          <w:rFonts w:ascii="Times New Roman" w:eastAsia="Times New Roman" w:hAnsi="Times New Roman" w:cs="Times New Roman"/>
          <w:iCs/>
        </w:rPr>
        <w:t>107(2784),</w:t>
      </w:r>
      <w:r w:rsidRPr="00DA5DAC">
        <w:rPr>
          <w:rFonts w:ascii="Times New Roman" w:eastAsia="Times New Roman" w:hAnsi="Times New Roman" w:cs="Times New Roman"/>
        </w:rPr>
        <w:t xml:space="preserve"> 476–80</w:t>
      </w:r>
    </w:p>
    <w:p w14:paraId="28AFF9A8" w14:textId="6FDBEBA3"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lastRenderedPageBreak/>
        <w:t>Chaitanya, L.</w:t>
      </w:r>
      <w:r w:rsidR="0048461C">
        <w:rPr>
          <w:rFonts w:ascii="Times New Roman" w:eastAsia="Times New Roman" w:hAnsi="Times New Roman" w:cs="Times New Roman"/>
        </w:rPr>
        <w:t xml:space="preserve"> </w:t>
      </w:r>
      <w:r w:rsidR="009F4C2C">
        <w:rPr>
          <w:rFonts w:ascii="Times New Roman" w:eastAsia="Times New Roman" w:hAnsi="Times New Roman" w:cs="Times New Roman"/>
        </w:rPr>
        <w:t xml:space="preserve">[+ </w:t>
      </w:r>
      <w:r w:rsidR="0048461C">
        <w:rPr>
          <w:rFonts w:ascii="Times New Roman" w:eastAsia="Times New Roman" w:hAnsi="Times New Roman" w:cs="Times New Roman"/>
        </w:rPr>
        <w:t>10</w:t>
      </w:r>
      <w:r w:rsidR="009F4C2C">
        <w:rPr>
          <w:rFonts w:ascii="Times New Roman" w:eastAsia="Times New Roman" w:hAnsi="Times New Roman" w:cs="Times New Roman"/>
        </w:rPr>
        <w:t xml:space="preserve"> authors]</w:t>
      </w:r>
      <w:r w:rsidRPr="00DA5DAC">
        <w:rPr>
          <w:rFonts w:ascii="Times New Roman" w:eastAsia="Times New Roman" w:hAnsi="Times New Roman" w:cs="Times New Roman"/>
        </w:rPr>
        <w:t xml:space="preserve"> &amp; Walsh, S. 2018. The HIrisPlex-S system for eye, hair and skin colour prediction from DNA: Introduction and forensic developmental validation. </w:t>
      </w:r>
      <w:r w:rsidRPr="00DA5DAC">
        <w:rPr>
          <w:rFonts w:ascii="Times New Roman" w:eastAsia="Times New Roman" w:hAnsi="Times New Roman" w:cs="Times New Roman"/>
          <w:i/>
        </w:rPr>
        <w:t>Forensic Science International: Genetics</w:t>
      </w:r>
      <w:r w:rsidRPr="00DA5DAC">
        <w:rPr>
          <w:rFonts w:ascii="Times New Roman" w:eastAsia="Times New Roman" w:hAnsi="Times New Roman" w:cs="Times New Roman"/>
        </w:rPr>
        <w:t> </w:t>
      </w:r>
      <w:r w:rsidRPr="009F4C2C">
        <w:rPr>
          <w:rFonts w:ascii="Times New Roman" w:eastAsia="Times New Roman" w:hAnsi="Times New Roman" w:cs="Times New Roman"/>
          <w:iCs/>
        </w:rPr>
        <w:t>35,</w:t>
      </w:r>
      <w:r w:rsidRPr="00DA5DAC">
        <w:rPr>
          <w:rFonts w:ascii="Times New Roman" w:eastAsia="Times New Roman" w:hAnsi="Times New Roman" w:cs="Times New Roman"/>
        </w:rPr>
        <w:t xml:space="preserve"> 123</w:t>
      </w:r>
      <w:r w:rsidR="009F4C2C">
        <w:rPr>
          <w:rFonts w:ascii="Times New Roman" w:eastAsia="Times New Roman" w:hAnsi="Times New Roman" w:cs="Times New Roman"/>
        </w:rPr>
        <w:t>–</w:t>
      </w:r>
      <w:r w:rsidRPr="00DA5DAC">
        <w:rPr>
          <w:rFonts w:ascii="Times New Roman" w:eastAsia="Times New Roman" w:hAnsi="Times New Roman" w:cs="Times New Roman"/>
        </w:rPr>
        <w:t>35</w:t>
      </w:r>
    </w:p>
    <w:p w14:paraId="02097834" w14:textId="64F83716"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de Gruchy, Y.A., Faillace, K.E., Van de Vijver, K., Schotsmans, E.M.J., Seifert, J., Bricking, A., Nederbragt, A.J. &amp; Madgwick, R. 2024. Bone of contention: Intra-element variability in remodelling of human femora based on histomorphometric and isotope analyses. </w:t>
      </w:r>
      <w:r w:rsidRPr="00DA5DAC">
        <w:rPr>
          <w:rFonts w:ascii="Times New Roman" w:eastAsia="Times New Roman" w:hAnsi="Times New Roman" w:cs="Times New Roman"/>
          <w:i/>
        </w:rPr>
        <w:t xml:space="preserve">PloS One </w:t>
      </w:r>
      <w:r w:rsidRPr="009F4C2C">
        <w:rPr>
          <w:rFonts w:ascii="Times New Roman" w:eastAsia="Times New Roman" w:hAnsi="Times New Roman" w:cs="Times New Roman"/>
          <w:iCs/>
        </w:rPr>
        <w:t>19(6),</w:t>
      </w:r>
      <w:r w:rsidRPr="00DA5DAC">
        <w:rPr>
          <w:rFonts w:ascii="Times New Roman" w:eastAsia="Times New Roman" w:hAnsi="Times New Roman" w:cs="Times New Roman"/>
        </w:rPr>
        <w:t xml:space="preserve"> e0305089</w:t>
      </w:r>
    </w:p>
    <w:p w14:paraId="40551205" w14:textId="509F2E0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DeNiro, M.J. 1985. Postmortem preservation and alteration of in vivo bone collagen isotope ratios in relation to palaeodietary reconstruction. </w:t>
      </w:r>
      <w:r w:rsidRPr="00DA5DAC">
        <w:rPr>
          <w:rFonts w:ascii="Times New Roman" w:eastAsia="Times New Roman" w:hAnsi="Times New Roman" w:cs="Times New Roman"/>
          <w:i/>
        </w:rPr>
        <w:t xml:space="preserve">Nature </w:t>
      </w:r>
      <w:r w:rsidRPr="009F4C2C">
        <w:rPr>
          <w:rFonts w:ascii="Times New Roman" w:eastAsia="Times New Roman" w:hAnsi="Times New Roman" w:cs="Times New Roman"/>
          <w:iCs/>
        </w:rPr>
        <w:t>317(6040),</w:t>
      </w:r>
      <w:r w:rsidRPr="00DA5DAC">
        <w:rPr>
          <w:rFonts w:ascii="Times New Roman" w:eastAsia="Times New Roman" w:hAnsi="Times New Roman" w:cs="Times New Roman"/>
        </w:rPr>
        <w:t xml:space="preserve"> 806–9</w:t>
      </w:r>
    </w:p>
    <w:p w14:paraId="1AA12D53" w14:textId="10419DFD"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 xml:space="preserve">Dias, G.J., Prasad, K. &amp; Santos, A.L. 2007. Pathogenesis of apical periodontal cysts: </w:t>
      </w:r>
      <w:r w:rsidR="00520FDA">
        <w:rPr>
          <w:rFonts w:ascii="Times New Roman" w:eastAsia="Times New Roman" w:hAnsi="Times New Roman" w:cs="Times New Roman"/>
          <w:highlight w:val="white"/>
        </w:rPr>
        <w:t>G</w:t>
      </w:r>
      <w:r w:rsidRPr="00DA5DAC">
        <w:rPr>
          <w:rFonts w:ascii="Times New Roman" w:eastAsia="Times New Roman" w:hAnsi="Times New Roman" w:cs="Times New Roman"/>
          <w:highlight w:val="white"/>
        </w:rPr>
        <w:t xml:space="preserve">uidelines for diagnosis in palaeopathology. </w:t>
      </w:r>
      <w:r w:rsidRPr="00DA5DAC">
        <w:rPr>
          <w:rFonts w:ascii="Times New Roman" w:eastAsia="Times New Roman" w:hAnsi="Times New Roman" w:cs="Times New Roman"/>
          <w:i/>
          <w:highlight w:val="white"/>
        </w:rPr>
        <w:t>International Journal of Osteoarchaeology</w:t>
      </w:r>
      <w:r w:rsidRPr="00DA5DAC">
        <w:rPr>
          <w:rFonts w:ascii="Times New Roman" w:eastAsia="Times New Roman" w:hAnsi="Times New Roman" w:cs="Times New Roman"/>
          <w:highlight w:val="white"/>
        </w:rPr>
        <w:t xml:space="preserve"> 17, 619</w:t>
      </w:r>
      <w:r w:rsidR="00520FDA">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26</w:t>
      </w:r>
    </w:p>
    <w:p w14:paraId="34549C06" w14:textId="11E9D2C8"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Dobney K</w:t>
      </w:r>
      <w:r w:rsidR="00520FDA">
        <w:rPr>
          <w:rFonts w:ascii="Times New Roman" w:eastAsia="Times New Roman" w:hAnsi="Times New Roman" w:cs="Times New Roman"/>
        </w:rPr>
        <w:t>.</w:t>
      </w:r>
      <w:r w:rsidRPr="00DA5DAC">
        <w:rPr>
          <w:rFonts w:ascii="Times New Roman" w:eastAsia="Times New Roman" w:hAnsi="Times New Roman" w:cs="Times New Roman"/>
        </w:rPr>
        <w:t xml:space="preserve"> </w:t>
      </w:r>
      <w:r w:rsidR="00520FDA">
        <w:rPr>
          <w:rFonts w:ascii="Times New Roman" w:eastAsia="Times New Roman" w:hAnsi="Times New Roman" w:cs="Times New Roman"/>
        </w:rPr>
        <w:t>&amp;</w:t>
      </w:r>
      <w:r w:rsidRPr="00DA5DAC">
        <w:rPr>
          <w:rFonts w:ascii="Times New Roman" w:eastAsia="Times New Roman" w:hAnsi="Times New Roman" w:cs="Times New Roman"/>
        </w:rPr>
        <w:t xml:space="preserve"> Brothwell, D. 1987. A method for evaluating the amount of dental calculus on teeth from archaeological sites. </w:t>
      </w:r>
      <w:r w:rsidRPr="00DA5DAC">
        <w:rPr>
          <w:rFonts w:ascii="Times New Roman" w:eastAsia="Times New Roman" w:hAnsi="Times New Roman" w:cs="Times New Roman"/>
          <w:i/>
        </w:rPr>
        <w:t xml:space="preserve">Journal of Archaeological Science </w:t>
      </w:r>
      <w:r w:rsidRPr="00AD135E">
        <w:rPr>
          <w:rFonts w:ascii="Times New Roman" w:eastAsia="Times New Roman" w:hAnsi="Times New Roman" w:cs="Times New Roman"/>
          <w:iCs/>
        </w:rPr>
        <w:t>14</w:t>
      </w:r>
      <w:r w:rsidRPr="00DA5DAC">
        <w:rPr>
          <w:rFonts w:ascii="Times New Roman" w:eastAsia="Times New Roman" w:hAnsi="Times New Roman" w:cs="Times New Roman"/>
        </w:rPr>
        <w:t>, 343–51</w:t>
      </w:r>
    </w:p>
    <w:p w14:paraId="7CF4F580"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Dymond, C.W. 1902. </w:t>
      </w:r>
      <w:r w:rsidRPr="000C5AFC">
        <w:rPr>
          <w:rFonts w:ascii="Times New Roman" w:eastAsia="Times New Roman" w:hAnsi="Times New Roman" w:cs="Times New Roman"/>
          <w:i/>
          <w:iCs/>
        </w:rPr>
        <w:t xml:space="preserve">Worlebury: An ancient stronghold in the county of Somerset. </w:t>
      </w:r>
      <w:r w:rsidRPr="000C5AFC">
        <w:rPr>
          <w:rFonts w:ascii="Times New Roman" w:eastAsia="Times New Roman" w:hAnsi="Times New Roman" w:cs="Times New Roman"/>
        </w:rPr>
        <w:t>2nd edition. Bristol: Crofton Hemmons</w:t>
      </w:r>
    </w:p>
    <w:p w14:paraId="2CF267F9" w14:textId="5BF9C74B"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Edwards, A. </w:t>
      </w:r>
      <w:r w:rsidR="00AD135E">
        <w:rPr>
          <w:rFonts w:ascii="Times New Roman" w:eastAsia="Times New Roman" w:hAnsi="Times New Roman" w:cs="Times New Roman"/>
        </w:rPr>
        <w:t>&amp;</w:t>
      </w:r>
      <w:r w:rsidRPr="00DA5DAC">
        <w:rPr>
          <w:rFonts w:ascii="Times New Roman" w:eastAsia="Times New Roman" w:hAnsi="Times New Roman" w:cs="Times New Roman"/>
        </w:rPr>
        <w:t xml:space="preserve"> Wisbey, C. 2022. </w:t>
      </w:r>
      <w:r w:rsidRPr="00DA5DAC">
        <w:rPr>
          <w:rFonts w:ascii="Times New Roman" w:eastAsia="Times New Roman" w:hAnsi="Times New Roman" w:cs="Times New Roman"/>
          <w:i/>
        </w:rPr>
        <w:t>The Brownes’ Hole Cave, Stoke Saint Michael, Somerset, England</w:t>
      </w:r>
      <w:r w:rsidRPr="00DA5DAC">
        <w:rPr>
          <w:rFonts w:ascii="Times New Roman" w:eastAsia="Times New Roman" w:hAnsi="Times New Roman" w:cs="Times New Roman"/>
        </w:rPr>
        <w:t>. Frome: Frome Museum</w:t>
      </w:r>
    </w:p>
    <w:p w14:paraId="6A8B9478" w14:textId="60B0EF98"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Eshed, V., Latimer, B., Greenwald, C.M., Jellema, L.M., Rothschild, B.M., Wish-Baratz, S. &amp; Hershkovitz, I. 2002. Button osteoma: Its etiology and pathophysiology.</w:t>
      </w:r>
      <w:r w:rsidRPr="00DA5DAC">
        <w:rPr>
          <w:rFonts w:ascii="Times New Roman" w:eastAsia="Times New Roman" w:hAnsi="Times New Roman" w:cs="Times New Roman"/>
          <w:i/>
          <w:highlight w:val="white"/>
        </w:rPr>
        <w:t xml:space="preserve"> American Journal of Physical Anthropology</w:t>
      </w:r>
      <w:r w:rsidRPr="00DA5DAC">
        <w:rPr>
          <w:rFonts w:ascii="Times New Roman" w:eastAsia="Times New Roman" w:hAnsi="Times New Roman" w:cs="Times New Roman"/>
          <w:highlight w:val="white"/>
        </w:rPr>
        <w:t xml:space="preserve"> 118</w:t>
      </w:r>
      <w:r w:rsidR="00AD135E">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217</w:t>
      </w:r>
      <w:r w:rsidR="00AD135E">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30</w:t>
      </w:r>
    </w:p>
    <w:p w14:paraId="07CBB7B5" w14:textId="75A0FCB6"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Falys, C. &amp; Lewis, M. 2011. Proposing a way forward: A review of standardisation in the use of age categories and ageing techniques in osteological analysis (2004–2009). </w:t>
      </w:r>
      <w:r w:rsidRPr="00DA5DAC">
        <w:rPr>
          <w:rFonts w:ascii="Times New Roman" w:eastAsia="Times New Roman" w:hAnsi="Times New Roman" w:cs="Times New Roman"/>
          <w:i/>
        </w:rPr>
        <w:t xml:space="preserve">International Journal of Osteoarchaeology </w:t>
      </w:r>
      <w:r w:rsidRPr="00AD135E">
        <w:rPr>
          <w:rFonts w:ascii="Times New Roman" w:eastAsia="Times New Roman" w:hAnsi="Times New Roman" w:cs="Times New Roman"/>
          <w:iCs/>
        </w:rPr>
        <w:t>21</w:t>
      </w:r>
      <w:r w:rsidRPr="00DA5DAC">
        <w:rPr>
          <w:rFonts w:ascii="Times New Roman" w:eastAsia="Times New Roman" w:hAnsi="Times New Roman" w:cs="Times New Roman"/>
        </w:rPr>
        <w:t>, 704</w:t>
      </w:r>
      <w:r w:rsidR="00AD135E">
        <w:rPr>
          <w:rFonts w:ascii="Times New Roman" w:eastAsia="Times New Roman" w:hAnsi="Times New Roman" w:cs="Times New Roman"/>
        </w:rPr>
        <w:t>–</w:t>
      </w:r>
      <w:r w:rsidRPr="00DA5DAC">
        <w:rPr>
          <w:rFonts w:ascii="Times New Roman" w:eastAsia="Times New Roman" w:hAnsi="Times New Roman" w:cs="Times New Roman"/>
        </w:rPr>
        <w:t>16</w:t>
      </w:r>
    </w:p>
    <w:p w14:paraId="2D5354C0" w14:textId="22200A10"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Fernandes, D.M.</w:t>
      </w:r>
      <w:r w:rsidR="0048461C">
        <w:rPr>
          <w:rFonts w:ascii="Times New Roman" w:eastAsia="Times New Roman" w:hAnsi="Times New Roman" w:cs="Times New Roman"/>
        </w:rPr>
        <w:t xml:space="preserve"> </w:t>
      </w:r>
      <w:r w:rsidR="00AD135E">
        <w:rPr>
          <w:rFonts w:ascii="Times New Roman" w:eastAsia="Times New Roman" w:hAnsi="Times New Roman" w:cs="Times New Roman"/>
        </w:rPr>
        <w:t xml:space="preserve">[+ </w:t>
      </w:r>
      <w:r w:rsidR="0048461C">
        <w:rPr>
          <w:rFonts w:ascii="Times New Roman" w:eastAsia="Times New Roman" w:hAnsi="Times New Roman" w:cs="Times New Roman"/>
        </w:rPr>
        <w:t>42</w:t>
      </w:r>
      <w:r w:rsidR="00AD135E">
        <w:rPr>
          <w:rFonts w:ascii="Times New Roman" w:eastAsia="Times New Roman" w:hAnsi="Times New Roman" w:cs="Times New Roman"/>
        </w:rPr>
        <w:t xml:space="preserve"> authors]</w:t>
      </w:r>
      <w:r w:rsidRPr="00DA5DAC">
        <w:rPr>
          <w:rFonts w:ascii="Times New Roman" w:eastAsia="Times New Roman" w:hAnsi="Times New Roman" w:cs="Times New Roman"/>
        </w:rPr>
        <w:t xml:space="preserve"> &amp; Reich, D. 2020. The spread of steppe and Iranian-related ancestry in the islands of the western Mediterranean. </w:t>
      </w:r>
      <w:r w:rsidRPr="00DA5DAC">
        <w:rPr>
          <w:rFonts w:ascii="Times New Roman" w:eastAsia="Times New Roman" w:hAnsi="Times New Roman" w:cs="Times New Roman"/>
          <w:i/>
        </w:rPr>
        <w:t>Nature Ecology &amp; Evolution</w:t>
      </w:r>
      <w:r w:rsidR="00AD135E">
        <w:rPr>
          <w:rFonts w:ascii="Times New Roman" w:eastAsia="Times New Roman" w:hAnsi="Times New Roman" w:cs="Times New Roman"/>
        </w:rPr>
        <w:t xml:space="preserve"> </w:t>
      </w:r>
      <w:r w:rsidRPr="00AD135E">
        <w:rPr>
          <w:rFonts w:ascii="Times New Roman" w:eastAsia="Times New Roman" w:hAnsi="Times New Roman" w:cs="Times New Roman"/>
          <w:iCs/>
        </w:rPr>
        <w:t>4(3</w:t>
      </w:r>
      <w:r w:rsidRPr="00DA5DAC">
        <w:rPr>
          <w:rFonts w:ascii="Times New Roman" w:eastAsia="Times New Roman" w:hAnsi="Times New Roman" w:cs="Times New Roman"/>
        </w:rPr>
        <w:t>), 334</w:t>
      </w:r>
      <w:r w:rsidR="00AD135E">
        <w:rPr>
          <w:rFonts w:ascii="Times New Roman" w:eastAsia="Times New Roman" w:hAnsi="Times New Roman" w:cs="Times New Roman"/>
        </w:rPr>
        <w:t>–</w:t>
      </w:r>
      <w:r w:rsidRPr="00DA5DAC">
        <w:rPr>
          <w:rFonts w:ascii="Times New Roman" w:eastAsia="Times New Roman" w:hAnsi="Times New Roman" w:cs="Times New Roman"/>
        </w:rPr>
        <w:t>45</w:t>
      </w:r>
    </w:p>
    <w:p w14:paraId="70E713DA" w14:textId="3FCAD653" w:rsidR="000E5EA3"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Finnegan, M. 1978. Non-metric variation of the infracranial skeleton. </w:t>
      </w:r>
      <w:r w:rsidRPr="00DA5DAC">
        <w:rPr>
          <w:rFonts w:ascii="Times New Roman" w:eastAsia="Times New Roman" w:hAnsi="Times New Roman" w:cs="Times New Roman"/>
          <w:i/>
        </w:rPr>
        <w:t xml:space="preserve">Journal of Anatomy </w:t>
      </w:r>
      <w:r w:rsidRPr="00AD135E">
        <w:rPr>
          <w:rFonts w:ascii="Times New Roman" w:eastAsia="Times New Roman" w:hAnsi="Times New Roman" w:cs="Times New Roman"/>
          <w:iCs/>
        </w:rPr>
        <w:t>125(1),</w:t>
      </w:r>
      <w:r w:rsidRPr="00DA5DAC">
        <w:rPr>
          <w:rFonts w:ascii="Times New Roman" w:eastAsia="Times New Roman" w:hAnsi="Times New Roman" w:cs="Times New Roman"/>
        </w:rPr>
        <w:t xml:space="preserve"> 23</w:t>
      </w:r>
      <w:r w:rsidR="00AD135E">
        <w:rPr>
          <w:rFonts w:ascii="Times New Roman" w:eastAsia="Times New Roman" w:hAnsi="Times New Roman" w:cs="Times New Roman"/>
        </w:rPr>
        <w:t>–</w:t>
      </w:r>
      <w:r w:rsidRPr="00DA5DAC">
        <w:rPr>
          <w:rFonts w:ascii="Times New Roman" w:eastAsia="Times New Roman" w:hAnsi="Times New Roman" w:cs="Times New Roman"/>
        </w:rPr>
        <w:t>37</w:t>
      </w:r>
    </w:p>
    <w:p w14:paraId="0444D6AC" w14:textId="0B95DDAD" w:rsidR="00C13ECA" w:rsidRPr="00DA5DAC" w:rsidRDefault="00C13ECA" w:rsidP="00C13ECA">
      <w:pPr>
        <w:spacing w:line="240" w:lineRule="auto"/>
        <w:ind w:left="709" w:hanging="709"/>
        <w:jc w:val="both"/>
        <w:rPr>
          <w:rFonts w:ascii="Times New Roman" w:eastAsia="Times New Roman" w:hAnsi="Times New Roman" w:cs="Times New Roman"/>
        </w:rPr>
      </w:pPr>
      <w:r w:rsidRPr="00C13ECA">
        <w:rPr>
          <w:rFonts w:ascii="Times New Roman" w:eastAsia="Times New Roman" w:hAnsi="Times New Roman" w:cs="Times New Roman"/>
        </w:rPr>
        <w:t>Font</w:t>
      </w:r>
      <w:r>
        <w:rPr>
          <w:rFonts w:ascii="Times New Roman" w:eastAsia="Times New Roman" w:hAnsi="Times New Roman" w:cs="Times New Roman"/>
        </w:rPr>
        <w:t>,</w:t>
      </w:r>
      <w:r w:rsidRPr="00C13ECA">
        <w:rPr>
          <w:rFonts w:ascii="Times New Roman" w:eastAsia="Times New Roman" w:hAnsi="Times New Roman" w:cs="Times New Roman"/>
        </w:rPr>
        <w:t xml:space="preserve"> L., Nowell</w:t>
      </w:r>
      <w:r>
        <w:rPr>
          <w:rFonts w:ascii="Times New Roman" w:eastAsia="Times New Roman" w:hAnsi="Times New Roman" w:cs="Times New Roman"/>
        </w:rPr>
        <w:t xml:space="preserve">, </w:t>
      </w:r>
      <w:r w:rsidRPr="00C13ECA">
        <w:rPr>
          <w:rFonts w:ascii="Times New Roman" w:eastAsia="Times New Roman" w:hAnsi="Times New Roman" w:cs="Times New Roman"/>
        </w:rPr>
        <w:t>G. M., Pearson</w:t>
      </w:r>
      <w:r>
        <w:rPr>
          <w:rFonts w:ascii="Times New Roman" w:eastAsia="Times New Roman" w:hAnsi="Times New Roman" w:cs="Times New Roman"/>
        </w:rPr>
        <w:t>,</w:t>
      </w:r>
      <w:r w:rsidRPr="00C13ECA">
        <w:rPr>
          <w:rFonts w:ascii="Times New Roman" w:eastAsia="Times New Roman" w:hAnsi="Times New Roman" w:cs="Times New Roman"/>
        </w:rPr>
        <w:t xml:space="preserve"> D. G., Ottley</w:t>
      </w:r>
      <w:r>
        <w:rPr>
          <w:rFonts w:ascii="Times New Roman" w:eastAsia="Times New Roman" w:hAnsi="Times New Roman" w:cs="Times New Roman"/>
        </w:rPr>
        <w:t>,</w:t>
      </w:r>
      <w:r w:rsidRPr="00C13ECA">
        <w:rPr>
          <w:rFonts w:ascii="Times New Roman" w:eastAsia="Times New Roman" w:hAnsi="Times New Roman" w:cs="Times New Roman"/>
        </w:rPr>
        <w:t xml:space="preserve"> C. J. </w:t>
      </w:r>
      <w:r>
        <w:rPr>
          <w:rFonts w:ascii="Times New Roman" w:eastAsia="Times New Roman" w:hAnsi="Times New Roman" w:cs="Times New Roman"/>
        </w:rPr>
        <w:t>&amp;</w:t>
      </w:r>
      <w:r w:rsidRPr="00C13ECA">
        <w:rPr>
          <w:rFonts w:ascii="Times New Roman" w:eastAsia="Times New Roman" w:hAnsi="Times New Roman" w:cs="Times New Roman"/>
        </w:rPr>
        <w:t xml:space="preserve"> Willis S. G.</w:t>
      </w:r>
      <w:r>
        <w:rPr>
          <w:rFonts w:ascii="Times New Roman" w:eastAsia="Times New Roman" w:hAnsi="Times New Roman" w:cs="Times New Roman"/>
        </w:rPr>
        <w:t xml:space="preserve"> </w:t>
      </w:r>
      <w:r w:rsidRPr="00C13ECA">
        <w:rPr>
          <w:rFonts w:ascii="Times New Roman" w:eastAsia="Times New Roman" w:hAnsi="Times New Roman" w:cs="Times New Roman"/>
        </w:rPr>
        <w:t>2007</w:t>
      </w:r>
      <w:r>
        <w:rPr>
          <w:rFonts w:ascii="Times New Roman" w:eastAsia="Times New Roman" w:hAnsi="Times New Roman" w:cs="Times New Roman"/>
        </w:rPr>
        <w:t xml:space="preserve">. </w:t>
      </w:r>
      <w:r w:rsidRPr="00C13ECA">
        <w:rPr>
          <w:rFonts w:ascii="Times New Roman" w:eastAsia="Times New Roman" w:hAnsi="Times New Roman" w:cs="Times New Roman"/>
        </w:rPr>
        <w:t>Sr isotope analysis of bird feathers by TIMS: a tool to</w:t>
      </w:r>
      <w:r>
        <w:rPr>
          <w:rFonts w:ascii="Times New Roman" w:eastAsia="Times New Roman" w:hAnsi="Times New Roman" w:cs="Times New Roman"/>
        </w:rPr>
        <w:t xml:space="preserve"> </w:t>
      </w:r>
      <w:r w:rsidRPr="00C13ECA">
        <w:rPr>
          <w:rFonts w:ascii="Times New Roman" w:eastAsia="Times New Roman" w:hAnsi="Times New Roman" w:cs="Times New Roman"/>
        </w:rPr>
        <w:t xml:space="preserve">trace bird migration paths and breeding sites. </w:t>
      </w:r>
      <w:r w:rsidRPr="00C13ECA">
        <w:rPr>
          <w:rFonts w:ascii="Times New Roman" w:eastAsia="Times New Roman" w:hAnsi="Times New Roman" w:cs="Times New Roman"/>
          <w:i/>
          <w:iCs/>
        </w:rPr>
        <w:t xml:space="preserve">Journal of Anaytical. Atomic Spectrometry </w:t>
      </w:r>
      <w:r w:rsidRPr="00C13ECA">
        <w:rPr>
          <w:rFonts w:ascii="Times New Roman" w:eastAsia="Times New Roman" w:hAnsi="Times New Roman" w:cs="Times New Roman"/>
        </w:rPr>
        <w:t>22(5), 513–522</w:t>
      </w:r>
    </w:p>
    <w:p w14:paraId="6BF184AF" w14:textId="50521E80"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François</w:t>
      </w:r>
      <w:r w:rsidR="00AD135E">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R.J., Eulderink</w:t>
      </w:r>
      <w:r w:rsidR="00AD135E">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F. &amp; Bywaters, E.G. 1995. Commented glossary for rheumatic spinal diseases, based on pathology. </w:t>
      </w:r>
      <w:r w:rsidRPr="00DA5DAC">
        <w:rPr>
          <w:rFonts w:ascii="Times New Roman" w:eastAsia="Times New Roman" w:hAnsi="Times New Roman" w:cs="Times New Roman"/>
          <w:i/>
          <w:highlight w:val="white"/>
        </w:rPr>
        <w:t>Annals of the Rheumatic Diseases</w:t>
      </w:r>
      <w:r w:rsidRPr="00DA5DAC">
        <w:rPr>
          <w:rFonts w:ascii="Times New Roman" w:eastAsia="Times New Roman" w:hAnsi="Times New Roman" w:cs="Times New Roman"/>
          <w:highlight w:val="white"/>
        </w:rPr>
        <w:t xml:space="preserve"> 54(8)</w:t>
      </w:r>
      <w:r w:rsidR="00AD135E">
        <w:rPr>
          <w:rFonts w:ascii="Times New Roman" w:eastAsia="Times New Roman" w:hAnsi="Times New Roman" w:cs="Times New Roman"/>
          <w:highlight w:val="white"/>
        </w:rPr>
        <w:t xml:space="preserve">, </w:t>
      </w:r>
      <w:r w:rsidRPr="00DA5DAC">
        <w:rPr>
          <w:rFonts w:ascii="Times New Roman" w:eastAsia="Times New Roman" w:hAnsi="Times New Roman" w:cs="Times New Roman"/>
          <w:highlight w:val="white"/>
        </w:rPr>
        <w:t>615</w:t>
      </w:r>
      <w:r w:rsidR="00AD135E">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25 </w:t>
      </w:r>
    </w:p>
    <w:p w14:paraId="2B7C1C65" w14:textId="6993E908"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Hackett, C.J. 1981. Microscopical focal destruction (tunnels) in exhumed human bones. </w:t>
      </w:r>
      <w:r w:rsidRPr="00DA5DAC">
        <w:rPr>
          <w:rFonts w:ascii="Times New Roman" w:eastAsia="Times New Roman" w:hAnsi="Times New Roman" w:cs="Times New Roman"/>
          <w:i/>
        </w:rPr>
        <w:t xml:space="preserve">Medicine, Science and the Law </w:t>
      </w:r>
      <w:r w:rsidRPr="00AD135E">
        <w:rPr>
          <w:rFonts w:ascii="Times New Roman" w:eastAsia="Times New Roman" w:hAnsi="Times New Roman" w:cs="Times New Roman"/>
          <w:iCs/>
        </w:rPr>
        <w:t>21(4),</w:t>
      </w:r>
      <w:r w:rsidRPr="00DA5DAC">
        <w:rPr>
          <w:rFonts w:ascii="Times New Roman" w:eastAsia="Times New Roman" w:hAnsi="Times New Roman" w:cs="Times New Roman"/>
        </w:rPr>
        <w:t xml:space="preserve"> 243–66</w:t>
      </w:r>
    </w:p>
    <w:p w14:paraId="535A1B0B" w14:textId="163E084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Hatch, M.D. &amp; Slack, C.R. 1966. Photosynthesis by sugar-cane leaves. A new carboxylation reaction and the pathway of sugar formation. </w:t>
      </w:r>
      <w:r w:rsidRPr="00DA5DAC">
        <w:rPr>
          <w:rFonts w:ascii="Times New Roman" w:eastAsia="Times New Roman" w:hAnsi="Times New Roman" w:cs="Times New Roman"/>
          <w:i/>
        </w:rPr>
        <w:t xml:space="preserve">The Biochemical Journal </w:t>
      </w:r>
      <w:r w:rsidRPr="00AD135E">
        <w:rPr>
          <w:rFonts w:ascii="Times New Roman" w:eastAsia="Times New Roman" w:hAnsi="Times New Roman" w:cs="Times New Roman"/>
          <w:iCs/>
        </w:rPr>
        <w:t>101(1),</w:t>
      </w:r>
      <w:r w:rsidRPr="00DA5DAC">
        <w:rPr>
          <w:rFonts w:ascii="Times New Roman" w:eastAsia="Times New Roman" w:hAnsi="Times New Roman" w:cs="Times New Roman"/>
        </w:rPr>
        <w:t xml:space="preserve"> 103–11</w:t>
      </w:r>
    </w:p>
    <w:p w14:paraId="42CC525B" w14:textId="4FC4FEE3"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Hedges, R.E., Millard, A.R. &amp; Pike, A.W. 1995. Measurements and relationships of diagenetic alteration of bone from three archaeological sites. </w:t>
      </w:r>
      <w:r w:rsidRPr="00DA5DAC">
        <w:rPr>
          <w:rFonts w:ascii="Times New Roman" w:eastAsia="Times New Roman" w:hAnsi="Times New Roman" w:cs="Times New Roman"/>
          <w:i/>
        </w:rPr>
        <w:t>Journal of Archaeological Science</w:t>
      </w:r>
      <w:r w:rsidRPr="00DA5DAC">
        <w:rPr>
          <w:rFonts w:ascii="Times New Roman" w:eastAsia="Times New Roman" w:hAnsi="Times New Roman" w:cs="Times New Roman"/>
        </w:rPr>
        <w:t xml:space="preserve"> 22(2), 201</w:t>
      </w:r>
      <w:r w:rsidR="00AD3A83">
        <w:rPr>
          <w:rFonts w:ascii="Times New Roman" w:eastAsia="Times New Roman" w:hAnsi="Times New Roman" w:cs="Times New Roman"/>
        </w:rPr>
        <w:t>–</w:t>
      </w:r>
      <w:r w:rsidRPr="00DA5DAC">
        <w:rPr>
          <w:rFonts w:ascii="Times New Roman" w:eastAsia="Times New Roman" w:hAnsi="Times New Roman" w:cs="Times New Roman"/>
        </w:rPr>
        <w:t>9</w:t>
      </w:r>
    </w:p>
    <w:p w14:paraId="33805356" w14:textId="393A45CF"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Hedges, R.E., Housley, R.A., Law, I.A. &amp; Perry, C. 1988. Radiocarbon dates from the Oxford AMS system: Archaeometry Datelist 7. </w:t>
      </w:r>
      <w:r w:rsidRPr="00DA5DAC">
        <w:rPr>
          <w:rFonts w:ascii="Times New Roman" w:eastAsia="Times New Roman" w:hAnsi="Times New Roman" w:cs="Times New Roman"/>
          <w:i/>
        </w:rPr>
        <w:t>Archaeometry</w:t>
      </w:r>
      <w:r w:rsidRPr="00DA5DAC">
        <w:rPr>
          <w:rFonts w:ascii="Times New Roman" w:eastAsia="Times New Roman" w:hAnsi="Times New Roman" w:cs="Times New Roman"/>
        </w:rPr>
        <w:t xml:space="preserve"> 30, 155–64</w:t>
      </w:r>
    </w:p>
    <w:p w14:paraId="5F26AF4F" w14:textId="09DB3015" w:rsidR="000E5EA3" w:rsidRDefault="00000000" w:rsidP="0058669A">
      <w:pPr>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 xml:space="preserve">Hillson, S. 2005. </w:t>
      </w:r>
      <w:r w:rsidRPr="00DA5DAC">
        <w:rPr>
          <w:rFonts w:ascii="Times New Roman" w:eastAsia="Times New Roman" w:hAnsi="Times New Roman" w:cs="Times New Roman"/>
          <w:i/>
          <w:highlight w:val="white"/>
        </w:rPr>
        <w:t>Teeth.</w:t>
      </w:r>
      <w:r w:rsidRPr="00DA5DAC">
        <w:rPr>
          <w:rFonts w:ascii="Times New Roman" w:eastAsia="Times New Roman" w:hAnsi="Times New Roman" w:cs="Times New Roman"/>
          <w:highlight w:val="white"/>
        </w:rPr>
        <w:t xml:space="preserve"> 2nd ed</w:t>
      </w:r>
      <w:r w:rsidR="00AD3A83">
        <w:rPr>
          <w:rFonts w:ascii="Times New Roman" w:eastAsia="Times New Roman" w:hAnsi="Times New Roman" w:cs="Times New Roman"/>
          <w:highlight w:val="white"/>
        </w:rPr>
        <w:t>ition</w:t>
      </w:r>
      <w:r w:rsidRPr="00DA5DAC">
        <w:rPr>
          <w:rFonts w:ascii="Times New Roman" w:eastAsia="Times New Roman" w:hAnsi="Times New Roman" w:cs="Times New Roman"/>
          <w:highlight w:val="white"/>
        </w:rPr>
        <w:t>. Cambridge: Cambridge University Press</w:t>
      </w:r>
    </w:p>
    <w:p w14:paraId="7007FFA9" w14:textId="71716B98" w:rsidR="0040451C" w:rsidRPr="00DA5DAC" w:rsidRDefault="0040451C" w:rsidP="0040451C">
      <w:pPr>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Hillson, S. 2023. Dental Disease. In</w:t>
      </w:r>
      <w:r w:rsidRPr="00AD3A83">
        <w:rPr>
          <w:rFonts w:ascii="Times New Roman" w:eastAsia="Times New Roman" w:hAnsi="Times New Roman" w:cs="Times New Roman"/>
          <w:highlight w:val="white"/>
        </w:rPr>
        <w:t xml:space="preserve"> </w:t>
      </w:r>
      <w:r w:rsidRPr="00DA5DAC">
        <w:rPr>
          <w:rFonts w:ascii="Times New Roman" w:eastAsia="Times New Roman" w:hAnsi="Times New Roman" w:cs="Times New Roman"/>
          <w:highlight w:val="white"/>
        </w:rPr>
        <w:t>S</w:t>
      </w:r>
      <w:r>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Hillson (</w:t>
      </w:r>
      <w:r>
        <w:rPr>
          <w:rFonts w:ascii="Times New Roman" w:eastAsia="Times New Roman" w:hAnsi="Times New Roman" w:cs="Times New Roman"/>
          <w:highlight w:val="white"/>
        </w:rPr>
        <w:t>e</w:t>
      </w:r>
      <w:r w:rsidRPr="00DA5DAC">
        <w:rPr>
          <w:rFonts w:ascii="Times New Roman" w:eastAsia="Times New Roman" w:hAnsi="Times New Roman" w:cs="Times New Roman"/>
          <w:highlight w:val="white"/>
        </w:rPr>
        <w:t>d.)</w:t>
      </w:r>
      <w:r>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w:t>
      </w:r>
      <w:r w:rsidRPr="00DA5DAC">
        <w:rPr>
          <w:rFonts w:ascii="Times New Roman" w:eastAsia="Times New Roman" w:hAnsi="Times New Roman" w:cs="Times New Roman"/>
          <w:i/>
          <w:highlight w:val="white"/>
        </w:rPr>
        <w:t>Dental Anthropology</w:t>
      </w:r>
      <w:r w:rsidRPr="00DA5DAC">
        <w:rPr>
          <w:rFonts w:ascii="Times New Roman" w:eastAsia="Times New Roman" w:hAnsi="Times New Roman" w:cs="Times New Roman"/>
          <w:highlight w:val="white"/>
        </w:rPr>
        <w:t xml:space="preserve">. Cambridge: Cambridge University </w:t>
      </w:r>
      <w:r w:rsidRPr="00DD7FBB">
        <w:rPr>
          <w:rFonts w:ascii="Times New Roman" w:eastAsia="Times New Roman" w:hAnsi="Times New Roman" w:cs="Times New Roman"/>
        </w:rPr>
        <w:t xml:space="preserve">Press, </w:t>
      </w:r>
      <w:r w:rsidRPr="00DD7FBB">
        <w:rPr>
          <w:rFonts w:ascii="Times New Roman" w:eastAsia="Times New Roman" w:hAnsi="Times New Roman" w:cs="Times New Roman"/>
          <w:iCs/>
        </w:rPr>
        <w:t>367-411</w:t>
      </w:r>
    </w:p>
    <w:p w14:paraId="29227083" w14:textId="77777777" w:rsidR="00E62A1A"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Jans, M.M., Kars, H., Nielsen-Marsh, C.M., Smith, C.I., Nord, A.G., Arthur, P. &amp; Earl, N. 2002. In-situ preservation of archaeological bone: A histological study within a multidisciplinary approach. </w:t>
      </w:r>
      <w:r w:rsidRPr="000C5AFC">
        <w:rPr>
          <w:rFonts w:ascii="Times New Roman" w:eastAsia="Times New Roman" w:hAnsi="Times New Roman" w:cs="Times New Roman"/>
          <w:i/>
          <w:iCs/>
        </w:rPr>
        <w:t>Archaeometry</w:t>
      </w:r>
      <w:r w:rsidRPr="000C5AFC">
        <w:rPr>
          <w:rFonts w:ascii="Times New Roman" w:eastAsia="Times New Roman" w:hAnsi="Times New Roman" w:cs="Times New Roman"/>
        </w:rPr>
        <w:t xml:space="preserve"> 44(3), 343–52</w:t>
      </w:r>
    </w:p>
    <w:p w14:paraId="26F94570"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Jans, M.M., Nielsen-Marsh, C.M., Smith, C.I., Collins, M.J. &amp; Kars, H. 2004. Characterisation of microbial attack on archaeological bone. </w:t>
      </w:r>
      <w:r w:rsidRPr="000C5AFC">
        <w:rPr>
          <w:rFonts w:ascii="Times New Roman" w:eastAsia="Times New Roman" w:hAnsi="Times New Roman" w:cs="Times New Roman"/>
          <w:i/>
          <w:iCs/>
        </w:rPr>
        <w:t>Journal of Archaeological Science</w:t>
      </w:r>
      <w:r w:rsidRPr="000C5AFC">
        <w:rPr>
          <w:rFonts w:ascii="Times New Roman" w:eastAsia="Times New Roman" w:hAnsi="Times New Roman" w:cs="Times New Roman"/>
        </w:rPr>
        <w:t xml:space="preserve"> 31(1), 87–95</w:t>
      </w:r>
    </w:p>
    <w:p w14:paraId="6A204FC0" w14:textId="6E347700"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Jørkov, M.L.S., Heinemeier, J. &amp; Lynnerup, N. 2009. The petrous bone</w:t>
      </w:r>
      <w:r w:rsidR="00AD3A83">
        <w:rPr>
          <w:rFonts w:ascii="Times New Roman" w:eastAsia="Times New Roman" w:hAnsi="Times New Roman" w:cs="Times New Roman"/>
        </w:rPr>
        <w:t xml:space="preserve"> – </w:t>
      </w:r>
      <w:r w:rsidRPr="00DA5DAC">
        <w:rPr>
          <w:rFonts w:ascii="Times New Roman" w:eastAsia="Times New Roman" w:hAnsi="Times New Roman" w:cs="Times New Roman"/>
        </w:rPr>
        <w:t xml:space="preserve">a new sampling site for identifying early dietary patterns in stable isotopic studies. </w:t>
      </w:r>
      <w:r w:rsidRPr="00DA5DAC">
        <w:rPr>
          <w:rFonts w:ascii="Times New Roman" w:eastAsia="Times New Roman" w:hAnsi="Times New Roman" w:cs="Times New Roman"/>
          <w:i/>
        </w:rPr>
        <w:t>American Journal of Physical Anthropology</w:t>
      </w:r>
      <w:r w:rsidR="00AD3A83">
        <w:rPr>
          <w:rFonts w:ascii="Times New Roman" w:eastAsia="Times New Roman" w:hAnsi="Times New Roman" w:cs="Times New Roman"/>
        </w:rPr>
        <w:t xml:space="preserve"> </w:t>
      </w:r>
      <w:r w:rsidRPr="00DA5DAC">
        <w:rPr>
          <w:rFonts w:ascii="Times New Roman" w:eastAsia="Times New Roman" w:hAnsi="Times New Roman" w:cs="Times New Roman"/>
        </w:rPr>
        <w:t>138(2), 199–209</w:t>
      </w:r>
    </w:p>
    <w:p w14:paraId="74A061B9" w14:textId="492222AC"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Kerns, C.J. </w:t>
      </w:r>
      <w:r w:rsidR="00AD3A83">
        <w:rPr>
          <w:rFonts w:ascii="Times New Roman" w:eastAsia="Times New Roman" w:hAnsi="Times New Roman" w:cs="Times New Roman"/>
        </w:rPr>
        <w:t>&amp;</w:t>
      </w:r>
      <w:r w:rsidRPr="00DA5DAC">
        <w:rPr>
          <w:rFonts w:ascii="Times New Roman" w:eastAsia="Times New Roman" w:hAnsi="Times New Roman" w:cs="Times New Roman"/>
        </w:rPr>
        <w:t xml:space="preserve"> Marcucci, A. 2011. A preliminary report on the 2010 excavations at Read's Cavern. </w:t>
      </w:r>
      <w:r w:rsidRPr="00DA5DAC">
        <w:rPr>
          <w:rFonts w:ascii="Times New Roman" w:eastAsia="Times New Roman" w:hAnsi="Times New Roman" w:cs="Times New Roman"/>
          <w:i/>
        </w:rPr>
        <w:t>Proceedings of the University of Bristol Spelaeological Society</w:t>
      </w:r>
      <w:r w:rsidRPr="00DA5DAC">
        <w:rPr>
          <w:rFonts w:ascii="Times New Roman" w:eastAsia="Times New Roman" w:hAnsi="Times New Roman" w:cs="Times New Roman"/>
        </w:rPr>
        <w:t xml:space="preserve"> 25(2), 165–86</w:t>
      </w:r>
    </w:p>
    <w:p w14:paraId="47D1E267" w14:textId="72CEAAA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lastRenderedPageBreak/>
        <w:t xml:space="preserve">Klales, A.R., Ousley, S.D. &amp; Vollner, J.M. 2012. A revised method of sexing the human innominate using Phenice's nonmetric traits and statistical methods. </w:t>
      </w:r>
      <w:r w:rsidRPr="00DA5DAC">
        <w:rPr>
          <w:rFonts w:ascii="Times New Roman" w:eastAsia="Times New Roman" w:hAnsi="Times New Roman" w:cs="Times New Roman"/>
          <w:i/>
        </w:rPr>
        <w:t xml:space="preserve">American Journal of Physical Anthropology </w:t>
      </w:r>
      <w:r w:rsidRPr="00AD3A83">
        <w:rPr>
          <w:rFonts w:ascii="Times New Roman" w:eastAsia="Times New Roman" w:hAnsi="Times New Roman" w:cs="Times New Roman"/>
          <w:iCs/>
        </w:rPr>
        <w:t>149(1),</w:t>
      </w:r>
      <w:r w:rsidRPr="00DA5DAC">
        <w:rPr>
          <w:rFonts w:ascii="Times New Roman" w:eastAsia="Times New Roman" w:hAnsi="Times New Roman" w:cs="Times New Roman"/>
          <w:i/>
        </w:rPr>
        <w:t xml:space="preserve"> </w:t>
      </w:r>
      <w:r w:rsidRPr="00DA5DAC">
        <w:rPr>
          <w:rFonts w:ascii="Times New Roman" w:eastAsia="Times New Roman" w:hAnsi="Times New Roman" w:cs="Times New Roman"/>
        </w:rPr>
        <w:t>104</w:t>
      </w:r>
      <w:r w:rsidR="00AD3A83">
        <w:rPr>
          <w:rFonts w:ascii="Times New Roman" w:eastAsia="Times New Roman" w:hAnsi="Times New Roman" w:cs="Times New Roman"/>
        </w:rPr>
        <w:t>–</w:t>
      </w:r>
      <w:r w:rsidRPr="00DA5DAC">
        <w:rPr>
          <w:rFonts w:ascii="Times New Roman" w:eastAsia="Times New Roman" w:hAnsi="Times New Roman" w:cs="Times New Roman"/>
        </w:rPr>
        <w:t>14</w:t>
      </w:r>
    </w:p>
    <w:p w14:paraId="59E76E58" w14:textId="474282C9"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Lane, S. 2015. New radiocarbon dates for sites around Wells. </w:t>
      </w:r>
      <w:r w:rsidRPr="00DA5DAC">
        <w:rPr>
          <w:rFonts w:ascii="Times New Roman" w:eastAsia="Times New Roman" w:hAnsi="Times New Roman" w:cs="Times New Roman"/>
          <w:i/>
        </w:rPr>
        <w:t>Somerset Archaeology and Natural History</w:t>
      </w:r>
      <w:r w:rsidR="00AD3A83">
        <w:rPr>
          <w:rFonts w:ascii="Times New Roman" w:eastAsia="Times New Roman" w:hAnsi="Times New Roman" w:cs="Times New Roman"/>
        </w:rPr>
        <w:t xml:space="preserve"> </w:t>
      </w:r>
      <w:r w:rsidRPr="00DA5DAC">
        <w:rPr>
          <w:rFonts w:ascii="Times New Roman" w:eastAsia="Times New Roman" w:hAnsi="Times New Roman" w:cs="Times New Roman"/>
        </w:rPr>
        <w:t>159, 186–90</w:t>
      </w:r>
    </w:p>
    <w:p w14:paraId="1E811983" w14:textId="5DA03900"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Levitan, B., Audsley, A., Hawkes, C., Moody, A., Moody, P., Smart, P. &amp; Thomas, J. 1988. Charterhouse Warren Farm Swallet, Mendip, Somerset. </w:t>
      </w:r>
      <w:r w:rsidRPr="00DA5DAC">
        <w:rPr>
          <w:rFonts w:ascii="Times New Roman" w:eastAsia="Times New Roman" w:hAnsi="Times New Roman" w:cs="Times New Roman"/>
          <w:i/>
        </w:rPr>
        <w:t>Proceedings of the University of Bristol Spelaeological Society</w:t>
      </w:r>
      <w:r w:rsidRPr="00DA5DAC">
        <w:rPr>
          <w:rFonts w:ascii="Times New Roman" w:eastAsia="Times New Roman" w:hAnsi="Times New Roman" w:cs="Times New Roman"/>
        </w:rPr>
        <w:t xml:space="preserve"> 18(2), 171–239</w:t>
      </w:r>
    </w:p>
    <w:p w14:paraId="284452FB" w14:textId="77777777" w:rsidR="00E62A1A"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MacAlister, A. 1886.</w:t>
      </w:r>
      <w:r w:rsidRPr="000C5AFC">
        <w:rPr>
          <w:rFonts w:ascii="Times New Roman" w:eastAsia="Times New Roman" w:hAnsi="Times New Roman" w:cs="Times New Roman"/>
          <w:i/>
          <w:iCs/>
        </w:rPr>
        <w:t xml:space="preserve"> Human and animal remains from Worlebury</w:t>
      </w:r>
      <w:r w:rsidRPr="000C5AFC">
        <w:rPr>
          <w:rFonts w:ascii="Times New Roman" w:eastAsia="Times New Roman" w:hAnsi="Times New Roman" w:cs="Times New Roman"/>
        </w:rPr>
        <w:t>. Unpublished notes. Somerset Museums Service Archive</w:t>
      </w:r>
    </w:p>
    <w:p w14:paraId="59BC6D83" w14:textId="7777777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Mallick, S., Micco, A., Mah, M., Ringbauer, H., Lazaridis, I., Olalde, I., Patterson, N. &amp; Reich, D. 2024. The Allen Ancient DNA Resource (AADR) a curated compendium of ancient human genomes. </w:t>
      </w:r>
      <w:r w:rsidRPr="00DA5DAC">
        <w:rPr>
          <w:rFonts w:ascii="Times New Roman" w:eastAsia="Times New Roman" w:hAnsi="Times New Roman" w:cs="Times New Roman"/>
          <w:i/>
        </w:rPr>
        <w:t xml:space="preserve">Scientific Data </w:t>
      </w:r>
      <w:r w:rsidRPr="00AD3A83">
        <w:rPr>
          <w:rFonts w:ascii="Times New Roman" w:eastAsia="Times New Roman" w:hAnsi="Times New Roman" w:cs="Times New Roman"/>
          <w:iCs/>
        </w:rPr>
        <w:t>11</w:t>
      </w:r>
      <w:r w:rsidRPr="00DA5DAC">
        <w:rPr>
          <w:rFonts w:ascii="Times New Roman" w:eastAsia="Times New Roman" w:hAnsi="Times New Roman" w:cs="Times New Roman"/>
        </w:rPr>
        <w:t>, 182</w:t>
      </w:r>
    </w:p>
    <w:p w14:paraId="2252BC53"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Mavroudas, S.R., Alfsdotter, C., Bricking, A. &amp; Madgwick, R. 2023. Experimental investigation of histotaphonomic changes in human bone from whole-body donors demonstrates limited effects of early post-mortem change in bone.</w:t>
      </w:r>
      <w:r w:rsidRPr="000C5AFC">
        <w:rPr>
          <w:rFonts w:ascii="Times New Roman" w:eastAsia="Times New Roman" w:hAnsi="Times New Roman" w:cs="Times New Roman"/>
          <w:i/>
          <w:iCs/>
        </w:rPr>
        <w:t xml:space="preserve"> Journal of Archaeological Science</w:t>
      </w:r>
      <w:r w:rsidRPr="000C5AFC">
        <w:rPr>
          <w:rFonts w:ascii="Times New Roman" w:eastAsia="Times New Roman" w:hAnsi="Times New Roman" w:cs="Times New Roman"/>
        </w:rPr>
        <w:t xml:space="preserve"> 154, 1–10</w:t>
      </w:r>
    </w:p>
    <w:p w14:paraId="2CC219E6" w14:textId="50654915"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Mays, S. &amp; Brickley, M. 2004. </w:t>
      </w:r>
      <w:r w:rsidRPr="00DA5DAC">
        <w:rPr>
          <w:rFonts w:ascii="Times New Roman" w:eastAsia="Times New Roman" w:hAnsi="Times New Roman" w:cs="Times New Roman"/>
          <w:i/>
        </w:rPr>
        <w:t>Human Bones from Archaeological Sites. Guidelines for Producing Assessment Documents and Analytical Reports.</w:t>
      </w:r>
      <w:r w:rsidRPr="00DA5DAC">
        <w:rPr>
          <w:rFonts w:ascii="Times New Roman" w:eastAsia="Times New Roman" w:hAnsi="Times New Roman" w:cs="Times New Roman"/>
        </w:rPr>
        <w:t xml:space="preserve"> </w:t>
      </w:r>
      <w:r w:rsidR="00AD3A83">
        <w:rPr>
          <w:rFonts w:ascii="Times New Roman" w:eastAsia="Times New Roman" w:hAnsi="Times New Roman" w:cs="Times New Roman"/>
        </w:rPr>
        <w:t xml:space="preserve">London: </w:t>
      </w:r>
      <w:r w:rsidRPr="00DA5DAC">
        <w:rPr>
          <w:rFonts w:ascii="Times New Roman" w:eastAsia="Times New Roman" w:hAnsi="Times New Roman" w:cs="Times New Roman"/>
        </w:rPr>
        <w:t>Centre for Archaeology, English Heritage and The British Association of Biological Anthropology and Osteoarchaeology</w:t>
      </w:r>
    </w:p>
    <w:p w14:paraId="2D686832" w14:textId="1EC056B9"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 xml:space="preserve">Mays, S., Stark, S., Zakrzewski, S. &amp; Vekony, A. 2024. Which types of bony changes in the maxillary sinus indicate chronic sinusitis? </w:t>
      </w:r>
      <w:r w:rsidRPr="00DA5DAC">
        <w:rPr>
          <w:rFonts w:ascii="Times New Roman" w:eastAsia="Times New Roman" w:hAnsi="Times New Roman" w:cs="Times New Roman"/>
          <w:i/>
          <w:highlight w:val="white"/>
        </w:rPr>
        <w:t>International Journal of Paleopathology</w:t>
      </w:r>
      <w:r w:rsidRPr="00DA5DAC">
        <w:rPr>
          <w:rFonts w:ascii="Times New Roman" w:eastAsia="Times New Roman" w:hAnsi="Times New Roman" w:cs="Times New Roman"/>
          <w:highlight w:val="white"/>
        </w:rPr>
        <w:t xml:space="preserve"> 46, 16</w:t>
      </w:r>
      <w:r w:rsidR="00AD3A83">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23 </w:t>
      </w:r>
    </w:p>
    <w:p w14:paraId="1971FF43" w14:textId="364D997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McKinley, J. 2004. Compiling a skeletal inventory: </w:t>
      </w:r>
      <w:r w:rsidR="00AD3A83">
        <w:rPr>
          <w:rFonts w:ascii="Times New Roman" w:eastAsia="Times New Roman" w:hAnsi="Times New Roman" w:cs="Times New Roman"/>
        </w:rPr>
        <w:t>D</w:t>
      </w:r>
      <w:r w:rsidRPr="00DA5DAC">
        <w:rPr>
          <w:rFonts w:ascii="Times New Roman" w:eastAsia="Times New Roman" w:hAnsi="Times New Roman" w:cs="Times New Roman"/>
        </w:rPr>
        <w:t xml:space="preserve">isarticulated and co–mingled remains. In M. Brickley </w:t>
      </w:r>
      <w:r w:rsidR="00AD3A83">
        <w:rPr>
          <w:rFonts w:ascii="Times New Roman" w:eastAsia="Times New Roman" w:hAnsi="Times New Roman" w:cs="Times New Roman"/>
        </w:rPr>
        <w:t>&amp;</w:t>
      </w:r>
      <w:r w:rsidRPr="00DA5DAC">
        <w:rPr>
          <w:rFonts w:ascii="Times New Roman" w:eastAsia="Times New Roman" w:hAnsi="Times New Roman" w:cs="Times New Roman"/>
        </w:rPr>
        <w:t xml:space="preserve"> J. McKinley (eds), </w:t>
      </w:r>
      <w:r w:rsidRPr="00DA5DAC">
        <w:rPr>
          <w:rFonts w:ascii="Times New Roman" w:eastAsia="Times New Roman" w:hAnsi="Times New Roman" w:cs="Times New Roman"/>
          <w:i/>
        </w:rPr>
        <w:t>Guidelines to the Standards for Recording Human Remains</w:t>
      </w:r>
      <w:r w:rsidR="00AD3A83" w:rsidRPr="00DA5DAC">
        <w:rPr>
          <w:rFonts w:ascii="Times New Roman" w:eastAsia="Times New Roman" w:hAnsi="Times New Roman" w:cs="Times New Roman"/>
        </w:rPr>
        <w:t>, 14–17</w:t>
      </w:r>
      <w:r w:rsidRPr="00DA5DAC">
        <w:rPr>
          <w:rFonts w:ascii="Times New Roman" w:eastAsia="Times New Roman" w:hAnsi="Times New Roman" w:cs="Times New Roman"/>
          <w:i/>
        </w:rPr>
        <w:t xml:space="preserve">. </w:t>
      </w:r>
      <w:r w:rsidR="00AD3A83" w:rsidRPr="00AD3A83">
        <w:rPr>
          <w:rFonts w:ascii="Times New Roman" w:eastAsia="Times New Roman" w:hAnsi="Times New Roman" w:cs="Times New Roman"/>
          <w:iCs/>
        </w:rPr>
        <w:t>London:</w:t>
      </w:r>
      <w:r w:rsidR="00AD3A83">
        <w:rPr>
          <w:rFonts w:ascii="Times New Roman" w:eastAsia="Times New Roman" w:hAnsi="Times New Roman" w:cs="Times New Roman"/>
          <w:i/>
        </w:rPr>
        <w:t xml:space="preserve"> </w:t>
      </w:r>
      <w:r w:rsidRPr="00DA5DAC">
        <w:rPr>
          <w:rFonts w:ascii="Times New Roman" w:eastAsia="Times New Roman" w:hAnsi="Times New Roman" w:cs="Times New Roman"/>
        </w:rPr>
        <w:t>BABAO</w:t>
      </w:r>
    </w:p>
    <w:p w14:paraId="455A708D" w14:textId="37FEE0B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Millard, A.R. 2001. Deterioration of bone. In</w:t>
      </w:r>
      <w:r w:rsidR="00AD3A83" w:rsidRPr="00DA5DAC">
        <w:rPr>
          <w:rFonts w:ascii="Times New Roman" w:eastAsia="Times New Roman" w:hAnsi="Times New Roman" w:cs="Times New Roman"/>
        </w:rPr>
        <w:t xml:space="preserve"> A.M. </w:t>
      </w:r>
      <w:r w:rsidRPr="00DA5DAC">
        <w:rPr>
          <w:rFonts w:ascii="Times New Roman" w:eastAsia="Times New Roman" w:hAnsi="Times New Roman" w:cs="Times New Roman"/>
        </w:rPr>
        <w:t>Pollard</w:t>
      </w:r>
      <w:r w:rsidR="00AD3A83">
        <w:rPr>
          <w:rFonts w:ascii="Times New Roman" w:eastAsia="Times New Roman" w:hAnsi="Times New Roman" w:cs="Times New Roman"/>
        </w:rPr>
        <w:t xml:space="preserve"> &amp;</w:t>
      </w:r>
      <w:r w:rsidRPr="00DA5DAC">
        <w:rPr>
          <w:rFonts w:ascii="Times New Roman" w:eastAsia="Times New Roman" w:hAnsi="Times New Roman" w:cs="Times New Roman"/>
        </w:rPr>
        <w:t xml:space="preserve"> </w:t>
      </w:r>
      <w:r w:rsidR="00AD3A83" w:rsidRPr="00DA5DAC">
        <w:rPr>
          <w:rFonts w:ascii="Times New Roman" w:eastAsia="Times New Roman" w:hAnsi="Times New Roman" w:cs="Times New Roman"/>
        </w:rPr>
        <w:t xml:space="preserve">D. </w:t>
      </w:r>
      <w:r w:rsidRPr="00DA5DAC">
        <w:rPr>
          <w:rFonts w:ascii="Times New Roman" w:eastAsia="Times New Roman" w:hAnsi="Times New Roman" w:cs="Times New Roman"/>
        </w:rPr>
        <w:t>Brothwell (</w:t>
      </w:r>
      <w:r w:rsidR="00AD3A83">
        <w:rPr>
          <w:rFonts w:ascii="Times New Roman" w:eastAsia="Times New Roman" w:hAnsi="Times New Roman" w:cs="Times New Roman"/>
        </w:rPr>
        <w:t>e</w:t>
      </w:r>
      <w:r w:rsidRPr="00DA5DAC">
        <w:rPr>
          <w:rFonts w:ascii="Times New Roman" w:eastAsia="Times New Roman" w:hAnsi="Times New Roman" w:cs="Times New Roman"/>
        </w:rPr>
        <w:t>ds)</w:t>
      </w:r>
      <w:r w:rsidR="00AD3A83">
        <w:rPr>
          <w:rFonts w:ascii="Times New Roman" w:eastAsia="Times New Roman" w:hAnsi="Times New Roman" w:cs="Times New Roman"/>
        </w:rPr>
        <w:t>,</w:t>
      </w:r>
      <w:r w:rsidRPr="00DA5DAC">
        <w:rPr>
          <w:rFonts w:ascii="Times New Roman" w:eastAsia="Times New Roman" w:hAnsi="Times New Roman" w:cs="Times New Roman"/>
        </w:rPr>
        <w:t xml:space="preserve"> </w:t>
      </w:r>
      <w:r w:rsidRPr="00DA5DAC">
        <w:rPr>
          <w:rFonts w:ascii="Times New Roman" w:eastAsia="Times New Roman" w:hAnsi="Times New Roman" w:cs="Times New Roman"/>
          <w:i/>
        </w:rPr>
        <w:t>Handbook of Archaeological Sciences</w:t>
      </w:r>
      <w:r w:rsidR="00AD3A83" w:rsidRPr="00DA5DAC">
        <w:rPr>
          <w:rFonts w:ascii="Times New Roman" w:eastAsia="Times New Roman" w:hAnsi="Times New Roman" w:cs="Times New Roman"/>
        </w:rPr>
        <w:t>, 637</w:t>
      </w:r>
      <w:r w:rsidR="00AD3A83">
        <w:rPr>
          <w:rFonts w:ascii="Times New Roman" w:eastAsia="Times New Roman" w:hAnsi="Times New Roman" w:cs="Times New Roman"/>
        </w:rPr>
        <w:t>–</w:t>
      </w:r>
      <w:r w:rsidR="00AD3A83" w:rsidRPr="00DA5DAC">
        <w:rPr>
          <w:rFonts w:ascii="Times New Roman" w:eastAsia="Times New Roman" w:hAnsi="Times New Roman" w:cs="Times New Roman"/>
        </w:rPr>
        <w:t>47</w:t>
      </w:r>
      <w:r w:rsidRPr="00DA5DAC">
        <w:rPr>
          <w:rFonts w:ascii="Times New Roman" w:eastAsia="Times New Roman" w:hAnsi="Times New Roman" w:cs="Times New Roman"/>
        </w:rPr>
        <w:t>. New York</w:t>
      </w:r>
      <w:r w:rsidR="00AD3A83">
        <w:rPr>
          <w:rFonts w:ascii="Times New Roman" w:eastAsia="Times New Roman" w:hAnsi="Times New Roman" w:cs="Times New Roman"/>
        </w:rPr>
        <w:t>, NY</w:t>
      </w:r>
      <w:r w:rsidRPr="00DA5DAC">
        <w:rPr>
          <w:rFonts w:ascii="Times New Roman" w:eastAsia="Times New Roman" w:hAnsi="Times New Roman" w:cs="Times New Roman"/>
        </w:rPr>
        <w:t>: Wiley</w:t>
      </w:r>
    </w:p>
    <w:p w14:paraId="399CA871" w14:textId="10949D7A"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Milner, G</w:t>
      </w:r>
      <w:r w:rsidR="00AD3A83">
        <w:rPr>
          <w:rFonts w:ascii="Times New Roman" w:eastAsia="Times New Roman" w:hAnsi="Times New Roman" w:cs="Times New Roman"/>
        </w:rPr>
        <w:t>.</w:t>
      </w:r>
      <w:r w:rsidRPr="00DA5DAC">
        <w:rPr>
          <w:rFonts w:ascii="Times New Roman" w:eastAsia="Times New Roman" w:hAnsi="Times New Roman" w:cs="Times New Roman"/>
        </w:rPr>
        <w:t xml:space="preserve"> &amp; Boldsen J. 2012. Transition analysis: </w:t>
      </w:r>
      <w:r w:rsidR="00AD3A83">
        <w:rPr>
          <w:rFonts w:ascii="Times New Roman" w:eastAsia="Times New Roman" w:hAnsi="Times New Roman" w:cs="Times New Roman"/>
        </w:rPr>
        <w:t>A</w:t>
      </w:r>
      <w:r w:rsidRPr="00DA5DAC">
        <w:rPr>
          <w:rFonts w:ascii="Times New Roman" w:eastAsia="Times New Roman" w:hAnsi="Times New Roman" w:cs="Times New Roman"/>
        </w:rPr>
        <w:t xml:space="preserve"> validation study with known-age modern American skeletons. </w:t>
      </w:r>
      <w:r w:rsidRPr="00DA5DAC">
        <w:rPr>
          <w:rFonts w:ascii="Times New Roman" w:eastAsia="Times New Roman" w:hAnsi="Times New Roman" w:cs="Times New Roman"/>
          <w:i/>
        </w:rPr>
        <w:t xml:space="preserve">American Journal of Physical Anthropology </w:t>
      </w:r>
      <w:r w:rsidRPr="00AD3A83">
        <w:rPr>
          <w:rFonts w:ascii="Times New Roman" w:eastAsia="Times New Roman" w:hAnsi="Times New Roman" w:cs="Times New Roman"/>
          <w:iCs/>
        </w:rPr>
        <w:t>148(1),</w:t>
      </w:r>
      <w:r w:rsidRPr="00DA5DAC">
        <w:rPr>
          <w:rFonts w:ascii="Times New Roman" w:eastAsia="Times New Roman" w:hAnsi="Times New Roman" w:cs="Times New Roman"/>
        </w:rPr>
        <w:t xml:space="preserve"> 98</w:t>
      </w:r>
      <w:r w:rsidR="00AD3A83">
        <w:rPr>
          <w:rFonts w:ascii="Times New Roman" w:eastAsia="Times New Roman" w:hAnsi="Times New Roman" w:cs="Times New Roman"/>
        </w:rPr>
        <w:t>–</w:t>
      </w:r>
      <w:r w:rsidRPr="00DA5DAC">
        <w:rPr>
          <w:rFonts w:ascii="Times New Roman" w:eastAsia="Times New Roman" w:hAnsi="Times New Roman" w:cs="Times New Roman"/>
        </w:rPr>
        <w:t>110</w:t>
      </w:r>
    </w:p>
    <w:p w14:paraId="49F6BB03" w14:textId="7FE4D0D6"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Mitchell, P. &amp; Brickley, M. 201</w:t>
      </w:r>
      <w:r w:rsidR="0040451C">
        <w:rPr>
          <w:rFonts w:ascii="Times New Roman" w:eastAsia="Times New Roman" w:hAnsi="Times New Roman" w:cs="Times New Roman"/>
        </w:rPr>
        <w:t>7.</w:t>
      </w:r>
      <w:r w:rsidRPr="00DA5DAC">
        <w:rPr>
          <w:rFonts w:ascii="Times New Roman" w:eastAsia="Times New Roman" w:hAnsi="Times New Roman" w:cs="Times New Roman"/>
        </w:rPr>
        <w:t xml:space="preserve"> </w:t>
      </w:r>
      <w:r w:rsidRPr="00DA5DAC">
        <w:rPr>
          <w:rFonts w:ascii="Times New Roman" w:eastAsia="Times New Roman" w:hAnsi="Times New Roman" w:cs="Times New Roman"/>
          <w:i/>
        </w:rPr>
        <w:t>Updated Guidelines to the Standards for Recording Human Remains</w:t>
      </w:r>
      <w:r w:rsidRPr="00DA5DAC">
        <w:rPr>
          <w:rFonts w:ascii="Times New Roman" w:eastAsia="Times New Roman" w:hAnsi="Times New Roman" w:cs="Times New Roman"/>
        </w:rPr>
        <w:t xml:space="preserve">. </w:t>
      </w:r>
      <w:r w:rsidR="0048461C" w:rsidRPr="0048461C">
        <w:rPr>
          <w:rFonts w:ascii="Times New Roman" w:eastAsia="Times New Roman" w:hAnsi="Times New Roman" w:cs="Times New Roman"/>
        </w:rPr>
        <w:t xml:space="preserve">Reading: </w:t>
      </w:r>
      <w:r w:rsidRPr="0048461C">
        <w:rPr>
          <w:rFonts w:ascii="Times New Roman" w:eastAsia="Times New Roman" w:hAnsi="Times New Roman" w:cs="Times New Roman"/>
        </w:rPr>
        <w:t>Chartered Institute for Archaeologists/British Association for Biological Anthropology and Osteoarchaeology</w:t>
      </w:r>
    </w:p>
    <w:p w14:paraId="19713244" w14:textId="004097B1" w:rsidR="000E5EA3"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Mullan, G.J. &amp; Boycott, A.J. 2005. Archaeological note: </w:t>
      </w:r>
      <w:r w:rsidR="008D5609">
        <w:rPr>
          <w:rFonts w:ascii="Times New Roman" w:eastAsia="Times New Roman" w:hAnsi="Times New Roman" w:cs="Times New Roman"/>
        </w:rPr>
        <w:t>S</w:t>
      </w:r>
      <w:r w:rsidRPr="00DA5DAC">
        <w:rPr>
          <w:rFonts w:ascii="Times New Roman" w:eastAsia="Times New Roman" w:hAnsi="Times New Roman" w:cs="Times New Roman"/>
        </w:rPr>
        <w:t xml:space="preserve">keletal material recovered from Tyning’s Great Swallet, Charterhouse-on-Mendip, Somerset. </w:t>
      </w:r>
      <w:r w:rsidRPr="00DA5DAC">
        <w:rPr>
          <w:rFonts w:ascii="Times New Roman" w:eastAsia="Times New Roman" w:hAnsi="Times New Roman" w:cs="Times New Roman"/>
          <w:i/>
        </w:rPr>
        <w:t>Proceedings of the University of Bristol Spelaeological Society</w:t>
      </w:r>
      <w:r w:rsidR="008D5609">
        <w:rPr>
          <w:rFonts w:ascii="Times New Roman" w:eastAsia="Times New Roman" w:hAnsi="Times New Roman" w:cs="Times New Roman"/>
        </w:rPr>
        <w:t xml:space="preserve"> </w:t>
      </w:r>
      <w:r w:rsidRPr="00DA5DAC">
        <w:rPr>
          <w:rFonts w:ascii="Times New Roman" w:eastAsia="Times New Roman" w:hAnsi="Times New Roman" w:cs="Times New Roman"/>
        </w:rPr>
        <w:t>23(2), 135–40</w:t>
      </w:r>
    </w:p>
    <w:p w14:paraId="0EABE5AD" w14:textId="2F24D61E" w:rsidR="00BB3B88" w:rsidRPr="00BB3B88" w:rsidRDefault="00BB3B88" w:rsidP="0058669A">
      <w:pPr>
        <w:spacing w:line="240" w:lineRule="auto"/>
        <w:ind w:left="709" w:hanging="709"/>
        <w:jc w:val="both"/>
        <w:rPr>
          <w:rFonts w:ascii="Times New Roman" w:eastAsia="Times New Roman" w:hAnsi="Times New Roman" w:cs="Times New Roman"/>
        </w:rPr>
      </w:pPr>
      <w:r w:rsidRPr="00BB3B88">
        <w:rPr>
          <w:rFonts w:ascii="Times New Roman" w:eastAsia="Times New Roman" w:hAnsi="Times New Roman" w:cs="Times New Roman"/>
        </w:rPr>
        <w:t>Mulville, J., Madgwick, R., Powell, A., &amp; Parker Pearson, M. 2012. Flesh on the bones: Animal bodies in Atlantic roundhouses. In A. Pluskowski (</w:t>
      </w:r>
      <w:r>
        <w:rPr>
          <w:rFonts w:ascii="Times New Roman" w:eastAsia="Times New Roman" w:hAnsi="Times New Roman" w:cs="Times New Roman"/>
        </w:rPr>
        <w:t>e</w:t>
      </w:r>
      <w:r w:rsidRPr="00BB3B88">
        <w:rPr>
          <w:rFonts w:ascii="Times New Roman" w:eastAsia="Times New Roman" w:hAnsi="Times New Roman" w:cs="Times New Roman"/>
        </w:rPr>
        <w:t xml:space="preserve">d.), </w:t>
      </w:r>
      <w:r w:rsidRPr="00BB3B88">
        <w:rPr>
          <w:rFonts w:ascii="Times New Roman" w:eastAsia="Times New Roman" w:hAnsi="Times New Roman" w:cs="Times New Roman"/>
          <w:i/>
          <w:iCs/>
        </w:rPr>
        <w:t>The ritual killing and burial of animals: European perspective</w:t>
      </w:r>
      <w:r>
        <w:rPr>
          <w:rFonts w:ascii="Times New Roman" w:eastAsia="Times New Roman" w:hAnsi="Times New Roman" w:cs="Times New Roman"/>
          <w:i/>
          <w:iCs/>
        </w:rPr>
        <w:t xml:space="preserve">s. </w:t>
      </w:r>
      <w:r>
        <w:rPr>
          <w:rFonts w:ascii="Times New Roman" w:eastAsia="Times New Roman" w:hAnsi="Times New Roman" w:cs="Times New Roman"/>
        </w:rPr>
        <w:t>Oxford: Oxbow, 208-221</w:t>
      </w:r>
    </w:p>
    <w:p w14:paraId="26A21BD1" w14:textId="4775D652"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O’Connell, T.C., Kneale, C.J., Tasevska, N. &amp; Kuhnle, G.G.C. 2012. The diet-body offset in human nitrogen isotopic values: </w:t>
      </w:r>
      <w:r w:rsidR="008D5609">
        <w:rPr>
          <w:rFonts w:ascii="Times New Roman" w:eastAsia="Times New Roman" w:hAnsi="Times New Roman" w:cs="Times New Roman"/>
        </w:rPr>
        <w:t>A</w:t>
      </w:r>
      <w:r w:rsidRPr="00DA5DAC">
        <w:rPr>
          <w:rFonts w:ascii="Times New Roman" w:eastAsia="Times New Roman" w:hAnsi="Times New Roman" w:cs="Times New Roman"/>
        </w:rPr>
        <w:t xml:space="preserve"> controlled dietary study. </w:t>
      </w:r>
      <w:r w:rsidRPr="00DA5DAC">
        <w:rPr>
          <w:rFonts w:ascii="Times New Roman" w:eastAsia="Times New Roman" w:hAnsi="Times New Roman" w:cs="Times New Roman"/>
          <w:i/>
        </w:rPr>
        <w:t xml:space="preserve">American Journal of Physical Anthropology </w:t>
      </w:r>
      <w:r w:rsidRPr="008D5609">
        <w:rPr>
          <w:rFonts w:ascii="Times New Roman" w:eastAsia="Times New Roman" w:hAnsi="Times New Roman" w:cs="Times New Roman"/>
          <w:iCs/>
        </w:rPr>
        <w:t>149(3), 426</w:t>
      </w:r>
      <w:r w:rsidRPr="00DA5DAC">
        <w:rPr>
          <w:rFonts w:ascii="Times New Roman" w:eastAsia="Times New Roman" w:hAnsi="Times New Roman" w:cs="Times New Roman"/>
        </w:rPr>
        <w:t>–34</w:t>
      </w:r>
    </w:p>
    <w:p w14:paraId="3411F4D9" w14:textId="35B8F25A"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 xml:space="preserve">Ogden, A.R., Pinhasi, R. &amp; White, W.J. 2007. Gross enamel hypoplasia in molars from subadults in a 16th-18th century London graveyard. </w:t>
      </w:r>
      <w:r w:rsidRPr="00DA5DAC">
        <w:rPr>
          <w:rFonts w:ascii="Times New Roman" w:eastAsia="Times New Roman" w:hAnsi="Times New Roman" w:cs="Times New Roman"/>
          <w:i/>
          <w:highlight w:val="white"/>
        </w:rPr>
        <w:t>American Journal of Physical Anthropology</w:t>
      </w:r>
      <w:r w:rsidRPr="00DA5DAC">
        <w:rPr>
          <w:rFonts w:ascii="Times New Roman" w:eastAsia="Times New Roman" w:hAnsi="Times New Roman" w:cs="Times New Roman"/>
          <w:highlight w:val="white"/>
        </w:rPr>
        <w:t xml:space="preserve"> 133(3), 957</w:t>
      </w:r>
      <w:r w:rsidR="0077082B">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66</w:t>
      </w:r>
    </w:p>
    <w:p w14:paraId="2FEAED18" w14:textId="6FE9FB92"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Ortner, D. 2003. </w:t>
      </w:r>
      <w:r w:rsidRPr="00DA5DAC">
        <w:rPr>
          <w:rFonts w:ascii="Times New Roman" w:eastAsia="Times New Roman" w:hAnsi="Times New Roman" w:cs="Times New Roman"/>
          <w:i/>
        </w:rPr>
        <w:t>Identification of Pathological Conditions in Human Skeletal Remains.</w:t>
      </w:r>
      <w:r w:rsidRPr="00DA5DAC">
        <w:rPr>
          <w:rFonts w:ascii="Times New Roman" w:eastAsia="Times New Roman" w:hAnsi="Times New Roman" w:cs="Times New Roman"/>
        </w:rPr>
        <w:t xml:space="preserve"> </w:t>
      </w:r>
      <w:r w:rsidR="0077082B" w:rsidRPr="0048461C">
        <w:rPr>
          <w:rFonts w:ascii="Times New Roman" w:eastAsia="Times New Roman" w:hAnsi="Times New Roman" w:cs="Times New Roman"/>
        </w:rPr>
        <w:t>San Diego, CA</w:t>
      </w:r>
      <w:r w:rsidRPr="0048461C">
        <w:rPr>
          <w:rFonts w:ascii="Times New Roman" w:eastAsia="Times New Roman" w:hAnsi="Times New Roman" w:cs="Times New Roman"/>
        </w:rPr>
        <w:t>:</w:t>
      </w:r>
      <w:r w:rsidRPr="00DA5DAC">
        <w:rPr>
          <w:rFonts w:ascii="Times New Roman" w:eastAsia="Times New Roman" w:hAnsi="Times New Roman" w:cs="Times New Roman"/>
        </w:rPr>
        <w:t xml:space="preserve"> Academic Press</w:t>
      </w:r>
    </w:p>
    <w:p w14:paraId="62967766" w14:textId="74F58AED"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Patterson, N., Moorjani, P., Luo, Y., Mallick, S., Rohland, N., Zhan, Y., Genschoreck, T., Webster, T., &amp; Reich, D. 2012. Ancient admixture in human history. </w:t>
      </w:r>
      <w:r w:rsidRPr="00DA5DAC">
        <w:rPr>
          <w:rFonts w:ascii="Times New Roman" w:eastAsia="Times New Roman" w:hAnsi="Times New Roman" w:cs="Times New Roman"/>
          <w:i/>
        </w:rPr>
        <w:t>Genetics </w:t>
      </w:r>
      <w:r w:rsidRPr="0077082B">
        <w:rPr>
          <w:rFonts w:ascii="Times New Roman" w:eastAsia="Times New Roman" w:hAnsi="Times New Roman" w:cs="Times New Roman"/>
          <w:iCs/>
        </w:rPr>
        <w:t>192(3),</w:t>
      </w:r>
      <w:r w:rsidRPr="00DA5DAC">
        <w:rPr>
          <w:rFonts w:ascii="Times New Roman" w:eastAsia="Times New Roman" w:hAnsi="Times New Roman" w:cs="Times New Roman"/>
        </w:rPr>
        <w:t xml:space="preserve"> 1065</w:t>
      </w:r>
      <w:r w:rsidR="0077082B">
        <w:rPr>
          <w:rFonts w:ascii="Times New Roman" w:eastAsia="Times New Roman" w:hAnsi="Times New Roman" w:cs="Times New Roman"/>
        </w:rPr>
        <w:t>–</w:t>
      </w:r>
      <w:r w:rsidRPr="00DA5DAC">
        <w:rPr>
          <w:rFonts w:ascii="Times New Roman" w:eastAsia="Times New Roman" w:hAnsi="Times New Roman" w:cs="Times New Roman"/>
        </w:rPr>
        <w:t>93</w:t>
      </w:r>
    </w:p>
    <w:p w14:paraId="416F8169" w14:textId="3C088852"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Quinn, P. 1999. </w:t>
      </w:r>
      <w:r w:rsidRPr="00DA5DAC">
        <w:rPr>
          <w:rFonts w:ascii="Times New Roman" w:eastAsia="Times New Roman" w:hAnsi="Times New Roman" w:cs="Times New Roman"/>
          <w:i/>
        </w:rPr>
        <w:t xml:space="preserve">Holy </w:t>
      </w:r>
      <w:r w:rsidR="0077082B">
        <w:rPr>
          <w:rFonts w:ascii="Times New Roman" w:eastAsia="Times New Roman" w:hAnsi="Times New Roman" w:cs="Times New Roman"/>
          <w:i/>
        </w:rPr>
        <w:t>W</w:t>
      </w:r>
      <w:r w:rsidRPr="00DA5DAC">
        <w:rPr>
          <w:rFonts w:ascii="Times New Roman" w:eastAsia="Times New Roman" w:hAnsi="Times New Roman" w:cs="Times New Roman"/>
          <w:i/>
        </w:rPr>
        <w:t xml:space="preserve">ells of Bath and Bristol </w:t>
      </w:r>
      <w:r w:rsidR="0077082B">
        <w:rPr>
          <w:rFonts w:ascii="Times New Roman" w:eastAsia="Times New Roman" w:hAnsi="Times New Roman" w:cs="Times New Roman"/>
          <w:i/>
        </w:rPr>
        <w:t>R</w:t>
      </w:r>
      <w:r w:rsidRPr="00DA5DAC">
        <w:rPr>
          <w:rFonts w:ascii="Times New Roman" w:eastAsia="Times New Roman" w:hAnsi="Times New Roman" w:cs="Times New Roman"/>
          <w:i/>
        </w:rPr>
        <w:t>egion: v. 6 (Monuments in the Landscape)</w:t>
      </w:r>
      <w:r w:rsidRPr="00DA5DAC">
        <w:rPr>
          <w:rFonts w:ascii="Times New Roman" w:eastAsia="Times New Roman" w:hAnsi="Times New Roman" w:cs="Times New Roman"/>
        </w:rPr>
        <w:t>. Hereford: Logaston Press</w:t>
      </w:r>
    </w:p>
    <w:p w14:paraId="713F5DE3"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Rainsford, C. &amp; Roberts, D. 2013. Taboo or not taboo? Fish, wealth and landscape in Iron Age Britain. </w:t>
      </w:r>
      <w:r w:rsidRPr="000C5AFC">
        <w:rPr>
          <w:rFonts w:ascii="Times New Roman" w:eastAsia="Times New Roman" w:hAnsi="Times New Roman" w:cs="Times New Roman"/>
          <w:i/>
          <w:iCs/>
        </w:rPr>
        <w:t xml:space="preserve">Archaeological Review from Cambridge </w:t>
      </w:r>
      <w:r w:rsidRPr="000C5AFC">
        <w:rPr>
          <w:rFonts w:ascii="Times New Roman" w:eastAsia="Times New Roman" w:hAnsi="Times New Roman" w:cs="Times New Roman"/>
        </w:rPr>
        <w:t>28(2), 32–47</w:t>
      </w:r>
    </w:p>
    <w:p w14:paraId="42951A94" w14:textId="5A24A52B" w:rsidR="00C13ECA" w:rsidRDefault="00C13ECA" w:rsidP="0058669A">
      <w:pPr>
        <w:spacing w:line="240" w:lineRule="auto"/>
        <w:ind w:left="709" w:hanging="709"/>
        <w:jc w:val="both"/>
        <w:rPr>
          <w:rFonts w:ascii="Times New Roman" w:eastAsia="Times New Roman" w:hAnsi="Times New Roman" w:cs="Times New Roman"/>
          <w:sz w:val="24"/>
          <w:szCs w:val="24"/>
        </w:rPr>
      </w:pPr>
      <w:r w:rsidRPr="00C13ECA">
        <w:rPr>
          <w:rFonts w:ascii="Times New Roman" w:eastAsia="Times New Roman" w:hAnsi="Times New Roman" w:cs="Times New Roman"/>
          <w:sz w:val="24"/>
          <w:szCs w:val="24"/>
        </w:rPr>
        <w:lastRenderedPageBreak/>
        <w:t>Richards, M.P. 2020</w:t>
      </w:r>
      <w:r>
        <w:rPr>
          <w:rFonts w:ascii="Times New Roman" w:eastAsia="Times New Roman" w:hAnsi="Times New Roman" w:cs="Times New Roman"/>
          <w:sz w:val="24"/>
          <w:szCs w:val="24"/>
        </w:rPr>
        <w:t xml:space="preserve">. </w:t>
      </w:r>
      <w:r w:rsidRPr="00C13ECA">
        <w:rPr>
          <w:rFonts w:ascii="Times New Roman" w:eastAsia="Times New Roman" w:hAnsi="Times New Roman" w:cs="Times New Roman"/>
          <w:sz w:val="24"/>
          <w:szCs w:val="24"/>
        </w:rPr>
        <w:t xml:space="preserve">Isotope </w:t>
      </w:r>
      <w:r>
        <w:rPr>
          <w:rFonts w:ascii="Times New Roman" w:eastAsia="Times New Roman" w:hAnsi="Times New Roman" w:cs="Times New Roman"/>
          <w:sz w:val="24"/>
          <w:szCs w:val="24"/>
        </w:rPr>
        <w:t>a</w:t>
      </w:r>
      <w:r w:rsidRPr="00C13ECA">
        <w:rPr>
          <w:rFonts w:ascii="Times New Roman" w:eastAsia="Times New Roman" w:hAnsi="Times New Roman" w:cs="Times New Roman"/>
          <w:sz w:val="24"/>
          <w:szCs w:val="24"/>
        </w:rPr>
        <w:t xml:space="preserve">nalysis for </w:t>
      </w:r>
      <w:r>
        <w:rPr>
          <w:rFonts w:ascii="Times New Roman" w:eastAsia="Times New Roman" w:hAnsi="Times New Roman" w:cs="Times New Roman"/>
          <w:sz w:val="24"/>
          <w:szCs w:val="24"/>
        </w:rPr>
        <w:t>d</w:t>
      </w:r>
      <w:r w:rsidRPr="00C13ECA">
        <w:rPr>
          <w:rFonts w:ascii="Times New Roman" w:eastAsia="Times New Roman" w:hAnsi="Times New Roman" w:cs="Times New Roman"/>
          <w:sz w:val="24"/>
          <w:szCs w:val="24"/>
        </w:rPr>
        <w:t xml:space="preserve">iet </w:t>
      </w:r>
      <w:r>
        <w:rPr>
          <w:rFonts w:ascii="Times New Roman" w:eastAsia="Times New Roman" w:hAnsi="Times New Roman" w:cs="Times New Roman"/>
          <w:sz w:val="24"/>
          <w:szCs w:val="24"/>
        </w:rPr>
        <w:t>s</w:t>
      </w:r>
      <w:r w:rsidRPr="00C13ECA">
        <w:rPr>
          <w:rFonts w:ascii="Times New Roman" w:eastAsia="Times New Roman" w:hAnsi="Times New Roman" w:cs="Times New Roman"/>
          <w:sz w:val="24"/>
          <w:szCs w:val="24"/>
        </w:rPr>
        <w:t xml:space="preserve">tudies’, in M.P. Richards and K. Britton (eds.) </w:t>
      </w:r>
      <w:r w:rsidRPr="00C13ECA">
        <w:rPr>
          <w:rFonts w:ascii="Times New Roman" w:eastAsia="Times New Roman" w:hAnsi="Times New Roman" w:cs="Times New Roman"/>
          <w:i/>
          <w:iCs/>
          <w:sz w:val="24"/>
          <w:szCs w:val="24"/>
        </w:rPr>
        <w:t>Archaeological Science: An Introduction.</w:t>
      </w:r>
      <w:r w:rsidRPr="00C13ECA">
        <w:rPr>
          <w:rFonts w:ascii="Times New Roman" w:eastAsia="Times New Roman" w:hAnsi="Times New Roman" w:cs="Times New Roman"/>
          <w:sz w:val="24"/>
          <w:szCs w:val="24"/>
        </w:rPr>
        <w:t xml:space="preserve"> Cambridge: Cambridge University Press</w:t>
      </w:r>
      <w:r>
        <w:rPr>
          <w:rFonts w:ascii="Times New Roman" w:eastAsia="Times New Roman" w:hAnsi="Times New Roman" w:cs="Times New Roman"/>
          <w:sz w:val="24"/>
          <w:szCs w:val="24"/>
        </w:rPr>
        <w:t xml:space="preserve">, </w:t>
      </w:r>
      <w:r w:rsidRPr="00C13ECA">
        <w:rPr>
          <w:rFonts w:ascii="Times New Roman" w:eastAsia="Times New Roman" w:hAnsi="Times New Roman" w:cs="Times New Roman"/>
          <w:sz w:val="24"/>
          <w:szCs w:val="24"/>
        </w:rPr>
        <w:t>125–144</w:t>
      </w:r>
    </w:p>
    <w:p w14:paraId="6DC46E8F" w14:textId="1434A470"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Ringbauer, H., Huang, Y., Akbari, A., Mallic, S., Olalde, I., Patterson, N. &amp; Reich, D. 2024.</w:t>
      </w:r>
      <w:r w:rsidR="00DA5DAC">
        <w:rPr>
          <w:rFonts w:ascii="Times New Roman" w:eastAsia="Times New Roman" w:hAnsi="Times New Roman" w:cs="Times New Roman"/>
        </w:rPr>
        <w:t xml:space="preserve"> </w:t>
      </w:r>
      <w:r w:rsidRPr="00DA5DAC">
        <w:rPr>
          <w:rFonts w:ascii="Times New Roman" w:eastAsia="Times New Roman" w:hAnsi="Times New Roman" w:cs="Times New Roman"/>
        </w:rPr>
        <w:t xml:space="preserve">Accurate detection of identity-by-descent segments in human ancient DNA. </w:t>
      </w:r>
      <w:r w:rsidRPr="00DA5DAC">
        <w:rPr>
          <w:rFonts w:ascii="Times New Roman" w:eastAsia="Times New Roman" w:hAnsi="Times New Roman" w:cs="Times New Roman"/>
          <w:i/>
        </w:rPr>
        <w:t xml:space="preserve">Nature Genetics </w:t>
      </w:r>
      <w:r w:rsidRPr="0077082B">
        <w:rPr>
          <w:rFonts w:ascii="Times New Roman" w:eastAsia="Times New Roman" w:hAnsi="Times New Roman" w:cs="Times New Roman"/>
          <w:iCs/>
        </w:rPr>
        <w:t>56,</w:t>
      </w:r>
      <w:r w:rsidRPr="00DA5DAC">
        <w:rPr>
          <w:rFonts w:ascii="Times New Roman" w:eastAsia="Times New Roman" w:hAnsi="Times New Roman" w:cs="Times New Roman"/>
          <w:i/>
        </w:rPr>
        <w:t xml:space="preserve"> </w:t>
      </w:r>
      <w:r w:rsidRPr="00DA5DAC">
        <w:rPr>
          <w:rFonts w:ascii="Times New Roman" w:eastAsia="Times New Roman" w:hAnsi="Times New Roman" w:cs="Times New Roman"/>
        </w:rPr>
        <w:t>143–51</w:t>
      </w:r>
    </w:p>
    <w:p w14:paraId="23D266DA" w14:textId="169F3B20"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Roberts, C. &amp; Manchester, K. 2007. </w:t>
      </w:r>
      <w:r w:rsidRPr="00DA5DAC">
        <w:rPr>
          <w:rFonts w:ascii="Times New Roman" w:eastAsia="Times New Roman" w:hAnsi="Times New Roman" w:cs="Times New Roman"/>
          <w:i/>
        </w:rPr>
        <w:t>The Archaeology of Disease</w:t>
      </w:r>
      <w:r w:rsidRPr="00DA5DAC">
        <w:rPr>
          <w:rFonts w:ascii="Times New Roman" w:eastAsia="Times New Roman" w:hAnsi="Times New Roman" w:cs="Times New Roman"/>
        </w:rPr>
        <w:t>. New York</w:t>
      </w:r>
      <w:r w:rsidR="0077082B">
        <w:rPr>
          <w:rFonts w:ascii="Times New Roman" w:eastAsia="Times New Roman" w:hAnsi="Times New Roman" w:cs="Times New Roman"/>
        </w:rPr>
        <w:t>, NY</w:t>
      </w:r>
      <w:r w:rsidRPr="00DA5DAC">
        <w:rPr>
          <w:rFonts w:ascii="Times New Roman" w:eastAsia="Times New Roman" w:hAnsi="Times New Roman" w:cs="Times New Roman"/>
        </w:rPr>
        <w:t>: Cornell University Press</w:t>
      </w:r>
    </w:p>
    <w:p w14:paraId="59C07942" w14:textId="53EC40C4"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 xml:space="preserve">Rogers, J. &amp; Waldron, T. 1995. </w:t>
      </w:r>
      <w:r w:rsidRPr="00DA5DAC">
        <w:rPr>
          <w:rFonts w:ascii="Times New Roman" w:eastAsia="Times New Roman" w:hAnsi="Times New Roman" w:cs="Times New Roman"/>
          <w:i/>
          <w:highlight w:val="white"/>
        </w:rPr>
        <w:t xml:space="preserve">A </w:t>
      </w:r>
      <w:r w:rsidR="0077082B">
        <w:rPr>
          <w:rFonts w:ascii="Times New Roman" w:eastAsia="Times New Roman" w:hAnsi="Times New Roman" w:cs="Times New Roman"/>
          <w:i/>
          <w:highlight w:val="white"/>
        </w:rPr>
        <w:t>F</w:t>
      </w:r>
      <w:r w:rsidRPr="00DA5DAC">
        <w:rPr>
          <w:rFonts w:ascii="Times New Roman" w:eastAsia="Times New Roman" w:hAnsi="Times New Roman" w:cs="Times New Roman"/>
          <w:i/>
          <w:highlight w:val="white"/>
        </w:rPr>
        <w:t xml:space="preserve">ield </w:t>
      </w:r>
      <w:r w:rsidR="0077082B">
        <w:rPr>
          <w:rFonts w:ascii="Times New Roman" w:eastAsia="Times New Roman" w:hAnsi="Times New Roman" w:cs="Times New Roman"/>
          <w:i/>
          <w:highlight w:val="white"/>
        </w:rPr>
        <w:t>G</w:t>
      </w:r>
      <w:r w:rsidRPr="00DA5DAC">
        <w:rPr>
          <w:rFonts w:ascii="Times New Roman" w:eastAsia="Times New Roman" w:hAnsi="Times New Roman" w:cs="Times New Roman"/>
          <w:i/>
          <w:highlight w:val="white"/>
        </w:rPr>
        <w:t xml:space="preserve">uide to </w:t>
      </w:r>
      <w:r w:rsidR="0077082B">
        <w:rPr>
          <w:rFonts w:ascii="Times New Roman" w:eastAsia="Times New Roman" w:hAnsi="Times New Roman" w:cs="Times New Roman"/>
          <w:i/>
          <w:highlight w:val="white"/>
        </w:rPr>
        <w:t>J</w:t>
      </w:r>
      <w:r w:rsidRPr="00DA5DAC">
        <w:rPr>
          <w:rFonts w:ascii="Times New Roman" w:eastAsia="Times New Roman" w:hAnsi="Times New Roman" w:cs="Times New Roman"/>
          <w:i/>
          <w:highlight w:val="white"/>
        </w:rPr>
        <w:t xml:space="preserve">oint </w:t>
      </w:r>
      <w:r w:rsidR="0077082B">
        <w:rPr>
          <w:rFonts w:ascii="Times New Roman" w:eastAsia="Times New Roman" w:hAnsi="Times New Roman" w:cs="Times New Roman"/>
          <w:i/>
          <w:highlight w:val="white"/>
        </w:rPr>
        <w:t>D</w:t>
      </w:r>
      <w:r w:rsidRPr="00DA5DAC">
        <w:rPr>
          <w:rFonts w:ascii="Times New Roman" w:eastAsia="Times New Roman" w:hAnsi="Times New Roman" w:cs="Times New Roman"/>
          <w:i/>
          <w:highlight w:val="white"/>
        </w:rPr>
        <w:t xml:space="preserve">isease in </w:t>
      </w:r>
      <w:r w:rsidR="0077082B">
        <w:rPr>
          <w:rFonts w:ascii="Times New Roman" w:eastAsia="Times New Roman" w:hAnsi="Times New Roman" w:cs="Times New Roman"/>
          <w:i/>
          <w:highlight w:val="white"/>
        </w:rPr>
        <w:t>A</w:t>
      </w:r>
      <w:r w:rsidRPr="00DA5DAC">
        <w:rPr>
          <w:rFonts w:ascii="Times New Roman" w:eastAsia="Times New Roman" w:hAnsi="Times New Roman" w:cs="Times New Roman"/>
          <w:i/>
          <w:highlight w:val="white"/>
        </w:rPr>
        <w:t>rchaeology.</w:t>
      </w:r>
      <w:r w:rsidRPr="00DA5DAC">
        <w:rPr>
          <w:rFonts w:ascii="Times New Roman" w:eastAsia="Times New Roman" w:hAnsi="Times New Roman" w:cs="Times New Roman"/>
          <w:highlight w:val="white"/>
        </w:rPr>
        <w:t xml:space="preserve"> Chichester: Wiley</w:t>
      </w:r>
    </w:p>
    <w:p w14:paraId="47F8BE6E" w14:textId="084D03F4"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Romaniello, S.J., Field, M.P., Smith, H.B., Gordon, G.W., Kim, M.H. &amp; Anbar, A.D. 2015. Fully automated chromatographic purification of Sr and Ca for isotopic analysis. </w:t>
      </w:r>
      <w:r w:rsidRPr="00DA5DAC">
        <w:rPr>
          <w:rFonts w:ascii="Times New Roman" w:eastAsia="Times New Roman" w:hAnsi="Times New Roman" w:cs="Times New Roman"/>
          <w:i/>
        </w:rPr>
        <w:t xml:space="preserve">Journal of Analytical Atomic Spectrometry </w:t>
      </w:r>
      <w:r w:rsidRPr="0077082B">
        <w:rPr>
          <w:rFonts w:ascii="Times New Roman" w:eastAsia="Times New Roman" w:hAnsi="Times New Roman" w:cs="Times New Roman"/>
          <w:iCs/>
        </w:rPr>
        <w:t>30(9),</w:t>
      </w:r>
      <w:r w:rsidRPr="00DA5DAC">
        <w:rPr>
          <w:rFonts w:ascii="Times New Roman" w:eastAsia="Times New Roman" w:hAnsi="Times New Roman" w:cs="Times New Roman"/>
        </w:rPr>
        <w:t xml:space="preserve"> 1906–12</w:t>
      </w:r>
    </w:p>
    <w:p w14:paraId="2CAE598E" w14:textId="3DA04D76"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Sayle, K., Brodie, C. &amp; Hamilton, W. 2019. Sequential measurement of δ 15 N, δ 13 C and δ 34 S values in archaeological bone collagen at the Scottish Universities </w:t>
      </w:r>
      <w:r w:rsidRPr="0040451C">
        <w:rPr>
          <w:rFonts w:ascii="Times New Roman" w:eastAsia="Times New Roman" w:hAnsi="Times New Roman" w:cs="Times New Roman"/>
        </w:rPr>
        <w:t xml:space="preserve">Environmental Research Centre (SUERC): A new analytical frontier. </w:t>
      </w:r>
      <w:r w:rsidRPr="0040451C">
        <w:rPr>
          <w:rFonts w:ascii="Times New Roman" w:eastAsia="Times New Roman" w:hAnsi="Times New Roman" w:cs="Times New Roman"/>
          <w:i/>
        </w:rPr>
        <w:t>Rapid Communications in Mass Spectrometry</w:t>
      </w:r>
      <w:r w:rsidRPr="0040451C">
        <w:rPr>
          <w:rFonts w:ascii="Times New Roman" w:eastAsia="Times New Roman" w:hAnsi="Times New Roman" w:cs="Times New Roman"/>
          <w:iCs/>
        </w:rPr>
        <w:t xml:space="preserve"> 33</w:t>
      </w:r>
      <w:r w:rsidR="0077082B" w:rsidRPr="0040451C">
        <w:rPr>
          <w:rFonts w:ascii="Times New Roman" w:eastAsia="Times New Roman" w:hAnsi="Times New Roman" w:cs="Times New Roman"/>
          <w:iCs/>
        </w:rPr>
        <w:t xml:space="preserve">, </w:t>
      </w:r>
      <w:r w:rsidR="0040451C" w:rsidRPr="0040451C">
        <w:rPr>
          <w:rFonts w:ascii="Times New Roman" w:eastAsia="Times New Roman" w:hAnsi="Times New Roman" w:cs="Times New Roman"/>
          <w:iCs/>
        </w:rPr>
        <w:t>1258-1266.</w:t>
      </w:r>
    </w:p>
    <w:p w14:paraId="37AE5D06" w14:textId="34027F54"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Schoeninger, M.J. &amp; DeNiro, M.J. 1984. Nitrogen and carbon isotopic composition of bone collagen from marine and terrestrial animals. </w:t>
      </w:r>
      <w:r w:rsidRPr="00DA5DAC">
        <w:rPr>
          <w:rFonts w:ascii="Times New Roman" w:eastAsia="Times New Roman" w:hAnsi="Times New Roman" w:cs="Times New Roman"/>
          <w:i/>
        </w:rPr>
        <w:t xml:space="preserve">Geochimica et Cosmochimica Acta </w:t>
      </w:r>
      <w:r w:rsidRPr="0077082B">
        <w:rPr>
          <w:rFonts w:ascii="Times New Roman" w:eastAsia="Times New Roman" w:hAnsi="Times New Roman" w:cs="Times New Roman"/>
          <w:iCs/>
        </w:rPr>
        <w:t>48(4),</w:t>
      </w:r>
      <w:r w:rsidRPr="00DA5DAC">
        <w:rPr>
          <w:rFonts w:ascii="Times New Roman" w:eastAsia="Times New Roman" w:hAnsi="Times New Roman" w:cs="Times New Roman"/>
        </w:rPr>
        <w:t xml:space="preserve"> 625–39</w:t>
      </w:r>
    </w:p>
    <w:p w14:paraId="3733911D" w14:textId="5839A935"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Schoeninger, M.J., DeNiro, M.J. &amp; Tauber, H. 1983. Stable nitrogen isotope ratios of bone collagen reflect marine and terrestrial components of prehistoric human diet. </w:t>
      </w:r>
      <w:r w:rsidRPr="00DA5DAC">
        <w:rPr>
          <w:rFonts w:ascii="Times New Roman" w:eastAsia="Times New Roman" w:hAnsi="Times New Roman" w:cs="Times New Roman"/>
          <w:i/>
        </w:rPr>
        <w:t xml:space="preserve">Science </w:t>
      </w:r>
      <w:r w:rsidRPr="0077082B">
        <w:rPr>
          <w:rFonts w:ascii="Times New Roman" w:eastAsia="Times New Roman" w:hAnsi="Times New Roman" w:cs="Times New Roman"/>
          <w:iCs/>
        </w:rPr>
        <w:t>220(4604),</w:t>
      </w:r>
      <w:r w:rsidRPr="00DA5DAC">
        <w:rPr>
          <w:rFonts w:ascii="Times New Roman" w:eastAsia="Times New Roman" w:hAnsi="Times New Roman" w:cs="Times New Roman"/>
        </w:rPr>
        <w:t xml:space="preserve"> 1381–83</w:t>
      </w:r>
    </w:p>
    <w:p w14:paraId="2153DB20"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 xml:space="preserve">Schotsmans, E.M.J., Stuart, B.H., Stewart, T.J., Thomas, P.S. &amp; Miszkiewicz, J.J. 2024. Unravelling taphono-myths. First large-scale study of histotaphonomic changes and diagenesis in bone from modern surface depositions. </w:t>
      </w:r>
      <w:r w:rsidRPr="000C5AFC">
        <w:rPr>
          <w:rFonts w:ascii="Times New Roman" w:eastAsia="Times New Roman" w:hAnsi="Times New Roman" w:cs="Times New Roman"/>
          <w:i/>
          <w:iCs/>
        </w:rPr>
        <w:t xml:space="preserve">PLOS ONE </w:t>
      </w:r>
      <w:r w:rsidRPr="000C5AFC">
        <w:rPr>
          <w:rFonts w:ascii="Times New Roman" w:eastAsia="Times New Roman" w:hAnsi="Times New Roman" w:cs="Times New Roman"/>
        </w:rPr>
        <w:t>19, e0308440</w:t>
      </w:r>
    </w:p>
    <w:p w14:paraId="5052C885" w14:textId="2B9E7354"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Sealy, J., Johnson, M., Richards, M. &amp; Nehlich, O. 2014. Comparison of two methods of extracting bone collagen for stable carbon and nitrogen isotope analysis:</w:t>
      </w:r>
      <w:r w:rsidR="0077082B">
        <w:rPr>
          <w:rFonts w:ascii="Times New Roman" w:eastAsia="Times New Roman" w:hAnsi="Times New Roman" w:cs="Times New Roman"/>
        </w:rPr>
        <w:t xml:space="preserve"> C</w:t>
      </w:r>
      <w:r w:rsidRPr="00DA5DAC">
        <w:rPr>
          <w:rFonts w:ascii="Times New Roman" w:eastAsia="Times New Roman" w:hAnsi="Times New Roman" w:cs="Times New Roman"/>
        </w:rPr>
        <w:t xml:space="preserve">omparing whole bone demineralization with gelatinization and ultrafiltration. </w:t>
      </w:r>
      <w:r w:rsidRPr="00DA5DAC">
        <w:rPr>
          <w:rFonts w:ascii="Times New Roman" w:eastAsia="Times New Roman" w:hAnsi="Times New Roman" w:cs="Times New Roman"/>
          <w:i/>
        </w:rPr>
        <w:t>Journal of Archaeological Science</w:t>
      </w:r>
      <w:r w:rsidRPr="00DA5DAC">
        <w:rPr>
          <w:rFonts w:ascii="Times New Roman" w:eastAsia="Times New Roman" w:hAnsi="Times New Roman" w:cs="Times New Roman"/>
        </w:rPr>
        <w:t xml:space="preserve"> 47, 64–69</w:t>
      </w:r>
    </w:p>
    <w:p w14:paraId="12E37EFF" w14:textId="0CB80AD8"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Simmonds, V.J. &amp; Brayne, K. 2019. A summary report and radiocarbon date on the human remains from a bone assemblage found at Screech Hole, Ham Woods, near Croscombe, Somerset. </w:t>
      </w:r>
      <w:r w:rsidRPr="00DA5DAC">
        <w:rPr>
          <w:rFonts w:ascii="Times New Roman" w:eastAsia="Times New Roman" w:hAnsi="Times New Roman" w:cs="Times New Roman"/>
          <w:i/>
        </w:rPr>
        <w:t>Proceedings of the University of Bristol Spelaeological Society</w:t>
      </w:r>
      <w:r w:rsidRPr="00DA5DAC">
        <w:rPr>
          <w:rFonts w:ascii="Times New Roman" w:eastAsia="Times New Roman" w:hAnsi="Times New Roman" w:cs="Times New Roman"/>
        </w:rPr>
        <w:t xml:space="preserve"> 28(1), 129–36</w:t>
      </w:r>
    </w:p>
    <w:p w14:paraId="3C8BA699" w14:textId="4CEC8C2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Smith, B.H. 1984. Patterns of molar wear in hunter–gatherers and agriculturalists. </w:t>
      </w:r>
      <w:r w:rsidRPr="00DA5DAC">
        <w:rPr>
          <w:rFonts w:ascii="Times New Roman" w:eastAsia="Times New Roman" w:hAnsi="Times New Roman" w:cs="Times New Roman"/>
          <w:i/>
        </w:rPr>
        <w:t xml:space="preserve">American Journal </w:t>
      </w:r>
      <w:r w:rsidR="0077082B" w:rsidRPr="00DA5DAC">
        <w:rPr>
          <w:rFonts w:ascii="Times New Roman" w:eastAsia="Times New Roman" w:hAnsi="Times New Roman" w:cs="Times New Roman"/>
          <w:i/>
        </w:rPr>
        <w:t>of</w:t>
      </w:r>
      <w:r w:rsidRPr="00DA5DAC">
        <w:rPr>
          <w:rFonts w:ascii="Times New Roman" w:eastAsia="Times New Roman" w:hAnsi="Times New Roman" w:cs="Times New Roman"/>
          <w:i/>
        </w:rPr>
        <w:t xml:space="preserve"> Physical Anthropology</w:t>
      </w:r>
      <w:r w:rsidRPr="0077082B">
        <w:rPr>
          <w:rFonts w:ascii="Times New Roman" w:eastAsia="Times New Roman" w:hAnsi="Times New Roman" w:cs="Times New Roman"/>
          <w:iCs/>
        </w:rPr>
        <w:t xml:space="preserve"> 63,</w:t>
      </w:r>
      <w:r w:rsidRPr="00DA5DAC">
        <w:rPr>
          <w:rFonts w:ascii="Times New Roman" w:eastAsia="Times New Roman" w:hAnsi="Times New Roman" w:cs="Times New Roman"/>
        </w:rPr>
        <w:t xml:space="preserve"> 39</w:t>
      </w:r>
      <w:r w:rsidR="0077082B">
        <w:rPr>
          <w:rFonts w:ascii="Times New Roman" w:eastAsia="Times New Roman" w:hAnsi="Times New Roman" w:cs="Times New Roman"/>
        </w:rPr>
        <w:t>–</w:t>
      </w:r>
      <w:r w:rsidRPr="00DA5DAC">
        <w:rPr>
          <w:rFonts w:ascii="Times New Roman" w:eastAsia="Times New Roman" w:hAnsi="Times New Roman" w:cs="Times New Roman"/>
        </w:rPr>
        <w:t>56</w:t>
      </w:r>
    </w:p>
    <w:p w14:paraId="54830AA1" w14:textId="73869506" w:rsidR="000E5EA3" w:rsidRPr="00DA5DAC" w:rsidRDefault="00000000" w:rsidP="0058669A">
      <w:pPr>
        <w:shd w:val="clear" w:color="auto" w:fill="FFFFFF"/>
        <w:spacing w:line="240" w:lineRule="auto"/>
        <w:ind w:left="709" w:hanging="709"/>
        <w:jc w:val="both"/>
        <w:rPr>
          <w:rFonts w:ascii="Times New Roman" w:eastAsia="Times New Roman" w:hAnsi="Times New Roman" w:cs="Times New Roman"/>
          <w:highlight w:val="white"/>
        </w:rPr>
      </w:pPr>
      <w:r w:rsidRPr="00DA5DAC">
        <w:rPr>
          <w:rFonts w:ascii="Times New Roman" w:eastAsia="Times New Roman" w:hAnsi="Times New Roman" w:cs="Times New Roman"/>
          <w:highlight w:val="white"/>
        </w:rPr>
        <w:t>Symes, S</w:t>
      </w:r>
      <w:r w:rsidR="0077082B">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A., L’Abbe, E.N., Chapman, E.N., Wolff, I. &amp; Dirkmaat, D. 2012. Interpreting traumatic injury to bone in medicolegal investigations. In D</w:t>
      </w:r>
      <w:r w:rsidR="00C13ECA">
        <w:rPr>
          <w:rFonts w:ascii="Times New Roman" w:eastAsia="Times New Roman" w:hAnsi="Times New Roman" w:cs="Times New Roman"/>
          <w:highlight w:val="white"/>
        </w:rPr>
        <w:t>.</w:t>
      </w:r>
      <w:r w:rsidRPr="00DA5DAC">
        <w:rPr>
          <w:rFonts w:ascii="Times New Roman" w:eastAsia="Times New Roman" w:hAnsi="Times New Roman" w:cs="Times New Roman"/>
          <w:highlight w:val="white"/>
        </w:rPr>
        <w:t xml:space="preserve"> Dirkmaat (ed.)</w:t>
      </w:r>
      <w:r w:rsidR="0077082B">
        <w:rPr>
          <w:rFonts w:ascii="Times New Roman" w:eastAsia="Times New Roman" w:hAnsi="Times New Roman" w:cs="Times New Roman"/>
          <w:highlight w:val="white"/>
        </w:rPr>
        <w:t>,</w:t>
      </w:r>
      <w:r w:rsidRPr="00DA5DAC">
        <w:rPr>
          <w:rFonts w:ascii="Times New Roman" w:eastAsia="Times New Roman" w:hAnsi="Times New Roman" w:cs="Times New Roman"/>
          <w:i/>
          <w:highlight w:val="white"/>
        </w:rPr>
        <w:t xml:space="preserve"> A Companion to Forensic </w:t>
      </w:r>
      <w:r w:rsidRPr="0040451C">
        <w:rPr>
          <w:rFonts w:ascii="Times New Roman" w:eastAsia="Times New Roman" w:hAnsi="Times New Roman" w:cs="Times New Roman"/>
          <w:i/>
        </w:rPr>
        <w:t>Anthropology</w:t>
      </w:r>
      <w:r w:rsidR="0077082B" w:rsidRPr="0040451C">
        <w:rPr>
          <w:rFonts w:ascii="Times New Roman" w:eastAsia="Times New Roman" w:hAnsi="Times New Roman" w:cs="Times New Roman"/>
          <w:iCs/>
        </w:rPr>
        <w:t xml:space="preserve">, </w:t>
      </w:r>
      <w:r w:rsidR="0040451C" w:rsidRPr="0040451C">
        <w:rPr>
          <w:rFonts w:ascii="Times New Roman" w:eastAsia="Times New Roman" w:hAnsi="Times New Roman" w:cs="Times New Roman"/>
          <w:iCs/>
        </w:rPr>
        <w:t>340-389</w:t>
      </w:r>
      <w:r w:rsidRPr="0040451C">
        <w:rPr>
          <w:rFonts w:ascii="Times New Roman" w:eastAsia="Times New Roman" w:hAnsi="Times New Roman" w:cs="Times New Roman"/>
          <w:i/>
        </w:rPr>
        <w:t>.</w:t>
      </w:r>
      <w:r w:rsidRPr="0040451C">
        <w:rPr>
          <w:rFonts w:ascii="Times New Roman" w:eastAsia="Times New Roman" w:hAnsi="Times New Roman" w:cs="Times New Roman"/>
        </w:rPr>
        <w:t xml:space="preserve"> </w:t>
      </w:r>
      <w:r w:rsidR="0077082B" w:rsidRPr="0040451C">
        <w:rPr>
          <w:rFonts w:ascii="Times New Roman" w:eastAsia="Times New Roman" w:hAnsi="Times New Roman" w:cs="Times New Roman"/>
        </w:rPr>
        <w:t>Malden</w:t>
      </w:r>
      <w:r w:rsidR="0077082B">
        <w:rPr>
          <w:rFonts w:ascii="Times New Roman" w:eastAsia="Times New Roman" w:hAnsi="Times New Roman" w:cs="Times New Roman"/>
          <w:highlight w:val="white"/>
        </w:rPr>
        <w:t xml:space="preserve">: </w:t>
      </w:r>
      <w:r w:rsidRPr="00DA5DAC">
        <w:rPr>
          <w:rFonts w:ascii="Times New Roman" w:eastAsia="Times New Roman" w:hAnsi="Times New Roman" w:cs="Times New Roman"/>
          <w:highlight w:val="white"/>
        </w:rPr>
        <w:t>Wiley-Blackwell</w:t>
      </w:r>
    </w:p>
    <w:p w14:paraId="423BB488" w14:textId="7777777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Tudor, T., Crozier, R. &amp; Madgwick, R. 2025.</w:t>
      </w:r>
      <w:hyperlink r:id="rId16">
        <w:r w:rsidR="000E5EA3" w:rsidRPr="00DA5DAC">
          <w:rPr>
            <w:rFonts w:ascii="Times New Roman" w:eastAsia="Times New Roman" w:hAnsi="Times New Roman" w:cs="Times New Roman"/>
          </w:rPr>
          <w:t xml:space="preserve"> </w:t>
        </w:r>
      </w:hyperlink>
      <w:r w:rsidRPr="00DA5DAC">
        <w:rPr>
          <w:rFonts w:ascii="Times New Roman" w:eastAsia="Times New Roman" w:hAnsi="Times New Roman" w:cs="Times New Roman"/>
        </w:rPr>
        <w:t xml:space="preserve">All mixed up: Investigating mortuary practice and processes of disarticulation through integrated histotaphonomic analysis at the Knowe of Rowiegar, Neolithic chambered cairn, Orkney, UK. </w:t>
      </w:r>
      <w:r w:rsidRPr="00DA5DAC">
        <w:rPr>
          <w:rFonts w:ascii="Times New Roman" w:eastAsia="Times New Roman" w:hAnsi="Times New Roman" w:cs="Times New Roman"/>
          <w:i/>
        </w:rPr>
        <w:t xml:space="preserve">Journal of Archaeological Method and Theory </w:t>
      </w:r>
      <w:r w:rsidRPr="0077082B">
        <w:rPr>
          <w:rFonts w:ascii="Times New Roman" w:eastAsia="Times New Roman" w:hAnsi="Times New Roman" w:cs="Times New Roman"/>
          <w:iCs/>
        </w:rPr>
        <w:t>32</w:t>
      </w:r>
      <w:r w:rsidRPr="00DA5DAC">
        <w:rPr>
          <w:rFonts w:ascii="Times New Roman" w:eastAsia="Times New Roman" w:hAnsi="Times New Roman" w:cs="Times New Roman"/>
        </w:rPr>
        <w:t>, 9</w:t>
      </w:r>
    </w:p>
    <w:p w14:paraId="321CE92D" w14:textId="77777777" w:rsidR="00E62A1A" w:rsidRPr="000C5AFC" w:rsidRDefault="00E62A1A" w:rsidP="00E62A1A">
      <w:pPr>
        <w:ind w:left="709" w:hanging="709"/>
        <w:rPr>
          <w:rFonts w:ascii="Times New Roman" w:eastAsia="Times New Roman" w:hAnsi="Times New Roman" w:cs="Times New Roman"/>
        </w:rPr>
      </w:pPr>
      <w:r w:rsidRPr="000C5AFC">
        <w:rPr>
          <w:rFonts w:ascii="Times New Roman" w:eastAsia="Times New Roman" w:hAnsi="Times New Roman" w:cs="Times New Roman"/>
        </w:rPr>
        <w:t>Turner-Walker, G., Galiacho, A.G., Armentano, N. &amp; Hsu, C.-Q. 2023. Bacterial bioerosion of bones is a post-skeletonisation phenomenon and appears contingent on soil burial.</w:t>
      </w:r>
      <w:r w:rsidRPr="000C5AFC">
        <w:rPr>
          <w:rFonts w:ascii="Times New Roman" w:eastAsia="Times New Roman" w:hAnsi="Times New Roman" w:cs="Times New Roman"/>
          <w:i/>
          <w:iCs/>
        </w:rPr>
        <w:t xml:space="preserve"> Quaternary International </w:t>
      </w:r>
      <w:r w:rsidRPr="000C5AFC">
        <w:rPr>
          <w:rFonts w:ascii="Times New Roman" w:eastAsia="Times New Roman" w:hAnsi="Times New Roman" w:cs="Times New Roman"/>
        </w:rPr>
        <w:t>660, 75–83</w:t>
      </w:r>
    </w:p>
    <w:p w14:paraId="07898A6B" w14:textId="186DFAEE"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van Klinken, G.J. 1999. Bone </w:t>
      </w:r>
      <w:r w:rsidR="0077082B">
        <w:rPr>
          <w:rFonts w:ascii="Times New Roman" w:eastAsia="Times New Roman" w:hAnsi="Times New Roman" w:cs="Times New Roman"/>
        </w:rPr>
        <w:t>c</w:t>
      </w:r>
      <w:r w:rsidRPr="00DA5DAC">
        <w:rPr>
          <w:rFonts w:ascii="Times New Roman" w:eastAsia="Times New Roman" w:hAnsi="Times New Roman" w:cs="Times New Roman"/>
        </w:rPr>
        <w:t xml:space="preserve">ollagen </w:t>
      </w:r>
      <w:r w:rsidR="0077082B">
        <w:rPr>
          <w:rFonts w:ascii="Times New Roman" w:eastAsia="Times New Roman" w:hAnsi="Times New Roman" w:cs="Times New Roman"/>
        </w:rPr>
        <w:t>q</w:t>
      </w:r>
      <w:r w:rsidRPr="00DA5DAC">
        <w:rPr>
          <w:rFonts w:ascii="Times New Roman" w:eastAsia="Times New Roman" w:hAnsi="Times New Roman" w:cs="Times New Roman"/>
        </w:rPr>
        <w:t xml:space="preserve">uality </w:t>
      </w:r>
      <w:r w:rsidR="0077082B">
        <w:rPr>
          <w:rFonts w:ascii="Times New Roman" w:eastAsia="Times New Roman" w:hAnsi="Times New Roman" w:cs="Times New Roman"/>
        </w:rPr>
        <w:t>i</w:t>
      </w:r>
      <w:r w:rsidRPr="00DA5DAC">
        <w:rPr>
          <w:rFonts w:ascii="Times New Roman" w:eastAsia="Times New Roman" w:hAnsi="Times New Roman" w:cs="Times New Roman"/>
        </w:rPr>
        <w:t xml:space="preserve">ndicators for </w:t>
      </w:r>
      <w:r w:rsidR="0077082B">
        <w:rPr>
          <w:rFonts w:ascii="Times New Roman" w:eastAsia="Times New Roman" w:hAnsi="Times New Roman" w:cs="Times New Roman"/>
        </w:rPr>
        <w:t>p</w:t>
      </w:r>
      <w:r w:rsidRPr="00DA5DAC">
        <w:rPr>
          <w:rFonts w:ascii="Times New Roman" w:eastAsia="Times New Roman" w:hAnsi="Times New Roman" w:cs="Times New Roman"/>
        </w:rPr>
        <w:t xml:space="preserve">alaeodietary and </w:t>
      </w:r>
      <w:r w:rsidR="0077082B">
        <w:rPr>
          <w:rFonts w:ascii="Times New Roman" w:eastAsia="Times New Roman" w:hAnsi="Times New Roman" w:cs="Times New Roman"/>
        </w:rPr>
        <w:t>r</w:t>
      </w:r>
      <w:r w:rsidRPr="00DA5DAC">
        <w:rPr>
          <w:rFonts w:ascii="Times New Roman" w:eastAsia="Times New Roman" w:hAnsi="Times New Roman" w:cs="Times New Roman"/>
        </w:rPr>
        <w:t xml:space="preserve">adiocarbon </w:t>
      </w:r>
      <w:r w:rsidR="0077082B">
        <w:rPr>
          <w:rFonts w:ascii="Times New Roman" w:eastAsia="Times New Roman" w:hAnsi="Times New Roman" w:cs="Times New Roman"/>
        </w:rPr>
        <w:t>m</w:t>
      </w:r>
      <w:r w:rsidRPr="00DA5DAC">
        <w:rPr>
          <w:rFonts w:ascii="Times New Roman" w:eastAsia="Times New Roman" w:hAnsi="Times New Roman" w:cs="Times New Roman"/>
        </w:rPr>
        <w:t xml:space="preserve">easurements. </w:t>
      </w:r>
      <w:r w:rsidRPr="00DA5DAC">
        <w:rPr>
          <w:rFonts w:ascii="Times New Roman" w:eastAsia="Times New Roman" w:hAnsi="Times New Roman" w:cs="Times New Roman"/>
          <w:i/>
        </w:rPr>
        <w:t>Journal of Archaeological Science</w:t>
      </w:r>
      <w:r w:rsidR="0077082B">
        <w:rPr>
          <w:rFonts w:ascii="Times New Roman" w:eastAsia="Times New Roman" w:hAnsi="Times New Roman" w:cs="Times New Roman"/>
        </w:rPr>
        <w:t xml:space="preserve"> </w:t>
      </w:r>
      <w:r w:rsidRPr="0077082B">
        <w:rPr>
          <w:rFonts w:ascii="Times New Roman" w:eastAsia="Times New Roman" w:hAnsi="Times New Roman" w:cs="Times New Roman"/>
          <w:iCs/>
        </w:rPr>
        <w:t>26(6),</w:t>
      </w:r>
      <w:r w:rsidRPr="00DA5DAC">
        <w:rPr>
          <w:rFonts w:ascii="Times New Roman" w:eastAsia="Times New Roman" w:hAnsi="Times New Roman" w:cs="Times New Roman"/>
        </w:rPr>
        <w:t xml:space="preserve"> 687–95</w:t>
      </w:r>
    </w:p>
    <w:p w14:paraId="428FE983" w14:textId="77777777"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Waldron, T. 2009. </w:t>
      </w:r>
      <w:r w:rsidRPr="00DA5DAC">
        <w:rPr>
          <w:rFonts w:ascii="Times New Roman" w:eastAsia="Times New Roman" w:hAnsi="Times New Roman" w:cs="Times New Roman"/>
          <w:i/>
        </w:rPr>
        <w:t>Palaeopathology</w:t>
      </w:r>
      <w:r w:rsidRPr="00DA5DAC">
        <w:rPr>
          <w:rFonts w:ascii="Times New Roman" w:eastAsia="Times New Roman" w:hAnsi="Times New Roman" w:cs="Times New Roman"/>
        </w:rPr>
        <w:t>. Cambridge: Cambridge University Press</w:t>
      </w:r>
    </w:p>
    <w:p w14:paraId="25FE1ABC" w14:textId="6139E9F2"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 xml:space="preserve">Walker, P. 2008. Sexing skulls using discriminant function analysis of visually assessed traits. </w:t>
      </w:r>
      <w:r w:rsidRPr="00DA5DAC">
        <w:rPr>
          <w:rFonts w:ascii="Times New Roman" w:eastAsia="Times New Roman" w:hAnsi="Times New Roman" w:cs="Times New Roman"/>
          <w:i/>
        </w:rPr>
        <w:t xml:space="preserve">American Journal </w:t>
      </w:r>
      <w:r w:rsidR="0077082B" w:rsidRPr="00DA5DAC">
        <w:rPr>
          <w:rFonts w:ascii="Times New Roman" w:eastAsia="Times New Roman" w:hAnsi="Times New Roman" w:cs="Times New Roman"/>
          <w:i/>
        </w:rPr>
        <w:t>of</w:t>
      </w:r>
      <w:r w:rsidRPr="00DA5DAC">
        <w:rPr>
          <w:rFonts w:ascii="Times New Roman" w:eastAsia="Times New Roman" w:hAnsi="Times New Roman" w:cs="Times New Roman"/>
          <w:i/>
        </w:rPr>
        <w:t xml:space="preserve"> Physical Anthropology </w:t>
      </w:r>
      <w:r w:rsidRPr="0077082B">
        <w:rPr>
          <w:rFonts w:ascii="Times New Roman" w:eastAsia="Times New Roman" w:hAnsi="Times New Roman" w:cs="Times New Roman"/>
          <w:iCs/>
        </w:rPr>
        <w:t>136</w:t>
      </w:r>
      <w:r w:rsidRPr="00DA5DAC">
        <w:rPr>
          <w:rFonts w:ascii="Times New Roman" w:eastAsia="Times New Roman" w:hAnsi="Times New Roman" w:cs="Times New Roman"/>
        </w:rPr>
        <w:t>, 39</w:t>
      </w:r>
      <w:r w:rsidR="0077082B">
        <w:rPr>
          <w:rFonts w:ascii="Times New Roman" w:eastAsia="Times New Roman" w:hAnsi="Times New Roman" w:cs="Times New Roman"/>
        </w:rPr>
        <w:t>–</w:t>
      </w:r>
      <w:r w:rsidRPr="00DA5DAC">
        <w:rPr>
          <w:rFonts w:ascii="Times New Roman" w:eastAsia="Times New Roman" w:hAnsi="Times New Roman" w:cs="Times New Roman"/>
        </w:rPr>
        <w:t>50</w:t>
      </w:r>
    </w:p>
    <w:p w14:paraId="6377C98C" w14:textId="5F864C93" w:rsidR="000E5EA3" w:rsidRPr="00DA5DAC" w:rsidRDefault="00000000" w:rsidP="0058669A">
      <w:pPr>
        <w:spacing w:line="240" w:lineRule="auto"/>
        <w:ind w:left="709" w:hanging="709"/>
        <w:jc w:val="both"/>
        <w:rPr>
          <w:rFonts w:ascii="Times New Roman" w:eastAsia="Times New Roman" w:hAnsi="Times New Roman" w:cs="Times New Roman"/>
        </w:rPr>
      </w:pPr>
      <w:r w:rsidRPr="00DA5DAC">
        <w:rPr>
          <w:rFonts w:ascii="Times New Roman" w:eastAsia="Times New Roman" w:hAnsi="Times New Roman" w:cs="Times New Roman"/>
        </w:rPr>
        <w:t>Walsh, S., Liu, F., Wollstein, A., Kovatsi, L., Ralf, A., Kosiniak-Kamysz, A., Branicki, W. &amp; Kayser, M. 2013. The HIrisPlex system for simultaneous prediction of hair and eye colour from DNA. </w:t>
      </w:r>
      <w:r w:rsidRPr="00DA5DAC">
        <w:rPr>
          <w:rFonts w:ascii="Times New Roman" w:eastAsia="Times New Roman" w:hAnsi="Times New Roman" w:cs="Times New Roman"/>
          <w:i/>
        </w:rPr>
        <w:t>Forensic Science International: Genetics</w:t>
      </w:r>
      <w:r w:rsidRPr="00DA5DAC">
        <w:rPr>
          <w:rFonts w:ascii="Times New Roman" w:eastAsia="Times New Roman" w:hAnsi="Times New Roman" w:cs="Times New Roman"/>
        </w:rPr>
        <w:t> </w:t>
      </w:r>
      <w:r w:rsidRPr="0077082B">
        <w:rPr>
          <w:rFonts w:ascii="Times New Roman" w:eastAsia="Times New Roman" w:hAnsi="Times New Roman" w:cs="Times New Roman"/>
          <w:iCs/>
        </w:rPr>
        <w:t>7(1),</w:t>
      </w:r>
      <w:r w:rsidRPr="00DA5DAC">
        <w:rPr>
          <w:rFonts w:ascii="Times New Roman" w:eastAsia="Times New Roman" w:hAnsi="Times New Roman" w:cs="Times New Roman"/>
        </w:rPr>
        <w:t xml:space="preserve"> 98</w:t>
      </w:r>
      <w:r w:rsidR="0077082B">
        <w:rPr>
          <w:rFonts w:ascii="Times New Roman" w:eastAsia="Times New Roman" w:hAnsi="Times New Roman" w:cs="Times New Roman"/>
        </w:rPr>
        <w:t>–</w:t>
      </w:r>
      <w:r w:rsidRPr="00DA5DAC">
        <w:rPr>
          <w:rFonts w:ascii="Times New Roman" w:eastAsia="Times New Roman" w:hAnsi="Times New Roman" w:cs="Times New Roman"/>
        </w:rPr>
        <w:t>115</w:t>
      </w:r>
    </w:p>
    <w:sectPr w:rsidR="000E5EA3" w:rsidRPr="00DA5DAC">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7DE98B" w14:textId="77777777" w:rsidR="00E861A7" w:rsidRDefault="00E861A7" w:rsidP="005C0F3F">
      <w:pPr>
        <w:spacing w:line="240" w:lineRule="auto"/>
      </w:pPr>
      <w:r>
        <w:separator/>
      </w:r>
    </w:p>
  </w:endnote>
  <w:endnote w:type="continuationSeparator" w:id="0">
    <w:p w14:paraId="4347E73D" w14:textId="77777777" w:rsidR="00E861A7" w:rsidRDefault="00E861A7" w:rsidP="005C0F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2" w:fontKey="{540A9322-055E-3444-A783-B32CDB81BD95}"/>
  </w:font>
  <w:font w:name="Arial">
    <w:panose1 w:val="020B0604020202020204"/>
    <w:charset w:val="00"/>
    <w:family w:val="swiss"/>
    <w:pitch w:val="variable"/>
    <w:sig w:usb0="E0002EFF" w:usb1="C000785B" w:usb2="00000009" w:usb3="00000000" w:csb0="000001FF" w:csb1="00000000"/>
    <w:embedRegular r:id="rId3" w:fontKey="{070230D7-BEE4-7348-95F7-60006E6289AD}"/>
    <w:embedBold r:id="rId4" w:fontKey="{46CB39E7-4461-8D41-80C5-C4F3CE72BDAB}"/>
    <w:embedItalic r:id="rId5" w:fontKey="{3BB49FF4-9A16-274C-941D-A4D714D04B07}"/>
  </w:font>
  <w:font w:name="Times New Roman">
    <w:panose1 w:val="02020603050405020304"/>
    <w:charset w:val="00"/>
    <w:family w:val="roman"/>
    <w:pitch w:val="variable"/>
    <w:sig w:usb0="E0002EFF" w:usb1="C000785B" w:usb2="00000009" w:usb3="00000000" w:csb0="000001FF" w:csb1="00000000"/>
    <w:embedRegular r:id="rId6" w:fontKey="{048BBC03-50A6-F74E-BBE2-00D9CA19601A}"/>
    <w:embedBold r:id="rId7" w:fontKey="{04A395C3-A5C5-2B4B-B926-AB239D6975A4}"/>
    <w:embedItalic r:id="rId8" w:fontKey="{367EA502-2CE2-DB49-8D62-8324581628B1}"/>
    <w:embedBoldItalic r:id="rId9" w:fontKey="{0FA64415-86C2-0A46-A9EA-B57727844F59}"/>
  </w:font>
  <w:font w:name="Calibri">
    <w:panose1 w:val="020F0502020204030204"/>
    <w:charset w:val="00"/>
    <w:family w:val="swiss"/>
    <w:pitch w:val="variable"/>
    <w:sig w:usb0="E4002EFF" w:usb1="C200247B" w:usb2="00000009" w:usb3="00000000" w:csb0="000001FF" w:csb1="00000000"/>
    <w:embedRegular r:id="rId10" w:fontKey="{93B8DE91-0048-9E46-B6A9-BCC1D1B091FD}"/>
    <w:embedItalic r:id="rId11" w:fontKey="{91EF035B-264E-6843-A6A9-BE5CABA5732F}"/>
  </w:font>
  <w:font w:name="Cambria">
    <w:panose1 w:val="02040503050406030204"/>
    <w:charset w:val="00"/>
    <w:family w:val="roman"/>
    <w:pitch w:val="variable"/>
    <w:sig w:usb0="E00006FF" w:usb1="420024FF" w:usb2="02000000" w:usb3="00000000" w:csb0="0000019F" w:csb1="00000000"/>
    <w:embedRegular r:id="rId12" w:fontKey="{29911E65-8085-C649-B51D-C1422C361F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47941694"/>
      <w:docPartObj>
        <w:docPartGallery w:val="Page Numbers (Bottom of Page)"/>
        <w:docPartUnique/>
      </w:docPartObj>
    </w:sdtPr>
    <w:sdtContent>
      <w:p w14:paraId="47671A4C" w14:textId="1EE92E6B" w:rsidR="00D36C14" w:rsidRDefault="00D36C14" w:rsidP="005C29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1503A1E9" w14:textId="77777777" w:rsidR="00D36C14" w:rsidRDefault="00D36C14" w:rsidP="00D36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Fonts w:ascii="Times New Roman" w:hAnsi="Times New Roman" w:cs="Times New Roman"/>
      </w:rPr>
      <w:id w:val="1056902724"/>
      <w:docPartObj>
        <w:docPartGallery w:val="Page Numbers (Bottom of Page)"/>
        <w:docPartUnique/>
      </w:docPartObj>
    </w:sdtPr>
    <w:sdtContent>
      <w:p w14:paraId="539A69AA" w14:textId="433BF9DD" w:rsidR="00D36C14" w:rsidRPr="00D36C14" w:rsidRDefault="00D36C14" w:rsidP="005C29B0">
        <w:pPr>
          <w:pStyle w:val="Footer"/>
          <w:framePr w:wrap="none" w:vAnchor="text" w:hAnchor="margin" w:xAlign="right" w:y="1"/>
          <w:rPr>
            <w:rStyle w:val="PageNumber"/>
            <w:rFonts w:ascii="Times New Roman" w:hAnsi="Times New Roman" w:cs="Times New Roman"/>
          </w:rPr>
        </w:pPr>
        <w:r w:rsidRPr="00D36C14">
          <w:rPr>
            <w:rStyle w:val="PageNumber"/>
            <w:rFonts w:ascii="Times New Roman" w:hAnsi="Times New Roman" w:cs="Times New Roman"/>
          </w:rPr>
          <w:fldChar w:fldCharType="begin"/>
        </w:r>
        <w:r w:rsidRPr="00D36C14">
          <w:rPr>
            <w:rStyle w:val="PageNumber"/>
            <w:rFonts w:ascii="Times New Roman" w:hAnsi="Times New Roman" w:cs="Times New Roman"/>
          </w:rPr>
          <w:instrText xml:space="preserve"> PAGE </w:instrText>
        </w:r>
        <w:r w:rsidRPr="00D36C14">
          <w:rPr>
            <w:rStyle w:val="PageNumber"/>
            <w:rFonts w:ascii="Times New Roman" w:hAnsi="Times New Roman" w:cs="Times New Roman"/>
          </w:rPr>
          <w:fldChar w:fldCharType="separate"/>
        </w:r>
        <w:r w:rsidRPr="00D36C14">
          <w:rPr>
            <w:rStyle w:val="PageNumber"/>
            <w:rFonts w:ascii="Times New Roman" w:hAnsi="Times New Roman" w:cs="Times New Roman"/>
            <w:noProof/>
          </w:rPr>
          <w:t>28</w:t>
        </w:r>
        <w:r w:rsidRPr="00D36C14">
          <w:rPr>
            <w:rStyle w:val="PageNumber"/>
            <w:rFonts w:ascii="Times New Roman" w:hAnsi="Times New Roman" w:cs="Times New Roman"/>
          </w:rPr>
          <w:fldChar w:fldCharType="end"/>
        </w:r>
      </w:p>
    </w:sdtContent>
  </w:sdt>
  <w:p w14:paraId="6C249CA5" w14:textId="77777777" w:rsidR="00D36C14" w:rsidRPr="00D36C14" w:rsidRDefault="00D36C14" w:rsidP="00D36C14">
    <w:pPr>
      <w:pStyle w:val="Footer"/>
      <w:ind w:right="360"/>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31028F" w14:textId="77777777" w:rsidR="00E861A7" w:rsidRDefault="00E861A7" w:rsidP="005C0F3F">
      <w:pPr>
        <w:spacing w:line="240" w:lineRule="auto"/>
      </w:pPr>
      <w:r>
        <w:separator/>
      </w:r>
    </w:p>
  </w:footnote>
  <w:footnote w:type="continuationSeparator" w:id="0">
    <w:p w14:paraId="7DD8F9AF" w14:textId="77777777" w:rsidR="00E861A7" w:rsidRDefault="00E861A7" w:rsidP="005C0F3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5E2770"/>
    <w:multiLevelType w:val="multilevel"/>
    <w:tmpl w:val="704802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526604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EA3"/>
    <w:rsid w:val="00014352"/>
    <w:rsid w:val="000E5EA3"/>
    <w:rsid w:val="0011796A"/>
    <w:rsid w:val="001766EF"/>
    <w:rsid w:val="0019114A"/>
    <w:rsid w:val="001B59E9"/>
    <w:rsid w:val="002264B7"/>
    <w:rsid w:val="002E453C"/>
    <w:rsid w:val="00370E1C"/>
    <w:rsid w:val="003A74E7"/>
    <w:rsid w:val="004039D3"/>
    <w:rsid w:val="0040451C"/>
    <w:rsid w:val="00404FAD"/>
    <w:rsid w:val="004202C1"/>
    <w:rsid w:val="0048461C"/>
    <w:rsid w:val="004A295E"/>
    <w:rsid w:val="004F05F0"/>
    <w:rsid w:val="004F2758"/>
    <w:rsid w:val="00517188"/>
    <w:rsid w:val="00520FDA"/>
    <w:rsid w:val="0058669A"/>
    <w:rsid w:val="005B6379"/>
    <w:rsid w:val="005C0F3F"/>
    <w:rsid w:val="005D08D6"/>
    <w:rsid w:val="005D6D37"/>
    <w:rsid w:val="00610CB4"/>
    <w:rsid w:val="00637F8D"/>
    <w:rsid w:val="006B7D78"/>
    <w:rsid w:val="00711FD7"/>
    <w:rsid w:val="00751569"/>
    <w:rsid w:val="0077082B"/>
    <w:rsid w:val="007C6806"/>
    <w:rsid w:val="008D5609"/>
    <w:rsid w:val="008E5A8E"/>
    <w:rsid w:val="009C4AC5"/>
    <w:rsid w:val="009F00C2"/>
    <w:rsid w:val="009F4C2C"/>
    <w:rsid w:val="00AA054F"/>
    <w:rsid w:val="00AB0139"/>
    <w:rsid w:val="00AD03C0"/>
    <w:rsid w:val="00AD135E"/>
    <w:rsid w:val="00AD3A83"/>
    <w:rsid w:val="00AE0056"/>
    <w:rsid w:val="00B12ECF"/>
    <w:rsid w:val="00B23A57"/>
    <w:rsid w:val="00B23E09"/>
    <w:rsid w:val="00B95AEE"/>
    <w:rsid w:val="00BB3B88"/>
    <w:rsid w:val="00BE74D3"/>
    <w:rsid w:val="00BF3EF3"/>
    <w:rsid w:val="00C13ECA"/>
    <w:rsid w:val="00C2165F"/>
    <w:rsid w:val="00C7517C"/>
    <w:rsid w:val="00CA51F5"/>
    <w:rsid w:val="00CE2D3E"/>
    <w:rsid w:val="00D36C14"/>
    <w:rsid w:val="00DA5DAC"/>
    <w:rsid w:val="00DD7FBB"/>
    <w:rsid w:val="00E06D30"/>
    <w:rsid w:val="00E50A69"/>
    <w:rsid w:val="00E62A1A"/>
    <w:rsid w:val="00E7007F"/>
    <w:rsid w:val="00E80079"/>
    <w:rsid w:val="00E861A7"/>
    <w:rsid w:val="00EA609C"/>
    <w:rsid w:val="00EF6AB7"/>
    <w:rsid w:val="00F35E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6C2C6D"/>
  <w15:docId w15:val="{EF1E4D61-A0A1-2344-B1C8-663D6EFD3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ECA"/>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Pr>
    <w:tblStylePr w:type="firstRow">
      <w:tblPr/>
      <w:tcPr>
        <w:tcBorders>
          <w:bottom w:val="nil"/>
        </w:tcBorders>
        <w:vAlign w:val="bottom"/>
      </w:tcPr>
    </w:tblStylePr>
  </w:style>
  <w:style w:type="table" w:customStyle="1" w:styleId="a1">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pPr>
      <w:spacing w:line="240" w:lineRule="auto"/>
    </w:pPr>
    <w:tblPr>
      <w:tblStyleRowBandSize w:val="1"/>
      <w:tblStyleColBandSize w:val="1"/>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Pr>
    <w:tblStylePr w:type="firstRow">
      <w:tblPr/>
      <w:tcPr>
        <w:tcBorders>
          <w:bottom w:val="nil"/>
        </w:tcBorders>
        <w:vAlign w:val="bottom"/>
      </w:tcPr>
    </w:tblStylePr>
  </w:style>
  <w:style w:type="table" w:customStyle="1" w:styleId="a8">
    <w:basedOn w:val="TableNormal"/>
    <w:tblPr>
      <w:tblStyleRowBandSize w:val="1"/>
      <w:tblStyleColBandSize w:val="1"/>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9">
    <w:basedOn w:val="TableNormal"/>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DA5DAC"/>
    <w:rPr>
      <w:sz w:val="16"/>
      <w:szCs w:val="16"/>
    </w:rPr>
  </w:style>
  <w:style w:type="paragraph" w:styleId="CommentText">
    <w:name w:val="annotation text"/>
    <w:basedOn w:val="Normal"/>
    <w:link w:val="CommentTextChar"/>
    <w:uiPriority w:val="99"/>
    <w:unhideWhenUsed/>
    <w:rsid w:val="00DA5DAC"/>
    <w:pPr>
      <w:spacing w:line="240" w:lineRule="auto"/>
    </w:pPr>
    <w:rPr>
      <w:sz w:val="20"/>
      <w:szCs w:val="20"/>
    </w:rPr>
  </w:style>
  <w:style w:type="character" w:customStyle="1" w:styleId="CommentTextChar">
    <w:name w:val="Comment Text Char"/>
    <w:basedOn w:val="DefaultParagraphFont"/>
    <w:link w:val="CommentText"/>
    <w:uiPriority w:val="99"/>
    <w:rsid w:val="00DA5DAC"/>
    <w:rPr>
      <w:sz w:val="20"/>
      <w:szCs w:val="20"/>
    </w:rPr>
  </w:style>
  <w:style w:type="paragraph" w:styleId="CommentSubject">
    <w:name w:val="annotation subject"/>
    <w:basedOn w:val="CommentText"/>
    <w:next w:val="CommentText"/>
    <w:link w:val="CommentSubjectChar"/>
    <w:uiPriority w:val="99"/>
    <w:semiHidden/>
    <w:unhideWhenUsed/>
    <w:rsid w:val="00DA5DAC"/>
    <w:rPr>
      <w:b/>
      <w:bCs/>
    </w:rPr>
  </w:style>
  <w:style w:type="character" w:customStyle="1" w:styleId="CommentSubjectChar">
    <w:name w:val="Comment Subject Char"/>
    <w:basedOn w:val="CommentTextChar"/>
    <w:link w:val="CommentSubject"/>
    <w:uiPriority w:val="99"/>
    <w:semiHidden/>
    <w:rsid w:val="00DA5DAC"/>
    <w:rPr>
      <w:b/>
      <w:bCs/>
      <w:sz w:val="20"/>
      <w:szCs w:val="20"/>
    </w:rPr>
  </w:style>
  <w:style w:type="paragraph" w:styleId="ListParagraph">
    <w:name w:val="List Paragraph"/>
    <w:basedOn w:val="Normal"/>
    <w:uiPriority w:val="34"/>
    <w:qFormat/>
    <w:rsid w:val="00DA5DAC"/>
    <w:pPr>
      <w:ind w:left="720"/>
      <w:contextualSpacing/>
    </w:pPr>
  </w:style>
  <w:style w:type="paragraph" w:styleId="Header">
    <w:name w:val="header"/>
    <w:basedOn w:val="Normal"/>
    <w:link w:val="HeaderChar"/>
    <w:uiPriority w:val="99"/>
    <w:unhideWhenUsed/>
    <w:rsid w:val="005C0F3F"/>
    <w:pPr>
      <w:tabs>
        <w:tab w:val="center" w:pos="4513"/>
        <w:tab w:val="right" w:pos="9026"/>
      </w:tabs>
      <w:spacing w:line="240" w:lineRule="auto"/>
    </w:pPr>
  </w:style>
  <w:style w:type="character" w:customStyle="1" w:styleId="HeaderChar">
    <w:name w:val="Header Char"/>
    <w:basedOn w:val="DefaultParagraphFont"/>
    <w:link w:val="Header"/>
    <w:uiPriority w:val="99"/>
    <w:rsid w:val="005C0F3F"/>
  </w:style>
  <w:style w:type="paragraph" w:styleId="Footer">
    <w:name w:val="footer"/>
    <w:basedOn w:val="Normal"/>
    <w:link w:val="FooterChar"/>
    <w:uiPriority w:val="99"/>
    <w:unhideWhenUsed/>
    <w:rsid w:val="005C0F3F"/>
    <w:pPr>
      <w:tabs>
        <w:tab w:val="center" w:pos="4513"/>
        <w:tab w:val="right" w:pos="9026"/>
      </w:tabs>
      <w:spacing w:line="240" w:lineRule="auto"/>
    </w:pPr>
  </w:style>
  <w:style w:type="character" w:customStyle="1" w:styleId="FooterChar">
    <w:name w:val="Footer Char"/>
    <w:basedOn w:val="DefaultParagraphFont"/>
    <w:link w:val="Footer"/>
    <w:uiPriority w:val="99"/>
    <w:rsid w:val="005C0F3F"/>
  </w:style>
  <w:style w:type="character" w:styleId="PageNumber">
    <w:name w:val="page number"/>
    <w:basedOn w:val="DefaultParagraphFont"/>
    <w:uiPriority w:val="99"/>
    <w:semiHidden/>
    <w:unhideWhenUsed/>
    <w:rsid w:val="00D36C14"/>
  </w:style>
  <w:style w:type="character" w:styleId="Hyperlink">
    <w:name w:val="Hyperlink"/>
    <w:basedOn w:val="DefaultParagraphFont"/>
    <w:uiPriority w:val="99"/>
    <w:unhideWhenUsed/>
    <w:rsid w:val="00CA51F5"/>
    <w:rPr>
      <w:color w:val="0000FF" w:themeColor="hyperlink"/>
      <w:u w:val="single"/>
    </w:rPr>
  </w:style>
  <w:style w:type="character" w:styleId="UnresolvedMention">
    <w:name w:val="Unresolved Mention"/>
    <w:basedOn w:val="DefaultParagraphFont"/>
    <w:uiPriority w:val="99"/>
    <w:semiHidden/>
    <w:unhideWhenUsed/>
    <w:rsid w:val="00CA51F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rca.cardiff.ac.uk/17445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jpg"/><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jp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YEj9drQopuVzf8zEKIt/65CqrQ==">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</go:docsCustomData>
</go:gDocsCustomXmlDataStorage>
</file>

<file path=customXml/itemProps1.xml><?xml version="1.0" encoding="utf-8"?>
<ds:datastoreItem xmlns:ds="http://schemas.openxmlformats.org/officeDocument/2006/customXml" ds:itemID="{6F4DD6F5-02F5-804B-B212-36634A6F3F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29</Pages>
  <Words>10438</Words>
  <Characters>59503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Courtney Nimura</cp:lastModifiedBy>
  <cp:revision>7</cp:revision>
  <dcterms:created xsi:type="dcterms:W3CDTF">2025-10-21T09:35:00Z</dcterms:created>
  <dcterms:modified xsi:type="dcterms:W3CDTF">2025-10-22T09:29:00Z</dcterms:modified>
</cp:coreProperties>
</file>