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58EB" w14:textId="77777777" w:rsidR="00CF2E0B" w:rsidRDefault="00CF2E0B">
      <w:pPr>
        <w:spacing w:line="240" w:lineRule="auto"/>
        <w:jc w:val="both"/>
        <w:rPr>
          <w:rFonts w:ascii="Times New Roman" w:eastAsia="Times New Roman" w:hAnsi="Times New Roman" w:cs="Times New Roman"/>
          <w:sz w:val="24"/>
          <w:szCs w:val="24"/>
        </w:rPr>
      </w:pPr>
    </w:p>
    <w:p w14:paraId="6194E997" w14:textId="77777777" w:rsidR="00CF2E0B" w:rsidRDefault="00F45D7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IMF and World Bank: </w:t>
      </w:r>
      <w:r w:rsidR="00675597">
        <w:rPr>
          <w:rFonts w:ascii="Times New Roman" w:eastAsia="Times New Roman" w:hAnsi="Times New Roman" w:cs="Times New Roman"/>
          <w:sz w:val="24"/>
          <w:szCs w:val="24"/>
        </w:rPr>
        <w:t>Exploring the limits of institutional collaboration</w:t>
      </w:r>
    </w:p>
    <w:p w14:paraId="28D224DE" w14:textId="77777777" w:rsidR="00CF2E0B" w:rsidRDefault="00F45D7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Liam Clegg</w:t>
      </w:r>
    </w:p>
    <w:p w14:paraId="20DD23E1" w14:textId="77777777" w:rsidR="00CF2E0B" w:rsidRDefault="00CF2E0B">
      <w:pPr>
        <w:spacing w:line="240" w:lineRule="auto"/>
        <w:jc w:val="both"/>
        <w:rPr>
          <w:rFonts w:ascii="Times New Roman" w:eastAsia="Times New Roman" w:hAnsi="Times New Roman" w:cs="Times New Roman"/>
          <w:sz w:val="24"/>
          <w:szCs w:val="24"/>
          <w:u w:val="single"/>
        </w:rPr>
      </w:pPr>
    </w:p>
    <w:p w14:paraId="5EB6304D" w14:textId="77777777" w:rsidR="00CF2E0B" w:rsidRDefault="00F45D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E67D158" w14:textId="77777777" w:rsidR="00CF2E0B" w:rsidRDefault="00F45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Conventional wisdom presents the IMF and World Bank as ‘Bretton Woods twins’; institutions with shared visions for and approaches to global economic governance. It is reported that John Maynard Keynes, lead UK negotiator at the 1944 United Nations Monetary and Financial Conference in Bretton Woods, New Hampshire, coined the term even before the ink had dried on the institutions’ Articles of Agreement (Snowdon and Vane 2005: 84). The moniker rapidly gained traction,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and remains in common use in both popular and academic commentary. However, beneath this image of umbilical unity, the IMF-World Bank relationship has been one </w:t>
      </w:r>
      <w:r w:rsidR="006D3B29">
        <w:rPr>
          <w:rFonts w:ascii="Times New Roman" w:eastAsia="Times New Roman" w:hAnsi="Times New Roman" w:cs="Times New Roman"/>
          <w:sz w:val="24"/>
          <w:szCs w:val="24"/>
        </w:rPr>
        <w:t>with blurred responsibilities</w:t>
      </w:r>
      <w:r>
        <w:rPr>
          <w:rFonts w:ascii="Times New Roman" w:eastAsia="Times New Roman" w:hAnsi="Times New Roman" w:cs="Times New Roman"/>
          <w:sz w:val="24"/>
          <w:szCs w:val="24"/>
        </w:rPr>
        <w:t xml:space="preserve"> and inter-organisational contestation. </w:t>
      </w:r>
    </w:p>
    <w:p w14:paraId="3FD6C881" w14:textId="77777777" w:rsidR="00675597" w:rsidRDefault="00EE59A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need for IMF-World Bank collaboration emerged as, over time, changes to each organisation’s operational scope </w:t>
      </w:r>
      <w:r w:rsidR="006D3B29">
        <w:rPr>
          <w:rFonts w:ascii="Times New Roman" w:eastAsia="Times New Roman" w:hAnsi="Times New Roman" w:cs="Times New Roman"/>
          <w:sz w:val="24"/>
          <w:szCs w:val="24"/>
        </w:rPr>
        <w:t>brought their areas of focus into close proximity</w:t>
      </w:r>
      <w:r>
        <w:rPr>
          <w:rFonts w:ascii="Times New Roman" w:eastAsia="Times New Roman" w:hAnsi="Times New Roman" w:cs="Times New Roman"/>
          <w:sz w:val="24"/>
          <w:szCs w:val="24"/>
        </w:rPr>
        <w:t xml:space="preserve">. </w:t>
      </w:r>
      <w:r w:rsidR="006D3B29">
        <w:rPr>
          <w:rFonts w:ascii="Times New Roman" w:eastAsia="Times New Roman" w:hAnsi="Times New Roman" w:cs="Times New Roman"/>
          <w:sz w:val="24"/>
          <w:szCs w:val="24"/>
        </w:rPr>
        <w:t>Along one track, w</w:t>
      </w:r>
      <w:r w:rsidR="009042FE">
        <w:rPr>
          <w:rFonts w:ascii="Times New Roman" w:eastAsia="Times New Roman" w:hAnsi="Times New Roman" w:cs="Times New Roman"/>
          <w:sz w:val="24"/>
          <w:szCs w:val="24"/>
        </w:rPr>
        <w:t xml:space="preserve">hereas the IMF was from the outset tasked with working to support member states’ financial sector stability, from the 1960s World Bank </w:t>
      </w:r>
      <w:r w:rsidR="006D3B29">
        <w:rPr>
          <w:rFonts w:ascii="Times New Roman" w:eastAsia="Times New Roman" w:hAnsi="Times New Roman" w:cs="Times New Roman"/>
          <w:sz w:val="24"/>
          <w:szCs w:val="24"/>
        </w:rPr>
        <w:t xml:space="preserve">operational stretch saw it </w:t>
      </w:r>
      <w:r w:rsidR="009042FE">
        <w:rPr>
          <w:rFonts w:ascii="Times New Roman" w:eastAsia="Times New Roman" w:hAnsi="Times New Roman" w:cs="Times New Roman"/>
          <w:sz w:val="24"/>
          <w:szCs w:val="24"/>
        </w:rPr>
        <w:t xml:space="preserve">became increasingly involved in this area. </w:t>
      </w:r>
      <w:r w:rsidR="006D3B29">
        <w:rPr>
          <w:rFonts w:ascii="Times New Roman" w:eastAsia="Times New Roman" w:hAnsi="Times New Roman" w:cs="Times New Roman"/>
          <w:sz w:val="24"/>
          <w:szCs w:val="24"/>
        </w:rPr>
        <w:t>Along a second track</w:t>
      </w:r>
      <w:r w:rsidR="009042FE">
        <w:rPr>
          <w:rFonts w:ascii="Times New Roman" w:eastAsia="Times New Roman" w:hAnsi="Times New Roman" w:cs="Times New Roman"/>
          <w:sz w:val="24"/>
          <w:szCs w:val="24"/>
        </w:rPr>
        <w:t>, whereas fostering long-term sustainable development was a centrepiece of the World Bank mission, from the 1980s and 1990s the IMF became an increasingly important partner to a significant cohort of lower-income countries</w:t>
      </w:r>
      <w:r w:rsidR="006D3B29">
        <w:rPr>
          <w:rFonts w:ascii="Times New Roman" w:eastAsia="Times New Roman" w:hAnsi="Times New Roman" w:cs="Times New Roman"/>
          <w:sz w:val="24"/>
          <w:szCs w:val="24"/>
        </w:rPr>
        <w:t>. As well as operational stretch towards poverty reduction from this time, we have more recently seen the emergence of Fund-Bank collaboration on climate change</w:t>
      </w:r>
      <w:r w:rsidR="009042FE">
        <w:rPr>
          <w:rFonts w:ascii="Times New Roman" w:eastAsia="Times New Roman" w:hAnsi="Times New Roman" w:cs="Times New Roman"/>
          <w:sz w:val="24"/>
          <w:szCs w:val="24"/>
        </w:rPr>
        <w:t xml:space="preserve">. </w:t>
      </w:r>
    </w:p>
    <w:p w14:paraId="2DD6C4CC" w14:textId="77777777" w:rsidR="00C63A86" w:rsidRDefault="00DF036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exploring the politics of Fund-Bank collaboration, two dynamics are apparent. First, </w:t>
      </w:r>
      <w:r w:rsidR="00175F09">
        <w:rPr>
          <w:rFonts w:ascii="Times New Roman" w:eastAsia="Times New Roman" w:hAnsi="Times New Roman" w:cs="Times New Roman"/>
          <w:sz w:val="24"/>
          <w:szCs w:val="24"/>
        </w:rPr>
        <w:t xml:space="preserve">we see that </w:t>
      </w:r>
      <w:r w:rsidR="00C63A86">
        <w:rPr>
          <w:rFonts w:ascii="Times New Roman" w:eastAsia="Times New Roman" w:hAnsi="Times New Roman" w:cs="Times New Roman"/>
          <w:sz w:val="24"/>
          <w:szCs w:val="24"/>
        </w:rPr>
        <w:t>it is difficult to establish inter-organisational collaboration, with significant c</w:t>
      </w:r>
      <w:r>
        <w:rPr>
          <w:rFonts w:ascii="Times New Roman" w:eastAsia="Times New Roman" w:hAnsi="Times New Roman" w:cs="Times New Roman"/>
          <w:sz w:val="24"/>
          <w:szCs w:val="24"/>
        </w:rPr>
        <w:t xml:space="preserve">ommitment from leadership needed to institutionalise </w:t>
      </w:r>
      <w:r w:rsidR="00C63A86">
        <w:rPr>
          <w:rFonts w:ascii="Times New Roman" w:eastAsia="Times New Roman" w:hAnsi="Times New Roman" w:cs="Times New Roman"/>
          <w:sz w:val="24"/>
          <w:szCs w:val="24"/>
        </w:rPr>
        <w:t xml:space="preserve">collaboration. In relation to financial sector, poverty reduction, and climate change operations, senior management engagement was needed to formalise processes for sharing information, evaluating options, and coordinating institutional positions. Second, </w:t>
      </w:r>
      <w:r w:rsidR="00175F09">
        <w:rPr>
          <w:rFonts w:ascii="Times New Roman" w:eastAsia="Times New Roman" w:hAnsi="Times New Roman" w:cs="Times New Roman"/>
          <w:sz w:val="24"/>
          <w:szCs w:val="24"/>
        </w:rPr>
        <w:t xml:space="preserve">we see that </w:t>
      </w:r>
      <w:r w:rsidR="00C63A86">
        <w:rPr>
          <w:rFonts w:ascii="Times New Roman" w:eastAsia="Times New Roman" w:hAnsi="Times New Roman" w:cs="Times New Roman"/>
          <w:sz w:val="24"/>
          <w:szCs w:val="24"/>
        </w:rPr>
        <w:t xml:space="preserve">it is difficult to maintain inter-organisational collaboration. In </w:t>
      </w:r>
      <w:r w:rsidR="008D5712">
        <w:rPr>
          <w:rFonts w:ascii="Times New Roman" w:eastAsia="Times New Roman" w:hAnsi="Times New Roman" w:cs="Times New Roman"/>
          <w:sz w:val="24"/>
          <w:szCs w:val="24"/>
        </w:rPr>
        <w:t>each of the three</w:t>
      </w:r>
      <w:r w:rsidR="00C63A86">
        <w:rPr>
          <w:rFonts w:ascii="Times New Roman" w:eastAsia="Times New Roman" w:hAnsi="Times New Roman" w:cs="Times New Roman"/>
          <w:sz w:val="24"/>
          <w:szCs w:val="24"/>
        </w:rPr>
        <w:t xml:space="preserve"> spheres of </w:t>
      </w:r>
      <w:r w:rsidR="008D5712">
        <w:rPr>
          <w:rFonts w:ascii="Times New Roman" w:eastAsia="Times New Roman" w:hAnsi="Times New Roman" w:cs="Times New Roman"/>
          <w:sz w:val="24"/>
          <w:szCs w:val="24"/>
        </w:rPr>
        <w:t xml:space="preserve">operations that are examined – </w:t>
      </w:r>
      <w:r w:rsidR="00C63A86">
        <w:rPr>
          <w:rFonts w:ascii="Times New Roman" w:eastAsia="Times New Roman" w:hAnsi="Times New Roman" w:cs="Times New Roman"/>
          <w:sz w:val="24"/>
          <w:szCs w:val="24"/>
        </w:rPr>
        <w:t>financial sector development</w:t>
      </w:r>
      <w:r w:rsidR="008D5712">
        <w:rPr>
          <w:rFonts w:ascii="Times New Roman" w:eastAsia="Times New Roman" w:hAnsi="Times New Roman" w:cs="Times New Roman"/>
          <w:sz w:val="24"/>
          <w:szCs w:val="24"/>
        </w:rPr>
        <w:t>,</w:t>
      </w:r>
      <w:r w:rsidR="00C63A86">
        <w:rPr>
          <w:rFonts w:ascii="Times New Roman" w:eastAsia="Times New Roman" w:hAnsi="Times New Roman" w:cs="Times New Roman"/>
          <w:sz w:val="24"/>
          <w:szCs w:val="24"/>
        </w:rPr>
        <w:t xml:space="preserve"> poverty reduction,</w:t>
      </w:r>
      <w:r w:rsidR="008D5712">
        <w:rPr>
          <w:rFonts w:ascii="Times New Roman" w:eastAsia="Times New Roman" w:hAnsi="Times New Roman" w:cs="Times New Roman"/>
          <w:sz w:val="24"/>
          <w:szCs w:val="24"/>
        </w:rPr>
        <w:t xml:space="preserve"> and climate change –</w:t>
      </w:r>
      <w:r w:rsidR="00C63A86">
        <w:rPr>
          <w:rFonts w:ascii="Times New Roman" w:eastAsia="Times New Roman" w:hAnsi="Times New Roman" w:cs="Times New Roman"/>
          <w:sz w:val="24"/>
          <w:szCs w:val="24"/>
        </w:rPr>
        <w:t xml:space="preserve"> </w:t>
      </w:r>
      <w:r w:rsidR="00B901E9">
        <w:rPr>
          <w:rFonts w:ascii="Times New Roman" w:eastAsia="Times New Roman" w:hAnsi="Times New Roman" w:cs="Times New Roman"/>
          <w:sz w:val="24"/>
          <w:szCs w:val="24"/>
        </w:rPr>
        <w:t>an</w:t>
      </w:r>
      <w:r w:rsidR="00000169">
        <w:rPr>
          <w:rFonts w:ascii="Times New Roman" w:eastAsia="Times New Roman" w:hAnsi="Times New Roman" w:cs="Times New Roman"/>
          <w:sz w:val="24"/>
          <w:szCs w:val="24"/>
        </w:rPr>
        <w:t xml:space="preserve"> institutional</w:t>
      </w:r>
      <w:r w:rsidR="00B901E9">
        <w:rPr>
          <w:rFonts w:ascii="Times New Roman" w:eastAsia="Times New Roman" w:hAnsi="Times New Roman" w:cs="Times New Roman"/>
          <w:sz w:val="24"/>
          <w:szCs w:val="24"/>
        </w:rPr>
        <w:t>isation of</w:t>
      </w:r>
      <w:r w:rsidR="00000169">
        <w:rPr>
          <w:rFonts w:ascii="Times New Roman" w:eastAsia="Times New Roman" w:hAnsi="Times New Roman" w:cs="Times New Roman"/>
          <w:sz w:val="24"/>
          <w:szCs w:val="24"/>
        </w:rPr>
        <w:t xml:space="preserve"> </w:t>
      </w:r>
      <w:r w:rsidR="00175F09">
        <w:rPr>
          <w:rFonts w:ascii="Times New Roman" w:eastAsia="Times New Roman" w:hAnsi="Times New Roman" w:cs="Times New Roman"/>
          <w:sz w:val="24"/>
          <w:szCs w:val="24"/>
        </w:rPr>
        <w:t xml:space="preserve">relatively deep </w:t>
      </w:r>
      <w:r w:rsidR="00000169">
        <w:rPr>
          <w:rFonts w:ascii="Times New Roman" w:eastAsia="Times New Roman" w:hAnsi="Times New Roman" w:cs="Times New Roman"/>
          <w:sz w:val="24"/>
          <w:szCs w:val="24"/>
        </w:rPr>
        <w:t>collaborati</w:t>
      </w:r>
      <w:r w:rsidR="00175F09">
        <w:rPr>
          <w:rFonts w:ascii="Times New Roman" w:eastAsia="Times New Roman" w:hAnsi="Times New Roman" w:cs="Times New Roman"/>
          <w:sz w:val="24"/>
          <w:szCs w:val="24"/>
        </w:rPr>
        <w:t>ve</w:t>
      </w:r>
      <w:r w:rsidR="00000169">
        <w:rPr>
          <w:rFonts w:ascii="Times New Roman" w:eastAsia="Times New Roman" w:hAnsi="Times New Roman" w:cs="Times New Roman"/>
          <w:sz w:val="24"/>
          <w:szCs w:val="24"/>
        </w:rPr>
        <w:t xml:space="preserve"> </w:t>
      </w:r>
      <w:r w:rsidR="00175F09">
        <w:rPr>
          <w:rFonts w:ascii="Times New Roman" w:eastAsia="Times New Roman" w:hAnsi="Times New Roman" w:cs="Times New Roman"/>
          <w:sz w:val="24"/>
          <w:szCs w:val="24"/>
        </w:rPr>
        <w:t xml:space="preserve">joint working </w:t>
      </w:r>
      <w:r w:rsidR="00996F49">
        <w:rPr>
          <w:rFonts w:ascii="Times New Roman" w:eastAsia="Times New Roman" w:hAnsi="Times New Roman" w:cs="Times New Roman"/>
          <w:sz w:val="24"/>
          <w:szCs w:val="24"/>
        </w:rPr>
        <w:t>was</w:t>
      </w:r>
      <w:r w:rsidR="00000169">
        <w:rPr>
          <w:rFonts w:ascii="Times New Roman" w:eastAsia="Times New Roman" w:hAnsi="Times New Roman" w:cs="Times New Roman"/>
          <w:sz w:val="24"/>
          <w:szCs w:val="24"/>
        </w:rPr>
        <w:t xml:space="preserve"> followed by </w:t>
      </w:r>
      <w:r w:rsidR="00996F49">
        <w:rPr>
          <w:rFonts w:ascii="Times New Roman" w:eastAsia="Times New Roman" w:hAnsi="Times New Roman" w:cs="Times New Roman"/>
          <w:sz w:val="24"/>
          <w:szCs w:val="24"/>
        </w:rPr>
        <w:t>a roll-back toward</w:t>
      </w:r>
      <w:r w:rsidR="00000169">
        <w:rPr>
          <w:rFonts w:ascii="Times New Roman" w:eastAsia="Times New Roman" w:hAnsi="Times New Roman" w:cs="Times New Roman"/>
          <w:sz w:val="24"/>
          <w:szCs w:val="24"/>
        </w:rPr>
        <w:t xml:space="preserve"> </w:t>
      </w:r>
      <w:r w:rsidR="00996F49">
        <w:rPr>
          <w:rFonts w:ascii="Times New Roman" w:eastAsia="Times New Roman" w:hAnsi="Times New Roman" w:cs="Times New Roman"/>
          <w:sz w:val="24"/>
          <w:szCs w:val="24"/>
        </w:rPr>
        <w:t xml:space="preserve">shallower </w:t>
      </w:r>
      <w:r w:rsidR="00175F09">
        <w:rPr>
          <w:rFonts w:ascii="Times New Roman" w:eastAsia="Times New Roman" w:hAnsi="Times New Roman" w:cs="Times New Roman"/>
          <w:sz w:val="24"/>
          <w:szCs w:val="24"/>
        </w:rPr>
        <w:t>collaboration</w:t>
      </w:r>
      <w:r w:rsidR="00000169">
        <w:rPr>
          <w:rFonts w:ascii="Times New Roman" w:eastAsia="Times New Roman" w:hAnsi="Times New Roman" w:cs="Times New Roman"/>
          <w:sz w:val="24"/>
          <w:szCs w:val="24"/>
        </w:rPr>
        <w:t xml:space="preserve">. </w:t>
      </w:r>
      <w:r w:rsidR="008D5712">
        <w:rPr>
          <w:rFonts w:ascii="Times New Roman" w:eastAsia="Times New Roman" w:hAnsi="Times New Roman" w:cs="Times New Roman"/>
          <w:sz w:val="24"/>
          <w:szCs w:val="24"/>
        </w:rPr>
        <w:t>Amongst other factors, s</w:t>
      </w:r>
      <w:r w:rsidR="00B901E9">
        <w:rPr>
          <w:rFonts w:ascii="Times New Roman" w:eastAsia="Times New Roman" w:hAnsi="Times New Roman" w:cs="Times New Roman"/>
          <w:sz w:val="24"/>
          <w:szCs w:val="24"/>
        </w:rPr>
        <w:t>ignificant differences in institutional cultures and structures across t</w:t>
      </w:r>
      <w:r w:rsidR="00996F49">
        <w:rPr>
          <w:rFonts w:ascii="Times New Roman" w:eastAsia="Times New Roman" w:hAnsi="Times New Roman" w:cs="Times New Roman"/>
          <w:sz w:val="24"/>
          <w:szCs w:val="24"/>
        </w:rPr>
        <w:t xml:space="preserve">he Bank and Fund </w:t>
      </w:r>
      <w:r w:rsidR="008D5712">
        <w:rPr>
          <w:rFonts w:ascii="Times New Roman" w:eastAsia="Times New Roman" w:hAnsi="Times New Roman" w:cs="Times New Roman"/>
          <w:sz w:val="24"/>
          <w:szCs w:val="24"/>
        </w:rPr>
        <w:t xml:space="preserve">can be seen to </w:t>
      </w:r>
      <w:r w:rsidR="00B901E9">
        <w:rPr>
          <w:rFonts w:ascii="Times New Roman" w:eastAsia="Times New Roman" w:hAnsi="Times New Roman" w:cs="Times New Roman"/>
          <w:sz w:val="24"/>
          <w:szCs w:val="24"/>
        </w:rPr>
        <w:t>contribute to th</w:t>
      </w:r>
      <w:r w:rsidR="00175F09">
        <w:rPr>
          <w:rFonts w:ascii="Times New Roman" w:eastAsia="Times New Roman" w:hAnsi="Times New Roman" w:cs="Times New Roman"/>
          <w:sz w:val="24"/>
          <w:szCs w:val="24"/>
        </w:rPr>
        <w:t>e difficulties of establishing and maintaining inter-organisational collaboration</w:t>
      </w:r>
      <w:r w:rsidR="00B901E9">
        <w:rPr>
          <w:rFonts w:ascii="Times New Roman" w:eastAsia="Times New Roman" w:hAnsi="Times New Roman" w:cs="Times New Roman"/>
          <w:sz w:val="24"/>
          <w:szCs w:val="24"/>
        </w:rPr>
        <w:t>.</w:t>
      </w:r>
      <w:r w:rsidR="00000169">
        <w:rPr>
          <w:rFonts w:ascii="Times New Roman" w:eastAsia="Times New Roman" w:hAnsi="Times New Roman" w:cs="Times New Roman"/>
          <w:sz w:val="24"/>
          <w:szCs w:val="24"/>
        </w:rPr>
        <w:t xml:space="preserve"> </w:t>
      </w:r>
    </w:p>
    <w:p w14:paraId="234887F9" w14:textId="77777777" w:rsidR="00CF2E0B" w:rsidRDefault="00F45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presenting this overarching </w:t>
      </w:r>
      <w:r w:rsidR="00996F49">
        <w:rPr>
          <w:rFonts w:ascii="Times New Roman" w:eastAsia="Times New Roman" w:hAnsi="Times New Roman" w:cs="Times New Roman"/>
          <w:sz w:val="24"/>
          <w:szCs w:val="24"/>
        </w:rPr>
        <w:t>exploration of Fund-Bank collaboration on financial sector reform and sustainable development</w:t>
      </w:r>
      <w:r>
        <w:rPr>
          <w:rFonts w:ascii="Times New Roman" w:eastAsia="Times New Roman" w:hAnsi="Times New Roman" w:cs="Times New Roman"/>
          <w:sz w:val="24"/>
          <w:szCs w:val="24"/>
        </w:rPr>
        <w:t xml:space="preserve">, I </w:t>
      </w:r>
      <w:r w:rsidR="00996F49">
        <w:rPr>
          <w:rFonts w:ascii="Times New Roman" w:eastAsia="Times New Roman" w:hAnsi="Times New Roman" w:cs="Times New Roman"/>
          <w:sz w:val="24"/>
          <w:szCs w:val="24"/>
        </w:rPr>
        <w:t>structure</w:t>
      </w:r>
      <w:r>
        <w:rPr>
          <w:rFonts w:ascii="Times New Roman" w:eastAsia="Times New Roman" w:hAnsi="Times New Roman" w:cs="Times New Roman"/>
          <w:sz w:val="24"/>
          <w:szCs w:val="24"/>
        </w:rPr>
        <w:t xml:space="preserve"> the </w:t>
      </w:r>
      <w:r w:rsidR="00996F49">
        <w:rPr>
          <w:rFonts w:ascii="Times New Roman" w:eastAsia="Times New Roman" w:hAnsi="Times New Roman" w:cs="Times New Roman"/>
          <w:sz w:val="24"/>
          <w:szCs w:val="24"/>
        </w:rPr>
        <w:t>chapter as</w:t>
      </w:r>
      <w:r>
        <w:rPr>
          <w:rFonts w:ascii="Times New Roman" w:eastAsia="Times New Roman" w:hAnsi="Times New Roman" w:cs="Times New Roman"/>
          <w:sz w:val="24"/>
          <w:szCs w:val="24"/>
        </w:rPr>
        <w:t xml:space="preserve"> follow</w:t>
      </w:r>
      <w:r w:rsidR="00996F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the first section below, I provide a </w:t>
      </w:r>
      <w:r w:rsidR="00B901E9">
        <w:rPr>
          <w:rFonts w:ascii="Times New Roman" w:eastAsia="Times New Roman" w:hAnsi="Times New Roman" w:cs="Times New Roman"/>
          <w:sz w:val="24"/>
          <w:szCs w:val="24"/>
        </w:rPr>
        <w:t>review of scholarship that sheds light on Fund-Bank collaboration.</w:t>
      </w:r>
      <w:r w:rsidR="00175F09">
        <w:rPr>
          <w:rFonts w:ascii="Times New Roman" w:eastAsia="Times New Roman" w:hAnsi="Times New Roman" w:cs="Times New Roman"/>
          <w:sz w:val="24"/>
          <w:szCs w:val="24"/>
        </w:rPr>
        <w:t xml:space="preserve"> I in particular draw valuable nuance from this body of work on the nature of Fund-Bank col</w:t>
      </w:r>
      <w:r w:rsidR="008D5712">
        <w:rPr>
          <w:rFonts w:ascii="Times New Roman" w:eastAsia="Times New Roman" w:hAnsi="Times New Roman" w:cs="Times New Roman"/>
          <w:sz w:val="24"/>
          <w:szCs w:val="24"/>
        </w:rPr>
        <w:t xml:space="preserve">laboration, which </w:t>
      </w:r>
      <w:r w:rsidR="00175F09">
        <w:rPr>
          <w:rFonts w:ascii="Times New Roman" w:eastAsia="Times New Roman" w:hAnsi="Times New Roman" w:cs="Times New Roman"/>
          <w:sz w:val="24"/>
          <w:szCs w:val="24"/>
        </w:rPr>
        <w:t>allows us to differentiate between ‘shallower’ and ‘deeper’ forms of inter-institutional working arrangements.</w:t>
      </w:r>
      <w:r w:rsidR="00B901E9">
        <w:rPr>
          <w:rFonts w:ascii="Times New Roman" w:eastAsia="Times New Roman" w:hAnsi="Times New Roman" w:cs="Times New Roman"/>
          <w:sz w:val="24"/>
          <w:szCs w:val="24"/>
        </w:rPr>
        <w:t xml:space="preserve"> </w:t>
      </w:r>
      <w:r w:rsidR="00175F09">
        <w:rPr>
          <w:rFonts w:ascii="Times New Roman" w:eastAsia="Times New Roman" w:hAnsi="Times New Roman" w:cs="Times New Roman"/>
          <w:sz w:val="24"/>
          <w:szCs w:val="24"/>
        </w:rPr>
        <w:t>I</w:t>
      </w:r>
      <w:r w:rsidR="00B901E9">
        <w:rPr>
          <w:rFonts w:ascii="Times New Roman" w:eastAsia="Times New Roman" w:hAnsi="Times New Roman" w:cs="Times New Roman"/>
          <w:sz w:val="24"/>
          <w:szCs w:val="24"/>
        </w:rPr>
        <w:t xml:space="preserve">nsights from this scholarship </w:t>
      </w:r>
      <w:r w:rsidR="00175F09">
        <w:rPr>
          <w:rFonts w:ascii="Times New Roman" w:eastAsia="Times New Roman" w:hAnsi="Times New Roman" w:cs="Times New Roman"/>
          <w:sz w:val="24"/>
          <w:szCs w:val="24"/>
        </w:rPr>
        <w:t>shape the</w:t>
      </w:r>
      <w:r w:rsidR="00B901E9">
        <w:rPr>
          <w:rFonts w:ascii="Times New Roman" w:eastAsia="Times New Roman" w:hAnsi="Times New Roman" w:cs="Times New Roman"/>
          <w:sz w:val="24"/>
          <w:szCs w:val="24"/>
        </w:rPr>
        <w:t xml:space="preserve"> subsequent </w:t>
      </w:r>
      <w:r w:rsidR="00175F09">
        <w:rPr>
          <w:rFonts w:ascii="Times New Roman" w:eastAsia="Times New Roman" w:hAnsi="Times New Roman" w:cs="Times New Roman"/>
          <w:sz w:val="24"/>
          <w:szCs w:val="24"/>
        </w:rPr>
        <w:t xml:space="preserve">explorations of the ebb and flow of Fund-Bank collaboration on financial sector development </w:t>
      </w:r>
      <w:r w:rsidR="00175F09">
        <w:rPr>
          <w:rFonts w:ascii="Times New Roman" w:eastAsia="Times New Roman" w:hAnsi="Times New Roman" w:cs="Times New Roman"/>
          <w:sz w:val="24"/>
          <w:szCs w:val="24"/>
        </w:rPr>
        <w:lastRenderedPageBreak/>
        <w:t>on the one hand, and sustainable development on the other.</w:t>
      </w:r>
      <w:r w:rsidR="00B901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conclude by providing a recap of the core line of analysis development through the chapter.</w:t>
      </w:r>
    </w:p>
    <w:p w14:paraId="30952856" w14:textId="77777777" w:rsidR="00576F7D" w:rsidRDefault="00576F7D" w:rsidP="00576F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IMF-World Bank collaboration: Existing scholarship</w:t>
      </w:r>
    </w:p>
    <w:p w14:paraId="65392CA7" w14:textId="77777777" w:rsidR="00576F7D" w:rsidRDefault="00576F7D"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paragraphs below, I present an overview of scholarship that sheds light on the politics of IMF-World Bank collaboration. I first review scholarship that provides more broad-based insights into the bureaucratic structures and processes that underpin operational practice within the institutions, before then moving to consider work that has specifically explored IMF-Bank </w:t>
      </w:r>
      <w:r w:rsidR="007F1EBB">
        <w:rPr>
          <w:rFonts w:ascii="Times New Roman" w:eastAsia="Times New Roman" w:hAnsi="Times New Roman" w:cs="Times New Roman"/>
          <w:sz w:val="24"/>
          <w:szCs w:val="24"/>
        </w:rPr>
        <w:t>collaboration</w:t>
      </w:r>
      <w:r>
        <w:rPr>
          <w:rFonts w:ascii="Times New Roman" w:eastAsia="Times New Roman" w:hAnsi="Times New Roman" w:cs="Times New Roman"/>
          <w:sz w:val="24"/>
          <w:szCs w:val="24"/>
        </w:rPr>
        <w:t xml:space="preserve">. Overall, from this scholarship, we receive a confirmation of the characterisation offered by Kapur et al (1997: 622) that likens the Fund to the Catholic church and the Bank to a group of Protestant sects, with the baked-in structural and cultural differences presenting a barrier to ecumenical collaboration. </w:t>
      </w:r>
      <w:r w:rsidR="006949E7">
        <w:rPr>
          <w:rFonts w:ascii="Times New Roman" w:eastAsia="Times New Roman" w:hAnsi="Times New Roman" w:cs="Times New Roman"/>
          <w:sz w:val="24"/>
          <w:szCs w:val="24"/>
        </w:rPr>
        <w:t>T</w:t>
      </w:r>
      <w:r w:rsidR="007F1EBB">
        <w:rPr>
          <w:rFonts w:ascii="Times New Roman" w:eastAsia="Times New Roman" w:hAnsi="Times New Roman" w:cs="Times New Roman"/>
          <w:sz w:val="24"/>
          <w:szCs w:val="24"/>
        </w:rPr>
        <w:t>his body of scholarship provides va</w:t>
      </w:r>
      <w:r w:rsidR="006949E7">
        <w:rPr>
          <w:rFonts w:ascii="Times New Roman" w:eastAsia="Times New Roman" w:hAnsi="Times New Roman" w:cs="Times New Roman"/>
          <w:sz w:val="24"/>
          <w:szCs w:val="24"/>
        </w:rPr>
        <w:t xml:space="preserve">luable insights that help us </w:t>
      </w:r>
      <w:r w:rsidR="007F1EBB">
        <w:rPr>
          <w:rFonts w:ascii="Times New Roman" w:eastAsia="Times New Roman" w:hAnsi="Times New Roman" w:cs="Times New Roman"/>
          <w:sz w:val="24"/>
          <w:szCs w:val="24"/>
        </w:rPr>
        <w:t xml:space="preserve">understand the observed patterns in Fund-Bank collaboration on financial sector issues and sustainable development, </w:t>
      </w:r>
      <w:r w:rsidR="006949E7">
        <w:rPr>
          <w:rFonts w:ascii="Times New Roman" w:eastAsia="Times New Roman" w:hAnsi="Times New Roman" w:cs="Times New Roman"/>
          <w:sz w:val="24"/>
          <w:szCs w:val="24"/>
        </w:rPr>
        <w:t xml:space="preserve">with the </w:t>
      </w:r>
      <w:r w:rsidR="007F1EBB">
        <w:rPr>
          <w:rFonts w:ascii="Times New Roman" w:eastAsia="Times New Roman" w:hAnsi="Times New Roman" w:cs="Times New Roman"/>
          <w:sz w:val="24"/>
          <w:szCs w:val="24"/>
        </w:rPr>
        <w:t xml:space="preserve">high cost </w:t>
      </w:r>
      <w:r w:rsidR="006949E7">
        <w:rPr>
          <w:rFonts w:ascii="Times New Roman" w:eastAsia="Times New Roman" w:hAnsi="Times New Roman" w:cs="Times New Roman"/>
          <w:sz w:val="24"/>
          <w:szCs w:val="24"/>
        </w:rPr>
        <w:t>of</w:t>
      </w:r>
      <w:r w:rsidR="007F1EBB">
        <w:rPr>
          <w:rFonts w:ascii="Times New Roman" w:eastAsia="Times New Roman" w:hAnsi="Times New Roman" w:cs="Times New Roman"/>
          <w:sz w:val="24"/>
          <w:szCs w:val="24"/>
        </w:rPr>
        <w:t xml:space="preserve"> establishing collaboration and a tendency toward </w:t>
      </w:r>
      <w:r w:rsidR="006949E7">
        <w:rPr>
          <w:rFonts w:ascii="Times New Roman" w:eastAsia="Times New Roman" w:hAnsi="Times New Roman" w:cs="Times New Roman"/>
          <w:sz w:val="24"/>
          <w:szCs w:val="24"/>
        </w:rPr>
        <w:t>roll-back over time</w:t>
      </w:r>
      <w:r w:rsidR="007F1EBB">
        <w:rPr>
          <w:rFonts w:ascii="Times New Roman" w:eastAsia="Times New Roman" w:hAnsi="Times New Roman" w:cs="Times New Roman"/>
          <w:sz w:val="24"/>
          <w:szCs w:val="24"/>
        </w:rPr>
        <w:t>.</w:t>
      </w:r>
    </w:p>
    <w:p w14:paraId="5D72F276" w14:textId="77777777" w:rsidR="00576F7D" w:rsidRDefault="00576F7D"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starting point for understanding the IMF-World Bank relationship, it is useful to consider their contrasting institutional structures and cultures to identify potential organisational features that can exacerbate inter-institutional friction. Geographically, the Bank and Fund are to all intents and purposes co-located. The organisations’ main headquarters buildings sit across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from one another, at the heart of Washington, DC. Physical connection is enhanced by the existence of basement-level tunnels, which provide a direct link between the two sites. These links, however, bring together institutions with significant structural and cultural points of difference.</w:t>
      </w:r>
    </w:p>
    <w:p w14:paraId="1DCC7302" w14:textId="77777777" w:rsidR="00576F7D" w:rsidRDefault="00576F7D"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International Monetary Fund is an organisation characterised by a relatively hierarchical structure and a culture that is constituted by a widely shared conceptualisation of the organisation’s mission. Operationally, the Fund’s Strategy, Policy, and Review Department (SPRD) occupies an important position in the Fund, tasked with the purpose of ensuring consistency across the organisation’s surveillance and lending interventions. Country-level assessments of macroeconomic trajectory and stability, and lending programmes with associated performance monitoring frameworks, are drafted by teams across the Fund with relevant domestic and thematic expertise. However, SPRD plays an integral role in the finalisation of these outputs, with the Department having a long-established reputation for robustness in its efforts to align staff practice with official policy and guidance (Momani 2007: 47-8). Indeed, SPRD has been said to contribute to an institutional structure capable of generating rapid operational change; once clear guidance has been issued, SPRD oversight helps transform principle into practice (Clegg 2014).</w:t>
      </w:r>
    </w:p>
    <w:p w14:paraId="4764DAE9" w14:textId="77777777" w:rsidR="00576F7D" w:rsidRDefault="00576F7D"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Shared intellectual background amongst staff at the Fund also contributes to the maintenance of this regulated operational environment. While efforts have been made to ensure wider geographic representation, the IMF remains predominantly populated by professional staff with PhDs from leading North American and European universities from across the discipline of Economics. An effect of this cultural feature is that, unless and until an issue can be ‘understood’ through the methodological tools and assumptions that constitute mainstream Economics, it is likely to gain limited traction within the organisation. Focusing on the institution’s approach to capital flows across borders, Chwieroth (2009) has shown that ideas from mainstream Economics can serve to anchor the institution to policies whose real-world impact remains contested. While processes of operational change can become somewhat politicised (Ban 2015), to stabilise or become embedded practices</w:t>
      </w:r>
      <w:r w:rsidR="007F1EBB">
        <w:rPr>
          <w:rFonts w:ascii="Times New Roman" w:eastAsia="Times New Roman" w:hAnsi="Times New Roman" w:cs="Times New Roman"/>
          <w:sz w:val="24"/>
          <w:szCs w:val="24"/>
        </w:rPr>
        <w:t xml:space="preserve"> require</w:t>
      </w:r>
      <w:r>
        <w:rPr>
          <w:rFonts w:ascii="Times New Roman" w:eastAsia="Times New Roman" w:hAnsi="Times New Roman" w:cs="Times New Roman"/>
          <w:sz w:val="24"/>
          <w:szCs w:val="24"/>
        </w:rPr>
        <w:t xml:space="preserve"> justifications that fit with prevailing cognitive frameworks (Park and </w:t>
      </w:r>
      <w:proofErr w:type="spellStart"/>
      <w:r>
        <w:rPr>
          <w:rFonts w:ascii="Times New Roman" w:eastAsia="Times New Roman" w:hAnsi="Times New Roman" w:cs="Times New Roman"/>
          <w:sz w:val="24"/>
          <w:szCs w:val="24"/>
        </w:rPr>
        <w:t>Vetterlein</w:t>
      </w:r>
      <w:proofErr w:type="spellEnd"/>
      <w:r>
        <w:rPr>
          <w:rFonts w:ascii="Times New Roman" w:eastAsia="Times New Roman" w:hAnsi="Times New Roman" w:cs="Times New Roman"/>
          <w:sz w:val="24"/>
          <w:szCs w:val="24"/>
        </w:rPr>
        <w:t xml:space="preserve"> 2010: 238).</w:t>
      </w:r>
    </w:p>
    <w:p w14:paraId="032EE58E" w14:textId="77777777" w:rsidR="00576F7D" w:rsidRDefault="00576F7D"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contrast to the relative intellectual homogeneity and controlled hierarchy of the Fund, the World Bank presents a notably more variegated culture and complex structure. In terms of personnel base the Bank is a significantly larger organisation, with its staff of 12,500 comparing to the Fund’s 2,500.</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Throughout its contemporary history, the Bank has been subjected to several reorganisations (Clegg 2017: 45-47). Changes introduced during James Wolfensohn’s presidency of the organisation, which ran from 1995-2005, continue to shape the Bank’s decentralised structure. Under Wolfensohn’s ‘governance matrix’, staffs’ ability to get projects approved and particular approaches prioritised became contingent on the forging of links between the Bank’s five Regional Vice-Presidencies on the one hand, and its thematic and sectoral Network Vice-Presidencies on the other (Clegg 2014b: 263-4). The decentralised organisational structure was intended to foster operational experimentation, with a view to developing and sharing best practice, and consolidating the Bank’s reputation as field leader in the theo</w:t>
      </w:r>
      <w:r w:rsidR="007F1EBB">
        <w:rPr>
          <w:rFonts w:ascii="Times New Roman" w:eastAsia="Times New Roman" w:hAnsi="Times New Roman" w:cs="Times New Roman"/>
          <w:sz w:val="24"/>
          <w:szCs w:val="24"/>
        </w:rPr>
        <w:t xml:space="preserve">ry and practice of development. </w:t>
      </w:r>
      <w:r>
        <w:rPr>
          <w:rFonts w:ascii="Times New Roman" w:eastAsia="Times New Roman" w:hAnsi="Times New Roman" w:cs="Times New Roman"/>
          <w:sz w:val="24"/>
          <w:szCs w:val="24"/>
        </w:rPr>
        <w:t xml:space="preserve">In addition to this decentralised structure, the intellectual culture of the Bank supports active internal contestation of ideas and practices. Bebbington et al (2004) characterised the Bank as an organisation with competing ‘economic development’ and ‘social development’ visions, with the economic framework prioritising expansion of productive capacity as a foundation for subsequent societal improvement and the social framework the inverse. While staff aligned with the former tended to occupy strategically important positions, those aligned with the latter could through alliance-building and informal influence gain support. This fundamental cleavage has shaped the manner in which the World Bank has conceptualised and operationalised its poverty reduction mission, with for example its Poverty Reduction and Economic Management embedding a focus on the social dimensions of poverty in Bank research and projects (Clegg 2010: 486-7). Through the confluence of culture and structure, there is greater room for staff autonomy at the Bank, and potential for the introduction of relatively </w:t>
      </w:r>
      <w:r>
        <w:rPr>
          <w:rFonts w:ascii="Times New Roman" w:eastAsia="Times New Roman" w:hAnsi="Times New Roman" w:cs="Times New Roman"/>
          <w:i/>
          <w:sz w:val="24"/>
          <w:szCs w:val="24"/>
        </w:rPr>
        <w:t>ad hoc</w:t>
      </w:r>
      <w:r>
        <w:rPr>
          <w:rFonts w:ascii="Times New Roman" w:eastAsia="Times New Roman" w:hAnsi="Times New Roman" w:cs="Times New Roman"/>
          <w:sz w:val="24"/>
          <w:szCs w:val="24"/>
        </w:rPr>
        <w:t xml:space="preserve"> and ‘bottom-up’ change (Park and </w:t>
      </w:r>
      <w:proofErr w:type="spellStart"/>
      <w:r>
        <w:rPr>
          <w:rFonts w:ascii="Times New Roman" w:eastAsia="Times New Roman" w:hAnsi="Times New Roman" w:cs="Times New Roman"/>
          <w:sz w:val="24"/>
          <w:szCs w:val="24"/>
        </w:rPr>
        <w:t>Vetterlein</w:t>
      </w:r>
      <w:proofErr w:type="spellEnd"/>
      <w:r>
        <w:rPr>
          <w:rFonts w:ascii="Times New Roman" w:eastAsia="Times New Roman" w:hAnsi="Times New Roman" w:cs="Times New Roman"/>
          <w:sz w:val="24"/>
          <w:szCs w:val="24"/>
        </w:rPr>
        <w:t xml:space="preserve"> 2010: 230-1).</w:t>
      </w:r>
    </w:p>
    <w:p w14:paraId="392921F2" w14:textId="77777777" w:rsidR="007B4F1F" w:rsidRDefault="00576F7D"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overview, then, we can see the IMF as the more hierarchical of the two organisations, with a tendency to adhere relatively rigidly to current practices and to implement processes of operational change in a relatively centralised manner. In contrast, the Bank’s more decentred structure tends the organisation towards a more flexible and incremental experimentalism with operational practice. </w:t>
      </w:r>
      <w:r w:rsidR="006949E7">
        <w:rPr>
          <w:rFonts w:ascii="Times New Roman" w:eastAsia="Times New Roman" w:hAnsi="Times New Roman" w:cs="Times New Roman"/>
          <w:sz w:val="24"/>
          <w:szCs w:val="24"/>
        </w:rPr>
        <w:t>A sub-section of scholarship that specifically focuses on Fund-Bank</w:t>
      </w:r>
      <w:r w:rsidR="007B4F1F">
        <w:rPr>
          <w:rFonts w:ascii="Times New Roman" w:eastAsia="Times New Roman" w:hAnsi="Times New Roman" w:cs="Times New Roman"/>
          <w:sz w:val="24"/>
          <w:szCs w:val="24"/>
        </w:rPr>
        <w:t xml:space="preserve"> </w:t>
      </w:r>
      <w:r w:rsidR="006949E7">
        <w:rPr>
          <w:rFonts w:ascii="Times New Roman" w:eastAsia="Times New Roman" w:hAnsi="Times New Roman" w:cs="Times New Roman"/>
          <w:sz w:val="24"/>
          <w:szCs w:val="24"/>
        </w:rPr>
        <w:t>interaction helps us to advance our understanding of the precise meaning of collaboration in this context, and the challenges around its institutionalisation</w:t>
      </w:r>
      <w:r w:rsidR="007B4F1F">
        <w:rPr>
          <w:rFonts w:ascii="Times New Roman" w:eastAsia="Times New Roman" w:hAnsi="Times New Roman" w:cs="Times New Roman"/>
          <w:sz w:val="24"/>
          <w:szCs w:val="24"/>
        </w:rPr>
        <w:t>.</w:t>
      </w:r>
    </w:p>
    <w:p w14:paraId="7A0824F1" w14:textId="77777777" w:rsidR="006949E7" w:rsidRDefault="003D3AE5" w:rsidP="00576F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Feinberg (1988) provides an early example of s</w:t>
      </w:r>
      <w:r w:rsidR="007F1EBB">
        <w:rPr>
          <w:rFonts w:ascii="Times New Roman" w:eastAsia="Times New Roman" w:hAnsi="Times New Roman" w:cs="Times New Roman"/>
          <w:sz w:val="24"/>
          <w:szCs w:val="24"/>
        </w:rPr>
        <w:t xml:space="preserve">cholarship </w:t>
      </w:r>
      <w:r>
        <w:rPr>
          <w:rFonts w:ascii="Times New Roman" w:eastAsia="Times New Roman" w:hAnsi="Times New Roman" w:cs="Times New Roman"/>
          <w:sz w:val="24"/>
          <w:szCs w:val="24"/>
        </w:rPr>
        <w:t>on the shifting</w:t>
      </w:r>
      <w:r w:rsidR="007F1EBB">
        <w:rPr>
          <w:rFonts w:ascii="Times New Roman" w:eastAsia="Times New Roman" w:hAnsi="Times New Roman" w:cs="Times New Roman"/>
          <w:sz w:val="24"/>
          <w:szCs w:val="24"/>
        </w:rPr>
        <w:t xml:space="preserve"> </w:t>
      </w:r>
      <w:r w:rsidR="006949E7">
        <w:rPr>
          <w:rFonts w:ascii="Times New Roman" w:eastAsia="Times New Roman" w:hAnsi="Times New Roman" w:cs="Times New Roman"/>
          <w:sz w:val="24"/>
          <w:szCs w:val="24"/>
        </w:rPr>
        <w:t>Fund-Bank</w:t>
      </w:r>
      <w:r w:rsidR="007F1E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operational relationship</w:t>
      </w:r>
      <w:r w:rsidR="007B4F1F">
        <w:rPr>
          <w:rFonts w:ascii="Times New Roman" w:eastAsia="Times New Roman" w:hAnsi="Times New Roman" w:cs="Times New Roman"/>
          <w:sz w:val="24"/>
          <w:szCs w:val="24"/>
        </w:rPr>
        <w:t>, which emphasises the tendency to under-supply collaborative mechanisms</w:t>
      </w:r>
      <w:r>
        <w:rPr>
          <w:rFonts w:ascii="Times New Roman" w:eastAsia="Times New Roman" w:hAnsi="Times New Roman" w:cs="Times New Roman"/>
          <w:sz w:val="24"/>
          <w:szCs w:val="24"/>
        </w:rPr>
        <w:t>.</w:t>
      </w:r>
      <w:r w:rsidR="007F1EBB">
        <w:rPr>
          <w:rFonts w:ascii="Times New Roman" w:eastAsia="Times New Roman" w:hAnsi="Times New Roman" w:cs="Times New Roman"/>
          <w:sz w:val="24"/>
          <w:szCs w:val="24"/>
        </w:rPr>
        <w:t xml:space="preserve"> </w:t>
      </w:r>
      <w:r w:rsidR="006949E7">
        <w:rPr>
          <w:rFonts w:ascii="Times New Roman" w:eastAsia="Times New Roman" w:hAnsi="Times New Roman" w:cs="Times New Roman"/>
          <w:sz w:val="24"/>
          <w:szCs w:val="24"/>
        </w:rPr>
        <w:t xml:space="preserve">The Fund and Bank expanded their operational scope through the 1970s, towards supporting member states’ efforts to reform policy and institutional frameworks. From the Fund side, these foundations were seen as necessary for the achievement of macroeconomic stabilisation, and from the Bank side for the achievement of </w:t>
      </w:r>
      <w:r w:rsidR="0053210E">
        <w:rPr>
          <w:rFonts w:ascii="Times New Roman" w:eastAsia="Times New Roman" w:hAnsi="Times New Roman" w:cs="Times New Roman"/>
          <w:sz w:val="24"/>
          <w:szCs w:val="24"/>
        </w:rPr>
        <w:t xml:space="preserve">economic development. For Feinberg, while the organisations had come to developed common operational focuses, leadership and staff had failed to adequately establish processes to </w:t>
      </w:r>
      <w:r w:rsidR="00996F49">
        <w:rPr>
          <w:rFonts w:ascii="Times New Roman" w:eastAsia="Times New Roman" w:hAnsi="Times New Roman" w:cs="Times New Roman"/>
          <w:sz w:val="24"/>
          <w:szCs w:val="24"/>
        </w:rPr>
        <w:t>embed collaboration and the institutionalisation of</w:t>
      </w:r>
      <w:r w:rsidR="0053210E">
        <w:rPr>
          <w:rFonts w:ascii="Times New Roman" w:eastAsia="Times New Roman" w:hAnsi="Times New Roman" w:cs="Times New Roman"/>
          <w:sz w:val="24"/>
          <w:szCs w:val="24"/>
        </w:rPr>
        <w:t xml:space="preserve"> shared approaches. The under-supply of this collaborative infrastructure created conditions, in Feinberg’s (552) words, for ‘</w:t>
      </w:r>
      <w:r w:rsidR="0053210E" w:rsidRPr="0053210E">
        <w:rPr>
          <w:rFonts w:ascii="Times New Roman" w:eastAsia="Times New Roman" w:hAnsi="Times New Roman" w:cs="Times New Roman"/>
          <w:sz w:val="24"/>
          <w:szCs w:val="24"/>
        </w:rPr>
        <w:t>duplication of efforts, wasted talent, delays in program design and implementation, and conflicts over bureaucratic turf</w:t>
      </w:r>
      <w:r w:rsidR="0053210E">
        <w:rPr>
          <w:rFonts w:ascii="Times New Roman" w:eastAsia="Times New Roman" w:hAnsi="Times New Roman" w:cs="Times New Roman"/>
          <w:sz w:val="24"/>
          <w:szCs w:val="24"/>
        </w:rPr>
        <w:t>’.</w:t>
      </w:r>
    </w:p>
    <w:p w14:paraId="257E3534" w14:textId="77777777" w:rsidR="00D30DA0" w:rsidRDefault="00D30DA0" w:rsidP="00D30DA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Momani and Hibben (2015) offer a systematic review of IMF-World Bank financial sector interactions, through which they specifically seek to identify factors that support ‘high-quality collaboration’. High-quality collaboration is defined as ‘IMF–World Bank coordinated work that maximizes institutional comparative advantage to address macroeconomic and development needs of member states, enhances effective coordination on country issues, and supports creative problem solving’ (28). Momani and Hibben (35-40) identify differences in decision-making culture and operational structures as inhibiting collaboration between the Fund and Bank. The institutional features outlined by Momani and Hibben add detail to the general factors identified above as providing potential sources of inter-organisational friction.</w:t>
      </w:r>
      <w:r w:rsidR="00B34994">
        <w:rPr>
          <w:rFonts w:ascii="Times New Roman" w:eastAsia="Times New Roman" w:hAnsi="Times New Roman" w:cs="Times New Roman"/>
          <w:sz w:val="24"/>
          <w:szCs w:val="24"/>
        </w:rPr>
        <w:t xml:space="preserve"> Gutner (2020</w:t>
      </w:r>
      <w:r w:rsidR="00411B20">
        <w:rPr>
          <w:rFonts w:ascii="Times New Roman" w:eastAsia="Times New Roman" w:hAnsi="Times New Roman" w:cs="Times New Roman"/>
          <w:sz w:val="24"/>
          <w:szCs w:val="24"/>
        </w:rPr>
        <w:t>: 7-8</w:t>
      </w:r>
      <w:r w:rsidR="00B34994">
        <w:rPr>
          <w:rFonts w:ascii="Times New Roman" w:eastAsia="Times New Roman" w:hAnsi="Times New Roman" w:cs="Times New Roman"/>
          <w:sz w:val="24"/>
          <w:szCs w:val="24"/>
        </w:rPr>
        <w:t xml:space="preserve">) provides us with additional conceptual nuance to support our exploration of the Fund-Bank relationship, through her </w:t>
      </w:r>
      <w:r w:rsidR="004263D8">
        <w:rPr>
          <w:rFonts w:ascii="Times New Roman" w:eastAsia="Times New Roman" w:hAnsi="Times New Roman" w:cs="Times New Roman"/>
          <w:sz w:val="24"/>
          <w:szCs w:val="24"/>
        </w:rPr>
        <w:t>unpacking of the core features of the institutions’ collaboration</w:t>
      </w:r>
      <w:r w:rsidR="00B34994">
        <w:rPr>
          <w:rFonts w:ascii="Times New Roman" w:eastAsia="Times New Roman" w:hAnsi="Times New Roman" w:cs="Times New Roman"/>
          <w:sz w:val="24"/>
          <w:szCs w:val="24"/>
        </w:rPr>
        <w:t xml:space="preserve">. </w:t>
      </w:r>
      <w:r w:rsidR="004263D8">
        <w:rPr>
          <w:rFonts w:ascii="Times New Roman" w:eastAsia="Times New Roman" w:hAnsi="Times New Roman" w:cs="Times New Roman"/>
          <w:sz w:val="24"/>
          <w:szCs w:val="24"/>
        </w:rPr>
        <w:t>For Gutner, ‘shallow’ collaboration is constituted by information sharing and by demarcation</w:t>
      </w:r>
      <w:r w:rsidR="00996F49">
        <w:rPr>
          <w:rFonts w:ascii="Times New Roman" w:eastAsia="Times New Roman" w:hAnsi="Times New Roman" w:cs="Times New Roman"/>
          <w:sz w:val="24"/>
          <w:szCs w:val="24"/>
        </w:rPr>
        <w:t xml:space="preserve"> of relatively distinct roles</w:t>
      </w:r>
      <w:r w:rsidR="00411B20">
        <w:rPr>
          <w:rFonts w:ascii="Times New Roman" w:eastAsia="Times New Roman" w:hAnsi="Times New Roman" w:cs="Times New Roman"/>
          <w:sz w:val="24"/>
          <w:szCs w:val="24"/>
        </w:rPr>
        <w:t>, while ‘deep’ collaboration is constituted by sharing of complimentary expertise and by partnership-based working</w:t>
      </w:r>
      <w:r w:rsidR="004263D8">
        <w:rPr>
          <w:rFonts w:ascii="Times New Roman" w:eastAsia="Times New Roman" w:hAnsi="Times New Roman" w:cs="Times New Roman"/>
          <w:sz w:val="24"/>
          <w:szCs w:val="24"/>
        </w:rPr>
        <w:t xml:space="preserve">. </w:t>
      </w:r>
      <w:r w:rsidR="00411B20">
        <w:rPr>
          <w:rFonts w:ascii="Times New Roman" w:eastAsia="Times New Roman" w:hAnsi="Times New Roman" w:cs="Times New Roman"/>
          <w:sz w:val="24"/>
          <w:szCs w:val="24"/>
        </w:rPr>
        <w:t xml:space="preserve">From </w:t>
      </w:r>
      <w:proofErr w:type="spellStart"/>
      <w:r w:rsidR="00411B20">
        <w:rPr>
          <w:rFonts w:ascii="Times New Roman" w:eastAsia="Times New Roman" w:hAnsi="Times New Roman" w:cs="Times New Roman"/>
          <w:sz w:val="24"/>
          <w:szCs w:val="24"/>
        </w:rPr>
        <w:t>Kranke</w:t>
      </w:r>
      <w:proofErr w:type="spellEnd"/>
      <w:r w:rsidR="00411B20">
        <w:rPr>
          <w:rFonts w:ascii="Times New Roman" w:eastAsia="Times New Roman" w:hAnsi="Times New Roman" w:cs="Times New Roman"/>
          <w:sz w:val="24"/>
          <w:szCs w:val="24"/>
        </w:rPr>
        <w:t xml:space="preserve"> (2022), too, we receive a detailed treatment of the nature of the organisations’ collaboration. </w:t>
      </w:r>
      <w:proofErr w:type="spellStart"/>
      <w:r w:rsidR="00411B20">
        <w:rPr>
          <w:rFonts w:ascii="Times New Roman" w:eastAsia="Times New Roman" w:hAnsi="Times New Roman" w:cs="Times New Roman"/>
          <w:sz w:val="24"/>
          <w:szCs w:val="24"/>
        </w:rPr>
        <w:t>Kranke</w:t>
      </w:r>
      <w:proofErr w:type="spellEnd"/>
      <w:r w:rsidR="00411B20">
        <w:rPr>
          <w:rFonts w:ascii="Times New Roman" w:eastAsia="Times New Roman" w:hAnsi="Times New Roman" w:cs="Times New Roman"/>
          <w:sz w:val="24"/>
          <w:szCs w:val="24"/>
        </w:rPr>
        <w:t xml:space="preserve"> suggests that the Fund and Bank engage in partly symbolic behaviour when shaping the nature of collaboration. On the one hand, public-facing ‘demarcation’ is used to identify each institution’s operational jurisdiction, while on the other ‘backstage’ efforts are made to ensure that cooperation between the Fund and Bank supports effective analysis and policy positions. </w:t>
      </w:r>
    </w:p>
    <w:p w14:paraId="75CBC4E8" w14:textId="77777777" w:rsidR="00F2458F" w:rsidRPr="00576F7D" w:rsidRDefault="00A02E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scholarship, </w:t>
      </w:r>
      <w:r w:rsidR="0005378C">
        <w:rPr>
          <w:rFonts w:ascii="Times New Roman" w:eastAsia="Times New Roman" w:hAnsi="Times New Roman" w:cs="Times New Roman"/>
          <w:sz w:val="24"/>
          <w:szCs w:val="24"/>
        </w:rPr>
        <w:t xml:space="preserve">we gain a clear sense of the cultural and organisational differences between the Fund and Bank, and of the tendency for there to be an under-supply of structures that support inter-organisational collaborative working. By exploring the detail of Fund-Bank collaboration on financial sector operations and on sustainable development, in the sections below I build from insights provided by this scholarship. To frame my presentation, I draw in particular on Gutner’s differentiation between shallow and deep collaboration, which helps identify points at which notable change has occurred in the institutions’ patterns of interaction. </w:t>
      </w:r>
    </w:p>
    <w:p w14:paraId="254E0141" w14:textId="77777777" w:rsidR="00CF2E0B" w:rsidRDefault="00F45D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IMF-World Bank collaboration: </w:t>
      </w:r>
      <w:r w:rsidR="00576F7D">
        <w:rPr>
          <w:rFonts w:ascii="Times New Roman" w:eastAsia="Times New Roman" w:hAnsi="Times New Roman" w:cs="Times New Roman"/>
          <w:b/>
          <w:sz w:val="24"/>
          <w:szCs w:val="24"/>
        </w:rPr>
        <w:t>Financial sector operations</w:t>
      </w:r>
    </w:p>
    <w:p w14:paraId="3C92CF97" w14:textId="77777777" w:rsidR="00CF2E0B" w:rsidRDefault="00B901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theory</w:t>
      </w:r>
      <w:r w:rsidR="00F45D78">
        <w:rPr>
          <w:rFonts w:ascii="Times New Roman" w:eastAsia="Times New Roman" w:hAnsi="Times New Roman" w:cs="Times New Roman"/>
          <w:sz w:val="24"/>
          <w:szCs w:val="24"/>
        </w:rPr>
        <w:t>, clear blue water seems to exist between the operational focuses of the IMF and World Bank. The Fund’s core mission is the creation of an open and stable global economy, with its lending focusing on</w:t>
      </w:r>
      <w:r>
        <w:rPr>
          <w:rFonts w:ascii="Times New Roman" w:eastAsia="Times New Roman" w:hAnsi="Times New Roman" w:cs="Times New Roman"/>
          <w:sz w:val="24"/>
          <w:szCs w:val="24"/>
        </w:rPr>
        <w:t xml:space="preserve"> providing support to members requiring</w:t>
      </w:r>
      <w:r w:rsidR="00F45D78">
        <w:rPr>
          <w:rFonts w:ascii="Times New Roman" w:eastAsia="Times New Roman" w:hAnsi="Times New Roman" w:cs="Times New Roman"/>
          <w:sz w:val="24"/>
          <w:szCs w:val="24"/>
        </w:rPr>
        <w:t xml:space="preserve"> short-term emergency stabilisation. The Bank’s core mission is long-term economic development, particularly across middle- and lower-income member states. Bank lending is used to finance medium-term projects designed to achieve long-term transformation. Despite this apparent differentiation, </w:t>
      </w:r>
      <w:r>
        <w:rPr>
          <w:rFonts w:ascii="Times New Roman" w:eastAsia="Times New Roman" w:hAnsi="Times New Roman" w:cs="Times New Roman"/>
          <w:sz w:val="24"/>
          <w:szCs w:val="24"/>
        </w:rPr>
        <w:t>it was relatively early in the institutions’ history that tensions began to emerge</w:t>
      </w:r>
      <w:r w:rsidR="009C1F28">
        <w:rPr>
          <w:rFonts w:ascii="Times New Roman" w:eastAsia="Times New Roman" w:hAnsi="Times New Roman" w:cs="Times New Roman"/>
          <w:sz w:val="24"/>
          <w:szCs w:val="24"/>
        </w:rPr>
        <w:t xml:space="preserve">. Concern was raised </w:t>
      </w:r>
      <w:proofErr w:type="gramStart"/>
      <w:r w:rsidR="009C1F28">
        <w:rPr>
          <w:rFonts w:ascii="Times New Roman" w:eastAsia="Times New Roman" w:hAnsi="Times New Roman" w:cs="Times New Roman"/>
          <w:sz w:val="24"/>
          <w:szCs w:val="24"/>
        </w:rPr>
        <w:t>in particular in</w:t>
      </w:r>
      <w:proofErr w:type="gramEnd"/>
      <w:r w:rsidR="009C1F28">
        <w:rPr>
          <w:rFonts w:ascii="Times New Roman" w:eastAsia="Times New Roman" w:hAnsi="Times New Roman" w:cs="Times New Roman"/>
          <w:sz w:val="24"/>
          <w:szCs w:val="24"/>
        </w:rPr>
        <w:t xml:space="preserve"> relation to potential conflict and overlap in Fund and Bank </w:t>
      </w:r>
      <w:r>
        <w:rPr>
          <w:rFonts w:ascii="Times New Roman" w:eastAsia="Times New Roman" w:hAnsi="Times New Roman" w:cs="Times New Roman"/>
          <w:sz w:val="24"/>
          <w:szCs w:val="24"/>
        </w:rPr>
        <w:t>financial sector operations</w:t>
      </w:r>
      <w:r w:rsidR="00F45D78">
        <w:rPr>
          <w:rFonts w:ascii="Times New Roman" w:eastAsia="Times New Roman" w:hAnsi="Times New Roman" w:cs="Times New Roman"/>
          <w:sz w:val="24"/>
          <w:szCs w:val="24"/>
        </w:rPr>
        <w:t>.</w:t>
      </w:r>
      <w:r w:rsidR="00944395">
        <w:rPr>
          <w:rFonts w:ascii="Times New Roman" w:eastAsia="Times New Roman" w:hAnsi="Times New Roman" w:cs="Times New Roman"/>
          <w:sz w:val="24"/>
          <w:szCs w:val="24"/>
        </w:rPr>
        <w:t xml:space="preserve"> The institutional approach </w:t>
      </w:r>
      <w:r w:rsidR="002C11F6">
        <w:rPr>
          <w:rFonts w:ascii="Times New Roman" w:eastAsia="Times New Roman" w:hAnsi="Times New Roman" w:cs="Times New Roman"/>
          <w:sz w:val="24"/>
          <w:szCs w:val="24"/>
        </w:rPr>
        <w:t>initially was one of relatively</w:t>
      </w:r>
      <w:r w:rsidR="00741B8F">
        <w:rPr>
          <w:rFonts w:ascii="Times New Roman" w:eastAsia="Times New Roman" w:hAnsi="Times New Roman" w:cs="Times New Roman"/>
          <w:sz w:val="24"/>
          <w:szCs w:val="24"/>
        </w:rPr>
        <w:t xml:space="preserve"> shallow co</w:t>
      </w:r>
      <w:r w:rsidR="002C11F6">
        <w:rPr>
          <w:rFonts w:ascii="Times New Roman" w:eastAsia="Times New Roman" w:hAnsi="Times New Roman" w:cs="Times New Roman"/>
          <w:sz w:val="24"/>
          <w:szCs w:val="24"/>
        </w:rPr>
        <w:t>llaboration.</w:t>
      </w:r>
      <w:r w:rsidR="00741B8F">
        <w:rPr>
          <w:rFonts w:ascii="Times New Roman" w:eastAsia="Times New Roman" w:hAnsi="Times New Roman" w:cs="Times New Roman"/>
          <w:sz w:val="24"/>
          <w:szCs w:val="24"/>
        </w:rPr>
        <w:t xml:space="preserve"> </w:t>
      </w:r>
      <w:r w:rsidR="002C11F6">
        <w:rPr>
          <w:rFonts w:ascii="Times New Roman" w:eastAsia="Times New Roman" w:hAnsi="Times New Roman" w:cs="Times New Roman"/>
          <w:sz w:val="24"/>
          <w:szCs w:val="24"/>
        </w:rPr>
        <w:t>M</w:t>
      </w:r>
      <w:r w:rsidR="00741B8F">
        <w:rPr>
          <w:rFonts w:ascii="Times New Roman" w:eastAsia="Times New Roman" w:hAnsi="Times New Roman" w:cs="Times New Roman"/>
          <w:sz w:val="24"/>
          <w:szCs w:val="24"/>
        </w:rPr>
        <w:t>ore deeply collaborative joint working emerging in the early 2000s</w:t>
      </w:r>
      <w:r w:rsidR="008D5712">
        <w:rPr>
          <w:rFonts w:ascii="Times New Roman" w:eastAsia="Times New Roman" w:hAnsi="Times New Roman" w:cs="Times New Roman"/>
          <w:sz w:val="24"/>
          <w:szCs w:val="24"/>
        </w:rPr>
        <w:t xml:space="preserve"> around the Financial Sector Assessment Programme (FSAP)</w:t>
      </w:r>
      <w:r w:rsidR="002C11F6">
        <w:rPr>
          <w:rFonts w:ascii="Times New Roman" w:eastAsia="Times New Roman" w:hAnsi="Times New Roman" w:cs="Times New Roman"/>
          <w:sz w:val="24"/>
          <w:szCs w:val="24"/>
        </w:rPr>
        <w:t>,</w:t>
      </w:r>
      <w:r w:rsidR="00741B8F">
        <w:rPr>
          <w:rFonts w:ascii="Times New Roman" w:eastAsia="Times New Roman" w:hAnsi="Times New Roman" w:cs="Times New Roman"/>
          <w:sz w:val="24"/>
          <w:szCs w:val="24"/>
        </w:rPr>
        <w:t xml:space="preserve"> before then rolling-back relatively rapidly. By exploring the gradual emergence and evolution of this strand of operational cooperation, we see the importance of institutional leadership in formalising collaboration following the emergence of operational tension, and the difficulties of maintaining joint working arrangements over time.</w:t>
      </w:r>
    </w:p>
    <w:p w14:paraId="67329770" w14:textId="77777777" w:rsidR="00CF2E0B" w:rsidRDefault="00B901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r w:rsidR="00F45D78">
        <w:rPr>
          <w:rFonts w:ascii="Times New Roman" w:eastAsia="Times New Roman" w:hAnsi="Times New Roman" w:cs="Times New Roman"/>
          <w:sz w:val="24"/>
          <w:szCs w:val="24"/>
        </w:rPr>
        <w:t>in the mid-1960s</w:t>
      </w:r>
      <w:r>
        <w:rPr>
          <w:rFonts w:ascii="Times New Roman" w:eastAsia="Times New Roman" w:hAnsi="Times New Roman" w:cs="Times New Roman"/>
          <w:sz w:val="24"/>
          <w:szCs w:val="24"/>
        </w:rPr>
        <w:t xml:space="preserve"> that inter-organisational tension emerged off the back of a perception of overlap in financial sector operations, with the </w:t>
      </w:r>
      <w:r w:rsidR="00F45D78">
        <w:rPr>
          <w:rFonts w:ascii="Times New Roman" w:eastAsia="Times New Roman" w:hAnsi="Times New Roman" w:cs="Times New Roman"/>
          <w:sz w:val="24"/>
          <w:szCs w:val="24"/>
        </w:rPr>
        <w:t>World Bank</w:t>
      </w:r>
      <w:r>
        <w:rPr>
          <w:rFonts w:ascii="Times New Roman" w:eastAsia="Times New Roman" w:hAnsi="Times New Roman" w:cs="Times New Roman"/>
          <w:sz w:val="24"/>
          <w:szCs w:val="24"/>
        </w:rPr>
        <w:t>’s portfolio of</w:t>
      </w:r>
      <w:r w:rsidR="00F45D78">
        <w:rPr>
          <w:rFonts w:ascii="Times New Roman" w:eastAsia="Times New Roman" w:hAnsi="Times New Roman" w:cs="Times New Roman"/>
          <w:sz w:val="24"/>
          <w:szCs w:val="24"/>
        </w:rPr>
        <w:t xml:space="preserve"> lending to India</w:t>
      </w:r>
      <w:r>
        <w:rPr>
          <w:rFonts w:ascii="Times New Roman" w:eastAsia="Times New Roman" w:hAnsi="Times New Roman" w:cs="Times New Roman"/>
          <w:sz w:val="24"/>
          <w:szCs w:val="24"/>
        </w:rPr>
        <w:t xml:space="preserve"> providing the focus of the dispute</w:t>
      </w:r>
      <w:r w:rsidR="00F45D78">
        <w:rPr>
          <w:rFonts w:ascii="Times New Roman" w:eastAsia="Times New Roman" w:hAnsi="Times New Roman" w:cs="Times New Roman"/>
          <w:sz w:val="24"/>
          <w:szCs w:val="24"/>
        </w:rPr>
        <w:t xml:space="preserve">. From the mid-1950s, World Bank project loans to India had included very high foreign exchange components, designed to support the government’s capacity to import the inputs needed for infrastructure development. Through the early- to mid-1960s around one-third of the government’s foreign exchange requirement was being met by </w:t>
      </w:r>
      <w:r w:rsidR="00F45D78">
        <w:rPr>
          <w:rFonts w:ascii="Times New Roman" w:eastAsia="Times New Roman" w:hAnsi="Times New Roman" w:cs="Times New Roman"/>
          <w:sz w:val="24"/>
          <w:szCs w:val="24"/>
        </w:rPr>
        <w:lastRenderedPageBreak/>
        <w:t xml:space="preserve">World Bank loans, with the large financial sector development loans to India’s export credit bank accelerating the trend (World Bank 1966). </w:t>
      </w:r>
      <w:r>
        <w:rPr>
          <w:rFonts w:ascii="Times New Roman" w:eastAsia="Times New Roman" w:hAnsi="Times New Roman" w:cs="Times New Roman"/>
          <w:sz w:val="24"/>
          <w:szCs w:val="24"/>
        </w:rPr>
        <w:t>Over a</w:t>
      </w:r>
      <w:r w:rsidR="00F45D78">
        <w:rPr>
          <w:rFonts w:ascii="Times New Roman" w:eastAsia="Times New Roman" w:hAnsi="Times New Roman" w:cs="Times New Roman"/>
          <w:sz w:val="24"/>
          <w:szCs w:val="24"/>
        </w:rPr>
        <w:t xml:space="preserve">t the Fund, concerns were raised that these operations were moving the World Bank onto the Fund’s exchange rate policy turf; the flow of foreign exchange from the Bank was seen as effectively supporting India through a balance of payments crisis, which should have fallen under the purview of the Fund. The resulting Memorandum on Coordination aimed to bring clarity to the Fund-Bank relationship, while acknowledging the inherently blurred nature of their operational boundary. </w:t>
      </w:r>
    </w:p>
    <w:p w14:paraId="1AE89DC0" w14:textId="77777777" w:rsidR="00CF2E0B" w:rsidRDefault="00F45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IMF-World Bank Memorandum on Coordination noted that while the Fund held primary responsibility for exchange rate policy and adjustments to balance of payments disequilibria, the ‘structure and functioning of financial institutions… and the financial impact of development programmes are of interest to both institutions’. The Bank was to lead on ‘development priorities… and the composition of development programmes’.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Subsequent guidelines laid out procedural arrangements to operationalise coordination, by for example providing an observer to relevant Executive Board discussions, circulating draft documents that dealt with areas of shared interest, and providing de-briefs on country visits (Malan 2007: 19, Lombardi and Momani 2010: 7). </w:t>
      </w:r>
      <w:r w:rsidR="00741B8F">
        <w:rPr>
          <w:rFonts w:ascii="Times New Roman" w:eastAsia="Times New Roman" w:hAnsi="Times New Roman" w:cs="Times New Roman"/>
          <w:sz w:val="24"/>
          <w:szCs w:val="24"/>
        </w:rPr>
        <w:t>As noted by Gutner (2020: 8), these initial arrangements established mechanisms that predominantly fit under a shallow conceptualisation of collaboration.</w:t>
      </w:r>
    </w:p>
    <w:p w14:paraId="68F87E1A" w14:textId="77777777" w:rsidR="00D37054" w:rsidRDefault="00F45D78" w:rsidP="00D370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1970s and 1980s, </w:t>
      </w:r>
      <w:r w:rsidR="008371D0">
        <w:rPr>
          <w:rFonts w:ascii="Times New Roman" w:eastAsia="Times New Roman" w:hAnsi="Times New Roman" w:cs="Times New Roman"/>
          <w:sz w:val="24"/>
          <w:szCs w:val="24"/>
        </w:rPr>
        <w:t>while the Memorandum on Coordination served to provide baseline structures for the sharing of information and analysis,</w:t>
      </w:r>
      <w:r>
        <w:rPr>
          <w:rFonts w:ascii="Times New Roman" w:eastAsia="Times New Roman" w:hAnsi="Times New Roman" w:cs="Times New Roman"/>
          <w:sz w:val="24"/>
          <w:szCs w:val="24"/>
        </w:rPr>
        <w:t xml:space="preserve"> </w:t>
      </w:r>
      <w:r w:rsidR="008371D0">
        <w:rPr>
          <w:rFonts w:ascii="Times New Roman" w:eastAsia="Times New Roman" w:hAnsi="Times New Roman" w:cs="Times New Roman"/>
          <w:sz w:val="24"/>
          <w:szCs w:val="24"/>
        </w:rPr>
        <w:t xml:space="preserve">periods of change at the Fund and </w:t>
      </w:r>
      <w:r w:rsidR="002C11F6">
        <w:rPr>
          <w:rFonts w:ascii="Times New Roman" w:eastAsia="Times New Roman" w:hAnsi="Times New Roman" w:cs="Times New Roman"/>
          <w:sz w:val="24"/>
          <w:szCs w:val="24"/>
        </w:rPr>
        <w:t>Bank</w:t>
      </w:r>
      <w:r w:rsidR="008371D0">
        <w:rPr>
          <w:rFonts w:ascii="Times New Roman" w:eastAsia="Times New Roman" w:hAnsi="Times New Roman" w:cs="Times New Roman"/>
          <w:sz w:val="24"/>
          <w:szCs w:val="24"/>
        </w:rPr>
        <w:t xml:space="preserve"> again saw </w:t>
      </w:r>
      <w:r>
        <w:rPr>
          <w:rFonts w:ascii="Times New Roman" w:eastAsia="Times New Roman" w:hAnsi="Times New Roman" w:cs="Times New Roman"/>
          <w:sz w:val="24"/>
          <w:szCs w:val="24"/>
        </w:rPr>
        <w:t xml:space="preserve">the emergence of intensified operational overlap. </w:t>
      </w:r>
      <w:r w:rsidR="00D37054">
        <w:rPr>
          <w:rFonts w:ascii="Times New Roman" w:eastAsia="Times New Roman" w:hAnsi="Times New Roman" w:cs="Times New Roman"/>
          <w:sz w:val="24"/>
          <w:szCs w:val="24"/>
        </w:rPr>
        <w:t>These points of operational overlap went well beyond the financial sector</w:t>
      </w:r>
      <w:r w:rsidR="008371D0">
        <w:rPr>
          <w:rFonts w:ascii="Times New Roman" w:eastAsia="Times New Roman" w:hAnsi="Times New Roman" w:cs="Times New Roman"/>
          <w:sz w:val="24"/>
          <w:szCs w:val="24"/>
        </w:rPr>
        <w:t>, driven by deep-seated changes in how the organisations approached their missions</w:t>
      </w:r>
      <w:r w:rsidR="00D37054">
        <w:rPr>
          <w:rFonts w:ascii="Times New Roman" w:eastAsia="Times New Roman" w:hAnsi="Times New Roman" w:cs="Times New Roman"/>
          <w:sz w:val="24"/>
          <w:szCs w:val="24"/>
        </w:rPr>
        <w:t xml:space="preserve">. These changes served to stretch the Fund from ‘emergency stabilisation’ toward ‘development’ (Clegg 2020). Changes at the World Bank, too, exacerbated this trend toward overlap. Driven by a perception that the development impact from projects was being held back by countries’ wider policy contexts, the Bank also moved to focus on structural issues. While project-based lending always predominated, the focus on policy adjustments was embedded through the 1980s. Typically, Bank Structural Adjustment Loans would include conditions relating to the removal of import quotas and incentivisation of exports, improvements to taxation systems and reductions or re-targeting of expenditure, and capacity strengthening to support governments’ ability to formulate and implement growth-supporting policy programmes (Bajpai 1990). Indeed, the extent of Bank and Fund convergence was such that, at one point, the US representative at the Fund mooted a plan for the institutions’ lending to be pooled around co-designed adjustment plans (Lombardi and Momani 2010: 8). </w:t>
      </w:r>
    </w:p>
    <w:p w14:paraId="200AA3DB" w14:textId="77777777" w:rsidR="008371D0" w:rsidRDefault="008371D0" w:rsidP="008371D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Tensions between the Fund and Bank reached a tipping point in the late 1980s. By this time, senior management of the organisations wanted to avoid a situation in which borrowers were in effect ‘play off’ the two institutions by choosing the more attractive of the structural adjustment packages on offer. More </w:t>
      </w:r>
      <w:r w:rsidR="00996F49">
        <w:rPr>
          <w:rFonts w:ascii="Times New Roman" w:eastAsia="Times New Roman" w:hAnsi="Times New Roman" w:cs="Times New Roman"/>
          <w:sz w:val="24"/>
          <w:szCs w:val="24"/>
        </w:rPr>
        <w:t>proximately</w:t>
      </w:r>
      <w:r>
        <w:rPr>
          <w:rFonts w:ascii="Times New Roman" w:eastAsia="Times New Roman" w:hAnsi="Times New Roman" w:cs="Times New Roman"/>
          <w:sz w:val="24"/>
          <w:szCs w:val="24"/>
        </w:rPr>
        <w:t xml:space="preserve">, the World Bank’s sign-off of a $1.25bn Structural Adjustment Loan in 1988 with the government of Argentina triggered a review of the institutions’ relationship. The Argentinian loan </w:t>
      </w:r>
      <w:r w:rsidR="002C11F6">
        <w:rPr>
          <w:rFonts w:ascii="Times New Roman" w:eastAsia="Times New Roman" w:hAnsi="Times New Roman" w:cs="Times New Roman"/>
          <w:sz w:val="24"/>
          <w:szCs w:val="24"/>
        </w:rPr>
        <w:t xml:space="preserve">from the Bank </w:t>
      </w:r>
      <w:r>
        <w:rPr>
          <w:rFonts w:ascii="Times New Roman" w:eastAsia="Times New Roman" w:hAnsi="Times New Roman" w:cs="Times New Roman"/>
          <w:sz w:val="24"/>
          <w:szCs w:val="24"/>
        </w:rPr>
        <w:t>came in the face of IMF concerns over poor performance through an earlier Fund programme</w:t>
      </w:r>
      <w:r w:rsidR="002C11F6">
        <w:rPr>
          <w:rFonts w:ascii="Times New Roman" w:eastAsia="Times New Roman" w:hAnsi="Times New Roman" w:cs="Times New Roman"/>
          <w:sz w:val="24"/>
          <w:szCs w:val="24"/>
        </w:rPr>
        <w:t xml:space="preserve">. Off the back of their own experience with the Argentinian government, </w:t>
      </w:r>
      <w:r>
        <w:rPr>
          <w:rFonts w:ascii="Times New Roman" w:eastAsia="Times New Roman" w:hAnsi="Times New Roman" w:cs="Times New Roman"/>
          <w:sz w:val="24"/>
          <w:szCs w:val="24"/>
        </w:rPr>
        <w:t xml:space="preserve">Fund </w:t>
      </w:r>
      <w:r w:rsidR="002C11F6">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raised </w:t>
      </w:r>
      <w:r w:rsidR="002C11F6">
        <w:rPr>
          <w:rFonts w:ascii="Times New Roman" w:eastAsia="Times New Roman" w:hAnsi="Times New Roman" w:cs="Times New Roman"/>
          <w:sz w:val="24"/>
          <w:szCs w:val="24"/>
        </w:rPr>
        <w:t>concerns</w:t>
      </w:r>
      <w:r>
        <w:rPr>
          <w:rFonts w:ascii="Times New Roman" w:eastAsia="Times New Roman" w:hAnsi="Times New Roman" w:cs="Times New Roman"/>
          <w:sz w:val="24"/>
          <w:szCs w:val="24"/>
        </w:rPr>
        <w:t xml:space="preserve"> o</w:t>
      </w:r>
      <w:r w:rsidR="002C11F6">
        <w:rPr>
          <w:rFonts w:ascii="Times New Roman" w:eastAsia="Times New Roman" w:hAnsi="Times New Roman" w:cs="Times New Roman"/>
          <w:sz w:val="24"/>
          <w:szCs w:val="24"/>
        </w:rPr>
        <w:t>ver</w:t>
      </w:r>
      <w:r>
        <w:rPr>
          <w:rFonts w:ascii="Times New Roman" w:eastAsia="Times New Roman" w:hAnsi="Times New Roman" w:cs="Times New Roman"/>
          <w:sz w:val="24"/>
          <w:szCs w:val="24"/>
        </w:rPr>
        <w:t xml:space="preserve"> the </w:t>
      </w:r>
      <w:r w:rsidR="002C11F6">
        <w:rPr>
          <w:rFonts w:ascii="Times New Roman" w:eastAsia="Times New Roman" w:hAnsi="Times New Roman" w:cs="Times New Roman"/>
          <w:sz w:val="24"/>
          <w:szCs w:val="24"/>
        </w:rPr>
        <w:t>Argentinian government’s likely commitment</w:t>
      </w:r>
      <w:r>
        <w:rPr>
          <w:rFonts w:ascii="Times New Roman" w:eastAsia="Times New Roman" w:hAnsi="Times New Roman" w:cs="Times New Roman"/>
          <w:sz w:val="24"/>
          <w:szCs w:val="24"/>
        </w:rPr>
        <w:t xml:space="preserve"> to deliver the promised World Bank-backed reforms. According to the Bank’s own evaluation, the 1988 programme was a dramatic failure (World Bank 1997: 2). </w:t>
      </w:r>
      <w:r w:rsidR="002C11F6">
        <w:rPr>
          <w:rFonts w:ascii="Times New Roman" w:eastAsia="Times New Roman" w:hAnsi="Times New Roman" w:cs="Times New Roman"/>
          <w:sz w:val="24"/>
          <w:szCs w:val="24"/>
        </w:rPr>
        <w:t xml:space="preserve">The perception was that insufficient sharing of insight and analysis between </w:t>
      </w:r>
      <w:r w:rsidR="002C11F6">
        <w:rPr>
          <w:rFonts w:ascii="Times New Roman" w:eastAsia="Times New Roman" w:hAnsi="Times New Roman" w:cs="Times New Roman"/>
          <w:sz w:val="24"/>
          <w:szCs w:val="24"/>
        </w:rPr>
        <w:lastRenderedPageBreak/>
        <w:t xml:space="preserve">Fund and Bank staff had taken place at critical decision-making junctures. </w:t>
      </w:r>
      <w:r>
        <w:rPr>
          <w:rFonts w:ascii="Times New Roman" w:eastAsia="Times New Roman" w:hAnsi="Times New Roman" w:cs="Times New Roman"/>
          <w:sz w:val="24"/>
          <w:szCs w:val="24"/>
        </w:rPr>
        <w:t xml:space="preserve">To avoid the repeat of such a scenario, </w:t>
      </w:r>
      <w:r w:rsidR="002C11F6">
        <w:rPr>
          <w:rFonts w:ascii="Times New Roman" w:eastAsia="Times New Roman" w:hAnsi="Times New Roman" w:cs="Times New Roman"/>
          <w:sz w:val="24"/>
          <w:szCs w:val="24"/>
        </w:rPr>
        <w:t xml:space="preserve">high-level </w:t>
      </w:r>
      <w:r>
        <w:rPr>
          <w:rFonts w:ascii="Times New Roman" w:eastAsia="Times New Roman" w:hAnsi="Times New Roman" w:cs="Times New Roman"/>
          <w:sz w:val="24"/>
          <w:szCs w:val="24"/>
        </w:rPr>
        <w:t>discussions commenced shortly thereafter</w:t>
      </w:r>
      <w:r w:rsidR="002C11F6">
        <w:rPr>
          <w:rFonts w:ascii="Times New Roman" w:eastAsia="Times New Roman" w:hAnsi="Times New Roman" w:cs="Times New Roman"/>
          <w:sz w:val="24"/>
          <w:szCs w:val="24"/>
        </w:rPr>
        <w:t xml:space="preserve"> across Fund and Bank management</w:t>
      </w:r>
      <w:r>
        <w:rPr>
          <w:rFonts w:ascii="Times New Roman" w:eastAsia="Times New Roman" w:hAnsi="Times New Roman" w:cs="Times New Roman"/>
          <w:sz w:val="24"/>
          <w:szCs w:val="24"/>
        </w:rPr>
        <w:t xml:space="preserve"> to try to refine the principles and processes for collaboration. The process reached its conclusion with the 1989 Bank-Fund Memorandum on Collaboration in Assisting Member Countries, more widely known as the Concordat. </w:t>
      </w:r>
    </w:p>
    <w:p w14:paraId="533CDE6D" w14:textId="77777777" w:rsidR="008371D0" w:rsidRDefault="008371D0" w:rsidP="008371D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Mirroring the 1966 Memorandum, the Concordat sought to demark areas of institutional ‘primary responsibility’. </w:t>
      </w:r>
      <w:r w:rsidR="00DC0391">
        <w:rPr>
          <w:rFonts w:ascii="Times New Roman" w:eastAsia="Times New Roman" w:hAnsi="Times New Roman" w:cs="Times New Roman"/>
          <w:sz w:val="24"/>
          <w:szCs w:val="24"/>
        </w:rPr>
        <w:t>Financial sector responsibilities featured prominently in the Concordat. In</w:t>
      </w:r>
      <w:r>
        <w:rPr>
          <w:rFonts w:ascii="Times New Roman" w:eastAsia="Times New Roman" w:hAnsi="Times New Roman" w:cs="Times New Roman"/>
          <w:sz w:val="24"/>
          <w:szCs w:val="24"/>
        </w:rPr>
        <w:t xml:space="preserve"> addition to exchange rate policy and aggregate levels of government spending and revenue, the Fund was to </w:t>
      </w:r>
      <w:r w:rsidR="00DC0391">
        <w:rPr>
          <w:rFonts w:ascii="Times New Roman" w:eastAsia="Times New Roman" w:hAnsi="Times New Roman" w:cs="Times New Roman"/>
          <w:sz w:val="24"/>
          <w:szCs w:val="24"/>
        </w:rPr>
        <w:t>have primary responsibility over</w:t>
      </w:r>
      <w:r>
        <w:rPr>
          <w:rFonts w:ascii="Times New Roman" w:eastAsia="Times New Roman" w:hAnsi="Times New Roman" w:cs="Times New Roman"/>
          <w:sz w:val="24"/>
          <w:szCs w:val="24"/>
        </w:rPr>
        <w:t xml:space="preserve"> credit creation-, money supply-, and interest rate-related aspects of the financial sector. The Bank was designated as</w:t>
      </w:r>
      <w:r w:rsidR="00DC0391">
        <w:rPr>
          <w:rFonts w:ascii="Times New Roman" w:eastAsia="Times New Roman" w:hAnsi="Times New Roman" w:cs="Times New Roman"/>
          <w:sz w:val="24"/>
          <w:szCs w:val="24"/>
        </w:rPr>
        <w:t xml:space="preserve"> holding primary responsibility </w:t>
      </w:r>
      <w:r>
        <w:rPr>
          <w:rFonts w:ascii="Times New Roman" w:eastAsia="Times New Roman" w:hAnsi="Times New Roman" w:cs="Times New Roman"/>
          <w:sz w:val="24"/>
          <w:szCs w:val="24"/>
        </w:rPr>
        <w:t>on development strategies and sectoral adjustments needed to support efficient allocation of resources, including financial sector reform. The Concordat acknowledged that strengthened collaboration was needed to effectively manage the institutions’ increasingly contiguous activity, with for example the Fund’s responsibility for stable money and credit supply being inextricably linked to the Bank’s financial sector reform responsibility. In addition to laying out a suite of processes for discussing and reaching agreement on issues of shared interest, the Concordat ultimately noted that the institution with the primary responsibility over the issue should be yielded</w:t>
      </w:r>
      <w:r w:rsidR="00996F49">
        <w:rPr>
          <w:rFonts w:ascii="Times New Roman" w:eastAsia="Times New Roman" w:hAnsi="Times New Roman" w:cs="Times New Roman"/>
          <w:sz w:val="24"/>
          <w:szCs w:val="24"/>
        </w:rPr>
        <w:t xml:space="preserve"> to</w:t>
      </w:r>
      <w:r w:rsidR="00DC0391">
        <w:rPr>
          <w:rFonts w:ascii="Times New Roman" w:eastAsia="Times New Roman" w:hAnsi="Times New Roman" w:cs="Times New Roman"/>
          <w:sz w:val="24"/>
          <w:szCs w:val="24"/>
        </w:rPr>
        <w:t>. The process of crafting the Concordat involved sustained engagement from the IMF Managing Director’s and World Bank President’s offices, and a joint drafting by the institutions’ senior managements of operational guidance for staff</w:t>
      </w:r>
      <w:r w:rsidR="00DC0391" w:rsidRPr="00DC0391">
        <w:rPr>
          <w:rFonts w:ascii="Times New Roman" w:eastAsia="Times New Roman" w:hAnsi="Times New Roman" w:cs="Times New Roman"/>
          <w:sz w:val="24"/>
          <w:szCs w:val="24"/>
        </w:rPr>
        <w:t xml:space="preserve"> </w:t>
      </w:r>
      <w:r w:rsidR="00DC0391">
        <w:rPr>
          <w:rFonts w:ascii="Times New Roman" w:eastAsia="Times New Roman" w:hAnsi="Times New Roman" w:cs="Times New Roman"/>
          <w:sz w:val="24"/>
          <w:szCs w:val="24"/>
        </w:rPr>
        <w:t>to (Gutner 2020: 19-20, IMF 2020: 606-9).</w:t>
      </w:r>
      <w:r>
        <w:rPr>
          <w:rFonts w:ascii="Times New Roman" w:eastAsia="Times New Roman" w:hAnsi="Times New Roman" w:cs="Times New Roman"/>
          <w:sz w:val="24"/>
          <w:szCs w:val="24"/>
        </w:rPr>
        <w:t xml:space="preserve"> </w:t>
      </w:r>
      <w:r w:rsidR="00DC0391">
        <w:rPr>
          <w:rFonts w:ascii="Times New Roman" w:eastAsia="Times New Roman" w:hAnsi="Times New Roman" w:cs="Times New Roman"/>
          <w:sz w:val="24"/>
          <w:szCs w:val="24"/>
        </w:rPr>
        <w:t>Despite the high expenditure of effort, the nature of collaboration remained relatively shallow; a priority focus had been on effective demarcation and boundary drawing, with supplementary mechanisms to discuss and resolve points of difference in their analysis of country conditions and prescriptions.</w:t>
      </w:r>
      <w:r>
        <w:rPr>
          <w:rFonts w:ascii="Times New Roman" w:eastAsia="Times New Roman" w:hAnsi="Times New Roman" w:cs="Times New Roman"/>
          <w:sz w:val="24"/>
          <w:szCs w:val="24"/>
        </w:rPr>
        <w:t xml:space="preserve">   </w:t>
      </w:r>
    </w:p>
    <w:p w14:paraId="612DDB94" w14:textId="77777777" w:rsidR="008371D0" w:rsidRDefault="008371D0" w:rsidP="008371D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1990s saw periodic reviews of Fund-Bank </w:t>
      </w:r>
      <w:r w:rsidR="00996F49">
        <w:rPr>
          <w:rFonts w:ascii="Times New Roman" w:eastAsia="Times New Roman" w:hAnsi="Times New Roman" w:cs="Times New Roman"/>
          <w:sz w:val="24"/>
          <w:szCs w:val="24"/>
        </w:rPr>
        <w:t xml:space="preserve">financial sector </w:t>
      </w:r>
      <w:r>
        <w:rPr>
          <w:rFonts w:ascii="Times New Roman" w:eastAsia="Times New Roman" w:hAnsi="Times New Roman" w:cs="Times New Roman"/>
          <w:sz w:val="24"/>
          <w:szCs w:val="24"/>
        </w:rPr>
        <w:t xml:space="preserve">collaboration, offering minor adjustments to what was deemed by institutional leadership to be a broadly satisfactory working relationship. However, in response to growing concerns that financial sector problems could both disrupt macroeconomic stability and spread to other countries, towards the end of the decade collaboration in this area received notable attention. The Asian Financial Crisis of 1997-8, with which financial sector distress rapidly spread across five East Asian countries, significantly catalysed these efforts. The 1998 Report on Bank-Fund Collaboration identified the institutions’ financial sector work as requiring particular attention. A Financial Sector Liaison Committee was established, which brought together staff working on financial sector issues in countries with pressing challenges, and sought to create shared standards and practices for addressing financial sector issues. </w:t>
      </w:r>
    </w:p>
    <w:p w14:paraId="374DB0C1" w14:textId="77777777" w:rsidR="00253C86" w:rsidRDefault="008371D0" w:rsidP="00253C8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at this juncture that </w:t>
      </w:r>
      <w:r w:rsidR="00253C86">
        <w:rPr>
          <w:rFonts w:ascii="Times New Roman" w:eastAsia="Times New Roman" w:hAnsi="Times New Roman" w:cs="Times New Roman"/>
          <w:sz w:val="24"/>
          <w:szCs w:val="24"/>
        </w:rPr>
        <w:t>deeper collaboration between the Fund and Bank on financial sector issues was institutionalised. With the Financial Sector Liaison Committee having articulated guidelines to staff, t</w:t>
      </w:r>
      <w:r>
        <w:rPr>
          <w:rFonts w:ascii="Times New Roman" w:eastAsia="Times New Roman" w:hAnsi="Times New Roman" w:cs="Times New Roman"/>
          <w:sz w:val="24"/>
          <w:szCs w:val="24"/>
        </w:rPr>
        <w:t>he Financial Sector Assessment Programme</w:t>
      </w:r>
      <w:r w:rsidR="008D57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introduced</w:t>
      </w:r>
      <w:r w:rsidR="00253C86">
        <w:rPr>
          <w:rFonts w:ascii="Times New Roman" w:eastAsia="Times New Roman" w:hAnsi="Times New Roman" w:cs="Times New Roman"/>
          <w:sz w:val="24"/>
          <w:szCs w:val="24"/>
        </w:rPr>
        <w:t xml:space="preserve"> to operationalise joint working across the institutions.</w:t>
      </w:r>
      <w:r w:rsidR="00253C86" w:rsidRPr="00253C86">
        <w:rPr>
          <w:rFonts w:ascii="Times New Roman" w:eastAsia="Times New Roman" w:hAnsi="Times New Roman" w:cs="Times New Roman"/>
          <w:sz w:val="24"/>
          <w:szCs w:val="24"/>
        </w:rPr>
        <w:t xml:space="preserve"> </w:t>
      </w:r>
      <w:r w:rsidR="00306F01">
        <w:rPr>
          <w:rFonts w:ascii="Times New Roman" w:eastAsia="Times New Roman" w:hAnsi="Times New Roman" w:cs="Times New Roman"/>
          <w:sz w:val="24"/>
          <w:szCs w:val="24"/>
        </w:rPr>
        <w:t>FSAP institutionalised joint working from Fund and Bank staff; joint missions with Fund and Bank staff would undertake on-the-ground assessment and information gathering, and produce the final assessment.</w:t>
      </w:r>
      <w:r w:rsidR="00796B34">
        <w:rPr>
          <w:rStyle w:val="FootnoteReference"/>
          <w:rFonts w:ascii="Times New Roman" w:eastAsia="Times New Roman" w:hAnsi="Times New Roman" w:cs="Times New Roman"/>
          <w:sz w:val="24"/>
          <w:szCs w:val="24"/>
        </w:rPr>
        <w:footnoteReference w:id="4"/>
      </w:r>
      <w:r w:rsidR="00306F01">
        <w:rPr>
          <w:rFonts w:ascii="Times New Roman" w:eastAsia="Times New Roman" w:hAnsi="Times New Roman" w:cs="Times New Roman"/>
          <w:sz w:val="24"/>
          <w:szCs w:val="24"/>
        </w:rPr>
        <w:t xml:space="preserve"> </w:t>
      </w:r>
      <w:r w:rsidR="00253C86">
        <w:rPr>
          <w:rFonts w:ascii="Times New Roman" w:eastAsia="Times New Roman" w:hAnsi="Times New Roman" w:cs="Times New Roman"/>
          <w:sz w:val="24"/>
          <w:szCs w:val="24"/>
        </w:rPr>
        <w:t xml:space="preserve">At its launch in 1999, the ambition was for a total of 24 Financial Sector Assessment Programme reviews to be concluded each year, with these reviews constituting the cornerstone of Fund-Bank financial sector collaboration. This initial annual target was scaled back to 17 following a 2003 review, displaying underlying capacity constraints and coordination costs. The significance of this </w:t>
      </w:r>
      <w:r w:rsidR="00253C86">
        <w:rPr>
          <w:rFonts w:ascii="Times New Roman" w:eastAsia="Times New Roman" w:hAnsi="Times New Roman" w:cs="Times New Roman"/>
          <w:sz w:val="24"/>
          <w:szCs w:val="24"/>
        </w:rPr>
        <w:lastRenderedPageBreak/>
        <w:t xml:space="preserve">capacity constraint was exacerbated by the over-supply of member states wishing to be participants in the assessment processes, keen to tap into financial sector capacity building and expertise (Kupiec 2005: 71). </w:t>
      </w:r>
      <w:r w:rsidR="00287BF1">
        <w:rPr>
          <w:rFonts w:ascii="Times New Roman" w:eastAsia="Times New Roman" w:hAnsi="Times New Roman" w:cs="Times New Roman"/>
          <w:sz w:val="24"/>
          <w:szCs w:val="24"/>
        </w:rPr>
        <w:t>Capacity issues provided an ongoing constraint on FSAP effectiveness</w:t>
      </w:r>
      <w:r w:rsidR="00253C86">
        <w:rPr>
          <w:rFonts w:ascii="Times New Roman" w:eastAsia="Times New Roman" w:hAnsi="Times New Roman" w:cs="Times New Roman"/>
          <w:sz w:val="24"/>
          <w:szCs w:val="24"/>
        </w:rPr>
        <w:t xml:space="preserve">. While countries’ formal financial sector regulatory structures can be evaluated at relatively low cost, the effectiveness of actual regulatory practice was more challenging to unpack, with varying levels of success being achieved in this regard across FSAP teams. </w:t>
      </w:r>
      <w:r w:rsidR="00287BF1">
        <w:rPr>
          <w:rFonts w:ascii="Times New Roman" w:eastAsia="Times New Roman" w:hAnsi="Times New Roman" w:cs="Times New Roman"/>
          <w:sz w:val="24"/>
          <w:szCs w:val="24"/>
        </w:rPr>
        <w:t xml:space="preserve">For </w:t>
      </w:r>
      <w:r w:rsidR="00253C86">
        <w:rPr>
          <w:rFonts w:ascii="Times New Roman" w:eastAsia="Times New Roman" w:hAnsi="Times New Roman" w:cs="Times New Roman"/>
          <w:sz w:val="24"/>
          <w:szCs w:val="24"/>
        </w:rPr>
        <w:t>Kupiec</w:t>
      </w:r>
      <w:r w:rsidR="00287BF1">
        <w:rPr>
          <w:rFonts w:ascii="Times New Roman" w:eastAsia="Times New Roman" w:hAnsi="Times New Roman" w:cs="Times New Roman"/>
          <w:sz w:val="24"/>
          <w:szCs w:val="24"/>
        </w:rPr>
        <w:t xml:space="preserve"> (2005, 76), FSAP teams had a</w:t>
      </w:r>
      <w:r w:rsidR="00253C86">
        <w:rPr>
          <w:rFonts w:ascii="Times New Roman" w:eastAsia="Times New Roman" w:hAnsi="Times New Roman" w:cs="Times New Roman"/>
          <w:sz w:val="24"/>
          <w:szCs w:val="24"/>
        </w:rPr>
        <w:t xml:space="preserve"> disincentive against calling-out national regulators’ lax implementation of financial system regulatory standards, given the need for the often over-burdened Fund and Bank staff (around one-third of whom </w:t>
      </w:r>
      <w:r w:rsidR="00287BF1">
        <w:rPr>
          <w:rFonts w:ascii="Times New Roman" w:eastAsia="Times New Roman" w:hAnsi="Times New Roman" w:cs="Times New Roman"/>
          <w:sz w:val="24"/>
          <w:szCs w:val="24"/>
        </w:rPr>
        <w:t>were</w:t>
      </w:r>
      <w:r w:rsidR="00253C86">
        <w:rPr>
          <w:rFonts w:ascii="Times New Roman" w:eastAsia="Times New Roman" w:hAnsi="Times New Roman" w:cs="Times New Roman"/>
          <w:sz w:val="24"/>
          <w:szCs w:val="24"/>
        </w:rPr>
        <w:t xml:space="preserve"> on short-term consultancy contracts) to sink time into evidencing claims that may incite push-back and contestation from country authorities.</w:t>
      </w:r>
      <w:r w:rsidR="00287BF1">
        <w:rPr>
          <w:rStyle w:val="FootnoteReference"/>
          <w:rFonts w:ascii="Times New Roman" w:eastAsia="Times New Roman" w:hAnsi="Times New Roman" w:cs="Times New Roman"/>
          <w:sz w:val="24"/>
          <w:szCs w:val="24"/>
        </w:rPr>
        <w:footnoteReference w:id="5"/>
      </w:r>
      <w:r w:rsidR="00253C86">
        <w:rPr>
          <w:rFonts w:ascii="Times New Roman" w:eastAsia="Times New Roman" w:hAnsi="Times New Roman" w:cs="Times New Roman"/>
          <w:sz w:val="24"/>
          <w:szCs w:val="24"/>
        </w:rPr>
        <w:t xml:space="preserve"> Initial internal evaluation of the FSAP process echoed these issues of data availability, and highlighted the need for greater institutional expertise (Independent Evaluation Group 2006).</w:t>
      </w:r>
    </w:p>
    <w:p w14:paraId="3A82BCD9" w14:textId="77777777" w:rsidR="00D37054" w:rsidRDefault="00796B34" w:rsidP="008371D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these background capacity constraints, operational points of tension emerged within FSAP collaborative working. Momani and Hibben (</w:t>
      </w:r>
      <w:r w:rsidR="00390F0D">
        <w:rPr>
          <w:rFonts w:ascii="Times New Roman" w:eastAsia="Times New Roman" w:hAnsi="Times New Roman" w:cs="Times New Roman"/>
          <w:sz w:val="24"/>
          <w:szCs w:val="24"/>
        </w:rPr>
        <w:t>2015: 38-9) outline the existence of cultural and structural differences that inhibited the building of effective working</w:t>
      </w:r>
      <w:r w:rsidR="00502C3C">
        <w:rPr>
          <w:rFonts w:ascii="Times New Roman" w:eastAsia="Times New Roman" w:hAnsi="Times New Roman" w:cs="Times New Roman"/>
          <w:sz w:val="24"/>
          <w:szCs w:val="24"/>
        </w:rPr>
        <w:t xml:space="preserve"> relationships</w:t>
      </w:r>
      <w:r w:rsidR="00390F0D">
        <w:rPr>
          <w:rFonts w:ascii="Times New Roman" w:eastAsia="Times New Roman" w:hAnsi="Times New Roman" w:cs="Times New Roman"/>
          <w:sz w:val="24"/>
          <w:szCs w:val="24"/>
        </w:rPr>
        <w:t xml:space="preserve">. Fund staff found their World Bank colleagues’ style of interaction with country authorities to limit space for candour and ‘difficult conversations’ about sectoral shortcomings. The perception from Fund staff was that the World Bank ‘business model’, which requires staff to </w:t>
      </w:r>
      <w:r w:rsidR="00502C3C">
        <w:rPr>
          <w:rFonts w:ascii="Times New Roman" w:eastAsia="Times New Roman" w:hAnsi="Times New Roman" w:cs="Times New Roman"/>
          <w:sz w:val="24"/>
          <w:szCs w:val="24"/>
        </w:rPr>
        <w:t>successfully promote projects to country authorities, generated pressure on Bank staff to be helpful to country authorities, and reduced the space needed for objective analysis. From the Bank side, staff reported frustration that their Fund colleagues’ tendency towards a ‘rigid and heavy handed’ approach could prove counterproductive and alienating of the country authorities. Cultural differences were evident also in relation to decision-making processes, with Fund staff expressing frustration at their Bank colleagues’ tendency toward collective and time-consuming discussion in contrast to their own more rapid and individualised decision-making style.</w:t>
      </w:r>
      <w:r w:rsidR="00390F0D">
        <w:rPr>
          <w:rFonts w:ascii="Times New Roman" w:eastAsia="Times New Roman" w:hAnsi="Times New Roman" w:cs="Times New Roman"/>
          <w:sz w:val="24"/>
          <w:szCs w:val="24"/>
        </w:rPr>
        <w:t xml:space="preserve">   </w:t>
      </w:r>
    </w:p>
    <w:p w14:paraId="4493976A" w14:textId="77777777" w:rsidR="00D37054" w:rsidRDefault="008C7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w:t>
      </w:r>
      <w:r w:rsidR="00D07376">
        <w:rPr>
          <w:rFonts w:ascii="Times New Roman" w:eastAsia="Times New Roman" w:hAnsi="Times New Roman" w:cs="Times New Roman"/>
          <w:sz w:val="24"/>
          <w:szCs w:val="24"/>
        </w:rPr>
        <w:t xml:space="preserve"> of these points of friction, in the late 2000s there was a notable roll-back in the depth of FSAP collaboration. Spurred by a post-global financial crisis awareness of shortcomings in the ability of existing assessment processes to adequately identify </w:t>
      </w:r>
      <w:r>
        <w:rPr>
          <w:rFonts w:ascii="Times New Roman" w:eastAsia="Times New Roman" w:hAnsi="Times New Roman" w:cs="Times New Roman"/>
          <w:sz w:val="24"/>
          <w:szCs w:val="24"/>
        </w:rPr>
        <w:t xml:space="preserve">risks to financial stability, in 2009 a joint review of the process issued a call for reform to increase the ‘quality, candour, and comparability’ of FSAP outputs (Caprio 2018: 1). Under the resulting reforms to the FSAP process, </w:t>
      </w:r>
      <w:r w:rsidRPr="008C701B">
        <w:rPr>
          <w:rFonts w:ascii="Times New Roman" w:eastAsia="Times New Roman" w:hAnsi="Times New Roman" w:cs="Times New Roman"/>
          <w:sz w:val="24"/>
          <w:szCs w:val="24"/>
        </w:rPr>
        <w:t xml:space="preserve">IMF staff </w:t>
      </w:r>
      <w:r>
        <w:rPr>
          <w:rFonts w:ascii="Times New Roman" w:eastAsia="Times New Roman" w:hAnsi="Times New Roman" w:cs="Times New Roman"/>
          <w:sz w:val="24"/>
          <w:szCs w:val="24"/>
        </w:rPr>
        <w:t>started to work</w:t>
      </w:r>
      <w:r w:rsidRPr="008C701B">
        <w:rPr>
          <w:rFonts w:ascii="Times New Roman" w:eastAsia="Times New Roman" w:hAnsi="Times New Roman" w:cs="Times New Roman"/>
          <w:sz w:val="24"/>
          <w:szCs w:val="24"/>
        </w:rPr>
        <w:t xml:space="preserve"> independently on a ‘financial stability’ component to a country’s assessment, and World Bank staff on a ‘development’ module. </w:t>
      </w:r>
      <w:proofErr w:type="spellStart"/>
      <w:r w:rsidRPr="008C701B">
        <w:rPr>
          <w:rFonts w:ascii="Times New Roman" w:eastAsia="Times New Roman" w:hAnsi="Times New Roman" w:cs="Times New Roman"/>
          <w:sz w:val="24"/>
          <w:szCs w:val="24"/>
        </w:rPr>
        <w:t>Kranke</w:t>
      </w:r>
      <w:proofErr w:type="spellEnd"/>
      <w:r w:rsidRPr="008C701B">
        <w:rPr>
          <w:rFonts w:ascii="Times New Roman" w:eastAsia="Times New Roman" w:hAnsi="Times New Roman" w:cs="Times New Roman"/>
          <w:sz w:val="24"/>
          <w:szCs w:val="24"/>
        </w:rPr>
        <w:t xml:space="preserve"> (468-70) suggests that the reforms were primarily driven by IMF </w:t>
      </w:r>
      <w:r>
        <w:rPr>
          <w:rFonts w:ascii="Times New Roman" w:eastAsia="Times New Roman" w:hAnsi="Times New Roman" w:cs="Times New Roman"/>
          <w:sz w:val="24"/>
          <w:szCs w:val="24"/>
        </w:rPr>
        <w:t xml:space="preserve">management </w:t>
      </w:r>
      <w:r w:rsidRPr="008C701B">
        <w:rPr>
          <w:rFonts w:ascii="Times New Roman" w:eastAsia="Times New Roman" w:hAnsi="Times New Roman" w:cs="Times New Roman"/>
          <w:sz w:val="24"/>
          <w:szCs w:val="24"/>
        </w:rPr>
        <w:t xml:space="preserve">to consolidate </w:t>
      </w:r>
      <w:r>
        <w:rPr>
          <w:rFonts w:ascii="Times New Roman" w:eastAsia="Times New Roman" w:hAnsi="Times New Roman" w:cs="Times New Roman"/>
          <w:sz w:val="24"/>
          <w:szCs w:val="24"/>
        </w:rPr>
        <w:t>institutional expertise on financial market stability, and that Bank staff viewed this separation of responsibilities as a ‘forced divorce’</w:t>
      </w:r>
      <w:r w:rsidRPr="008C701B">
        <w:rPr>
          <w:rFonts w:ascii="Times New Roman" w:eastAsia="Times New Roman" w:hAnsi="Times New Roman" w:cs="Times New Roman"/>
          <w:sz w:val="24"/>
          <w:szCs w:val="24"/>
        </w:rPr>
        <w:t>.</w:t>
      </w:r>
      <w:r w:rsidR="00D07376">
        <w:rPr>
          <w:rFonts w:ascii="Times New Roman" w:eastAsia="Times New Roman" w:hAnsi="Times New Roman" w:cs="Times New Roman"/>
          <w:sz w:val="24"/>
          <w:szCs w:val="24"/>
        </w:rPr>
        <w:t xml:space="preserve"> </w:t>
      </w:r>
    </w:p>
    <w:p w14:paraId="6D249B64" w14:textId="77777777" w:rsidR="003C5B29" w:rsidRPr="00034FB5" w:rsidRDefault="003C5B2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date, FSAP continues to function with this increased level of demarcation between the World Bank and IMF role. </w:t>
      </w:r>
      <w:r w:rsidR="00027201">
        <w:rPr>
          <w:rFonts w:ascii="Times New Roman" w:eastAsia="Times New Roman" w:hAnsi="Times New Roman" w:cs="Times New Roman"/>
          <w:sz w:val="24"/>
          <w:szCs w:val="24"/>
        </w:rPr>
        <w:t xml:space="preserve">The effectiveness with which financial sector information and analysis is shared between Fund and Bank staff was reported by Momani and Hibben (2015: 38) to be variable, and contingent </w:t>
      </w:r>
      <w:proofErr w:type="gramStart"/>
      <w:r w:rsidR="00027201">
        <w:rPr>
          <w:rFonts w:ascii="Times New Roman" w:eastAsia="Times New Roman" w:hAnsi="Times New Roman" w:cs="Times New Roman"/>
          <w:sz w:val="24"/>
          <w:szCs w:val="24"/>
        </w:rPr>
        <w:t>in particular on</w:t>
      </w:r>
      <w:proofErr w:type="gramEnd"/>
      <w:r w:rsidR="00027201">
        <w:rPr>
          <w:rFonts w:ascii="Times New Roman" w:eastAsia="Times New Roman" w:hAnsi="Times New Roman" w:cs="Times New Roman"/>
          <w:sz w:val="24"/>
          <w:szCs w:val="24"/>
        </w:rPr>
        <w:t xml:space="preserve"> individual country team dynamics and personal connection.</w:t>
      </w:r>
      <w:r>
        <w:rPr>
          <w:rFonts w:ascii="Times New Roman" w:eastAsia="Times New Roman" w:hAnsi="Times New Roman" w:cs="Times New Roman"/>
          <w:sz w:val="24"/>
          <w:szCs w:val="24"/>
        </w:rPr>
        <w:t xml:space="preserve"> </w:t>
      </w:r>
      <w:r w:rsidR="00027201">
        <w:rPr>
          <w:rFonts w:ascii="Times New Roman" w:eastAsia="Times New Roman" w:hAnsi="Times New Roman" w:cs="Times New Roman"/>
          <w:sz w:val="24"/>
          <w:szCs w:val="24"/>
        </w:rPr>
        <w:t xml:space="preserve">Indeed, </w:t>
      </w:r>
      <w:proofErr w:type="spellStart"/>
      <w:r w:rsidR="00027201">
        <w:rPr>
          <w:rFonts w:ascii="Times New Roman" w:eastAsia="Times New Roman" w:hAnsi="Times New Roman" w:cs="Times New Roman"/>
          <w:sz w:val="24"/>
          <w:szCs w:val="24"/>
        </w:rPr>
        <w:t>Kranke</w:t>
      </w:r>
      <w:proofErr w:type="spellEnd"/>
      <w:r w:rsidR="00027201">
        <w:rPr>
          <w:rFonts w:ascii="Times New Roman" w:eastAsia="Times New Roman" w:hAnsi="Times New Roman" w:cs="Times New Roman"/>
          <w:sz w:val="24"/>
          <w:szCs w:val="24"/>
        </w:rPr>
        <w:t xml:space="preserve"> (2020: 469) </w:t>
      </w:r>
      <w:r w:rsidR="00034FB5">
        <w:rPr>
          <w:rFonts w:ascii="Times New Roman" w:eastAsia="Times New Roman" w:hAnsi="Times New Roman" w:cs="Times New Roman"/>
          <w:sz w:val="24"/>
          <w:szCs w:val="24"/>
        </w:rPr>
        <w:t>notes</w:t>
      </w:r>
      <w:r w:rsidR="00027201">
        <w:rPr>
          <w:rFonts w:ascii="Times New Roman" w:eastAsia="Times New Roman" w:hAnsi="Times New Roman" w:cs="Times New Roman"/>
          <w:sz w:val="24"/>
          <w:szCs w:val="24"/>
        </w:rPr>
        <w:t xml:space="preserve"> that, many years after the roll-back in </w:t>
      </w:r>
      <w:r w:rsidR="00027201">
        <w:rPr>
          <w:rFonts w:ascii="Times New Roman" w:eastAsia="Times New Roman" w:hAnsi="Times New Roman" w:cs="Times New Roman"/>
          <w:sz w:val="24"/>
          <w:szCs w:val="24"/>
        </w:rPr>
        <w:lastRenderedPageBreak/>
        <w:t xml:space="preserve">the depth of FSAP collaboration, </w:t>
      </w:r>
      <w:r w:rsidR="00034FB5">
        <w:rPr>
          <w:rFonts w:ascii="Times New Roman" w:eastAsia="Times New Roman" w:hAnsi="Times New Roman" w:cs="Times New Roman"/>
          <w:sz w:val="24"/>
          <w:szCs w:val="24"/>
        </w:rPr>
        <w:t xml:space="preserve">World Bank financial sector staff still reported a sense of alienation against IMF senior managements’ pushing-through of the reform. While, overall, organisational staff and country authorities remain positive about the value-added from FSAP outputs (IEO 2019: 19), the shallower form of collaboration engendered within the FSAP process is viewed as a retrograde step by some. </w:t>
      </w:r>
      <w:r w:rsidR="000272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06A3C06" w14:textId="77777777" w:rsidR="00CF2E0B" w:rsidRDefault="00576F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IMF-World Bank Collaboration: </w:t>
      </w:r>
      <w:r w:rsidR="00D44BD7">
        <w:rPr>
          <w:rFonts w:ascii="Times New Roman" w:eastAsia="Times New Roman" w:hAnsi="Times New Roman" w:cs="Times New Roman"/>
          <w:b/>
          <w:sz w:val="24"/>
          <w:szCs w:val="24"/>
        </w:rPr>
        <w:t>Sustainable development</w:t>
      </w:r>
    </w:p>
    <w:p w14:paraId="768D6CD8" w14:textId="77777777" w:rsidR="000B758F" w:rsidRDefault="0024204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development is commonly understood to refer to economic transformation that supports an equitable increase in meeting the needs of the present, without constraining the capacity of future generations</w:t>
      </w:r>
      <w:r w:rsidR="00D44BD7">
        <w:rPr>
          <w:rFonts w:ascii="Times New Roman" w:eastAsia="Times New Roman" w:hAnsi="Times New Roman" w:cs="Times New Roman"/>
          <w:sz w:val="24"/>
          <w:szCs w:val="24"/>
        </w:rPr>
        <w:t xml:space="preserve"> to meet their needs (Daly 2006: 39).</w:t>
      </w:r>
      <w:r>
        <w:rPr>
          <w:rFonts w:ascii="Times New Roman" w:eastAsia="Times New Roman" w:hAnsi="Times New Roman" w:cs="Times New Roman"/>
          <w:sz w:val="24"/>
          <w:szCs w:val="24"/>
        </w:rPr>
        <w:t xml:space="preserve"> </w:t>
      </w:r>
      <w:r w:rsidR="00D44BD7">
        <w:rPr>
          <w:rFonts w:ascii="Times New Roman" w:eastAsia="Times New Roman" w:hAnsi="Times New Roman" w:cs="Times New Roman"/>
          <w:sz w:val="24"/>
          <w:szCs w:val="24"/>
        </w:rPr>
        <w:t xml:space="preserve">In the context of the International Monetary Fund and World Bank, the institutional focus on poverty reduction on the one hand, and climate change on the other, have come to constitute core points of engagement with sustainable development. </w:t>
      </w:r>
      <w:r w:rsidR="004766A8">
        <w:rPr>
          <w:rFonts w:ascii="Times New Roman" w:eastAsia="Times New Roman" w:hAnsi="Times New Roman" w:cs="Times New Roman"/>
          <w:sz w:val="24"/>
          <w:szCs w:val="24"/>
        </w:rPr>
        <w:t>Fund-Bank collaboration on poverty reduction went through a step change around the millennium. The launch of the joint Poverty Reduction Strategy Paper initiative was, however, proceeded by operational uncertainty and subsequent demarcation and roll-back of collaboration. The collaborative focus on climate change is a much more recent development, around which, to date, we have seen limited evidence of institutionalisation.</w:t>
      </w:r>
      <w:r w:rsidR="008D5712">
        <w:rPr>
          <w:rFonts w:ascii="Times New Roman" w:eastAsia="Times New Roman" w:hAnsi="Times New Roman" w:cs="Times New Roman"/>
          <w:sz w:val="24"/>
          <w:szCs w:val="24"/>
        </w:rPr>
        <w:t xml:space="preserve"> A brief period of joint working was followed by demarcation and a return to more segregated practices.</w:t>
      </w:r>
      <w:r w:rsidR="004766A8">
        <w:rPr>
          <w:rFonts w:ascii="Times New Roman" w:eastAsia="Times New Roman" w:hAnsi="Times New Roman" w:cs="Times New Roman"/>
          <w:sz w:val="24"/>
          <w:szCs w:val="24"/>
        </w:rPr>
        <w:t xml:space="preserve"> </w:t>
      </w:r>
      <w:r w:rsidR="00836519">
        <w:rPr>
          <w:rFonts w:ascii="Times New Roman" w:eastAsia="Times New Roman" w:hAnsi="Times New Roman" w:cs="Times New Roman"/>
          <w:sz w:val="24"/>
          <w:szCs w:val="24"/>
        </w:rPr>
        <w:t xml:space="preserve">Below, I explore dynamics surrounding </w:t>
      </w:r>
      <w:r w:rsidR="008D5712">
        <w:rPr>
          <w:rFonts w:ascii="Times New Roman" w:eastAsia="Times New Roman" w:hAnsi="Times New Roman" w:cs="Times New Roman"/>
          <w:sz w:val="24"/>
          <w:szCs w:val="24"/>
        </w:rPr>
        <w:t>Fund-Bank interaction on poverty reduction and climate change</w:t>
      </w:r>
      <w:r w:rsidR="00836519">
        <w:rPr>
          <w:rFonts w:ascii="Times New Roman" w:eastAsia="Times New Roman" w:hAnsi="Times New Roman" w:cs="Times New Roman"/>
          <w:sz w:val="24"/>
          <w:szCs w:val="24"/>
        </w:rPr>
        <w:t xml:space="preserve"> in turn</w:t>
      </w:r>
      <w:r w:rsidR="00F218BC">
        <w:rPr>
          <w:rFonts w:ascii="Times New Roman" w:eastAsia="Times New Roman" w:hAnsi="Times New Roman" w:cs="Times New Roman"/>
          <w:sz w:val="24"/>
          <w:szCs w:val="24"/>
        </w:rPr>
        <w:t>, which in sum illustrate the challenge of creating and maintaining deep inter-institutional collaboration</w:t>
      </w:r>
      <w:r w:rsidR="00836519">
        <w:rPr>
          <w:rFonts w:ascii="Times New Roman" w:eastAsia="Times New Roman" w:hAnsi="Times New Roman" w:cs="Times New Roman"/>
          <w:sz w:val="24"/>
          <w:szCs w:val="24"/>
        </w:rPr>
        <w:t>.</w:t>
      </w:r>
    </w:p>
    <w:p w14:paraId="2A95A34A" w14:textId="77777777" w:rsidR="004766A8" w:rsidRDefault="008365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Bank’s Articles of Agreement orient the organisation toward poverty reduction. While</w:t>
      </w:r>
      <w:r w:rsidR="00F218BC">
        <w:rPr>
          <w:rFonts w:ascii="Times New Roman" w:eastAsia="Times New Roman" w:hAnsi="Times New Roman" w:cs="Times New Roman"/>
          <w:sz w:val="24"/>
          <w:szCs w:val="24"/>
        </w:rPr>
        <w:t xml:space="preserve"> poverty reduction is</w:t>
      </w:r>
      <w:r>
        <w:rPr>
          <w:rFonts w:ascii="Times New Roman" w:eastAsia="Times New Roman" w:hAnsi="Times New Roman" w:cs="Times New Roman"/>
          <w:sz w:val="24"/>
          <w:szCs w:val="24"/>
        </w:rPr>
        <w:t xml:space="preserve"> not explicitly mentioned</w:t>
      </w:r>
      <w:r w:rsidR="0044721B">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the Bank’s formal mandate</w:t>
      </w:r>
      <w:r w:rsidR="00F218BC">
        <w:rPr>
          <w:rFonts w:ascii="Times New Roman" w:eastAsia="Times New Roman" w:hAnsi="Times New Roman" w:cs="Times New Roman"/>
          <w:sz w:val="24"/>
          <w:szCs w:val="24"/>
        </w:rPr>
        <w:t xml:space="preserve">, the organisation is tasked with prioritising </w:t>
      </w:r>
      <w:r>
        <w:rPr>
          <w:rFonts w:ascii="Times New Roman" w:eastAsia="Times New Roman" w:hAnsi="Times New Roman" w:cs="Times New Roman"/>
          <w:sz w:val="24"/>
          <w:szCs w:val="24"/>
        </w:rPr>
        <w:t>‘</w:t>
      </w:r>
      <w:r w:rsidRPr="00836519">
        <w:rPr>
          <w:rFonts w:ascii="Times New Roman" w:eastAsia="Times New Roman" w:hAnsi="Times New Roman" w:cs="Times New Roman"/>
          <w:sz w:val="24"/>
          <w:szCs w:val="24"/>
        </w:rPr>
        <w:t>the development of productive facilities and resources in less developed countries</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r w:rsidR="00995E67">
        <w:rPr>
          <w:rFonts w:ascii="Times New Roman" w:eastAsia="Times New Roman" w:hAnsi="Times New Roman" w:cs="Times New Roman"/>
          <w:sz w:val="24"/>
          <w:szCs w:val="24"/>
        </w:rPr>
        <w:t xml:space="preserve">With the launch of the Bank’s concessional International Development Association lending in the 1960s, and its rising focus on education, health, water, and sanitation as foundations of social development, the organisation </w:t>
      </w:r>
      <w:r w:rsidR="00F218BC">
        <w:rPr>
          <w:rFonts w:ascii="Times New Roman" w:eastAsia="Times New Roman" w:hAnsi="Times New Roman" w:cs="Times New Roman"/>
          <w:sz w:val="24"/>
          <w:szCs w:val="24"/>
        </w:rPr>
        <w:t>embedded</w:t>
      </w:r>
      <w:r w:rsidR="00995E67">
        <w:rPr>
          <w:rFonts w:ascii="Times New Roman" w:eastAsia="Times New Roman" w:hAnsi="Times New Roman" w:cs="Times New Roman"/>
          <w:sz w:val="24"/>
          <w:szCs w:val="24"/>
        </w:rPr>
        <w:t xml:space="preserve"> its focus on</w:t>
      </w:r>
      <w:r w:rsidR="00F218BC">
        <w:rPr>
          <w:rFonts w:ascii="Times New Roman" w:eastAsia="Times New Roman" w:hAnsi="Times New Roman" w:cs="Times New Roman"/>
          <w:sz w:val="24"/>
          <w:szCs w:val="24"/>
        </w:rPr>
        <w:t xml:space="preserve"> targeted social and economic development, and had come to employ a language of</w:t>
      </w:r>
      <w:r w:rsidR="00995E67">
        <w:rPr>
          <w:rFonts w:ascii="Times New Roman" w:eastAsia="Times New Roman" w:hAnsi="Times New Roman" w:cs="Times New Roman"/>
          <w:sz w:val="24"/>
          <w:szCs w:val="24"/>
        </w:rPr>
        <w:t xml:space="preserve"> </w:t>
      </w:r>
      <w:r w:rsidR="00F218BC">
        <w:rPr>
          <w:rFonts w:ascii="Times New Roman" w:eastAsia="Times New Roman" w:hAnsi="Times New Roman" w:cs="Times New Roman"/>
          <w:sz w:val="24"/>
          <w:szCs w:val="24"/>
        </w:rPr>
        <w:t>‘</w:t>
      </w:r>
      <w:r w:rsidR="00995E67">
        <w:rPr>
          <w:rFonts w:ascii="Times New Roman" w:eastAsia="Times New Roman" w:hAnsi="Times New Roman" w:cs="Times New Roman"/>
          <w:sz w:val="24"/>
          <w:szCs w:val="24"/>
        </w:rPr>
        <w:t>poverty reduction</w:t>
      </w:r>
      <w:r w:rsidR="00F218BC">
        <w:rPr>
          <w:rFonts w:ascii="Times New Roman" w:eastAsia="Times New Roman" w:hAnsi="Times New Roman" w:cs="Times New Roman"/>
          <w:sz w:val="24"/>
          <w:szCs w:val="24"/>
        </w:rPr>
        <w:t>’ when framing its work</w:t>
      </w:r>
      <w:r w:rsidR="00995E67">
        <w:rPr>
          <w:rFonts w:ascii="Times New Roman" w:eastAsia="Times New Roman" w:hAnsi="Times New Roman" w:cs="Times New Roman"/>
          <w:sz w:val="24"/>
          <w:szCs w:val="24"/>
        </w:rPr>
        <w:t xml:space="preserve"> (</w:t>
      </w:r>
      <w:proofErr w:type="spellStart"/>
      <w:r w:rsidR="00995E67">
        <w:rPr>
          <w:rFonts w:ascii="Times New Roman" w:eastAsia="Times New Roman" w:hAnsi="Times New Roman" w:cs="Times New Roman"/>
          <w:sz w:val="24"/>
          <w:szCs w:val="24"/>
        </w:rPr>
        <w:t>Vetterlein</w:t>
      </w:r>
      <w:proofErr w:type="spellEnd"/>
      <w:r w:rsidR="00995E67">
        <w:rPr>
          <w:rFonts w:ascii="Times New Roman" w:eastAsia="Times New Roman" w:hAnsi="Times New Roman" w:cs="Times New Roman"/>
          <w:sz w:val="24"/>
          <w:szCs w:val="24"/>
        </w:rPr>
        <w:t xml:space="preserve"> 2012: 38-9). </w:t>
      </w:r>
      <w:r w:rsidR="00A709A4">
        <w:rPr>
          <w:rFonts w:ascii="Times New Roman" w:eastAsia="Times New Roman" w:hAnsi="Times New Roman" w:cs="Times New Roman"/>
          <w:sz w:val="24"/>
          <w:szCs w:val="24"/>
        </w:rPr>
        <w:t>In contrast, the IMF Articles of Agreement direct the organisation towards more generalised support for growth</w:t>
      </w:r>
      <w:r w:rsidR="00F218BC">
        <w:rPr>
          <w:rFonts w:ascii="Times New Roman" w:eastAsia="Times New Roman" w:hAnsi="Times New Roman" w:cs="Times New Roman"/>
          <w:sz w:val="24"/>
          <w:szCs w:val="24"/>
        </w:rPr>
        <w:t xml:space="preserve"> across its membership</w:t>
      </w:r>
      <w:r w:rsidR="00A709A4">
        <w:rPr>
          <w:rFonts w:ascii="Times New Roman" w:eastAsia="Times New Roman" w:hAnsi="Times New Roman" w:cs="Times New Roman"/>
          <w:sz w:val="24"/>
          <w:szCs w:val="24"/>
        </w:rPr>
        <w:t xml:space="preserve">. By focusing on facilitating monetary cooperation and the balanced expansion of trade, </w:t>
      </w:r>
      <w:r w:rsidR="00EB51E1">
        <w:rPr>
          <w:rFonts w:ascii="Times New Roman" w:eastAsia="Times New Roman" w:hAnsi="Times New Roman" w:cs="Times New Roman"/>
          <w:sz w:val="24"/>
          <w:szCs w:val="24"/>
        </w:rPr>
        <w:t>the Fund’s mandate notes that the organisation would ‘</w:t>
      </w:r>
      <w:r w:rsidR="00EB51E1" w:rsidRPr="00EB51E1">
        <w:rPr>
          <w:rFonts w:ascii="Times New Roman" w:eastAsia="Times New Roman" w:hAnsi="Times New Roman" w:cs="Times New Roman"/>
          <w:sz w:val="24"/>
          <w:szCs w:val="24"/>
        </w:rPr>
        <w:t>contribute thereby to the promotion and maintenance of high levels of employment and real income and to the development of the productive resources of all members</w:t>
      </w:r>
      <w:r w:rsidR="00EB51E1">
        <w:rPr>
          <w:rFonts w:ascii="Times New Roman" w:eastAsia="Times New Roman" w:hAnsi="Times New Roman" w:cs="Times New Roman"/>
          <w:sz w:val="24"/>
          <w:szCs w:val="24"/>
        </w:rPr>
        <w:t>’.</w:t>
      </w:r>
      <w:r w:rsidR="00EB51E1">
        <w:rPr>
          <w:rStyle w:val="FootnoteReference"/>
          <w:rFonts w:ascii="Times New Roman" w:eastAsia="Times New Roman" w:hAnsi="Times New Roman" w:cs="Times New Roman"/>
          <w:sz w:val="24"/>
          <w:szCs w:val="24"/>
        </w:rPr>
        <w:footnoteReference w:id="7"/>
      </w:r>
      <w:r w:rsidR="00EB51E1">
        <w:rPr>
          <w:rFonts w:ascii="Times New Roman" w:eastAsia="Times New Roman" w:hAnsi="Times New Roman" w:cs="Times New Roman"/>
          <w:sz w:val="24"/>
          <w:szCs w:val="24"/>
        </w:rPr>
        <w:t xml:space="preserve"> The IMF journey toward an operational engagement with poverty reduction, and enhanced collaboration with Bank colleagues around the issue, </w:t>
      </w:r>
      <w:r w:rsidR="00F218BC">
        <w:rPr>
          <w:rFonts w:ascii="Times New Roman" w:eastAsia="Times New Roman" w:hAnsi="Times New Roman" w:cs="Times New Roman"/>
          <w:sz w:val="24"/>
          <w:szCs w:val="24"/>
        </w:rPr>
        <w:t>unfolded over a larger timeframe</w:t>
      </w:r>
      <w:r w:rsidR="00EB51E1">
        <w:rPr>
          <w:rFonts w:ascii="Times New Roman" w:eastAsia="Times New Roman" w:hAnsi="Times New Roman" w:cs="Times New Roman"/>
          <w:sz w:val="24"/>
          <w:szCs w:val="24"/>
        </w:rPr>
        <w:t>.</w:t>
      </w:r>
    </w:p>
    <w:p w14:paraId="49A61B6F" w14:textId="77777777" w:rsidR="00955104" w:rsidRDefault="00EB51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foundations for the IMF’s engagement with poverty reduction were laid in the 1980s. </w:t>
      </w:r>
      <w:r w:rsidR="003B150D">
        <w:rPr>
          <w:rFonts w:ascii="Times New Roman" w:eastAsia="Times New Roman" w:hAnsi="Times New Roman" w:cs="Times New Roman"/>
          <w:sz w:val="24"/>
          <w:szCs w:val="24"/>
        </w:rPr>
        <w:t xml:space="preserve">After an initial round of </w:t>
      </w:r>
      <w:r w:rsidR="00F218BC">
        <w:rPr>
          <w:rFonts w:ascii="Times New Roman" w:eastAsia="Times New Roman" w:hAnsi="Times New Roman" w:cs="Times New Roman"/>
          <w:sz w:val="24"/>
          <w:szCs w:val="24"/>
        </w:rPr>
        <w:t xml:space="preserve">stabilisation </w:t>
      </w:r>
      <w:r w:rsidR="003B150D">
        <w:rPr>
          <w:rFonts w:ascii="Times New Roman" w:eastAsia="Times New Roman" w:hAnsi="Times New Roman" w:cs="Times New Roman"/>
          <w:sz w:val="24"/>
          <w:szCs w:val="24"/>
        </w:rPr>
        <w:t xml:space="preserve">lending to </w:t>
      </w:r>
      <w:proofErr w:type="gramStart"/>
      <w:r w:rsidR="003B150D">
        <w:rPr>
          <w:rFonts w:ascii="Times New Roman" w:eastAsia="Times New Roman" w:hAnsi="Times New Roman" w:cs="Times New Roman"/>
          <w:sz w:val="24"/>
          <w:szCs w:val="24"/>
        </w:rPr>
        <w:t>newly-independent</w:t>
      </w:r>
      <w:proofErr w:type="gramEnd"/>
      <w:r w:rsidR="003B150D">
        <w:rPr>
          <w:rFonts w:ascii="Times New Roman" w:eastAsia="Times New Roman" w:hAnsi="Times New Roman" w:cs="Times New Roman"/>
          <w:sz w:val="24"/>
          <w:szCs w:val="24"/>
        </w:rPr>
        <w:t xml:space="preserve"> states in the 1970s, by the mid-1980s the Fund’s lower-income </w:t>
      </w:r>
      <w:r w:rsidR="00F218BC">
        <w:rPr>
          <w:rFonts w:ascii="Times New Roman" w:eastAsia="Times New Roman" w:hAnsi="Times New Roman" w:cs="Times New Roman"/>
          <w:sz w:val="24"/>
          <w:szCs w:val="24"/>
        </w:rPr>
        <w:t>country operations</w:t>
      </w:r>
      <w:r w:rsidR="003B150D">
        <w:rPr>
          <w:rFonts w:ascii="Times New Roman" w:eastAsia="Times New Roman" w:hAnsi="Times New Roman" w:cs="Times New Roman"/>
          <w:sz w:val="24"/>
          <w:szCs w:val="24"/>
        </w:rPr>
        <w:t xml:space="preserve"> w</w:t>
      </w:r>
      <w:r w:rsidR="00F218BC">
        <w:rPr>
          <w:rFonts w:ascii="Times New Roman" w:eastAsia="Times New Roman" w:hAnsi="Times New Roman" w:cs="Times New Roman"/>
          <w:sz w:val="24"/>
          <w:szCs w:val="24"/>
        </w:rPr>
        <w:t>ere</w:t>
      </w:r>
      <w:r w:rsidR="003B150D">
        <w:rPr>
          <w:rFonts w:ascii="Times New Roman" w:eastAsia="Times New Roman" w:hAnsi="Times New Roman" w:cs="Times New Roman"/>
          <w:sz w:val="24"/>
          <w:szCs w:val="24"/>
        </w:rPr>
        <w:t xml:space="preserve"> </w:t>
      </w:r>
      <w:r w:rsidR="00F218BC">
        <w:rPr>
          <w:rFonts w:ascii="Times New Roman" w:eastAsia="Times New Roman" w:hAnsi="Times New Roman" w:cs="Times New Roman"/>
          <w:sz w:val="24"/>
          <w:szCs w:val="24"/>
        </w:rPr>
        <w:t>housed within</w:t>
      </w:r>
      <w:r w:rsidR="003B150D">
        <w:rPr>
          <w:rFonts w:ascii="Times New Roman" w:eastAsia="Times New Roman" w:hAnsi="Times New Roman" w:cs="Times New Roman"/>
          <w:sz w:val="24"/>
          <w:szCs w:val="24"/>
        </w:rPr>
        <w:t xml:space="preserve"> its Structural Adjustment Facility</w:t>
      </w:r>
      <w:r w:rsidR="00D6785B">
        <w:rPr>
          <w:rFonts w:ascii="Times New Roman" w:eastAsia="Times New Roman" w:hAnsi="Times New Roman" w:cs="Times New Roman"/>
          <w:sz w:val="24"/>
          <w:szCs w:val="24"/>
        </w:rPr>
        <w:t xml:space="preserve"> (SAF)</w:t>
      </w:r>
      <w:r w:rsidR="003B150D">
        <w:rPr>
          <w:rFonts w:ascii="Times New Roman" w:eastAsia="Times New Roman" w:hAnsi="Times New Roman" w:cs="Times New Roman"/>
          <w:sz w:val="24"/>
          <w:szCs w:val="24"/>
        </w:rPr>
        <w:t xml:space="preserve">. </w:t>
      </w:r>
      <w:r w:rsidR="006D09AD">
        <w:rPr>
          <w:rFonts w:ascii="Times New Roman" w:eastAsia="Times New Roman" w:hAnsi="Times New Roman" w:cs="Times New Roman"/>
          <w:sz w:val="24"/>
          <w:szCs w:val="24"/>
        </w:rPr>
        <w:t>The SAF was created in 1986, after intensive negotiations within the IMF Executive Board. Executive Directors disagreed over core aspects of the SAF, including the scope of conditionality</w:t>
      </w:r>
      <w:r w:rsidR="00955104">
        <w:rPr>
          <w:rFonts w:ascii="Times New Roman" w:eastAsia="Times New Roman" w:hAnsi="Times New Roman" w:cs="Times New Roman"/>
          <w:sz w:val="24"/>
          <w:szCs w:val="24"/>
        </w:rPr>
        <w:t>. Previous IMF loans had typically included a range of macroeconomic and fiscal performance criteria, such as a requirement for inflation to move to a downward trajectory</w:t>
      </w:r>
      <w:r w:rsidR="00E3054F">
        <w:rPr>
          <w:rFonts w:ascii="Times New Roman" w:eastAsia="Times New Roman" w:hAnsi="Times New Roman" w:cs="Times New Roman"/>
          <w:sz w:val="24"/>
          <w:szCs w:val="24"/>
        </w:rPr>
        <w:t>,</w:t>
      </w:r>
      <w:r w:rsidR="00955104">
        <w:rPr>
          <w:rFonts w:ascii="Times New Roman" w:eastAsia="Times New Roman" w:hAnsi="Times New Roman" w:cs="Times New Roman"/>
          <w:sz w:val="24"/>
          <w:szCs w:val="24"/>
        </w:rPr>
        <w:t xml:space="preserve"> or for a government deficit to be reduced.</w:t>
      </w:r>
      <w:r w:rsidR="006D09AD">
        <w:rPr>
          <w:rFonts w:ascii="Times New Roman" w:eastAsia="Times New Roman" w:hAnsi="Times New Roman" w:cs="Times New Roman"/>
          <w:sz w:val="24"/>
          <w:szCs w:val="24"/>
        </w:rPr>
        <w:t xml:space="preserve"> </w:t>
      </w:r>
      <w:r w:rsidR="00F218BC">
        <w:rPr>
          <w:rFonts w:ascii="Times New Roman" w:eastAsia="Times New Roman" w:hAnsi="Times New Roman" w:cs="Times New Roman"/>
          <w:sz w:val="24"/>
          <w:szCs w:val="24"/>
        </w:rPr>
        <w:t xml:space="preserve">Under the SAF, </w:t>
      </w:r>
      <w:r w:rsidR="00955104">
        <w:rPr>
          <w:rFonts w:ascii="Times New Roman" w:eastAsia="Times New Roman" w:hAnsi="Times New Roman" w:cs="Times New Roman"/>
          <w:sz w:val="24"/>
          <w:szCs w:val="24"/>
        </w:rPr>
        <w:t xml:space="preserve">there was </w:t>
      </w:r>
      <w:r w:rsidR="00955104">
        <w:rPr>
          <w:rFonts w:ascii="Times New Roman" w:eastAsia="Times New Roman" w:hAnsi="Times New Roman" w:cs="Times New Roman"/>
          <w:sz w:val="24"/>
          <w:szCs w:val="24"/>
        </w:rPr>
        <w:lastRenderedPageBreak/>
        <w:t xml:space="preserve">pressure from a coalition of the Fund’s more powerful member states for loans to monitor wider ‘structural’ issues; shortcomings with policy frameworks and institutions that were seen to be constraining a country’s capacity to attain macroeconomic stability. Ultimately, despite objections from the Fund’s lower-income members that such issues were beyond the Fund’s core competence and that the three-year window that would be provided by a SAF programme was insufficient for measurable progress to be made on complex and contentious issues, the SAF procedures that were laid out served to expend the organisation’s engagement with these issues (Clegg 2012: 299-304). </w:t>
      </w:r>
    </w:p>
    <w:p w14:paraId="04774B18" w14:textId="77777777" w:rsidR="003C0E80" w:rsidRDefault="0095510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Discussions over the formation of the SAF also </w:t>
      </w:r>
      <w:r w:rsidR="000E57DC">
        <w:rPr>
          <w:rFonts w:ascii="Times New Roman" w:eastAsia="Times New Roman" w:hAnsi="Times New Roman" w:cs="Times New Roman"/>
          <w:sz w:val="24"/>
          <w:szCs w:val="24"/>
        </w:rPr>
        <w:t>raised the question of the Fund-Bank relationship. In particular, the US Executive Director at the IMF wanted to see the creation of the SAF as a moment for a ‘bold’ re-casting of the institutions’ working arrangements, calling for the structural conditions incorporated into a loan arrangement to be co-designed by Fund and Bank staff, and decisions over the adequacy of a borrower’s performance taken together. Push-back came from F</w:t>
      </w:r>
      <w:r w:rsidR="003C0E80">
        <w:rPr>
          <w:rFonts w:ascii="Times New Roman" w:eastAsia="Times New Roman" w:hAnsi="Times New Roman" w:cs="Times New Roman"/>
          <w:sz w:val="24"/>
          <w:szCs w:val="24"/>
        </w:rPr>
        <w:t>und staff</w:t>
      </w:r>
      <w:r w:rsidR="000E57DC">
        <w:rPr>
          <w:rFonts w:ascii="Times New Roman" w:eastAsia="Times New Roman" w:hAnsi="Times New Roman" w:cs="Times New Roman"/>
          <w:sz w:val="24"/>
          <w:szCs w:val="24"/>
        </w:rPr>
        <w:t xml:space="preserve"> who were wary that the very different working styles of the institutions could undercut the Fund’s ability to formulate plans at speed</w:t>
      </w:r>
      <w:r w:rsidR="003C0E80">
        <w:rPr>
          <w:rFonts w:ascii="Times New Roman" w:eastAsia="Times New Roman" w:hAnsi="Times New Roman" w:cs="Times New Roman"/>
          <w:sz w:val="24"/>
          <w:szCs w:val="24"/>
        </w:rPr>
        <w:t xml:space="preserve">, and from lower-income members who worried about the complexity of resultant programmes and the potential for staff of one institution to gain veto-power over a borrower’s ability to access finances from the other. </w:t>
      </w:r>
      <w:r w:rsidR="00812AED">
        <w:rPr>
          <w:rFonts w:ascii="Times New Roman" w:eastAsia="Times New Roman" w:hAnsi="Times New Roman" w:cs="Times New Roman"/>
          <w:sz w:val="24"/>
          <w:szCs w:val="24"/>
        </w:rPr>
        <w:t>Despite consistent support from the Fund’s most powerful member state, this ‘bold’ US plan for deep collaboration on SAF was not reflected by operational practice. The Fund was to design adjustment programmes that would include policy reform viewed as essential for the regaining of balance of payments equilibrium and macroeconomic stability, with the Bank maintaining the focus on the foundations for longer-term development</w:t>
      </w:r>
      <w:r w:rsidR="00E97144">
        <w:rPr>
          <w:rFonts w:ascii="Times New Roman" w:eastAsia="Times New Roman" w:hAnsi="Times New Roman" w:cs="Times New Roman"/>
          <w:sz w:val="24"/>
          <w:szCs w:val="24"/>
        </w:rPr>
        <w:t xml:space="preserve">. Collaboration was to be structured more </w:t>
      </w:r>
      <w:r w:rsidR="003D76FA">
        <w:rPr>
          <w:rFonts w:ascii="Times New Roman" w:eastAsia="Times New Roman" w:hAnsi="Times New Roman" w:cs="Times New Roman"/>
          <w:sz w:val="24"/>
          <w:szCs w:val="24"/>
        </w:rPr>
        <w:t>flexibly</w:t>
      </w:r>
      <w:r w:rsidR="00E97144">
        <w:rPr>
          <w:rFonts w:ascii="Times New Roman" w:eastAsia="Times New Roman" w:hAnsi="Times New Roman" w:cs="Times New Roman"/>
          <w:sz w:val="24"/>
          <w:szCs w:val="24"/>
        </w:rPr>
        <w:t xml:space="preserve"> around a Policy Framework P</w:t>
      </w:r>
      <w:r w:rsidR="00B302FE">
        <w:rPr>
          <w:rFonts w:ascii="Times New Roman" w:eastAsia="Times New Roman" w:hAnsi="Times New Roman" w:cs="Times New Roman"/>
          <w:sz w:val="24"/>
          <w:szCs w:val="24"/>
        </w:rPr>
        <w:t>aper (PFP). A process emerged through which Fund staff, with Bank input, typically led</w:t>
      </w:r>
      <w:r w:rsidR="00812AED">
        <w:rPr>
          <w:rFonts w:ascii="Times New Roman" w:eastAsia="Times New Roman" w:hAnsi="Times New Roman" w:cs="Times New Roman"/>
          <w:sz w:val="24"/>
          <w:szCs w:val="24"/>
        </w:rPr>
        <w:t xml:space="preserve"> </w:t>
      </w:r>
      <w:r w:rsidR="00B302FE">
        <w:rPr>
          <w:rFonts w:ascii="Times New Roman" w:eastAsia="Times New Roman" w:hAnsi="Times New Roman" w:cs="Times New Roman"/>
          <w:sz w:val="24"/>
          <w:szCs w:val="24"/>
        </w:rPr>
        <w:t xml:space="preserve">with the initial drafting of a PFP, laying out the macroeconomic priorities, public expenditure policies, monetary and financial sector reforms, and social protection mechanisms to be delivered over the coming three-year period. Country authorities would then subsequently submit the PFP as part of a loan application, with their </w:t>
      </w:r>
      <w:r w:rsidR="00E3054F">
        <w:rPr>
          <w:rFonts w:ascii="Times New Roman" w:eastAsia="Times New Roman" w:hAnsi="Times New Roman" w:cs="Times New Roman"/>
          <w:sz w:val="24"/>
          <w:szCs w:val="24"/>
        </w:rPr>
        <w:t xml:space="preserve">accompanying </w:t>
      </w:r>
      <w:r w:rsidR="00B302FE">
        <w:rPr>
          <w:rFonts w:ascii="Times New Roman" w:eastAsia="Times New Roman" w:hAnsi="Times New Roman" w:cs="Times New Roman"/>
          <w:sz w:val="24"/>
          <w:szCs w:val="24"/>
        </w:rPr>
        <w:t>Letter of Intent outlining the reform commitments</w:t>
      </w:r>
      <w:r w:rsidR="00E3054F">
        <w:rPr>
          <w:rFonts w:ascii="Times New Roman" w:eastAsia="Times New Roman" w:hAnsi="Times New Roman" w:cs="Times New Roman"/>
          <w:sz w:val="24"/>
          <w:szCs w:val="24"/>
        </w:rPr>
        <w:t xml:space="preserve"> to be monitored as part of the loan</w:t>
      </w:r>
      <w:r w:rsidR="003D76FA">
        <w:rPr>
          <w:rFonts w:ascii="Times New Roman" w:eastAsia="Times New Roman" w:hAnsi="Times New Roman" w:cs="Times New Roman"/>
          <w:sz w:val="24"/>
          <w:szCs w:val="24"/>
        </w:rPr>
        <w:t>. While the SAF was rapidly re-badged as the Enhanced Structural Adjustment Facility (ESAF), this PFP working process remained in place through to 1999</w:t>
      </w:r>
      <w:r w:rsidR="00B302FE">
        <w:rPr>
          <w:rFonts w:ascii="Times New Roman" w:eastAsia="Times New Roman" w:hAnsi="Times New Roman" w:cs="Times New Roman"/>
          <w:sz w:val="24"/>
          <w:szCs w:val="24"/>
        </w:rPr>
        <w:t xml:space="preserve"> </w:t>
      </w:r>
      <w:r w:rsidR="00812AED">
        <w:rPr>
          <w:rFonts w:ascii="Times New Roman" w:eastAsia="Times New Roman" w:hAnsi="Times New Roman" w:cs="Times New Roman"/>
          <w:sz w:val="24"/>
          <w:szCs w:val="24"/>
        </w:rPr>
        <w:t>(Boughton 2001: 646-8).</w:t>
      </w:r>
    </w:p>
    <w:p w14:paraId="6F887C0E" w14:textId="77777777" w:rsidR="00955104" w:rsidRDefault="00B302F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not as radical as the US proposal, the PFP process served to embed a relatively deep form of Fund-Bank collaboration. While inter-organisational friction was generated from difference in working styles and differences of judgement</w:t>
      </w:r>
      <w:r w:rsidR="003D76FA">
        <w:rPr>
          <w:rFonts w:ascii="Times New Roman" w:eastAsia="Times New Roman" w:hAnsi="Times New Roman" w:cs="Times New Roman"/>
          <w:sz w:val="24"/>
          <w:szCs w:val="24"/>
        </w:rPr>
        <w:t xml:space="preserve"> on programme design</w:t>
      </w:r>
      <w:r w:rsidR="00E53F7B">
        <w:rPr>
          <w:rFonts w:ascii="Times New Roman" w:eastAsia="Times New Roman" w:hAnsi="Times New Roman" w:cs="Times New Roman"/>
          <w:sz w:val="24"/>
          <w:szCs w:val="24"/>
        </w:rPr>
        <w:t xml:space="preserve">, the process functioned as a mechanism to </w:t>
      </w:r>
      <w:r w:rsidR="003D76FA">
        <w:rPr>
          <w:rFonts w:ascii="Times New Roman" w:eastAsia="Times New Roman" w:hAnsi="Times New Roman" w:cs="Times New Roman"/>
          <w:sz w:val="24"/>
          <w:szCs w:val="24"/>
        </w:rPr>
        <w:t>embed the structured sharing of expertise. It was when, in 1999, the SAF evolved into the Poverty Reduction and Growth Facility</w:t>
      </w:r>
      <w:r w:rsidR="0089273D">
        <w:rPr>
          <w:rFonts w:ascii="Times New Roman" w:eastAsia="Times New Roman" w:hAnsi="Times New Roman" w:cs="Times New Roman"/>
          <w:sz w:val="24"/>
          <w:szCs w:val="24"/>
        </w:rPr>
        <w:t xml:space="preserve"> (PRGF)</w:t>
      </w:r>
      <w:r w:rsidR="003D76FA">
        <w:rPr>
          <w:rFonts w:ascii="Times New Roman" w:eastAsia="Times New Roman" w:hAnsi="Times New Roman" w:cs="Times New Roman"/>
          <w:sz w:val="24"/>
          <w:szCs w:val="24"/>
        </w:rPr>
        <w:t>, that this collaborative endeavour was more firmly anchored towards poverty.</w:t>
      </w:r>
      <w:r w:rsidR="000E57DC">
        <w:rPr>
          <w:rFonts w:ascii="Times New Roman" w:eastAsia="Times New Roman" w:hAnsi="Times New Roman" w:cs="Times New Roman"/>
          <w:sz w:val="24"/>
          <w:szCs w:val="24"/>
        </w:rPr>
        <w:t xml:space="preserve">  </w:t>
      </w:r>
    </w:p>
    <w:p w14:paraId="620C28F5" w14:textId="77777777" w:rsidR="0089273D" w:rsidRDefault="008927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factors are said to have played a decisive role in pushing the Fund into the realm of poverty reduction</w:t>
      </w:r>
      <w:r w:rsidR="006D54EB">
        <w:rPr>
          <w:rFonts w:ascii="Times New Roman" w:eastAsia="Times New Roman" w:hAnsi="Times New Roman" w:cs="Times New Roman"/>
          <w:sz w:val="24"/>
          <w:szCs w:val="24"/>
        </w:rPr>
        <w:t>, albeit with significant personal commitment from the Managing Director</w:t>
      </w:r>
      <w:r>
        <w:rPr>
          <w:rFonts w:ascii="Times New Roman" w:eastAsia="Times New Roman" w:hAnsi="Times New Roman" w:cs="Times New Roman"/>
          <w:sz w:val="24"/>
          <w:szCs w:val="24"/>
        </w:rPr>
        <w:t xml:space="preserve">. </w:t>
      </w:r>
      <w:r w:rsidR="00A61B4C">
        <w:rPr>
          <w:rFonts w:ascii="Times New Roman" w:eastAsia="Times New Roman" w:hAnsi="Times New Roman" w:cs="Times New Roman"/>
          <w:sz w:val="24"/>
          <w:szCs w:val="24"/>
        </w:rPr>
        <w:t>From the mid-1990s, an international alliance of civil society organisations and an increasingly large number of governments had argued that many low-income countries were mired in unsustainable levels of debt, including obligations owed under the ESAF. With leadership from the G7, it was agreed that to receive debt cancellations, heavily indebted low-income countries would be required to demonstrate a commitment to using reso</w:t>
      </w:r>
      <w:r w:rsidR="00D440CF">
        <w:rPr>
          <w:rFonts w:ascii="Times New Roman" w:eastAsia="Times New Roman" w:hAnsi="Times New Roman" w:cs="Times New Roman"/>
          <w:sz w:val="24"/>
          <w:szCs w:val="24"/>
        </w:rPr>
        <w:t>urces released</w:t>
      </w:r>
      <w:r w:rsidR="00E3054F">
        <w:rPr>
          <w:rFonts w:ascii="Times New Roman" w:eastAsia="Times New Roman" w:hAnsi="Times New Roman" w:cs="Times New Roman"/>
          <w:sz w:val="24"/>
          <w:szCs w:val="24"/>
        </w:rPr>
        <w:t xml:space="preserve"> by debt cancellation</w:t>
      </w:r>
      <w:r w:rsidR="00D440CF">
        <w:rPr>
          <w:rFonts w:ascii="Times New Roman" w:eastAsia="Times New Roman" w:hAnsi="Times New Roman" w:cs="Times New Roman"/>
          <w:sz w:val="24"/>
          <w:szCs w:val="24"/>
        </w:rPr>
        <w:t xml:space="preserve"> to accelerate</w:t>
      </w:r>
      <w:r w:rsidR="00A61B4C">
        <w:rPr>
          <w:rFonts w:ascii="Times New Roman" w:eastAsia="Times New Roman" w:hAnsi="Times New Roman" w:cs="Times New Roman"/>
          <w:sz w:val="24"/>
          <w:szCs w:val="24"/>
        </w:rPr>
        <w:t xml:space="preserve"> poverty reduction. The mechanism </w:t>
      </w:r>
      <w:r w:rsidR="00D440CF">
        <w:rPr>
          <w:rFonts w:ascii="Times New Roman" w:eastAsia="Times New Roman" w:hAnsi="Times New Roman" w:cs="Times New Roman"/>
          <w:sz w:val="24"/>
          <w:szCs w:val="24"/>
        </w:rPr>
        <w:t xml:space="preserve">to achieve this was the Poverty Reduction Strategy Paper (PRSP) process; the indebted country was to produce a PRSP outlining priorities and policy objectives to support poverty reduction, and with Fund and Bank ‘sign-off’ the Paper then activated </w:t>
      </w:r>
      <w:r w:rsidR="006D54EB">
        <w:rPr>
          <w:rFonts w:ascii="Times New Roman" w:eastAsia="Times New Roman" w:hAnsi="Times New Roman" w:cs="Times New Roman"/>
          <w:sz w:val="24"/>
          <w:szCs w:val="24"/>
        </w:rPr>
        <w:t>a debt write-down</w:t>
      </w:r>
      <w:r w:rsidR="00A97B84">
        <w:rPr>
          <w:rFonts w:ascii="Times New Roman" w:eastAsia="Times New Roman" w:hAnsi="Times New Roman" w:cs="Times New Roman"/>
          <w:sz w:val="24"/>
          <w:szCs w:val="24"/>
        </w:rPr>
        <w:t xml:space="preserve">. Having a PRSP in place was made a </w:t>
      </w:r>
      <w:r w:rsidR="00A97B84">
        <w:rPr>
          <w:rFonts w:ascii="Times New Roman" w:eastAsia="Times New Roman" w:hAnsi="Times New Roman" w:cs="Times New Roman"/>
          <w:sz w:val="24"/>
          <w:szCs w:val="24"/>
        </w:rPr>
        <w:lastRenderedPageBreak/>
        <w:t xml:space="preserve">condition of contracting new borrowing under the PRGF, with </w:t>
      </w:r>
      <w:r w:rsidR="0066739A">
        <w:rPr>
          <w:rFonts w:ascii="Times New Roman" w:eastAsia="Times New Roman" w:hAnsi="Times New Roman" w:cs="Times New Roman"/>
          <w:sz w:val="24"/>
          <w:szCs w:val="24"/>
        </w:rPr>
        <w:t xml:space="preserve">an intention that </w:t>
      </w:r>
      <w:r w:rsidR="00A97B84">
        <w:rPr>
          <w:rFonts w:ascii="Times New Roman" w:eastAsia="Times New Roman" w:hAnsi="Times New Roman" w:cs="Times New Roman"/>
          <w:sz w:val="24"/>
          <w:szCs w:val="24"/>
        </w:rPr>
        <w:t xml:space="preserve">formal conditionality for the PRGF loan </w:t>
      </w:r>
      <w:r w:rsidR="0066739A">
        <w:rPr>
          <w:rFonts w:ascii="Times New Roman" w:eastAsia="Times New Roman" w:hAnsi="Times New Roman" w:cs="Times New Roman"/>
          <w:sz w:val="24"/>
          <w:szCs w:val="24"/>
        </w:rPr>
        <w:t>be drawn from PRSP content</w:t>
      </w:r>
      <w:r w:rsidR="006D54EB">
        <w:rPr>
          <w:rFonts w:ascii="Times New Roman" w:eastAsia="Times New Roman" w:hAnsi="Times New Roman" w:cs="Times New Roman"/>
          <w:sz w:val="24"/>
          <w:szCs w:val="24"/>
        </w:rPr>
        <w:t xml:space="preserve"> (Boughton 2012: 734). </w:t>
      </w:r>
      <w:r w:rsidR="00A61B4C">
        <w:rPr>
          <w:rFonts w:ascii="Times New Roman" w:eastAsia="Times New Roman" w:hAnsi="Times New Roman" w:cs="Times New Roman"/>
          <w:sz w:val="24"/>
          <w:szCs w:val="24"/>
        </w:rPr>
        <w:t xml:space="preserve"> </w:t>
      </w:r>
    </w:p>
    <w:p w14:paraId="078C3339" w14:textId="77777777" w:rsidR="004766A8" w:rsidRDefault="00280BA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PRSP process and launch of the PRGF was designed to support and extend the form of Fund-Bank collaboration that had occurred through PFPs. </w:t>
      </w:r>
      <w:r w:rsidR="00A97B84">
        <w:rPr>
          <w:rFonts w:ascii="Times New Roman" w:eastAsia="Times New Roman" w:hAnsi="Times New Roman" w:cs="Times New Roman"/>
          <w:sz w:val="24"/>
          <w:szCs w:val="24"/>
        </w:rPr>
        <w:t>PRGF guidance noted that</w:t>
      </w:r>
      <w:r w:rsidR="0066739A">
        <w:rPr>
          <w:rFonts w:ascii="Times New Roman" w:eastAsia="Times New Roman" w:hAnsi="Times New Roman" w:cs="Times New Roman"/>
          <w:sz w:val="24"/>
          <w:szCs w:val="24"/>
        </w:rPr>
        <w:t xml:space="preserve"> Fund staff should draw on</w:t>
      </w:r>
      <w:r w:rsidR="00A97B84">
        <w:rPr>
          <w:rFonts w:ascii="Times New Roman" w:eastAsia="Times New Roman" w:hAnsi="Times New Roman" w:cs="Times New Roman"/>
          <w:sz w:val="24"/>
          <w:szCs w:val="24"/>
        </w:rPr>
        <w:t xml:space="preserve"> World Bank </w:t>
      </w:r>
      <w:r w:rsidR="0066739A">
        <w:rPr>
          <w:rFonts w:ascii="Times New Roman" w:eastAsia="Times New Roman" w:hAnsi="Times New Roman" w:cs="Times New Roman"/>
          <w:sz w:val="24"/>
          <w:szCs w:val="24"/>
        </w:rPr>
        <w:t>counterparts’</w:t>
      </w:r>
      <w:r w:rsidR="00A97B84">
        <w:rPr>
          <w:rFonts w:ascii="Times New Roman" w:eastAsia="Times New Roman" w:hAnsi="Times New Roman" w:cs="Times New Roman"/>
          <w:sz w:val="24"/>
          <w:szCs w:val="24"/>
        </w:rPr>
        <w:t xml:space="preserve"> expertise </w:t>
      </w:r>
      <w:r w:rsidR="0066739A">
        <w:rPr>
          <w:rFonts w:ascii="Times New Roman" w:eastAsia="Times New Roman" w:hAnsi="Times New Roman" w:cs="Times New Roman"/>
          <w:sz w:val="24"/>
          <w:szCs w:val="24"/>
        </w:rPr>
        <w:t xml:space="preserve">on poverty reduction and social indicators, when reviewing PRSPs and designing PRGF programmes. Relatively rapidly, however, the depth of operational collaboration settled at a somewhat limited level. With neither institution having sufficient expertise or capacity to explore mechanisms for optimising poverty reduction-impacts from PRGF policy conditions, Fund staff began to draw on ‘social expenditure’ as a favoured proxy measure for poverty reduction. While the specific definition of social expenditure varied from country to country, typically this measure included projected government spending on (aspects of) health and education systems. </w:t>
      </w:r>
      <w:r w:rsidR="0097083E">
        <w:rPr>
          <w:rFonts w:ascii="Times New Roman" w:eastAsia="Times New Roman" w:hAnsi="Times New Roman" w:cs="Times New Roman"/>
          <w:sz w:val="24"/>
          <w:szCs w:val="24"/>
        </w:rPr>
        <w:t xml:space="preserve">Social spending began to feature within PRGF programme documentation from the early 2000s, and was formalised as an expected component of monitored programme conditions from 2009 (Clegg 2014). The social spending measure provided an efficient mechanism for the Fund to ‘do’ poverty reduction, which could be operationalised without the need for deep collaborative work with Bank colleagues on more complex and multidimensional measures of poverty. </w:t>
      </w:r>
    </w:p>
    <w:p w14:paraId="2895BA9F" w14:textId="77777777" w:rsidR="0097083E" w:rsidRDefault="007C12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relatively shallow approach to the Fund’s operationalisation of poverty reduction within its PRGF, institutional engagement with the PRSP process remained variable. Fund staff lacked a sense of engagement with and ownership of the focus on development issues within PRSPs, preferring to prioritise aspects that were more firmly within the bounds of professional expertise</w:t>
      </w:r>
      <w:r w:rsidR="00CF0858">
        <w:rPr>
          <w:rFonts w:ascii="Times New Roman" w:eastAsia="Times New Roman" w:hAnsi="Times New Roman" w:cs="Times New Roman"/>
          <w:sz w:val="24"/>
          <w:szCs w:val="24"/>
        </w:rPr>
        <w:t xml:space="preserve"> (</w:t>
      </w:r>
      <w:proofErr w:type="spellStart"/>
      <w:r w:rsidR="00CF0858">
        <w:rPr>
          <w:rFonts w:ascii="Times New Roman" w:eastAsia="Times New Roman" w:hAnsi="Times New Roman" w:cs="Times New Roman"/>
          <w:sz w:val="24"/>
          <w:szCs w:val="24"/>
        </w:rPr>
        <w:t>Vetterlein</w:t>
      </w:r>
      <w:proofErr w:type="spellEnd"/>
      <w:r w:rsidR="00CF0858">
        <w:rPr>
          <w:rFonts w:ascii="Times New Roman" w:eastAsia="Times New Roman" w:hAnsi="Times New Roman" w:cs="Times New Roman"/>
          <w:sz w:val="24"/>
          <w:szCs w:val="24"/>
        </w:rPr>
        <w:t xml:space="preserve"> 2010: 94-5)</w:t>
      </w:r>
      <w:r>
        <w:rPr>
          <w:rFonts w:ascii="Times New Roman" w:eastAsia="Times New Roman" w:hAnsi="Times New Roman" w:cs="Times New Roman"/>
          <w:sz w:val="24"/>
          <w:szCs w:val="24"/>
        </w:rPr>
        <w:t xml:space="preserve">. </w:t>
      </w:r>
      <w:r w:rsidR="00CF0858">
        <w:rPr>
          <w:rFonts w:ascii="Times New Roman" w:eastAsia="Times New Roman" w:hAnsi="Times New Roman" w:cs="Times New Roman"/>
          <w:sz w:val="24"/>
          <w:szCs w:val="24"/>
        </w:rPr>
        <w:t xml:space="preserve">While joint Fund-Bank evaluations of new PRSPs continued to be required, through the 2000s the profile of PRSPs remained low within the IMF, even amongst staff connected to PRGF lending operations. In 2015, operational changes were introduced that acknowledged and formalised a rolled-back </w:t>
      </w:r>
      <w:r w:rsidR="00E3054F">
        <w:rPr>
          <w:rFonts w:ascii="Times New Roman" w:eastAsia="Times New Roman" w:hAnsi="Times New Roman" w:cs="Times New Roman"/>
          <w:sz w:val="24"/>
          <w:szCs w:val="24"/>
        </w:rPr>
        <w:t>level</w:t>
      </w:r>
      <w:r w:rsidR="00CF0858">
        <w:rPr>
          <w:rFonts w:ascii="Times New Roman" w:eastAsia="Times New Roman" w:hAnsi="Times New Roman" w:cs="Times New Roman"/>
          <w:sz w:val="24"/>
          <w:szCs w:val="24"/>
        </w:rPr>
        <w:t xml:space="preserve"> of Fund-Bank collaboration on poverty reduction. </w:t>
      </w:r>
      <w:r w:rsidR="00B04292">
        <w:rPr>
          <w:rFonts w:ascii="Times New Roman" w:eastAsia="Times New Roman" w:hAnsi="Times New Roman" w:cs="Times New Roman"/>
          <w:sz w:val="24"/>
          <w:szCs w:val="24"/>
        </w:rPr>
        <w:t>Instead of requiring a PRSP with joint Fund-Bank</w:t>
      </w:r>
      <w:r w:rsidR="00E3054F">
        <w:rPr>
          <w:rFonts w:ascii="Times New Roman" w:eastAsia="Times New Roman" w:hAnsi="Times New Roman" w:cs="Times New Roman"/>
          <w:sz w:val="24"/>
          <w:szCs w:val="24"/>
        </w:rPr>
        <w:t xml:space="preserve"> assessment and</w:t>
      </w:r>
      <w:r w:rsidR="00B04292">
        <w:rPr>
          <w:rFonts w:ascii="Times New Roman" w:eastAsia="Times New Roman" w:hAnsi="Times New Roman" w:cs="Times New Roman"/>
          <w:sz w:val="24"/>
          <w:szCs w:val="24"/>
        </w:rPr>
        <w:t xml:space="preserve"> sign-off, countries were required to supply an Economic Development Document (EDD) that was more focused on ‘macro-relevant’ aspects of the country’s underlying poverty reduction strategy. The previous protocol of joint assessment of PRSPs was replaced by a </w:t>
      </w:r>
      <w:r w:rsidR="00E3054F">
        <w:rPr>
          <w:rFonts w:ascii="Times New Roman" w:eastAsia="Times New Roman" w:hAnsi="Times New Roman" w:cs="Times New Roman"/>
          <w:sz w:val="24"/>
          <w:szCs w:val="24"/>
        </w:rPr>
        <w:t xml:space="preserve">clearer </w:t>
      </w:r>
      <w:r w:rsidR="00B04292">
        <w:rPr>
          <w:rFonts w:ascii="Times New Roman" w:eastAsia="Times New Roman" w:hAnsi="Times New Roman" w:cs="Times New Roman"/>
          <w:sz w:val="24"/>
          <w:szCs w:val="24"/>
        </w:rPr>
        <w:t>demarcatio</w:t>
      </w:r>
      <w:r w:rsidR="00CD23DF">
        <w:rPr>
          <w:rFonts w:ascii="Times New Roman" w:eastAsia="Times New Roman" w:hAnsi="Times New Roman" w:cs="Times New Roman"/>
          <w:sz w:val="24"/>
          <w:szCs w:val="24"/>
        </w:rPr>
        <w:t>n of roles and responsibilities.</w:t>
      </w:r>
      <w:r w:rsidR="00B04292">
        <w:rPr>
          <w:rFonts w:ascii="Times New Roman" w:eastAsia="Times New Roman" w:hAnsi="Times New Roman" w:cs="Times New Roman"/>
          <w:sz w:val="24"/>
          <w:szCs w:val="24"/>
        </w:rPr>
        <w:t xml:space="preserve"> </w:t>
      </w:r>
      <w:r w:rsidR="00CD23DF">
        <w:rPr>
          <w:rFonts w:ascii="Times New Roman" w:eastAsia="Times New Roman" w:hAnsi="Times New Roman" w:cs="Times New Roman"/>
          <w:sz w:val="24"/>
          <w:szCs w:val="24"/>
        </w:rPr>
        <w:t>Under the EDD, the Fund staff assessment was presented to the IMF Board, with in parallel</w:t>
      </w:r>
      <w:r w:rsidR="00B04292">
        <w:rPr>
          <w:rFonts w:ascii="Times New Roman" w:eastAsia="Times New Roman" w:hAnsi="Times New Roman" w:cs="Times New Roman"/>
          <w:sz w:val="24"/>
          <w:szCs w:val="24"/>
        </w:rPr>
        <w:t xml:space="preserve"> Bank staff being requested to supply an evaluation of the poverty reduction-related component of the EDD.</w:t>
      </w:r>
      <w:r w:rsidR="00CF0858">
        <w:rPr>
          <w:rFonts w:ascii="Times New Roman" w:eastAsia="Times New Roman" w:hAnsi="Times New Roman" w:cs="Times New Roman"/>
          <w:sz w:val="24"/>
          <w:szCs w:val="24"/>
        </w:rPr>
        <w:t xml:space="preserve"> </w:t>
      </w:r>
      <w:r w:rsidR="00B04292">
        <w:rPr>
          <w:rFonts w:ascii="Times New Roman" w:eastAsia="Times New Roman" w:hAnsi="Times New Roman" w:cs="Times New Roman"/>
          <w:sz w:val="24"/>
          <w:szCs w:val="24"/>
        </w:rPr>
        <w:t xml:space="preserve">For </w:t>
      </w:r>
      <w:proofErr w:type="spellStart"/>
      <w:r w:rsidR="00B04292">
        <w:rPr>
          <w:rFonts w:ascii="Times New Roman" w:eastAsia="Times New Roman" w:hAnsi="Times New Roman" w:cs="Times New Roman"/>
          <w:sz w:val="24"/>
          <w:szCs w:val="24"/>
        </w:rPr>
        <w:t>Kranke</w:t>
      </w:r>
      <w:proofErr w:type="spellEnd"/>
      <w:r w:rsidR="00B04292">
        <w:rPr>
          <w:rFonts w:ascii="Times New Roman" w:eastAsia="Times New Roman" w:hAnsi="Times New Roman" w:cs="Times New Roman"/>
          <w:sz w:val="24"/>
          <w:szCs w:val="24"/>
        </w:rPr>
        <w:t xml:space="preserve"> (2020: 19), these changes to the governing framework for Fund-Bank collaboration on poverty reduction</w:t>
      </w:r>
      <w:r>
        <w:rPr>
          <w:rFonts w:ascii="Times New Roman" w:eastAsia="Times New Roman" w:hAnsi="Times New Roman" w:cs="Times New Roman"/>
          <w:sz w:val="24"/>
          <w:szCs w:val="24"/>
        </w:rPr>
        <w:t xml:space="preserve"> </w:t>
      </w:r>
      <w:r w:rsidR="00B04292">
        <w:rPr>
          <w:rFonts w:ascii="Times New Roman" w:eastAsia="Times New Roman" w:hAnsi="Times New Roman" w:cs="Times New Roman"/>
          <w:sz w:val="24"/>
          <w:szCs w:val="24"/>
        </w:rPr>
        <w:t>led to a ‘more fragmented’ process.</w:t>
      </w:r>
      <w:r>
        <w:rPr>
          <w:rFonts w:ascii="Times New Roman" w:eastAsia="Times New Roman" w:hAnsi="Times New Roman" w:cs="Times New Roman"/>
          <w:sz w:val="24"/>
          <w:szCs w:val="24"/>
        </w:rPr>
        <w:t xml:space="preserve"> </w:t>
      </w:r>
      <w:r w:rsidR="00B04292">
        <w:rPr>
          <w:rFonts w:ascii="Times New Roman" w:eastAsia="Times New Roman" w:hAnsi="Times New Roman" w:cs="Times New Roman"/>
          <w:sz w:val="24"/>
          <w:szCs w:val="24"/>
        </w:rPr>
        <w:t>In the place of the initial ambitions for PRGF programmes and analysis drawing rich World Bank and country-level expertise and understanding of poverty reduction into IMF operational practice, we have a prioritisation by the Fund of a narrow social spending-based operationalisation of poverty reduction</w:t>
      </w:r>
      <w:r w:rsidR="00CD23DF">
        <w:rPr>
          <w:rFonts w:ascii="Times New Roman" w:eastAsia="Times New Roman" w:hAnsi="Times New Roman" w:cs="Times New Roman"/>
          <w:sz w:val="24"/>
          <w:szCs w:val="24"/>
        </w:rPr>
        <w:t>,</w:t>
      </w:r>
      <w:r w:rsidR="00B04292">
        <w:rPr>
          <w:rFonts w:ascii="Times New Roman" w:eastAsia="Times New Roman" w:hAnsi="Times New Roman" w:cs="Times New Roman"/>
          <w:sz w:val="24"/>
          <w:szCs w:val="24"/>
        </w:rPr>
        <w:t xml:space="preserve"> and a rolled-back depth of collaborative practice.</w:t>
      </w:r>
    </w:p>
    <w:p w14:paraId="13251FFC" w14:textId="77777777" w:rsidR="0097083E" w:rsidRDefault="00581B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Turning to the second dimension of sustainable development to be explored t</w:t>
      </w:r>
      <w:r w:rsidR="00D4750F">
        <w:rPr>
          <w:rFonts w:ascii="Times New Roman" w:eastAsia="Times New Roman" w:hAnsi="Times New Roman" w:cs="Times New Roman"/>
          <w:sz w:val="24"/>
          <w:szCs w:val="24"/>
        </w:rPr>
        <w:t>hrough this section, we see</w:t>
      </w:r>
      <w:r>
        <w:rPr>
          <w:rFonts w:ascii="Times New Roman" w:eastAsia="Times New Roman" w:hAnsi="Times New Roman" w:cs="Times New Roman"/>
          <w:sz w:val="24"/>
          <w:szCs w:val="24"/>
        </w:rPr>
        <w:t xml:space="preserve"> limited evidence of operational collaboration and engagement on climate change.</w:t>
      </w:r>
      <w:r w:rsidR="00D4750F">
        <w:rPr>
          <w:rFonts w:ascii="Times New Roman" w:eastAsia="Times New Roman" w:hAnsi="Times New Roman" w:cs="Times New Roman"/>
          <w:sz w:val="24"/>
          <w:szCs w:val="24"/>
        </w:rPr>
        <w:t xml:space="preserve"> This lack of institutionalised collaboration, in part, reflects variation in Fund and Bank engagement with the issue. The World Bank moved earlier and deeper into the realm of climate change adaptation and </w:t>
      </w:r>
      <w:proofErr w:type="gramStart"/>
      <w:r w:rsidR="00D4750F">
        <w:rPr>
          <w:rFonts w:ascii="Times New Roman" w:eastAsia="Times New Roman" w:hAnsi="Times New Roman" w:cs="Times New Roman"/>
          <w:sz w:val="24"/>
          <w:szCs w:val="24"/>
        </w:rPr>
        <w:t>mitigation, and</w:t>
      </w:r>
      <w:proofErr w:type="gramEnd"/>
      <w:r w:rsidR="00D4750F">
        <w:rPr>
          <w:rFonts w:ascii="Times New Roman" w:eastAsia="Times New Roman" w:hAnsi="Times New Roman" w:cs="Times New Roman"/>
          <w:sz w:val="24"/>
          <w:szCs w:val="24"/>
        </w:rPr>
        <w:t xml:space="preserve"> is widely viewed as a leader in green finance innovation by virtue of its role in, from the late-2000s, establishing Green Bonds as mechanisms for raising resources to fund climate supporting projects. In contrast, the IMF has only recently begun to systematise its engagement with the climate change global challenge. </w:t>
      </w:r>
      <w:r w:rsidR="00881DE7">
        <w:rPr>
          <w:rFonts w:ascii="Times New Roman" w:eastAsia="Times New Roman" w:hAnsi="Times New Roman" w:cs="Times New Roman"/>
          <w:sz w:val="24"/>
          <w:szCs w:val="24"/>
        </w:rPr>
        <w:t xml:space="preserve">2021 represented a significant year in this regard, with the publication of the Fund’s </w:t>
      </w:r>
      <w:r w:rsidR="00881DE7" w:rsidRPr="00881DE7">
        <w:rPr>
          <w:rFonts w:ascii="Times New Roman" w:eastAsia="Times New Roman" w:hAnsi="Times New Roman" w:cs="Times New Roman"/>
          <w:sz w:val="24"/>
          <w:szCs w:val="24"/>
        </w:rPr>
        <w:t>Climate Change Strategy</w:t>
      </w:r>
      <w:r w:rsidR="00881DE7">
        <w:rPr>
          <w:rFonts w:ascii="Times New Roman" w:eastAsia="Times New Roman" w:hAnsi="Times New Roman" w:cs="Times New Roman"/>
          <w:sz w:val="24"/>
          <w:szCs w:val="24"/>
        </w:rPr>
        <w:t xml:space="preserve">. The Strategy was candid in noting that, while the organisation had been engaged in debate over </w:t>
      </w:r>
      <w:r w:rsidR="00881DE7">
        <w:rPr>
          <w:rFonts w:ascii="Times New Roman" w:eastAsia="Times New Roman" w:hAnsi="Times New Roman" w:cs="Times New Roman"/>
          <w:sz w:val="24"/>
          <w:szCs w:val="24"/>
        </w:rPr>
        <w:lastRenderedPageBreak/>
        <w:t xml:space="preserve">responses to climate change for some time, operational engagement to date had remained ‘mostly ad hoc and unstructured’ (IMF 2021: 6). </w:t>
      </w:r>
      <w:r w:rsidR="00D4750F">
        <w:rPr>
          <w:rFonts w:ascii="Times New Roman" w:eastAsia="Times New Roman" w:hAnsi="Times New Roman" w:cs="Times New Roman"/>
          <w:sz w:val="24"/>
          <w:szCs w:val="24"/>
        </w:rPr>
        <w:t xml:space="preserve"> </w:t>
      </w:r>
    </w:p>
    <w:p w14:paraId="1248BF32" w14:textId="77777777" w:rsidR="00697B5B" w:rsidRDefault="004C12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move to institutionalise IMF-World Bank collaboration on climate change came in 2016, in the context of </w:t>
      </w:r>
      <w:r w:rsidR="00BF16D9">
        <w:rPr>
          <w:rFonts w:ascii="Times New Roman" w:eastAsia="Times New Roman" w:hAnsi="Times New Roman" w:cs="Times New Roman"/>
          <w:sz w:val="24"/>
          <w:szCs w:val="24"/>
        </w:rPr>
        <w:t xml:space="preserve">Executive Board </w:t>
      </w:r>
      <w:r>
        <w:rPr>
          <w:rFonts w:ascii="Times New Roman" w:eastAsia="Times New Roman" w:hAnsi="Times New Roman" w:cs="Times New Roman"/>
          <w:sz w:val="24"/>
          <w:szCs w:val="24"/>
        </w:rPr>
        <w:t xml:space="preserve">discussions of support on offer to </w:t>
      </w:r>
      <w:r w:rsidR="00EA54FD">
        <w:rPr>
          <w:rFonts w:ascii="Times New Roman" w:eastAsia="Times New Roman" w:hAnsi="Times New Roman" w:cs="Times New Roman"/>
          <w:sz w:val="24"/>
          <w:szCs w:val="24"/>
        </w:rPr>
        <w:t xml:space="preserve">small states with high vulnerability to the impacts of climate change. To </w:t>
      </w:r>
      <w:r w:rsidR="00283705">
        <w:rPr>
          <w:rFonts w:ascii="Times New Roman" w:eastAsia="Times New Roman" w:hAnsi="Times New Roman" w:cs="Times New Roman"/>
          <w:sz w:val="24"/>
          <w:szCs w:val="24"/>
        </w:rPr>
        <w:t>provide more systematic assistance and advice to this cohort, a joint Fund-Bank</w:t>
      </w:r>
      <w:r>
        <w:rPr>
          <w:rFonts w:ascii="Times New Roman" w:eastAsia="Times New Roman" w:hAnsi="Times New Roman" w:cs="Times New Roman"/>
          <w:sz w:val="24"/>
          <w:szCs w:val="24"/>
        </w:rPr>
        <w:t xml:space="preserve"> Climate Change Policy Assessment (CCPA)</w:t>
      </w:r>
      <w:r w:rsidR="00283705">
        <w:rPr>
          <w:rFonts w:ascii="Times New Roman" w:eastAsia="Times New Roman" w:hAnsi="Times New Roman" w:cs="Times New Roman"/>
          <w:sz w:val="24"/>
          <w:szCs w:val="24"/>
        </w:rPr>
        <w:t xml:space="preserve"> process was commenced. F</w:t>
      </w:r>
      <w:r w:rsidR="00405649">
        <w:rPr>
          <w:rFonts w:ascii="Times New Roman" w:eastAsia="Times New Roman" w:hAnsi="Times New Roman" w:cs="Times New Roman"/>
          <w:sz w:val="24"/>
          <w:szCs w:val="24"/>
        </w:rPr>
        <w:t>rom 2017-20</w:t>
      </w:r>
      <w:r w:rsidR="00283705">
        <w:rPr>
          <w:rFonts w:ascii="Times New Roman" w:eastAsia="Times New Roman" w:hAnsi="Times New Roman" w:cs="Times New Roman"/>
          <w:sz w:val="24"/>
          <w:szCs w:val="24"/>
        </w:rPr>
        <w:t xml:space="preserve"> a total of six CCPAs were produced by Fund and Bank staff</w:t>
      </w:r>
      <w:r w:rsidR="00405649">
        <w:rPr>
          <w:rFonts w:ascii="Times New Roman" w:eastAsia="Times New Roman" w:hAnsi="Times New Roman" w:cs="Times New Roman"/>
          <w:sz w:val="24"/>
          <w:szCs w:val="24"/>
        </w:rPr>
        <w:t>, with the outputs providing holistic reflection on the extent to which sufficient financing was available for climate adaptation and mitigation plans, climate considerations were incorporated into public expenditure prioritisation, and plans and resources were identified to deal with the physical and financial impacts of climate events</w:t>
      </w:r>
      <w:r w:rsidR="00283705">
        <w:rPr>
          <w:rFonts w:ascii="Times New Roman" w:eastAsia="Times New Roman" w:hAnsi="Times New Roman" w:cs="Times New Roman"/>
          <w:sz w:val="24"/>
          <w:szCs w:val="24"/>
        </w:rPr>
        <w:t>.</w:t>
      </w:r>
      <w:r w:rsidR="00405649">
        <w:rPr>
          <w:rFonts w:ascii="Times New Roman" w:eastAsia="Times New Roman" w:hAnsi="Times New Roman" w:cs="Times New Roman"/>
          <w:sz w:val="24"/>
          <w:szCs w:val="24"/>
        </w:rPr>
        <w:t xml:space="preserve"> </w:t>
      </w:r>
    </w:p>
    <w:p w14:paraId="0BDBA0EE" w14:textId="77777777" w:rsidR="00581B00" w:rsidRDefault="0040564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this initially deep collaboration on climate change, with co-working and co-production of country analyses, there was then a demarcation of roles and roll-back to shallower collaboration. </w:t>
      </w:r>
      <w:r w:rsidR="00697B5B">
        <w:rPr>
          <w:rFonts w:ascii="Times New Roman" w:eastAsia="Times New Roman" w:hAnsi="Times New Roman" w:cs="Times New Roman"/>
          <w:sz w:val="24"/>
          <w:szCs w:val="24"/>
        </w:rPr>
        <w:t xml:space="preserve">The account provided by </w:t>
      </w:r>
      <w:proofErr w:type="spellStart"/>
      <w:r w:rsidR="00697B5B">
        <w:rPr>
          <w:rFonts w:ascii="Times New Roman" w:eastAsia="Times New Roman" w:hAnsi="Times New Roman" w:cs="Times New Roman"/>
          <w:sz w:val="24"/>
          <w:szCs w:val="24"/>
        </w:rPr>
        <w:t>Kentikelenis</w:t>
      </w:r>
      <w:proofErr w:type="spellEnd"/>
      <w:r w:rsidR="00697B5B">
        <w:rPr>
          <w:rFonts w:ascii="Times New Roman" w:eastAsia="Times New Roman" w:hAnsi="Times New Roman" w:cs="Times New Roman"/>
          <w:sz w:val="24"/>
          <w:szCs w:val="24"/>
        </w:rPr>
        <w:t xml:space="preserve"> et al (2022) suggests a close parallel with the FSAP demarcation</w:t>
      </w:r>
      <w:r w:rsidR="00A77816">
        <w:rPr>
          <w:rFonts w:ascii="Times New Roman" w:eastAsia="Times New Roman" w:hAnsi="Times New Roman" w:cs="Times New Roman"/>
          <w:sz w:val="24"/>
          <w:szCs w:val="24"/>
        </w:rPr>
        <w:t xml:space="preserve"> in the late-2000s</w:t>
      </w:r>
      <w:r w:rsidR="00697B5B">
        <w:rPr>
          <w:rFonts w:ascii="Times New Roman" w:eastAsia="Times New Roman" w:hAnsi="Times New Roman" w:cs="Times New Roman"/>
          <w:sz w:val="24"/>
          <w:szCs w:val="24"/>
        </w:rPr>
        <w:t xml:space="preserve">. With FSAP, we saw the Fund attempt to lock financial sector stability within its ambit generating resentment from Bank staff. With climate change, it seems that a Bank attempt to capture primacy on climate change has generated dissatisfaction from Fund staff. The Fund perception, reported by </w:t>
      </w:r>
      <w:proofErr w:type="spellStart"/>
      <w:r w:rsidR="00697B5B">
        <w:rPr>
          <w:rFonts w:ascii="Times New Roman" w:eastAsia="Times New Roman" w:hAnsi="Times New Roman" w:cs="Times New Roman"/>
          <w:sz w:val="24"/>
          <w:szCs w:val="24"/>
        </w:rPr>
        <w:t>Kentikelenis</w:t>
      </w:r>
      <w:proofErr w:type="spellEnd"/>
      <w:r w:rsidR="00697B5B">
        <w:rPr>
          <w:rFonts w:ascii="Times New Roman" w:eastAsia="Times New Roman" w:hAnsi="Times New Roman" w:cs="Times New Roman"/>
          <w:sz w:val="24"/>
          <w:szCs w:val="24"/>
        </w:rPr>
        <w:t xml:space="preserve"> et al (57), was of the Bank rolling out its own product</w:t>
      </w:r>
      <w:r w:rsidR="00006ADD">
        <w:rPr>
          <w:rFonts w:ascii="Times New Roman" w:eastAsia="Times New Roman" w:hAnsi="Times New Roman" w:cs="Times New Roman"/>
          <w:sz w:val="24"/>
          <w:szCs w:val="24"/>
        </w:rPr>
        <w:t xml:space="preserve"> – t</w:t>
      </w:r>
      <w:r w:rsidR="00697B5B">
        <w:rPr>
          <w:rFonts w:ascii="Times New Roman" w:eastAsia="Times New Roman" w:hAnsi="Times New Roman" w:cs="Times New Roman"/>
          <w:sz w:val="24"/>
          <w:szCs w:val="24"/>
        </w:rPr>
        <w:t>he Country Climate and Development Report (CCDR)</w:t>
      </w:r>
      <w:r w:rsidR="00006ADD">
        <w:rPr>
          <w:rFonts w:ascii="Times New Roman" w:eastAsia="Times New Roman" w:hAnsi="Times New Roman" w:cs="Times New Roman"/>
          <w:sz w:val="24"/>
          <w:szCs w:val="24"/>
        </w:rPr>
        <w:t xml:space="preserve"> –</w:t>
      </w:r>
      <w:r w:rsidR="00697B5B">
        <w:rPr>
          <w:rFonts w:ascii="Times New Roman" w:eastAsia="Times New Roman" w:hAnsi="Times New Roman" w:cs="Times New Roman"/>
          <w:sz w:val="24"/>
          <w:szCs w:val="24"/>
        </w:rPr>
        <w:t xml:space="preserve"> that stepped onto the CCPA turf.</w:t>
      </w:r>
      <w:r w:rsidR="00697B5B">
        <w:rPr>
          <w:rStyle w:val="FootnoteReference"/>
          <w:rFonts w:ascii="Times New Roman" w:eastAsia="Times New Roman" w:hAnsi="Times New Roman" w:cs="Times New Roman"/>
          <w:sz w:val="24"/>
          <w:szCs w:val="24"/>
        </w:rPr>
        <w:footnoteReference w:id="8"/>
      </w:r>
      <w:r w:rsidR="00697B5B">
        <w:rPr>
          <w:rFonts w:ascii="Times New Roman" w:eastAsia="Times New Roman" w:hAnsi="Times New Roman" w:cs="Times New Roman"/>
          <w:sz w:val="24"/>
          <w:szCs w:val="24"/>
        </w:rPr>
        <w:t xml:space="preserve"> </w:t>
      </w:r>
      <w:r w:rsidR="00475DB7">
        <w:rPr>
          <w:rFonts w:ascii="Times New Roman" w:eastAsia="Times New Roman" w:hAnsi="Times New Roman" w:cs="Times New Roman"/>
          <w:sz w:val="24"/>
          <w:szCs w:val="24"/>
        </w:rPr>
        <w:t xml:space="preserve">The Climate Macroeconomic Assessment Programme (CMAP) was launched by the Fund as a tool to continue to develop analyses of climate vulnerable member states’ capacity and preparedness, with the intention that a new analytic toolkit will support the more systematic focus on such issues within </w:t>
      </w:r>
      <w:r w:rsidR="00F5010F">
        <w:rPr>
          <w:rFonts w:ascii="Times New Roman" w:eastAsia="Times New Roman" w:hAnsi="Times New Roman" w:cs="Times New Roman"/>
          <w:sz w:val="24"/>
          <w:szCs w:val="24"/>
        </w:rPr>
        <w:t>the Fund’s wider work</w:t>
      </w:r>
      <w:r w:rsidR="00520E07">
        <w:rPr>
          <w:rFonts w:ascii="Times New Roman" w:eastAsia="Times New Roman" w:hAnsi="Times New Roman" w:cs="Times New Roman"/>
          <w:sz w:val="24"/>
          <w:szCs w:val="24"/>
        </w:rPr>
        <w:t xml:space="preserve"> (IMF 2021b)</w:t>
      </w:r>
      <w:r w:rsidR="00475DB7">
        <w:rPr>
          <w:rFonts w:ascii="Times New Roman" w:eastAsia="Times New Roman" w:hAnsi="Times New Roman" w:cs="Times New Roman"/>
          <w:sz w:val="24"/>
          <w:szCs w:val="24"/>
        </w:rPr>
        <w:t>.</w:t>
      </w:r>
      <w:r w:rsidR="00283705">
        <w:rPr>
          <w:rFonts w:ascii="Times New Roman" w:eastAsia="Times New Roman" w:hAnsi="Times New Roman" w:cs="Times New Roman"/>
          <w:sz w:val="24"/>
          <w:szCs w:val="24"/>
        </w:rPr>
        <w:t xml:space="preserve"> </w:t>
      </w:r>
    </w:p>
    <w:p w14:paraId="03B9940B" w14:textId="77777777" w:rsidR="00F5010F" w:rsidRPr="00F5010F" w:rsidRDefault="00F5010F" w:rsidP="00F5010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the </w:t>
      </w:r>
      <w:r w:rsidR="00EB1DD4">
        <w:rPr>
          <w:rFonts w:ascii="Times New Roman" w:eastAsia="Times New Roman" w:hAnsi="Times New Roman" w:cs="Times New Roman"/>
          <w:sz w:val="24"/>
          <w:szCs w:val="24"/>
        </w:rPr>
        <w:t>interrupted</w:t>
      </w:r>
      <w:r>
        <w:rPr>
          <w:rFonts w:ascii="Times New Roman" w:eastAsia="Times New Roman" w:hAnsi="Times New Roman" w:cs="Times New Roman"/>
          <w:sz w:val="24"/>
          <w:szCs w:val="24"/>
        </w:rPr>
        <w:t xml:space="preserve"> experiment with CCPA, evidence of collaborative Fund-Bank engagement on climate change in other operational areas is limited. Turning back to FSAP, for example, we see from Ramos et al (2022: 371)</w:t>
      </w:r>
      <w:r w:rsidRPr="00F5010F">
        <w:rPr>
          <w:rFonts w:ascii="Times New Roman" w:eastAsia="Times New Roman" w:hAnsi="Times New Roman" w:cs="Times New Roman"/>
          <w:sz w:val="24"/>
          <w:szCs w:val="24"/>
        </w:rPr>
        <w:t xml:space="preserve"> that ‘little and uneven’ attention has been paid to climate risks facing member states</w:t>
      </w:r>
      <w:r>
        <w:rPr>
          <w:rFonts w:ascii="Times New Roman" w:eastAsia="Times New Roman" w:hAnsi="Times New Roman" w:cs="Times New Roman"/>
          <w:sz w:val="24"/>
          <w:szCs w:val="24"/>
        </w:rPr>
        <w:t xml:space="preserve"> through Bank and Fund analyses of sectoral performance and risks</w:t>
      </w:r>
      <w:r w:rsidRPr="00F50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overall </w:t>
      </w:r>
      <w:r w:rsidRPr="00F5010F">
        <w:rPr>
          <w:rFonts w:ascii="Times New Roman" w:eastAsia="Times New Roman" w:hAnsi="Times New Roman" w:cs="Times New Roman"/>
          <w:sz w:val="24"/>
          <w:szCs w:val="24"/>
        </w:rPr>
        <w:t>finding</w:t>
      </w:r>
      <w:r>
        <w:rPr>
          <w:rFonts w:ascii="Times New Roman" w:eastAsia="Times New Roman" w:hAnsi="Times New Roman" w:cs="Times New Roman"/>
          <w:sz w:val="24"/>
          <w:szCs w:val="24"/>
        </w:rPr>
        <w:t xml:space="preserve"> from Ramos et al was that, almost without exception,</w:t>
      </w:r>
      <w:r w:rsidRPr="00F5010F">
        <w:rPr>
          <w:rFonts w:ascii="Times New Roman" w:eastAsia="Times New Roman" w:hAnsi="Times New Roman" w:cs="Times New Roman"/>
          <w:sz w:val="24"/>
          <w:szCs w:val="24"/>
        </w:rPr>
        <w:t xml:space="preserve"> FSAPs failed to engage with climate change in significant detail.</w:t>
      </w:r>
      <w:r>
        <w:rPr>
          <w:rFonts w:ascii="Times New Roman" w:eastAsia="Times New Roman" w:hAnsi="Times New Roman" w:cs="Times New Roman"/>
          <w:sz w:val="24"/>
          <w:szCs w:val="24"/>
        </w:rPr>
        <w:t xml:space="preserve"> </w:t>
      </w:r>
      <w:r w:rsidRPr="00F5010F">
        <w:rPr>
          <w:rFonts w:ascii="Times New Roman" w:eastAsia="Times New Roman" w:hAnsi="Times New Roman" w:cs="Times New Roman"/>
          <w:sz w:val="24"/>
          <w:szCs w:val="24"/>
        </w:rPr>
        <w:t xml:space="preserve">Building from Ramos et </w:t>
      </w:r>
      <w:proofErr w:type="spellStart"/>
      <w:r w:rsidRPr="00F5010F">
        <w:rPr>
          <w:rFonts w:ascii="Times New Roman" w:eastAsia="Times New Roman" w:hAnsi="Times New Roman" w:cs="Times New Roman"/>
          <w:sz w:val="24"/>
          <w:szCs w:val="24"/>
        </w:rPr>
        <w:t>al’s</w:t>
      </w:r>
      <w:proofErr w:type="spellEnd"/>
      <w:r w:rsidRPr="00F5010F">
        <w:rPr>
          <w:rFonts w:ascii="Times New Roman" w:eastAsia="Times New Roman" w:hAnsi="Times New Roman" w:cs="Times New Roman"/>
          <w:sz w:val="24"/>
          <w:szCs w:val="24"/>
        </w:rPr>
        <w:t xml:space="preserve"> work, I have assessed the most recent FSAPs produced for the ‘V20’ cohort, a collection of around 40 member states of the Fund and Bank with high levels of vulnerability to climate change. Given this shared climate change vulnerability, the V20 can be seen to represent a ‘most likely’ case study in which we would expect to find reflection on the links between financial system and climate change adaptation and mitigation within FSAP evaluations. In line with Ramos et </w:t>
      </w:r>
      <w:proofErr w:type="spellStart"/>
      <w:r w:rsidRPr="00F5010F">
        <w:rPr>
          <w:rFonts w:ascii="Times New Roman" w:eastAsia="Times New Roman" w:hAnsi="Times New Roman" w:cs="Times New Roman"/>
          <w:sz w:val="24"/>
          <w:szCs w:val="24"/>
        </w:rPr>
        <w:t>al’s</w:t>
      </w:r>
      <w:proofErr w:type="spellEnd"/>
      <w:r w:rsidRPr="00F5010F">
        <w:rPr>
          <w:rFonts w:ascii="Times New Roman" w:eastAsia="Times New Roman" w:hAnsi="Times New Roman" w:cs="Times New Roman"/>
          <w:sz w:val="24"/>
          <w:szCs w:val="24"/>
        </w:rPr>
        <w:t xml:space="preserve"> findings, a consideration of climate change was almost entirely absent across V20 FSAP documentation. </w:t>
      </w:r>
      <w:r>
        <w:rPr>
          <w:rFonts w:ascii="Times New Roman" w:eastAsia="Times New Roman" w:hAnsi="Times New Roman" w:cs="Times New Roman"/>
          <w:sz w:val="24"/>
          <w:szCs w:val="24"/>
        </w:rPr>
        <w:t>O</w:t>
      </w:r>
      <w:r w:rsidRPr="00F5010F">
        <w:rPr>
          <w:rFonts w:ascii="Times New Roman" w:eastAsia="Times New Roman" w:hAnsi="Times New Roman" w:cs="Times New Roman"/>
          <w:sz w:val="24"/>
          <w:szCs w:val="24"/>
        </w:rPr>
        <w:t>f the 16 countries for whom completed FSAP documentation was available, climate change was noted in just one case. This exception is provided by the Philippines FSAP, which included evaluations of both the threat to financial system stability from climate change, and mechanisms available to incorporate a focus on such climate change-driven risk into supervisory principles and practices (IMF-World Bank 2021: 19-21, 28-30). While the sparsity of engagement with climate change across vulnerable countries’ FSAPs is striking,</w:t>
      </w:r>
      <w:r>
        <w:rPr>
          <w:rFonts w:ascii="Times New Roman" w:eastAsia="Times New Roman" w:hAnsi="Times New Roman" w:cs="Times New Roman"/>
          <w:sz w:val="24"/>
          <w:szCs w:val="24"/>
        </w:rPr>
        <w:t xml:space="preserve"> documentation was typically completed several years ago.</w:t>
      </w:r>
      <w:r w:rsidRPr="00F50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Philippines FSAP, with its notable engagement with climate change, </w:t>
      </w:r>
      <w:r w:rsidR="00EB1DD4">
        <w:rPr>
          <w:rFonts w:ascii="Times New Roman" w:eastAsia="Times New Roman" w:hAnsi="Times New Roman" w:cs="Times New Roman"/>
          <w:sz w:val="24"/>
          <w:szCs w:val="24"/>
        </w:rPr>
        <w:t xml:space="preserve">is the most recently-completed V20 FSAP, and it </w:t>
      </w:r>
      <w:r>
        <w:rPr>
          <w:rFonts w:ascii="Times New Roman" w:eastAsia="Times New Roman" w:hAnsi="Times New Roman" w:cs="Times New Roman"/>
          <w:sz w:val="24"/>
          <w:szCs w:val="24"/>
        </w:rPr>
        <w:lastRenderedPageBreak/>
        <w:t xml:space="preserve">remains possible </w:t>
      </w:r>
      <w:r w:rsidR="00EB1DD4">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FSAP </w:t>
      </w:r>
      <w:r w:rsidR="00EB1DD4">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function as a mechanism that, through its structured but shallow collaborative, supports enhanced focus on climate change over time.</w:t>
      </w:r>
    </w:p>
    <w:p w14:paraId="01712BB6" w14:textId="77777777" w:rsidR="00752B71" w:rsidRDefault="00EB1DD4"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5712">
        <w:rPr>
          <w:rFonts w:ascii="Times New Roman" w:eastAsia="Times New Roman" w:hAnsi="Times New Roman" w:cs="Times New Roman"/>
          <w:sz w:val="24"/>
          <w:szCs w:val="24"/>
        </w:rPr>
        <w:t>urning</w:t>
      </w:r>
      <w:r>
        <w:rPr>
          <w:rFonts w:ascii="Times New Roman" w:eastAsia="Times New Roman" w:hAnsi="Times New Roman" w:cs="Times New Roman"/>
          <w:sz w:val="24"/>
          <w:szCs w:val="24"/>
        </w:rPr>
        <w:t xml:space="preserve"> to wider developments across the institutions, </w:t>
      </w:r>
      <w:r w:rsidR="00752B71">
        <w:rPr>
          <w:rFonts w:ascii="Times New Roman" w:eastAsia="Times New Roman" w:hAnsi="Times New Roman" w:cs="Times New Roman"/>
          <w:sz w:val="24"/>
          <w:szCs w:val="24"/>
        </w:rPr>
        <w:t xml:space="preserve">there is some evidence of strengthening </w:t>
      </w:r>
      <w:r>
        <w:rPr>
          <w:rFonts w:ascii="Times New Roman" w:eastAsia="Times New Roman" w:hAnsi="Times New Roman" w:cs="Times New Roman"/>
          <w:sz w:val="24"/>
          <w:szCs w:val="24"/>
        </w:rPr>
        <w:t xml:space="preserve">climate change </w:t>
      </w:r>
      <w:r w:rsidR="00752B71">
        <w:rPr>
          <w:rFonts w:ascii="Times New Roman" w:eastAsia="Times New Roman" w:hAnsi="Times New Roman" w:cs="Times New Roman"/>
          <w:sz w:val="24"/>
          <w:szCs w:val="24"/>
        </w:rPr>
        <w:t>focus</w:t>
      </w:r>
      <w:r>
        <w:rPr>
          <w:rFonts w:ascii="Times New Roman" w:eastAsia="Times New Roman" w:hAnsi="Times New Roman" w:cs="Times New Roman"/>
          <w:sz w:val="24"/>
          <w:szCs w:val="24"/>
        </w:rPr>
        <w:t xml:space="preserve"> that may support future collaboration</w:t>
      </w:r>
      <w:r w:rsidR="007431BA">
        <w:rPr>
          <w:rFonts w:ascii="Times New Roman" w:eastAsia="Times New Roman" w:hAnsi="Times New Roman" w:cs="Times New Roman"/>
          <w:sz w:val="24"/>
          <w:szCs w:val="24"/>
        </w:rPr>
        <w:t xml:space="preserve">. </w:t>
      </w:r>
      <w:r w:rsidR="00752B71">
        <w:rPr>
          <w:rFonts w:ascii="Times New Roman" w:eastAsia="Times New Roman" w:hAnsi="Times New Roman" w:cs="Times New Roman"/>
          <w:sz w:val="24"/>
          <w:szCs w:val="24"/>
        </w:rPr>
        <w:t xml:space="preserve">Recent </w:t>
      </w:r>
      <w:r w:rsidR="007431BA">
        <w:rPr>
          <w:rFonts w:ascii="Times New Roman" w:eastAsia="Times New Roman" w:hAnsi="Times New Roman" w:cs="Times New Roman"/>
          <w:sz w:val="24"/>
          <w:szCs w:val="24"/>
        </w:rPr>
        <w:t xml:space="preserve">IMF Article IV Reports, in which Fund staff present analysis of the main country features and risks of relevance to macroeconomic stability, provide a useful output through which to gauge the extent to which climate change has been mainstreamed into core operations. </w:t>
      </w:r>
      <w:r>
        <w:rPr>
          <w:rFonts w:ascii="Times New Roman" w:eastAsia="Times New Roman" w:hAnsi="Times New Roman" w:cs="Times New Roman"/>
          <w:sz w:val="24"/>
          <w:szCs w:val="24"/>
        </w:rPr>
        <w:t>In relation to the V20 cohort, we see that whereas</w:t>
      </w:r>
      <w:r w:rsidR="00752B71">
        <w:rPr>
          <w:rFonts w:ascii="Times New Roman" w:eastAsia="Times New Roman" w:hAnsi="Times New Roman" w:cs="Times New Roman"/>
          <w:sz w:val="24"/>
          <w:szCs w:val="24"/>
        </w:rPr>
        <w:t xml:space="preserve"> across 2018 and 2019 only around half of V20 Article IVs mentioned climate change, those completed in 2022 and 2021 all include some engagement with the topic (Figure 1). This pattern of change coincides with institutional reform at the Fund, which saw in 2020 the creation of a Deputy Director for Climate Change within SPRD and the completion of staff guidance on climate change soon </w:t>
      </w:r>
      <w:r>
        <w:rPr>
          <w:rFonts w:ascii="Times New Roman" w:eastAsia="Times New Roman" w:hAnsi="Times New Roman" w:cs="Times New Roman"/>
          <w:sz w:val="24"/>
          <w:szCs w:val="24"/>
        </w:rPr>
        <w:t>thereafter</w:t>
      </w:r>
      <w:r w:rsidR="00752B71">
        <w:rPr>
          <w:rFonts w:ascii="Times New Roman" w:eastAsia="Times New Roman" w:hAnsi="Times New Roman" w:cs="Times New Roman"/>
          <w:sz w:val="24"/>
          <w:szCs w:val="24"/>
        </w:rPr>
        <w:t xml:space="preserve"> (IMF 2021b: 13). This pattern of change </w:t>
      </w:r>
      <w:r>
        <w:rPr>
          <w:rFonts w:ascii="Times New Roman" w:eastAsia="Times New Roman" w:hAnsi="Times New Roman" w:cs="Times New Roman"/>
          <w:sz w:val="24"/>
          <w:szCs w:val="24"/>
        </w:rPr>
        <w:t xml:space="preserve">at the Fund </w:t>
      </w:r>
      <w:r w:rsidR="00752B71">
        <w:rPr>
          <w:rFonts w:ascii="Times New Roman" w:eastAsia="Times New Roman" w:hAnsi="Times New Roman" w:cs="Times New Roman"/>
          <w:sz w:val="24"/>
          <w:szCs w:val="24"/>
        </w:rPr>
        <w:t xml:space="preserve">being linked to SPRD adheres with patterns observed with other operational shifts within the organisation (e.g. </w:t>
      </w:r>
      <w:proofErr w:type="spellStart"/>
      <w:r w:rsidR="00752B71">
        <w:rPr>
          <w:rFonts w:ascii="Times New Roman" w:eastAsia="Times New Roman" w:hAnsi="Times New Roman" w:cs="Times New Roman"/>
          <w:sz w:val="24"/>
          <w:szCs w:val="24"/>
        </w:rPr>
        <w:t>Vetterlein</w:t>
      </w:r>
      <w:proofErr w:type="spellEnd"/>
      <w:r w:rsidR="00752B71">
        <w:rPr>
          <w:rFonts w:ascii="Times New Roman" w:eastAsia="Times New Roman" w:hAnsi="Times New Roman" w:cs="Times New Roman"/>
          <w:sz w:val="24"/>
          <w:szCs w:val="24"/>
        </w:rPr>
        <w:t xml:space="preserve"> and Park 2010, Clegg 2014).</w:t>
      </w:r>
    </w:p>
    <w:p w14:paraId="6DA6A40E"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to the detail of Article IV engagements with climate change, we again see a picture of increased climate focus over time. The majority of the V20 Article IV Reports include only a handful of mentions of climate change, typically noting vulnerabilities to increasingly extreme weather events without necessarily exploring mechanisms to catalyse adaptation or mitigation in detail. However, in a small number of the more recent Article IVs, we see extensive engagement with climate change. Specially, nine Article IVs had over 20 references to climate change, with five having over 30 (Figure 2). In this latter grouping, we see Comoros (completed in 2021), Costa Rica (2021), Marshall Islands (2021), Palau (2021), and Vanuatu (2021). This clustering of the most extensive engagement with climate change in the most recent year for which data is available reinforces this view of an ongoing transformation at the Fund coming in the wake of institutional change within SPRD. </w:t>
      </w:r>
    </w:p>
    <w:p w14:paraId="2CF09D1B" w14:textId="77777777" w:rsidR="00752B71" w:rsidRDefault="00752B71" w:rsidP="00752B71">
      <w:pPr>
        <w:spacing w:line="240" w:lineRule="auto"/>
        <w:jc w:val="both"/>
        <w:rPr>
          <w:rFonts w:ascii="Times New Roman" w:eastAsia="Times New Roman" w:hAnsi="Times New Roman" w:cs="Times New Roman"/>
          <w:sz w:val="24"/>
          <w:szCs w:val="24"/>
        </w:rPr>
      </w:pPr>
    </w:p>
    <w:p w14:paraId="25C7E91B"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Presence of reference to ‘climate change’ in V20 countries’ IMF Article IV reports (2018-22)</w:t>
      </w:r>
    </w:p>
    <w:p w14:paraId="0146718D"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76A586" wp14:editId="3CB8C73E">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7EDF4E" w14:textId="77777777" w:rsidR="00752B71" w:rsidRDefault="00752B71" w:rsidP="00752B71">
      <w:pPr>
        <w:spacing w:line="240" w:lineRule="auto"/>
        <w:jc w:val="both"/>
        <w:rPr>
          <w:rFonts w:ascii="Times New Roman" w:eastAsia="Times New Roman" w:hAnsi="Times New Roman" w:cs="Times New Roman"/>
          <w:sz w:val="24"/>
          <w:szCs w:val="24"/>
        </w:rPr>
      </w:pPr>
    </w:p>
    <w:p w14:paraId="4C4965D7"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2: Number of references to ‘climate change’ in V20 countries’ IMF Article IV reports (2018-22)</w:t>
      </w:r>
    </w:p>
    <w:p w14:paraId="36D4B86A"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C06CE5" wp14:editId="4C1E38B9">
            <wp:extent cx="4923693" cy="2866292"/>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B383CA"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Author’s analysis of IMF Article IV reports.</w:t>
      </w:r>
    </w:p>
    <w:p w14:paraId="16D3A896" w14:textId="77777777" w:rsidR="00752B71" w:rsidRDefault="00752B71" w:rsidP="00752B71">
      <w:pPr>
        <w:spacing w:line="240" w:lineRule="auto"/>
        <w:jc w:val="both"/>
        <w:rPr>
          <w:rFonts w:ascii="Times New Roman" w:eastAsia="Times New Roman" w:hAnsi="Times New Roman" w:cs="Times New Roman"/>
          <w:sz w:val="24"/>
          <w:szCs w:val="24"/>
        </w:rPr>
      </w:pPr>
    </w:p>
    <w:p w14:paraId="50F751EA"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examining the substantive content of the V20 Article IV reports, we see that within the more recent reports commentary on the intersection of climate change and macroeconomic factors is provided by Fund staff in a thematic Annex (‘Climate Adaptation and Finance Issues’). Across the V20 cohort, a common message from these thematic Annexes relates to the insufficiency of available funds to support climate adaptation, and the necessity for additional grants and concessional lending from multilateral and bilateral sources. While there is often a limited integration of the climate change focus into the main body of the Article IV report, the need to protect and expand climate change-related spending prioritise is typically commented on. These shifts in Article IV content, then, suggest a belated extension of the Fund’s engagement with climate change. However, as the Fund’s own evaluations acknowledge, institutional expertise in the area remains limited (IMF 2021a: 23). While the Fund’s engagement with climate change in Article IV reports has been embedded, substantively it remains somewhat shallow.</w:t>
      </w:r>
    </w:p>
    <w:p w14:paraId="3B0E6C87"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to the recentness of the IMF’s extension of its turn towards climate change, across at the World Bank we see evidence of an earlier and broader engagement with the issue. At the Bank, project and technical assistance portfolios are coordinated around Country Partnership Strategies (CPS), which as well as outlining development priorities provide overviews of countries’ socio-economic outcomes and performance. Given functional similarities to the IMF Article IV reports considered above, I focus on this CPS documentation to assess parallel climate change engagement at the Bank, again considering the V20 cohort. By doing so, institutional differences between the Fund and Bank are clear. Whereas a significant proportion of the Fund’s earlier Article IVs neglected to mention climate change, we see that all CPSs include such content, and typically the level of engagement was relatively extensive (Figure 3).  This CPS documentation commonly provides information about Bank support for required </w:t>
      </w:r>
      <w:r>
        <w:rPr>
          <w:rFonts w:ascii="Times New Roman" w:eastAsia="Times New Roman" w:hAnsi="Times New Roman" w:cs="Times New Roman"/>
          <w:sz w:val="24"/>
          <w:szCs w:val="24"/>
        </w:rPr>
        <w:lastRenderedPageBreak/>
        <w:t>adaptations to address increasingly extreme weather events, and to support countries’ efforts to deliver Nationally Determined Contributions to overall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reductions goals.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33664DD0"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76C3E513"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Number of references to ‘climate change’ in V20 countries’ World Bank Country Partnership Strategies (2016-22)</w:t>
      </w:r>
    </w:p>
    <w:p w14:paraId="5437F2CD" w14:textId="77777777" w:rsidR="00752B71" w:rsidRDefault="00752B71" w:rsidP="00752B7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72FF80" wp14:editId="5CC0B9B9">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6A87B4" w14:textId="77777777" w:rsidR="00034FB5" w:rsidRDefault="00F45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then, </w:t>
      </w:r>
      <w:r w:rsidR="00576868">
        <w:rPr>
          <w:rFonts w:ascii="Times New Roman" w:eastAsia="Times New Roman" w:hAnsi="Times New Roman" w:cs="Times New Roman"/>
          <w:sz w:val="24"/>
          <w:szCs w:val="24"/>
        </w:rPr>
        <w:t xml:space="preserve">to shed light on IMF-World Bank collaboration on sustainable development, I have focused particularly on operational approaches to poverty reduction and climate change. </w:t>
      </w:r>
      <w:r w:rsidR="00121CA6">
        <w:rPr>
          <w:rFonts w:ascii="Times New Roman" w:eastAsia="Times New Roman" w:hAnsi="Times New Roman" w:cs="Times New Roman"/>
          <w:sz w:val="24"/>
          <w:szCs w:val="24"/>
        </w:rPr>
        <w:t>In relation to the former, we saw that a stage of deepened collaboration around the launch of the Poverty Reduction Strategy Paper initiative was followed by demarcation and roll-back, with the Fund honing-in on a relatively narrow expenditure-based measure to operationalise its poverty reduction engagement and the Bank retaining a more multidimensional approach within its practice. In relation to climate change, we again saw a relatively brief period of deepened collaboration and co-production of analysis being followed by demarcation and roll-back, with in this case the Bank moving to consolidate its position as lead institution on climate change at the expense of nascent collaborative initiatives. Across both institutions, though, the operational focus on climate change continues to expand, laying potential foundations for enhanced collaboration within existing and additional forums.</w:t>
      </w:r>
    </w:p>
    <w:p w14:paraId="6EE4C713" w14:textId="77777777" w:rsidR="00CF2E0B" w:rsidRDefault="00F45D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9B61711" w14:textId="77777777" w:rsidR="001B5BEF" w:rsidRDefault="00F45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prominence of the ‘Bretton Woods twins’ moniker, the relationship between the International Monetary Fund and World Bank features recurring points of contestation. </w:t>
      </w:r>
      <w:r w:rsidR="001B5BE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ince the 1960s, the Fund and Bank’s financial sector operations have become a sporadic focus of inter-institutional dispute, with country-specific or regional problems often acting as a catalyst for enhanced collaboration between the organisations. </w:t>
      </w:r>
      <w:r w:rsidR="001B5BEF">
        <w:rPr>
          <w:rFonts w:ascii="Times New Roman" w:eastAsia="Times New Roman" w:hAnsi="Times New Roman" w:cs="Times New Roman"/>
          <w:sz w:val="24"/>
          <w:szCs w:val="24"/>
        </w:rPr>
        <w:t xml:space="preserve">Since the 1990s, the organisations’ engagements with sustainable development have generated similar dynamics, with mechanism for deepened collaboration on poverty reduction and climate change emerging. In all three cases – financial sector oversight, poverty reduction, and climate change – we see that moves </w:t>
      </w:r>
      <w:r w:rsidR="001B5BEF">
        <w:rPr>
          <w:rFonts w:ascii="Times New Roman" w:eastAsia="Times New Roman" w:hAnsi="Times New Roman" w:cs="Times New Roman"/>
          <w:sz w:val="24"/>
          <w:szCs w:val="24"/>
        </w:rPr>
        <w:lastRenderedPageBreak/>
        <w:t>to deepen collaboration have been supported by senior management and state representative engagement and leadership, and that move</w:t>
      </w:r>
      <w:r w:rsidR="000A6371">
        <w:rPr>
          <w:rFonts w:ascii="Times New Roman" w:eastAsia="Times New Roman" w:hAnsi="Times New Roman" w:cs="Times New Roman"/>
          <w:sz w:val="24"/>
          <w:szCs w:val="24"/>
        </w:rPr>
        <w:t>s</w:t>
      </w:r>
      <w:r w:rsidR="001B5BEF">
        <w:rPr>
          <w:rFonts w:ascii="Times New Roman" w:eastAsia="Times New Roman" w:hAnsi="Times New Roman" w:cs="Times New Roman"/>
          <w:sz w:val="24"/>
          <w:szCs w:val="24"/>
        </w:rPr>
        <w:t xml:space="preserve"> toward deeper collaboration with co-production of analyses and reviews have been followed by roll-back to mechanisms with more clearly delineated roles.</w:t>
      </w:r>
    </w:p>
    <w:p w14:paraId="399FD399" w14:textId="77777777" w:rsidR="001B5BEF" w:rsidRDefault="007F31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financial sector operations, the initial enhancement of collaboration came in the late 1990s and the formation of the Financial Sector Assessment Programme. With Fund and Bank staff working together to produce integrated analyses of the performance of and risks to low- and middle-income member states’ financial sectors, FSAPs constituted a form of deep collaboration. However, demarcation came after the 2007-08 global financial crisis, with the perception being that the Fund-driven move towards the institutions working on separate modules was linked to a desire to consolidate the organisation’s position of primacy on this area. </w:t>
      </w:r>
      <w:r w:rsidR="000A6371">
        <w:rPr>
          <w:rFonts w:ascii="Times New Roman" w:eastAsia="Times New Roman" w:hAnsi="Times New Roman" w:cs="Times New Roman"/>
          <w:sz w:val="24"/>
          <w:szCs w:val="24"/>
        </w:rPr>
        <w:t xml:space="preserve">Very similar dynamics played out in relation to climate change. Here, nascent moves toward deep collaboration came in the late-2010s, with the launch of joint Climate Change Policy Assessments reflecting on the adequacy of climate change-related policy frameworks. This working relationship was interrupted by Bank-led demarcation of climate change at the core of its operational remit. On poverty reduction, the rolling-back from deep to shallower collaboration seems to have resulted largely from a lack of engagement and ownership from the Fund side, which saw a draft from joint work on PRSPs toward a less integrated approach and the Fund’s prioritisation of a social spending-based operationalisation.  </w:t>
      </w:r>
    </w:p>
    <w:p w14:paraId="4385680D" w14:textId="77777777" w:rsidR="00CF2E0B" w:rsidRDefault="005F083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on Fund-Bank collaboration is clear that there is value to be added through effective co-working across both sides of 19</w:t>
      </w:r>
      <w:r w:rsidRPr="005F083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where the two institutions’ looming headquarters buildings sit side-by-side. Differences in organisational structures and cultures serve to increase the complexity and challenge around </w:t>
      </w:r>
      <w:proofErr w:type="gramStart"/>
      <w:r>
        <w:rPr>
          <w:rFonts w:ascii="Times New Roman" w:eastAsia="Times New Roman" w:hAnsi="Times New Roman" w:cs="Times New Roman"/>
          <w:sz w:val="24"/>
          <w:szCs w:val="24"/>
        </w:rPr>
        <w:t>collaboration, and</w:t>
      </w:r>
      <w:proofErr w:type="gramEnd"/>
      <w:r>
        <w:rPr>
          <w:rFonts w:ascii="Times New Roman" w:eastAsia="Times New Roman" w:hAnsi="Times New Roman" w:cs="Times New Roman"/>
          <w:sz w:val="24"/>
          <w:szCs w:val="24"/>
        </w:rPr>
        <w:t xml:space="preserve"> increase the necessity for initiatives to be accompanied by effective planning, clear guidance, and sustained resourcing. Leadership of both organisations remain committed to extending collaboration on financial sector issues and sustainable development, and see enhanced collaboration as an important tool for increasing the effectiveness with which they meet their respective missions</w:t>
      </w:r>
      <w:r w:rsidR="007335AD">
        <w:rPr>
          <w:rFonts w:ascii="Times New Roman" w:eastAsia="Times New Roman" w:hAnsi="Times New Roman" w:cs="Times New Roman"/>
          <w:sz w:val="24"/>
          <w:szCs w:val="24"/>
        </w:rPr>
        <w:t xml:space="preserve"> (e.g. IMF 2021b: 25-6, World Bank 2021: 83)</w:t>
      </w:r>
      <w:r>
        <w:rPr>
          <w:rFonts w:ascii="Times New Roman" w:eastAsia="Times New Roman" w:hAnsi="Times New Roman" w:cs="Times New Roman"/>
          <w:sz w:val="24"/>
          <w:szCs w:val="24"/>
        </w:rPr>
        <w:t xml:space="preserve">. Creating and maintaining mechanisms for deep and effective collaboration </w:t>
      </w:r>
      <w:r w:rsidR="002671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 challenge</w:t>
      </w:r>
      <w:r w:rsidR="002671D6">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2671D6">
        <w:rPr>
          <w:rFonts w:ascii="Times New Roman" w:eastAsia="Times New Roman" w:hAnsi="Times New Roman" w:cs="Times New Roman"/>
          <w:sz w:val="24"/>
          <w:szCs w:val="24"/>
        </w:rPr>
        <w:t xml:space="preserve">one that looks set to remain on the institutions’ list of operational priorities for the foreseeable future. </w:t>
      </w:r>
      <w:r w:rsidR="00F45D78">
        <w:rPr>
          <w:rFonts w:ascii="Times New Roman" w:eastAsia="Times New Roman" w:hAnsi="Times New Roman" w:cs="Times New Roman"/>
          <w:sz w:val="24"/>
          <w:szCs w:val="24"/>
        </w:rPr>
        <w:tab/>
      </w:r>
    </w:p>
    <w:p w14:paraId="6FF5A1E5" w14:textId="77777777" w:rsidR="00CF2E0B" w:rsidRDefault="00CF2E0B">
      <w:pPr>
        <w:spacing w:line="240" w:lineRule="auto"/>
        <w:jc w:val="both"/>
        <w:rPr>
          <w:rFonts w:ascii="Times New Roman" w:eastAsia="Times New Roman" w:hAnsi="Times New Roman" w:cs="Times New Roman"/>
          <w:sz w:val="24"/>
          <w:szCs w:val="24"/>
        </w:rPr>
      </w:pPr>
    </w:p>
    <w:p w14:paraId="3D50D2F7" w14:textId="77777777" w:rsidR="00CF2E0B" w:rsidRDefault="00F45D78">
      <w:pPr>
        <w:spacing w:after="0" w:line="240" w:lineRule="auto"/>
        <w:jc w:val="both"/>
        <w:rPr>
          <w:rFonts w:ascii="Times New Roman" w:eastAsia="Times New Roman" w:hAnsi="Times New Roman" w:cs="Times New Roman"/>
          <w:sz w:val="24"/>
          <w:szCs w:val="24"/>
        </w:rPr>
      </w:pPr>
      <w:r>
        <w:br w:type="page"/>
      </w:r>
    </w:p>
    <w:p w14:paraId="60BA2279" w14:textId="77777777" w:rsidR="00CF2E0B" w:rsidRDefault="00F45D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5FC96681" w14:textId="77777777" w:rsidR="00CF2E0B" w:rsidRDefault="00CF2E0B">
      <w:pPr>
        <w:spacing w:after="0" w:line="240" w:lineRule="auto"/>
        <w:jc w:val="both"/>
        <w:rPr>
          <w:rFonts w:ascii="Times New Roman" w:eastAsia="Times New Roman" w:hAnsi="Times New Roman" w:cs="Times New Roman"/>
          <w:sz w:val="24"/>
          <w:szCs w:val="24"/>
        </w:rPr>
      </w:pPr>
    </w:p>
    <w:p w14:paraId="4C6E47F1"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Bajpai, Nirupam. 1990. “World Bank Structural Adjustment Lending.” </w:t>
      </w:r>
      <w:r>
        <w:rPr>
          <w:rFonts w:ascii="Times New Roman" w:eastAsia="Times New Roman" w:hAnsi="Times New Roman" w:cs="Times New Roman"/>
          <w:i/>
          <w:sz w:val="24"/>
          <w:szCs w:val="24"/>
        </w:rPr>
        <w:t xml:space="preserve">Economic and </w:t>
      </w:r>
    </w:p>
    <w:p w14:paraId="3DCAC3AA"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Political Weekly</w:t>
      </w:r>
      <w:r>
        <w:rPr>
          <w:rFonts w:ascii="Times New Roman" w:eastAsia="Times New Roman" w:hAnsi="Times New Roman" w:cs="Times New Roman"/>
          <w:sz w:val="24"/>
          <w:szCs w:val="24"/>
        </w:rPr>
        <w:t>, 25: 15, 791-4.</w:t>
      </w:r>
    </w:p>
    <w:p w14:paraId="26C125CE"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 Cornel. 2015. “Austerity versus stimulus? Understanding fiscal policy change at the </w:t>
      </w:r>
    </w:p>
    <w:p w14:paraId="5AD40988"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Monetary Fund since the great recession”. </w:t>
      </w:r>
      <w:r>
        <w:rPr>
          <w:rFonts w:ascii="Times New Roman" w:eastAsia="Times New Roman" w:hAnsi="Times New Roman" w:cs="Times New Roman"/>
          <w:i/>
          <w:sz w:val="24"/>
          <w:szCs w:val="24"/>
        </w:rPr>
        <w:t>Governance</w:t>
      </w:r>
      <w:r>
        <w:rPr>
          <w:rFonts w:ascii="Times New Roman" w:eastAsia="Times New Roman" w:hAnsi="Times New Roman" w:cs="Times New Roman"/>
          <w:sz w:val="24"/>
          <w:szCs w:val="24"/>
        </w:rPr>
        <w:t>, 28: 2, 167-183.</w:t>
      </w:r>
    </w:p>
    <w:p w14:paraId="137E7B01"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Bebbington, Anthony, Scott Guggenheim, Elizabeth Olson, and Michael Woolcock. 2004. </w:t>
      </w:r>
    </w:p>
    <w:p w14:paraId="76418B9C"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“Exploring social capital debates at the World Bank”. </w:t>
      </w:r>
      <w:r>
        <w:rPr>
          <w:rFonts w:ascii="Times New Roman" w:eastAsia="Times New Roman" w:hAnsi="Times New Roman" w:cs="Times New Roman"/>
          <w:i/>
          <w:sz w:val="24"/>
          <w:szCs w:val="24"/>
        </w:rPr>
        <w:t>Journal of Development Studies</w:t>
      </w:r>
      <w:r>
        <w:rPr>
          <w:rFonts w:ascii="Times New Roman" w:eastAsia="Times New Roman" w:hAnsi="Times New Roman" w:cs="Times New Roman"/>
          <w:sz w:val="24"/>
          <w:szCs w:val="24"/>
        </w:rPr>
        <w:t>, 40: 5, 33-64.</w:t>
      </w:r>
    </w:p>
    <w:p w14:paraId="4B95CCFE" w14:textId="77777777" w:rsidR="008C701B" w:rsidRPr="00520131" w:rsidRDefault="008C701B" w:rsidP="005201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Caprio, Gerard. 2018. “</w:t>
      </w:r>
      <w:r w:rsidR="00520131">
        <w:rPr>
          <w:rFonts w:ascii="Times New Roman" w:eastAsia="Times New Roman" w:hAnsi="Times New Roman" w:cs="Times New Roman"/>
          <w:sz w:val="24"/>
          <w:szCs w:val="24"/>
        </w:rPr>
        <w:t xml:space="preserve">Assessing the FSAP”, </w:t>
      </w:r>
      <w:r w:rsidR="00520131">
        <w:rPr>
          <w:rFonts w:ascii="Times New Roman" w:eastAsia="Times New Roman" w:hAnsi="Times New Roman" w:cs="Times New Roman"/>
          <w:i/>
          <w:sz w:val="24"/>
          <w:szCs w:val="24"/>
        </w:rPr>
        <w:t>IMF IEO Background Paper</w:t>
      </w:r>
      <w:r w:rsidR="00520131">
        <w:rPr>
          <w:rFonts w:ascii="Times New Roman" w:eastAsia="Times New Roman" w:hAnsi="Times New Roman" w:cs="Times New Roman"/>
          <w:sz w:val="24"/>
          <w:szCs w:val="24"/>
        </w:rPr>
        <w:t>, BP/18-02/02, 1-45.</w:t>
      </w:r>
    </w:p>
    <w:p w14:paraId="4CE606B6"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Chwieroth, Jeffrey. 2009. </w:t>
      </w:r>
      <w:r>
        <w:rPr>
          <w:rFonts w:ascii="Times New Roman" w:eastAsia="Times New Roman" w:hAnsi="Times New Roman" w:cs="Times New Roman"/>
          <w:i/>
          <w:sz w:val="24"/>
          <w:szCs w:val="24"/>
        </w:rPr>
        <w:t>Capital Ideas</w:t>
      </w:r>
      <w:r>
        <w:rPr>
          <w:rFonts w:ascii="Times New Roman" w:eastAsia="Times New Roman" w:hAnsi="Times New Roman" w:cs="Times New Roman"/>
          <w:sz w:val="24"/>
          <w:szCs w:val="24"/>
        </w:rPr>
        <w:t>. New Jersey: Princeton.</w:t>
      </w:r>
    </w:p>
    <w:p w14:paraId="2F9C572C"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Liam. 2010. “Our dream is a world full of poverty indicators: The US, the World </w:t>
      </w:r>
    </w:p>
    <w:p w14:paraId="1BC911C5"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and the power of numbers”. </w:t>
      </w:r>
      <w:r>
        <w:rPr>
          <w:rFonts w:ascii="Times New Roman" w:eastAsia="Times New Roman" w:hAnsi="Times New Roman" w:cs="Times New Roman"/>
          <w:i/>
          <w:sz w:val="24"/>
          <w:szCs w:val="24"/>
        </w:rPr>
        <w:t>New Political Economy</w:t>
      </w:r>
      <w:r>
        <w:rPr>
          <w:rFonts w:ascii="Times New Roman" w:eastAsia="Times New Roman" w:hAnsi="Times New Roman" w:cs="Times New Roman"/>
          <w:sz w:val="24"/>
          <w:szCs w:val="24"/>
        </w:rPr>
        <w:t>, 15: 4, 473-492.</w:t>
      </w:r>
    </w:p>
    <w:p w14:paraId="0BBB83CB" w14:textId="77777777" w:rsidR="00121CA6" w:rsidRDefault="00121C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Clegg, Liam. 2012. “</w:t>
      </w:r>
      <w:r w:rsidRPr="00121CA6">
        <w:rPr>
          <w:rFonts w:ascii="Times New Roman" w:eastAsia="Times New Roman" w:hAnsi="Times New Roman" w:cs="Times New Roman"/>
          <w:sz w:val="24"/>
          <w:szCs w:val="24"/>
        </w:rPr>
        <w:t>Global governance behind closed doors: The IMF boardroom, the Enhanced Structural Adjustment Facility, and the intersection of material power and norm stabilisation in global politics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International Organizations</w:t>
      </w:r>
      <w:r>
        <w:rPr>
          <w:rFonts w:ascii="Times New Roman" w:eastAsia="Times New Roman" w:hAnsi="Times New Roman" w:cs="Times New Roman"/>
          <w:sz w:val="24"/>
          <w:szCs w:val="24"/>
        </w:rPr>
        <w:t>, 7:2, 285-308.</w:t>
      </w:r>
    </w:p>
    <w:p w14:paraId="33BBB254"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Liam. 2014a. “Social spending targets in IMF concessional lending: US domestic </w:t>
      </w:r>
    </w:p>
    <w:p w14:paraId="42B5011B"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politics and the institutional foundations of rapid operational change”.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21: 3, 735-63.</w:t>
      </w:r>
    </w:p>
    <w:p w14:paraId="34F83250"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Liam. 2014b. “The governance of the World Bank”. In Anthony Payne and Nicola </w:t>
      </w:r>
    </w:p>
    <w:p w14:paraId="30AF082C"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Phillips (eds) </w:t>
      </w:r>
      <w:r>
        <w:rPr>
          <w:rFonts w:ascii="Times New Roman" w:eastAsia="Times New Roman" w:hAnsi="Times New Roman" w:cs="Times New Roman"/>
          <w:i/>
          <w:sz w:val="24"/>
          <w:szCs w:val="24"/>
        </w:rPr>
        <w:t>Handbook of the International Political Economy of Governance</w:t>
      </w:r>
      <w:r>
        <w:rPr>
          <w:rFonts w:ascii="Times New Roman" w:eastAsia="Times New Roman" w:hAnsi="Times New Roman" w:cs="Times New Roman"/>
          <w:sz w:val="24"/>
          <w:szCs w:val="24"/>
        </w:rPr>
        <w:t>. Cheltenham: Edward Elgar, pp. 259-274.</w:t>
      </w:r>
    </w:p>
    <w:p w14:paraId="45D9430C"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Clegg, Liam. 2017. </w:t>
      </w:r>
      <w:r>
        <w:rPr>
          <w:rFonts w:ascii="Times New Roman" w:eastAsia="Times New Roman" w:hAnsi="Times New Roman" w:cs="Times New Roman"/>
          <w:i/>
          <w:sz w:val="24"/>
          <w:szCs w:val="24"/>
        </w:rPr>
        <w:t xml:space="preserve">The World Bank and the Globalisation of Housing Finance: Mortgaging </w:t>
      </w:r>
    </w:p>
    <w:p w14:paraId="3AEDECA4"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Development</w:t>
      </w:r>
      <w:r>
        <w:rPr>
          <w:rFonts w:ascii="Times New Roman" w:eastAsia="Times New Roman" w:hAnsi="Times New Roman" w:cs="Times New Roman"/>
          <w:sz w:val="24"/>
          <w:szCs w:val="24"/>
        </w:rPr>
        <w:t>. Cheltenham: Edward Elgar.</w:t>
      </w:r>
    </w:p>
    <w:p w14:paraId="549C1BC7"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Clegg, Liam. 2020. “The IMF record on social protection: Poor, or pro-</w:t>
      </w:r>
      <w:proofErr w:type="gramStart"/>
      <w:r>
        <w:rPr>
          <w:rFonts w:ascii="Times New Roman" w:eastAsia="Times New Roman" w:hAnsi="Times New Roman" w:cs="Times New Roman"/>
          <w:sz w:val="24"/>
          <w:szCs w:val="24"/>
        </w:rPr>
        <w:t>poor?.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Development </w:t>
      </w:r>
    </w:p>
    <w:p w14:paraId="03E29716"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and Change</w:t>
      </w:r>
      <w:r>
        <w:rPr>
          <w:rFonts w:ascii="Times New Roman" w:eastAsia="Times New Roman" w:hAnsi="Times New Roman" w:cs="Times New Roman"/>
          <w:sz w:val="24"/>
          <w:szCs w:val="24"/>
        </w:rPr>
        <w:t>, 51: 2, 698-710.</w:t>
      </w:r>
    </w:p>
    <w:p w14:paraId="26CAC8C9" w14:textId="77777777" w:rsidR="00D44BD7" w:rsidRPr="00D44BD7" w:rsidRDefault="00D44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 Herman. 2006. “Sustainable Development”. In Marco Keiner (ed.) </w:t>
      </w:r>
      <w:r>
        <w:rPr>
          <w:rFonts w:ascii="Times New Roman" w:eastAsia="Times New Roman" w:hAnsi="Times New Roman" w:cs="Times New Roman"/>
          <w:i/>
          <w:sz w:val="24"/>
          <w:szCs w:val="24"/>
        </w:rPr>
        <w:t>The Future of Sustainability</w:t>
      </w:r>
      <w:r>
        <w:rPr>
          <w:rFonts w:ascii="Times New Roman" w:eastAsia="Times New Roman" w:hAnsi="Times New Roman" w:cs="Times New Roman"/>
          <w:sz w:val="24"/>
          <w:szCs w:val="24"/>
        </w:rPr>
        <w:t>. London: Springer, pp.39-53.</w:t>
      </w:r>
    </w:p>
    <w:p w14:paraId="4C859DC9"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Gutner, Tamar. 2020. “Approaches to IMF-World Bank Collaboration: A Historical </w:t>
      </w:r>
    </w:p>
    <w:p w14:paraId="3D030EE6"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Overview”. </w:t>
      </w:r>
      <w:r>
        <w:rPr>
          <w:rFonts w:ascii="Times New Roman" w:eastAsia="Times New Roman" w:hAnsi="Times New Roman" w:cs="Times New Roman"/>
          <w:i/>
          <w:sz w:val="24"/>
          <w:szCs w:val="24"/>
        </w:rPr>
        <w:t>Independent Evaluation Office of the IMF Background Paper</w:t>
      </w:r>
      <w:r>
        <w:rPr>
          <w:rFonts w:ascii="Times New Roman" w:eastAsia="Times New Roman" w:hAnsi="Times New Roman" w:cs="Times New Roman"/>
          <w:sz w:val="24"/>
          <w:szCs w:val="24"/>
        </w:rPr>
        <w:t>, BP/20-01/02: 1-46.</w:t>
      </w:r>
    </w:p>
    <w:p w14:paraId="395F5017"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IEO. 2002. </w:t>
      </w:r>
      <w:r>
        <w:rPr>
          <w:rFonts w:ascii="Times New Roman" w:eastAsia="Times New Roman" w:hAnsi="Times New Roman" w:cs="Times New Roman"/>
          <w:i/>
          <w:sz w:val="24"/>
          <w:szCs w:val="24"/>
        </w:rPr>
        <w:t>Evaluation of Prolonged Use of IMF Resources</w:t>
      </w:r>
      <w:r>
        <w:rPr>
          <w:rFonts w:ascii="Times New Roman" w:eastAsia="Times New Roman" w:hAnsi="Times New Roman" w:cs="Times New Roman"/>
          <w:sz w:val="24"/>
          <w:szCs w:val="24"/>
        </w:rPr>
        <w:t xml:space="preserve">. Washington: IMF Independent </w:t>
      </w:r>
    </w:p>
    <w:p w14:paraId="18906796"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Office.</w:t>
      </w:r>
    </w:p>
    <w:p w14:paraId="76E2A82D"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IMF. 2020. </w:t>
      </w:r>
      <w:r>
        <w:rPr>
          <w:rFonts w:ascii="Times New Roman" w:eastAsia="Times New Roman" w:hAnsi="Times New Roman" w:cs="Times New Roman"/>
          <w:i/>
          <w:sz w:val="24"/>
          <w:szCs w:val="24"/>
        </w:rPr>
        <w:t>Selected Decisions and Selected Documents of the International Monetary Fund</w:t>
      </w:r>
      <w:r>
        <w:rPr>
          <w:rFonts w:ascii="Times New Roman" w:eastAsia="Times New Roman" w:hAnsi="Times New Roman" w:cs="Times New Roman"/>
          <w:sz w:val="24"/>
          <w:szCs w:val="24"/>
        </w:rPr>
        <w:t xml:space="preserve">. </w:t>
      </w:r>
    </w:p>
    <w:p w14:paraId="705AB983"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IMF.</w:t>
      </w:r>
    </w:p>
    <w:p w14:paraId="638BB778"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IMF. 2021a. </w:t>
      </w:r>
      <w:r>
        <w:rPr>
          <w:rFonts w:ascii="Times New Roman" w:eastAsia="Times New Roman" w:hAnsi="Times New Roman" w:cs="Times New Roman"/>
          <w:i/>
          <w:sz w:val="24"/>
          <w:szCs w:val="24"/>
        </w:rPr>
        <w:t xml:space="preserve">FSAP Review: Towards a more stable and sustainable financial system. </w:t>
      </w:r>
    </w:p>
    <w:p w14:paraId="020A718E"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IMF.</w:t>
      </w:r>
    </w:p>
    <w:p w14:paraId="65B30AD5"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IMF. 2021b. </w:t>
      </w:r>
      <w:r>
        <w:rPr>
          <w:rFonts w:ascii="Times New Roman" w:eastAsia="Times New Roman" w:hAnsi="Times New Roman" w:cs="Times New Roman"/>
          <w:i/>
          <w:sz w:val="24"/>
          <w:szCs w:val="24"/>
        </w:rPr>
        <w:t xml:space="preserve">IMF Strategy to Help Members Address Climate Change Related Policy </w:t>
      </w:r>
    </w:p>
    <w:p w14:paraId="20B37AB4"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Challenges</w:t>
      </w:r>
      <w:r>
        <w:rPr>
          <w:rFonts w:ascii="Times New Roman" w:eastAsia="Times New Roman" w:hAnsi="Times New Roman" w:cs="Times New Roman"/>
          <w:sz w:val="24"/>
          <w:szCs w:val="24"/>
        </w:rPr>
        <w:t>. Washington: IMF.</w:t>
      </w:r>
    </w:p>
    <w:p w14:paraId="20771665"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Independent Evaluation Group. 2006. </w:t>
      </w:r>
      <w:r>
        <w:rPr>
          <w:rFonts w:ascii="Times New Roman" w:eastAsia="Times New Roman" w:hAnsi="Times New Roman" w:cs="Times New Roman"/>
          <w:i/>
          <w:sz w:val="24"/>
          <w:szCs w:val="24"/>
        </w:rPr>
        <w:t xml:space="preserve">FSAP: IEG Review of the Joint World Bank and IMF </w:t>
      </w:r>
    </w:p>
    <w:p w14:paraId="13A2F3B7"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Initiative</w:t>
      </w:r>
      <w:r>
        <w:rPr>
          <w:rFonts w:ascii="Times New Roman" w:eastAsia="Times New Roman" w:hAnsi="Times New Roman" w:cs="Times New Roman"/>
          <w:sz w:val="24"/>
          <w:szCs w:val="24"/>
        </w:rPr>
        <w:t>. Washington: World Bank.</w:t>
      </w:r>
    </w:p>
    <w:p w14:paraId="6D6C70D8"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Kapur, Devesh, John Lewis, and Richard Webb. 1997. </w:t>
      </w:r>
      <w:r>
        <w:rPr>
          <w:rFonts w:ascii="Times New Roman" w:eastAsia="Times New Roman" w:hAnsi="Times New Roman" w:cs="Times New Roman"/>
          <w:i/>
          <w:sz w:val="24"/>
          <w:szCs w:val="24"/>
        </w:rPr>
        <w:t xml:space="preserve">The World Bank: Its First Half </w:t>
      </w:r>
    </w:p>
    <w:p w14:paraId="7432059A"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Century</w:t>
      </w:r>
      <w:r>
        <w:rPr>
          <w:rFonts w:ascii="Times New Roman" w:eastAsia="Times New Roman" w:hAnsi="Times New Roman" w:cs="Times New Roman"/>
          <w:sz w:val="24"/>
          <w:szCs w:val="24"/>
        </w:rPr>
        <w:t>. Washington: World Bank.</w:t>
      </w:r>
    </w:p>
    <w:p w14:paraId="3E0DDDF4" w14:textId="77777777" w:rsidR="00006ADD" w:rsidRDefault="00006ADD" w:rsidP="00006ADD">
      <w:pPr>
        <w:spacing w:after="0" w:line="240" w:lineRule="auto"/>
        <w:jc w:val="both"/>
        <w:rPr>
          <w:rFonts w:ascii="Times New Roman" w:eastAsia="Times New Roman" w:hAnsi="Times New Roman" w:cs="Times New Roman"/>
          <w:sz w:val="24"/>
          <w:szCs w:val="24"/>
        </w:rPr>
      </w:pPr>
      <w:proofErr w:type="spellStart"/>
      <w:r w:rsidRPr="00006ADD">
        <w:rPr>
          <w:rFonts w:ascii="Times New Roman" w:eastAsia="Times New Roman" w:hAnsi="Times New Roman" w:cs="Times New Roman"/>
          <w:sz w:val="24"/>
          <w:szCs w:val="24"/>
        </w:rPr>
        <w:t>Kentikelenis</w:t>
      </w:r>
      <w:proofErr w:type="spellEnd"/>
      <w:r w:rsidRPr="00006ADD">
        <w:rPr>
          <w:rFonts w:ascii="Times New Roman" w:eastAsia="Times New Roman" w:hAnsi="Times New Roman" w:cs="Times New Roman"/>
          <w:sz w:val="24"/>
          <w:szCs w:val="24"/>
        </w:rPr>
        <w:t>, A</w:t>
      </w:r>
      <w:r w:rsidR="00D304BD">
        <w:rPr>
          <w:rFonts w:ascii="Times New Roman" w:eastAsia="Times New Roman" w:hAnsi="Times New Roman" w:cs="Times New Roman"/>
          <w:sz w:val="24"/>
          <w:szCs w:val="24"/>
        </w:rPr>
        <w:t>lexander, Thomas</w:t>
      </w:r>
      <w:r w:rsidRPr="00006ADD">
        <w:rPr>
          <w:rFonts w:ascii="Times New Roman" w:eastAsia="Times New Roman" w:hAnsi="Times New Roman" w:cs="Times New Roman"/>
          <w:sz w:val="24"/>
          <w:szCs w:val="24"/>
        </w:rPr>
        <w:t xml:space="preserve"> Stubbs, and B</w:t>
      </w:r>
      <w:r w:rsidR="00D304BD">
        <w:rPr>
          <w:rFonts w:ascii="Times New Roman" w:eastAsia="Times New Roman" w:hAnsi="Times New Roman" w:cs="Times New Roman"/>
          <w:sz w:val="24"/>
          <w:szCs w:val="24"/>
        </w:rPr>
        <w:t>ernhard</w:t>
      </w:r>
      <w:r w:rsidRPr="00006ADD">
        <w:rPr>
          <w:rFonts w:ascii="Times New Roman" w:eastAsia="Times New Roman" w:hAnsi="Times New Roman" w:cs="Times New Roman"/>
          <w:sz w:val="24"/>
          <w:szCs w:val="24"/>
        </w:rPr>
        <w:t xml:space="preserve"> Reinsberg. 2022. “</w:t>
      </w:r>
      <w:r w:rsidR="00D304BD">
        <w:rPr>
          <w:rFonts w:ascii="Times New Roman" w:eastAsia="Times New Roman" w:hAnsi="Times New Roman" w:cs="Times New Roman"/>
          <w:sz w:val="24"/>
          <w:szCs w:val="24"/>
        </w:rPr>
        <w:t xml:space="preserve">The IMF and the road to a green </w:t>
      </w:r>
      <w:r w:rsidRPr="00006ADD">
        <w:rPr>
          <w:rFonts w:ascii="Times New Roman" w:eastAsia="Times New Roman" w:hAnsi="Times New Roman" w:cs="Times New Roman"/>
          <w:sz w:val="24"/>
          <w:szCs w:val="24"/>
        </w:rPr>
        <w:t xml:space="preserve">and inclusive recovery after Covid-19.” </w:t>
      </w:r>
      <w:r w:rsidRPr="00006ADD">
        <w:rPr>
          <w:rFonts w:ascii="Times New Roman" w:eastAsia="Times New Roman" w:hAnsi="Times New Roman" w:cs="Times New Roman"/>
          <w:i/>
          <w:sz w:val="24"/>
          <w:szCs w:val="24"/>
        </w:rPr>
        <w:t>Cambridge Centre for Business Research (CBR)</w:t>
      </w:r>
      <w:r w:rsidR="00D304BD">
        <w:rPr>
          <w:rFonts w:ascii="Times New Roman" w:eastAsia="Times New Roman" w:hAnsi="Times New Roman" w:cs="Times New Roman"/>
          <w:sz w:val="24"/>
          <w:szCs w:val="24"/>
        </w:rPr>
        <w:t xml:space="preserve"> </w:t>
      </w:r>
      <w:r w:rsidRPr="00006ADD">
        <w:rPr>
          <w:rFonts w:ascii="Times New Roman" w:eastAsia="Times New Roman" w:hAnsi="Times New Roman" w:cs="Times New Roman"/>
          <w:i/>
          <w:sz w:val="24"/>
          <w:szCs w:val="24"/>
        </w:rPr>
        <w:t>Special Report</w:t>
      </w:r>
      <w:r w:rsidRPr="00006ADD">
        <w:rPr>
          <w:rFonts w:ascii="Times New Roman" w:eastAsia="Times New Roman" w:hAnsi="Times New Roman" w:cs="Times New Roman"/>
          <w:sz w:val="24"/>
          <w:szCs w:val="24"/>
        </w:rPr>
        <w:t>.</w:t>
      </w:r>
    </w:p>
    <w:p w14:paraId="3508C0F8" w14:textId="77777777" w:rsidR="00581B00" w:rsidRDefault="00581B00">
      <w:pPr>
        <w:spacing w:after="0" w:line="240" w:lineRule="auto"/>
        <w:jc w:val="both"/>
        <w:rPr>
          <w:rFonts w:ascii="Times New Roman" w:eastAsia="Times New Roman" w:hAnsi="Times New Roman" w:cs="Times New Roman"/>
          <w:sz w:val="24"/>
          <w:szCs w:val="24"/>
        </w:rPr>
      </w:pPr>
      <w:r w:rsidRPr="00581B00">
        <w:rPr>
          <w:rFonts w:ascii="Times New Roman" w:eastAsia="Times New Roman" w:hAnsi="Times New Roman" w:cs="Times New Roman"/>
          <w:sz w:val="24"/>
          <w:szCs w:val="24"/>
        </w:rPr>
        <w:t>Kranke, Matthias. "IMF‐World Bank Cooperation Before and After the Global Financial Crisis." Global Policy 11, no. 1 (2020): 15-25.</w:t>
      </w:r>
    </w:p>
    <w:p w14:paraId="2BDFB014"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Kranke, Matthias. 2022. “Exclusive expertise: The boundary work of international </w:t>
      </w:r>
    </w:p>
    <w:p w14:paraId="3F72BBC5"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organizations”.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29: 2, 453-76.</w:t>
      </w:r>
    </w:p>
    <w:p w14:paraId="2F9A3980"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Kupiec, Paul. 2005. “The IMF-World Bank Financial Sector Assessment Program: A view </w:t>
      </w:r>
    </w:p>
    <w:p w14:paraId="4A9CC189" w14:textId="77777777" w:rsidR="00CF2E0B" w:rsidRDefault="00F45D78">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inside”. In Douglas Evanoff and George Kaufmann (eds) </w:t>
      </w:r>
      <w:r>
        <w:rPr>
          <w:rFonts w:ascii="Times New Roman" w:eastAsia="Times New Roman" w:hAnsi="Times New Roman" w:cs="Times New Roman"/>
          <w:i/>
          <w:sz w:val="24"/>
          <w:szCs w:val="24"/>
        </w:rPr>
        <w:t>Systemic Financial Crises: Resolving Large Bank Insolvencies</w:t>
      </w:r>
      <w:r>
        <w:rPr>
          <w:rFonts w:ascii="Times New Roman" w:eastAsia="Times New Roman" w:hAnsi="Times New Roman" w:cs="Times New Roman"/>
          <w:sz w:val="24"/>
          <w:szCs w:val="24"/>
        </w:rPr>
        <w:t>. Singapore: Stallion, 69-82.</w:t>
      </w:r>
    </w:p>
    <w:p w14:paraId="7AB97D08"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Kupiec, Paul. 2020. “Statistical challenges of stress test financial stability assessments”. </w:t>
      </w:r>
    </w:p>
    <w:p w14:paraId="38FE9B0F"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American Enterprise Institute Working Paper Series</w:t>
      </w:r>
      <w:r>
        <w:rPr>
          <w:rFonts w:ascii="Times New Roman" w:eastAsia="Times New Roman" w:hAnsi="Times New Roman" w:cs="Times New Roman"/>
          <w:sz w:val="24"/>
          <w:szCs w:val="24"/>
        </w:rPr>
        <w:t>, Paper No. 2020-15: 1-61.</w:t>
      </w:r>
    </w:p>
    <w:p w14:paraId="1A8F71BB"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Lombardi, Domenico and </w:t>
      </w:r>
      <w:proofErr w:type="spellStart"/>
      <w:r>
        <w:rPr>
          <w:rFonts w:ascii="Times New Roman" w:eastAsia="Times New Roman" w:hAnsi="Times New Roman" w:cs="Times New Roman"/>
          <w:sz w:val="24"/>
          <w:szCs w:val="24"/>
        </w:rPr>
        <w:t>Bessma</w:t>
      </w:r>
      <w:proofErr w:type="spellEnd"/>
      <w:r>
        <w:rPr>
          <w:rFonts w:ascii="Times New Roman" w:eastAsia="Times New Roman" w:hAnsi="Times New Roman" w:cs="Times New Roman"/>
          <w:sz w:val="24"/>
          <w:szCs w:val="24"/>
        </w:rPr>
        <w:t xml:space="preserve"> Momani. 2010. “Explaining the IMF and World Bank </w:t>
      </w:r>
    </w:p>
    <w:p w14:paraId="0C0AE043"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relationship”. </w:t>
      </w:r>
      <w:r>
        <w:rPr>
          <w:rFonts w:ascii="Times New Roman" w:eastAsia="Times New Roman" w:hAnsi="Times New Roman" w:cs="Times New Roman"/>
          <w:i/>
          <w:sz w:val="24"/>
          <w:szCs w:val="24"/>
        </w:rPr>
        <w:t>Political Economy of International Organisations Annual Workshop</w:t>
      </w:r>
      <w:r>
        <w:rPr>
          <w:rFonts w:ascii="Times New Roman" w:eastAsia="Times New Roman" w:hAnsi="Times New Roman" w:cs="Times New Roman"/>
          <w:sz w:val="24"/>
          <w:szCs w:val="24"/>
        </w:rPr>
        <w:t>, Georgetown University, 28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w:t>
      </w:r>
    </w:p>
    <w:p w14:paraId="184A2F34"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Malan, Pedro. 2007. </w:t>
      </w:r>
      <w:r>
        <w:rPr>
          <w:rFonts w:ascii="Times New Roman" w:eastAsia="Times New Roman" w:hAnsi="Times New Roman" w:cs="Times New Roman"/>
          <w:i/>
          <w:sz w:val="24"/>
          <w:szCs w:val="24"/>
        </w:rPr>
        <w:t>Report of the External Committee on Bank-Fund Collaboration</w:t>
      </w:r>
      <w:r>
        <w:rPr>
          <w:rFonts w:ascii="Times New Roman" w:eastAsia="Times New Roman" w:hAnsi="Times New Roman" w:cs="Times New Roman"/>
          <w:sz w:val="24"/>
          <w:szCs w:val="24"/>
        </w:rPr>
        <w:t xml:space="preserve">. </w:t>
      </w:r>
    </w:p>
    <w:p w14:paraId="71018E97"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IMF.</w:t>
      </w:r>
    </w:p>
    <w:p w14:paraId="63C8399A"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Momani, </w:t>
      </w:r>
      <w:proofErr w:type="spellStart"/>
      <w:r>
        <w:rPr>
          <w:rFonts w:ascii="Times New Roman" w:eastAsia="Times New Roman" w:hAnsi="Times New Roman" w:cs="Times New Roman"/>
          <w:sz w:val="24"/>
          <w:szCs w:val="24"/>
        </w:rPr>
        <w:t>Bessma</w:t>
      </w:r>
      <w:proofErr w:type="spellEnd"/>
      <w:r>
        <w:rPr>
          <w:rFonts w:ascii="Times New Roman" w:eastAsia="Times New Roman" w:hAnsi="Times New Roman" w:cs="Times New Roman"/>
          <w:sz w:val="24"/>
          <w:szCs w:val="24"/>
        </w:rPr>
        <w:t xml:space="preserve"> and Mark Hibben. 2015. “Cooperation or clashes on 19th Street? </w:t>
      </w:r>
    </w:p>
    <w:p w14:paraId="1356C7CD"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Theorizing and assessing IMF and World Bank collaboration.” </w:t>
      </w:r>
      <w:r>
        <w:rPr>
          <w:rFonts w:ascii="Times New Roman" w:eastAsia="Times New Roman" w:hAnsi="Times New Roman" w:cs="Times New Roman"/>
          <w:i/>
          <w:sz w:val="24"/>
          <w:szCs w:val="24"/>
        </w:rPr>
        <w:t>Journal of International Organization Studies</w:t>
      </w:r>
      <w:r>
        <w:rPr>
          <w:rFonts w:ascii="Times New Roman" w:eastAsia="Times New Roman" w:hAnsi="Times New Roman" w:cs="Times New Roman"/>
          <w:sz w:val="24"/>
          <w:szCs w:val="24"/>
        </w:rPr>
        <w:t>, 6: 2, 27-43.</w:t>
      </w:r>
    </w:p>
    <w:p w14:paraId="033BCACF"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Susan and Antje </w:t>
      </w:r>
      <w:proofErr w:type="spellStart"/>
      <w:r>
        <w:rPr>
          <w:rFonts w:ascii="Times New Roman" w:eastAsia="Times New Roman" w:hAnsi="Times New Roman" w:cs="Times New Roman"/>
          <w:sz w:val="24"/>
          <w:szCs w:val="24"/>
        </w:rPr>
        <w:t>Vetterlein</w:t>
      </w:r>
      <w:proofErr w:type="spellEnd"/>
      <w:r>
        <w:rPr>
          <w:rFonts w:ascii="Times New Roman" w:eastAsia="Times New Roman" w:hAnsi="Times New Roman" w:cs="Times New Roman"/>
          <w:sz w:val="24"/>
          <w:szCs w:val="24"/>
        </w:rPr>
        <w:t xml:space="preserve">. 2010. “Do policy norms reconstitute global </w:t>
      </w:r>
      <w:proofErr w:type="gramStart"/>
      <w:r>
        <w:rPr>
          <w:rFonts w:ascii="Times New Roman" w:eastAsia="Times New Roman" w:hAnsi="Times New Roman" w:cs="Times New Roman"/>
          <w:sz w:val="24"/>
          <w:szCs w:val="24"/>
        </w:rPr>
        <w:t>development?.</w:t>
      </w:r>
      <w:proofErr w:type="gramEnd"/>
      <w:r>
        <w:rPr>
          <w:rFonts w:ascii="Times New Roman" w:eastAsia="Times New Roman" w:hAnsi="Times New Roman" w:cs="Times New Roman"/>
          <w:sz w:val="24"/>
          <w:szCs w:val="24"/>
        </w:rPr>
        <w:t xml:space="preserve">” </w:t>
      </w:r>
    </w:p>
    <w:p w14:paraId="27E017AE" w14:textId="77777777" w:rsidR="00CF2E0B" w:rsidRDefault="00F45D7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Susan Park and Antje </w:t>
      </w:r>
      <w:proofErr w:type="spellStart"/>
      <w:r>
        <w:rPr>
          <w:rFonts w:ascii="Times New Roman" w:eastAsia="Times New Roman" w:hAnsi="Times New Roman" w:cs="Times New Roman"/>
          <w:sz w:val="24"/>
          <w:szCs w:val="24"/>
        </w:rPr>
        <w:t>Vetterlein</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Owning Development: Creating Policy Norms in the World Bank and International Monetary Fund</w:t>
      </w:r>
      <w:r>
        <w:rPr>
          <w:rFonts w:ascii="Times New Roman" w:eastAsia="Times New Roman" w:hAnsi="Times New Roman" w:cs="Times New Roman"/>
          <w:sz w:val="24"/>
          <w:szCs w:val="24"/>
        </w:rPr>
        <w:t>. Cambridge: University Press, 225-47.</w:t>
      </w:r>
    </w:p>
    <w:p w14:paraId="5AF935B2"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Ramos, Luma, Kevin Gallagher, Corinne Stephenson, and Irene Monasterolo. 2022. “Climate </w:t>
      </w:r>
    </w:p>
    <w:p w14:paraId="258DC316"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and IMF surveillance policy: a baseline analysis.” </w:t>
      </w:r>
      <w:r>
        <w:rPr>
          <w:rFonts w:ascii="Times New Roman" w:eastAsia="Times New Roman" w:hAnsi="Times New Roman" w:cs="Times New Roman"/>
          <w:i/>
          <w:sz w:val="24"/>
          <w:szCs w:val="24"/>
        </w:rPr>
        <w:t>Climate Policy</w:t>
      </w:r>
      <w:r>
        <w:rPr>
          <w:rFonts w:ascii="Times New Roman" w:eastAsia="Times New Roman" w:hAnsi="Times New Roman" w:cs="Times New Roman"/>
          <w:sz w:val="24"/>
          <w:szCs w:val="24"/>
        </w:rPr>
        <w:t>, 22: 3, 371-388.</w:t>
      </w:r>
    </w:p>
    <w:p w14:paraId="4A81D92A"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Snowdon, Brian and Howard Vane. 2005. </w:t>
      </w:r>
      <w:r>
        <w:rPr>
          <w:rFonts w:ascii="Times New Roman" w:eastAsia="Times New Roman" w:hAnsi="Times New Roman" w:cs="Times New Roman"/>
          <w:i/>
          <w:sz w:val="24"/>
          <w:szCs w:val="24"/>
        </w:rPr>
        <w:t>Modern Macroeconomics</w:t>
      </w:r>
      <w:r>
        <w:rPr>
          <w:rFonts w:ascii="Times New Roman" w:eastAsia="Times New Roman" w:hAnsi="Times New Roman" w:cs="Times New Roman"/>
          <w:sz w:val="24"/>
          <w:szCs w:val="24"/>
        </w:rPr>
        <w:t xml:space="preserve">. Cheltenham: Edward </w:t>
      </w:r>
    </w:p>
    <w:p w14:paraId="7275069B"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Elgar.</w:t>
      </w:r>
    </w:p>
    <w:p w14:paraId="0E8B6D29"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Economist. 1952. Business Notes’, September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15E77352" w14:textId="77777777" w:rsidR="00CF2E0B" w:rsidRDefault="00F45D7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V20. 2020. </w:t>
      </w:r>
      <w:proofErr w:type="spellStart"/>
      <w:r>
        <w:rPr>
          <w:rFonts w:ascii="Times New Roman" w:eastAsia="Times New Roman" w:hAnsi="Times New Roman" w:cs="Times New Roman"/>
          <w:i/>
          <w:sz w:val="24"/>
          <w:szCs w:val="24"/>
        </w:rPr>
        <w:t>Macrofinancial</w:t>
      </w:r>
      <w:proofErr w:type="spellEnd"/>
      <w:r>
        <w:rPr>
          <w:rFonts w:ascii="Times New Roman" w:eastAsia="Times New Roman" w:hAnsi="Times New Roman" w:cs="Times New Roman"/>
          <w:i/>
          <w:sz w:val="24"/>
          <w:szCs w:val="24"/>
        </w:rPr>
        <w:t xml:space="preserve"> Risks in Climate Vulnerable Developing Countries and the Role </w:t>
      </w:r>
    </w:p>
    <w:p w14:paraId="6B3FD7D2"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of the IMF</w:t>
      </w:r>
      <w:r>
        <w:rPr>
          <w:rFonts w:ascii="Times New Roman" w:eastAsia="Times New Roman" w:hAnsi="Times New Roman" w:cs="Times New Roman"/>
          <w:sz w:val="24"/>
          <w:szCs w:val="24"/>
        </w:rPr>
        <w:t>. Geneva: V20.</w:t>
      </w:r>
    </w:p>
    <w:p w14:paraId="0B4774A0" w14:textId="77777777" w:rsidR="00995E67" w:rsidRPr="00995E67" w:rsidRDefault="00995E6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Vetterlein</w:t>
      </w:r>
      <w:proofErr w:type="spellEnd"/>
      <w:r>
        <w:rPr>
          <w:rFonts w:ascii="Times New Roman" w:eastAsia="Times New Roman" w:hAnsi="Times New Roman" w:cs="Times New Roman"/>
          <w:sz w:val="24"/>
          <w:szCs w:val="24"/>
        </w:rPr>
        <w:t xml:space="preserve">, Antje. 2012. “Seeing Like the World Bank on Poverty Reduction”, </w:t>
      </w:r>
      <w:r>
        <w:rPr>
          <w:rFonts w:ascii="Times New Roman" w:eastAsia="Times New Roman" w:hAnsi="Times New Roman" w:cs="Times New Roman"/>
          <w:i/>
          <w:sz w:val="24"/>
          <w:szCs w:val="24"/>
        </w:rPr>
        <w:t>New Political Economy</w:t>
      </w:r>
      <w:r>
        <w:rPr>
          <w:rFonts w:ascii="Times New Roman" w:eastAsia="Times New Roman" w:hAnsi="Times New Roman" w:cs="Times New Roman"/>
          <w:sz w:val="24"/>
          <w:szCs w:val="24"/>
        </w:rPr>
        <w:t>, 17:1, 35-58.</w:t>
      </w:r>
    </w:p>
    <w:p w14:paraId="4F51CFCD"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1966. </w:t>
      </w:r>
      <w:r>
        <w:rPr>
          <w:rFonts w:ascii="Times New Roman" w:eastAsia="Times New Roman" w:hAnsi="Times New Roman" w:cs="Times New Roman"/>
          <w:i/>
          <w:sz w:val="24"/>
          <w:szCs w:val="24"/>
        </w:rPr>
        <w:t>The World Bank Group in India</w:t>
      </w:r>
      <w:r>
        <w:rPr>
          <w:rFonts w:ascii="Times New Roman" w:eastAsia="Times New Roman" w:hAnsi="Times New Roman" w:cs="Times New Roman"/>
          <w:sz w:val="24"/>
          <w:szCs w:val="24"/>
        </w:rPr>
        <w:t>. Washington: World Bank.</w:t>
      </w:r>
    </w:p>
    <w:p w14:paraId="109DD5B9"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1997. </w:t>
      </w:r>
      <w:r>
        <w:rPr>
          <w:rFonts w:ascii="Times New Roman" w:eastAsia="Times New Roman" w:hAnsi="Times New Roman" w:cs="Times New Roman"/>
          <w:i/>
          <w:sz w:val="24"/>
          <w:szCs w:val="24"/>
        </w:rPr>
        <w:t>Sustaining Reform in Argentina</w:t>
      </w:r>
      <w:r>
        <w:rPr>
          <w:rFonts w:ascii="Times New Roman" w:eastAsia="Times New Roman" w:hAnsi="Times New Roman" w:cs="Times New Roman"/>
          <w:sz w:val="24"/>
          <w:szCs w:val="24"/>
        </w:rPr>
        <w:t>. Washington: World Bank.</w:t>
      </w:r>
    </w:p>
    <w:p w14:paraId="121CE36A"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2016. </w:t>
      </w:r>
      <w:r>
        <w:rPr>
          <w:rFonts w:ascii="Times New Roman" w:eastAsia="Times New Roman" w:hAnsi="Times New Roman" w:cs="Times New Roman"/>
          <w:i/>
          <w:sz w:val="24"/>
          <w:szCs w:val="24"/>
        </w:rPr>
        <w:t>World Bank Group Climate Change Action Plan: 2016-2020</w:t>
      </w:r>
      <w:r>
        <w:rPr>
          <w:rFonts w:ascii="Times New Roman" w:eastAsia="Times New Roman" w:hAnsi="Times New Roman" w:cs="Times New Roman"/>
          <w:sz w:val="24"/>
          <w:szCs w:val="24"/>
        </w:rPr>
        <w:t xml:space="preserve"> Washington: </w:t>
      </w:r>
    </w:p>
    <w:p w14:paraId="794D1EBD" w14:textId="77777777" w:rsidR="00CF2E0B" w:rsidRDefault="00F45D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w:t>
      </w:r>
    </w:p>
    <w:p w14:paraId="1EA13292" w14:textId="77777777" w:rsidR="00CF2E0B" w:rsidRDefault="00F4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2021. </w:t>
      </w:r>
      <w:r>
        <w:rPr>
          <w:rFonts w:ascii="Times New Roman" w:eastAsia="Times New Roman" w:hAnsi="Times New Roman" w:cs="Times New Roman"/>
          <w:i/>
          <w:sz w:val="24"/>
          <w:szCs w:val="24"/>
        </w:rPr>
        <w:t>Annual Report</w:t>
      </w:r>
      <w:r>
        <w:rPr>
          <w:rFonts w:ascii="Times New Roman" w:eastAsia="Times New Roman" w:hAnsi="Times New Roman" w:cs="Times New Roman"/>
          <w:sz w:val="24"/>
          <w:szCs w:val="24"/>
        </w:rPr>
        <w:t>. Washington: World Bank.</w:t>
      </w:r>
    </w:p>
    <w:p w14:paraId="291DD2E6" w14:textId="77777777" w:rsidR="00CF2E0B" w:rsidRDefault="00CF2E0B">
      <w:pPr>
        <w:spacing w:line="240" w:lineRule="auto"/>
        <w:jc w:val="both"/>
        <w:rPr>
          <w:rFonts w:ascii="Times New Roman" w:eastAsia="Times New Roman" w:hAnsi="Times New Roman" w:cs="Times New Roman"/>
          <w:sz w:val="24"/>
          <w:szCs w:val="24"/>
        </w:rPr>
      </w:pPr>
    </w:p>
    <w:p w14:paraId="78307C72" w14:textId="77777777" w:rsidR="00CF2E0B" w:rsidRDefault="00CF2E0B">
      <w:pPr>
        <w:spacing w:line="240" w:lineRule="auto"/>
        <w:jc w:val="both"/>
        <w:rPr>
          <w:rFonts w:ascii="Times New Roman" w:eastAsia="Times New Roman" w:hAnsi="Times New Roman" w:cs="Times New Roman"/>
          <w:sz w:val="24"/>
          <w:szCs w:val="24"/>
        </w:rPr>
      </w:pPr>
    </w:p>
    <w:p w14:paraId="772318C6" w14:textId="77777777" w:rsidR="00CF2E0B" w:rsidRDefault="00CF2E0B">
      <w:pPr>
        <w:spacing w:line="240" w:lineRule="auto"/>
        <w:jc w:val="both"/>
        <w:rPr>
          <w:rFonts w:ascii="Times New Roman" w:eastAsia="Times New Roman" w:hAnsi="Times New Roman" w:cs="Times New Roman"/>
          <w:sz w:val="24"/>
          <w:szCs w:val="24"/>
        </w:rPr>
      </w:pPr>
    </w:p>
    <w:p w14:paraId="187A4B69" w14:textId="77777777" w:rsidR="00CF2E0B" w:rsidRDefault="00CF2E0B">
      <w:pPr>
        <w:spacing w:line="240" w:lineRule="auto"/>
        <w:jc w:val="both"/>
        <w:rPr>
          <w:rFonts w:ascii="Times New Roman" w:eastAsia="Times New Roman" w:hAnsi="Times New Roman" w:cs="Times New Roman"/>
          <w:sz w:val="24"/>
          <w:szCs w:val="24"/>
        </w:rPr>
      </w:pPr>
    </w:p>
    <w:p w14:paraId="26ABA8C7" w14:textId="77777777" w:rsidR="00CF2E0B" w:rsidRDefault="00CF2E0B">
      <w:pPr>
        <w:spacing w:line="240" w:lineRule="auto"/>
        <w:jc w:val="both"/>
        <w:rPr>
          <w:rFonts w:ascii="Times New Roman" w:eastAsia="Times New Roman" w:hAnsi="Times New Roman" w:cs="Times New Roman"/>
          <w:sz w:val="24"/>
          <w:szCs w:val="24"/>
        </w:rPr>
      </w:pPr>
    </w:p>
    <w:sectPr w:rsidR="00CF2E0B">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7144" w14:textId="77777777" w:rsidR="00B04292" w:rsidRDefault="00B04292">
      <w:pPr>
        <w:spacing w:after="0" w:line="240" w:lineRule="auto"/>
      </w:pPr>
      <w:r>
        <w:separator/>
      </w:r>
    </w:p>
  </w:endnote>
  <w:endnote w:type="continuationSeparator" w:id="0">
    <w:p w14:paraId="36FF979A" w14:textId="77777777" w:rsidR="00B04292" w:rsidRDefault="00B0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3EF" w14:textId="77777777" w:rsidR="00B04292" w:rsidRDefault="00B0429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F16D9">
      <w:rPr>
        <w:noProof/>
        <w:color w:val="000000"/>
      </w:rPr>
      <w:t>17</w:t>
    </w:r>
    <w:r>
      <w:rPr>
        <w:color w:val="000000"/>
      </w:rPr>
      <w:fldChar w:fldCharType="end"/>
    </w:r>
  </w:p>
  <w:p w14:paraId="61633976" w14:textId="77777777" w:rsidR="00B04292" w:rsidRDefault="00B0429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BA31" w14:textId="77777777" w:rsidR="00B04292" w:rsidRDefault="00B04292">
      <w:pPr>
        <w:spacing w:after="0" w:line="240" w:lineRule="auto"/>
      </w:pPr>
      <w:r>
        <w:separator/>
      </w:r>
    </w:p>
  </w:footnote>
  <w:footnote w:type="continuationSeparator" w:id="0">
    <w:p w14:paraId="1591B893" w14:textId="77777777" w:rsidR="00B04292" w:rsidRDefault="00B04292">
      <w:pPr>
        <w:spacing w:after="0" w:line="240" w:lineRule="auto"/>
      </w:pPr>
      <w:r>
        <w:continuationSeparator/>
      </w:r>
    </w:p>
  </w:footnote>
  <w:footnote w:id="1">
    <w:p w14:paraId="72BF726D" w14:textId="77777777" w:rsidR="00B04292" w:rsidRDefault="00B0429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 1952, for example, </w:t>
      </w:r>
      <w:r>
        <w:rPr>
          <w:i/>
          <w:color w:val="000000"/>
          <w:sz w:val="20"/>
          <w:szCs w:val="20"/>
        </w:rPr>
        <w:t xml:space="preserve">The Economist </w:t>
      </w:r>
      <w:r>
        <w:rPr>
          <w:color w:val="000000"/>
          <w:sz w:val="20"/>
          <w:szCs w:val="20"/>
        </w:rPr>
        <w:t xml:space="preserve">(651) lamented the ‘trend toward megalomania… of </w:t>
      </w:r>
      <w:r>
        <w:rPr>
          <w:i/>
          <w:color w:val="000000"/>
          <w:sz w:val="20"/>
          <w:szCs w:val="20"/>
        </w:rPr>
        <w:t>the</w:t>
      </w:r>
      <w:r>
        <w:rPr>
          <w:color w:val="000000"/>
          <w:sz w:val="20"/>
          <w:szCs w:val="20"/>
        </w:rPr>
        <w:t xml:space="preserve"> </w:t>
      </w:r>
      <w:r>
        <w:rPr>
          <w:i/>
          <w:color w:val="000000"/>
          <w:sz w:val="20"/>
          <w:szCs w:val="20"/>
        </w:rPr>
        <w:t>Bretton Woods twins</w:t>
      </w:r>
      <w:r>
        <w:rPr>
          <w:color w:val="000000"/>
          <w:sz w:val="20"/>
          <w:szCs w:val="20"/>
        </w:rPr>
        <w:t>’ (</w:t>
      </w:r>
      <w:r>
        <w:rPr>
          <w:i/>
          <w:color w:val="000000"/>
          <w:sz w:val="20"/>
          <w:szCs w:val="20"/>
        </w:rPr>
        <w:t>emphasis</w:t>
      </w:r>
      <w:r>
        <w:rPr>
          <w:color w:val="000000"/>
          <w:sz w:val="20"/>
          <w:szCs w:val="20"/>
        </w:rPr>
        <w:t xml:space="preserve"> added).</w:t>
      </w:r>
    </w:p>
  </w:footnote>
  <w:footnote w:id="2">
    <w:p w14:paraId="3595A44D" w14:textId="77777777" w:rsidR="00B04292" w:rsidRDefault="00B04292" w:rsidP="00576F7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For World Bank staff figures, see World Bank (2021: 91). For IMF figures, see ‘Corporate Responsibility’ on IMF official website, available at </w:t>
      </w:r>
      <w:hyperlink r:id="rId1">
        <w:r>
          <w:rPr>
            <w:color w:val="0563C1"/>
            <w:sz w:val="20"/>
            <w:szCs w:val="20"/>
            <w:u w:val="single"/>
          </w:rPr>
          <w:t>https://www.imf.org/en/About/corporate-responsibility-sheet</w:t>
        </w:r>
      </w:hyperlink>
      <w:r>
        <w:rPr>
          <w:color w:val="000000"/>
          <w:sz w:val="20"/>
          <w:szCs w:val="20"/>
        </w:rPr>
        <w:t>. Accessed 5</w:t>
      </w:r>
      <w:r>
        <w:rPr>
          <w:color w:val="000000"/>
          <w:sz w:val="20"/>
          <w:szCs w:val="20"/>
          <w:vertAlign w:val="superscript"/>
        </w:rPr>
        <w:t>th</w:t>
      </w:r>
      <w:r>
        <w:rPr>
          <w:color w:val="000000"/>
          <w:sz w:val="20"/>
          <w:szCs w:val="20"/>
        </w:rPr>
        <w:t xml:space="preserve"> </w:t>
      </w:r>
      <w:proofErr w:type="gramStart"/>
      <w:r>
        <w:rPr>
          <w:color w:val="000000"/>
          <w:sz w:val="20"/>
          <w:szCs w:val="20"/>
        </w:rPr>
        <w:t>August,</w:t>
      </w:r>
      <w:proofErr w:type="gramEnd"/>
      <w:r>
        <w:rPr>
          <w:color w:val="000000"/>
          <w:sz w:val="20"/>
          <w:szCs w:val="20"/>
        </w:rPr>
        <w:t xml:space="preserve"> 2022.</w:t>
      </w:r>
    </w:p>
  </w:footnote>
  <w:footnote w:id="3">
    <w:p w14:paraId="48CCFC9B" w14:textId="77777777" w:rsidR="00B04292" w:rsidRDefault="00B0429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Quoted in Malan (2007: 19).</w:t>
      </w:r>
    </w:p>
  </w:footnote>
  <w:footnote w:id="4">
    <w:p w14:paraId="7B03AFF4" w14:textId="77777777" w:rsidR="00B04292" w:rsidRDefault="00B04292">
      <w:pPr>
        <w:pStyle w:val="FootnoteText"/>
      </w:pPr>
      <w:r>
        <w:rPr>
          <w:rStyle w:val="FootnoteReference"/>
        </w:rPr>
        <w:footnoteRef/>
      </w:r>
      <w:r>
        <w:t xml:space="preserve"> FSAPs focusing on low- and middle-income countries involved joint work of this type from Fund and Bank staff. Where FSAPs focused on higher-income states ineligible to borrow from the World Bank, the FSAP was completed solely by Fund staff.</w:t>
      </w:r>
    </w:p>
  </w:footnote>
  <w:footnote w:id="5">
    <w:p w14:paraId="57822830" w14:textId="77777777" w:rsidR="00B04292" w:rsidRDefault="00B04292">
      <w:pPr>
        <w:pStyle w:val="FootnoteText"/>
      </w:pPr>
      <w:r>
        <w:rPr>
          <w:rStyle w:val="FootnoteReference"/>
        </w:rPr>
        <w:footnoteRef/>
      </w:r>
      <w:r>
        <w:t xml:space="preserve"> Kupiec (2005: 76) highlights the negative impact from this</w:t>
      </w:r>
      <w:r w:rsidRPr="00287BF1">
        <w:t xml:space="preserve"> restricted access data on financial institutions’ positions and performance also hampered staff ability to produce robust FSAP evaluations. The Dominican Republic FSAP of 2002 provided an illustration of this issue, with the Fund and Bank evaluators failing to detect fraudulent accounting that subsequently trigged a domestic crisis (Kupiec 2005: 76). In a more recent intervention Kupiec (2020) continues to highlight challenges associated with FSAP, particularly relating to the limitations from data shortages on ability to assess institutions’ and systemic stability.</w:t>
      </w:r>
    </w:p>
  </w:footnote>
  <w:footnote w:id="6">
    <w:p w14:paraId="374C9FB7" w14:textId="77777777" w:rsidR="00B04292" w:rsidRDefault="00B04292">
      <w:pPr>
        <w:pStyle w:val="FootnoteText"/>
      </w:pPr>
      <w:r>
        <w:rPr>
          <w:rStyle w:val="FootnoteReference"/>
        </w:rPr>
        <w:footnoteRef/>
      </w:r>
      <w:r>
        <w:t xml:space="preserve"> World Bank Articles of Agreement, Article 1 Paragraph (</w:t>
      </w:r>
      <w:proofErr w:type="spellStart"/>
      <w:r>
        <w:t>i</w:t>
      </w:r>
      <w:proofErr w:type="spellEnd"/>
      <w:r>
        <w:t xml:space="preserve">). See ‘Articles of Agreement’ on World Bank official website, available at </w:t>
      </w:r>
      <w:hyperlink r:id="rId2" w:history="1">
        <w:r w:rsidRPr="009C7D57">
          <w:rPr>
            <w:rStyle w:val="Hyperlink"/>
          </w:rPr>
          <w:t>https://www.worldbank.org/en/about/articles-of-agreement</w:t>
        </w:r>
      </w:hyperlink>
      <w:r>
        <w:t>. Accessed 30</w:t>
      </w:r>
      <w:r w:rsidRPr="00836519">
        <w:rPr>
          <w:vertAlign w:val="superscript"/>
        </w:rPr>
        <w:t>th</w:t>
      </w:r>
      <w:r>
        <w:t xml:space="preserve"> </w:t>
      </w:r>
      <w:proofErr w:type="gramStart"/>
      <w:r>
        <w:t>June,</w:t>
      </w:r>
      <w:proofErr w:type="gramEnd"/>
      <w:r>
        <w:t xml:space="preserve"> 2023.</w:t>
      </w:r>
    </w:p>
  </w:footnote>
  <w:footnote w:id="7">
    <w:p w14:paraId="11980700" w14:textId="77777777" w:rsidR="00B04292" w:rsidRDefault="00B04292">
      <w:pPr>
        <w:pStyle w:val="FootnoteText"/>
      </w:pPr>
      <w:r>
        <w:rPr>
          <w:rStyle w:val="FootnoteReference"/>
        </w:rPr>
        <w:footnoteRef/>
      </w:r>
      <w:r>
        <w:t xml:space="preserve"> IMF Articles of Agreement, Article 1 Paragraph (v). See ‘Articles of Agreement’ on IMF official website, available at </w:t>
      </w:r>
      <w:hyperlink r:id="rId3" w:history="1">
        <w:r w:rsidRPr="009C7D57">
          <w:rPr>
            <w:rStyle w:val="Hyperlink"/>
          </w:rPr>
          <w:t>https://www.imf.org/external/pubs/ft/aa/index.htm</w:t>
        </w:r>
      </w:hyperlink>
      <w:r>
        <w:t>. Accessed 30</w:t>
      </w:r>
      <w:r w:rsidRPr="00EB51E1">
        <w:rPr>
          <w:vertAlign w:val="superscript"/>
        </w:rPr>
        <w:t>th</w:t>
      </w:r>
      <w:r>
        <w:t xml:space="preserve"> </w:t>
      </w:r>
      <w:proofErr w:type="gramStart"/>
      <w:r>
        <w:t>June,</w:t>
      </w:r>
      <w:proofErr w:type="gramEnd"/>
      <w:r>
        <w:t xml:space="preserve"> 2023.</w:t>
      </w:r>
    </w:p>
  </w:footnote>
  <w:footnote w:id="8">
    <w:p w14:paraId="10514479" w14:textId="77777777" w:rsidR="00697B5B" w:rsidRDefault="00697B5B">
      <w:pPr>
        <w:pStyle w:val="FootnoteText"/>
      </w:pPr>
      <w:r>
        <w:rPr>
          <w:rStyle w:val="FootnoteReference"/>
        </w:rPr>
        <w:footnoteRef/>
      </w:r>
      <w:r>
        <w:t xml:space="preserve"> The IMF staff interviewee quoted in </w:t>
      </w:r>
      <w:proofErr w:type="spellStart"/>
      <w:r>
        <w:t>Kentikelenis</w:t>
      </w:r>
      <w:proofErr w:type="spellEnd"/>
      <w:r>
        <w:t xml:space="preserve"> et al (2022: 57) provides a clear sense of frustration at these developments: ‘</w:t>
      </w:r>
      <w:r w:rsidRPr="00697B5B">
        <w:t>[With the CCDR] the World Bank has started doing pretty much the same exercise as the CCPA, but poured vast amounts of resources into it… They wanted to develop their own niche on climate change issues’</w:t>
      </w:r>
      <w:r w:rsidR="00006ADD">
        <w:t>.</w:t>
      </w:r>
    </w:p>
  </w:footnote>
  <w:footnote w:id="9">
    <w:p w14:paraId="18BC95A6" w14:textId="77777777" w:rsidR="00752B71" w:rsidRDefault="00752B71" w:rsidP="00752B7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Nationally Determined Contributions are the emissions reduction targets that are publicly set and reported by signatories of the 2015 Paris Agreement, a cornerstone of the UNFCCC. See UNFCCC official website, available at </w:t>
      </w:r>
      <w:hyperlink r:id="rId4">
        <w:r>
          <w:rPr>
            <w:color w:val="0563C1"/>
            <w:sz w:val="20"/>
            <w:szCs w:val="20"/>
            <w:u w:val="single"/>
          </w:rPr>
          <w:t>https://unfccc.int/process-and-meetings/the-paris-agreement/nationally-determined-contributions-ndcs/nationally-determined-contributions-ndcs</w:t>
        </w:r>
      </w:hyperlink>
      <w:r>
        <w:rPr>
          <w:color w:val="000000"/>
          <w:sz w:val="20"/>
          <w:szCs w:val="20"/>
        </w:rPr>
        <w:t>. Accessed 15</w:t>
      </w:r>
      <w:r>
        <w:rPr>
          <w:color w:val="000000"/>
          <w:sz w:val="20"/>
          <w:szCs w:val="20"/>
          <w:vertAlign w:val="superscript"/>
        </w:rPr>
        <w:t>th</w:t>
      </w:r>
      <w:r>
        <w:rPr>
          <w:color w:val="000000"/>
          <w:sz w:val="20"/>
          <w:szCs w:val="20"/>
        </w:rPr>
        <w:t xml:space="preserve"> </w:t>
      </w:r>
      <w:proofErr w:type="gramStart"/>
      <w:r>
        <w:rPr>
          <w:color w:val="000000"/>
          <w:sz w:val="20"/>
          <w:szCs w:val="20"/>
        </w:rPr>
        <w:t>September,</w:t>
      </w:r>
      <w:proofErr w:type="gramEnd"/>
      <w:r>
        <w:rPr>
          <w:color w:val="000000"/>
          <w:sz w:val="20"/>
          <w:szCs w:val="20"/>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947F" w14:textId="6711CA54" w:rsidR="00B04292" w:rsidRDefault="00277D93">
    <w:pPr>
      <w:pBdr>
        <w:top w:val="nil"/>
        <w:left w:val="nil"/>
        <w:bottom w:val="nil"/>
        <w:right w:val="nil"/>
        <w:between w:val="nil"/>
      </w:pBdr>
      <w:tabs>
        <w:tab w:val="center" w:pos="4513"/>
        <w:tab w:val="right" w:pos="9026"/>
      </w:tabs>
      <w:spacing w:after="0" w:line="240" w:lineRule="auto"/>
      <w:jc w:val="center"/>
      <w:rPr>
        <w:color w:val="000000"/>
      </w:rPr>
    </w:pPr>
    <w:r>
      <w:rPr>
        <w:color w:val="000000"/>
      </w:rPr>
      <w:t>Pre-print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0B"/>
    <w:rsid w:val="00000169"/>
    <w:rsid w:val="00006ADD"/>
    <w:rsid w:val="00027201"/>
    <w:rsid w:val="00034FB5"/>
    <w:rsid w:val="0005378C"/>
    <w:rsid w:val="000A6371"/>
    <w:rsid w:val="000B758F"/>
    <w:rsid w:val="000E57DC"/>
    <w:rsid w:val="00121CA6"/>
    <w:rsid w:val="00175F09"/>
    <w:rsid w:val="001A7AFB"/>
    <w:rsid w:val="001B5BEF"/>
    <w:rsid w:val="001E1935"/>
    <w:rsid w:val="002243B0"/>
    <w:rsid w:val="00242049"/>
    <w:rsid w:val="00253C86"/>
    <w:rsid w:val="002671D6"/>
    <w:rsid w:val="00277D93"/>
    <w:rsid w:val="00280BA3"/>
    <w:rsid w:val="00283705"/>
    <w:rsid w:val="00287BF1"/>
    <w:rsid w:val="002C11F6"/>
    <w:rsid w:val="00306F01"/>
    <w:rsid w:val="00390F0D"/>
    <w:rsid w:val="003B150D"/>
    <w:rsid w:val="003C0E80"/>
    <w:rsid w:val="003C5B29"/>
    <w:rsid w:val="003D3AE5"/>
    <w:rsid w:val="003D76FA"/>
    <w:rsid w:val="00405649"/>
    <w:rsid w:val="00411B20"/>
    <w:rsid w:val="004263D8"/>
    <w:rsid w:val="0044721B"/>
    <w:rsid w:val="004740D3"/>
    <w:rsid w:val="00475DB7"/>
    <w:rsid w:val="004766A8"/>
    <w:rsid w:val="00487F02"/>
    <w:rsid w:val="004C1219"/>
    <w:rsid w:val="00502C3C"/>
    <w:rsid w:val="00520131"/>
    <w:rsid w:val="00520E07"/>
    <w:rsid w:val="0053210E"/>
    <w:rsid w:val="00546FF6"/>
    <w:rsid w:val="00576868"/>
    <w:rsid w:val="00576F7D"/>
    <w:rsid w:val="00581B00"/>
    <w:rsid w:val="005F0839"/>
    <w:rsid w:val="00626DFA"/>
    <w:rsid w:val="0066739A"/>
    <w:rsid w:val="00675597"/>
    <w:rsid w:val="006949E7"/>
    <w:rsid w:val="00697B5B"/>
    <w:rsid w:val="006D04BE"/>
    <w:rsid w:val="006D09AD"/>
    <w:rsid w:val="006D3B29"/>
    <w:rsid w:val="006D54EB"/>
    <w:rsid w:val="007335AD"/>
    <w:rsid w:val="00741B8F"/>
    <w:rsid w:val="007431BA"/>
    <w:rsid w:val="00752B71"/>
    <w:rsid w:val="00796B34"/>
    <w:rsid w:val="007B4F1F"/>
    <w:rsid w:val="007C122C"/>
    <w:rsid w:val="007F1EBB"/>
    <w:rsid w:val="007F31A6"/>
    <w:rsid w:val="00812AED"/>
    <w:rsid w:val="00836519"/>
    <w:rsid w:val="008371D0"/>
    <w:rsid w:val="00881DE7"/>
    <w:rsid w:val="0089273D"/>
    <w:rsid w:val="008C701B"/>
    <w:rsid w:val="008D5712"/>
    <w:rsid w:val="009042FE"/>
    <w:rsid w:val="009145C3"/>
    <w:rsid w:val="00944395"/>
    <w:rsid w:val="00947919"/>
    <w:rsid w:val="00955104"/>
    <w:rsid w:val="0097083E"/>
    <w:rsid w:val="00995E67"/>
    <w:rsid w:val="00996F49"/>
    <w:rsid w:val="009C1F28"/>
    <w:rsid w:val="00A02EB2"/>
    <w:rsid w:val="00A61B4C"/>
    <w:rsid w:val="00A709A4"/>
    <w:rsid w:val="00A77816"/>
    <w:rsid w:val="00A97B84"/>
    <w:rsid w:val="00AC2CCA"/>
    <w:rsid w:val="00B04292"/>
    <w:rsid w:val="00B302FE"/>
    <w:rsid w:val="00B34994"/>
    <w:rsid w:val="00B479C0"/>
    <w:rsid w:val="00B54DD3"/>
    <w:rsid w:val="00B8437B"/>
    <w:rsid w:val="00B9015E"/>
    <w:rsid w:val="00B901E9"/>
    <w:rsid w:val="00BD0D2F"/>
    <w:rsid w:val="00BD670E"/>
    <w:rsid w:val="00BF16D9"/>
    <w:rsid w:val="00C31E88"/>
    <w:rsid w:val="00C63A86"/>
    <w:rsid w:val="00CD23DF"/>
    <w:rsid w:val="00CD6B6C"/>
    <w:rsid w:val="00CF0858"/>
    <w:rsid w:val="00CF2E0B"/>
    <w:rsid w:val="00D07376"/>
    <w:rsid w:val="00D304BD"/>
    <w:rsid w:val="00D30DA0"/>
    <w:rsid w:val="00D37054"/>
    <w:rsid w:val="00D440CF"/>
    <w:rsid w:val="00D44BD7"/>
    <w:rsid w:val="00D4750F"/>
    <w:rsid w:val="00D50A3D"/>
    <w:rsid w:val="00D6785B"/>
    <w:rsid w:val="00DC0391"/>
    <w:rsid w:val="00DF0364"/>
    <w:rsid w:val="00DF221E"/>
    <w:rsid w:val="00E06281"/>
    <w:rsid w:val="00E3054F"/>
    <w:rsid w:val="00E53F7B"/>
    <w:rsid w:val="00E656BA"/>
    <w:rsid w:val="00E97144"/>
    <w:rsid w:val="00EA4912"/>
    <w:rsid w:val="00EA54FD"/>
    <w:rsid w:val="00EB15E0"/>
    <w:rsid w:val="00EB1DD4"/>
    <w:rsid w:val="00EB51E1"/>
    <w:rsid w:val="00EE59A8"/>
    <w:rsid w:val="00F218BC"/>
    <w:rsid w:val="00F2458F"/>
    <w:rsid w:val="00F45D78"/>
    <w:rsid w:val="00F5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E558"/>
  <w15:docId w15:val="{6656B4B7-07EB-41C5-89BD-A927B574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14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0E6"/>
  </w:style>
  <w:style w:type="paragraph" w:styleId="Footer">
    <w:name w:val="footer"/>
    <w:basedOn w:val="Normal"/>
    <w:link w:val="FooterChar"/>
    <w:uiPriority w:val="99"/>
    <w:unhideWhenUsed/>
    <w:rsid w:val="00C14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0E6"/>
  </w:style>
  <w:style w:type="paragraph" w:styleId="FootnoteText">
    <w:name w:val="footnote text"/>
    <w:basedOn w:val="Normal"/>
    <w:link w:val="FootnoteTextChar"/>
    <w:uiPriority w:val="99"/>
    <w:semiHidden/>
    <w:unhideWhenUsed/>
    <w:rsid w:val="00666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6FF5"/>
    <w:rPr>
      <w:sz w:val="20"/>
      <w:szCs w:val="20"/>
    </w:rPr>
  </w:style>
  <w:style w:type="character" w:styleId="FootnoteReference">
    <w:name w:val="footnote reference"/>
    <w:basedOn w:val="DefaultParagraphFont"/>
    <w:uiPriority w:val="99"/>
    <w:semiHidden/>
    <w:unhideWhenUsed/>
    <w:rsid w:val="00666FF5"/>
    <w:rPr>
      <w:vertAlign w:val="superscript"/>
    </w:rPr>
  </w:style>
  <w:style w:type="character" w:styleId="Hyperlink">
    <w:name w:val="Hyperlink"/>
    <w:basedOn w:val="DefaultParagraphFont"/>
    <w:uiPriority w:val="99"/>
    <w:unhideWhenUsed/>
    <w:rsid w:val="009C385D"/>
    <w:rPr>
      <w:color w:val="0563C1" w:themeColor="hyperlink"/>
      <w:u w:val="single"/>
    </w:rPr>
  </w:style>
  <w:style w:type="character" w:customStyle="1" w:styleId="UnresolvedMention1">
    <w:name w:val="Unresolved Mention1"/>
    <w:basedOn w:val="DefaultParagraphFont"/>
    <w:uiPriority w:val="99"/>
    <w:semiHidden/>
    <w:unhideWhenUsed/>
    <w:rsid w:val="009C385D"/>
    <w:rPr>
      <w:color w:val="605E5C"/>
      <w:shd w:val="clear" w:color="auto" w:fill="E1DFDD"/>
    </w:rPr>
  </w:style>
  <w:style w:type="character" w:styleId="FollowedHyperlink">
    <w:name w:val="FollowedHyperlink"/>
    <w:basedOn w:val="DefaultParagraphFont"/>
    <w:uiPriority w:val="99"/>
    <w:semiHidden/>
    <w:unhideWhenUsed/>
    <w:rsid w:val="00D07E39"/>
    <w:rPr>
      <w:color w:val="954F72" w:themeColor="followedHyperlink"/>
      <w:u w:val="single"/>
    </w:rPr>
  </w:style>
  <w:style w:type="paragraph" w:styleId="BalloonText">
    <w:name w:val="Balloon Text"/>
    <w:basedOn w:val="Normal"/>
    <w:link w:val="BalloonTextChar"/>
    <w:uiPriority w:val="99"/>
    <w:semiHidden/>
    <w:unhideWhenUsed/>
    <w:rsid w:val="005B5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972"/>
    <w:rPr>
      <w:rFonts w:ascii="Segoe UI" w:hAnsi="Segoe UI" w:cs="Segoe UI"/>
      <w:sz w:val="18"/>
      <w:szCs w:val="18"/>
    </w:rPr>
  </w:style>
  <w:style w:type="character" w:customStyle="1" w:styleId="UnresolvedMention2">
    <w:name w:val="Unresolved Mention2"/>
    <w:basedOn w:val="DefaultParagraphFont"/>
    <w:uiPriority w:val="99"/>
    <w:semiHidden/>
    <w:unhideWhenUsed/>
    <w:rsid w:val="00C44AA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93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mf.org/external/pubs/ft/aa/index.htm" TargetMode="External"/><Relationship Id="rId2" Type="http://schemas.openxmlformats.org/officeDocument/2006/relationships/hyperlink" Target="https://www.worldbank.org/en/about/articles-of-agreement" TargetMode="External"/><Relationship Id="rId1" Type="http://schemas.openxmlformats.org/officeDocument/2006/relationships/hyperlink" Target="https://www.imf.org/en/About/corporate-responsibility-sheet" TargetMode="External"/><Relationship Id="rId4" Type="http://schemas.openxmlformats.org/officeDocument/2006/relationships/hyperlink" Target="https://unfccc.int/process-and-meetings/the-paris-agreement/nationally-determined-contributions-ndcs/nationally-determined-contributions-ndc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fs\lc794\w2k\Desktop\Draft%20Outputs\IMF%20Handbook%20Chapter\V20_WB_IM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fs\lc794\w2k\Desktop\Draft%20Outputs\IMF%20Handbook%20Chapter\V20_WB_IMF.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v>Present</c:v>
          </c:tx>
          <c:spPr>
            <a:solidFill>
              <a:schemeClr val="accent3">
                <a:shade val="76000"/>
              </a:schemeClr>
            </a:solidFill>
            <a:ln>
              <a:noFill/>
            </a:ln>
            <a:effectLst/>
          </c:spPr>
          <c:invertIfNegative val="0"/>
          <c:cat>
            <c:numRef>
              <c:f>Sheet1!$M$19:$M$22</c:f>
              <c:numCache>
                <c:formatCode>General</c:formatCode>
                <c:ptCount val="4"/>
                <c:pt idx="0">
                  <c:v>2018</c:v>
                </c:pt>
                <c:pt idx="1">
                  <c:v>2019</c:v>
                </c:pt>
                <c:pt idx="2">
                  <c:v>2021</c:v>
                </c:pt>
                <c:pt idx="3">
                  <c:v>2022</c:v>
                </c:pt>
              </c:numCache>
            </c:numRef>
          </c:cat>
          <c:val>
            <c:numRef>
              <c:f>Sheet1!$N$19:$N$22</c:f>
              <c:numCache>
                <c:formatCode>General</c:formatCode>
                <c:ptCount val="4"/>
                <c:pt idx="0">
                  <c:v>2</c:v>
                </c:pt>
                <c:pt idx="1">
                  <c:v>6</c:v>
                </c:pt>
                <c:pt idx="2">
                  <c:v>16</c:v>
                </c:pt>
                <c:pt idx="3">
                  <c:v>7</c:v>
                </c:pt>
              </c:numCache>
            </c:numRef>
          </c:val>
          <c:extLst>
            <c:ext xmlns:c16="http://schemas.microsoft.com/office/drawing/2014/chart" uri="{C3380CC4-5D6E-409C-BE32-E72D297353CC}">
              <c16:uniqueId val="{00000000-ABB4-43AC-8D50-951B85CBA28D}"/>
            </c:ext>
          </c:extLst>
        </c:ser>
        <c:ser>
          <c:idx val="1"/>
          <c:order val="1"/>
          <c:tx>
            <c:v>Not present</c:v>
          </c:tx>
          <c:spPr>
            <a:solidFill>
              <a:schemeClr val="accent3">
                <a:tint val="77000"/>
              </a:schemeClr>
            </a:solidFill>
            <a:ln>
              <a:noFill/>
            </a:ln>
            <a:effectLst/>
          </c:spPr>
          <c:invertIfNegative val="0"/>
          <c:cat>
            <c:numRef>
              <c:f>Sheet1!$M$19:$M$22</c:f>
              <c:numCache>
                <c:formatCode>General</c:formatCode>
                <c:ptCount val="4"/>
                <c:pt idx="0">
                  <c:v>2018</c:v>
                </c:pt>
                <c:pt idx="1">
                  <c:v>2019</c:v>
                </c:pt>
                <c:pt idx="2">
                  <c:v>2021</c:v>
                </c:pt>
                <c:pt idx="3">
                  <c:v>2022</c:v>
                </c:pt>
              </c:numCache>
            </c:numRef>
          </c:cat>
          <c:val>
            <c:numRef>
              <c:f>Sheet1!$O$19:$O$22</c:f>
              <c:numCache>
                <c:formatCode>General</c:formatCode>
                <c:ptCount val="4"/>
                <c:pt idx="0">
                  <c:v>3</c:v>
                </c:pt>
                <c:pt idx="1">
                  <c:v>4</c:v>
                </c:pt>
                <c:pt idx="2">
                  <c:v>0</c:v>
                </c:pt>
                <c:pt idx="3">
                  <c:v>0</c:v>
                </c:pt>
              </c:numCache>
            </c:numRef>
          </c:val>
          <c:extLst>
            <c:ext xmlns:c16="http://schemas.microsoft.com/office/drawing/2014/chart" uri="{C3380CC4-5D6E-409C-BE32-E72D297353CC}">
              <c16:uniqueId val="{00000001-ABB4-43AC-8D50-951B85CBA28D}"/>
            </c:ext>
          </c:extLst>
        </c:ser>
        <c:dLbls>
          <c:showLegendKey val="0"/>
          <c:showVal val="0"/>
          <c:showCatName val="0"/>
          <c:showSerName val="0"/>
          <c:showPercent val="0"/>
          <c:showBubbleSize val="0"/>
        </c:dLbls>
        <c:gapWidth val="219"/>
        <c:overlap val="-27"/>
        <c:axId val="1777362208"/>
        <c:axId val="1772375584"/>
      </c:barChart>
      <c:catAx>
        <c:axId val="177736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2375584"/>
        <c:crosses val="autoZero"/>
        <c:auto val="1"/>
        <c:lblAlgn val="ctr"/>
        <c:lblOffset val="100"/>
        <c:noMultiLvlLbl val="0"/>
      </c:catAx>
      <c:valAx>
        <c:axId val="1772375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a:t>
                </a:r>
                <a:r>
                  <a:rPr lang="en-GB" baseline="0"/>
                  <a:t> Article </a:t>
                </a:r>
              </a:p>
              <a:p>
                <a:pPr>
                  <a:defRPr/>
                </a:pPr>
                <a:r>
                  <a:rPr lang="en-GB" baseline="0"/>
                  <a:t>IV reports </a:t>
                </a:r>
                <a:endParaRPr lang="en-GB"/>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36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cat>
            <c:strRef>
              <c:f>Sheet1!$N$2:$N$6</c:f>
              <c:strCache>
                <c:ptCount val="5"/>
                <c:pt idx="0">
                  <c:v>0</c:v>
                </c:pt>
                <c:pt idx="1">
                  <c:v> 1-10</c:v>
                </c:pt>
                <c:pt idx="2">
                  <c:v> 11-20</c:v>
                </c:pt>
                <c:pt idx="3">
                  <c:v> 21-30</c:v>
                </c:pt>
                <c:pt idx="4">
                  <c:v> 31+</c:v>
                </c:pt>
              </c:strCache>
            </c:strRef>
          </c:cat>
          <c:val>
            <c:numRef>
              <c:f>Sheet1!$O$2:$O$6</c:f>
              <c:numCache>
                <c:formatCode>General</c:formatCode>
                <c:ptCount val="5"/>
                <c:pt idx="0">
                  <c:v>7</c:v>
                </c:pt>
                <c:pt idx="1">
                  <c:v>16</c:v>
                </c:pt>
                <c:pt idx="2">
                  <c:v>4</c:v>
                </c:pt>
                <c:pt idx="3">
                  <c:v>4</c:v>
                </c:pt>
                <c:pt idx="4">
                  <c:v>5</c:v>
                </c:pt>
              </c:numCache>
            </c:numRef>
          </c:val>
          <c:extLst>
            <c:ext xmlns:c16="http://schemas.microsoft.com/office/drawing/2014/chart" uri="{C3380CC4-5D6E-409C-BE32-E72D297353CC}">
              <c16:uniqueId val="{00000000-DC70-47FB-9B09-173CC18441E5}"/>
            </c:ext>
          </c:extLst>
        </c:ser>
        <c:dLbls>
          <c:showLegendKey val="0"/>
          <c:showVal val="0"/>
          <c:showCatName val="0"/>
          <c:showSerName val="0"/>
          <c:showPercent val="0"/>
          <c:showBubbleSize val="0"/>
        </c:dLbls>
        <c:gapWidth val="219"/>
        <c:overlap val="-27"/>
        <c:axId val="461665920"/>
        <c:axId val="461663952"/>
      </c:barChart>
      <c:catAx>
        <c:axId val="46166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Frequency</a:t>
                </a:r>
                <a:r>
                  <a:rPr lang="en-GB" baseline="0"/>
                  <a:t> of reference to 'climate change'</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663952"/>
        <c:crosses val="autoZero"/>
        <c:auto val="1"/>
        <c:lblAlgn val="ctr"/>
        <c:lblOffset val="100"/>
        <c:noMultiLvlLbl val="0"/>
      </c:catAx>
      <c:valAx>
        <c:axId val="461663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Article </a:t>
                </a:r>
              </a:p>
              <a:p>
                <a:pPr>
                  <a:defRPr/>
                </a:pPr>
                <a:r>
                  <a:rPr lang="en-GB"/>
                  <a:t>IVs</a:t>
                </a:r>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66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cat>
            <c:strRef>
              <c:f>Sheet2!$J$12:$J$15</c:f>
              <c:strCache>
                <c:ptCount val="4"/>
                <c:pt idx="0">
                  <c:v> 1-10</c:v>
                </c:pt>
                <c:pt idx="1">
                  <c:v> 11-20</c:v>
                </c:pt>
                <c:pt idx="2">
                  <c:v> 21-30</c:v>
                </c:pt>
                <c:pt idx="3">
                  <c:v> 31+</c:v>
                </c:pt>
              </c:strCache>
            </c:strRef>
          </c:cat>
          <c:val>
            <c:numRef>
              <c:f>Sheet2!$K$12:$K$15</c:f>
              <c:numCache>
                <c:formatCode>General</c:formatCode>
                <c:ptCount val="4"/>
                <c:pt idx="0">
                  <c:v>2</c:v>
                </c:pt>
                <c:pt idx="1">
                  <c:v>4</c:v>
                </c:pt>
                <c:pt idx="2">
                  <c:v>6</c:v>
                </c:pt>
                <c:pt idx="3">
                  <c:v>12</c:v>
                </c:pt>
              </c:numCache>
            </c:numRef>
          </c:val>
          <c:extLst>
            <c:ext xmlns:c16="http://schemas.microsoft.com/office/drawing/2014/chart" uri="{C3380CC4-5D6E-409C-BE32-E72D297353CC}">
              <c16:uniqueId val="{00000000-3ACA-4245-AF99-FFB25C805C9E}"/>
            </c:ext>
          </c:extLst>
        </c:ser>
        <c:dLbls>
          <c:showLegendKey val="0"/>
          <c:showVal val="0"/>
          <c:showCatName val="0"/>
          <c:showSerName val="0"/>
          <c:showPercent val="0"/>
          <c:showBubbleSize val="0"/>
        </c:dLbls>
        <c:gapWidth val="219"/>
        <c:overlap val="-27"/>
        <c:axId val="451548168"/>
        <c:axId val="451543576"/>
      </c:barChart>
      <c:catAx>
        <c:axId val="451548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Frequency of references to 'climate change'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543576"/>
        <c:crosses val="autoZero"/>
        <c:auto val="1"/>
        <c:lblAlgn val="ctr"/>
        <c:lblOffset val="100"/>
        <c:noMultiLvlLbl val="0"/>
      </c:catAx>
      <c:valAx>
        <c:axId val="451543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CPS</a:t>
                </a:r>
              </a:p>
              <a:p>
                <a:pPr>
                  <a:defRPr/>
                </a:pPr>
                <a:r>
                  <a:rPr lang="en-GB"/>
                  <a:t>documents</a:t>
                </a:r>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548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trCu5O0VkRhbKnMz53bPUGAc4Q==">AMUW2mVPniYEHWpIFRP2ut1p7BJ6LW43bGxJWu+Fj2yUKNsXi4dIfnQX1h/O8zEVnomMIkF2sucr1scDJI5sjMedT3nRuYuqaupcT4JKjrqvSzbns7dLC2+j4AmDqfF5IXwDx3G9qWY2</go:docsCustomData>
</go:gDocsCustomXmlDataStorage>
</file>

<file path=customXml/itemProps1.xml><?xml version="1.0" encoding="utf-8"?>
<ds:datastoreItem xmlns:ds="http://schemas.openxmlformats.org/officeDocument/2006/customXml" ds:itemID="{B5BD18EC-9ECF-4B9E-9EB4-12A9214C8E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17</Pages>
  <Words>8643</Words>
  <Characters>49267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Clegg</dc:creator>
  <cp:lastModifiedBy>Liam Clegg</cp:lastModifiedBy>
  <cp:revision>42</cp:revision>
  <cp:lastPrinted>2023-07-05T13:38:00Z</cp:lastPrinted>
  <dcterms:created xsi:type="dcterms:W3CDTF">2023-05-17T11:24:00Z</dcterms:created>
  <dcterms:modified xsi:type="dcterms:W3CDTF">2026-01-29T13:17:00Z</dcterms:modified>
</cp:coreProperties>
</file>