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37F95" w:rsidRDefault="00000000">
      <w:pPr>
        <w:jc w:val="center"/>
        <w:rPr>
          <w:b/>
          <w:u w:val="single"/>
        </w:rPr>
      </w:pPr>
      <w:r>
        <w:t>Citizens</w:t>
      </w:r>
    </w:p>
    <w:p w14:paraId="00000002" w14:textId="77777777" w:rsidR="00737F95" w:rsidRDefault="00737F95">
      <w:pPr>
        <w:rPr>
          <w:b/>
          <w:u w:val="single"/>
        </w:rPr>
      </w:pPr>
    </w:p>
    <w:p w14:paraId="00000003" w14:textId="467078B3" w:rsidR="00737F95" w:rsidRDefault="00000000">
      <w:pPr>
        <w:rPr>
          <w:b/>
          <w:u w:val="single"/>
        </w:rPr>
      </w:pPr>
      <w:r>
        <w:rPr>
          <w:b/>
          <w:u w:val="single"/>
        </w:rPr>
        <w:t>Wh</w:t>
      </w:r>
      <w:r w:rsidR="005758B8">
        <w:rPr>
          <w:b/>
          <w:u w:val="single"/>
        </w:rPr>
        <w:t>o</w:t>
      </w:r>
      <w:r>
        <w:rPr>
          <w:b/>
          <w:u w:val="single"/>
        </w:rPr>
        <w:t xml:space="preserve"> was a ‘Citizen’?</w:t>
      </w:r>
    </w:p>
    <w:p w14:paraId="00000005" w14:textId="315538B3" w:rsidR="00737F95" w:rsidRDefault="00000000">
      <w:r>
        <w:t xml:space="preserve">Twenty-first-century readers perhaps associate the word ‘citizen’ with nations and states. The inhabitants of England in the later Middle Ages, however, were subjects </w:t>
      </w:r>
      <w:r w:rsidR="0066458B">
        <w:t xml:space="preserve">of the king, </w:t>
      </w:r>
      <w:r>
        <w:t>not citizens</w:t>
      </w:r>
      <w:r w:rsidR="0066458B">
        <w:t xml:space="preserve"> of a nation</w:t>
      </w:r>
      <w:r>
        <w:t xml:space="preserve">. The word ‘citizen’ did exist in late medieval England, but it referred to cities and towns rather than nations, realms, or states. A citizen was someone who </w:t>
      </w:r>
      <w:r w:rsidR="00AE0DD4">
        <w:t xml:space="preserve">swore </w:t>
      </w:r>
      <w:r>
        <w:t>an oath to be a member of an urban political community</w:t>
      </w:r>
      <w:r w:rsidR="007100D5">
        <w:t xml:space="preserve">: a person who </w:t>
      </w:r>
      <w:r w:rsidR="00AE0DD4">
        <w:t>paid</w:t>
      </w:r>
      <w:r>
        <w:t xml:space="preserve"> taxes to the local urban government, t</w:t>
      </w:r>
      <w:r w:rsidR="00AE0DD4">
        <w:t>ook</w:t>
      </w:r>
      <w:r>
        <w:t xml:space="preserve"> up municipal office when called upon, and contribute</w:t>
      </w:r>
      <w:r w:rsidR="00AE0DD4">
        <w:t>d</w:t>
      </w:r>
      <w:r>
        <w:t xml:space="preserve"> towards the defence of the city. In return, the citizen received the right to practice their trade within the city and to be tried by the city’s own law courts. Male citizens </w:t>
      </w:r>
      <w:r w:rsidR="004F43E2">
        <w:t xml:space="preserve">attended </w:t>
      </w:r>
      <w:r>
        <w:t xml:space="preserve">municipal assemblies, where civic officials were elected and where key business pertaining to the town (for instance, about </w:t>
      </w:r>
      <w:r w:rsidR="001E3891">
        <w:t xml:space="preserve">levying </w:t>
      </w:r>
      <w:r>
        <w:t>taxation) was discussed. Women could become citizens, but they were allowed only the economic benefits of citizenship and</w:t>
      </w:r>
      <w:r w:rsidR="00922571">
        <w:t xml:space="preserve"> rarely accorded political rights</w:t>
      </w:r>
      <w:r>
        <w:t xml:space="preserve">. </w:t>
      </w:r>
    </w:p>
    <w:p w14:paraId="00000006" w14:textId="63994FC3" w:rsidR="00737F95" w:rsidRDefault="00000000">
      <w:pPr>
        <w:rPr>
          <w:b/>
        </w:rPr>
      </w:pPr>
      <w:r>
        <w:t xml:space="preserve">Technically speaking, only a city could have citizens. In the Middle Ages, a city was defined as an urban settlement </w:t>
      </w:r>
      <w:r w:rsidR="00B1557F">
        <w:t xml:space="preserve">with </w:t>
      </w:r>
      <w:r>
        <w:t>a cathedral. Population size was not especially relevant. Wells, the seat of the bishop of Bath and Wells, was a city with citizens even though population estimates derived from tax records suggest it was the 44</w:t>
      </w:r>
      <w:r>
        <w:rPr>
          <w:vertAlign w:val="superscript"/>
        </w:rPr>
        <w:t>th</w:t>
      </w:r>
      <w:r>
        <w:t>-largest urban settlement in England in 1377 and the 74</w:t>
      </w:r>
      <w:r>
        <w:rPr>
          <w:vertAlign w:val="superscript"/>
        </w:rPr>
        <w:t>th</w:t>
      </w:r>
      <w:r>
        <w:t>-largest in 1524-5. Colchester, ranking 10</w:t>
      </w:r>
      <w:r>
        <w:rPr>
          <w:vertAlign w:val="superscript"/>
        </w:rPr>
        <w:t>th</w:t>
      </w:r>
      <w:r>
        <w:t xml:space="preserve"> and 9</w:t>
      </w:r>
      <w:r>
        <w:rPr>
          <w:vertAlign w:val="superscript"/>
        </w:rPr>
        <w:t>th</w:t>
      </w:r>
      <w:r>
        <w:t xml:space="preserve"> in the same data sets, had a population at least double the size of Wells’s but, lacking a cathedral, was not a city.</w:t>
      </w:r>
      <w:r>
        <w:rPr>
          <w:vertAlign w:val="superscript"/>
        </w:rPr>
        <w:footnoteReference w:id="1"/>
      </w:r>
      <w:r>
        <w:t xml:space="preserve"> Colchester was, instead, designated as a borough or town. It, too, had residents with privileges and responsibilities similar to citizens of a city; the only real difference was that in Colchester they were called burgesses. This chapter uses the term ‘citizen’ interchangeably with ‘burgess’, as the precise terminology did not necessarily affect the relationship between privileged inhabitants of towns and the English monarchy.</w:t>
      </w:r>
    </w:p>
    <w:p w14:paraId="1FED07BE" w14:textId="09053FD2" w:rsidR="00C474C5" w:rsidRDefault="00000000">
      <w:r>
        <w:t xml:space="preserve">Each town had its own </w:t>
      </w:r>
      <w:r w:rsidR="006D5FEC">
        <w:t xml:space="preserve">eligibility </w:t>
      </w:r>
      <w:r w:rsidR="00E25C3B">
        <w:t>criteria</w:t>
      </w:r>
      <w:r>
        <w:t xml:space="preserve"> for</w:t>
      </w:r>
      <w:r w:rsidR="006D5FEC">
        <w:t xml:space="preserve"> citizenship</w:t>
      </w:r>
      <w:r>
        <w:t xml:space="preserve">. Typical routes in larger towns were to inherit the status from a parent, complete an apprenticeship with a member of a recognised trade guild, or </w:t>
      </w:r>
      <w:r w:rsidR="00010081">
        <w:t xml:space="preserve">make a payment </w:t>
      </w:r>
      <w:r>
        <w:t>to the civic government. In some towns, burgess status was tied, instead, to property-holding: specifically, to those in possession of a long and thin strip of land called a burgage plot which, unlike other kinds of property, could be sold or rented out without securing an overlord’s permission.</w:t>
      </w:r>
      <w:r w:rsidR="000B5075">
        <w:t xml:space="preserve"> </w:t>
      </w:r>
      <w:r>
        <w:t>The percentage of a town’s residents who were citizens varied, from around a quarter of adult males in late medieval London to a much more restricted elite in Exeter.</w:t>
      </w:r>
      <w:r>
        <w:rPr>
          <w:vertAlign w:val="superscript"/>
        </w:rPr>
        <w:footnoteReference w:id="2"/>
      </w:r>
      <w:r>
        <w:t xml:space="preserve"> The citizens of a town typically included merchants (</w:t>
      </w:r>
      <w:r w:rsidR="009F0552">
        <w:t>traders and distributors</w:t>
      </w:r>
      <w:r>
        <w:t xml:space="preserve">, who tended to </w:t>
      </w:r>
      <w:r w:rsidR="009F0552">
        <w:t xml:space="preserve">dominate </w:t>
      </w:r>
      <w:r>
        <w:t>high civic office); artisans (</w:t>
      </w:r>
      <w:r w:rsidR="009F0552">
        <w:t xml:space="preserve">producers of </w:t>
      </w:r>
      <w:r>
        <w:t>textiles and other consumer goods); and victuallers (bakers, butchers, fishmongers, brewers, and other</w:t>
      </w:r>
      <w:r w:rsidR="0066458B">
        <w:t xml:space="preserve">s </w:t>
      </w:r>
      <w:r>
        <w:t xml:space="preserve">involved in the provision of food and drink). In addition to these stereotypically ‘urban’ </w:t>
      </w:r>
      <w:r w:rsidR="00E25C3B">
        <w:t xml:space="preserve">professions </w:t>
      </w:r>
      <w:r>
        <w:t>were some gentlemen, yeomen, and lawyers. The la</w:t>
      </w:r>
      <w:r w:rsidR="00E25C3B">
        <w:t>st</w:t>
      </w:r>
      <w:r>
        <w:t xml:space="preserve">, in particular, proved useful advocates for civic </w:t>
      </w:r>
      <w:r>
        <w:lastRenderedPageBreak/>
        <w:t xml:space="preserve">interests in royal law courts, and by the early fifteenth century many municipal governments employed local lawyers as ‘recorders’ to fulfil these duties of legal representation and lobbying. </w:t>
      </w:r>
    </w:p>
    <w:p w14:paraId="00000007" w14:textId="13A142CE" w:rsidR="00737F95" w:rsidRDefault="00000000">
      <w:r>
        <w:t>Citizens</w:t>
      </w:r>
      <w:r w:rsidR="000D390E">
        <w:t xml:space="preserve">, while </w:t>
      </w:r>
      <w:r>
        <w:t>a heterogenous group, notably excluded children and Jews, most women, journeymen (individuals trained in a trade but who did not run their own shop), servants, migrant labourers from the countryside, and vagrants—even though all these people contributed to a town’s economy and were subject to its laws. Recent work has also stressed that ‘citizenship’ was a legal category invented in the thirteenth century, and that thereafter many people who were not ‘citizens’ in a legal sense were nevertheless active participants in urban politics</w:t>
      </w:r>
      <w:r w:rsidR="000B5075">
        <w:t>.</w:t>
      </w:r>
      <w:r>
        <w:rPr>
          <w:vertAlign w:val="superscript"/>
        </w:rPr>
        <w:footnoteReference w:id="3"/>
      </w:r>
      <w:r w:rsidR="000B5075">
        <w:t xml:space="preserve"> </w:t>
      </w:r>
      <w:r>
        <w:t>In this chapter, I examine the uniquely privileged legal relationship of urban citizens to the English crown but I shall also consider the much broader range of non-citizen</w:t>
      </w:r>
      <w:r w:rsidR="007544E1">
        <w:t xml:space="preserve">s </w:t>
      </w:r>
      <w:r>
        <w:t xml:space="preserve">who lived in English cities and towns. Simply by living in more densely-populated spaces, </w:t>
      </w:r>
      <w:proofErr w:type="spellStart"/>
      <w:r>
        <w:t>towndwellers</w:t>
      </w:r>
      <w:proofErr w:type="spellEnd"/>
      <w:r>
        <w:t xml:space="preserve"> were in a position to act as audience for and critics of the monarchy in ways less accessible to residents of the countryside. </w:t>
      </w:r>
    </w:p>
    <w:p w14:paraId="04BDA283" w14:textId="77777777" w:rsidR="007544E1" w:rsidRDefault="007544E1"/>
    <w:p w14:paraId="00000009" w14:textId="5159905A" w:rsidR="00737F95" w:rsidRDefault="00000000">
      <w:pPr>
        <w:rPr>
          <w:b/>
          <w:u w:val="single"/>
        </w:rPr>
      </w:pPr>
      <w:r>
        <w:rPr>
          <w:b/>
          <w:u w:val="single"/>
        </w:rPr>
        <w:t>Towns and Cities in England, 1215-1485: A</w:t>
      </w:r>
      <w:r w:rsidR="00A87056">
        <w:rPr>
          <w:b/>
          <w:u w:val="single"/>
        </w:rPr>
        <w:t>n Overview</w:t>
      </w:r>
    </w:p>
    <w:p w14:paraId="0000000A" w14:textId="673F8243" w:rsidR="00737F95" w:rsidRDefault="00AE643A">
      <w:r>
        <w:t xml:space="preserve">By 1215, </w:t>
      </w:r>
      <w:r w:rsidR="00F43401">
        <w:t xml:space="preserve">there was already </w:t>
      </w:r>
      <w:r w:rsidR="00000000">
        <w:t>a dense network of towns across much of southern, central, and eastern England. The thirteenth century</w:t>
      </w:r>
      <w:r w:rsidR="00DF56AB">
        <w:t xml:space="preserve">, fuelled by commercial prosperity and </w:t>
      </w:r>
      <w:r w:rsidR="00E923C3">
        <w:t xml:space="preserve">a </w:t>
      </w:r>
      <w:r w:rsidR="00DF56AB">
        <w:t xml:space="preserve">demographic </w:t>
      </w:r>
      <w:r w:rsidR="00E923C3">
        <w:t>boom</w:t>
      </w:r>
      <w:r w:rsidR="00000000">
        <w:t xml:space="preserve">, </w:t>
      </w:r>
      <w:r w:rsidR="00E923C3">
        <w:t xml:space="preserve">saw the </w:t>
      </w:r>
      <w:r w:rsidR="0002298E">
        <w:t xml:space="preserve">extension of England’s urban system </w:t>
      </w:r>
      <w:r w:rsidR="00000000">
        <w:t>in</w:t>
      </w:r>
      <w:r w:rsidR="0002298E">
        <w:t>to</w:t>
      </w:r>
      <w:r w:rsidR="00000000">
        <w:t xml:space="preserve"> the south west and north east. </w:t>
      </w:r>
      <w:r w:rsidR="00F43401">
        <w:t>A</w:t>
      </w:r>
      <w:r w:rsidR="00000000">
        <w:t>round 50 places in England were newly designated as towns between 1215 and 1368</w:t>
      </w:r>
      <w:r w:rsidR="00316390">
        <w:t>.</w:t>
      </w:r>
      <w:r w:rsidR="00000000">
        <w:rPr>
          <w:vertAlign w:val="superscript"/>
        </w:rPr>
        <w:footnoteReference w:id="4"/>
      </w:r>
      <w:r w:rsidR="00000000">
        <w:t xml:space="preserve"> Many of these would hardly seem more than villages, with populations in the hundreds rather than thousands. The vast majority were speculative seigneurial boroughs founded by bishops, religious houses, and aristocrats eager to stimulate trade on their estates–often unsuccessfully. Edward I also embraced town plantation in an attempt to develop ports in militarily strategic locations–most notably in North Wales during the 1270s-1290s, but also with new town foundations in England at </w:t>
      </w:r>
      <w:proofErr w:type="spellStart"/>
      <w:r w:rsidR="00000000">
        <w:t>Kingston-upon-Hull</w:t>
      </w:r>
      <w:proofErr w:type="spellEnd"/>
      <w:r w:rsidR="00000000">
        <w:t xml:space="preserve"> (Yorkshire), Newton (Dorset), and New Winchelsea (Sussex). The arrival of the Black Death in England in 1348, and the subsequent reduction in England’s population and economy, brought an almost complete stop to new urban foundations.</w:t>
      </w:r>
    </w:p>
    <w:p w14:paraId="0000000B" w14:textId="45C3F187" w:rsidR="00737F95" w:rsidRDefault="00000000">
      <w:pPr>
        <w:rPr>
          <w:b/>
        </w:rPr>
      </w:pPr>
      <w:r>
        <w:t>Throughout the later Middle Ages, England was dominated by one city: London. At its demographic peak around 1290, the city’s population of c. 60,000 individuals was approximately three times that of the next largest town. London’s pre-eminence only increased thereafter. One in every 66 English people lived in London in 1300; it was 1 in 40 by 1500. The city accounted for 2% of the nation’s total wealth in 1334 and nearly 9% in 1515.</w:t>
      </w:r>
      <w:r>
        <w:rPr>
          <w:vertAlign w:val="superscript"/>
        </w:rPr>
        <w:footnoteReference w:id="5"/>
      </w:r>
      <w:r>
        <w:t xml:space="preserve"> This growth was due, in some degree, to the </w:t>
      </w:r>
      <w:r w:rsidR="00BE3F76">
        <w:t xml:space="preserve">increasing fixity </w:t>
      </w:r>
      <w:r>
        <w:t xml:space="preserve">of royal government in the London suburb of Westminster. Westminster’s position as the </w:t>
      </w:r>
      <w:r w:rsidR="007D40FF">
        <w:t xml:space="preserve">realm’s </w:t>
      </w:r>
      <w:r>
        <w:t xml:space="preserve">political capital was already assured from the twelfth century, but the Scottish wars of the late thirteenth and early fourteenth centuries </w:t>
      </w:r>
      <w:r>
        <w:lastRenderedPageBreak/>
        <w:t>had prompted institutions of royal government to move to York for extended periods of time.</w:t>
      </w:r>
      <w:r>
        <w:rPr>
          <w:rFonts w:ascii="Calibri" w:eastAsia="Calibri" w:hAnsi="Calibri" w:cs="Calibri"/>
          <w:sz w:val="24"/>
          <w:szCs w:val="24"/>
          <w:vertAlign w:val="superscript"/>
        </w:rPr>
        <w:footnoteReference w:id="6"/>
      </w:r>
      <w:r>
        <w:t xml:space="preserve"> During the reign of Edward III, however, as royal attention shifted from Scotland to France,  the exchequer and courts of common pleas and king’s bench became fixed in Westminster. Clerks, lawyers, litigants, judges, and royal councillors (not to mention their households) fuelled London’s economy as they spent money on accommodation, food, wine, luxury textiles, and other consumer goods.</w:t>
      </w:r>
    </w:p>
    <w:p w14:paraId="0000000C" w14:textId="2FD4A652" w:rsidR="00737F95" w:rsidRDefault="00000000">
      <w:r>
        <w:t>York was England’s second-largest town in 1290, with a population around 22,700; it was followed by Bristol, Lincoln, and Norwich, with populations between 12,000 and 15,000. Around thirty other towns boasted 3500 to 10,000 residents apiece.</w:t>
      </w:r>
      <w:r>
        <w:rPr>
          <w:vertAlign w:val="superscript"/>
        </w:rPr>
        <w:footnoteReference w:id="7"/>
      </w:r>
      <w:r>
        <w:t xml:space="preserve"> These numbers declined considerably, often halving in size, in the century and a half that followed the arrival of the Black Death in England in 1348. Mortality rates from late medieval epidemics were often highest in densely-populated urban settings.</w:t>
      </w:r>
      <w:r w:rsidR="00EF6A91">
        <w:t xml:space="preserve"> </w:t>
      </w:r>
      <w:r>
        <w:t>The overall percentage of the English population resident in towns, though, remained stable into the fifteenth century: high death rates were off-set by in-migration of villeins from the countryside (often women) and immigrants from the Low Countries, Germany, France, Scotland, and Ireland. Moreover, the economic challenges faced by the likes of Beverley were off-set by the success stories of cities like Exeter, which boomed on the back of domestic coastal trade.</w:t>
      </w:r>
      <w:r>
        <w:rPr>
          <w:vertAlign w:val="superscript"/>
        </w:rPr>
        <w:footnoteReference w:id="8"/>
      </w:r>
      <w:r>
        <w:t xml:space="preserve"> </w:t>
      </w:r>
      <w:r w:rsidR="00EF1B95">
        <w:t xml:space="preserve">But equally important to </w:t>
      </w:r>
      <w:r>
        <w:t>the economy</w:t>
      </w:r>
      <w:r w:rsidR="00EF1B95">
        <w:t xml:space="preserve"> </w:t>
      </w:r>
      <w:r>
        <w:t>were the small market centres of 500-1000 people which comprised the vast majority of English towns throughout the Middle Ages.</w:t>
      </w:r>
      <w:r>
        <w:rPr>
          <w:vertAlign w:val="superscript"/>
        </w:rPr>
        <w:footnoteReference w:id="9"/>
      </w:r>
      <w:r>
        <w:t xml:space="preserve"> </w:t>
      </w:r>
    </w:p>
    <w:p w14:paraId="0000000D" w14:textId="77777777" w:rsidR="00737F95" w:rsidRDefault="00737F95">
      <w:pPr>
        <w:rPr>
          <w:b/>
          <w:u w:val="single"/>
        </w:rPr>
      </w:pPr>
    </w:p>
    <w:p w14:paraId="0000000E" w14:textId="0CFCFBB8" w:rsidR="00737F95" w:rsidRDefault="00000000">
      <w:pPr>
        <w:rPr>
          <w:b/>
          <w:u w:val="single"/>
        </w:rPr>
      </w:pPr>
      <w:r>
        <w:rPr>
          <w:b/>
          <w:u w:val="single"/>
        </w:rPr>
        <w:t xml:space="preserve">Citizenship, Lordship, </w:t>
      </w:r>
      <w:r w:rsidR="0044584C">
        <w:rPr>
          <w:b/>
          <w:u w:val="single"/>
        </w:rPr>
        <w:t xml:space="preserve">and </w:t>
      </w:r>
      <w:r>
        <w:rPr>
          <w:b/>
          <w:u w:val="single"/>
        </w:rPr>
        <w:t>Subjecthood</w:t>
      </w:r>
    </w:p>
    <w:p w14:paraId="00000010" w14:textId="4E1DF0BB" w:rsidR="00737F95" w:rsidRDefault="00000000">
      <w:r>
        <w:t>Towns ‘belonged’ to a lord, which could be the king directly</w:t>
      </w:r>
      <w:r w:rsidR="00C42DFE">
        <w:t xml:space="preserve"> (in the case of ‘royal’ towns)</w:t>
      </w:r>
      <w:r>
        <w:t xml:space="preserve"> or an intermediary bishop, monastic house, noble, or member of the gentry</w:t>
      </w:r>
      <w:r w:rsidR="00C42DFE">
        <w:t xml:space="preserve"> (for </w:t>
      </w:r>
      <w:r>
        <w:t>‘seigneurial’ towns</w:t>
      </w:r>
      <w:r w:rsidR="00C42DFE">
        <w:t>)</w:t>
      </w:r>
      <w:r>
        <w:t xml:space="preserve">. Seigneurial </w:t>
      </w:r>
      <w:r w:rsidR="00C17D9F">
        <w:t xml:space="preserve">overlords </w:t>
      </w:r>
      <w:r>
        <w:t>received the rents that burgesses paid for their plots and appoint</w:t>
      </w:r>
      <w:r w:rsidR="00C17D9F">
        <w:t>ed</w:t>
      </w:r>
      <w:r>
        <w:t xml:space="preserve"> their own officials to supervise decisions about how the town was run. Being the ‘king’s town’, as opposed to an abbot or bishop or earl’s town, was a privilege enjoyed by a minority of English towns–typically</w:t>
      </w:r>
      <w:r w:rsidR="006732E0">
        <w:t xml:space="preserve"> the</w:t>
      </w:r>
      <w:r>
        <w:t xml:space="preserve"> </w:t>
      </w:r>
      <w:r w:rsidR="006732E0">
        <w:t xml:space="preserve">larger </w:t>
      </w:r>
      <w:r>
        <w:t>administrative centres. It enabled the burgesses to appoint their own officials</w:t>
      </w:r>
      <w:r w:rsidR="00AB34B1">
        <w:t xml:space="preserve"> and </w:t>
      </w:r>
      <w:r>
        <w:t>implied a more direct personal relationship between citizen and monarch</w:t>
      </w:r>
      <w:r w:rsidR="00AB34B1">
        <w:t xml:space="preserve"> that </w:t>
      </w:r>
      <w:r>
        <w:t xml:space="preserve">citizens sometimes employed to rhetorical effect. </w:t>
      </w:r>
      <w:r w:rsidR="00341D1A">
        <w:t xml:space="preserve">During the Wars of the Roses, the mayor of Exeter </w:t>
      </w:r>
      <w:r w:rsidR="00C12E9B">
        <w:t xml:space="preserve">successfully avoided the earl of Devon’s demands to bar his enemies from the city </w:t>
      </w:r>
      <w:r>
        <w:t>by citing that the</w:t>
      </w:r>
      <w:r w:rsidR="00C12E9B">
        <w:t xml:space="preserve"> citizens of Exeter</w:t>
      </w:r>
      <w:r>
        <w:t xml:space="preserve"> ‘</w:t>
      </w:r>
      <w:proofErr w:type="spellStart"/>
      <w:r>
        <w:t>beth</w:t>
      </w:r>
      <w:proofErr w:type="spellEnd"/>
      <w:r>
        <w:t xml:space="preserve"> [</w:t>
      </w:r>
      <w:proofErr w:type="spellStart"/>
      <w:r>
        <w:t>th</w:t>
      </w:r>
      <w:proofErr w:type="spellEnd"/>
      <w:r>
        <w:t xml:space="preserve">]e </w:t>
      </w:r>
      <w:proofErr w:type="spellStart"/>
      <w:r>
        <w:t>Kynges</w:t>
      </w:r>
      <w:proofErr w:type="spellEnd"/>
      <w:r>
        <w:t xml:space="preserve"> </w:t>
      </w:r>
      <w:proofErr w:type="spellStart"/>
      <w:r>
        <w:t>tenauntes</w:t>
      </w:r>
      <w:proofErr w:type="spellEnd"/>
      <w:r>
        <w:t xml:space="preserve"> and [</w:t>
      </w:r>
      <w:proofErr w:type="spellStart"/>
      <w:r>
        <w:t>th</w:t>
      </w:r>
      <w:proofErr w:type="spellEnd"/>
      <w:r>
        <w:t>]is [</w:t>
      </w:r>
      <w:proofErr w:type="spellStart"/>
      <w:r>
        <w:t>th</w:t>
      </w:r>
      <w:proofErr w:type="spellEnd"/>
      <w:r>
        <w:t xml:space="preserve">]e </w:t>
      </w:r>
      <w:proofErr w:type="spellStart"/>
      <w:r>
        <w:t>Kynges</w:t>
      </w:r>
      <w:proofErr w:type="spellEnd"/>
      <w:r>
        <w:t xml:space="preserve"> cite’ and thus could not make military decisions without royal assent.</w:t>
      </w:r>
      <w:r>
        <w:rPr>
          <w:vertAlign w:val="superscript"/>
        </w:rPr>
        <w:footnoteReference w:id="10"/>
      </w:r>
      <w:r>
        <w:t xml:space="preserve"> </w:t>
      </w:r>
    </w:p>
    <w:p w14:paraId="00000011" w14:textId="31A0C1E8" w:rsidR="00737F95" w:rsidRDefault="00000000">
      <w:r>
        <w:lastRenderedPageBreak/>
        <w:t xml:space="preserve">The distinction between ‘king’s towns’ and seigneurial towns, however, can be overdrawn. The city of Salisbury was under the lordship of the bishop of Salisbury but English kings made the same demands of money and troops as if it were a royal borough. Nor did Salisbury’s status as an episcopal city prevent kings from conceiving their relationship in paternalist terms: Edward IV in 1465 was far from unusual in addressing his letter ‘To </w:t>
      </w:r>
      <w:proofErr w:type="spellStart"/>
      <w:r>
        <w:t>oure</w:t>
      </w:r>
      <w:proofErr w:type="spellEnd"/>
      <w:r>
        <w:t xml:space="preserve"> trusty and </w:t>
      </w:r>
      <w:proofErr w:type="spellStart"/>
      <w:r>
        <w:t>welbeloued</w:t>
      </w:r>
      <w:proofErr w:type="spellEnd"/>
      <w:r>
        <w:t xml:space="preserve"> the Cite[z]</w:t>
      </w:r>
      <w:proofErr w:type="spellStart"/>
      <w:r>
        <w:t>eins</w:t>
      </w:r>
      <w:proofErr w:type="spellEnd"/>
      <w:r>
        <w:t xml:space="preserve"> and inhabitants of the Cite’.</w:t>
      </w:r>
      <w:r>
        <w:rPr>
          <w:vertAlign w:val="superscript"/>
        </w:rPr>
        <w:footnoteReference w:id="11"/>
      </w:r>
      <w:r>
        <w:t xml:space="preserve"> Moreover, the vagaries of inheritance and forfeitures led some towns to shift from seigneurial to royal and back again: lordship over the seigneurial borough of Walsall in Staffordshire was assumed by the crown following the death of Richard earl of Warwick at the battle of Barnet in 1471, but transferred back to the earls of Warwick on several occasions during the political tumult of the 1480s and 1490s.</w:t>
      </w:r>
      <w:r>
        <w:rPr>
          <w:vertAlign w:val="superscript"/>
        </w:rPr>
        <w:footnoteReference w:id="12"/>
      </w:r>
      <w:r>
        <w:t xml:space="preserve"> In terms of position within the economic infrastructure of the realm, conditions of lordship could matter even less. </w:t>
      </w:r>
      <w:r w:rsidR="0094125C">
        <w:t>T</w:t>
      </w:r>
      <w:r>
        <w:t>he Lincolnshire town of Boston, although under the lordship of the earl of Richmond and without official rights to self-government, was one of England’s wealthiest in the fourteenth century</w:t>
      </w:r>
      <w:r w:rsidR="000779FF">
        <w:t>, and i</w:t>
      </w:r>
      <w:r>
        <w:t xml:space="preserve">ts designation as a staple in the wool trade in 1369 made </w:t>
      </w:r>
      <w:r w:rsidR="000779FF">
        <w:t xml:space="preserve">it a centre </w:t>
      </w:r>
      <w:r>
        <w:t xml:space="preserve">for </w:t>
      </w:r>
      <w:r w:rsidR="000779FF">
        <w:t xml:space="preserve">the </w:t>
      </w:r>
      <w:r>
        <w:t xml:space="preserve">royal supervision of trade. The nearby </w:t>
      </w:r>
      <w:r w:rsidR="00546CF8">
        <w:t>‘king’s town’</w:t>
      </w:r>
      <w:r>
        <w:t xml:space="preserve"> of Grimsby had no such status or significance in the kingdom’s commerce.</w:t>
      </w:r>
      <w:r>
        <w:rPr>
          <w:vertAlign w:val="superscript"/>
        </w:rPr>
        <w:footnoteReference w:id="13"/>
      </w:r>
    </w:p>
    <w:p w14:paraId="00000012" w14:textId="45D08D9C" w:rsidR="00737F95" w:rsidRDefault="007D5CBA">
      <w:r>
        <w:t xml:space="preserve">‘Town’ was a legal and political category in the Middle Ages, and did not necessarily indicate </w:t>
      </w:r>
      <w:r w:rsidR="00E83944">
        <w:t xml:space="preserve">that the place in question possessed the occupational diversity, </w:t>
      </w:r>
      <w:r w:rsidR="00FF547F">
        <w:t xml:space="preserve">built environment, or communal identity that modern sociologists and geographers </w:t>
      </w:r>
      <w:r w:rsidR="004603C2">
        <w:t>designate as characteristics of ‘</w:t>
      </w:r>
      <w:proofErr w:type="spellStart"/>
      <w:r w:rsidR="004603C2">
        <w:t>urbanness</w:t>
      </w:r>
      <w:proofErr w:type="spellEnd"/>
      <w:r w:rsidR="004603C2">
        <w:t xml:space="preserve">’. </w:t>
      </w:r>
      <w:r w:rsidR="004C2EB9">
        <w:t>The English crown</w:t>
      </w:r>
      <w:r w:rsidR="00000000">
        <w:t>, as part of a drive to label and categorise its subjects</w:t>
      </w:r>
      <w:r w:rsidR="00275B95">
        <w:t xml:space="preserve"> in the aftermath of the Norman Conquest</w:t>
      </w:r>
      <w:r w:rsidR="00000000">
        <w:t xml:space="preserve">, had crystallised </w:t>
      </w:r>
      <w:r w:rsidR="00275B95">
        <w:t xml:space="preserve">legal </w:t>
      </w:r>
      <w:r w:rsidR="00000000">
        <w:t xml:space="preserve">criteria </w:t>
      </w:r>
      <w:r w:rsidR="004C2EB9">
        <w:t>that distinguished a town from a village</w:t>
      </w:r>
      <w:r w:rsidR="00000000">
        <w:t>. The privileges that could be exercised by citizens/burgesses of a town were enumerated in charters, which followed standardised templates. The burgesses of Lynn, for instance, possessed the liberties that had already been granted to the burgesses of Oxford, and the burgesses of the new towns that Edward I established in North Wales in the late thirteenth century received the same privileges as the citizens of Hereford. Charters could be issued directly by the king, or they could be granted by the town’s aristocratic or ecclesiastical overlord and confirmed by the royal government. While the rights granted to the citizens of any particular town varied, there were some liberties common to most charters. These included the right for burgesses/citizens of a town to be tried by a court located in the town, to exchange goods or set up shop within the town, and to form a guild merchant amongst themselves that could establish their own rules for commercial transactions in the town. One of the privileges granted to citizens of royal towns was the right to trade in all towns under the king’s jurisdiction (whether in England, Wales, Ireland, Scotland, or France) without paying local tolls.</w:t>
      </w:r>
    </w:p>
    <w:p w14:paraId="00000013" w14:textId="1A9FE252" w:rsidR="00737F95" w:rsidRDefault="00000000">
      <w:pPr>
        <w:rPr>
          <w:b/>
        </w:rPr>
      </w:pPr>
      <w:r>
        <w:t xml:space="preserve"> </w:t>
      </w:r>
      <w:r w:rsidR="003F7D46">
        <w:t xml:space="preserve">On </w:t>
      </w:r>
      <w:r>
        <w:t xml:space="preserve">the ascension of a new monarch, civic governments </w:t>
      </w:r>
      <w:r w:rsidR="003F7D46">
        <w:t xml:space="preserve">were expected to pay </w:t>
      </w:r>
      <w:r>
        <w:t xml:space="preserve">for the </w:t>
      </w:r>
      <w:r w:rsidR="003F7D46">
        <w:t>new king</w:t>
      </w:r>
      <w:r>
        <w:t xml:space="preserve"> to confirm the</w:t>
      </w:r>
      <w:r w:rsidR="008E58A9">
        <w:t>ir charters</w:t>
      </w:r>
      <w:r>
        <w:t>. Whether a town was under royal or seigneurial lordship, the principle had thus emerged that royal sanction was required–and needed to be reaffirmed continually–for towns and their inhabitants to retain their status as privileged entities.</w:t>
      </w:r>
      <w:r w:rsidR="002F6696">
        <w:t xml:space="preserve"> </w:t>
      </w:r>
      <w:r>
        <w:t>During the thirteenth century the kings of England</w:t>
      </w:r>
      <w:r w:rsidR="006460A0">
        <w:t xml:space="preserve"> also </w:t>
      </w:r>
      <w:r>
        <w:t>established themselves as the sole authority within the realm capable of granting licences for markets or fairs to be held in a town</w:t>
      </w:r>
      <w:r w:rsidR="006460A0">
        <w:t xml:space="preserve">—in marked contrast to elsewhere in Europe, </w:t>
      </w:r>
      <w:r w:rsidR="00B401DC">
        <w:t xml:space="preserve">where the monarch was only one of many lords </w:t>
      </w:r>
      <w:r w:rsidR="00EF7A3E">
        <w:t>able to create a market</w:t>
      </w:r>
      <w:r w:rsidR="00BA0C68">
        <w:t>.</w:t>
      </w:r>
    </w:p>
    <w:p w14:paraId="00000014" w14:textId="046BD93B" w:rsidR="00737F95" w:rsidRDefault="00000000">
      <w:pPr>
        <w:rPr>
          <w:b/>
        </w:rPr>
      </w:pPr>
      <w:r>
        <w:lastRenderedPageBreak/>
        <w:t>Citizenship and subjecthood, far from being competing or contradictory identities, emerged as mutually re-enforcing statuses. The oaths taken by new burgesses and urban officeholders typically included vows of obedience both to the king and to the preservation of the town. For those born outside England to non-English parents, the processes of becoming an ‘English’ subject of the king and becoming a citizen of a town were often closely intertwined. During the early stages of the Hundred Years War, French merchants resident in England were able to become naturalised subjects of the English king by citing their citizenship of an English town. Amiens-born Peter le Monnier, for example, gained Edward III’s protection in 1346 by virtue of being a citizen of Wells, maintaining a family residence there, and paying his required taxes to the city.</w:t>
      </w:r>
      <w:r>
        <w:rPr>
          <w:vertAlign w:val="superscript"/>
        </w:rPr>
        <w:footnoteReference w:id="14"/>
      </w:r>
      <w:r>
        <w:t xml:space="preserve"> In the late fourteenth and fifteenth centuries, the situation had reversed: now, those of foreign birth who wished to become citizens of a town were often required to have already achieved official recognition as an English subject.</w:t>
      </w:r>
      <w:r>
        <w:rPr>
          <w:vertAlign w:val="superscript"/>
        </w:rPr>
        <w:footnoteReference w:id="15"/>
      </w:r>
      <w:r>
        <w:t xml:space="preserve"> </w:t>
      </w:r>
    </w:p>
    <w:p w14:paraId="00000015" w14:textId="77777777" w:rsidR="00737F95" w:rsidRDefault="00737F95">
      <w:pPr>
        <w:rPr>
          <w:b/>
          <w:u w:val="single"/>
        </w:rPr>
      </w:pPr>
    </w:p>
    <w:p w14:paraId="00000016" w14:textId="77777777" w:rsidR="00737F95" w:rsidRDefault="00000000">
      <w:pPr>
        <w:rPr>
          <w:b/>
          <w:u w:val="single"/>
        </w:rPr>
      </w:pPr>
      <w:r>
        <w:rPr>
          <w:b/>
          <w:u w:val="single"/>
        </w:rPr>
        <w:t>Citizens and Royal Administration: Law</w:t>
      </w:r>
    </w:p>
    <w:p w14:paraId="00000017" w14:textId="20FEDBB2" w:rsidR="00737F95" w:rsidRDefault="00000000">
      <w:r>
        <w:t>Inhabitants of boroughs were generally regarded as of free status after residing in the town for a year and a day, meaning that they were not obliged to use the mills and ovens of their overlords and could move or marry without their permission. Most boroughs held their own courts, with burgesses not obliged to attend manorial law courts or use them for disputes. Practice did vary, however, and the small seigneurial town of Shipston-on-Stour in Warwickshire was not a complete anomaly in having its burgesses subject to a manorial court operated by the bishop of Worcester’s officials.</w:t>
      </w:r>
      <w:r>
        <w:rPr>
          <w:vertAlign w:val="superscript"/>
        </w:rPr>
        <w:footnoteReference w:id="16"/>
      </w:r>
      <w:r>
        <w:t xml:space="preserve"> The town foundations of the thirteenth and early fourteenth centuries, nevertheless, did bring new areas and people into a more direct relationship with English kingship: most significantly, burgesses, as freemen and freewomen, could use the evolving royal common law courts to settle their disputes.</w:t>
      </w:r>
    </w:p>
    <w:p w14:paraId="4A0F3A82" w14:textId="77777777" w:rsidR="00FA2707" w:rsidRDefault="00000000">
      <w:r>
        <w:t>It had long been common for towns to hold their own borough courts that enforced locally-specific rules observed since time immemorial (known as ‘customary law’), but from the reign of King John onwards many larger towns began to pay an annual sum (known as a fee-farm) to the Exchequer which enabled municipal governments to collect fines paid to the court and gave them free reign to administer it according to their own wishes. The borough court was presided over by a mayor or bailiff: an official elected by the citizens of the town but also accountable to the crown as</w:t>
      </w:r>
      <w:r w:rsidR="001A6576">
        <w:t xml:space="preserve"> the</w:t>
      </w:r>
      <w:r>
        <w:t xml:space="preserve"> local delegate of royal authority. These executive officers were often advised by councils of 12 or 24 men (called aldermen or jurats), again typically elected by the citizenry. </w:t>
      </w:r>
    </w:p>
    <w:p w14:paraId="00000019" w14:textId="0CA10ECC" w:rsidR="00737F95" w:rsidRPr="00FD07A8" w:rsidRDefault="00C329B1">
      <w:pPr>
        <w:rPr>
          <w:b/>
        </w:rPr>
      </w:pPr>
      <w:r>
        <w:t>During</w:t>
      </w:r>
      <w:r w:rsidR="00000000">
        <w:t xml:space="preserve"> the fourteenth and fifteenth centuries, some towns acquired further chartered privileges that gave the mayor, bailiffs, and aldermen even more functions in royal legal administration. One by one, large- to medium-sized towns received charters turning mayors and aldermen into Justices of the Peace and royal escheators. </w:t>
      </w:r>
      <w:r w:rsidR="00B679C7">
        <w:t xml:space="preserve">Historians once characterised these </w:t>
      </w:r>
      <w:r w:rsidR="00B679C7">
        <w:t xml:space="preserve">charters as emblematic of </w:t>
      </w:r>
      <w:r w:rsidR="00B679C7">
        <w:t xml:space="preserve">municipal ‘independence’ from </w:t>
      </w:r>
      <w:r w:rsidR="00804C7F">
        <w:t>royal administration</w:t>
      </w:r>
      <w:r w:rsidR="00B679C7">
        <w:t xml:space="preserve">. Christian Liddy, however, has argued more recently that the new privileges in fact </w:t>
      </w:r>
      <w:r w:rsidR="00804C7F">
        <w:t xml:space="preserve">transformed </w:t>
      </w:r>
      <w:r w:rsidR="00B679C7">
        <w:t>urban officials</w:t>
      </w:r>
      <w:r w:rsidR="00804C7F">
        <w:t xml:space="preserve"> into </w:t>
      </w:r>
      <w:r w:rsidR="0069438F">
        <w:t xml:space="preserve">agents </w:t>
      </w:r>
      <w:r w:rsidR="0069438F">
        <w:lastRenderedPageBreak/>
        <w:t>of the crown</w:t>
      </w:r>
      <w:r w:rsidR="00B679C7">
        <w:t>.</w:t>
      </w:r>
      <w:r w:rsidR="00B679C7">
        <w:rPr>
          <w:vertAlign w:val="superscript"/>
        </w:rPr>
        <w:footnoteReference w:id="17"/>
      </w:r>
      <w:r w:rsidR="00B679C7">
        <w:t xml:space="preserve"> </w:t>
      </w:r>
      <w:r w:rsidR="00000000">
        <w:t>It was thus local officials elected by the citizenry who were responsible for implementing key legislation in these towns, such as the Statute of Labourers (1351). As JPs, they investigated heretics and sat in judgment of suspected rioters, and as escheators they conducted regular surveys to ensure that no royal properties or prerogatives in the town were being usurped by other parties. In 1373, Bristol became the first town to be declared a county in its own right; the citizens of Bristol could now select their own sheriff and rather than being subject to the royally-appointed sheriffs of the neighbouring counties of Gloucestershire and Somerset. York followed suit in 1396, and by 1485 an additional ten towns</w:t>
      </w:r>
      <w:r w:rsidR="00000000">
        <w:rPr>
          <w:b/>
        </w:rPr>
        <w:t xml:space="preserve"> </w:t>
      </w:r>
      <w:r w:rsidR="00000000">
        <w:t>exercised this privilege.</w:t>
      </w:r>
      <w:r w:rsidR="00000000">
        <w:rPr>
          <w:vertAlign w:val="superscript"/>
        </w:rPr>
        <w:footnoteReference w:id="18"/>
      </w:r>
      <w:r w:rsidR="00000000">
        <w:t xml:space="preserve"> </w:t>
      </w:r>
    </w:p>
    <w:p w14:paraId="0000001A" w14:textId="34880D66" w:rsidR="00737F95" w:rsidRDefault="00000000">
      <w:r>
        <w:t>Royal charters and parliamentary legislation thereby concentrated a</w:t>
      </w:r>
      <w:r w:rsidR="00F529BA">
        <w:t xml:space="preserve"> </w:t>
      </w:r>
      <w:r>
        <w:t xml:space="preserve">variety of legal powers in the hands of a small number of wealthy citizens: </w:t>
      </w:r>
      <w:r w:rsidR="00CF0EEA">
        <w:t xml:space="preserve">the </w:t>
      </w:r>
      <w:r>
        <w:t>plurality of law courts</w:t>
      </w:r>
      <w:r w:rsidR="00CF0EEA">
        <w:t xml:space="preserve"> available to citizens</w:t>
      </w:r>
      <w:r w:rsidR="009E06A3">
        <w:t xml:space="preserve"> belied the fact that many were administered by </w:t>
      </w:r>
      <w:r>
        <w:t>the same people.</w:t>
      </w:r>
      <w:r>
        <w:rPr>
          <w:b/>
        </w:rPr>
        <w:t xml:space="preserve"> </w:t>
      </w:r>
      <w:r w:rsidR="00C104CC">
        <w:rPr>
          <w:bCs/>
        </w:rPr>
        <w:t xml:space="preserve">There was heated debate over whether a </w:t>
      </w:r>
      <w:r w:rsidR="00A900FC">
        <w:rPr>
          <w:bCs/>
        </w:rPr>
        <w:t xml:space="preserve">townsperson </w:t>
      </w:r>
      <w:r w:rsidR="002D6A99">
        <w:t>was allowed to</w:t>
      </w:r>
      <w:r w:rsidR="00A900FC">
        <w:t xml:space="preserve"> appeal directly to </w:t>
      </w:r>
      <w:r>
        <w:t xml:space="preserve">the king, chancellor, council, or Chief Justices </w:t>
      </w:r>
      <w:r w:rsidR="00A900FC">
        <w:t xml:space="preserve">to challenge </w:t>
      </w:r>
      <w:r w:rsidR="003D316B">
        <w:t>decisions made by the coterie of urban officials who dominated so many of the locally available courts</w:t>
      </w:r>
      <w:r>
        <w:t xml:space="preserve">. In a dispute that spanned several years in the 1450s, Henry May and other Anglo-Irish burgesses of Bristol claimed that the mayor and chamberlains of Bristol had stripped them of their </w:t>
      </w:r>
      <w:r w:rsidR="006C063B">
        <w:t>citizenship</w:t>
      </w:r>
      <w:r>
        <w:t xml:space="preserve"> because they had submitted a petition to the Court of Chancery against Bristol’s policy of requiring higher </w:t>
      </w:r>
      <w:r w:rsidR="006C063B">
        <w:t xml:space="preserve">citizenship </w:t>
      </w:r>
      <w:r>
        <w:t>entrance fees from people born in Ireland.</w:t>
      </w:r>
      <w:r>
        <w:rPr>
          <w:vertAlign w:val="superscript"/>
        </w:rPr>
        <w:footnoteReference w:id="19"/>
      </w:r>
      <w:r>
        <w:t xml:space="preserve"> </w:t>
      </w:r>
    </w:p>
    <w:p w14:paraId="0000001B" w14:textId="70F65A35" w:rsidR="00737F95" w:rsidRDefault="00000000">
      <w:pPr>
        <w:rPr>
          <w:b/>
        </w:rPr>
      </w:pPr>
      <w:r>
        <w:t>Ultimately, however, mayors—though elected by the citizens of a town—could, like any other delegate of royal authority, be removed from office by the king if they were deemed to have abused that authority or been negligent in its exercise. This royal displeasure took the form of a temporary revocation of a town’s chartered liberties</w:t>
      </w:r>
      <w:r w:rsidR="00D0602C">
        <w:t xml:space="preserve">, in which </w:t>
      </w:r>
      <w:r>
        <w:t xml:space="preserve">the mayor was removed in favour of a royally-appointed captain or warden and the fines collected in the borough court reverted to the crown. Kings </w:t>
      </w:r>
      <w:r w:rsidR="00221E1C">
        <w:t xml:space="preserve">used this </w:t>
      </w:r>
      <w:r>
        <w:t xml:space="preserve">punishment </w:t>
      </w:r>
      <w:r w:rsidR="00221E1C">
        <w:t xml:space="preserve">liberally </w:t>
      </w:r>
      <w:r>
        <w:t>in the thirteenth century</w:t>
      </w:r>
      <w:r w:rsidR="00A363AF">
        <w:t xml:space="preserve">: </w:t>
      </w:r>
      <w:r>
        <w:t xml:space="preserve">Henry III suspended </w:t>
      </w:r>
      <w:r w:rsidR="00A363AF">
        <w:t>York’s</w:t>
      </w:r>
      <w:r>
        <w:t xml:space="preserve"> liberties in 1256 when the mayor and bailiffs did not obey a summons to the Exchequer, and Edward I revoked York’s charters no fewer than three times (in 1280-3, 1290, and 1292-7).</w:t>
      </w:r>
      <w:r>
        <w:rPr>
          <w:vertAlign w:val="superscript"/>
        </w:rPr>
        <w:footnoteReference w:id="20"/>
      </w:r>
      <w:r>
        <w:t xml:space="preserve"> During the fourteenth and fifteenth centuries confiscation of municipal privileges tended to be reserved for occasions when urban officials had rebelled against the king (as when Canterbury lost its liberties in 1471 after its mayor, Nicholas </w:t>
      </w:r>
      <w:proofErr w:type="spellStart"/>
      <w:r>
        <w:t>Faunte</w:t>
      </w:r>
      <w:proofErr w:type="spellEnd"/>
      <w:r>
        <w:t xml:space="preserve">, had taken up arms against Edward IV) or had failed in their duty to the king to preserve order within the town (as when </w:t>
      </w:r>
      <w:r w:rsidR="003605F3">
        <w:t xml:space="preserve">a </w:t>
      </w:r>
      <w:r>
        <w:t xml:space="preserve">royal warden took control of Norwich in 1437 and 1443-7 following rioting in the city).    </w:t>
      </w:r>
    </w:p>
    <w:p w14:paraId="0000001C" w14:textId="77777777" w:rsidR="00737F95" w:rsidRDefault="00737F95">
      <w:pPr>
        <w:rPr>
          <w:b/>
        </w:rPr>
      </w:pPr>
    </w:p>
    <w:p w14:paraId="0000001D" w14:textId="4CF881C5" w:rsidR="00737F95" w:rsidRDefault="00000000">
      <w:r>
        <w:rPr>
          <w:b/>
          <w:u w:val="single"/>
        </w:rPr>
        <w:t xml:space="preserve">Citizens and Royal Administration: Finance </w:t>
      </w:r>
      <w:r w:rsidR="00FA0165">
        <w:rPr>
          <w:b/>
          <w:u w:val="single"/>
        </w:rPr>
        <w:t>and War</w:t>
      </w:r>
    </w:p>
    <w:p w14:paraId="0000001E" w14:textId="08599E11" w:rsidR="00737F95" w:rsidRDefault="00000000">
      <w:pPr>
        <w:rPr>
          <w:b/>
        </w:rPr>
      </w:pPr>
      <w:r>
        <w:t xml:space="preserve">The Angevin monarchs relied on a ‘feudal’ </w:t>
      </w:r>
      <w:r w:rsidR="00C630B7">
        <w:t>financial model</w:t>
      </w:r>
      <w:r>
        <w:t xml:space="preserve">: </w:t>
      </w:r>
      <w:r w:rsidR="00BB6D4E">
        <w:rPr>
          <w:i/>
          <w:iCs/>
        </w:rPr>
        <w:t xml:space="preserve">ad hoc </w:t>
      </w:r>
      <w:r>
        <w:t xml:space="preserve">levies on movable goods from tenants of the king’s demesne lands and demands for scutage, which were payments from </w:t>
      </w:r>
      <w:r>
        <w:lastRenderedPageBreak/>
        <w:t xml:space="preserve">royal tenants in lieu of the military service they owed to the king. Residents of towns contributed to many of these levies, as towns (especially royal ones) were often considered part of the king’s demesne. Before their expulsion from England in 1290, Jews were liable to especially heavy taxes from the Crown. Jews were regarded as owned by the king, and therefore had few legal or customary protections against royal demands for money. Although Jews were almost never permitted to become citizens of towns, they often lived in urban areas (with especially large communities in York, Norwich, Lincoln, and Oxford) and were integral and longstanding members of urban communities. </w:t>
      </w:r>
    </w:p>
    <w:p w14:paraId="13E852F8" w14:textId="3198829C" w:rsidR="00393974" w:rsidRDefault="007A3BD6">
      <w:r>
        <w:t xml:space="preserve">When </w:t>
      </w:r>
      <w:r w:rsidR="005A4BB5">
        <w:t xml:space="preserve">in the 1290s </w:t>
      </w:r>
      <w:r>
        <w:t>the</w:t>
      </w:r>
      <w:r w:rsidR="00000000">
        <w:t xml:space="preserve"> English monarchy</w:t>
      </w:r>
      <w:r w:rsidR="005A4BB5">
        <w:t xml:space="preserve"> shifted to a model in which</w:t>
      </w:r>
      <w:r w:rsidR="00000000">
        <w:t xml:space="preserve"> </w:t>
      </w:r>
      <w:r w:rsidR="005A4BB5">
        <w:t xml:space="preserve">all </w:t>
      </w:r>
      <w:r w:rsidR="0057078B">
        <w:t xml:space="preserve">subjects </w:t>
      </w:r>
      <w:r w:rsidR="00000000">
        <w:t>paid a percentage of the value of their goods to the crown</w:t>
      </w:r>
      <w:r w:rsidR="001B3FD7">
        <w:t xml:space="preserve">, it </w:t>
      </w:r>
      <w:r w:rsidR="0035315D">
        <w:t>classified</w:t>
      </w:r>
      <w:r w:rsidR="001B3FD7">
        <w:t xml:space="preserve"> the </w:t>
      </w:r>
      <w:r w:rsidR="00000000">
        <w:t xml:space="preserve">‘borough’ as a separate category of taxable community. </w:t>
      </w:r>
      <w:r w:rsidR="001B3FD7">
        <w:t xml:space="preserve">The system of fifteenths and tenths established in 1332 fixed the designations of boroughs and non-boroughs for nearly two centuries. Following assessments carried out by royal officials, each borough was to pay one-tenth of its total assessed wealth in moveable goods and each rural area one-fifteenth. </w:t>
      </w:r>
      <w:r w:rsidR="00000000">
        <w:t xml:space="preserve">The Crown did not conduct new assessments after 1334, however, meaning that the amount paid by each urban community did not change, even as the Black Death, epidemics, and the changing structure of England’s international trade caused the population of each town to fluctuate wildly. From this point onwards, it was assessors </w:t>
      </w:r>
      <w:r w:rsidR="00AD4E86">
        <w:t xml:space="preserve">selected </w:t>
      </w:r>
      <w:r w:rsidR="00000000">
        <w:t>by municipal governments and assemblies</w:t>
      </w:r>
      <w:r w:rsidR="00AD4E86">
        <w:t xml:space="preserve"> </w:t>
      </w:r>
      <w:r w:rsidR="00000000">
        <w:t xml:space="preserve">who determined how the communal tax burden was to be spread out amongst individuals on each occasion a tax was voted. It should be noted that all adult residents of towns–and not just citizens–contributed to the tenth, even though they did not generally have a voice in the assemblies or councils that determined how individuals would be assessed. All town residents felt the brunt of royal government, but citizens had </w:t>
      </w:r>
      <w:r w:rsidR="00562178">
        <w:t xml:space="preserve">the </w:t>
      </w:r>
      <w:r w:rsidR="00DA091B">
        <w:t>institutional power to affect who paid what</w:t>
      </w:r>
      <w:r w:rsidR="002D3D9E">
        <w:t xml:space="preserve"> and under what conditions</w:t>
      </w:r>
      <w:r w:rsidR="00000000">
        <w:t>.</w:t>
      </w:r>
      <w:r w:rsidR="00F85525">
        <w:t xml:space="preserve"> </w:t>
      </w:r>
      <w:r w:rsidR="00583153">
        <w:t xml:space="preserve">Elite citizens were also often appointed as collectors of </w:t>
      </w:r>
      <w:r w:rsidR="00D665AA">
        <w:t xml:space="preserve">customs </w:t>
      </w:r>
      <w:r w:rsidR="00000000">
        <w:t>on imports and exports passing through port towns</w:t>
      </w:r>
      <w:r w:rsidR="006A7A86">
        <w:t xml:space="preserve">, </w:t>
      </w:r>
      <w:r w:rsidR="00DA57D4">
        <w:t xml:space="preserve">giving them yet more power to influence how urban funds </w:t>
      </w:r>
      <w:r w:rsidR="00D665AA">
        <w:t>reached the king</w:t>
      </w:r>
      <w:r w:rsidR="00F451C2">
        <w:t xml:space="preserve">. </w:t>
      </w:r>
    </w:p>
    <w:p w14:paraId="00000021" w14:textId="1FE8F057" w:rsidR="00737F95" w:rsidRPr="00393974" w:rsidRDefault="007E6DB7">
      <w:r>
        <w:t xml:space="preserve">When taxation proved </w:t>
      </w:r>
      <w:r w:rsidR="00354E6F">
        <w:t>too</w:t>
      </w:r>
      <w:r w:rsidR="000F1B55">
        <w:t xml:space="preserve"> </w:t>
      </w:r>
      <w:r w:rsidR="00000000">
        <w:t xml:space="preserve">slow to collect </w:t>
      </w:r>
      <w:r w:rsidR="00F451C2">
        <w:t xml:space="preserve">to meet the needs of </w:t>
      </w:r>
      <w:r w:rsidR="00000000">
        <w:t>warfare or</w:t>
      </w:r>
      <w:r w:rsidR="00F451C2">
        <w:t xml:space="preserve"> other emergencies</w:t>
      </w:r>
      <w:r w:rsidR="000F1B55">
        <w:t xml:space="preserve">, </w:t>
      </w:r>
      <w:r w:rsidR="00E92B53">
        <w:t xml:space="preserve">kings </w:t>
      </w:r>
      <w:r w:rsidR="0092251C">
        <w:t xml:space="preserve">increasingly </w:t>
      </w:r>
      <w:r w:rsidR="00E92B53">
        <w:t>sought loans</w:t>
      </w:r>
      <w:r w:rsidR="0092251C">
        <w:t xml:space="preserve"> from </w:t>
      </w:r>
      <w:proofErr w:type="spellStart"/>
      <w:r w:rsidR="0092251C">
        <w:t>their</w:t>
      </w:r>
      <w:proofErr w:type="spellEnd"/>
      <w:r w:rsidR="0092251C">
        <w:t xml:space="preserve"> townspeople</w:t>
      </w:r>
      <w:r w:rsidR="009217B2">
        <w:t>, especially</w:t>
      </w:r>
      <w:r w:rsidR="007F4599">
        <w:t xml:space="preserve"> following </w:t>
      </w:r>
      <w:r w:rsidR="00353624">
        <w:t>the collapse of the Peruzzi and Bardi Italian banking firms in the mid-fourteenth century.</w:t>
      </w:r>
      <w:r w:rsidR="00000000">
        <w:t xml:space="preserve"> </w:t>
      </w:r>
      <w:r w:rsidR="00353624">
        <w:t>These loans</w:t>
      </w:r>
      <w:r w:rsidR="00390835">
        <w:t xml:space="preserve"> </w:t>
      </w:r>
      <w:r w:rsidR="00353624">
        <w:t xml:space="preserve">came both from </w:t>
      </w:r>
      <w:r w:rsidR="00780E9E">
        <w:t xml:space="preserve">town as collective bodies </w:t>
      </w:r>
      <w:r w:rsidR="00353624">
        <w:t xml:space="preserve">and from </w:t>
      </w:r>
      <w:r w:rsidR="003E21D2">
        <w:t>wealthy</w:t>
      </w:r>
      <w:r w:rsidR="00353624">
        <w:t xml:space="preserve"> citizens as private individuals. </w:t>
      </w:r>
      <w:r w:rsidR="008347D7">
        <w:t xml:space="preserve">When </w:t>
      </w:r>
      <w:r w:rsidR="0036080B">
        <w:t xml:space="preserve">the town as a whole </w:t>
      </w:r>
      <w:r w:rsidR="009A54AB">
        <w:t xml:space="preserve">lent money to the crown, </w:t>
      </w:r>
      <w:r w:rsidR="000071DD">
        <w:t xml:space="preserve">the money was raised through a </w:t>
      </w:r>
      <w:r w:rsidR="00000000">
        <w:t xml:space="preserve">local tax on the citizenry–a process </w:t>
      </w:r>
      <w:r w:rsidR="008C0CF8">
        <w:t xml:space="preserve">that typically required </w:t>
      </w:r>
      <w:r w:rsidR="00000000">
        <w:t xml:space="preserve">consent from an assembly of citizens. </w:t>
      </w:r>
      <w:r w:rsidR="00867901">
        <w:t>Such consent was n</w:t>
      </w:r>
      <w:r w:rsidR="00BE1D5C">
        <w:t>ot always forthcoming</w:t>
      </w:r>
      <w:r w:rsidR="002904E5">
        <w:t>, and r</w:t>
      </w:r>
      <w:r w:rsidR="00074567">
        <w:t xml:space="preserve">oyal requests for loans could provoke </w:t>
      </w:r>
      <w:r w:rsidR="008A3C34">
        <w:t>protests against the municipal officers responsible for administering them</w:t>
      </w:r>
      <w:r w:rsidR="002904E5">
        <w:t>. I</w:t>
      </w:r>
      <w:r w:rsidR="00074567">
        <w:t>n Coventry in 1351</w:t>
      </w:r>
      <w:r w:rsidR="002904E5">
        <w:t xml:space="preserve"> c</w:t>
      </w:r>
      <w:r w:rsidR="000777EE">
        <w:t>itizens attacked</w:t>
      </w:r>
      <w:r w:rsidR="00870B3B">
        <w:t xml:space="preserve"> the mayor in the Guildhall to prevent </w:t>
      </w:r>
      <w:r w:rsidR="00743A4F">
        <w:t>him</w:t>
      </w:r>
      <w:r w:rsidR="00870B3B">
        <w:t xml:space="preserve"> from collecting</w:t>
      </w:r>
      <w:r w:rsidR="00B64AFF">
        <w:t xml:space="preserve"> the levy needed for a loan to Edward III</w:t>
      </w:r>
      <w:r w:rsidR="0010272D">
        <w:t>, and then elected their own rival collectors</w:t>
      </w:r>
      <w:r w:rsidR="00B64AFF">
        <w:t>.</w:t>
      </w:r>
      <w:r w:rsidR="00B64AFF">
        <w:rPr>
          <w:rStyle w:val="FootnoteReference"/>
        </w:rPr>
        <w:footnoteReference w:id="21"/>
      </w:r>
      <w:r w:rsidR="007C4B09">
        <w:t xml:space="preserve"> </w:t>
      </w:r>
    </w:p>
    <w:p w14:paraId="00000022" w14:textId="2B64EB11" w:rsidR="00737F95" w:rsidRDefault="00000000">
      <w:r>
        <w:t>To side-step</w:t>
      </w:r>
      <w:r w:rsidR="00D503D5">
        <w:t xml:space="preserve"> </w:t>
      </w:r>
      <w:r w:rsidR="00CE4F64">
        <w:t>the potential for public outcry</w:t>
      </w:r>
      <w:r>
        <w:t>, kings approached individual merchants and mercantile conglomerates to float royal initiatives. Wool exporters became especially prominent lenders to the Crown, largely due to radical experiments in royal finance undertaken by Edward III. These included leasing out the management of wool customs to a group of merchants, chief among them William de la Pole of Hull.</w:t>
      </w:r>
      <w:r>
        <w:rPr>
          <w:vertAlign w:val="superscript"/>
        </w:rPr>
        <w:footnoteReference w:id="22"/>
      </w:r>
      <w:r>
        <w:t xml:space="preserve"> A more lasting scheme was the establishment of a wool staple at Calais in 1363: anyone exporting wool to the continent from </w:t>
      </w:r>
      <w:r>
        <w:lastRenderedPageBreak/>
        <w:t>England was required to first stop at the English-held French port for their goods to be processed and taxed. The staple at Calais was managed by a group of twenty-six merchants known as the Company of the Staple. For the remainder of the Middle Ages, the merchants of the Company ranked among the Crown’s principal lenders, largely because they could easily secure repayment of their loans from the customs paid at Calais. The Crown frequently used loans from the Company to pay the wages of the soldiers stationed at the Calais garrison, and from 1466 the Company funded the garrison’s expenses on a permanent basis. The Crown’s dependence on the Company of the Staple could, however, backfire.</w:t>
      </w:r>
      <w:r w:rsidR="00EB462F">
        <w:t xml:space="preserve"> </w:t>
      </w:r>
      <w:r>
        <w:t>Calais became the centre of Yorkist opposition against Henry VI’s government in 1459-60–to the point of hosting the earls of Warwick, Salisbury, and March after they had been declared traitors–in part because the Staplers had greater faith that a royal government led by the duke of York would re-pay its debts more readily.</w:t>
      </w:r>
      <w:r>
        <w:rPr>
          <w:vertAlign w:val="superscript"/>
        </w:rPr>
        <w:footnoteReference w:id="23"/>
      </w:r>
    </w:p>
    <w:p w14:paraId="00000023" w14:textId="0DA4C922" w:rsidR="00737F95" w:rsidRDefault="00000000">
      <w:r>
        <w:t>Some merchants resident in towns, such as William de la Pole of Hull or Richard Whittington of London, were able to leverage their financial support of the Crown into prominent positions in royal government: de la Pole achieved a knighthood and his family joined the ranks of the aristocracy as earls (and later dukes) of Suffolk, while Whittington was a member of Henry IV’s council in 1399-1400.</w:t>
      </w:r>
      <w:r>
        <w:rPr>
          <w:vertAlign w:val="superscript"/>
        </w:rPr>
        <w:footnoteReference w:id="24"/>
      </w:r>
      <w:r>
        <w:t xml:space="preserve"> The importance of men like Whittington, a many-times mayor of London and mayor of the Staple at Calais, to the crown</w:t>
      </w:r>
      <w:r w:rsidR="00EB462F">
        <w:t xml:space="preserve"> was two-fold: </w:t>
      </w:r>
      <w:r>
        <w:t>they not only contribute</w:t>
      </w:r>
      <w:r w:rsidR="00EB462F">
        <w:t>d</w:t>
      </w:r>
      <w:r>
        <w:t xml:space="preserve"> their own fortune</w:t>
      </w:r>
      <w:r w:rsidR="00EB462F">
        <w:t xml:space="preserve">s </w:t>
      </w:r>
      <w:r>
        <w:t>but use</w:t>
      </w:r>
      <w:r w:rsidR="00EB462F">
        <w:t>d</w:t>
      </w:r>
      <w:r>
        <w:t xml:space="preserve"> their role</w:t>
      </w:r>
      <w:r w:rsidR="00EB462F">
        <w:t>s</w:t>
      </w:r>
      <w:r>
        <w:t xml:space="preserve"> as officeholders in municipal and mercantile organisations to influence the financial contributions made by th</w:t>
      </w:r>
      <w:r w:rsidR="000A0EE0">
        <w:t>o</w:t>
      </w:r>
      <w:r>
        <w:t xml:space="preserve">se public bodies. </w:t>
      </w:r>
    </w:p>
    <w:p w14:paraId="00000027" w14:textId="7E23F974" w:rsidR="00737F95" w:rsidRDefault="00000000">
      <w:r>
        <w:t xml:space="preserve">In addition to the liquid capital at their disposal, townspeople were uniquely useful to the </w:t>
      </w:r>
      <w:r w:rsidR="002964AB">
        <w:t>c</w:t>
      </w:r>
      <w:r>
        <w:t>rown because of their maritime experience. For most of the Middle Ages, the English Crown did not have a navy of its own and instead requisitioned merchant vessels for temporary use as warships or to transport diplomatic delegations abroad</w:t>
      </w:r>
      <w:r w:rsidR="005D55E5">
        <w:t xml:space="preserve">—with the ships re-fitted and crews paid </w:t>
      </w:r>
      <w:r w:rsidR="00BC09EE">
        <w:t>typically at the expense of townspeople themselves</w:t>
      </w:r>
      <w:r w:rsidR="00D05E87">
        <w:t xml:space="preserve">. </w:t>
      </w:r>
      <w:r>
        <w:t xml:space="preserve">As with loans, the Crown asked not just individual merchants but also civic governments as public bodies to supply ships for royal use. The ability of citizens (whether in public or private capacity) to supply ships for royal use gave them special political leverage. The confederation of the Cinque Ports–comprising the ‘head ports’ of New Romney, Hythe, Dover, and Sandwich in Kent and Hastings, Winchelsea, and Rye in Sussex, together with smaller associated ‘member’ towns–had the historic responsibility to supply fifty-seven vessels for the </w:t>
      </w:r>
      <w:r w:rsidR="00D55392">
        <w:t>c</w:t>
      </w:r>
      <w:r>
        <w:t xml:space="preserve">rown’s use for fifteen days each year, and in turn these towns exercised political muscle far beyond their size. The citizens of the Cinque Ports were known as ‘barons’ and held the canopy above the king at his coronation. Seven towns within the confederation regularly sent two MPs each to parliament, meaning that they collectively had fourteen representatives in each parliament compared to London’s four. When the king did build and maintain his own vessels (as during the reign of Henry V), he appointed </w:t>
      </w:r>
      <w:r w:rsidR="00692BB8">
        <w:t>citizens</w:t>
      </w:r>
      <w:r>
        <w:t>–</w:t>
      </w:r>
      <w:r w:rsidR="00692BB8">
        <w:t xml:space="preserve">in this case, </w:t>
      </w:r>
      <w:r>
        <w:t>William Soper of Southampton</w:t>
      </w:r>
      <w:r w:rsidR="00DF504D">
        <w:t>—</w:t>
      </w:r>
      <w:r>
        <w:t>to manage his ships and shipyards.</w:t>
      </w:r>
      <w:r>
        <w:rPr>
          <w:vertAlign w:val="superscript"/>
        </w:rPr>
        <w:footnoteReference w:id="25"/>
      </w:r>
    </w:p>
    <w:p w14:paraId="10A38EFD" w14:textId="03385E33" w:rsidR="001229BD" w:rsidRDefault="00E37AED">
      <w:r>
        <w:t xml:space="preserve">Towns were also a source of troops, proving especially important as the crown moved away from knight service </w:t>
      </w:r>
      <w:r w:rsidR="00000000">
        <w:t xml:space="preserve">during the late thirteenth and fourteenth centuries. </w:t>
      </w:r>
      <w:r w:rsidR="004269D7">
        <w:t xml:space="preserve">The king would issue a </w:t>
      </w:r>
      <w:r w:rsidR="004269D7">
        <w:lastRenderedPageBreak/>
        <w:t xml:space="preserve">commission of array to a civic government requesting horsemen and infantry, and municipal officials </w:t>
      </w:r>
      <w:r w:rsidR="00FC6EF8">
        <w:t xml:space="preserve">would then </w:t>
      </w:r>
      <w:r w:rsidR="004269D7">
        <w:t xml:space="preserve">recruit </w:t>
      </w:r>
      <w:r w:rsidR="001E09EF">
        <w:t xml:space="preserve">soldiers </w:t>
      </w:r>
      <w:r w:rsidR="004269D7">
        <w:t xml:space="preserve">and </w:t>
      </w:r>
      <w:r w:rsidR="004A301A">
        <w:t xml:space="preserve">pay their wages </w:t>
      </w:r>
      <w:r w:rsidR="00E12367">
        <w:t>through local taxes</w:t>
      </w:r>
      <w:r w:rsidR="004269D7">
        <w:t xml:space="preserve">. </w:t>
      </w:r>
      <w:r w:rsidR="00000000">
        <w:t xml:space="preserve">Occasionally, as when defending Calais against Burgundian attack in 1436, urban troops </w:t>
      </w:r>
      <w:r w:rsidR="008E5E53">
        <w:t>took part in</w:t>
      </w:r>
      <w:r w:rsidR="00000000">
        <w:t xml:space="preserve"> foreign wars</w:t>
      </w:r>
      <w:r w:rsidR="00346C22">
        <w:t>, but t</w:t>
      </w:r>
      <w:r w:rsidR="00000000">
        <w:t>own levies really came into their own</w:t>
      </w:r>
      <w:r w:rsidR="00346C22">
        <w:t xml:space="preserve"> </w:t>
      </w:r>
      <w:r w:rsidR="0090513A">
        <w:t xml:space="preserve">during </w:t>
      </w:r>
      <w:r w:rsidR="00000000">
        <w:t>periods of internal warfare</w:t>
      </w:r>
      <w:r w:rsidR="00346C22">
        <w:t xml:space="preserve">. </w:t>
      </w:r>
      <w:r w:rsidR="0029289B">
        <w:t xml:space="preserve">Both kings and those who opposed them </w:t>
      </w:r>
      <w:r w:rsidR="00335573">
        <w:t xml:space="preserve">demanded soldiers from </w:t>
      </w:r>
      <w:r w:rsidR="00CB5285">
        <w:t>civic governments</w:t>
      </w:r>
      <w:r w:rsidR="00EC0C3E">
        <w:t xml:space="preserve">. </w:t>
      </w:r>
      <w:r w:rsidR="00766D57">
        <w:t>Leaders of popular rebellions</w:t>
      </w:r>
      <w:r w:rsidR="00074478">
        <w:t xml:space="preserve">, too, </w:t>
      </w:r>
      <w:r w:rsidR="00287CE1">
        <w:t xml:space="preserve">tried to </w:t>
      </w:r>
      <w:r w:rsidR="0021556E">
        <w:t xml:space="preserve">levy </w:t>
      </w:r>
      <w:r w:rsidR="00287CE1">
        <w:t>urban troops</w:t>
      </w:r>
      <w:r w:rsidR="000D5122">
        <w:t>. In 1450, Jack Cade sent two letters to the civic government of</w:t>
      </w:r>
      <w:r w:rsidR="002A24B1">
        <w:t xml:space="preserve"> the Kentish town of</w:t>
      </w:r>
      <w:r w:rsidR="000D5122">
        <w:t xml:space="preserve"> Lydd requesting military support; the </w:t>
      </w:r>
      <w:r w:rsidR="002A24B1">
        <w:t xml:space="preserve">jurats of Lydd sent their excuses, but sought to placate the </w:t>
      </w:r>
      <w:r w:rsidR="00656ED6">
        <w:t>rebels by sending the sumptuous gift of a porpoise.</w:t>
      </w:r>
      <w:r w:rsidR="00656ED6">
        <w:rPr>
          <w:rStyle w:val="FootnoteReference"/>
        </w:rPr>
        <w:footnoteReference w:id="26"/>
      </w:r>
      <w:r w:rsidR="00EC0C3E">
        <w:t xml:space="preserve"> </w:t>
      </w:r>
    </w:p>
    <w:p w14:paraId="00000029" w14:textId="5998515C" w:rsidR="00737F95" w:rsidRDefault="00D61121">
      <w:r>
        <w:t xml:space="preserve">While urban governments </w:t>
      </w:r>
      <w:r w:rsidR="00324F29">
        <w:t xml:space="preserve">were </w:t>
      </w:r>
      <w:r w:rsidR="00CC38CB">
        <w:t xml:space="preserve">often </w:t>
      </w:r>
      <w:r w:rsidR="00324F29">
        <w:t xml:space="preserve">cautious when </w:t>
      </w:r>
      <w:r>
        <w:t xml:space="preserve">supplying troops </w:t>
      </w:r>
      <w:r w:rsidR="00324F29">
        <w:t>during</w:t>
      </w:r>
      <w:r w:rsidR="00BA37A8">
        <w:t xml:space="preserve"> periods of dynastic conflict or popular disturbance, </w:t>
      </w:r>
      <w:r w:rsidR="00324F29">
        <w:t xml:space="preserve">on several occasions </w:t>
      </w:r>
      <w:r w:rsidR="00C10C5B">
        <w:t xml:space="preserve">mayors and aldermen did throw in their lot with a particular cause. </w:t>
      </w:r>
      <w:r w:rsidR="00714F33">
        <w:t xml:space="preserve">While (as we have seen above) Canterbury’s provision of troops for the rebellion of the Bastard of </w:t>
      </w:r>
      <w:proofErr w:type="spellStart"/>
      <w:r w:rsidR="00714F33">
        <w:t>Fauconberg</w:t>
      </w:r>
      <w:proofErr w:type="spellEnd"/>
      <w:r w:rsidR="00714F33">
        <w:t xml:space="preserve"> in 1471 resulted in the execution of the mayor and suspension of the city’s privileges, </w:t>
      </w:r>
      <w:r w:rsidR="003E603F">
        <w:t>such</w:t>
      </w:r>
      <w:r w:rsidR="00714F33">
        <w:t xml:space="preserve"> cautionary tales were the</w:t>
      </w:r>
      <w:r w:rsidR="007B10BB">
        <w:t xml:space="preserve"> exception rather than the rule. More often, an urban government’s overt partisanship turned the military tide in favour of the cause they supported</w:t>
      </w:r>
      <w:r w:rsidR="00264B19">
        <w:t xml:space="preserve">. At the battle of Towton </w:t>
      </w:r>
      <w:r w:rsidR="00102EA1">
        <w:t xml:space="preserve">ten years earlier </w:t>
      </w:r>
      <w:r w:rsidR="00264B19">
        <w:t>Edward IV’s success stemmed in part from his ability to attract civic troops: a Middle English poem describing the battle lauded the ‘</w:t>
      </w:r>
      <w:proofErr w:type="spellStart"/>
      <w:r w:rsidR="00264B19">
        <w:t>harow</w:t>
      </w:r>
      <w:proofErr w:type="spellEnd"/>
      <w:r w:rsidR="00264B19">
        <w:t>’ of Canterbury, the ‘white ship’ of Bristol, and the ‘</w:t>
      </w:r>
      <w:proofErr w:type="spellStart"/>
      <w:r w:rsidR="00264B19">
        <w:t>blak</w:t>
      </w:r>
      <w:proofErr w:type="spellEnd"/>
      <w:r w:rsidR="00264B19">
        <w:t xml:space="preserve"> ram’ of Coventry for fighting on Edward IV’s behalf, undoubtedly a reference to the heraldry that festooned the civic standards under which these towns’ contingents fought.</w:t>
      </w:r>
      <w:r w:rsidR="00264B19">
        <w:rPr>
          <w:vertAlign w:val="superscript"/>
        </w:rPr>
        <w:footnoteReference w:id="27"/>
      </w:r>
    </w:p>
    <w:p w14:paraId="76C7CA83" w14:textId="77777777" w:rsidR="00E12367" w:rsidRDefault="00E12367"/>
    <w:p w14:paraId="0000002D" w14:textId="6B359194" w:rsidR="00737F95" w:rsidRDefault="00FD6715">
      <w:r>
        <w:rPr>
          <w:b/>
          <w:u w:val="single"/>
        </w:rPr>
        <w:t xml:space="preserve">The Urban </w:t>
      </w:r>
      <w:r w:rsidR="00000000">
        <w:rPr>
          <w:b/>
          <w:u w:val="single"/>
        </w:rPr>
        <w:t>Public: Parliament, Protest, and Spectacle</w:t>
      </w:r>
    </w:p>
    <w:p w14:paraId="47E9C941" w14:textId="6E27237F" w:rsidR="000A7A0B" w:rsidRDefault="00E519A8">
      <w:r>
        <w:t xml:space="preserve">The importance of </w:t>
      </w:r>
      <w:r w:rsidR="0043234F">
        <w:t xml:space="preserve">townspeople during the politically tumultuous later Middle Ages </w:t>
      </w:r>
      <w:r w:rsidR="009E22D6">
        <w:t>did not stem purely from the military and financial resources controlled by urban governments</w:t>
      </w:r>
      <w:r w:rsidR="0043234F">
        <w:t xml:space="preserve">. </w:t>
      </w:r>
      <w:r w:rsidR="009E22D6">
        <w:t xml:space="preserve">It also drew, more intangibly, from </w:t>
      </w:r>
      <w:r w:rsidR="00E7675E">
        <w:t>the view that town</w:t>
      </w:r>
      <w:r w:rsidR="00976CD3">
        <w:t xml:space="preserve">s were places in which the voice of the public could be heard. </w:t>
      </w:r>
      <w:r w:rsidR="00032714">
        <w:t>A</w:t>
      </w:r>
      <w:r>
        <w:t xml:space="preserve">s the concept of a ‘community of the realm’ developed, it came to be accepted that citizens of towns were members of the regnal community with a stake in its governance. London held special </w:t>
      </w:r>
      <w:r w:rsidR="005133EB">
        <w:t>significance</w:t>
      </w:r>
      <w:r>
        <w:t>: its mayor was among the twenty-five barons sworn to enforce the terms of Magna Carta in 1215, and throughout the Middle Ages its citizens’ acclamation was sought when someone (be they Queen Isabella and Roger Mortimer in 1326</w:t>
      </w:r>
      <w:r w:rsidR="00380D05">
        <w:t xml:space="preserve">, </w:t>
      </w:r>
      <w:r>
        <w:t>Edward IV in 1461</w:t>
      </w:r>
      <w:r w:rsidR="00380D05">
        <w:t>, or Richard III in 1483</w:t>
      </w:r>
      <w:r>
        <w:t xml:space="preserve">) sought to legitimate their dethroning of a sitting monarch. </w:t>
      </w:r>
    </w:p>
    <w:p w14:paraId="0000002F" w14:textId="235BA53A" w:rsidR="00737F95" w:rsidRDefault="00E519A8">
      <w:r>
        <w:t xml:space="preserve">Over the course of the thirteenth and fourteenth centuries, </w:t>
      </w:r>
      <w:r w:rsidR="007D48FD">
        <w:t>towns came to be consulted about matters of ‘common’ interest as a matter of course</w:t>
      </w:r>
      <w:r>
        <w:t>.</w:t>
      </w:r>
      <w:r w:rsidR="00CE58A6">
        <w:rPr>
          <w:rStyle w:val="FootnoteReference"/>
        </w:rPr>
        <w:footnoteReference w:id="28"/>
      </w:r>
      <w:r>
        <w:t xml:space="preserve"> In 1265 Simon de Montfort issued summonses to towns to send representatives to parliament for the first time. Until 1310, burgess MPs were summoned to some parliaments but not all, and the number of burgess MPs and the towns they represented varied from assembly to assembly. During the reign of Edward II, however, it became commonplace for each town to send two MPs to every parliament, and for London to send four. The parliament for which the fullest writs of summons survive (that of 1478) show that representatives from towns numerically dominated the House of Commons: 202 out of 294 members of the House of Commons were representatives from towns.</w:t>
      </w:r>
      <w:r w:rsidR="00E73AA5">
        <w:t xml:space="preserve"> </w:t>
      </w:r>
      <w:r w:rsidR="00000000">
        <w:t xml:space="preserve">Citizens of larger towns tended to elect their MPs in their own municipal councils or assemblies each </w:t>
      </w:r>
      <w:r w:rsidR="00000000">
        <w:lastRenderedPageBreak/>
        <w:t xml:space="preserve">time a parliament was called; the MPs chosen were typically civic officials themselves or wealthy merchants, lawyers, or gentlemen closely connected to the men who ran the town. MPs for smaller boroughs, however, were </w:t>
      </w:r>
      <w:r w:rsidR="00C238F6">
        <w:t xml:space="preserve">typically </w:t>
      </w:r>
      <w:r w:rsidR="00000000">
        <w:t xml:space="preserve">selected at the general meeting of the county court, and they were often non-residents. </w:t>
      </w:r>
    </w:p>
    <w:p w14:paraId="102271E2" w14:textId="529A77F5" w:rsidR="000A3ACA" w:rsidRDefault="00000000" w:rsidP="000A3ACA">
      <w:r>
        <w:t>Parliamentary business brought by boroughs varied widely, from complaints about obstructions on rivers to requests for alterations in the composition of a civic council. It is also probable that broader legislation about commerce, industry, and international trade often stemmed from urban MPs</w:t>
      </w:r>
      <w:r w:rsidR="0016711F">
        <w:t xml:space="preserve">. </w:t>
      </w:r>
      <w:r>
        <w:t>Those MPs who represented the interests of merchants saw themselves as champions, more broadly, of the ‘commonweal’ of the realm--a term that first appeared in parliamentary discourse in petitions about merchandise</w:t>
      </w:r>
      <w:r w:rsidR="005E4B03">
        <w:t xml:space="preserve"> in the 1440s</w:t>
      </w:r>
      <w:r>
        <w:t>.</w:t>
      </w:r>
      <w:r>
        <w:rPr>
          <w:vertAlign w:val="superscript"/>
        </w:rPr>
        <w:footnoteReference w:id="29"/>
      </w:r>
      <w:r>
        <w:t xml:space="preserve"> These ideas–that merchants from towns represented a public interest that needed to be consulted–had already been established during the reigns of Edward I, Edward II, and Edward III, when separate assemblies of merchants representing an ‘Estate of Merchants’ were convened to advise on economic policy and approve grants of customs and wool subsidies. </w:t>
      </w:r>
      <w:r w:rsidR="009329AC">
        <w:t>Petitions presented in the name of the whole parliamentary commons thus often an urban inflection</w:t>
      </w:r>
      <w:r w:rsidR="000A3ACA">
        <w:t>.</w:t>
      </w:r>
      <w:r w:rsidR="002E426C">
        <w:t xml:space="preserve"> During the Good Parliament of 1376, for instance</w:t>
      </w:r>
      <w:r w:rsidR="00307D78">
        <w:t xml:space="preserve">, </w:t>
      </w:r>
      <w:r w:rsidR="000A3ACA">
        <w:t xml:space="preserve">the impeachments of Londoners Richard Lyons and </w:t>
      </w:r>
      <w:r w:rsidR="00B17D12">
        <w:t xml:space="preserve">John </w:t>
      </w:r>
      <w:proofErr w:type="spellStart"/>
      <w:r w:rsidR="00B17D12">
        <w:t>Pecche</w:t>
      </w:r>
      <w:proofErr w:type="spellEnd"/>
      <w:r w:rsidR="00B17D12">
        <w:t xml:space="preserve"> and Great Yarmouth burgess</w:t>
      </w:r>
      <w:r w:rsidR="00F55325">
        <w:t>es</w:t>
      </w:r>
      <w:r w:rsidR="00B17D12">
        <w:t xml:space="preserve"> William Ellis </w:t>
      </w:r>
      <w:r w:rsidR="00F55325">
        <w:t xml:space="preserve">and Hugh Fastolf </w:t>
      </w:r>
      <w:r w:rsidR="000A3ACA">
        <w:t>for crimes against the king (notably, usury and the embezzlement of royal subsidies) coincided with</w:t>
      </w:r>
      <w:r w:rsidR="00F55325">
        <w:t xml:space="preserve"> complaints</w:t>
      </w:r>
      <w:r w:rsidR="00772540">
        <w:t xml:space="preserve"> against these men by the residents of their own towns</w:t>
      </w:r>
      <w:r w:rsidR="000A3ACA">
        <w:t>.</w:t>
      </w:r>
      <w:r w:rsidR="00B73F44">
        <w:rPr>
          <w:rStyle w:val="FootnoteReference"/>
        </w:rPr>
        <w:footnoteReference w:id="30"/>
      </w:r>
      <w:r w:rsidR="000A3ACA">
        <w:t xml:space="preserve"> </w:t>
      </w:r>
    </w:p>
    <w:p w14:paraId="00000032" w14:textId="67FE5804" w:rsidR="00737F95" w:rsidRDefault="00C8118D">
      <w:r>
        <w:t>A</w:t>
      </w:r>
      <w:r w:rsidR="00000000">
        <w:t>round two-thirds of burgess MPs represented towns that were under royal (rather than</w:t>
      </w:r>
      <w:r w:rsidR="00EE092F">
        <w:t xml:space="preserve"> seigneurial</w:t>
      </w:r>
      <w:r w:rsidR="00000000">
        <w:t>) lordship.</w:t>
      </w:r>
      <w:r w:rsidR="00000000">
        <w:rPr>
          <w:vertAlign w:val="superscript"/>
        </w:rPr>
        <w:footnoteReference w:id="31"/>
      </w:r>
      <w:r w:rsidR="00000000">
        <w:t xml:space="preserve"> Boroughs that did not send MPs to parliament</w:t>
      </w:r>
      <w:r w:rsidR="00380D05">
        <w:t>, however,</w:t>
      </w:r>
      <w:r w:rsidR="00000000">
        <w:t xml:space="preserve"> still submitted petitions to parliament </w:t>
      </w:r>
      <w:r w:rsidR="00067D86">
        <w:t xml:space="preserve">and </w:t>
      </w:r>
      <w:r w:rsidR="00380D05">
        <w:t>used the occasion to their advantage</w:t>
      </w:r>
      <w:r w:rsidR="00000000">
        <w:t>.</w:t>
      </w:r>
      <w:r w:rsidR="00000000">
        <w:rPr>
          <w:b/>
        </w:rPr>
        <w:t xml:space="preserve"> </w:t>
      </w:r>
      <w:r w:rsidR="00000000">
        <w:t xml:space="preserve">Beverley, under the lordship of the archbishop of York, did not send MPs to parliament between 1306 and 1563, but its burgesses, both individually and as a community, continued to use the House of Commons to advance its interests. </w:t>
      </w:r>
      <w:r w:rsidR="00754500">
        <w:t>I</w:t>
      </w:r>
      <w:r w:rsidR="00000000">
        <w:t>n 1330 Beverley merchant John of Manby petitioned that his loan to the Crown of 5 marks 2s. 7d. be repaid; the burgesses as a whole had parliament petition the king on their behalf for the confirmation of the town’s charters in 1377; in 1416 the House of Commons petitioned that malefactors threatening violence against leading burgess John Brompton be required to take oaths to keep the peace.</w:t>
      </w:r>
      <w:r w:rsidR="00000000">
        <w:rPr>
          <w:vertAlign w:val="superscript"/>
        </w:rPr>
        <w:footnoteReference w:id="32"/>
      </w:r>
      <w:r w:rsidR="00000000">
        <w:t xml:space="preserve"> Townspeople who were not citizens also found parliaments useful occasions to make their voices heard. The chronicler John </w:t>
      </w:r>
      <w:proofErr w:type="spellStart"/>
      <w:r w:rsidR="00000000">
        <w:t>Amundesham</w:t>
      </w:r>
      <w:proofErr w:type="spellEnd"/>
      <w:r w:rsidR="00000000">
        <w:t xml:space="preserve"> wrote that women from the Stocks Market in London ‘came openly into parliament’ sitting at Westminster in 1427-8 to upbraid Humphrey, duke of Gloucester for neglecting to advance the interests of his wife, Jacqueline of Hainault, in the Low Countries.</w:t>
      </w:r>
      <w:r w:rsidR="00000000">
        <w:rPr>
          <w:vertAlign w:val="superscript"/>
        </w:rPr>
        <w:footnoteReference w:id="33"/>
      </w:r>
      <w:r w:rsidR="00000000">
        <w:t xml:space="preserve"> </w:t>
      </w:r>
    </w:p>
    <w:p w14:paraId="17205D5A" w14:textId="4E60B1AB" w:rsidR="00275B40" w:rsidRDefault="00000000">
      <w:r>
        <w:t xml:space="preserve">The very nature of towns–where people from across the locality or even across the country congregated in relatively small spaces–made them key sites for the dissemination of information. </w:t>
      </w:r>
      <w:r w:rsidR="00D6614A">
        <w:t xml:space="preserve">It was in urban marketplaces that many subjects heard royal </w:t>
      </w:r>
      <w:r>
        <w:t xml:space="preserve">proclamations, on matters ranging from legislation on weights and measures or trade treaties with foreign powers </w:t>
      </w:r>
      <w:r>
        <w:lastRenderedPageBreak/>
        <w:t xml:space="preserve">to the denunciation of rebels. </w:t>
      </w:r>
      <w:r w:rsidR="00F26D05">
        <w:t xml:space="preserve">Most famously, Henry V </w:t>
      </w:r>
      <w:r w:rsidR="003008AA">
        <w:t>wrote letters to the mayor and aldermen of London</w:t>
      </w:r>
      <w:r w:rsidR="00CD7E3F">
        <w:t xml:space="preserve">, as well as the civic government of Norwich, </w:t>
      </w:r>
      <w:r w:rsidR="003008AA">
        <w:t>detailing his sieges and battles in France</w:t>
      </w:r>
      <w:r w:rsidR="00C56BDA">
        <w:t xml:space="preserve">. We know that the London letters </w:t>
      </w:r>
      <w:r w:rsidR="001C4943">
        <w:t xml:space="preserve">were, notably, in English rather than Latin or French, perhaps indicating that they were intended to be read out to </w:t>
      </w:r>
      <w:r w:rsidR="00114F87">
        <w:t>the wider citizenry.</w:t>
      </w:r>
      <w:r w:rsidR="00C56BDA">
        <w:rPr>
          <w:rStyle w:val="FootnoteReference"/>
        </w:rPr>
        <w:footnoteReference w:id="34"/>
      </w:r>
      <w:r w:rsidR="00275B40">
        <w:t xml:space="preserve"> </w:t>
      </w:r>
      <w:r w:rsidR="00541DF0">
        <w:t>R</w:t>
      </w:r>
      <w:r>
        <w:t>ebels</w:t>
      </w:r>
      <w:r w:rsidR="00275B40">
        <w:t>, too,</w:t>
      </w:r>
      <w:r>
        <w:t xml:space="preserve"> co-opted these spaces to spread their own messages</w:t>
      </w:r>
      <w:r w:rsidR="00AD7B3D">
        <w:t xml:space="preserve">, </w:t>
      </w:r>
      <w:r w:rsidR="00EF519C">
        <w:t xml:space="preserve">often by posting bills on town gates, market crosses, or </w:t>
      </w:r>
      <w:r w:rsidR="006F7DAC">
        <w:t>important churches</w:t>
      </w:r>
      <w:r>
        <w:t>.</w:t>
      </w:r>
      <w:r w:rsidR="008734B5">
        <w:t xml:space="preserve"> </w:t>
      </w:r>
      <w:r w:rsidR="00B169EE">
        <w:t>Townspeople were, on the whole, probably more likely to be literate than their counterparts in the countryside, facilitated, perhaps, by the expanding number of schools located in urban settings during the fourteenth and fifteenth centuries.</w:t>
      </w:r>
      <w:r w:rsidR="00541DF0">
        <w:t xml:space="preserve"> </w:t>
      </w:r>
      <w:r w:rsidR="00A158C9">
        <w:t xml:space="preserve">Bills were </w:t>
      </w:r>
      <w:r w:rsidR="00AD7B3D">
        <w:t xml:space="preserve">typically </w:t>
      </w:r>
      <w:r w:rsidR="00A158C9">
        <w:t xml:space="preserve">written in vernacular English and with easy rhyming slogans, to enable the townspeople able to read them to </w:t>
      </w:r>
      <w:r w:rsidR="00D6614A">
        <w:t xml:space="preserve">then </w:t>
      </w:r>
      <w:r w:rsidR="00A158C9">
        <w:t>easily spread the message by word of mouth.</w:t>
      </w:r>
      <w:r w:rsidR="00292DB0">
        <w:t xml:space="preserve"> </w:t>
      </w:r>
    </w:p>
    <w:p w14:paraId="6DD8AB7D" w14:textId="153F03CB" w:rsidR="006A3329" w:rsidRDefault="00EC3EDD">
      <w:r>
        <w:t>As a result</w:t>
      </w:r>
      <w:r w:rsidR="0036488D">
        <w:t xml:space="preserve">, </w:t>
      </w:r>
      <w:r>
        <w:t xml:space="preserve">townspeople from all walks of life were politically informed, </w:t>
      </w:r>
      <w:r w:rsidR="0036488D">
        <w:t xml:space="preserve">and their loyalties fiercely fought for. </w:t>
      </w:r>
      <w:r w:rsidR="009C5854">
        <w:t>As early as 1326</w:t>
      </w:r>
      <w:r w:rsidR="00024350">
        <w:t>-7</w:t>
      </w:r>
      <w:r w:rsidR="009C5854">
        <w:t xml:space="preserve">, </w:t>
      </w:r>
      <w:r w:rsidR="00024350">
        <w:t xml:space="preserve">the support of ordinary Londoners proved essential in securing Edward II’s deposition. </w:t>
      </w:r>
      <w:r w:rsidR="009C5854">
        <w:t>Queen Isabella and Roger Mortimer distributed bills against the Despensers</w:t>
      </w:r>
      <w:r w:rsidR="00882694">
        <w:t xml:space="preserve"> </w:t>
      </w:r>
      <w:r w:rsidR="00B701CD">
        <w:t xml:space="preserve">at the Cross in London’s Cheapside and </w:t>
      </w:r>
      <w:r w:rsidR="005B4261">
        <w:t xml:space="preserve">on windows across the city </w:t>
      </w:r>
      <w:r w:rsidR="009C5854">
        <w:t xml:space="preserve">to rally support for </w:t>
      </w:r>
      <w:r w:rsidR="00882694">
        <w:t>the</w:t>
      </w:r>
      <w:r w:rsidR="005B4261">
        <w:t xml:space="preserve"> overthrow of Edward II’s advisors</w:t>
      </w:r>
      <w:r w:rsidR="00C52411">
        <w:t xml:space="preserve">. </w:t>
      </w:r>
      <w:r w:rsidR="00D92C1B">
        <w:t xml:space="preserve">The commoners of the city </w:t>
      </w:r>
      <w:r w:rsidR="008E263C">
        <w:t xml:space="preserve">took up arms </w:t>
      </w:r>
      <w:r w:rsidR="0092611E">
        <w:t xml:space="preserve">on Isabella’s behalf </w:t>
      </w:r>
      <w:r w:rsidR="00E87C10">
        <w:t>and influenced the city’s mayor to declare himself her ally</w:t>
      </w:r>
      <w:r w:rsidR="00882694">
        <w:t>.</w:t>
      </w:r>
      <w:r w:rsidR="006F34BF">
        <w:rPr>
          <w:rStyle w:val="FootnoteReference"/>
        </w:rPr>
        <w:footnoteReference w:id="35"/>
      </w:r>
      <w:r w:rsidR="00882694">
        <w:t xml:space="preserve"> </w:t>
      </w:r>
      <w:r w:rsidR="007B162E">
        <w:t>Similarly</w:t>
      </w:r>
      <w:r w:rsidR="00AF6B71">
        <w:t xml:space="preserve">, </w:t>
      </w:r>
      <w:r w:rsidR="00887411">
        <w:t>i</w:t>
      </w:r>
      <w:r w:rsidR="0073387C">
        <w:t xml:space="preserve">t </w:t>
      </w:r>
      <w:r w:rsidR="007B162E">
        <w:t>was</w:t>
      </w:r>
      <w:r w:rsidR="00493152">
        <w:t xml:space="preserve"> ordinary</w:t>
      </w:r>
      <w:r w:rsidR="007B162E">
        <w:t xml:space="preserve"> </w:t>
      </w:r>
      <w:r w:rsidR="0073387C">
        <w:t>Londoners</w:t>
      </w:r>
      <w:r w:rsidR="00887411">
        <w:t xml:space="preserve"> </w:t>
      </w:r>
      <w:r w:rsidR="0073387C">
        <w:t xml:space="preserve">who </w:t>
      </w:r>
      <w:r w:rsidR="00671E11">
        <w:t xml:space="preserve">paved the way for Edward IV’s ascension to the throne by </w:t>
      </w:r>
      <w:r w:rsidR="0073387C">
        <w:t>refus</w:t>
      </w:r>
      <w:r w:rsidR="00671E11">
        <w:t>ing</w:t>
      </w:r>
      <w:r w:rsidR="0073387C">
        <w:t xml:space="preserve"> to open the gates of the city to the victorious Margaret of Anjou following the second battle of St Albans in February 1461</w:t>
      </w:r>
      <w:r w:rsidR="004778D1">
        <w:t xml:space="preserve">, </w:t>
      </w:r>
      <w:r w:rsidR="0072032A">
        <w:t xml:space="preserve">against the wishes of the mayor and aldermen; they were </w:t>
      </w:r>
      <w:r w:rsidR="004778D1">
        <w:t xml:space="preserve">apparently </w:t>
      </w:r>
      <w:r w:rsidR="007E5781">
        <w:t>moved by Yorkist propaganda alleging that Margaret’s army of northerners would plunder the city</w:t>
      </w:r>
      <w:r w:rsidR="0073387C">
        <w:t>.</w:t>
      </w:r>
      <w:r w:rsidR="00671E11" w:rsidRPr="00671E11">
        <w:rPr>
          <w:rStyle w:val="FootnoteReference"/>
        </w:rPr>
        <w:t xml:space="preserve"> </w:t>
      </w:r>
      <w:r w:rsidR="00671E11">
        <w:rPr>
          <w:rStyle w:val="FootnoteReference"/>
        </w:rPr>
        <w:footnoteReference w:id="36"/>
      </w:r>
      <w:r w:rsidR="00671E11">
        <w:t xml:space="preserve"> </w:t>
      </w:r>
      <w:r w:rsidR="00133D86">
        <w:t xml:space="preserve">The man adopting the pseudonym Jack Sharpe facilitated a major </w:t>
      </w:r>
      <w:r w:rsidR="00052D8F">
        <w:t xml:space="preserve">anti-clerical revolt in 1431 by distributing Lollard bills in Oxford, </w:t>
      </w:r>
      <w:r w:rsidR="00CC4C76">
        <w:t>Northampton, Coventry, and Salisbury</w:t>
      </w:r>
      <w:r w:rsidR="001D730C">
        <w:t xml:space="preserve"> as well as London</w:t>
      </w:r>
      <w:r w:rsidR="00CC1221">
        <w:t xml:space="preserve">, enabling </w:t>
      </w:r>
      <w:r w:rsidR="00230114">
        <w:t xml:space="preserve">his cause </w:t>
      </w:r>
      <w:r w:rsidR="00CC1221">
        <w:t>to reach beyond its original centre in Abingdon</w:t>
      </w:r>
      <w:r w:rsidR="00A03485">
        <w:t xml:space="preserve"> and drawing </w:t>
      </w:r>
      <w:r w:rsidR="006E0BA5">
        <w:t xml:space="preserve">fullers, dyers, weavers, and other textile </w:t>
      </w:r>
      <w:r w:rsidR="00FD07A8">
        <w:t>workers</w:t>
      </w:r>
      <w:r w:rsidR="00F73BB5">
        <w:t xml:space="preserve"> </w:t>
      </w:r>
      <w:r w:rsidR="009A277F">
        <w:t xml:space="preserve">to advance Sharpe’s </w:t>
      </w:r>
      <w:r w:rsidR="00C775A7">
        <w:t xml:space="preserve">mission to </w:t>
      </w:r>
      <w:r w:rsidR="00640354">
        <w:t>‘</w:t>
      </w:r>
      <w:r w:rsidR="00640354">
        <w:rPr>
          <w:color w:val="000000"/>
        </w:rPr>
        <w:t xml:space="preserve">have </w:t>
      </w:r>
      <w:proofErr w:type="spellStart"/>
      <w:r w:rsidR="00640354">
        <w:rPr>
          <w:color w:val="000000"/>
        </w:rPr>
        <w:t>thre</w:t>
      </w:r>
      <w:proofErr w:type="spellEnd"/>
      <w:r w:rsidR="00640354">
        <w:rPr>
          <w:color w:val="000000"/>
        </w:rPr>
        <w:t xml:space="preserve"> </w:t>
      </w:r>
      <w:proofErr w:type="spellStart"/>
      <w:r w:rsidR="00640354">
        <w:rPr>
          <w:color w:val="000000"/>
        </w:rPr>
        <w:t>prestes</w:t>
      </w:r>
      <w:proofErr w:type="spellEnd"/>
      <w:r w:rsidR="00640354">
        <w:rPr>
          <w:color w:val="000000"/>
        </w:rPr>
        <w:t xml:space="preserve"> </w:t>
      </w:r>
      <w:proofErr w:type="spellStart"/>
      <w:r w:rsidR="00640354">
        <w:rPr>
          <w:color w:val="000000"/>
        </w:rPr>
        <w:t>heedes</w:t>
      </w:r>
      <w:proofErr w:type="spellEnd"/>
      <w:r w:rsidR="00640354">
        <w:rPr>
          <w:color w:val="000000"/>
        </w:rPr>
        <w:t xml:space="preserve"> </w:t>
      </w:r>
      <w:proofErr w:type="spellStart"/>
      <w:r w:rsidR="00640354">
        <w:rPr>
          <w:color w:val="000000"/>
        </w:rPr>
        <w:t>ffor</w:t>
      </w:r>
      <w:proofErr w:type="spellEnd"/>
      <w:r w:rsidR="00640354">
        <w:rPr>
          <w:color w:val="000000"/>
        </w:rPr>
        <w:t xml:space="preserve"> a </w:t>
      </w:r>
      <w:proofErr w:type="spellStart"/>
      <w:r w:rsidR="00640354">
        <w:rPr>
          <w:color w:val="000000"/>
        </w:rPr>
        <w:t>peny</w:t>
      </w:r>
      <w:proofErr w:type="spellEnd"/>
      <w:r w:rsidR="00640354">
        <w:rPr>
          <w:color w:val="000000"/>
        </w:rPr>
        <w:t>’.</w:t>
      </w:r>
      <w:r w:rsidR="00640354">
        <w:rPr>
          <w:rStyle w:val="FootnoteReference"/>
          <w:color w:val="000000"/>
        </w:rPr>
        <w:footnoteReference w:id="37"/>
      </w:r>
      <w:r w:rsidR="009E5FCC">
        <w:t xml:space="preserve"> </w:t>
      </w:r>
    </w:p>
    <w:p w14:paraId="09CA7DB1" w14:textId="62F50BF5" w:rsidR="00E161AB" w:rsidRDefault="006F3546">
      <w:r>
        <w:t xml:space="preserve">It </w:t>
      </w:r>
      <w:r w:rsidR="009E5FCC">
        <w:t xml:space="preserve">is unsurprising that </w:t>
      </w:r>
      <w:r w:rsidR="0009591F">
        <w:t xml:space="preserve">towns often proved essential components of the mass uprisings so typical of the fourteenth and fifteenth centuries. </w:t>
      </w:r>
      <w:r w:rsidR="00D66223">
        <w:t xml:space="preserve">The Peasants’ Revolt of 1381, while typically seen as a rural </w:t>
      </w:r>
      <w:r w:rsidR="00C1401C">
        <w:t xml:space="preserve">uprising, included </w:t>
      </w:r>
      <w:r w:rsidR="00371CB5">
        <w:t>infamous</w:t>
      </w:r>
      <w:r w:rsidR="00C1401C">
        <w:t xml:space="preserve"> acts of violence in London, York, Beverley, </w:t>
      </w:r>
      <w:r w:rsidR="0014119D">
        <w:t xml:space="preserve">Scarborough, </w:t>
      </w:r>
      <w:r w:rsidR="00C1401C">
        <w:t>Winchester, Canterbury, Bridgwater</w:t>
      </w:r>
      <w:r w:rsidR="0014119D">
        <w:t xml:space="preserve">, </w:t>
      </w:r>
      <w:r w:rsidR="00205C50">
        <w:t xml:space="preserve">Salisbury, </w:t>
      </w:r>
      <w:r w:rsidR="0014119D">
        <w:t xml:space="preserve">St Albans, Bury St Edmunds, </w:t>
      </w:r>
      <w:r w:rsidR="00205C50">
        <w:t xml:space="preserve">Great Yarmouth, </w:t>
      </w:r>
      <w:r w:rsidR="0014119D">
        <w:t>a</w:t>
      </w:r>
      <w:r w:rsidR="00CE23FB">
        <w:t>mong</w:t>
      </w:r>
      <w:r w:rsidR="0014119D">
        <w:t xml:space="preserve"> many other urban locations</w:t>
      </w:r>
      <w:r w:rsidR="002F1AB1">
        <w:t>.</w:t>
      </w:r>
      <w:r>
        <w:t xml:space="preserve"> More broadly, </w:t>
      </w:r>
      <w:r w:rsidR="0099427A">
        <w:t>the trade networks centred on towns and th</w:t>
      </w:r>
      <w:r w:rsidR="00225D47">
        <w:t>e forms of mass communication used by urban authorities</w:t>
      </w:r>
      <w:r w:rsidR="00C20141">
        <w:t xml:space="preserve">—from local proclamations to individuals’ use of the hue and cry to call </w:t>
      </w:r>
      <w:r w:rsidR="00216C16">
        <w:t xml:space="preserve">their neighbours’ </w:t>
      </w:r>
      <w:r w:rsidR="00C20141">
        <w:t xml:space="preserve">attention to </w:t>
      </w:r>
      <w:r w:rsidR="00216C16">
        <w:t>felons caught in the act—made them essential connecting nodes for</w:t>
      </w:r>
      <w:r w:rsidR="000A3E61">
        <w:t xml:space="preserve"> groups of dissidents across the country</w:t>
      </w:r>
      <w:r w:rsidR="001C3EA2">
        <w:t xml:space="preserve"> and for creating the ‘rumour’, ‘murmur’, or ‘clamour’ that forced the Crown to consider public opinion.</w:t>
      </w:r>
      <w:r w:rsidR="00B411A8">
        <w:rPr>
          <w:rStyle w:val="FootnoteReference"/>
        </w:rPr>
        <w:footnoteReference w:id="38"/>
      </w:r>
    </w:p>
    <w:p w14:paraId="00000034" w14:textId="3B5F5786" w:rsidR="00737F95" w:rsidRDefault="00000000">
      <w:r>
        <w:t>The complex nature of urban space as a stage for political communication is perhaps best exemplified by</w:t>
      </w:r>
      <w:r w:rsidR="00370426">
        <w:t xml:space="preserve"> the</w:t>
      </w:r>
      <w:r>
        <w:t xml:space="preserve"> royal entry pageants</w:t>
      </w:r>
      <w:r w:rsidR="00370426">
        <w:t xml:space="preserve"> that </w:t>
      </w:r>
      <w:r>
        <w:t>greet</w:t>
      </w:r>
      <w:r w:rsidR="00370426">
        <w:t>ed</w:t>
      </w:r>
      <w:r>
        <w:t xml:space="preserve"> kings, queens, </w:t>
      </w:r>
      <w:r w:rsidR="00370426">
        <w:t>and</w:t>
      </w:r>
      <w:r>
        <w:t xml:space="preserve"> </w:t>
      </w:r>
      <w:r w:rsidR="00370426">
        <w:t xml:space="preserve">princes </w:t>
      </w:r>
      <w:r>
        <w:t xml:space="preserve">when they </w:t>
      </w:r>
      <w:r>
        <w:lastRenderedPageBreak/>
        <w:t xml:space="preserve">arrived at a city for the first time following their coronation, coming of age, or marriage. </w:t>
      </w:r>
      <w:r w:rsidR="009F7E87">
        <w:t xml:space="preserve">Entry pageants </w:t>
      </w:r>
      <w:r w:rsidR="00C14335">
        <w:t xml:space="preserve">increased in number </w:t>
      </w:r>
      <w:r w:rsidR="00567F6E">
        <w:t>during the Wars of the Roses</w:t>
      </w:r>
      <w:r w:rsidR="00C3463B">
        <w:t>, as monarchs with contested claims to the throne sought to advertise their legitimacy to the widest possible audience.</w:t>
      </w:r>
      <w:r w:rsidR="00AE0DCD">
        <w:t xml:space="preserve"> In 1486, less than a year after defeating Richard III at Bosworth, King Henry VII </w:t>
      </w:r>
      <w:r w:rsidR="003A1D9F">
        <w:t xml:space="preserve">entered the gates of the city of York and was greeted </w:t>
      </w:r>
      <w:r w:rsidR="00E01ADF">
        <w:t xml:space="preserve">by </w:t>
      </w:r>
      <w:r w:rsidR="00C202DE">
        <w:t xml:space="preserve">a field of flowers that bowed to a large Tudor rose, subsequently </w:t>
      </w:r>
      <w:r w:rsidR="00F17F47">
        <w:t>topped with a crown descending from a cloud</w:t>
      </w:r>
      <w:r w:rsidR="00423AF6">
        <w:t>.</w:t>
      </w:r>
      <w:r w:rsidR="0070758F">
        <w:rPr>
          <w:rStyle w:val="FootnoteReference"/>
        </w:rPr>
        <w:footnoteReference w:id="39"/>
      </w:r>
      <w:r w:rsidR="00423AF6">
        <w:t xml:space="preserve"> </w:t>
      </w:r>
      <w:r w:rsidR="00AD35B5">
        <w:t xml:space="preserve">While these performances had </w:t>
      </w:r>
      <w:r w:rsidR="00210D1E">
        <w:t>obvious</w:t>
      </w:r>
      <w:r w:rsidR="00AD35B5">
        <w:t xml:space="preserve"> propaganda value for the </w:t>
      </w:r>
      <w:r w:rsidR="0006074F">
        <w:t>king</w:t>
      </w:r>
      <w:r w:rsidR="00AD35B5">
        <w:t xml:space="preserve">, they </w:t>
      </w:r>
      <w:r w:rsidR="0006074F">
        <w:t xml:space="preserve">were also </w:t>
      </w:r>
      <w:r>
        <w:t xml:space="preserve">a rare opportunity for </w:t>
      </w:r>
      <w:r w:rsidR="006A3329">
        <w:t>residents</w:t>
      </w:r>
      <w:r>
        <w:t xml:space="preserve"> of provincial towns to communicate with the monarch on their own turf. </w:t>
      </w:r>
      <w:r w:rsidR="00F1057F">
        <w:t xml:space="preserve">Pageants were designed </w:t>
      </w:r>
      <w:r w:rsidR="005731D1">
        <w:t xml:space="preserve">by individuals jointly commissioned by the crown and the civic government, and the messages contained within them reflected this duality. </w:t>
      </w:r>
      <w:r w:rsidR="00F9184C">
        <w:t xml:space="preserve">The same York pageant from 1486 contained a speech from York’s legendary founder, King </w:t>
      </w:r>
      <w:proofErr w:type="spellStart"/>
      <w:r w:rsidR="00F9184C">
        <w:t>Ebrauk</w:t>
      </w:r>
      <w:proofErr w:type="spellEnd"/>
      <w:r w:rsidR="00F9184C">
        <w:t xml:space="preserve">, </w:t>
      </w:r>
      <w:r w:rsidR="00920073">
        <w:t>requesting that H</w:t>
      </w:r>
      <w:r w:rsidR="00655E8C">
        <w:t xml:space="preserve">enry VII show favour to </w:t>
      </w:r>
      <w:r w:rsidR="0002312A">
        <w:t>the city’s</w:t>
      </w:r>
      <w:r w:rsidR="00655E8C">
        <w:t xml:space="preserve"> inhabitants. </w:t>
      </w:r>
      <w:r>
        <w:t xml:space="preserve">Entry pageants </w:t>
      </w:r>
      <w:r w:rsidR="00AF792D">
        <w:t xml:space="preserve">thereby </w:t>
      </w:r>
      <w:r>
        <w:t>took on the appearance of a negotiation between town and Crown</w:t>
      </w:r>
      <w:r w:rsidR="00B96D8F">
        <w:t xml:space="preserve">: a display of loyalty, </w:t>
      </w:r>
      <w:r w:rsidR="00E00195">
        <w:t>prompting a reward</w:t>
      </w:r>
      <w:r w:rsidR="0013326A">
        <w:t xml:space="preserve">. In 1451, </w:t>
      </w:r>
      <w:r w:rsidR="00C5539C">
        <w:t xml:space="preserve">Henry VI </w:t>
      </w:r>
      <w:r w:rsidR="00233678">
        <w:t xml:space="preserve">made Coventry its own county as a gesture of thanks </w:t>
      </w:r>
      <w:r w:rsidR="00054F1D">
        <w:t>for the</w:t>
      </w:r>
      <w:r w:rsidR="00233678">
        <w:t xml:space="preserve"> mayor’s</w:t>
      </w:r>
      <w:r w:rsidR="00054F1D">
        <w:t xml:space="preserve"> public ceremonies of homage and their gifts of a tun of wine </w:t>
      </w:r>
      <w:r w:rsidR="00F61B66">
        <w:t>20 fat oxen</w:t>
      </w:r>
      <w:r w:rsidR="00E52F8C">
        <w:t xml:space="preserve"> </w:t>
      </w:r>
      <w:r w:rsidR="00233678">
        <w:t>during his stay in the city</w:t>
      </w:r>
      <w:r w:rsidRPr="00233678">
        <w:rPr>
          <w:bCs/>
        </w:rPr>
        <w:t>.</w:t>
      </w:r>
      <w:r w:rsidR="00233678">
        <w:rPr>
          <w:rStyle w:val="FootnoteReference"/>
          <w:bCs/>
        </w:rPr>
        <w:footnoteReference w:id="40"/>
      </w:r>
      <w:r>
        <w:rPr>
          <w:b/>
        </w:rPr>
        <w:t xml:space="preserve"> </w:t>
      </w:r>
      <w:r w:rsidR="008C4215">
        <w:t>Because townspeople were needed to serve as actors, suppliers, and appreciative audiences for these spectacles, the</w:t>
      </w:r>
      <w:r w:rsidR="00D946AB">
        <w:t>re was always the risk that they might subvert these performances of majesty</w:t>
      </w:r>
      <w:r>
        <w:t>.</w:t>
      </w:r>
      <w:r w:rsidR="00057B96">
        <w:t xml:space="preserve"> Londoners twice </w:t>
      </w:r>
      <w:r w:rsidR="00833922">
        <w:t>destroyed heraldic shields set up for the royal procession to celebrate the marriage of Richard II and Anne of Bohemia in 1382</w:t>
      </w:r>
      <w:r w:rsidR="00C2136B">
        <w:t xml:space="preserve">—an act perceived as </w:t>
      </w:r>
      <w:r w:rsidR="00A1473C">
        <w:t>bringing shame to king, queen, and city.</w:t>
      </w:r>
      <w:r w:rsidR="00A1473C">
        <w:rPr>
          <w:rStyle w:val="FootnoteReference"/>
        </w:rPr>
        <w:footnoteReference w:id="41"/>
      </w:r>
    </w:p>
    <w:p w14:paraId="00000035" w14:textId="77777777" w:rsidR="00737F95" w:rsidRDefault="00737F95">
      <w:pPr>
        <w:rPr>
          <w:b/>
        </w:rPr>
      </w:pPr>
    </w:p>
    <w:p w14:paraId="00000036" w14:textId="77777777" w:rsidR="00737F95" w:rsidRDefault="00000000">
      <w:pPr>
        <w:rPr>
          <w:b/>
          <w:u w:val="single"/>
        </w:rPr>
      </w:pPr>
      <w:r>
        <w:rPr>
          <w:b/>
          <w:u w:val="single"/>
        </w:rPr>
        <w:t>Conclusion</w:t>
      </w:r>
    </w:p>
    <w:p w14:paraId="7695C167" w14:textId="6E030CE6" w:rsidR="007C11D2" w:rsidRDefault="00EC7CA6" w:rsidP="007C11D2">
      <w:r>
        <w:t>Townspeople were an especially</w:t>
      </w:r>
      <w:r w:rsidR="00704EC5">
        <w:t xml:space="preserve"> powerful type of subject</w:t>
      </w:r>
      <w:r>
        <w:t xml:space="preserve">, but they were far from a united group </w:t>
      </w:r>
      <w:r w:rsidR="009D020B">
        <w:t>that drew their power from the same source.</w:t>
      </w:r>
      <w:r w:rsidR="007C11D2">
        <w:t xml:space="preserve"> </w:t>
      </w:r>
      <w:r w:rsidR="007C11D2">
        <w:t xml:space="preserve">Citizens of a town had special trading rights and legal privileges throughout the kingdom, </w:t>
      </w:r>
      <w:r w:rsidR="00401814">
        <w:t xml:space="preserve">elected their own MPs to parliament, </w:t>
      </w:r>
      <w:r w:rsidR="007C11D2">
        <w:t xml:space="preserve">and </w:t>
      </w:r>
      <w:r w:rsidR="00EF23CC">
        <w:t xml:space="preserve">could potentially exercise delegated royal authority </w:t>
      </w:r>
      <w:r w:rsidR="0048102B">
        <w:t xml:space="preserve">themselves </w:t>
      </w:r>
      <w:r w:rsidR="00401814">
        <w:t xml:space="preserve">if </w:t>
      </w:r>
      <w:r w:rsidR="007C11D2">
        <w:t xml:space="preserve">elected </w:t>
      </w:r>
      <w:r w:rsidR="00401814">
        <w:t xml:space="preserve">as </w:t>
      </w:r>
      <w:r w:rsidR="007C11D2">
        <w:t>mayors, aldermen, sheriffs, and councillors</w:t>
      </w:r>
      <w:r w:rsidR="0048102B">
        <w:t xml:space="preserve"> of their town</w:t>
      </w:r>
      <w:r w:rsidR="007C11D2">
        <w:t xml:space="preserve">. </w:t>
      </w:r>
      <w:r w:rsidR="00AA0E9D">
        <w:t>C</w:t>
      </w:r>
      <w:r w:rsidR="007C11D2">
        <w:t xml:space="preserve">itizens tended to be among the economic elite in towns, and their money, commercial expertise, and access to shipping became increasingly vital to royal financial and military initiatives from the fourteenth century onwards. </w:t>
      </w:r>
      <w:r w:rsidR="0072062D">
        <w:t xml:space="preserve">Citizens </w:t>
      </w:r>
      <w:r w:rsidR="00A7661E">
        <w:t xml:space="preserve">thus </w:t>
      </w:r>
      <w:r w:rsidR="007C11D2">
        <w:t>encountered royal government through two avenues: in a public capacity as a community of citizens that made decisions collectively, and in a private capacity as merchants with access to liquid capital.</w:t>
      </w:r>
    </w:p>
    <w:p w14:paraId="00000037" w14:textId="4B8E27AB" w:rsidR="00737F95" w:rsidRDefault="00000000">
      <w:r>
        <w:t>Citizens</w:t>
      </w:r>
      <w:r w:rsidR="00D46A8D">
        <w:t>, however,</w:t>
      </w:r>
      <w:r>
        <w:t xml:space="preserve"> were but one component of a larger urban public. It was in urban spaces that the kings’ triumphs, laws, and pleas were communicated most frequently</w:t>
      </w:r>
      <w:r w:rsidR="00B74738">
        <w:t>. P</w:t>
      </w:r>
      <w:r>
        <w:t xml:space="preserve">eople who frequented those marketplaces and streets, whether citizens or not, were </w:t>
      </w:r>
      <w:r w:rsidR="008216B4">
        <w:t xml:space="preserve">empowered as </w:t>
      </w:r>
      <w:r>
        <w:t xml:space="preserve">audiences who could publicly accept, ignore, protest against, or negotiate with royal power. </w:t>
      </w:r>
      <w:r w:rsidR="008A70D8">
        <w:t xml:space="preserve">They </w:t>
      </w:r>
      <w:r w:rsidR="00F64209">
        <w:t>contro</w:t>
      </w:r>
      <w:r w:rsidR="008255B5">
        <w:t>l</w:t>
      </w:r>
      <w:r w:rsidR="00F64209">
        <w:t>l</w:t>
      </w:r>
      <w:r w:rsidR="008255B5">
        <w:t>ed</w:t>
      </w:r>
      <w:r w:rsidR="00F64209">
        <w:t xml:space="preserve"> access to key sites</w:t>
      </w:r>
      <w:r w:rsidR="00920ACF">
        <w:t xml:space="preserve"> of communication and military power</w:t>
      </w:r>
      <w:r w:rsidR="00F64209">
        <w:t xml:space="preserve"> </w:t>
      </w:r>
      <w:r w:rsidR="00920ACF">
        <w:t>in the city</w:t>
      </w:r>
      <w:r w:rsidR="008255B5">
        <w:t>, such as market crosses and city gates</w:t>
      </w:r>
      <w:r w:rsidR="00920ACF">
        <w:t>—</w:t>
      </w:r>
      <w:r w:rsidR="003B4643">
        <w:t>a fact that kings or would-be kings ignored at their peril</w:t>
      </w:r>
      <w:r w:rsidR="00613343">
        <w:t>.</w:t>
      </w:r>
    </w:p>
    <w:p w14:paraId="00000038" w14:textId="77777777" w:rsidR="00737F95" w:rsidRDefault="00737F95"/>
    <w:p w14:paraId="00000039" w14:textId="77777777" w:rsidR="00737F95" w:rsidRDefault="00000000">
      <w:pPr>
        <w:rPr>
          <w:b/>
          <w:u w:val="single"/>
        </w:rPr>
      </w:pPr>
      <w:r>
        <w:rPr>
          <w:b/>
          <w:u w:val="single"/>
        </w:rPr>
        <w:t>Further Reading</w:t>
      </w:r>
    </w:p>
    <w:p w14:paraId="0000003A" w14:textId="77777777" w:rsidR="00737F95" w:rsidRDefault="00000000">
      <w:proofErr w:type="spellStart"/>
      <w:r>
        <w:lastRenderedPageBreak/>
        <w:t>Attreed</w:t>
      </w:r>
      <w:proofErr w:type="spellEnd"/>
      <w:r>
        <w:t xml:space="preserve">, Lorraine. </w:t>
      </w:r>
      <w:r>
        <w:rPr>
          <w:i/>
        </w:rPr>
        <w:t xml:space="preserve">The King’s Towns: Identity and Survival in Late Medieval English Boroughs </w:t>
      </w:r>
      <w:r>
        <w:t>(New York: Peter Lang, 2001).</w:t>
      </w:r>
    </w:p>
    <w:p w14:paraId="0000003B" w14:textId="77777777" w:rsidR="00737F95" w:rsidRDefault="00000000">
      <w:r>
        <w:t xml:space="preserve">Barron, Caroline M. </w:t>
      </w:r>
      <w:r>
        <w:rPr>
          <w:i/>
        </w:rPr>
        <w:t xml:space="preserve">London in the Later Middle Ages: Government and People, 1200-1500 </w:t>
      </w:r>
      <w:r>
        <w:t>(Oxford: Oxford University Press, 2004).</w:t>
      </w:r>
    </w:p>
    <w:p w14:paraId="0000003C" w14:textId="77777777" w:rsidR="00737F95" w:rsidRDefault="00000000">
      <w:r>
        <w:t xml:space="preserve">Cohn, </w:t>
      </w:r>
      <w:bookmarkStart w:id="0" w:name="_Hlk185846396"/>
      <w:r>
        <w:t xml:space="preserve">Samuel K., Jr., with Douglas Aiton. </w:t>
      </w:r>
      <w:r>
        <w:rPr>
          <w:i/>
        </w:rPr>
        <w:t xml:space="preserve">Popular Protest in Late Medieval English Towns </w:t>
      </w:r>
      <w:r>
        <w:t>(Cambridge: Cambridge University Press, 2012)</w:t>
      </w:r>
      <w:bookmarkEnd w:id="0"/>
      <w:r>
        <w:t>.</w:t>
      </w:r>
    </w:p>
    <w:p w14:paraId="0000003D" w14:textId="09C253D2" w:rsidR="00737F95" w:rsidRDefault="00000000">
      <w:r>
        <w:t xml:space="preserve">Fletcher, Christopher. </w:t>
      </w:r>
      <w:bookmarkStart w:id="1" w:name="_Hlk186471860"/>
      <w:r>
        <w:t xml:space="preserve">‘News, Noise, and the Nature of Politics in Late Medieval English Provincial Towns’, </w:t>
      </w:r>
      <w:r>
        <w:rPr>
          <w:i/>
        </w:rPr>
        <w:t>Journal of British Studies</w:t>
      </w:r>
      <w:r>
        <w:t>, 56 (2017), 250-72</w:t>
      </w:r>
      <w:bookmarkEnd w:id="1"/>
      <w:r>
        <w:t>.</w:t>
      </w:r>
    </w:p>
    <w:p w14:paraId="0000003E" w14:textId="77777777" w:rsidR="00737F95" w:rsidRDefault="00000000">
      <w:r>
        <w:t xml:space="preserve">Goddard, Richard and Teresa Phipps (eds). </w:t>
      </w:r>
      <w:r>
        <w:rPr>
          <w:i/>
        </w:rPr>
        <w:t xml:space="preserve">Town Courts and Urban Society in Late Medieval England, 1250-1500 </w:t>
      </w:r>
      <w:r>
        <w:t>(Woodbridge: Boydell, 2019).</w:t>
      </w:r>
    </w:p>
    <w:p w14:paraId="0000003F" w14:textId="77777777" w:rsidR="00737F95" w:rsidRDefault="00000000">
      <w:r>
        <w:t xml:space="preserve">Hartrich, Eliza. </w:t>
      </w:r>
      <w:r>
        <w:rPr>
          <w:i/>
        </w:rPr>
        <w:t xml:space="preserve">Politics and the Urban Sector in Fifteenth-Century England, 1413-1471 </w:t>
      </w:r>
      <w:r>
        <w:t>(Oxford: Oxford University Press, 2019).</w:t>
      </w:r>
    </w:p>
    <w:p w14:paraId="00000040" w14:textId="77777777" w:rsidR="00737F95" w:rsidRDefault="00000000">
      <w:r>
        <w:t xml:space="preserve">Holt, Richard, and Gervase Rosser (eds). </w:t>
      </w:r>
      <w:r>
        <w:rPr>
          <w:i/>
        </w:rPr>
        <w:t xml:space="preserve">The Medieval Town: A Reader in English Urban History, 1200-1540 </w:t>
      </w:r>
      <w:r>
        <w:t>(London: Longman, 1990).</w:t>
      </w:r>
    </w:p>
    <w:p w14:paraId="00000041" w14:textId="77777777" w:rsidR="00737F95" w:rsidRDefault="00000000">
      <w:r>
        <w:t xml:space="preserve">Liddy, Christian D. </w:t>
      </w:r>
      <w:r>
        <w:rPr>
          <w:i/>
        </w:rPr>
        <w:t xml:space="preserve">War, Politics and Finance in Late Medieval English Towns: Bristol, York and the Crown, 1350-1400 </w:t>
      </w:r>
      <w:r>
        <w:t>(Woodbridge: Royal Historical Society, 2005).</w:t>
      </w:r>
    </w:p>
    <w:p w14:paraId="00000043" w14:textId="77777777" w:rsidR="00737F95" w:rsidRDefault="00000000">
      <w:r>
        <w:t xml:space="preserve">Palliser, D.M. (ed.). </w:t>
      </w:r>
      <w:r>
        <w:rPr>
          <w:i/>
        </w:rPr>
        <w:t>The Cambridge Urban History of Britain, Vol. I: 600-1540</w:t>
      </w:r>
      <w:r>
        <w:t xml:space="preserve"> (Cambridge: Cambridge University Press, 2000).</w:t>
      </w:r>
    </w:p>
    <w:p w14:paraId="00000044" w14:textId="77777777" w:rsidR="00737F95" w:rsidRDefault="00000000">
      <w:r>
        <w:t xml:space="preserve">Palliser, D.M. ‘Towns and the English State, 1066-1500’, in J.R. </w:t>
      </w:r>
      <w:proofErr w:type="spellStart"/>
      <w:r>
        <w:t>Maddicott</w:t>
      </w:r>
      <w:proofErr w:type="spellEnd"/>
      <w:r>
        <w:t xml:space="preserve"> and D.M. Palliser (eds), </w:t>
      </w:r>
      <w:r>
        <w:rPr>
          <w:i/>
        </w:rPr>
        <w:t xml:space="preserve">The Medieval State: Essays Presented to James Campbell </w:t>
      </w:r>
      <w:r>
        <w:t xml:space="preserve">(London: </w:t>
      </w:r>
      <w:proofErr w:type="spellStart"/>
      <w:r>
        <w:t>Hambledon</w:t>
      </w:r>
      <w:proofErr w:type="spellEnd"/>
      <w:r>
        <w:t>, 2000), pp. 127-45.</w:t>
      </w:r>
    </w:p>
    <w:p w14:paraId="00000045" w14:textId="77777777" w:rsidR="00737F95" w:rsidRDefault="00000000">
      <w:r>
        <w:t xml:space="preserve">Reynolds, Susan. </w:t>
      </w:r>
      <w:r>
        <w:rPr>
          <w:i/>
        </w:rPr>
        <w:t xml:space="preserve">An Introduction to the History of English Medieval Towns </w:t>
      </w:r>
      <w:r>
        <w:t>(Oxford: Oxford University Press, 1977).</w:t>
      </w:r>
    </w:p>
    <w:p w14:paraId="00000046" w14:textId="77777777" w:rsidR="00737F95" w:rsidRDefault="00737F95"/>
    <w:p w14:paraId="00000047" w14:textId="77777777" w:rsidR="00737F95" w:rsidRDefault="00737F95"/>
    <w:sectPr w:rsidR="00737F9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90E3B" w14:textId="77777777" w:rsidR="00B76791" w:rsidRDefault="00B76791">
      <w:pPr>
        <w:spacing w:after="0" w:line="240" w:lineRule="auto"/>
      </w:pPr>
      <w:r>
        <w:separator/>
      </w:r>
    </w:p>
  </w:endnote>
  <w:endnote w:type="continuationSeparator" w:id="0">
    <w:p w14:paraId="4712A252" w14:textId="77777777" w:rsidR="00B76791" w:rsidRDefault="00B7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6BE2670-06FC-42EE-8AB7-2DB0E9F47648}"/>
    <w:embedBold r:id="rId2" w:fontKey="{45774705-2564-4AEA-AB50-B3C8379F5949}"/>
    <w:embedItalic r:id="rId3" w:fontKey="{5BDA3BA7-D055-4D20-95A5-4EC9566AD89C}"/>
    <w:embedBoldItalic r:id="rId4" w:fontKey="{EF8A0634-BD85-4E27-B9E5-794C5A02D875}"/>
  </w:font>
  <w:font w:name="Aptos Display">
    <w:charset w:val="00"/>
    <w:family w:val="swiss"/>
    <w:pitch w:val="variable"/>
    <w:sig w:usb0="20000287" w:usb1="00000003" w:usb2="00000000" w:usb3="00000000" w:csb0="0000019F" w:csb1="00000000"/>
    <w:embedRegular r:id="rId5" w:fontKey="{66737284-A44C-4FBE-B27E-9EF81481737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FAB69E7-397A-4E3D-AF5E-2E899E93D4AB}"/>
  </w:font>
  <w:font w:name="Calibri">
    <w:panose1 w:val="020F0502020204030204"/>
    <w:charset w:val="00"/>
    <w:family w:val="swiss"/>
    <w:pitch w:val="variable"/>
    <w:sig w:usb0="E4002EFF" w:usb1="C000247B" w:usb2="00000009" w:usb3="00000000" w:csb0="000001FF" w:csb1="00000000"/>
    <w:embedRegular r:id="rId7" w:fontKey="{6D2BF6AA-CA58-482E-931F-AB5E1DFCD23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B5464" w14:textId="77777777" w:rsidR="00B76791" w:rsidRDefault="00B76791">
      <w:pPr>
        <w:spacing w:after="0" w:line="240" w:lineRule="auto"/>
      </w:pPr>
      <w:r>
        <w:separator/>
      </w:r>
    </w:p>
  </w:footnote>
  <w:footnote w:type="continuationSeparator" w:id="0">
    <w:p w14:paraId="2F84D3F6" w14:textId="77777777" w:rsidR="00B76791" w:rsidRDefault="00B76791">
      <w:pPr>
        <w:spacing w:after="0" w:line="240" w:lineRule="auto"/>
      </w:pPr>
      <w:r>
        <w:continuationSeparator/>
      </w:r>
    </w:p>
  </w:footnote>
  <w:footnote w:id="1">
    <w:p w14:paraId="00000054" w14:textId="77777777" w:rsidR="00737F95" w:rsidRDefault="00000000">
      <w:pPr>
        <w:spacing w:after="0" w:line="240" w:lineRule="auto"/>
        <w:rPr>
          <w:sz w:val="20"/>
          <w:szCs w:val="20"/>
        </w:rPr>
      </w:pPr>
      <w:r>
        <w:rPr>
          <w:rStyle w:val="FootnoteReference"/>
        </w:rPr>
        <w:footnoteRef/>
      </w:r>
      <w:r>
        <w:rPr>
          <w:sz w:val="20"/>
          <w:szCs w:val="20"/>
        </w:rPr>
        <w:t xml:space="preserve"> Alan Dyer, ‘Appendix: Ranking Lists of Medieval English Towns’, in D.M. Palliser (ed.), </w:t>
      </w:r>
      <w:r>
        <w:rPr>
          <w:i/>
          <w:sz w:val="20"/>
          <w:szCs w:val="20"/>
        </w:rPr>
        <w:t xml:space="preserve">The Cambridge Urban History of Britain, Vol. I: 600-1540 </w:t>
      </w:r>
      <w:r>
        <w:rPr>
          <w:sz w:val="20"/>
          <w:szCs w:val="20"/>
        </w:rPr>
        <w:t xml:space="preserve">(Cambridge: Cambridge University Press, 2000), pp. 758-64. </w:t>
      </w:r>
    </w:p>
  </w:footnote>
  <w:footnote w:id="2">
    <w:p w14:paraId="00000055" w14:textId="237201D0" w:rsidR="00737F95" w:rsidRDefault="00000000">
      <w:pPr>
        <w:spacing w:after="0" w:line="240" w:lineRule="auto"/>
        <w:rPr>
          <w:sz w:val="20"/>
          <w:szCs w:val="20"/>
        </w:rPr>
      </w:pPr>
      <w:r>
        <w:rPr>
          <w:rStyle w:val="FootnoteReference"/>
        </w:rPr>
        <w:footnoteRef/>
      </w:r>
      <w:r>
        <w:rPr>
          <w:sz w:val="20"/>
          <w:szCs w:val="20"/>
        </w:rPr>
        <w:t xml:space="preserve"> Caroline M. Barron, ‘London and the Crown 1451-61’, in J.R.L. Highfield and Robin Jeffs (eds), </w:t>
      </w:r>
      <w:r>
        <w:rPr>
          <w:i/>
          <w:sz w:val="20"/>
          <w:szCs w:val="20"/>
        </w:rPr>
        <w:t>The Crown and Local Communities in England and France in the Fifteenth Century</w:t>
      </w:r>
      <w:r>
        <w:rPr>
          <w:sz w:val="20"/>
          <w:szCs w:val="20"/>
        </w:rPr>
        <w:t xml:space="preserve"> (Gloucester: Alan Sutton, 1981), p. 88; Maryanne Kowaleski, ‘The Commercial Dominance of a Medieval Provincial Oligarchy: Exeter in the Late Fourteenth Century’, </w:t>
      </w:r>
      <w:r>
        <w:rPr>
          <w:i/>
          <w:sz w:val="20"/>
          <w:szCs w:val="20"/>
        </w:rPr>
        <w:t>Mediaeval Studies</w:t>
      </w:r>
      <w:r>
        <w:rPr>
          <w:sz w:val="20"/>
          <w:szCs w:val="20"/>
        </w:rPr>
        <w:t xml:space="preserve">, 46 (1984), 355-84. </w:t>
      </w:r>
    </w:p>
  </w:footnote>
  <w:footnote w:id="3">
    <w:p w14:paraId="0000006E" w14:textId="5870EE27" w:rsidR="00737F95" w:rsidRDefault="00000000">
      <w:pPr>
        <w:spacing w:after="0" w:line="240" w:lineRule="auto"/>
        <w:rPr>
          <w:sz w:val="20"/>
          <w:szCs w:val="20"/>
        </w:rPr>
      </w:pPr>
      <w:r>
        <w:rPr>
          <w:rStyle w:val="FootnoteReference"/>
        </w:rPr>
        <w:footnoteRef/>
      </w:r>
      <w:r>
        <w:rPr>
          <w:sz w:val="20"/>
          <w:szCs w:val="20"/>
        </w:rPr>
        <w:t xml:space="preserve"> </w:t>
      </w:r>
      <w:r w:rsidR="00640998">
        <w:rPr>
          <w:sz w:val="20"/>
          <w:szCs w:val="20"/>
        </w:rPr>
        <w:t xml:space="preserve">E.g., </w:t>
      </w:r>
      <w:r>
        <w:rPr>
          <w:sz w:val="20"/>
          <w:szCs w:val="20"/>
        </w:rPr>
        <w:t xml:space="preserve">Christian D. Liddy, ‘The Household, the Citizen and the City: Towards a Social History of Urban Politics in the Late Middle Ages’, </w:t>
      </w:r>
      <w:r>
        <w:rPr>
          <w:i/>
          <w:sz w:val="20"/>
          <w:szCs w:val="20"/>
        </w:rPr>
        <w:t>Social History</w:t>
      </w:r>
      <w:r>
        <w:rPr>
          <w:sz w:val="20"/>
          <w:szCs w:val="20"/>
        </w:rPr>
        <w:t>, 49 (2024), 261-93.</w:t>
      </w:r>
    </w:p>
  </w:footnote>
  <w:footnote w:id="4">
    <w:p w14:paraId="00000067" w14:textId="77777777" w:rsidR="00737F95" w:rsidRDefault="00000000">
      <w:pPr>
        <w:spacing w:after="0" w:line="240" w:lineRule="auto"/>
        <w:rPr>
          <w:sz w:val="20"/>
          <w:szCs w:val="20"/>
        </w:rPr>
      </w:pPr>
      <w:r>
        <w:rPr>
          <w:rStyle w:val="FootnoteReference"/>
        </w:rPr>
        <w:footnoteRef/>
      </w:r>
      <w:r>
        <w:rPr>
          <w:sz w:val="20"/>
          <w:szCs w:val="20"/>
        </w:rPr>
        <w:t xml:space="preserve"> ‘Chronology of Town Plantation in England’ and ‘Gazetteer: England’, in Maurice Beresford, </w:t>
      </w:r>
      <w:r>
        <w:rPr>
          <w:i/>
          <w:sz w:val="20"/>
          <w:szCs w:val="20"/>
        </w:rPr>
        <w:t xml:space="preserve">New Towns of the Middle Ages: Town Plantation in England, Wales and Gascony </w:t>
      </w:r>
      <w:r>
        <w:rPr>
          <w:sz w:val="20"/>
          <w:szCs w:val="20"/>
        </w:rPr>
        <w:t>(London: Lutterworth, 1967).</w:t>
      </w:r>
    </w:p>
  </w:footnote>
  <w:footnote w:id="5">
    <w:p w14:paraId="00000056" w14:textId="77777777" w:rsidR="00737F95" w:rsidRDefault="00000000">
      <w:pPr>
        <w:spacing w:after="0" w:line="240" w:lineRule="auto"/>
        <w:rPr>
          <w:sz w:val="20"/>
          <w:szCs w:val="20"/>
        </w:rPr>
      </w:pPr>
      <w:r>
        <w:rPr>
          <w:rStyle w:val="FootnoteReference"/>
        </w:rPr>
        <w:footnoteRef/>
      </w:r>
      <w:r>
        <w:rPr>
          <w:sz w:val="20"/>
          <w:szCs w:val="20"/>
        </w:rPr>
        <w:t xml:space="preserve"> Pamela Nightingale, ‘The Growth of London in the Medieval English Economy’, in Richard Britnell and John Hatcher (eds), </w:t>
      </w:r>
      <w:r>
        <w:rPr>
          <w:i/>
          <w:sz w:val="20"/>
          <w:szCs w:val="20"/>
        </w:rPr>
        <w:t xml:space="preserve">Progress and Problems in Medieval England </w:t>
      </w:r>
      <w:r>
        <w:rPr>
          <w:sz w:val="20"/>
          <w:szCs w:val="20"/>
        </w:rPr>
        <w:t>(Cambridge: Cambridge University Press, 1996), pp. 89-106.</w:t>
      </w:r>
    </w:p>
  </w:footnote>
  <w:footnote w:id="6">
    <w:p w14:paraId="00000066" w14:textId="77777777" w:rsidR="00737F95" w:rsidRDefault="00000000">
      <w:pPr>
        <w:spacing w:after="0" w:line="240" w:lineRule="auto"/>
        <w:rPr>
          <w:rFonts w:ascii="Arial" w:eastAsia="Arial" w:hAnsi="Arial" w:cs="Arial"/>
          <w:sz w:val="20"/>
          <w:szCs w:val="20"/>
        </w:rPr>
      </w:pPr>
      <w:r>
        <w:rPr>
          <w:rStyle w:val="FootnoteReference"/>
        </w:rPr>
        <w:footnoteRef/>
      </w:r>
      <w:r>
        <w:rPr>
          <w:rFonts w:ascii="Arial" w:eastAsia="Arial" w:hAnsi="Arial" w:cs="Arial"/>
          <w:sz w:val="20"/>
          <w:szCs w:val="20"/>
        </w:rPr>
        <w:t xml:space="preserve"> </w:t>
      </w:r>
      <w:r w:rsidRPr="00A91945">
        <w:rPr>
          <w:rFonts w:asciiTheme="minorHAnsi" w:eastAsia="Arial" w:hAnsiTheme="minorHAnsi" w:cs="Arial"/>
          <w:sz w:val="20"/>
          <w:szCs w:val="20"/>
        </w:rPr>
        <w:t xml:space="preserve">W.M. Ormrod, ‘Competing Capitals? York and London in the Fourteenth Century’, in Sarah Rees Jones, Richard Marks, and A.J. Minnis (eds.), </w:t>
      </w:r>
      <w:r w:rsidRPr="00A91945">
        <w:rPr>
          <w:rFonts w:asciiTheme="minorHAnsi" w:eastAsia="Arial" w:hAnsiTheme="minorHAnsi" w:cs="Arial"/>
          <w:i/>
          <w:sz w:val="20"/>
          <w:szCs w:val="20"/>
        </w:rPr>
        <w:t xml:space="preserve">Courts and Regions in Medieval Europe </w:t>
      </w:r>
      <w:r w:rsidRPr="00A91945">
        <w:rPr>
          <w:rFonts w:asciiTheme="minorHAnsi" w:eastAsia="Arial" w:hAnsiTheme="minorHAnsi" w:cs="Arial"/>
          <w:sz w:val="20"/>
          <w:szCs w:val="20"/>
        </w:rPr>
        <w:t>(Woodbridge: Boydell, 2000), pp. 75–-98.</w:t>
      </w:r>
    </w:p>
  </w:footnote>
  <w:footnote w:id="7">
    <w:p w14:paraId="0000006B" w14:textId="502A746A" w:rsidR="00737F95" w:rsidRDefault="00000000">
      <w:pPr>
        <w:spacing w:after="0" w:line="240" w:lineRule="auto"/>
        <w:rPr>
          <w:sz w:val="20"/>
          <w:szCs w:val="20"/>
        </w:rPr>
      </w:pPr>
      <w:r>
        <w:rPr>
          <w:rStyle w:val="FootnoteReference"/>
        </w:rPr>
        <w:footnoteRef/>
      </w:r>
      <w:r>
        <w:rPr>
          <w:sz w:val="20"/>
          <w:szCs w:val="20"/>
        </w:rPr>
        <w:t xml:space="preserve"> Bruce M.S. Campbell, ‘Benchmarking Medieval Economic Development: England, Wales, Scotland, and Ireland, c. 1290’, </w:t>
      </w:r>
      <w:r>
        <w:rPr>
          <w:i/>
          <w:sz w:val="20"/>
          <w:szCs w:val="20"/>
        </w:rPr>
        <w:t>Economic History Review</w:t>
      </w:r>
      <w:r>
        <w:rPr>
          <w:sz w:val="20"/>
          <w:szCs w:val="20"/>
        </w:rPr>
        <w:t>, 61 (2008), 906-12.</w:t>
      </w:r>
    </w:p>
  </w:footnote>
  <w:footnote w:id="8">
    <w:p w14:paraId="0000006A" w14:textId="7B1F68E6" w:rsidR="00737F95" w:rsidRDefault="00000000">
      <w:pPr>
        <w:spacing w:after="0" w:line="240" w:lineRule="auto"/>
        <w:rPr>
          <w:sz w:val="20"/>
          <w:szCs w:val="20"/>
        </w:rPr>
      </w:pPr>
      <w:r>
        <w:rPr>
          <w:rStyle w:val="FootnoteReference"/>
        </w:rPr>
        <w:footnoteRef/>
      </w:r>
      <w:r>
        <w:rPr>
          <w:sz w:val="20"/>
          <w:szCs w:val="20"/>
        </w:rPr>
        <w:t xml:space="preserve"> Jennifer I. Kermode, ‘Merchants, Overseas Trade, and Urban Decline: York, Beverley, and Hull c. 1380-1500’, </w:t>
      </w:r>
      <w:r>
        <w:rPr>
          <w:i/>
          <w:sz w:val="20"/>
          <w:szCs w:val="20"/>
        </w:rPr>
        <w:t>Northern History</w:t>
      </w:r>
      <w:r>
        <w:rPr>
          <w:sz w:val="20"/>
          <w:szCs w:val="20"/>
        </w:rPr>
        <w:t xml:space="preserve">, 23 (1987), 51-73; E.M. Carus-Wilson, </w:t>
      </w:r>
      <w:r>
        <w:rPr>
          <w:i/>
          <w:sz w:val="20"/>
          <w:szCs w:val="20"/>
        </w:rPr>
        <w:t xml:space="preserve">The Expansion of Exeter at the Close of the Middle Ages </w:t>
      </w:r>
      <w:r>
        <w:rPr>
          <w:sz w:val="20"/>
          <w:szCs w:val="20"/>
        </w:rPr>
        <w:t>(Exeter: University of Exeter Press, 1963).</w:t>
      </w:r>
    </w:p>
  </w:footnote>
  <w:footnote w:id="9">
    <w:p w14:paraId="0000006D" w14:textId="2AD509AF" w:rsidR="00737F95" w:rsidRDefault="00000000">
      <w:pPr>
        <w:spacing w:after="0" w:line="240" w:lineRule="auto"/>
        <w:rPr>
          <w:sz w:val="20"/>
          <w:szCs w:val="20"/>
        </w:rPr>
      </w:pPr>
      <w:r>
        <w:rPr>
          <w:rStyle w:val="FootnoteReference"/>
        </w:rPr>
        <w:footnoteRef/>
      </w:r>
      <w:r>
        <w:rPr>
          <w:sz w:val="20"/>
          <w:szCs w:val="20"/>
        </w:rPr>
        <w:t xml:space="preserve"> Christopher Dyer, ‘Small Places with Large Consequences: The Importance of Small Towns in England, 1000-1540’, </w:t>
      </w:r>
      <w:r>
        <w:rPr>
          <w:i/>
          <w:sz w:val="20"/>
          <w:szCs w:val="20"/>
        </w:rPr>
        <w:t>Historical Research</w:t>
      </w:r>
      <w:r>
        <w:rPr>
          <w:sz w:val="20"/>
          <w:szCs w:val="20"/>
        </w:rPr>
        <w:t>, 75 (2002), 1-24.</w:t>
      </w:r>
    </w:p>
  </w:footnote>
  <w:footnote w:id="10">
    <w:p w14:paraId="00000048" w14:textId="6DA91012" w:rsidR="00737F95" w:rsidRDefault="00000000">
      <w:pPr>
        <w:spacing w:after="0" w:line="240" w:lineRule="auto"/>
        <w:rPr>
          <w:b/>
          <w:sz w:val="20"/>
          <w:szCs w:val="20"/>
        </w:rPr>
      </w:pPr>
      <w:r>
        <w:rPr>
          <w:rStyle w:val="FootnoteReference"/>
        </w:rPr>
        <w:footnoteRef/>
      </w:r>
      <w:r>
        <w:rPr>
          <w:sz w:val="20"/>
          <w:szCs w:val="20"/>
        </w:rPr>
        <w:t xml:space="preserve"> Devon Record Office, Exeter, Exeter Mayor’s Court Roll 34-35 Henry VI, rot. 8d; Hannes </w:t>
      </w:r>
      <w:proofErr w:type="spellStart"/>
      <w:r>
        <w:rPr>
          <w:sz w:val="20"/>
          <w:szCs w:val="20"/>
        </w:rPr>
        <w:t>Kleineke</w:t>
      </w:r>
      <w:proofErr w:type="spellEnd"/>
      <w:r>
        <w:rPr>
          <w:sz w:val="20"/>
          <w:szCs w:val="20"/>
        </w:rPr>
        <w:t xml:space="preserve">, ‘“[Th]e </w:t>
      </w:r>
      <w:proofErr w:type="spellStart"/>
      <w:r>
        <w:rPr>
          <w:sz w:val="20"/>
          <w:szCs w:val="20"/>
        </w:rPr>
        <w:t>Kynges</w:t>
      </w:r>
      <w:proofErr w:type="spellEnd"/>
      <w:r>
        <w:rPr>
          <w:sz w:val="20"/>
          <w:szCs w:val="20"/>
        </w:rPr>
        <w:t xml:space="preserve"> Cite”: Exeter in the Wars of the Roses’, in Linda Clark (ed.), </w:t>
      </w:r>
      <w:r>
        <w:rPr>
          <w:i/>
          <w:sz w:val="20"/>
          <w:szCs w:val="20"/>
        </w:rPr>
        <w:t xml:space="preserve">The Fifteenth Century VII: Conflict, Consequences and the Crown in the Late Middle Ages </w:t>
      </w:r>
      <w:r>
        <w:rPr>
          <w:sz w:val="20"/>
          <w:szCs w:val="20"/>
        </w:rPr>
        <w:t>(Woodbridge: Boydell, 2007), pp. 155-156.</w:t>
      </w:r>
    </w:p>
  </w:footnote>
  <w:footnote w:id="11">
    <w:p w14:paraId="00000049" w14:textId="77777777" w:rsidR="00737F9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Wiltshire and Swindon History Centre, Chippenham, G23/1/2, ff. 77v, 78v.</w:t>
      </w:r>
    </w:p>
  </w:footnote>
  <w:footnote w:id="12">
    <w:p w14:paraId="00000057" w14:textId="4F3700BF" w:rsidR="00737F95" w:rsidRDefault="00000000">
      <w:pPr>
        <w:spacing w:after="0" w:line="240" w:lineRule="auto"/>
        <w:rPr>
          <w:sz w:val="20"/>
          <w:szCs w:val="20"/>
        </w:rPr>
      </w:pPr>
      <w:r>
        <w:rPr>
          <w:rStyle w:val="FootnoteReference"/>
        </w:rPr>
        <w:footnoteRef/>
      </w:r>
      <w:r>
        <w:rPr>
          <w:sz w:val="20"/>
          <w:szCs w:val="20"/>
        </w:rPr>
        <w:t xml:space="preserve"> Christian D. Liddy, ‘The Making of Towns, the Making of Polities: Towns and Lords in Late Medieval Europe’, </w:t>
      </w:r>
      <w:r>
        <w:rPr>
          <w:i/>
          <w:sz w:val="20"/>
          <w:szCs w:val="20"/>
        </w:rPr>
        <w:t>Past &amp; Present</w:t>
      </w:r>
      <w:r>
        <w:rPr>
          <w:sz w:val="20"/>
          <w:szCs w:val="20"/>
        </w:rPr>
        <w:t>, 264 (2024), 15-20.</w:t>
      </w:r>
    </w:p>
  </w:footnote>
  <w:footnote w:id="13">
    <w:p w14:paraId="0000004A" w14:textId="1BB9D72C" w:rsidR="00737F95" w:rsidRDefault="00000000">
      <w:pPr>
        <w:spacing w:after="0" w:line="240" w:lineRule="auto"/>
        <w:rPr>
          <w:sz w:val="20"/>
          <w:szCs w:val="20"/>
        </w:rPr>
      </w:pPr>
      <w:r>
        <w:rPr>
          <w:rStyle w:val="FootnoteReference"/>
        </w:rPr>
        <w:footnoteRef/>
      </w:r>
      <w:r>
        <w:rPr>
          <w:sz w:val="20"/>
          <w:szCs w:val="20"/>
        </w:rPr>
        <w:t xml:space="preserve"> S.H. Rigby, ‘Boston and Grimsby in the Middle Ages: An Administrative Contrast’, </w:t>
      </w:r>
      <w:r>
        <w:rPr>
          <w:i/>
          <w:sz w:val="20"/>
          <w:szCs w:val="20"/>
        </w:rPr>
        <w:t>Journal of Medieval History</w:t>
      </w:r>
      <w:r>
        <w:rPr>
          <w:sz w:val="20"/>
          <w:szCs w:val="20"/>
        </w:rPr>
        <w:t>, 10 (1984), 51-66.</w:t>
      </w:r>
    </w:p>
  </w:footnote>
  <w:footnote w:id="14">
    <w:p w14:paraId="0000004B" w14:textId="58E4B0DD" w:rsidR="00737F9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Bart Lambert and W. Mark Ormrod, ‘Friendly Foreigners: International Warfare, Resident Aliens and the Early History of Denization in England, c. 1250-c. 1400’, </w:t>
      </w:r>
      <w:r>
        <w:rPr>
          <w:i/>
          <w:color w:val="000000"/>
          <w:sz w:val="20"/>
          <w:szCs w:val="20"/>
        </w:rPr>
        <w:t>English Historical Review</w:t>
      </w:r>
      <w:r>
        <w:rPr>
          <w:color w:val="000000"/>
          <w:sz w:val="20"/>
          <w:szCs w:val="20"/>
        </w:rPr>
        <w:t>, 130 (2015), 4, 8-9, 13.</w:t>
      </w:r>
    </w:p>
  </w:footnote>
  <w:footnote w:id="15">
    <w:p w14:paraId="0000004C" w14:textId="4CE16A7C" w:rsidR="00737F95" w:rsidRDefault="00000000">
      <w:pPr>
        <w:pBdr>
          <w:top w:val="nil"/>
          <w:left w:val="nil"/>
          <w:bottom w:val="nil"/>
          <w:right w:val="nil"/>
          <w:between w:val="nil"/>
        </w:pBdr>
        <w:spacing w:after="0" w:line="240" w:lineRule="auto"/>
        <w:rPr>
          <w:b/>
          <w:color w:val="000000"/>
          <w:sz w:val="20"/>
          <w:szCs w:val="20"/>
        </w:rPr>
      </w:pPr>
      <w:r>
        <w:rPr>
          <w:rStyle w:val="FootnoteReference"/>
        </w:rPr>
        <w:footnoteRef/>
      </w:r>
      <w:r>
        <w:rPr>
          <w:color w:val="000000"/>
          <w:sz w:val="20"/>
          <w:szCs w:val="20"/>
        </w:rPr>
        <w:t xml:space="preserve"> Lambert and Ormrod, ‘Friendly Foreigners’, 20</w:t>
      </w:r>
      <w:r>
        <w:rPr>
          <w:sz w:val="20"/>
          <w:szCs w:val="20"/>
        </w:rPr>
        <w:t>.</w:t>
      </w:r>
    </w:p>
  </w:footnote>
  <w:footnote w:id="16">
    <w:p w14:paraId="0000005D" w14:textId="77777777" w:rsidR="00737F95" w:rsidRDefault="00000000">
      <w:pPr>
        <w:spacing w:after="0" w:line="240" w:lineRule="auto"/>
        <w:rPr>
          <w:sz w:val="20"/>
          <w:szCs w:val="20"/>
        </w:rPr>
      </w:pPr>
      <w:r>
        <w:rPr>
          <w:rStyle w:val="FootnoteReference"/>
        </w:rPr>
        <w:footnoteRef/>
      </w:r>
      <w:r>
        <w:rPr>
          <w:sz w:val="20"/>
          <w:szCs w:val="20"/>
        </w:rPr>
        <w:t xml:space="preserve"> Christopher Dyer, ‘Courts and Urbanisation: Jurisdiction in Late Medieval Seigneurial Boroughs and Towns’, in Richard Goddard and Teresa Phipps (eds), </w:t>
      </w:r>
      <w:r>
        <w:rPr>
          <w:i/>
          <w:sz w:val="20"/>
          <w:szCs w:val="20"/>
        </w:rPr>
        <w:t xml:space="preserve">Town Courts and Urban Society in Late Medieval England, 1250-1500 </w:t>
      </w:r>
      <w:r>
        <w:rPr>
          <w:sz w:val="20"/>
          <w:szCs w:val="20"/>
        </w:rPr>
        <w:t>(Woodbridge: Boydell, 2019), pp. 93-116.</w:t>
      </w:r>
    </w:p>
  </w:footnote>
  <w:footnote w:id="17">
    <w:p w14:paraId="4BC3D4DB" w14:textId="77777777" w:rsidR="00B679C7" w:rsidRDefault="00B679C7" w:rsidP="00B679C7">
      <w:pPr>
        <w:spacing w:after="0" w:line="240" w:lineRule="auto"/>
        <w:rPr>
          <w:sz w:val="20"/>
          <w:szCs w:val="20"/>
        </w:rPr>
      </w:pPr>
      <w:r>
        <w:rPr>
          <w:rStyle w:val="FootnoteReference"/>
        </w:rPr>
        <w:footnoteRef/>
      </w:r>
      <w:r>
        <w:rPr>
          <w:sz w:val="20"/>
          <w:szCs w:val="20"/>
        </w:rPr>
        <w:t xml:space="preserve"> Christian D. Liddy, </w:t>
      </w:r>
      <w:r>
        <w:rPr>
          <w:i/>
          <w:sz w:val="20"/>
          <w:szCs w:val="20"/>
        </w:rPr>
        <w:t>War, Politics and Finance in Late Medieval English Towns: Bristol, York and the Crown, 1350-1400</w:t>
      </w:r>
      <w:r>
        <w:rPr>
          <w:sz w:val="20"/>
          <w:szCs w:val="20"/>
        </w:rPr>
        <w:t xml:space="preserve"> (Woodbridge: Royal Historical Society, 2005).</w:t>
      </w:r>
    </w:p>
  </w:footnote>
  <w:footnote w:id="18">
    <w:p w14:paraId="00000059" w14:textId="796DDCEF" w:rsidR="00737F95" w:rsidRDefault="00000000">
      <w:pPr>
        <w:spacing w:after="0" w:line="240" w:lineRule="auto"/>
        <w:rPr>
          <w:sz w:val="20"/>
          <w:szCs w:val="20"/>
        </w:rPr>
      </w:pPr>
      <w:r>
        <w:rPr>
          <w:rStyle w:val="FootnoteReference"/>
        </w:rPr>
        <w:footnoteRef/>
      </w:r>
      <w:r>
        <w:rPr>
          <w:sz w:val="20"/>
          <w:szCs w:val="20"/>
        </w:rPr>
        <w:t xml:space="preserve"> These were: Newcastle-upon-Tyne (1400), Norwich (1404), Lincoln (1409), Hull (1440), Southampton (1447), Nottingham (1449), Coventry (1451), Canterbury (1461), Gloucester (1483), and Scarborough (1485).</w:t>
      </w:r>
    </w:p>
  </w:footnote>
  <w:footnote w:id="19">
    <w:p w14:paraId="0000005B" w14:textId="77777777" w:rsidR="00737F95" w:rsidRDefault="00000000">
      <w:pPr>
        <w:spacing w:after="0" w:line="240" w:lineRule="auto"/>
        <w:rPr>
          <w:sz w:val="20"/>
          <w:szCs w:val="20"/>
        </w:rPr>
      </w:pPr>
      <w:r>
        <w:rPr>
          <w:rStyle w:val="FootnoteReference"/>
        </w:rPr>
        <w:footnoteRef/>
      </w:r>
      <w:r>
        <w:rPr>
          <w:sz w:val="20"/>
          <w:szCs w:val="20"/>
        </w:rPr>
        <w:t xml:space="preserve"> Eliza Hartrich, ‘Rebellion and the Law in Fifteenth-Century English Towns’, in Justine Firnhaber-Baker and Dirk </w:t>
      </w:r>
      <w:proofErr w:type="spellStart"/>
      <w:r>
        <w:rPr>
          <w:sz w:val="20"/>
          <w:szCs w:val="20"/>
        </w:rPr>
        <w:t>Schoenaers</w:t>
      </w:r>
      <w:proofErr w:type="spellEnd"/>
      <w:r>
        <w:rPr>
          <w:sz w:val="20"/>
          <w:szCs w:val="20"/>
        </w:rPr>
        <w:t xml:space="preserve"> (eds), </w:t>
      </w:r>
      <w:r>
        <w:rPr>
          <w:i/>
          <w:sz w:val="20"/>
          <w:szCs w:val="20"/>
        </w:rPr>
        <w:t xml:space="preserve">The Routledge History Handbook of Medieval Revolt </w:t>
      </w:r>
      <w:r>
        <w:rPr>
          <w:sz w:val="20"/>
          <w:szCs w:val="20"/>
        </w:rPr>
        <w:t>(London: Routledge, 2017), pp. 189-207.</w:t>
      </w:r>
    </w:p>
  </w:footnote>
  <w:footnote w:id="20">
    <w:p w14:paraId="0000005C" w14:textId="77777777" w:rsidR="00737F95" w:rsidRDefault="00000000">
      <w:pPr>
        <w:spacing w:after="0" w:line="240" w:lineRule="auto"/>
        <w:rPr>
          <w:sz w:val="20"/>
          <w:szCs w:val="20"/>
        </w:rPr>
      </w:pPr>
      <w:r>
        <w:rPr>
          <w:rStyle w:val="FootnoteReference"/>
        </w:rPr>
        <w:footnoteRef/>
      </w:r>
      <w:r>
        <w:rPr>
          <w:sz w:val="20"/>
          <w:szCs w:val="20"/>
        </w:rPr>
        <w:t xml:space="preserve"> D.M. Palliser, </w:t>
      </w:r>
      <w:r>
        <w:rPr>
          <w:i/>
          <w:sz w:val="20"/>
          <w:szCs w:val="20"/>
        </w:rPr>
        <w:t xml:space="preserve">Medieval York, 600-1540 </w:t>
      </w:r>
      <w:r>
        <w:rPr>
          <w:sz w:val="20"/>
          <w:szCs w:val="20"/>
        </w:rPr>
        <w:t>(Oxford: Oxford University Press, 2014), pp. 137, 139.</w:t>
      </w:r>
    </w:p>
  </w:footnote>
  <w:footnote w:id="21">
    <w:p w14:paraId="4096CFB0" w14:textId="2E54921C" w:rsidR="00B64AFF" w:rsidRDefault="00B64AFF">
      <w:pPr>
        <w:pStyle w:val="FootnoteText"/>
      </w:pPr>
      <w:r>
        <w:rPr>
          <w:rStyle w:val="FootnoteReference"/>
        </w:rPr>
        <w:footnoteRef/>
      </w:r>
      <w:r>
        <w:t xml:space="preserve"> Samuel K. Cohn, Jr., with Douglas Aiton. </w:t>
      </w:r>
      <w:r>
        <w:rPr>
          <w:i/>
        </w:rPr>
        <w:t xml:space="preserve">Popular Protest in Late Medieval English Towns </w:t>
      </w:r>
      <w:r>
        <w:t xml:space="preserve">(Cambridge: Cambridge University Press, 2012), </w:t>
      </w:r>
      <w:r w:rsidR="00936DE8">
        <w:t>p. 122.</w:t>
      </w:r>
    </w:p>
  </w:footnote>
  <w:footnote w:id="22">
    <w:p w14:paraId="00000069" w14:textId="77777777" w:rsidR="00737F95" w:rsidRDefault="00000000">
      <w:pPr>
        <w:spacing w:after="0" w:line="240" w:lineRule="auto"/>
        <w:rPr>
          <w:b/>
          <w:sz w:val="20"/>
          <w:szCs w:val="20"/>
        </w:rPr>
      </w:pPr>
      <w:r>
        <w:rPr>
          <w:rStyle w:val="FootnoteReference"/>
        </w:rPr>
        <w:footnoteRef/>
      </w:r>
      <w:r>
        <w:rPr>
          <w:sz w:val="20"/>
          <w:szCs w:val="20"/>
        </w:rPr>
        <w:t xml:space="preserve"> </w:t>
      </w:r>
      <w:r>
        <w:rPr>
          <w:b/>
          <w:sz w:val="20"/>
          <w:szCs w:val="20"/>
        </w:rPr>
        <w:t>Cross ref to Given-Wilson</w:t>
      </w:r>
    </w:p>
  </w:footnote>
  <w:footnote w:id="23">
    <w:p w14:paraId="00000060" w14:textId="2691177A" w:rsidR="00737F95" w:rsidRDefault="00000000">
      <w:pPr>
        <w:spacing w:after="0" w:line="240" w:lineRule="auto"/>
        <w:rPr>
          <w:sz w:val="20"/>
          <w:szCs w:val="20"/>
        </w:rPr>
      </w:pPr>
      <w:r>
        <w:rPr>
          <w:rStyle w:val="FootnoteReference"/>
        </w:rPr>
        <w:footnoteRef/>
      </w:r>
      <w:r>
        <w:rPr>
          <w:sz w:val="20"/>
          <w:szCs w:val="20"/>
        </w:rPr>
        <w:t xml:space="preserve"> G.L. Harriss, ‘The Struggle for Calais: An Aspect of the Rivalry between Lancaster and York’, </w:t>
      </w:r>
      <w:r>
        <w:rPr>
          <w:i/>
          <w:sz w:val="20"/>
          <w:szCs w:val="20"/>
        </w:rPr>
        <w:t>English Historical Review</w:t>
      </w:r>
      <w:r>
        <w:rPr>
          <w:sz w:val="20"/>
          <w:szCs w:val="20"/>
        </w:rPr>
        <w:t>, 75 (1960), 30-53.</w:t>
      </w:r>
    </w:p>
  </w:footnote>
  <w:footnote w:id="24">
    <w:p w14:paraId="0000005F" w14:textId="38130DE6" w:rsidR="00737F95" w:rsidRDefault="00000000">
      <w:pPr>
        <w:spacing w:after="0" w:line="240" w:lineRule="auto"/>
        <w:rPr>
          <w:sz w:val="20"/>
          <w:szCs w:val="20"/>
        </w:rPr>
      </w:pPr>
      <w:r>
        <w:rPr>
          <w:rStyle w:val="FootnoteReference"/>
        </w:rPr>
        <w:footnoteRef/>
      </w:r>
      <w:r>
        <w:rPr>
          <w:sz w:val="20"/>
          <w:szCs w:val="20"/>
        </w:rPr>
        <w:t xml:space="preserve"> E.B. </w:t>
      </w:r>
      <w:proofErr w:type="spellStart"/>
      <w:r>
        <w:rPr>
          <w:sz w:val="20"/>
          <w:szCs w:val="20"/>
        </w:rPr>
        <w:t>Fryde</w:t>
      </w:r>
      <w:proofErr w:type="spellEnd"/>
      <w:r>
        <w:rPr>
          <w:sz w:val="20"/>
          <w:szCs w:val="20"/>
        </w:rPr>
        <w:t xml:space="preserve">, </w:t>
      </w:r>
      <w:r>
        <w:rPr>
          <w:i/>
          <w:sz w:val="20"/>
          <w:szCs w:val="20"/>
        </w:rPr>
        <w:t xml:space="preserve">William de la Pole, Merchant and King’s Banker (1366) </w:t>
      </w:r>
      <w:r>
        <w:rPr>
          <w:sz w:val="20"/>
          <w:szCs w:val="20"/>
        </w:rPr>
        <w:t xml:space="preserve">(London: </w:t>
      </w:r>
      <w:proofErr w:type="spellStart"/>
      <w:r>
        <w:rPr>
          <w:sz w:val="20"/>
          <w:szCs w:val="20"/>
        </w:rPr>
        <w:t>Hambledon</w:t>
      </w:r>
      <w:proofErr w:type="spellEnd"/>
      <w:r>
        <w:rPr>
          <w:sz w:val="20"/>
          <w:szCs w:val="20"/>
        </w:rPr>
        <w:t xml:space="preserve">, 1988); Caroline M. Barron, ‘Richard Whittington: The Man behind the Myth’, in A.E.J. </w:t>
      </w:r>
      <w:proofErr w:type="spellStart"/>
      <w:r>
        <w:rPr>
          <w:sz w:val="20"/>
          <w:szCs w:val="20"/>
        </w:rPr>
        <w:t>Hollaender</w:t>
      </w:r>
      <w:proofErr w:type="spellEnd"/>
      <w:r>
        <w:rPr>
          <w:sz w:val="20"/>
          <w:szCs w:val="20"/>
        </w:rPr>
        <w:t xml:space="preserve"> and W. Kellaway (eds), </w:t>
      </w:r>
      <w:r>
        <w:rPr>
          <w:i/>
          <w:sz w:val="20"/>
          <w:szCs w:val="20"/>
        </w:rPr>
        <w:t xml:space="preserve">Studies in London History Presented to P.E. Jones </w:t>
      </w:r>
      <w:r>
        <w:rPr>
          <w:sz w:val="20"/>
          <w:szCs w:val="20"/>
        </w:rPr>
        <w:t>(London: Hodder, 1969), pp. 197-248.</w:t>
      </w:r>
    </w:p>
  </w:footnote>
  <w:footnote w:id="25">
    <w:p w14:paraId="00000061" w14:textId="039D18F2" w:rsidR="00737F95" w:rsidRPr="00947B61" w:rsidRDefault="00000000">
      <w:pPr>
        <w:spacing w:after="0" w:line="240" w:lineRule="auto"/>
        <w:rPr>
          <w:bCs/>
          <w:sz w:val="20"/>
          <w:szCs w:val="20"/>
        </w:rPr>
      </w:pPr>
      <w:r>
        <w:rPr>
          <w:rStyle w:val="FootnoteReference"/>
        </w:rPr>
        <w:footnoteRef/>
      </w:r>
      <w:r>
        <w:rPr>
          <w:sz w:val="20"/>
          <w:szCs w:val="20"/>
        </w:rPr>
        <w:t xml:space="preserve"> </w:t>
      </w:r>
      <w:r w:rsidR="000F3773">
        <w:rPr>
          <w:bCs/>
          <w:sz w:val="20"/>
          <w:szCs w:val="20"/>
        </w:rPr>
        <w:t xml:space="preserve">Susan Rose (ed.), </w:t>
      </w:r>
      <w:r w:rsidR="00F00C4B">
        <w:rPr>
          <w:bCs/>
          <w:i/>
          <w:iCs/>
          <w:sz w:val="20"/>
          <w:szCs w:val="20"/>
        </w:rPr>
        <w:t xml:space="preserve">The Navy of the Lancastrian Kings: </w:t>
      </w:r>
      <w:r w:rsidR="00443DF7">
        <w:rPr>
          <w:bCs/>
          <w:i/>
          <w:iCs/>
          <w:sz w:val="20"/>
          <w:szCs w:val="20"/>
        </w:rPr>
        <w:t>Accounts and Inventories of William Soper, Keeper of the King’s Ships</w:t>
      </w:r>
      <w:r w:rsidR="00947B61">
        <w:rPr>
          <w:bCs/>
          <w:i/>
          <w:iCs/>
          <w:sz w:val="20"/>
          <w:szCs w:val="20"/>
        </w:rPr>
        <w:t xml:space="preserve">, 1422-1427 </w:t>
      </w:r>
      <w:r w:rsidR="00E243EC">
        <w:rPr>
          <w:bCs/>
          <w:sz w:val="20"/>
          <w:szCs w:val="20"/>
        </w:rPr>
        <w:t>(Navy Records Society, 123, 1982).</w:t>
      </w:r>
    </w:p>
  </w:footnote>
  <w:footnote w:id="26">
    <w:p w14:paraId="68D574BD" w14:textId="0137E7A1" w:rsidR="00656ED6" w:rsidRPr="00DF6C7B" w:rsidRDefault="00656ED6">
      <w:pPr>
        <w:pStyle w:val="FootnoteText"/>
      </w:pPr>
      <w:r>
        <w:rPr>
          <w:rStyle w:val="FootnoteReference"/>
        </w:rPr>
        <w:footnoteRef/>
      </w:r>
      <w:r>
        <w:t xml:space="preserve"> </w:t>
      </w:r>
      <w:r w:rsidR="00DF6C7B">
        <w:t xml:space="preserve">Arthur Finn (ed.), </w:t>
      </w:r>
      <w:r w:rsidR="00DF6C7B">
        <w:rPr>
          <w:i/>
          <w:iCs/>
        </w:rPr>
        <w:t>Records of Lydd</w:t>
      </w:r>
      <w:r w:rsidR="00DF6C7B">
        <w:t xml:space="preserve"> (</w:t>
      </w:r>
      <w:r w:rsidR="003A6825">
        <w:t xml:space="preserve">Ashford, 1911), </w:t>
      </w:r>
      <w:r w:rsidR="00BF2D4C">
        <w:t>pp. 141-</w:t>
      </w:r>
      <w:r w:rsidR="00E161AB">
        <w:t>2.</w:t>
      </w:r>
    </w:p>
  </w:footnote>
  <w:footnote w:id="27">
    <w:p w14:paraId="67BD3E51" w14:textId="5E5AC38F" w:rsidR="00264B19" w:rsidRDefault="00264B19" w:rsidP="00264B19">
      <w:pPr>
        <w:spacing w:after="0" w:line="240" w:lineRule="auto"/>
        <w:rPr>
          <w:sz w:val="20"/>
          <w:szCs w:val="20"/>
        </w:rPr>
      </w:pPr>
      <w:r>
        <w:rPr>
          <w:rStyle w:val="FootnoteReference"/>
        </w:rPr>
        <w:footnoteRef/>
      </w:r>
      <w:r>
        <w:rPr>
          <w:sz w:val="20"/>
          <w:szCs w:val="20"/>
        </w:rPr>
        <w:t xml:space="preserve"> Rossell Hope Robbins (ed.), </w:t>
      </w:r>
      <w:r>
        <w:rPr>
          <w:i/>
          <w:sz w:val="20"/>
          <w:szCs w:val="20"/>
        </w:rPr>
        <w:t xml:space="preserve">Historical Poems of the </w:t>
      </w:r>
      <w:proofErr w:type="spellStart"/>
      <w:r>
        <w:rPr>
          <w:i/>
          <w:sz w:val="20"/>
          <w:szCs w:val="20"/>
        </w:rPr>
        <w:t>XIVth</w:t>
      </w:r>
      <w:proofErr w:type="spellEnd"/>
      <w:r>
        <w:rPr>
          <w:i/>
          <w:sz w:val="20"/>
          <w:szCs w:val="20"/>
        </w:rPr>
        <w:t xml:space="preserve"> and </w:t>
      </w:r>
      <w:proofErr w:type="spellStart"/>
      <w:r>
        <w:rPr>
          <w:i/>
          <w:sz w:val="20"/>
          <w:szCs w:val="20"/>
        </w:rPr>
        <w:t>XVth</w:t>
      </w:r>
      <w:proofErr w:type="spellEnd"/>
      <w:r>
        <w:rPr>
          <w:i/>
          <w:sz w:val="20"/>
          <w:szCs w:val="20"/>
        </w:rPr>
        <w:t xml:space="preserve"> Centuries</w:t>
      </w:r>
      <w:r>
        <w:rPr>
          <w:sz w:val="20"/>
          <w:szCs w:val="20"/>
        </w:rPr>
        <w:t xml:space="preserve"> (New York: Columbia University Press, 1959), p. 217 ll. 42-4.</w:t>
      </w:r>
    </w:p>
  </w:footnote>
  <w:footnote w:id="28">
    <w:p w14:paraId="666D6E83" w14:textId="444C2A42" w:rsidR="00CE58A6" w:rsidRPr="0032326D" w:rsidRDefault="00CE58A6">
      <w:pPr>
        <w:pStyle w:val="FootnoteText"/>
      </w:pPr>
      <w:r>
        <w:rPr>
          <w:rStyle w:val="FootnoteReference"/>
        </w:rPr>
        <w:footnoteRef/>
      </w:r>
      <w:r>
        <w:t xml:space="preserve"> May </w:t>
      </w:r>
      <w:proofErr w:type="spellStart"/>
      <w:r>
        <w:t>McKisack</w:t>
      </w:r>
      <w:proofErr w:type="spellEnd"/>
      <w:r>
        <w:t xml:space="preserve">, </w:t>
      </w:r>
      <w:r w:rsidR="00D93F16">
        <w:rPr>
          <w:i/>
          <w:iCs/>
        </w:rPr>
        <w:t xml:space="preserve">The Parliamentary Representation of the English Boroughs </w:t>
      </w:r>
      <w:r w:rsidR="0032326D">
        <w:rPr>
          <w:i/>
          <w:iCs/>
        </w:rPr>
        <w:t xml:space="preserve">during the Middle Ages </w:t>
      </w:r>
      <w:r w:rsidR="0032326D">
        <w:t>(Oxford: Oxford University Press, 1932).</w:t>
      </w:r>
    </w:p>
  </w:footnote>
  <w:footnote w:id="29">
    <w:p w14:paraId="00000065" w14:textId="105FFD55" w:rsidR="00737F95" w:rsidRDefault="00000000">
      <w:pPr>
        <w:spacing w:after="0" w:line="240" w:lineRule="auto"/>
        <w:rPr>
          <w:sz w:val="20"/>
          <w:szCs w:val="20"/>
        </w:rPr>
      </w:pPr>
      <w:r>
        <w:rPr>
          <w:rStyle w:val="FootnoteReference"/>
        </w:rPr>
        <w:footnoteRef/>
      </w:r>
      <w:r>
        <w:rPr>
          <w:sz w:val="20"/>
          <w:szCs w:val="20"/>
        </w:rPr>
        <w:t xml:space="preserve"> </w:t>
      </w:r>
      <w:r w:rsidR="00157E67">
        <w:rPr>
          <w:sz w:val="20"/>
          <w:szCs w:val="20"/>
        </w:rPr>
        <w:t xml:space="preserve">Eliza Hartrich, </w:t>
      </w:r>
      <w:r w:rsidR="00157E67">
        <w:rPr>
          <w:i/>
          <w:sz w:val="20"/>
          <w:szCs w:val="20"/>
        </w:rPr>
        <w:t xml:space="preserve">Politics and the Urban Sector in Fifteenth-Century England, 1413-1471 </w:t>
      </w:r>
      <w:r w:rsidR="00157E67">
        <w:rPr>
          <w:sz w:val="20"/>
          <w:szCs w:val="20"/>
        </w:rPr>
        <w:t xml:space="preserve">(Oxford: Oxford University Press, 2019), </w:t>
      </w:r>
      <w:r>
        <w:rPr>
          <w:sz w:val="20"/>
          <w:szCs w:val="20"/>
        </w:rPr>
        <w:t>pp. 96-8.</w:t>
      </w:r>
    </w:p>
  </w:footnote>
  <w:footnote w:id="30">
    <w:p w14:paraId="7774EED3" w14:textId="2BAB576B" w:rsidR="00B73F44" w:rsidRPr="0005634D" w:rsidRDefault="00B73F44">
      <w:pPr>
        <w:pStyle w:val="FootnoteText"/>
      </w:pPr>
      <w:r>
        <w:rPr>
          <w:rStyle w:val="FootnoteReference"/>
        </w:rPr>
        <w:footnoteRef/>
      </w:r>
      <w:r>
        <w:t xml:space="preserve"> </w:t>
      </w:r>
      <w:r w:rsidR="00AB13AE">
        <w:t xml:space="preserve">A. Saul, ‘Local Politics </w:t>
      </w:r>
      <w:r w:rsidR="004821AC">
        <w:t xml:space="preserve">and the Good Parliament’, in Tony Pollard (ed.), </w:t>
      </w:r>
      <w:r w:rsidR="004821AC">
        <w:rPr>
          <w:i/>
          <w:iCs/>
        </w:rPr>
        <w:t>Property and Politics</w:t>
      </w:r>
      <w:r w:rsidR="00F52514">
        <w:rPr>
          <w:i/>
          <w:iCs/>
        </w:rPr>
        <w:t>: Essays in Later Medieval English History</w:t>
      </w:r>
      <w:r w:rsidR="00F52514">
        <w:t xml:space="preserve"> (Gloucester: Alan Sutton, 1984), pp. </w:t>
      </w:r>
      <w:r w:rsidR="00D23BA4">
        <w:t>156-71; G.A. Holmes</w:t>
      </w:r>
      <w:r w:rsidR="0005634D">
        <w:t xml:space="preserve">, </w:t>
      </w:r>
      <w:r w:rsidR="0005634D">
        <w:rPr>
          <w:i/>
          <w:iCs/>
        </w:rPr>
        <w:t xml:space="preserve">The Good Parliament </w:t>
      </w:r>
      <w:r w:rsidR="0005634D">
        <w:t>(Oxford: Clarendon Press, 1975).</w:t>
      </w:r>
    </w:p>
  </w:footnote>
  <w:footnote w:id="31">
    <w:p w14:paraId="00000058" w14:textId="4FD673AF" w:rsidR="00737F95" w:rsidRDefault="00000000">
      <w:pPr>
        <w:spacing w:after="0" w:line="240" w:lineRule="auto"/>
        <w:rPr>
          <w:sz w:val="20"/>
          <w:szCs w:val="20"/>
        </w:rPr>
      </w:pPr>
      <w:r>
        <w:rPr>
          <w:rStyle w:val="FootnoteReference"/>
        </w:rPr>
        <w:footnoteRef/>
      </w:r>
      <w:r>
        <w:rPr>
          <w:sz w:val="20"/>
          <w:szCs w:val="20"/>
        </w:rPr>
        <w:t xml:space="preserve"> Liddy, ‘Making of Towns’, 28-31.</w:t>
      </w:r>
    </w:p>
  </w:footnote>
  <w:footnote w:id="32">
    <w:p w14:paraId="00000062" w14:textId="77777777" w:rsidR="00737F95" w:rsidRDefault="00000000">
      <w:pPr>
        <w:spacing w:after="0" w:line="240" w:lineRule="auto"/>
        <w:rPr>
          <w:sz w:val="20"/>
          <w:szCs w:val="20"/>
        </w:rPr>
      </w:pPr>
      <w:r>
        <w:rPr>
          <w:rStyle w:val="FootnoteReference"/>
        </w:rPr>
        <w:footnoteRef/>
      </w:r>
      <w:r>
        <w:rPr>
          <w:sz w:val="20"/>
          <w:szCs w:val="20"/>
        </w:rPr>
        <w:t xml:space="preserve"> PROME, Nov 1330 parliament, item 63(34); Jan 1377 parliament, Appendix item 14; March 1416 parliament, item 45.</w:t>
      </w:r>
    </w:p>
  </w:footnote>
  <w:footnote w:id="33">
    <w:p w14:paraId="00000063" w14:textId="77777777" w:rsidR="00737F95" w:rsidRDefault="00000000">
      <w:pPr>
        <w:spacing w:after="0" w:line="240" w:lineRule="auto"/>
        <w:rPr>
          <w:sz w:val="20"/>
          <w:szCs w:val="20"/>
        </w:rPr>
      </w:pPr>
      <w:r>
        <w:rPr>
          <w:rStyle w:val="FootnoteReference"/>
        </w:rPr>
        <w:footnoteRef/>
      </w:r>
      <w:r>
        <w:rPr>
          <w:sz w:val="20"/>
          <w:szCs w:val="20"/>
        </w:rPr>
        <w:t xml:space="preserve"> PROME, Oct 1427 parliament, Appendix item 1.</w:t>
      </w:r>
    </w:p>
  </w:footnote>
  <w:footnote w:id="34">
    <w:p w14:paraId="38674521" w14:textId="0086169C" w:rsidR="00C56BDA" w:rsidRPr="0081495C" w:rsidRDefault="00C56BDA">
      <w:pPr>
        <w:pStyle w:val="FootnoteText"/>
      </w:pPr>
      <w:r>
        <w:rPr>
          <w:rStyle w:val="FootnoteReference"/>
        </w:rPr>
        <w:footnoteRef/>
      </w:r>
      <w:r>
        <w:t xml:space="preserve"> </w:t>
      </w:r>
      <w:r w:rsidR="0081495C">
        <w:t xml:space="preserve">Hartrich, </w:t>
      </w:r>
      <w:r w:rsidR="0081495C">
        <w:rPr>
          <w:i/>
          <w:iCs/>
        </w:rPr>
        <w:t>Politics and the Urban Sector</w:t>
      </w:r>
      <w:r w:rsidR="0081495C">
        <w:t>, pp. 52-3.</w:t>
      </w:r>
    </w:p>
  </w:footnote>
  <w:footnote w:id="35">
    <w:p w14:paraId="11A8DDBB" w14:textId="51EC6619" w:rsidR="006F34BF" w:rsidRPr="00AF775F" w:rsidRDefault="006F34BF">
      <w:pPr>
        <w:pStyle w:val="FootnoteText"/>
      </w:pPr>
      <w:r>
        <w:rPr>
          <w:rStyle w:val="FootnoteReference"/>
        </w:rPr>
        <w:footnoteRef/>
      </w:r>
      <w:r>
        <w:t xml:space="preserve"> </w:t>
      </w:r>
      <w:r w:rsidR="00030482">
        <w:t xml:space="preserve">‘The French Chronicle of London’, </w:t>
      </w:r>
      <w:r w:rsidR="004E6578">
        <w:t xml:space="preserve">in H.T. Riley (ed.), </w:t>
      </w:r>
      <w:r w:rsidR="00CA4E2B">
        <w:rPr>
          <w:i/>
          <w:iCs/>
        </w:rPr>
        <w:t>Chronicles of the Mayors and Sheriffs of London, A.D. 1188</w:t>
      </w:r>
      <w:r w:rsidR="00AF775F">
        <w:rPr>
          <w:i/>
          <w:iCs/>
        </w:rPr>
        <w:t xml:space="preserve"> to A.D. 1274 </w:t>
      </w:r>
      <w:r w:rsidR="00AF775F">
        <w:t>(London</w:t>
      </w:r>
      <w:r w:rsidR="000F0513">
        <w:t xml:space="preserve">: </w:t>
      </w:r>
      <w:proofErr w:type="spellStart"/>
      <w:r w:rsidR="000F0513">
        <w:t>Trübner</w:t>
      </w:r>
      <w:proofErr w:type="spellEnd"/>
      <w:r w:rsidR="000F0513">
        <w:t xml:space="preserve">, 1863), pp. </w:t>
      </w:r>
      <w:r w:rsidR="008345B0">
        <w:t>262-3.</w:t>
      </w:r>
    </w:p>
  </w:footnote>
  <w:footnote w:id="36">
    <w:p w14:paraId="779FDF34" w14:textId="77777777" w:rsidR="00671E11" w:rsidRPr="007E5781" w:rsidRDefault="00671E11" w:rsidP="00671E11">
      <w:pPr>
        <w:pStyle w:val="FootnoteText"/>
      </w:pPr>
      <w:r>
        <w:rPr>
          <w:rStyle w:val="FootnoteReference"/>
        </w:rPr>
        <w:footnoteRef/>
      </w:r>
      <w:r>
        <w:t xml:space="preserve"> Hartrich, </w:t>
      </w:r>
      <w:r>
        <w:rPr>
          <w:i/>
          <w:iCs/>
        </w:rPr>
        <w:t>Politics and the Urban Sector</w:t>
      </w:r>
      <w:r>
        <w:t>, pp. 172-3.</w:t>
      </w:r>
    </w:p>
  </w:footnote>
  <w:footnote w:id="37">
    <w:p w14:paraId="1353FA15" w14:textId="37411314" w:rsidR="00640354" w:rsidRPr="009A4C6F" w:rsidRDefault="00640354">
      <w:pPr>
        <w:pStyle w:val="FootnoteText"/>
      </w:pPr>
      <w:r>
        <w:rPr>
          <w:rStyle w:val="FootnoteReference"/>
        </w:rPr>
        <w:footnoteRef/>
      </w:r>
      <w:r>
        <w:t xml:space="preserve"> </w:t>
      </w:r>
      <w:r w:rsidR="009E3ED0">
        <w:t xml:space="preserve">C.L. Kingsford (ed.), </w:t>
      </w:r>
      <w:r w:rsidR="009E3ED0">
        <w:rPr>
          <w:i/>
          <w:iCs/>
        </w:rPr>
        <w:t xml:space="preserve">Chronicles of London </w:t>
      </w:r>
      <w:r w:rsidR="009E3ED0">
        <w:t>(</w:t>
      </w:r>
      <w:r w:rsidR="007C6CB3">
        <w:t xml:space="preserve">Oxford: Clarendon Press, 1905), p. 97; </w:t>
      </w:r>
      <w:r w:rsidR="00337D57">
        <w:t>M.E. Aston, ‘Lollardy and Sedition</w:t>
      </w:r>
      <w:r w:rsidR="009A4C6F">
        <w:t xml:space="preserve"> 1381-1431’, </w:t>
      </w:r>
      <w:r w:rsidR="009A4C6F">
        <w:rPr>
          <w:i/>
          <w:iCs/>
        </w:rPr>
        <w:t>Past &amp; Present</w:t>
      </w:r>
      <w:r w:rsidR="009A4C6F">
        <w:t>, 17 (1960), 25.</w:t>
      </w:r>
    </w:p>
  </w:footnote>
  <w:footnote w:id="38">
    <w:p w14:paraId="230136E1" w14:textId="5A59C9D9" w:rsidR="00B411A8" w:rsidRPr="006452C5" w:rsidRDefault="00B411A8">
      <w:pPr>
        <w:pStyle w:val="FootnoteText"/>
      </w:pPr>
      <w:r>
        <w:rPr>
          <w:rStyle w:val="FootnoteReference"/>
        </w:rPr>
        <w:footnoteRef/>
      </w:r>
      <w:r>
        <w:t xml:space="preserve"> Andrew </w:t>
      </w:r>
      <w:r w:rsidR="00D00FFA">
        <w:t xml:space="preserve">Prescott, ‘“Great and Horrible Rumour”: Shaping the English Revolt of 1381’, in </w:t>
      </w:r>
      <w:r w:rsidR="00722054">
        <w:t xml:space="preserve">Firnhaber-Baker and </w:t>
      </w:r>
      <w:proofErr w:type="spellStart"/>
      <w:r w:rsidR="00722054">
        <w:t>Schoenaers</w:t>
      </w:r>
      <w:proofErr w:type="spellEnd"/>
      <w:r w:rsidR="00722054">
        <w:t xml:space="preserve"> (eds), </w:t>
      </w:r>
      <w:r w:rsidR="006452C5">
        <w:rPr>
          <w:i/>
          <w:iCs/>
        </w:rPr>
        <w:t>Routledge History Handbook of Medieval Revolt</w:t>
      </w:r>
      <w:r w:rsidR="006452C5">
        <w:t xml:space="preserve">, pp. </w:t>
      </w:r>
      <w:r w:rsidR="00837801">
        <w:t>76-</w:t>
      </w:r>
      <w:r w:rsidR="00B27D96">
        <w:t xml:space="preserve">103; Christopher Fletcher, </w:t>
      </w:r>
      <w:r w:rsidR="00B27D96" w:rsidRPr="00B27D96">
        <w:t xml:space="preserve">‘News, Noise, and the Nature of Politics in Late Medieval English Provincial Towns’, </w:t>
      </w:r>
      <w:r w:rsidR="00B27D96" w:rsidRPr="00B27D96">
        <w:rPr>
          <w:i/>
        </w:rPr>
        <w:t>Journal of British Studies</w:t>
      </w:r>
      <w:r w:rsidR="00B27D96" w:rsidRPr="00B27D96">
        <w:t>, 56 (2017), 250-72</w:t>
      </w:r>
      <w:r w:rsidR="00B27D96">
        <w:t>.</w:t>
      </w:r>
    </w:p>
  </w:footnote>
  <w:footnote w:id="39">
    <w:p w14:paraId="37A935BF" w14:textId="376541F4" w:rsidR="0070758F" w:rsidRPr="000972E5" w:rsidRDefault="0070758F">
      <w:pPr>
        <w:pStyle w:val="FootnoteText"/>
      </w:pPr>
      <w:r>
        <w:rPr>
          <w:rStyle w:val="FootnoteReference"/>
        </w:rPr>
        <w:footnoteRef/>
      </w:r>
      <w:r>
        <w:t xml:space="preserve"> </w:t>
      </w:r>
      <w:r w:rsidR="006F6A6E">
        <w:t xml:space="preserve">Lorraine C. </w:t>
      </w:r>
      <w:proofErr w:type="spellStart"/>
      <w:r w:rsidR="006F6A6E">
        <w:t>Attreed</w:t>
      </w:r>
      <w:proofErr w:type="spellEnd"/>
      <w:r w:rsidR="006F6A6E">
        <w:t xml:space="preserve"> (ed.), </w:t>
      </w:r>
      <w:r w:rsidR="000972E5">
        <w:rPr>
          <w:i/>
          <w:iCs/>
        </w:rPr>
        <w:t>York House Books 1461-1490</w:t>
      </w:r>
      <w:r w:rsidR="000972E5">
        <w:t>, 2 vols (</w:t>
      </w:r>
      <w:r w:rsidR="0003545B">
        <w:t xml:space="preserve">Stroud: Alan Sutton, 1991), </w:t>
      </w:r>
      <w:r w:rsidR="009D0BF0">
        <w:t>ii, 481-5.</w:t>
      </w:r>
    </w:p>
  </w:footnote>
  <w:footnote w:id="40">
    <w:p w14:paraId="23793B3B" w14:textId="1A2DD911" w:rsidR="00233678" w:rsidRPr="000944FB" w:rsidRDefault="00233678">
      <w:pPr>
        <w:pStyle w:val="FootnoteText"/>
      </w:pPr>
      <w:r>
        <w:rPr>
          <w:rStyle w:val="FootnoteReference"/>
        </w:rPr>
        <w:footnoteRef/>
      </w:r>
      <w:r>
        <w:t xml:space="preserve"> M.</w:t>
      </w:r>
      <w:r w:rsidR="008F5382">
        <w:t xml:space="preserve">D. Harris (ed.), </w:t>
      </w:r>
      <w:r w:rsidR="008F5382">
        <w:rPr>
          <w:i/>
          <w:iCs/>
        </w:rPr>
        <w:t>The Coventry Leet Book</w:t>
      </w:r>
      <w:r w:rsidR="000944FB">
        <w:rPr>
          <w:i/>
          <w:iCs/>
        </w:rPr>
        <w:t>…</w:t>
      </w:r>
      <w:r w:rsidR="000944FB">
        <w:t xml:space="preserve"> (London: EETS, 1907), </w:t>
      </w:r>
      <w:r w:rsidR="00CB19B0">
        <w:t>pp. 262-6.</w:t>
      </w:r>
    </w:p>
  </w:footnote>
  <w:footnote w:id="41">
    <w:p w14:paraId="7F833031" w14:textId="2905DCF0" w:rsidR="00A1473C" w:rsidRPr="009F0A15" w:rsidRDefault="00A1473C">
      <w:pPr>
        <w:pStyle w:val="FootnoteText"/>
      </w:pPr>
      <w:r>
        <w:rPr>
          <w:rStyle w:val="FootnoteReference"/>
        </w:rPr>
        <w:footnoteRef/>
      </w:r>
      <w:r>
        <w:t xml:space="preserve"> Marcus Meer, ‘Reversed, Defaced, Replaced: </w:t>
      </w:r>
      <w:r w:rsidR="00BD1622">
        <w:t xml:space="preserve">Late Medieval London and the Heraldic Communication </w:t>
      </w:r>
      <w:r w:rsidR="009F0A15">
        <w:t xml:space="preserve">of Discontent and Protest’, </w:t>
      </w:r>
      <w:r w:rsidR="009F0A15">
        <w:rPr>
          <w:i/>
          <w:iCs/>
        </w:rPr>
        <w:t>Journal of Medieval History</w:t>
      </w:r>
      <w:r w:rsidR="009F0A15">
        <w:t xml:space="preserve">, </w:t>
      </w:r>
      <w:r w:rsidR="00EB67B3">
        <w:t xml:space="preserve">45 (2019), </w:t>
      </w:r>
      <w:r w:rsidR="007544D0">
        <w:t>634-7.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95"/>
    <w:rsid w:val="0000303E"/>
    <w:rsid w:val="000071DD"/>
    <w:rsid w:val="00010081"/>
    <w:rsid w:val="00010425"/>
    <w:rsid w:val="0002298E"/>
    <w:rsid w:val="0002312A"/>
    <w:rsid w:val="00024350"/>
    <w:rsid w:val="00030482"/>
    <w:rsid w:val="00032714"/>
    <w:rsid w:val="0003545B"/>
    <w:rsid w:val="0005122B"/>
    <w:rsid w:val="00052D8F"/>
    <w:rsid w:val="00054F1D"/>
    <w:rsid w:val="0005634D"/>
    <w:rsid w:val="00057B96"/>
    <w:rsid w:val="0006074F"/>
    <w:rsid w:val="000615C2"/>
    <w:rsid w:val="000663E6"/>
    <w:rsid w:val="00067D86"/>
    <w:rsid w:val="000734F5"/>
    <w:rsid w:val="00074478"/>
    <w:rsid w:val="00074567"/>
    <w:rsid w:val="00075257"/>
    <w:rsid w:val="000777EE"/>
    <w:rsid w:val="000779FF"/>
    <w:rsid w:val="000944FB"/>
    <w:rsid w:val="0009591F"/>
    <w:rsid w:val="000972E5"/>
    <w:rsid w:val="000A0EE0"/>
    <w:rsid w:val="000A3ACA"/>
    <w:rsid w:val="000A3E61"/>
    <w:rsid w:val="000A419A"/>
    <w:rsid w:val="000A7A0B"/>
    <w:rsid w:val="000B4576"/>
    <w:rsid w:val="000B5075"/>
    <w:rsid w:val="000C4C81"/>
    <w:rsid w:val="000D20EF"/>
    <w:rsid w:val="000D390E"/>
    <w:rsid w:val="000D5122"/>
    <w:rsid w:val="000D585E"/>
    <w:rsid w:val="000D5F3B"/>
    <w:rsid w:val="000E3A66"/>
    <w:rsid w:val="000E6284"/>
    <w:rsid w:val="000E6D31"/>
    <w:rsid w:val="000E7C6C"/>
    <w:rsid w:val="000F02CB"/>
    <w:rsid w:val="000F0513"/>
    <w:rsid w:val="000F1B55"/>
    <w:rsid w:val="000F3773"/>
    <w:rsid w:val="000F72B5"/>
    <w:rsid w:val="00101B1F"/>
    <w:rsid w:val="0010272D"/>
    <w:rsid w:val="00102EA1"/>
    <w:rsid w:val="00103487"/>
    <w:rsid w:val="0011337A"/>
    <w:rsid w:val="001142EF"/>
    <w:rsid w:val="00114F87"/>
    <w:rsid w:val="001229BD"/>
    <w:rsid w:val="0012736B"/>
    <w:rsid w:val="0013326A"/>
    <w:rsid w:val="00133D86"/>
    <w:rsid w:val="0014119D"/>
    <w:rsid w:val="00157E67"/>
    <w:rsid w:val="001644DD"/>
    <w:rsid w:val="001663D5"/>
    <w:rsid w:val="0016711F"/>
    <w:rsid w:val="00171625"/>
    <w:rsid w:val="0017665B"/>
    <w:rsid w:val="00194FC9"/>
    <w:rsid w:val="001A3495"/>
    <w:rsid w:val="001A6576"/>
    <w:rsid w:val="001B12DD"/>
    <w:rsid w:val="001B3FD7"/>
    <w:rsid w:val="001C3EA2"/>
    <w:rsid w:val="001C4943"/>
    <w:rsid w:val="001D5384"/>
    <w:rsid w:val="001D5975"/>
    <w:rsid w:val="001D6F96"/>
    <w:rsid w:val="001D730C"/>
    <w:rsid w:val="001E09EF"/>
    <w:rsid w:val="001E3891"/>
    <w:rsid w:val="001E5059"/>
    <w:rsid w:val="001E7F6B"/>
    <w:rsid w:val="001F0726"/>
    <w:rsid w:val="001F5732"/>
    <w:rsid w:val="001F5D54"/>
    <w:rsid w:val="001F7B79"/>
    <w:rsid w:val="00205C50"/>
    <w:rsid w:val="00210D1E"/>
    <w:rsid w:val="0021556E"/>
    <w:rsid w:val="00216C16"/>
    <w:rsid w:val="00220690"/>
    <w:rsid w:val="00221E1C"/>
    <w:rsid w:val="00225D47"/>
    <w:rsid w:val="00230114"/>
    <w:rsid w:val="002307B5"/>
    <w:rsid w:val="00231C69"/>
    <w:rsid w:val="00233678"/>
    <w:rsid w:val="00241579"/>
    <w:rsid w:val="002423A8"/>
    <w:rsid w:val="00243BC8"/>
    <w:rsid w:val="00264B19"/>
    <w:rsid w:val="00264F97"/>
    <w:rsid w:val="00267B6F"/>
    <w:rsid w:val="00270346"/>
    <w:rsid w:val="00275B40"/>
    <w:rsid w:val="00275B95"/>
    <w:rsid w:val="00284B5A"/>
    <w:rsid w:val="00284F7D"/>
    <w:rsid w:val="00287CE1"/>
    <w:rsid w:val="002904E5"/>
    <w:rsid w:val="0029289B"/>
    <w:rsid w:val="00292DB0"/>
    <w:rsid w:val="002964AB"/>
    <w:rsid w:val="002A00F9"/>
    <w:rsid w:val="002A24B1"/>
    <w:rsid w:val="002B039D"/>
    <w:rsid w:val="002B7FE9"/>
    <w:rsid w:val="002C7720"/>
    <w:rsid w:val="002D280F"/>
    <w:rsid w:val="002D3D9E"/>
    <w:rsid w:val="002D6A99"/>
    <w:rsid w:val="002E426C"/>
    <w:rsid w:val="002E5C0F"/>
    <w:rsid w:val="002F1AB1"/>
    <w:rsid w:val="002F6696"/>
    <w:rsid w:val="003008AA"/>
    <w:rsid w:val="00307D78"/>
    <w:rsid w:val="0031012B"/>
    <w:rsid w:val="0031196E"/>
    <w:rsid w:val="00316390"/>
    <w:rsid w:val="00317714"/>
    <w:rsid w:val="0032326D"/>
    <w:rsid w:val="00324F29"/>
    <w:rsid w:val="0032649C"/>
    <w:rsid w:val="00335573"/>
    <w:rsid w:val="00337D57"/>
    <w:rsid w:val="00341D1A"/>
    <w:rsid w:val="00346C22"/>
    <w:rsid w:val="00350DD5"/>
    <w:rsid w:val="00352585"/>
    <w:rsid w:val="0035315D"/>
    <w:rsid w:val="00353192"/>
    <w:rsid w:val="00353624"/>
    <w:rsid w:val="00354067"/>
    <w:rsid w:val="00354B4B"/>
    <w:rsid w:val="00354E6F"/>
    <w:rsid w:val="003605F3"/>
    <w:rsid w:val="0036080B"/>
    <w:rsid w:val="0036488D"/>
    <w:rsid w:val="00370426"/>
    <w:rsid w:val="00371CB5"/>
    <w:rsid w:val="00375628"/>
    <w:rsid w:val="00377D7C"/>
    <w:rsid w:val="00380D05"/>
    <w:rsid w:val="00380E0F"/>
    <w:rsid w:val="003827FF"/>
    <w:rsid w:val="00390835"/>
    <w:rsid w:val="00393974"/>
    <w:rsid w:val="003A1D93"/>
    <w:rsid w:val="003A1D9F"/>
    <w:rsid w:val="003A6225"/>
    <w:rsid w:val="003A6825"/>
    <w:rsid w:val="003B3F09"/>
    <w:rsid w:val="003B4643"/>
    <w:rsid w:val="003D316B"/>
    <w:rsid w:val="003D41E3"/>
    <w:rsid w:val="003E21D2"/>
    <w:rsid w:val="003E603F"/>
    <w:rsid w:val="003F7D46"/>
    <w:rsid w:val="004009E8"/>
    <w:rsid w:val="00401814"/>
    <w:rsid w:val="004021D3"/>
    <w:rsid w:val="00423AF6"/>
    <w:rsid w:val="0042676F"/>
    <w:rsid w:val="004269D7"/>
    <w:rsid w:val="0043234F"/>
    <w:rsid w:val="00437529"/>
    <w:rsid w:val="00443DF7"/>
    <w:rsid w:val="0044584C"/>
    <w:rsid w:val="004531C5"/>
    <w:rsid w:val="004603C2"/>
    <w:rsid w:val="00462D6D"/>
    <w:rsid w:val="00463909"/>
    <w:rsid w:val="004668C1"/>
    <w:rsid w:val="004746FF"/>
    <w:rsid w:val="004778D1"/>
    <w:rsid w:val="0048006E"/>
    <w:rsid w:val="0048102B"/>
    <w:rsid w:val="004821AC"/>
    <w:rsid w:val="004843A4"/>
    <w:rsid w:val="00491FC7"/>
    <w:rsid w:val="00493152"/>
    <w:rsid w:val="004964FE"/>
    <w:rsid w:val="004A0048"/>
    <w:rsid w:val="004A301A"/>
    <w:rsid w:val="004A3894"/>
    <w:rsid w:val="004B0F29"/>
    <w:rsid w:val="004C2EB9"/>
    <w:rsid w:val="004E6578"/>
    <w:rsid w:val="004F43E2"/>
    <w:rsid w:val="004F6341"/>
    <w:rsid w:val="005036DD"/>
    <w:rsid w:val="005133EB"/>
    <w:rsid w:val="00513BE5"/>
    <w:rsid w:val="005161F2"/>
    <w:rsid w:val="00517738"/>
    <w:rsid w:val="00522809"/>
    <w:rsid w:val="005238CF"/>
    <w:rsid w:val="005418CB"/>
    <w:rsid w:val="00541DF0"/>
    <w:rsid w:val="00546CF8"/>
    <w:rsid w:val="00556D2E"/>
    <w:rsid w:val="005573ED"/>
    <w:rsid w:val="00562178"/>
    <w:rsid w:val="005667F7"/>
    <w:rsid w:val="00567F6E"/>
    <w:rsid w:val="0057078B"/>
    <w:rsid w:val="005731D1"/>
    <w:rsid w:val="005758B8"/>
    <w:rsid w:val="00583153"/>
    <w:rsid w:val="005843C0"/>
    <w:rsid w:val="00587F7E"/>
    <w:rsid w:val="005A4BB5"/>
    <w:rsid w:val="005A4D1D"/>
    <w:rsid w:val="005B4261"/>
    <w:rsid w:val="005B46D3"/>
    <w:rsid w:val="005C4300"/>
    <w:rsid w:val="005C4A79"/>
    <w:rsid w:val="005D0C1E"/>
    <w:rsid w:val="005D2B31"/>
    <w:rsid w:val="005D55E5"/>
    <w:rsid w:val="005E3A3B"/>
    <w:rsid w:val="005E4B03"/>
    <w:rsid w:val="005F3BA4"/>
    <w:rsid w:val="00604D76"/>
    <w:rsid w:val="00613343"/>
    <w:rsid w:val="006171CC"/>
    <w:rsid w:val="00640354"/>
    <w:rsid w:val="00640998"/>
    <w:rsid w:val="006423C6"/>
    <w:rsid w:val="006452C5"/>
    <w:rsid w:val="006460A0"/>
    <w:rsid w:val="00655E8C"/>
    <w:rsid w:val="00656ED6"/>
    <w:rsid w:val="00657BCB"/>
    <w:rsid w:val="0066458B"/>
    <w:rsid w:val="00670387"/>
    <w:rsid w:val="00671E11"/>
    <w:rsid w:val="00672B96"/>
    <w:rsid w:val="006732E0"/>
    <w:rsid w:val="00684F0C"/>
    <w:rsid w:val="00692BB8"/>
    <w:rsid w:val="0069438F"/>
    <w:rsid w:val="0069456E"/>
    <w:rsid w:val="006A3329"/>
    <w:rsid w:val="006A7A86"/>
    <w:rsid w:val="006B575D"/>
    <w:rsid w:val="006C063B"/>
    <w:rsid w:val="006D370E"/>
    <w:rsid w:val="006D5FEC"/>
    <w:rsid w:val="006D75AD"/>
    <w:rsid w:val="006E0BA5"/>
    <w:rsid w:val="006E236B"/>
    <w:rsid w:val="006E64A4"/>
    <w:rsid w:val="006F0471"/>
    <w:rsid w:val="006F0A53"/>
    <w:rsid w:val="006F34BF"/>
    <w:rsid w:val="006F3546"/>
    <w:rsid w:val="006F6A6E"/>
    <w:rsid w:val="006F7A9A"/>
    <w:rsid w:val="006F7DAC"/>
    <w:rsid w:val="00704EC5"/>
    <w:rsid w:val="0070758F"/>
    <w:rsid w:val="007100D5"/>
    <w:rsid w:val="00714F33"/>
    <w:rsid w:val="0072032A"/>
    <w:rsid w:val="0072062D"/>
    <w:rsid w:val="00722054"/>
    <w:rsid w:val="0073387C"/>
    <w:rsid w:val="00737F95"/>
    <w:rsid w:val="00743A4F"/>
    <w:rsid w:val="007544D0"/>
    <w:rsid w:val="007544E1"/>
    <w:rsid w:val="00754500"/>
    <w:rsid w:val="0075781D"/>
    <w:rsid w:val="007632D2"/>
    <w:rsid w:val="00766D57"/>
    <w:rsid w:val="00771543"/>
    <w:rsid w:val="00772540"/>
    <w:rsid w:val="00780E9E"/>
    <w:rsid w:val="007A029E"/>
    <w:rsid w:val="007A1303"/>
    <w:rsid w:val="007A3BD6"/>
    <w:rsid w:val="007A6EEB"/>
    <w:rsid w:val="007A7106"/>
    <w:rsid w:val="007A7862"/>
    <w:rsid w:val="007B10BB"/>
    <w:rsid w:val="007B162E"/>
    <w:rsid w:val="007C11D2"/>
    <w:rsid w:val="007C4B09"/>
    <w:rsid w:val="007C6CB3"/>
    <w:rsid w:val="007C7E9A"/>
    <w:rsid w:val="007D40FF"/>
    <w:rsid w:val="007D48FD"/>
    <w:rsid w:val="007D5CBA"/>
    <w:rsid w:val="007E1A9F"/>
    <w:rsid w:val="007E5781"/>
    <w:rsid w:val="007E6DB7"/>
    <w:rsid w:val="007F1BAB"/>
    <w:rsid w:val="007F4599"/>
    <w:rsid w:val="00804C7F"/>
    <w:rsid w:val="00813EA8"/>
    <w:rsid w:val="0081495C"/>
    <w:rsid w:val="008216B4"/>
    <w:rsid w:val="00822DC9"/>
    <w:rsid w:val="00823ADD"/>
    <w:rsid w:val="008255B5"/>
    <w:rsid w:val="008315D3"/>
    <w:rsid w:val="00833922"/>
    <w:rsid w:val="008345B0"/>
    <w:rsid w:val="008347D7"/>
    <w:rsid w:val="00834D07"/>
    <w:rsid w:val="00837801"/>
    <w:rsid w:val="00842F59"/>
    <w:rsid w:val="00852F06"/>
    <w:rsid w:val="008618DE"/>
    <w:rsid w:val="0086396B"/>
    <w:rsid w:val="00867901"/>
    <w:rsid w:val="00870B3B"/>
    <w:rsid w:val="008734B5"/>
    <w:rsid w:val="00880771"/>
    <w:rsid w:val="00882694"/>
    <w:rsid w:val="00884672"/>
    <w:rsid w:val="00885DFE"/>
    <w:rsid w:val="00887411"/>
    <w:rsid w:val="008A3C34"/>
    <w:rsid w:val="008A70D8"/>
    <w:rsid w:val="008C0CF8"/>
    <w:rsid w:val="008C103B"/>
    <w:rsid w:val="008C4215"/>
    <w:rsid w:val="008C6036"/>
    <w:rsid w:val="008E006B"/>
    <w:rsid w:val="008E07FD"/>
    <w:rsid w:val="008E263C"/>
    <w:rsid w:val="008E58A9"/>
    <w:rsid w:val="008E5E53"/>
    <w:rsid w:val="008F460C"/>
    <w:rsid w:val="008F5382"/>
    <w:rsid w:val="00900077"/>
    <w:rsid w:val="0090513A"/>
    <w:rsid w:val="00913400"/>
    <w:rsid w:val="00920073"/>
    <w:rsid w:val="00920ACF"/>
    <w:rsid w:val="009217B2"/>
    <w:rsid w:val="0092251C"/>
    <w:rsid w:val="00922571"/>
    <w:rsid w:val="0092611E"/>
    <w:rsid w:val="009301FE"/>
    <w:rsid w:val="009329AC"/>
    <w:rsid w:val="00934226"/>
    <w:rsid w:val="00936DE8"/>
    <w:rsid w:val="00937359"/>
    <w:rsid w:val="00940C30"/>
    <w:rsid w:val="0094125C"/>
    <w:rsid w:val="00945479"/>
    <w:rsid w:val="00947B61"/>
    <w:rsid w:val="00961618"/>
    <w:rsid w:val="00962519"/>
    <w:rsid w:val="00976CD3"/>
    <w:rsid w:val="0099427A"/>
    <w:rsid w:val="009A277F"/>
    <w:rsid w:val="009A4C6F"/>
    <w:rsid w:val="009A5196"/>
    <w:rsid w:val="009A544B"/>
    <w:rsid w:val="009A54AB"/>
    <w:rsid w:val="009C5854"/>
    <w:rsid w:val="009D020B"/>
    <w:rsid w:val="009D08E7"/>
    <w:rsid w:val="009D0BF0"/>
    <w:rsid w:val="009D16AB"/>
    <w:rsid w:val="009D1DA9"/>
    <w:rsid w:val="009D6DA4"/>
    <w:rsid w:val="009E06A3"/>
    <w:rsid w:val="009E1226"/>
    <w:rsid w:val="009E22D6"/>
    <w:rsid w:val="009E3ED0"/>
    <w:rsid w:val="009E4E26"/>
    <w:rsid w:val="009E5FCC"/>
    <w:rsid w:val="009F0552"/>
    <w:rsid w:val="009F0A15"/>
    <w:rsid w:val="009F0DDD"/>
    <w:rsid w:val="009F59BC"/>
    <w:rsid w:val="009F7E87"/>
    <w:rsid w:val="00A03485"/>
    <w:rsid w:val="00A1473C"/>
    <w:rsid w:val="00A158C9"/>
    <w:rsid w:val="00A363AF"/>
    <w:rsid w:val="00A4161B"/>
    <w:rsid w:val="00A57EDC"/>
    <w:rsid w:val="00A71FCB"/>
    <w:rsid w:val="00A755A9"/>
    <w:rsid w:val="00A7661E"/>
    <w:rsid w:val="00A83D0E"/>
    <w:rsid w:val="00A87056"/>
    <w:rsid w:val="00A900FC"/>
    <w:rsid w:val="00A91945"/>
    <w:rsid w:val="00AA0E9D"/>
    <w:rsid w:val="00AA2EBC"/>
    <w:rsid w:val="00AA7161"/>
    <w:rsid w:val="00AB13AE"/>
    <w:rsid w:val="00AB34B1"/>
    <w:rsid w:val="00AD35B5"/>
    <w:rsid w:val="00AD4E86"/>
    <w:rsid w:val="00AD5DAB"/>
    <w:rsid w:val="00AD7B3D"/>
    <w:rsid w:val="00AE0DCD"/>
    <w:rsid w:val="00AE0DD4"/>
    <w:rsid w:val="00AE42D5"/>
    <w:rsid w:val="00AE643A"/>
    <w:rsid w:val="00AF599C"/>
    <w:rsid w:val="00AF6B71"/>
    <w:rsid w:val="00AF775F"/>
    <w:rsid w:val="00AF792D"/>
    <w:rsid w:val="00B011B8"/>
    <w:rsid w:val="00B04CB1"/>
    <w:rsid w:val="00B1557F"/>
    <w:rsid w:val="00B169EE"/>
    <w:rsid w:val="00B17D12"/>
    <w:rsid w:val="00B27D96"/>
    <w:rsid w:val="00B27FA6"/>
    <w:rsid w:val="00B401DC"/>
    <w:rsid w:val="00B411A8"/>
    <w:rsid w:val="00B615FB"/>
    <w:rsid w:val="00B64AFF"/>
    <w:rsid w:val="00B6598C"/>
    <w:rsid w:val="00B679C7"/>
    <w:rsid w:val="00B701CD"/>
    <w:rsid w:val="00B73F44"/>
    <w:rsid w:val="00B74738"/>
    <w:rsid w:val="00B7662B"/>
    <w:rsid w:val="00B76791"/>
    <w:rsid w:val="00B871E4"/>
    <w:rsid w:val="00B92A96"/>
    <w:rsid w:val="00B96D8F"/>
    <w:rsid w:val="00BA0C68"/>
    <w:rsid w:val="00BA2BD2"/>
    <w:rsid w:val="00BA326C"/>
    <w:rsid w:val="00BA37A8"/>
    <w:rsid w:val="00BA5FF8"/>
    <w:rsid w:val="00BB4A5D"/>
    <w:rsid w:val="00BB6D4E"/>
    <w:rsid w:val="00BB74E5"/>
    <w:rsid w:val="00BC09EE"/>
    <w:rsid w:val="00BC23CB"/>
    <w:rsid w:val="00BC3E05"/>
    <w:rsid w:val="00BD1622"/>
    <w:rsid w:val="00BD2E4A"/>
    <w:rsid w:val="00BD6DF1"/>
    <w:rsid w:val="00BE1D5C"/>
    <w:rsid w:val="00BE3F76"/>
    <w:rsid w:val="00BF2D4C"/>
    <w:rsid w:val="00BF75D3"/>
    <w:rsid w:val="00C104CC"/>
    <w:rsid w:val="00C10938"/>
    <w:rsid w:val="00C10C5B"/>
    <w:rsid w:val="00C12D79"/>
    <w:rsid w:val="00C12E9B"/>
    <w:rsid w:val="00C1401C"/>
    <w:rsid w:val="00C14335"/>
    <w:rsid w:val="00C17B10"/>
    <w:rsid w:val="00C17D9F"/>
    <w:rsid w:val="00C17E5A"/>
    <w:rsid w:val="00C20141"/>
    <w:rsid w:val="00C202DE"/>
    <w:rsid w:val="00C2136B"/>
    <w:rsid w:val="00C238F6"/>
    <w:rsid w:val="00C329B1"/>
    <w:rsid w:val="00C3463B"/>
    <w:rsid w:val="00C42DFE"/>
    <w:rsid w:val="00C474C5"/>
    <w:rsid w:val="00C52411"/>
    <w:rsid w:val="00C5539C"/>
    <w:rsid w:val="00C5659F"/>
    <w:rsid w:val="00C56BDA"/>
    <w:rsid w:val="00C62B1F"/>
    <w:rsid w:val="00C630B7"/>
    <w:rsid w:val="00C65438"/>
    <w:rsid w:val="00C775A7"/>
    <w:rsid w:val="00C8118D"/>
    <w:rsid w:val="00C863E0"/>
    <w:rsid w:val="00C90DEE"/>
    <w:rsid w:val="00C94B4D"/>
    <w:rsid w:val="00C94BB5"/>
    <w:rsid w:val="00CA4E2B"/>
    <w:rsid w:val="00CB141B"/>
    <w:rsid w:val="00CB19B0"/>
    <w:rsid w:val="00CB3669"/>
    <w:rsid w:val="00CB5285"/>
    <w:rsid w:val="00CC1221"/>
    <w:rsid w:val="00CC22F5"/>
    <w:rsid w:val="00CC38CB"/>
    <w:rsid w:val="00CC4C76"/>
    <w:rsid w:val="00CD4409"/>
    <w:rsid w:val="00CD7E3F"/>
    <w:rsid w:val="00CE1B06"/>
    <w:rsid w:val="00CE23FB"/>
    <w:rsid w:val="00CE4928"/>
    <w:rsid w:val="00CE4F64"/>
    <w:rsid w:val="00CE58A6"/>
    <w:rsid w:val="00CF0EEA"/>
    <w:rsid w:val="00D00BDA"/>
    <w:rsid w:val="00D00FFA"/>
    <w:rsid w:val="00D03E80"/>
    <w:rsid w:val="00D0460E"/>
    <w:rsid w:val="00D048E5"/>
    <w:rsid w:val="00D05E87"/>
    <w:rsid w:val="00D0602C"/>
    <w:rsid w:val="00D16072"/>
    <w:rsid w:val="00D23BA4"/>
    <w:rsid w:val="00D34307"/>
    <w:rsid w:val="00D46A8D"/>
    <w:rsid w:val="00D503D5"/>
    <w:rsid w:val="00D5123F"/>
    <w:rsid w:val="00D53234"/>
    <w:rsid w:val="00D55392"/>
    <w:rsid w:val="00D61121"/>
    <w:rsid w:val="00D6614A"/>
    <w:rsid w:val="00D66223"/>
    <w:rsid w:val="00D665AA"/>
    <w:rsid w:val="00D7238E"/>
    <w:rsid w:val="00D75440"/>
    <w:rsid w:val="00D86F92"/>
    <w:rsid w:val="00D92C1B"/>
    <w:rsid w:val="00D93F16"/>
    <w:rsid w:val="00D946AB"/>
    <w:rsid w:val="00DA091B"/>
    <w:rsid w:val="00DA370E"/>
    <w:rsid w:val="00DA57D4"/>
    <w:rsid w:val="00DB0C0C"/>
    <w:rsid w:val="00DB109C"/>
    <w:rsid w:val="00DB42C6"/>
    <w:rsid w:val="00DB61AA"/>
    <w:rsid w:val="00DC091C"/>
    <w:rsid w:val="00DC0DFD"/>
    <w:rsid w:val="00DC32B2"/>
    <w:rsid w:val="00DD3BB4"/>
    <w:rsid w:val="00DE5CE4"/>
    <w:rsid w:val="00DF392B"/>
    <w:rsid w:val="00DF504D"/>
    <w:rsid w:val="00DF56AB"/>
    <w:rsid w:val="00DF6C7B"/>
    <w:rsid w:val="00E00195"/>
    <w:rsid w:val="00E0185C"/>
    <w:rsid w:val="00E01ADF"/>
    <w:rsid w:val="00E12367"/>
    <w:rsid w:val="00E161AB"/>
    <w:rsid w:val="00E17726"/>
    <w:rsid w:val="00E243EC"/>
    <w:rsid w:val="00E25C3B"/>
    <w:rsid w:val="00E30809"/>
    <w:rsid w:val="00E37AED"/>
    <w:rsid w:val="00E519A8"/>
    <w:rsid w:val="00E52F8C"/>
    <w:rsid w:val="00E53CAC"/>
    <w:rsid w:val="00E7060F"/>
    <w:rsid w:val="00E73AA5"/>
    <w:rsid w:val="00E7675E"/>
    <w:rsid w:val="00E8127A"/>
    <w:rsid w:val="00E83944"/>
    <w:rsid w:val="00E87C10"/>
    <w:rsid w:val="00E900A5"/>
    <w:rsid w:val="00E923C3"/>
    <w:rsid w:val="00E92B53"/>
    <w:rsid w:val="00E93A2A"/>
    <w:rsid w:val="00EA03F4"/>
    <w:rsid w:val="00EA7AC9"/>
    <w:rsid w:val="00EB462F"/>
    <w:rsid w:val="00EB67B3"/>
    <w:rsid w:val="00EC0C3E"/>
    <w:rsid w:val="00EC3EDD"/>
    <w:rsid w:val="00EC7CA6"/>
    <w:rsid w:val="00EE092F"/>
    <w:rsid w:val="00EE7FB4"/>
    <w:rsid w:val="00EF1B95"/>
    <w:rsid w:val="00EF23CC"/>
    <w:rsid w:val="00EF519C"/>
    <w:rsid w:val="00EF5733"/>
    <w:rsid w:val="00EF6A91"/>
    <w:rsid w:val="00EF7A3E"/>
    <w:rsid w:val="00F008EF"/>
    <w:rsid w:val="00F00C4B"/>
    <w:rsid w:val="00F00C84"/>
    <w:rsid w:val="00F1057F"/>
    <w:rsid w:val="00F17F47"/>
    <w:rsid w:val="00F22DC6"/>
    <w:rsid w:val="00F25D5D"/>
    <w:rsid w:val="00F26D05"/>
    <w:rsid w:val="00F27DD9"/>
    <w:rsid w:val="00F43401"/>
    <w:rsid w:val="00F451C2"/>
    <w:rsid w:val="00F458C2"/>
    <w:rsid w:val="00F47E08"/>
    <w:rsid w:val="00F52514"/>
    <w:rsid w:val="00F529BA"/>
    <w:rsid w:val="00F55325"/>
    <w:rsid w:val="00F60C1E"/>
    <w:rsid w:val="00F61B66"/>
    <w:rsid w:val="00F64209"/>
    <w:rsid w:val="00F72B21"/>
    <w:rsid w:val="00F73BB5"/>
    <w:rsid w:val="00F80988"/>
    <w:rsid w:val="00F82DB2"/>
    <w:rsid w:val="00F85525"/>
    <w:rsid w:val="00F900C9"/>
    <w:rsid w:val="00F9184C"/>
    <w:rsid w:val="00F91EC7"/>
    <w:rsid w:val="00F939A0"/>
    <w:rsid w:val="00F97B72"/>
    <w:rsid w:val="00FA0165"/>
    <w:rsid w:val="00FA0483"/>
    <w:rsid w:val="00FA1864"/>
    <w:rsid w:val="00FA2707"/>
    <w:rsid w:val="00FA53D1"/>
    <w:rsid w:val="00FB2076"/>
    <w:rsid w:val="00FB4A7A"/>
    <w:rsid w:val="00FC3159"/>
    <w:rsid w:val="00FC4850"/>
    <w:rsid w:val="00FC6EF8"/>
    <w:rsid w:val="00FD07A8"/>
    <w:rsid w:val="00FD6715"/>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B84F"/>
  <w15:docId w15:val="{F99583AE-77B1-4FE2-838A-E30DF618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4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4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086"/>
    <w:rPr>
      <w:rFonts w:eastAsiaTheme="majorEastAsia" w:cstheme="majorBidi"/>
      <w:color w:val="272727" w:themeColor="text1" w:themeTint="D8"/>
    </w:rPr>
  </w:style>
  <w:style w:type="character" w:customStyle="1" w:styleId="TitleChar">
    <w:name w:val="Title Char"/>
    <w:basedOn w:val="DefaultParagraphFont"/>
    <w:link w:val="Title"/>
    <w:uiPriority w:val="10"/>
    <w:rsid w:val="00544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44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086"/>
    <w:pPr>
      <w:spacing w:before="160"/>
      <w:jc w:val="center"/>
    </w:pPr>
    <w:rPr>
      <w:i/>
      <w:iCs/>
      <w:color w:val="404040" w:themeColor="text1" w:themeTint="BF"/>
    </w:rPr>
  </w:style>
  <w:style w:type="character" w:customStyle="1" w:styleId="QuoteChar">
    <w:name w:val="Quote Char"/>
    <w:basedOn w:val="DefaultParagraphFont"/>
    <w:link w:val="Quote"/>
    <w:uiPriority w:val="29"/>
    <w:rsid w:val="00544086"/>
    <w:rPr>
      <w:i/>
      <w:iCs/>
      <w:color w:val="404040" w:themeColor="text1" w:themeTint="BF"/>
    </w:rPr>
  </w:style>
  <w:style w:type="paragraph" w:styleId="ListParagraph">
    <w:name w:val="List Paragraph"/>
    <w:basedOn w:val="Normal"/>
    <w:uiPriority w:val="34"/>
    <w:qFormat/>
    <w:rsid w:val="00544086"/>
    <w:pPr>
      <w:ind w:left="720"/>
      <w:contextualSpacing/>
    </w:pPr>
  </w:style>
  <w:style w:type="character" w:styleId="IntenseEmphasis">
    <w:name w:val="Intense Emphasis"/>
    <w:basedOn w:val="DefaultParagraphFont"/>
    <w:uiPriority w:val="21"/>
    <w:qFormat/>
    <w:rsid w:val="00544086"/>
    <w:rPr>
      <w:i/>
      <w:iCs/>
      <w:color w:val="0F4761" w:themeColor="accent1" w:themeShade="BF"/>
    </w:rPr>
  </w:style>
  <w:style w:type="paragraph" w:styleId="IntenseQuote">
    <w:name w:val="Intense Quote"/>
    <w:basedOn w:val="Normal"/>
    <w:next w:val="Normal"/>
    <w:link w:val="IntenseQuoteChar"/>
    <w:uiPriority w:val="30"/>
    <w:qFormat/>
    <w:rsid w:val="00544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086"/>
    <w:rPr>
      <w:i/>
      <w:iCs/>
      <w:color w:val="0F4761" w:themeColor="accent1" w:themeShade="BF"/>
    </w:rPr>
  </w:style>
  <w:style w:type="character" w:styleId="IntenseReference">
    <w:name w:val="Intense Reference"/>
    <w:basedOn w:val="DefaultParagraphFont"/>
    <w:uiPriority w:val="32"/>
    <w:qFormat/>
    <w:rsid w:val="00544086"/>
    <w:rPr>
      <w:b/>
      <w:bCs/>
      <w:smallCaps/>
      <w:color w:val="0F4761" w:themeColor="accent1" w:themeShade="BF"/>
      <w:spacing w:val="5"/>
    </w:rPr>
  </w:style>
  <w:style w:type="character" w:styleId="FootnoteReference">
    <w:name w:val="footnote reference"/>
    <w:basedOn w:val="DefaultParagraphFont"/>
    <w:uiPriority w:val="99"/>
    <w:semiHidden/>
    <w:unhideWhenUsed/>
    <w:rsid w:val="003D3FD8"/>
    <w:rPr>
      <w:vertAlign w:val="superscript"/>
    </w:rPr>
  </w:style>
  <w:style w:type="paragraph" w:styleId="BalloonText">
    <w:name w:val="Balloon Text"/>
    <w:basedOn w:val="Normal"/>
    <w:link w:val="BalloonTextChar"/>
    <w:uiPriority w:val="99"/>
    <w:semiHidden/>
    <w:unhideWhenUsed/>
    <w:rsid w:val="003D3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FD8"/>
    <w:rPr>
      <w:rFonts w:ascii="Segoe UI" w:hAnsi="Segoe UI" w:cs="Segoe UI"/>
      <w:sz w:val="18"/>
      <w:szCs w:val="18"/>
    </w:rPr>
  </w:style>
  <w:style w:type="paragraph" w:styleId="FootnoteText">
    <w:name w:val="footnote text"/>
    <w:basedOn w:val="Normal"/>
    <w:link w:val="FootnoteTextChar"/>
    <w:uiPriority w:val="99"/>
    <w:semiHidden/>
    <w:unhideWhenUsed/>
    <w:rsid w:val="000515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1561"/>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DBglXl0YjvuTYBtQdY0zrBp6A==">CgMxLjA4AHIhMUxqODZwblRzN3R4N0QxVFZ2cHFFdEc1M1UxU3ZZUnFx</go:docsCustomData>
</go:gDocsCustomXmlDataStorage>
</file>

<file path=customXml/itemProps1.xml><?xml version="1.0" encoding="utf-8"?>
<ds:datastoreItem xmlns:ds="http://schemas.openxmlformats.org/officeDocument/2006/customXml" ds:itemID="{0F918157-A766-42B1-BCE3-91E85D527B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13</Pages>
  <Words>6127</Words>
  <Characters>34927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Hartrich</dc:creator>
  <cp:lastModifiedBy>Eliza Hartrich</cp:lastModifiedBy>
  <cp:revision>622</cp:revision>
  <dcterms:created xsi:type="dcterms:W3CDTF">2024-12-23T11:25:00Z</dcterms:created>
  <dcterms:modified xsi:type="dcterms:W3CDTF">2025-01-01T18:11:00Z</dcterms:modified>
</cp:coreProperties>
</file>