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8FD5" w14:textId="26C9EDD6" w:rsidR="00C03133" w:rsidRDefault="00C03133" w:rsidP="00BA2D09">
      <w:pPr>
        <w:spacing w:after="0"/>
        <w:jc w:val="center"/>
        <w:rPr>
          <w:rFonts w:ascii="Times New Roman" w:hAnsi="Times New Roman"/>
          <w:iCs/>
          <w:szCs w:val="24"/>
        </w:rPr>
      </w:pPr>
      <w:r>
        <w:rPr>
          <w:rFonts w:ascii="Times New Roman" w:hAnsi="Times New Roman"/>
          <w:iCs/>
          <w:szCs w:val="24"/>
        </w:rPr>
        <w:t>Forthcoming, Oxford Journal of Legal Studies</w:t>
      </w:r>
    </w:p>
    <w:p w14:paraId="7B7C979D" w14:textId="77777777" w:rsidR="00C03133" w:rsidRPr="00C03133" w:rsidRDefault="00C03133" w:rsidP="00BA2D09">
      <w:pPr>
        <w:spacing w:after="0"/>
        <w:jc w:val="center"/>
        <w:rPr>
          <w:rFonts w:ascii="Times New Roman" w:hAnsi="Times New Roman"/>
          <w:iCs/>
          <w:szCs w:val="24"/>
        </w:rPr>
      </w:pPr>
    </w:p>
    <w:p w14:paraId="217EC6AB" w14:textId="1DD191EA" w:rsidR="00BA4366" w:rsidRPr="00BA2D09" w:rsidRDefault="002467BC" w:rsidP="00BA2D09">
      <w:pPr>
        <w:spacing w:after="0"/>
        <w:jc w:val="center"/>
        <w:rPr>
          <w:rFonts w:ascii="Times New Roman" w:hAnsi="Times New Roman"/>
          <w:i/>
          <w:sz w:val="36"/>
        </w:rPr>
      </w:pPr>
      <w:r w:rsidRPr="00BA2D09">
        <w:rPr>
          <w:rFonts w:ascii="Times New Roman" w:hAnsi="Times New Roman"/>
          <w:i/>
          <w:sz w:val="36"/>
        </w:rPr>
        <w:t>Blame Games in</w:t>
      </w:r>
      <w:r w:rsidR="00E34978" w:rsidRPr="00BA2D09">
        <w:rPr>
          <w:rFonts w:ascii="Times New Roman" w:hAnsi="Times New Roman"/>
          <w:i/>
          <w:sz w:val="36"/>
        </w:rPr>
        <w:t xml:space="preserve"> </w:t>
      </w:r>
      <w:r w:rsidR="0091627E" w:rsidRPr="00BA2D09">
        <w:rPr>
          <w:rFonts w:ascii="Times New Roman" w:hAnsi="Times New Roman"/>
          <w:i/>
          <w:sz w:val="36"/>
        </w:rPr>
        <w:t>Reflexive</w:t>
      </w:r>
      <w:r w:rsidR="0072692C" w:rsidRPr="00BA2D09">
        <w:rPr>
          <w:rFonts w:ascii="Times New Roman" w:hAnsi="Times New Roman"/>
          <w:i/>
          <w:sz w:val="36"/>
        </w:rPr>
        <w:t xml:space="preserve"> Discrimination</w:t>
      </w:r>
      <w:r w:rsidR="0091627E" w:rsidRPr="00BA2D09">
        <w:rPr>
          <w:rFonts w:ascii="Times New Roman" w:hAnsi="Times New Roman"/>
          <w:i/>
          <w:sz w:val="36"/>
        </w:rPr>
        <w:t xml:space="preserve"> Law</w:t>
      </w:r>
    </w:p>
    <w:p w14:paraId="4ADC50EE" w14:textId="38D46E84" w:rsidR="00BA4366" w:rsidRDefault="007B4BE8" w:rsidP="00BA2D09">
      <w:pPr>
        <w:spacing w:after="0"/>
        <w:jc w:val="center"/>
        <w:rPr>
          <w:rFonts w:ascii="Times New Roman" w:eastAsia="Times New Roman" w:hAnsi="Times New Roman" w:cs="Times New Roman"/>
          <w:sz w:val="28"/>
          <w:szCs w:val="28"/>
          <w:lang w:eastAsia="en-GB"/>
        </w:rPr>
      </w:pPr>
      <w:r w:rsidRPr="007B4BE8">
        <w:rPr>
          <w:rFonts w:ascii="Times New Roman" w:eastAsia="Times New Roman" w:hAnsi="Times New Roman" w:cs="Times New Roman"/>
          <w:sz w:val="28"/>
          <w:szCs w:val="28"/>
          <w:lang w:eastAsia="en-GB"/>
        </w:rPr>
        <w:t>Jed Meers</w:t>
      </w:r>
      <w:r>
        <w:rPr>
          <w:rFonts w:ascii="Times New Roman" w:eastAsia="Times New Roman" w:hAnsi="Times New Roman" w:cs="Times New Roman"/>
          <w:sz w:val="28"/>
          <w:szCs w:val="28"/>
          <w:lang w:eastAsia="en-GB"/>
        </w:rPr>
        <w:t>*</w:t>
      </w:r>
    </w:p>
    <w:p w14:paraId="5DE14D39" w14:textId="71BD0FC4" w:rsidR="00FD0B65" w:rsidRPr="00BA4366" w:rsidRDefault="00BA4366" w:rsidP="00BA2D09">
      <w:pPr>
        <w:ind w:left="567" w:right="521"/>
        <w:rPr>
          <w:rFonts w:ascii="Times New Roman" w:eastAsia="Garamond" w:hAnsi="Times New Roman" w:cs="Times New Roman"/>
          <w:szCs w:val="24"/>
          <w:lang w:eastAsia="en-GB"/>
        </w:rPr>
      </w:pPr>
      <w:r w:rsidRPr="00BA4366">
        <w:rPr>
          <w:rFonts w:ascii="Times New Roman" w:eastAsia="Garamond" w:hAnsi="Times New Roman" w:cs="Times New Roman"/>
          <w:b/>
          <w:bCs/>
          <w:lang w:eastAsia="en-GB"/>
        </w:rPr>
        <w:t>Abstract</w:t>
      </w:r>
      <w:r w:rsidRPr="00BA4366">
        <w:rPr>
          <w:rFonts w:ascii="Times New Roman" w:eastAsia="Garamond" w:hAnsi="Times New Roman" w:cs="Times New Roman"/>
          <w:lang w:eastAsia="en-GB"/>
        </w:rPr>
        <w:t>—</w:t>
      </w:r>
      <w:r w:rsidR="00D8265C" w:rsidRPr="00BA2D09">
        <w:rPr>
          <w:rFonts w:ascii="Times New Roman" w:hAnsi="Times New Roman"/>
        </w:rPr>
        <w:t>T</w:t>
      </w:r>
      <w:r w:rsidRPr="00BA2D09">
        <w:rPr>
          <w:rFonts w:ascii="Times New Roman" w:hAnsi="Times New Roman"/>
        </w:rPr>
        <w:t xml:space="preserve">his </w:t>
      </w:r>
      <w:r w:rsidRPr="00BA4366">
        <w:rPr>
          <w:rFonts w:ascii="Times New Roman" w:hAnsi="Times New Roman" w:cs="Times New Roman"/>
        </w:rPr>
        <w:t>article</w:t>
      </w:r>
      <w:r w:rsidR="00D8265C" w:rsidRPr="00BA2D09">
        <w:rPr>
          <w:rFonts w:ascii="Times New Roman" w:hAnsi="Times New Roman"/>
        </w:rPr>
        <w:t xml:space="preserve"> examines the upcoming commencement of the </w:t>
      </w:r>
      <w:r w:rsidRPr="00BA4366">
        <w:rPr>
          <w:rFonts w:ascii="Times New Roman" w:hAnsi="Times New Roman" w:cs="Times New Roman"/>
        </w:rPr>
        <w:t>‘</w:t>
      </w:r>
      <w:r w:rsidR="00D8265C" w:rsidRPr="00BA4366">
        <w:rPr>
          <w:rFonts w:ascii="Times New Roman" w:hAnsi="Times New Roman" w:cs="Times New Roman"/>
        </w:rPr>
        <w:t>socio</w:t>
      </w:r>
      <w:r w:rsidR="00D8265C" w:rsidRPr="00BA2D09">
        <w:rPr>
          <w:rFonts w:ascii="Times New Roman" w:hAnsi="Times New Roman"/>
        </w:rPr>
        <w:t xml:space="preserve">-economic </w:t>
      </w:r>
      <w:r w:rsidR="00D8265C" w:rsidRPr="00BA4366">
        <w:rPr>
          <w:rFonts w:ascii="Times New Roman" w:hAnsi="Times New Roman" w:cs="Times New Roman"/>
        </w:rPr>
        <w:t>duty</w:t>
      </w:r>
      <w:r w:rsidRPr="00BA4366">
        <w:rPr>
          <w:rFonts w:ascii="Times New Roman" w:hAnsi="Times New Roman" w:cs="Times New Roman"/>
        </w:rPr>
        <w:t>’</w:t>
      </w:r>
      <w:r w:rsidR="00D8265C" w:rsidRPr="00BA2D09">
        <w:rPr>
          <w:rFonts w:ascii="Times New Roman" w:hAnsi="Times New Roman"/>
        </w:rPr>
        <w:t xml:space="preserve"> in </w:t>
      </w:r>
      <w:r w:rsidRPr="00BA4366">
        <w:rPr>
          <w:rFonts w:ascii="Times New Roman" w:hAnsi="Times New Roman" w:cs="Times New Roman"/>
        </w:rPr>
        <w:t>section</w:t>
      </w:r>
      <w:r w:rsidRPr="00BA2D09">
        <w:rPr>
          <w:rFonts w:ascii="Times New Roman" w:hAnsi="Times New Roman"/>
        </w:rPr>
        <w:t xml:space="preserve"> </w:t>
      </w:r>
      <w:r w:rsidR="00D8265C" w:rsidRPr="00BA2D09">
        <w:rPr>
          <w:rFonts w:ascii="Times New Roman" w:hAnsi="Times New Roman"/>
        </w:rPr>
        <w:t xml:space="preserve">1 of the Equality Act 2010 in England. The duty, which requires certain public bodies to have </w:t>
      </w:r>
      <w:r w:rsidRPr="00BA4366">
        <w:rPr>
          <w:rFonts w:ascii="Times New Roman" w:hAnsi="Times New Roman" w:cs="Times New Roman"/>
        </w:rPr>
        <w:t>‘</w:t>
      </w:r>
      <w:r w:rsidR="00D8265C" w:rsidRPr="00BA4366">
        <w:rPr>
          <w:rFonts w:ascii="Times New Roman" w:hAnsi="Times New Roman" w:cs="Times New Roman"/>
        </w:rPr>
        <w:t>due regard</w:t>
      </w:r>
      <w:r w:rsidRPr="00BA4366">
        <w:rPr>
          <w:rFonts w:ascii="Times New Roman" w:hAnsi="Times New Roman" w:cs="Times New Roman"/>
        </w:rPr>
        <w:t>’</w:t>
      </w:r>
      <w:r w:rsidR="00D8265C" w:rsidRPr="00BA2D09">
        <w:rPr>
          <w:rFonts w:ascii="Times New Roman" w:hAnsi="Times New Roman"/>
        </w:rPr>
        <w:t xml:space="preserve"> to reducing inequalities from socio-economic disadvantage when making strategic decisions, is part of a longer-standing </w:t>
      </w:r>
      <w:r w:rsidRPr="00BA4366">
        <w:rPr>
          <w:rFonts w:ascii="Times New Roman" w:hAnsi="Times New Roman" w:cs="Times New Roman"/>
        </w:rPr>
        <w:t>‘</w:t>
      </w:r>
      <w:r w:rsidR="00D8265C" w:rsidRPr="00BA4366">
        <w:rPr>
          <w:rFonts w:ascii="Times New Roman" w:hAnsi="Times New Roman" w:cs="Times New Roman"/>
        </w:rPr>
        <w:t>reflexive turn</w:t>
      </w:r>
      <w:r w:rsidRPr="00BA4366">
        <w:rPr>
          <w:rFonts w:ascii="Times New Roman" w:hAnsi="Times New Roman" w:cs="Times New Roman"/>
        </w:rPr>
        <w:t>’</w:t>
      </w:r>
      <w:r w:rsidR="00D8265C" w:rsidRPr="00BA2D09">
        <w:rPr>
          <w:rFonts w:ascii="Times New Roman" w:hAnsi="Times New Roman"/>
        </w:rPr>
        <w:t xml:space="preserve"> in discrimination law. Drawing on qualitative data from 267 civil servants and a survey experiment with a further 432, t</w:t>
      </w:r>
      <w:r w:rsidRPr="00BA2D09">
        <w:rPr>
          <w:rFonts w:ascii="Times New Roman" w:hAnsi="Times New Roman"/>
        </w:rPr>
        <w:t xml:space="preserve">his </w:t>
      </w:r>
      <w:r w:rsidRPr="00BA4366">
        <w:rPr>
          <w:rFonts w:ascii="Times New Roman" w:hAnsi="Times New Roman" w:cs="Times New Roman"/>
        </w:rPr>
        <w:t>article</w:t>
      </w:r>
      <w:r w:rsidR="00D8265C" w:rsidRPr="00BA2D09">
        <w:rPr>
          <w:rFonts w:ascii="Times New Roman" w:hAnsi="Times New Roman"/>
        </w:rPr>
        <w:t xml:space="preserve"> explores what </w:t>
      </w:r>
      <w:r w:rsidR="000B46FD" w:rsidRPr="00BA2D09">
        <w:rPr>
          <w:rFonts w:ascii="Times New Roman" w:hAnsi="Times New Roman"/>
        </w:rPr>
        <w:t xml:space="preserve">English </w:t>
      </w:r>
      <w:r w:rsidR="00D8265C" w:rsidRPr="00BA2D09">
        <w:rPr>
          <w:rFonts w:ascii="Times New Roman" w:hAnsi="Times New Roman"/>
        </w:rPr>
        <w:t>civil servants think about reflexive discrimination law.</w:t>
      </w:r>
      <w:r w:rsidR="004926C6" w:rsidRPr="00BA2D09">
        <w:rPr>
          <w:rFonts w:ascii="Times New Roman" w:hAnsi="Times New Roman"/>
        </w:rPr>
        <w:t xml:space="preserve"> </w:t>
      </w:r>
      <w:r w:rsidR="00D8265C" w:rsidRPr="00BA2D09">
        <w:rPr>
          <w:rFonts w:ascii="Times New Roman" w:hAnsi="Times New Roman"/>
        </w:rPr>
        <w:t>Th</w:t>
      </w:r>
      <w:r w:rsidR="004926C6" w:rsidRPr="00BA2D09">
        <w:rPr>
          <w:rFonts w:ascii="Times New Roman" w:hAnsi="Times New Roman"/>
        </w:rPr>
        <w:t>e</w:t>
      </w:r>
      <w:r w:rsidR="00D8265C" w:rsidRPr="00BA2D09">
        <w:rPr>
          <w:rFonts w:ascii="Times New Roman" w:hAnsi="Times New Roman"/>
        </w:rPr>
        <w:t xml:space="preserve"> </w:t>
      </w:r>
      <w:r w:rsidRPr="00BA4366">
        <w:rPr>
          <w:rFonts w:ascii="Times New Roman" w:hAnsi="Times New Roman" w:cs="Times New Roman"/>
        </w:rPr>
        <w:t>article</w:t>
      </w:r>
      <w:r w:rsidR="00D8265C" w:rsidRPr="00BA2D09">
        <w:rPr>
          <w:rFonts w:ascii="Times New Roman" w:hAnsi="Times New Roman"/>
        </w:rPr>
        <w:t xml:space="preserve"> argues that engagement with the </w:t>
      </w:r>
      <w:r w:rsidRPr="00BA4366">
        <w:rPr>
          <w:rFonts w:ascii="Times New Roman" w:hAnsi="Times New Roman" w:cs="Times New Roman"/>
        </w:rPr>
        <w:t>‘</w:t>
      </w:r>
      <w:r w:rsidR="00D8265C" w:rsidRPr="00BA4366">
        <w:rPr>
          <w:rFonts w:ascii="Times New Roman" w:hAnsi="Times New Roman" w:cs="Times New Roman"/>
        </w:rPr>
        <w:t>blame avoidance</w:t>
      </w:r>
      <w:r w:rsidRPr="00BA4366">
        <w:rPr>
          <w:rFonts w:ascii="Times New Roman" w:hAnsi="Times New Roman" w:cs="Times New Roman"/>
        </w:rPr>
        <w:t>’</w:t>
      </w:r>
      <w:r w:rsidR="00D8265C" w:rsidRPr="00BA2D09">
        <w:rPr>
          <w:rFonts w:ascii="Times New Roman" w:hAnsi="Times New Roman"/>
        </w:rPr>
        <w:t xml:space="preserve"> literature can help</w:t>
      </w:r>
      <w:r w:rsidR="004926C6" w:rsidRPr="00BA2D09">
        <w:rPr>
          <w:rFonts w:ascii="Times New Roman" w:hAnsi="Times New Roman"/>
        </w:rPr>
        <w:t xml:space="preserve"> to understand their attitudes</w:t>
      </w:r>
      <w:r w:rsidR="001F0081" w:rsidRPr="00BA2D09">
        <w:rPr>
          <w:rFonts w:ascii="Times New Roman" w:hAnsi="Times New Roman"/>
        </w:rPr>
        <w:t xml:space="preserve">. Drawing </w:t>
      </w:r>
      <w:r>
        <w:rPr>
          <w:rFonts w:ascii="Times New Roman" w:hAnsi="Times New Roman" w:cs="Times New Roman"/>
        </w:rPr>
        <w:t xml:space="preserve">on </w:t>
      </w:r>
      <w:r w:rsidR="006259BE" w:rsidRPr="00BA2D09">
        <w:rPr>
          <w:rFonts w:ascii="Times New Roman" w:hAnsi="Times New Roman"/>
        </w:rPr>
        <w:t>blame avoidance research</w:t>
      </w:r>
      <w:r w:rsidR="001F0081" w:rsidRPr="00BA2D09">
        <w:rPr>
          <w:rFonts w:ascii="Times New Roman" w:hAnsi="Times New Roman"/>
        </w:rPr>
        <w:t xml:space="preserve">, the </w:t>
      </w:r>
      <w:r w:rsidRPr="00BA4366">
        <w:rPr>
          <w:rFonts w:ascii="Times New Roman" w:hAnsi="Times New Roman" w:cs="Times New Roman"/>
        </w:rPr>
        <w:t>article</w:t>
      </w:r>
      <w:r w:rsidR="001F0081" w:rsidRPr="00BA2D09">
        <w:rPr>
          <w:rFonts w:ascii="Times New Roman" w:hAnsi="Times New Roman"/>
        </w:rPr>
        <w:t xml:space="preserve"> argues</w:t>
      </w:r>
      <w:r w:rsidR="004926C6" w:rsidRPr="00BA2D09">
        <w:rPr>
          <w:rFonts w:ascii="Times New Roman" w:hAnsi="Times New Roman"/>
        </w:rPr>
        <w:t xml:space="preserve"> that </w:t>
      </w:r>
      <w:r w:rsidR="00D8265C" w:rsidRPr="00BA2D09">
        <w:rPr>
          <w:rFonts w:ascii="Times New Roman" w:hAnsi="Times New Roman"/>
        </w:rPr>
        <w:t>without adequate resources and enforcement, the socio-economic duty will be less likely to reduce socio-economic inequality and more likely to trigger blame games between central government and the public authorities subject to the duty.</w:t>
      </w:r>
    </w:p>
    <w:p w14:paraId="1B778ED1" w14:textId="1CCBCF97" w:rsidR="00BA4366" w:rsidRPr="00BA2D09" w:rsidRDefault="00F74A2B" w:rsidP="00BA2D09">
      <w:pPr>
        <w:rPr>
          <w:rFonts w:ascii="Times New Roman" w:hAnsi="Times New Roman"/>
        </w:rPr>
      </w:pPr>
      <w:r w:rsidRPr="00BA2D09">
        <w:rPr>
          <w:rFonts w:ascii="Times New Roman" w:hAnsi="Times New Roman"/>
          <w:b/>
        </w:rPr>
        <w:t xml:space="preserve">Keywords: </w:t>
      </w:r>
      <w:r w:rsidR="00313763" w:rsidRPr="00BA2D09">
        <w:rPr>
          <w:rFonts w:ascii="Times New Roman" w:hAnsi="Times New Roman"/>
        </w:rPr>
        <w:t xml:space="preserve">Equality Act 2010, </w:t>
      </w:r>
      <w:r w:rsidR="00265B1B" w:rsidRPr="00BA4366">
        <w:rPr>
          <w:rFonts w:ascii="Times New Roman" w:eastAsia="Garamond" w:hAnsi="Times New Roman" w:cs="Times New Roman"/>
          <w:szCs w:val="24"/>
          <w:lang w:eastAsia="en-GB"/>
        </w:rPr>
        <w:t>socio</w:t>
      </w:r>
      <w:r w:rsidR="00265B1B" w:rsidRPr="00BA2D09">
        <w:rPr>
          <w:rFonts w:ascii="Times New Roman" w:hAnsi="Times New Roman"/>
        </w:rPr>
        <w:t>-economic duty</w:t>
      </w:r>
      <w:r w:rsidR="00BA4366" w:rsidRPr="00BA2D09">
        <w:rPr>
          <w:rFonts w:ascii="Times New Roman" w:hAnsi="Times New Roman"/>
        </w:rPr>
        <w:t xml:space="preserve">, </w:t>
      </w:r>
      <w:r w:rsidR="00BA4366" w:rsidRPr="00BA4366">
        <w:rPr>
          <w:rFonts w:ascii="Times New Roman" w:eastAsia="Garamond" w:hAnsi="Times New Roman" w:cs="Times New Roman"/>
          <w:szCs w:val="24"/>
          <w:lang w:eastAsia="en-GB"/>
        </w:rPr>
        <w:t>reflexive law, blame avoidance behaviour</w:t>
      </w:r>
      <w:r w:rsidR="00BA4366" w:rsidRPr="00BA2D09">
        <w:rPr>
          <w:rFonts w:ascii="Times New Roman" w:hAnsi="Times New Roman"/>
        </w:rPr>
        <w:t xml:space="preserve">, </w:t>
      </w:r>
      <w:r w:rsidR="00265B1B" w:rsidRPr="00BA2D09">
        <w:rPr>
          <w:rFonts w:ascii="Times New Roman" w:hAnsi="Times New Roman"/>
        </w:rPr>
        <w:t>Public Sector Equality Duty</w:t>
      </w:r>
      <w:r w:rsidR="00BA4366" w:rsidRPr="00BA2D09">
        <w:rPr>
          <w:rFonts w:ascii="Times New Roman" w:hAnsi="Times New Roman"/>
        </w:rPr>
        <w:t xml:space="preserve">, </w:t>
      </w:r>
      <w:r w:rsidR="00265B1B" w:rsidRPr="00BA2D09">
        <w:rPr>
          <w:rFonts w:ascii="Times New Roman" w:hAnsi="Times New Roman"/>
        </w:rPr>
        <w:t xml:space="preserve">Fairer </w:t>
      </w:r>
      <w:r w:rsidR="000735D3" w:rsidRPr="00BA2D09">
        <w:rPr>
          <w:rFonts w:ascii="Times New Roman" w:hAnsi="Times New Roman"/>
        </w:rPr>
        <w:t xml:space="preserve">Scotland </w:t>
      </w:r>
      <w:r w:rsidR="00265B1B" w:rsidRPr="00BA2D09">
        <w:rPr>
          <w:rFonts w:ascii="Times New Roman" w:hAnsi="Times New Roman"/>
        </w:rPr>
        <w:t>Duty</w:t>
      </w:r>
    </w:p>
    <w:p w14:paraId="4F5C12E1" w14:textId="4D2E27AD" w:rsidR="00EE62A2" w:rsidRPr="00EE62A2" w:rsidRDefault="00BA4366" w:rsidP="00BA4366">
      <w:pPr>
        <w:pStyle w:val="Heading1"/>
        <w:numPr>
          <w:ilvl w:val="0"/>
          <w:numId w:val="38"/>
        </w:numPr>
        <w:rPr>
          <w:rFonts w:ascii="Times New Roman" w:eastAsia="Times New Roman" w:hAnsi="Times New Roman" w:cs="Times New Roman"/>
          <w:lang w:eastAsia="en-GB"/>
        </w:rPr>
      </w:pPr>
      <w:r w:rsidRPr="007C7BB9">
        <w:rPr>
          <w:rFonts w:ascii="Times New Roman" w:eastAsia="Times New Roman" w:hAnsi="Times New Roman" w:cs="Times New Roman"/>
          <w:lang w:eastAsia="en-GB"/>
        </w:rPr>
        <w:t>Introduction</w:t>
      </w:r>
    </w:p>
    <w:p w14:paraId="1B748A7B" w14:textId="13C8D279" w:rsidR="00313763" w:rsidRPr="007C7BB9" w:rsidRDefault="00A52EC1" w:rsidP="00BA2D09">
      <w:pPr>
        <w:rPr>
          <w:rFonts w:ascii="Times New Roman" w:eastAsia="Times New Roman" w:hAnsi="Times New Roman" w:cs="Times New Roman"/>
          <w:bCs/>
          <w:szCs w:val="24"/>
          <w:lang w:eastAsia="en-GB"/>
        </w:rPr>
      </w:pPr>
      <w:r w:rsidRPr="007C7BB9">
        <w:rPr>
          <w:rFonts w:ascii="Times New Roman" w:eastAsia="Times New Roman" w:hAnsi="Times New Roman" w:cs="Times New Roman"/>
          <w:bCs/>
          <w:szCs w:val="24"/>
          <w:lang w:eastAsia="en-GB"/>
        </w:rPr>
        <w:t>The</w:t>
      </w:r>
      <w:r w:rsidR="00313763" w:rsidRPr="007C7BB9">
        <w:rPr>
          <w:rFonts w:ascii="Times New Roman" w:eastAsia="Times New Roman" w:hAnsi="Times New Roman" w:cs="Times New Roman"/>
          <w:bCs/>
          <w:szCs w:val="24"/>
          <w:lang w:eastAsia="en-GB"/>
        </w:rPr>
        <w:t xml:space="preserve"> first section of the Equality Act 2010 has been lying dormant</w:t>
      </w:r>
      <w:r w:rsidRPr="007C7BB9">
        <w:rPr>
          <w:rFonts w:ascii="Times New Roman" w:eastAsia="Times New Roman" w:hAnsi="Times New Roman" w:cs="Times New Roman"/>
          <w:bCs/>
          <w:szCs w:val="24"/>
          <w:lang w:eastAsia="en-GB"/>
        </w:rPr>
        <w:t xml:space="preserve"> </w:t>
      </w:r>
      <w:r w:rsidR="00426B4D" w:rsidRPr="007C7BB9">
        <w:rPr>
          <w:rFonts w:ascii="Times New Roman" w:eastAsia="Times New Roman" w:hAnsi="Times New Roman" w:cs="Times New Roman"/>
          <w:bCs/>
          <w:szCs w:val="24"/>
          <w:lang w:eastAsia="en-GB"/>
        </w:rPr>
        <w:t xml:space="preserve">in England </w:t>
      </w:r>
      <w:r w:rsidRPr="007C7BB9">
        <w:rPr>
          <w:rFonts w:ascii="Times New Roman" w:eastAsia="Times New Roman" w:hAnsi="Times New Roman" w:cs="Times New Roman"/>
          <w:bCs/>
          <w:szCs w:val="24"/>
          <w:lang w:eastAsia="en-GB"/>
        </w:rPr>
        <w:t xml:space="preserve">for </w:t>
      </w:r>
      <w:r w:rsidR="0037172B" w:rsidRPr="007C7BB9">
        <w:rPr>
          <w:rFonts w:ascii="Times New Roman" w:eastAsia="Times New Roman" w:hAnsi="Times New Roman" w:cs="Times New Roman"/>
          <w:bCs/>
          <w:szCs w:val="24"/>
          <w:lang w:eastAsia="en-GB"/>
        </w:rPr>
        <w:t>1</w:t>
      </w:r>
      <w:r w:rsidR="0037172B">
        <w:rPr>
          <w:rFonts w:ascii="Times New Roman" w:eastAsia="Times New Roman" w:hAnsi="Times New Roman" w:cs="Times New Roman"/>
          <w:bCs/>
          <w:szCs w:val="24"/>
          <w:lang w:eastAsia="en-GB"/>
        </w:rPr>
        <w:t>6</w:t>
      </w:r>
      <w:r w:rsidR="0037172B" w:rsidRPr="007C7BB9">
        <w:rPr>
          <w:rFonts w:ascii="Times New Roman" w:eastAsia="Times New Roman" w:hAnsi="Times New Roman" w:cs="Times New Roman"/>
          <w:bCs/>
          <w:szCs w:val="24"/>
          <w:lang w:eastAsia="en-GB"/>
        </w:rPr>
        <w:t xml:space="preserve"> </w:t>
      </w:r>
      <w:r w:rsidRPr="007C7BB9">
        <w:rPr>
          <w:rFonts w:ascii="Times New Roman" w:eastAsia="Times New Roman" w:hAnsi="Times New Roman" w:cs="Times New Roman"/>
          <w:bCs/>
          <w:szCs w:val="24"/>
          <w:lang w:eastAsia="en-GB"/>
        </w:rPr>
        <w:t>years</w:t>
      </w:r>
      <w:r w:rsidR="00313763" w:rsidRPr="007C7BB9">
        <w:rPr>
          <w:rFonts w:ascii="Times New Roman" w:eastAsia="Times New Roman" w:hAnsi="Times New Roman" w:cs="Times New Roman"/>
          <w:bCs/>
          <w:szCs w:val="24"/>
          <w:lang w:eastAsia="en-GB"/>
        </w:rPr>
        <w:t xml:space="preserve">. The </w:t>
      </w:r>
      <w:r w:rsidR="00BA4366">
        <w:rPr>
          <w:rFonts w:ascii="Times New Roman" w:eastAsia="Times New Roman" w:hAnsi="Times New Roman" w:cs="Times New Roman"/>
          <w:bCs/>
          <w:szCs w:val="24"/>
          <w:lang w:eastAsia="en-GB"/>
        </w:rPr>
        <w:t>‘</w:t>
      </w:r>
      <w:r w:rsidR="00426B4D" w:rsidRPr="007C7BB9">
        <w:rPr>
          <w:rFonts w:ascii="Times New Roman" w:eastAsia="Times New Roman" w:hAnsi="Times New Roman" w:cs="Times New Roman"/>
          <w:bCs/>
          <w:szCs w:val="24"/>
          <w:lang w:eastAsia="en-GB"/>
        </w:rPr>
        <w:t>public sector duty regarding socio-economic inequalities</w:t>
      </w:r>
      <w:r w:rsidR="00BA4366">
        <w:rPr>
          <w:rFonts w:ascii="Times New Roman" w:eastAsia="Times New Roman" w:hAnsi="Times New Roman" w:cs="Times New Roman"/>
          <w:bCs/>
          <w:szCs w:val="24"/>
          <w:lang w:eastAsia="en-GB"/>
        </w:rPr>
        <w:t>’</w:t>
      </w:r>
      <w:r w:rsidRPr="007C7BB9">
        <w:rPr>
          <w:rFonts w:ascii="Times New Roman" w:eastAsia="Times New Roman" w:hAnsi="Times New Roman" w:cs="Times New Roman"/>
          <w:bCs/>
          <w:szCs w:val="24"/>
          <w:lang w:eastAsia="en-GB"/>
        </w:rPr>
        <w:t xml:space="preserve"> </w:t>
      </w:r>
      <w:r w:rsidR="00313763" w:rsidRPr="007C7BB9">
        <w:rPr>
          <w:rFonts w:ascii="Times New Roman" w:eastAsia="Times New Roman" w:hAnsi="Times New Roman" w:cs="Times New Roman"/>
          <w:bCs/>
          <w:szCs w:val="24"/>
          <w:lang w:eastAsia="en-GB"/>
        </w:rPr>
        <w:t xml:space="preserve">was introduced by the Labour </w:t>
      </w:r>
      <w:r w:rsidR="0093613D">
        <w:rPr>
          <w:rFonts w:ascii="Times New Roman" w:eastAsia="Times New Roman" w:hAnsi="Times New Roman" w:cs="Times New Roman"/>
          <w:bCs/>
          <w:szCs w:val="24"/>
          <w:lang w:eastAsia="en-GB"/>
        </w:rPr>
        <w:t>government</w:t>
      </w:r>
      <w:r w:rsidR="00313763" w:rsidRPr="007C7BB9">
        <w:rPr>
          <w:rFonts w:ascii="Times New Roman" w:eastAsia="Times New Roman" w:hAnsi="Times New Roman" w:cs="Times New Roman"/>
          <w:bCs/>
          <w:szCs w:val="24"/>
          <w:lang w:eastAsia="en-GB"/>
        </w:rPr>
        <w:t xml:space="preserve"> in 2010</w:t>
      </w:r>
      <w:r w:rsidR="00B90C4D" w:rsidRPr="007C7BB9">
        <w:rPr>
          <w:rFonts w:ascii="Times New Roman" w:eastAsia="Times New Roman" w:hAnsi="Times New Roman" w:cs="Times New Roman"/>
          <w:bCs/>
          <w:szCs w:val="24"/>
          <w:lang w:eastAsia="en-GB"/>
        </w:rPr>
        <w:t xml:space="preserve"> as part of this landmark </w:t>
      </w:r>
      <w:r w:rsidR="00A16FD8">
        <w:rPr>
          <w:rFonts w:ascii="Times New Roman" w:eastAsia="Times New Roman" w:hAnsi="Times New Roman" w:cs="Times New Roman"/>
          <w:bCs/>
          <w:szCs w:val="24"/>
          <w:lang w:eastAsia="en-GB"/>
        </w:rPr>
        <w:t>legislation</w:t>
      </w:r>
      <w:r w:rsidR="00DC7CF3">
        <w:rPr>
          <w:rFonts w:ascii="Times New Roman" w:eastAsia="Times New Roman" w:hAnsi="Times New Roman" w:cs="Times New Roman"/>
          <w:bCs/>
          <w:szCs w:val="24"/>
          <w:lang w:eastAsia="en-GB"/>
        </w:rPr>
        <w:t>,</w:t>
      </w:r>
      <w:r w:rsidR="00A16FD8" w:rsidRPr="007C7BB9">
        <w:rPr>
          <w:rFonts w:ascii="Times New Roman" w:eastAsia="Times New Roman" w:hAnsi="Times New Roman" w:cs="Times New Roman"/>
          <w:bCs/>
          <w:szCs w:val="24"/>
          <w:lang w:eastAsia="en-GB"/>
        </w:rPr>
        <w:t xml:space="preserve"> </w:t>
      </w:r>
      <w:r w:rsidR="00313763" w:rsidRPr="007C7BB9">
        <w:rPr>
          <w:rFonts w:ascii="Times New Roman" w:eastAsia="Times New Roman" w:hAnsi="Times New Roman" w:cs="Times New Roman"/>
          <w:bCs/>
          <w:szCs w:val="24"/>
          <w:lang w:eastAsia="en-GB"/>
        </w:rPr>
        <w:t xml:space="preserve">but </w:t>
      </w:r>
      <w:r w:rsidR="00DC7CF3">
        <w:rPr>
          <w:rFonts w:ascii="Times New Roman" w:eastAsia="Times New Roman" w:hAnsi="Times New Roman" w:cs="Times New Roman"/>
          <w:bCs/>
          <w:szCs w:val="24"/>
          <w:lang w:eastAsia="en-GB"/>
        </w:rPr>
        <w:t xml:space="preserve">was </w:t>
      </w:r>
      <w:r w:rsidR="00313763" w:rsidRPr="007C7BB9">
        <w:rPr>
          <w:rFonts w:ascii="Times New Roman" w:eastAsia="Times New Roman" w:hAnsi="Times New Roman" w:cs="Times New Roman"/>
          <w:bCs/>
          <w:szCs w:val="24"/>
          <w:lang w:eastAsia="en-GB"/>
        </w:rPr>
        <w:t xml:space="preserve">shelved by the Conservative-led coalition that </w:t>
      </w:r>
      <w:r w:rsidR="00AC5EA8" w:rsidRPr="007C7BB9">
        <w:rPr>
          <w:rFonts w:ascii="Times New Roman" w:eastAsia="Times New Roman" w:hAnsi="Times New Roman" w:cs="Times New Roman"/>
          <w:bCs/>
          <w:szCs w:val="24"/>
          <w:lang w:eastAsia="en-GB"/>
        </w:rPr>
        <w:t>replaced them</w:t>
      </w:r>
      <w:r w:rsidR="00313763" w:rsidRPr="007C7BB9">
        <w:rPr>
          <w:rFonts w:ascii="Times New Roman" w:eastAsia="Times New Roman" w:hAnsi="Times New Roman" w:cs="Times New Roman"/>
          <w:bCs/>
          <w:szCs w:val="24"/>
          <w:lang w:eastAsia="en-GB"/>
        </w:rPr>
        <w:t xml:space="preserve">. Now, </w:t>
      </w:r>
      <w:r w:rsidR="00AC5EA8" w:rsidRPr="007C7BB9">
        <w:rPr>
          <w:rFonts w:ascii="Times New Roman" w:eastAsia="Times New Roman" w:hAnsi="Times New Roman" w:cs="Times New Roman"/>
          <w:bCs/>
          <w:szCs w:val="24"/>
          <w:lang w:eastAsia="en-GB"/>
        </w:rPr>
        <w:t xml:space="preserve">the </w:t>
      </w:r>
      <w:r w:rsidR="00313763" w:rsidRPr="007C7BB9">
        <w:rPr>
          <w:rFonts w:ascii="Times New Roman" w:eastAsia="Times New Roman" w:hAnsi="Times New Roman" w:cs="Times New Roman"/>
          <w:bCs/>
          <w:szCs w:val="24"/>
          <w:lang w:eastAsia="en-GB"/>
        </w:rPr>
        <w:t>Labour</w:t>
      </w:r>
      <w:r w:rsidR="00AC5EA8" w:rsidRPr="007C7BB9">
        <w:rPr>
          <w:rFonts w:ascii="Times New Roman" w:eastAsia="Times New Roman" w:hAnsi="Times New Roman" w:cs="Times New Roman"/>
          <w:bCs/>
          <w:szCs w:val="24"/>
          <w:lang w:eastAsia="en-GB"/>
        </w:rPr>
        <w:t xml:space="preserve"> </w:t>
      </w:r>
      <w:r w:rsidR="0093613D">
        <w:rPr>
          <w:rFonts w:ascii="Times New Roman" w:eastAsia="Times New Roman" w:hAnsi="Times New Roman" w:cs="Times New Roman"/>
          <w:bCs/>
          <w:szCs w:val="24"/>
          <w:lang w:eastAsia="en-GB"/>
        </w:rPr>
        <w:t>government</w:t>
      </w:r>
      <w:r w:rsidR="00313763" w:rsidRPr="007C7BB9">
        <w:rPr>
          <w:rFonts w:ascii="Times New Roman" w:eastAsia="Times New Roman" w:hAnsi="Times New Roman" w:cs="Times New Roman"/>
          <w:bCs/>
          <w:szCs w:val="24"/>
          <w:lang w:eastAsia="en-GB"/>
        </w:rPr>
        <w:t xml:space="preserve"> has pledged to revive it, </w:t>
      </w:r>
      <w:r w:rsidR="00A451CC" w:rsidRPr="007C7BB9">
        <w:rPr>
          <w:rFonts w:ascii="Times New Roman" w:eastAsia="Times New Roman" w:hAnsi="Times New Roman" w:cs="Times New Roman"/>
          <w:bCs/>
          <w:szCs w:val="24"/>
          <w:lang w:eastAsia="en-GB"/>
        </w:rPr>
        <w:t>committing</w:t>
      </w:r>
      <w:r w:rsidR="00313763" w:rsidRPr="007C7BB9">
        <w:rPr>
          <w:rFonts w:ascii="Times New Roman" w:eastAsia="Times New Roman" w:hAnsi="Times New Roman" w:cs="Times New Roman"/>
          <w:bCs/>
          <w:szCs w:val="24"/>
          <w:lang w:eastAsia="en-GB"/>
        </w:rPr>
        <w:t xml:space="preserve"> in their 2024 manifesto</w:t>
      </w:r>
      <w:r w:rsidR="00A451CC" w:rsidRPr="007C7BB9">
        <w:rPr>
          <w:rFonts w:ascii="Times New Roman" w:eastAsia="Times New Roman" w:hAnsi="Times New Roman" w:cs="Times New Roman"/>
          <w:bCs/>
          <w:szCs w:val="24"/>
          <w:lang w:eastAsia="en-GB"/>
        </w:rPr>
        <w:t xml:space="preserve"> that</w:t>
      </w:r>
      <w:r w:rsidR="00313763" w:rsidRPr="007C7BB9">
        <w:rPr>
          <w:rFonts w:ascii="Times New Roman" w:eastAsia="Times New Roman" w:hAnsi="Times New Roman" w:cs="Times New Roman"/>
          <w:bCs/>
          <w:szCs w:val="24"/>
          <w:lang w:eastAsia="en-GB"/>
        </w:rPr>
        <w:t xml:space="preserve">: </w:t>
      </w:r>
      <w:r w:rsidR="00BA4366">
        <w:rPr>
          <w:rFonts w:ascii="Times New Roman" w:eastAsia="Times New Roman" w:hAnsi="Times New Roman" w:cs="Times New Roman"/>
          <w:bCs/>
          <w:szCs w:val="24"/>
          <w:lang w:eastAsia="en-GB"/>
        </w:rPr>
        <w:t>‘</w:t>
      </w:r>
      <w:r w:rsidR="00313763" w:rsidRPr="007C7BB9">
        <w:rPr>
          <w:rFonts w:ascii="Times New Roman" w:eastAsia="Times New Roman" w:hAnsi="Times New Roman" w:cs="Times New Roman"/>
          <w:bCs/>
          <w:szCs w:val="24"/>
          <w:lang w:eastAsia="en-GB"/>
        </w:rPr>
        <w:t>Labour will ensure that, no matter your background, you can thrive, and we will enact the socio-economic duty in the Equality Act 2010</w:t>
      </w:r>
      <w:r w:rsidR="00BA4366">
        <w:rPr>
          <w:rFonts w:ascii="Times New Roman" w:eastAsia="Times New Roman" w:hAnsi="Times New Roman" w:cs="Times New Roman"/>
          <w:bCs/>
          <w:szCs w:val="24"/>
          <w:lang w:eastAsia="en-GB"/>
        </w:rPr>
        <w:t>’</w:t>
      </w:r>
      <w:r w:rsidR="00313763" w:rsidRPr="007C7BB9">
        <w:rPr>
          <w:rFonts w:ascii="Times New Roman" w:eastAsia="Times New Roman" w:hAnsi="Times New Roman" w:cs="Times New Roman"/>
          <w:bCs/>
          <w:szCs w:val="24"/>
          <w:lang w:eastAsia="en-GB"/>
        </w:rPr>
        <w:t>.</w:t>
      </w:r>
      <w:bookmarkStart w:id="0" w:name="_Ref196058915"/>
      <w:r w:rsidR="00C636F0" w:rsidRPr="007C7BB9">
        <w:rPr>
          <w:rStyle w:val="FootnoteReference"/>
          <w:rFonts w:ascii="Times New Roman" w:eastAsia="Times New Roman" w:hAnsi="Times New Roman" w:cs="Times New Roman"/>
          <w:bCs/>
          <w:szCs w:val="24"/>
          <w:lang w:eastAsia="en-GB"/>
        </w:rPr>
        <w:footnoteReference w:id="1"/>
      </w:r>
      <w:bookmarkEnd w:id="0"/>
      <w:r w:rsidR="00313763" w:rsidRPr="007C7BB9">
        <w:rPr>
          <w:rFonts w:ascii="Times New Roman" w:eastAsia="Times New Roman" w:hAnsi="Times New Roman" w:cs="Times New Roman"/>
          <w:bCs/>
          <w:szCs w:val="24"/>
          <w:lang w:eastAsia="en-GB"/>
        </w:rPr>
        <w:t xml:space="preserve"> </w:t>
      </w:r>
      <w:r w:rsidR="00C636F0" w:rsidRPr="007C7BB9">
        <w:rPr>
          <w:rFonts w:ascii="Times New Roman" w:eastAsia="Times New Roman" w:hAnsi="Times New Roman" w:cs="Times New Roman"/>
          <w:bCs/>
          <w:szCs w:val="24"/>
          <w:lang w:eastAsia="en-GB"/>
        </w:rPr>
        <w:t xml:space="preserve">Described variously as </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a legal duty to reduce inequality</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 xml:space="preserve">, </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 xml:space="preserve">socialism … made legally </w:t>
      </w:r>
      <w:r w:rsidR="00C636F0" w:rsidRPr="007C7BB9">
        <w:rPr>
          <w:rFonts w:ascii="Times New Roman" w:eastAsia="Times New Roman" w:hAnsi="Times New Roman" w:cs="Times New Roman"/>
          <w:bCs/>
          <w:szCs w:val="24"/>
          <w:lang w:eastAsia="en-GB"/>
        </w:rPr>
        <w:lastRenderedPageBreak/>
        <w:t>enforceable</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 xml:space="preserve"> and </w:t>
      </w:r>
      <w:r w:rsidR="00426B4D" w:rsidRPr="007C7BB9">
        <w:rPr>
          <w:rFonts w:ascii="Times New Roman" w:eastAsia="Times New Roman" w:hAnsi="Times New Roman" w:cs="Times New Roman"/>
          <w:bCs/>
          <w:szCs w:val="24"/>
          <w:lang w:eastAsia="en-GB"/>
        </w:rPr>
        <w:t xml:space="preserve">a measure that </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potentially criminalises inequalities</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 commentary on its enactment has sometimes been divorced from the</w:t>
      </w:r>
      <w:r w:rsidR="00B90C4D" w:rsidRPr="007C7BB9">
        <w:rPr>
          <w:rFonts w:ascii="Times New Roman" w:eastAsia="Times New Roman" w:hAnsi="Times New Roman" w:cs="Times New Roman"/>
          <w:bCs/>
          <w:szCs w:val="24"/>
          <w:lang w:eastAsia="en-GB"/>
        </w:rPr>
        <w:t xml:space="preserve"> reality of the</w:t>
      </w:r>
      <w:r w:rsidR="00C636F0" w:rsidRPr="007C7BB9">
        <w:rPr>
          <w:rFonts w:ascii="Times New Roman" w:eastAsia="Times New Roman" w:hAnsi="Times New Roman" w:cs="Times New Roman"/>
          <w:bCs/>
          <w:szCs w:val="24"/>
          <w:lang w:eastAsia="en-GB"/>
        </w:rPr>
        <w:t xml:space="preserve"> duty</w:t>
      </w:r>
      <w:r w:rsidR="00BA4366">
        <w:rPr>
          <w:rFonts w:ascii="Times New Roman" w:eastAsia="Times New Roman" w:hAnsi="Times New Roman" w:cs="Times New Roman"/>
          <w:bCs/>
          <w:szCs w:val="24"/>
          <w:lang w:eastAsia="en-GB"/>
        </w:rPr>
        <w:t>’</w:t>
      </w:r>
      <w:r w:rsidR="00C636F0" w:rsidRPr="007C7BB9">
        <w:rPr>
          <w:rFonts w:ascii="Times New Roman" w:eastAsia="Times New Roman" w:hAnsi="Times New Roman" w:cs="Times New Roman"/>
          <w:bCs/>
          <w:szCs w:val="24"/>
          <w:lang w:eastAsia="en-GB"/>
        </w:rPr>
        <w:t xml:space="preserve">s aims, its construction and the lessons learnt from its </w:t>
      </w:r>
      <w:r w:rsidR="00B666B4">
        <w:rPr>
          <w:rFonts w:ascii="Times New Roman" w:eastAsia="Times New Roman" w:hAnsi="Times New Roman" w:cs="Times New Roman"/>
          <w:bCs/>
          <w:szCs w:val="24"/>
          <w:lang w:eastAsia="en-GB"/>
        </w:rPr>
        <w:t xml:space="preserve">recent </w:t>
      </w:r>
      <w:r w:rsidR="00C636F0" w:rsidRPr="007C7BB9">
        <w:rPr>
          <w:rFonts w:ascii="Times New Roman" w:eastAsia="Times New Roman" w:hAnsi="Times New Roman" w:cs="Times New Roman"/>
          <w:bCs/>
          <w:szCs w:val="24"/>
          <w:lang w:eastAsia="en-GB"/>
        </w:rPr>
        <w:t xml:space="preserve">implementation </w:t>
      </w:r>
      <w:r w:rsidR="00AC5EA8" w:rsidRPr="007C7BB9">
        <w:rPr>
          <w:rFonts w:ascii="Times New Roman" w:eastAsia="Times New Roman" w:hAnsi="Times New Roman" w:cs="Times New Roman"/>
          <w:bCs/>
          <w:szCs w:val="24"/>
          <w:lang w:eastAsia="en-GB"/>
        </w:rPr>
        <w:t>in Scotland and Wales</w:t>
      </w:r>
      <w:r w:rsidR="00C636F0" w:rsidRPr="007C7BB9">
        <w:rPr>
          <w:rFonts w:ascii="Times New Roman" w:eastAsia="Times New Roman" w:hAnsi="Times New Roman" w:cs="Times New Roman"/>
          <w:bCs/>
          <w:szCs w:val="24"/>
          <w:lang w:eastAsia="en-GB"/>
        </w:rPr>
        <w:t>.</w:t>
      </w:r>
      <w:bookmarkStart w:id="1" w:name="_Ref194746996"/>
      <w:r w:rsidR="00C636F0" w:rsidRPr="007C7BB9">
        <w:rPr>
          <w:rStyle w:val="FootnoteReference"/>
          <w:rFonts w:ascii="Times New Roman" w:eastAsia="Times New Roman" w:hAnsi="Times New Roman" w:cs="Times New Roman"/>
          <w:bCs/>
          <w:szCs w:val="24"/>
          <w:lang w:eastAsia="en-GB"/>
        </w:rPr>
        <w:footnoteReference w:id="2"/>
      </w:r>
      <w:bookmarkEnd w:id="1"/>
    </w:p>
    <w:p w14:paraId="36C9B428" w14:textId="29F5B1DE" w:rsidR="00A716A5" w:rsidRPr="007C7BB9" w:rsidRDefault="00BC0646" w:rsidP="00BA2D09">
      <w:pPr>
        <w:rPr>
          <w:rFonts w:ascii="Times New Roman" w:eastAsia="Times New Roman" w:hAnsi="Times New Roman" w:cs="Times New Roman"/>
          <w:bCs/>
          <w:szCs w:val="24"/>
          <w:lang w:eastAsia="en-GB"/>
        </w:rPr>
      </w:pPr>
      <w:r w:rsidRPr="007C7BB9">
        <w:rPr>
          <w:rFonts w:ascii="Times New Roman" w:eastAsia="Times New Roman" w:hAnsi="Times New Roman" w:cs="Times New Roman"/>
          <w:bCs/>
          <w:szCs w:val="24"/>
          <w:lang w:eastAsia="en-GB"/>
        </w:rPr>
        <w:t xml:space="preserve">The reality is far from this caricature of </w:t>
      </w:r>
      <w:r w:rsidR="002A2D3F" w:rsidRPr="007C7BB9">
        <w:rPr>
          <w:rFonts w:ascii="Times New Roman" w:eastAsia="Times New Roman" w:hAnsi="Times New Roman" w:cs="Times New Roman"/>
          <w:bCs/>
          <w:szCs w:val="24"/>
          <w:lang w:eastAsia="en-GB"/>
        </w:rPr>
        <w:t xml:space="preserve">a </w:t>
      </w:r>
      <w:r w:rsidR="00441506" w:rsidRPr="007C7BB9">
        <w:rPr>
          <w:rFonts w:ascii="Times New Roman" w:eastAsia="Times New Roman" w:hAnsi="Times New Roman" w:cs="Times New Roman"/>
          <w:bCs/>
          <w:szCs w:val="24"/>
          <w:lang w:eastAsia="en-GB"/>
        </w:rPr>
        <w:t xml:space="preserve">regulation </w:t>
      </w:r>
      <w:r w:rsidRPr="007C7BB9">
        <w:rPr>
          <w:rFonts w:ascii="Times New Roman" w:eastAsia="Times New Roman" w:hAnsi="Times New Roman" w:cs="Times New Roman"/>
          <w:bCs/>
          <w:szCs w:val="24"/>
          <w:lang w:eastAsia="en-GB"/>
        </w:rPr>
        <w:t>to</w:t>
      </w:r>
      <w:r w:rsidR="008411C6" w:rsidRPr="007C7BB9">
        <w:rPr>
          <w:rFonts w:ascii="Times New Roman" w:eastAsia="Times New Roman" w:hAnsi="Times New Roman" w:cs="Times New Roman"/>
          <w:bCs/>
          <w:szCs w:val="24"/>
          <w:lang w:eastAsia="en-GB"/>
        </w:rPr>
        <w:t xml:space="preserve"> </w:t>
      </w:r>
      <w:r w:rsidR="00BA4366">
        <w:rPr>
          <w:rFonts w:ascii="Times New Roman" w:eastAsia="Times New Roman" w:hAnsi="Times New Roman" w:cs="Times New Roman"/>
          <w:bCs/>
          <w:szCs w:val="24"/>
          <w:lang w:eastAsia="en-GB"/>
        </w:rPr>
        <w:t>‘</w:t>
      </w:r>
      <w:r w:rsidRPr="007C7BB9">
        <w:rPr>
          <w:rFonts w:ascii="Times New Roman" w:eastAsia="Times New Roman" w:hAnsi="Times New Roman" w:cs="Times New Roman"/>
          <w:bCs/>
          <w:szCs w:val="24"/>
          <w:lang w:eastAsia="en-GB"/>
        </w:rPr>
        <w:t>help make austerity unlawful</w:t>
      </w:r>
      <w:r w:rsidR="00BA4366">
        <w:rPr>
          <w:rFonts w:ascii="Times New Roman" w:eastAsia="Times New Roman" w:hAnsi="Times New Roman" w:cs="Times New Roman"/>
          <w:bCs/>
          <w:szCs w:val="24"/>
          <w:lang w:eastAsia="en-GB"/>
        </w:rPr>
        <w:t>’</w:t>
      </w:r>
      <w:r w:rsidRPr="007C7BB9">
        <w:rPr>
          <w:rFonts w:ascii="Times New Roman" w:eastAsia="Times New Roman" w:hAnsi="Times New Roman" w:cs="Times New Roman"/>
          <w:bCs/>
          <w:szCs w:val="24"/>
          <w:lang w:eastAsia="en-GB"/>
        </w:rPr>
        <w:t>.</w:t>
      </w:r>
      <w:r w:rsidRPr="007C7BB9">
        <w:rPr>
          <w:rStyle w:val="FootnoteReference"/>
          <w:rFonts w:ascii="Times New Roman" w:eastAsia="Times New Roman" w:hAnsi="Times New Roman" w:cs="Times New Roman"/>
          <w:bCs/>
          <w:szCs w:val="24"/>
          <w:lang w:eastAsia="en-GB"/>
        </w:rPr>
        <w:footnoteReference w:id="3"/>
      </w:r>
      <w:r w:rsidRPr="007C7BB9">
        <w:rPr>
          <w:rFonts w:ascii="Times New Roman" w:eastAsia="Times New Roman" w:hAnsi="Times New Roman" w:cs="Times New Roman"/>
          <w:bCs/>
          <w:szCs w:val="24"/>
          <w:lang w:eastAsia="en-GB"/>
        </w:rPr>
        <w:t xml:space="preserve"> Instead, </w:t>
      </w:r>
      <w:r w:rsidR="00B90C4D" w:rsidRPr="007C7BB9">
        <w:rPr>
          <w:rFonts w:ascii="Times New Roman" w:eastAsia="Times New Roman" w:hAnsi="Times New Roman" w:cs="Times New Roman"/>
          <w:bCs/>
          <w:szCs w:val="24"/>
          <w:lang w:eastAsia="en-GB"/>
        </w:rPr>
        <w:t xml:space="preserve">the </w:t>
      </w:r>
      <w:r w:rsidR="00BA4366">
        <w:rPr>
          <w:rFonts w:ascii="Times New Roman" w:eastAsia="Times New Roman" w:hAnsi="Times New Roman" w:cs="Times New Roman"/>
          <w:bCs/>
          <w:szCs w:val="24"/>
          <w:lang w:eastAsia="en-GB"/>
        </w:rPr>
        <w:t>‘</w:t>
      </w:r>
      <w:r w:rsidR="00B90C4D" w:rsidRPr="007C7BB9">
        <w:rPr>
          <w:rFonts w:ascii="Times New Roman" w:eastAsia="Times New Roman" w:hAnsi="Times New Roman" w:cs="Times New Roman"/>
          <w:bCs/>
          <w:szCs w:val="24"/>
          <w:lang w:eastAsia="en-GB"/>
        </w:rPr>
        <w:t>socio-economic duty</w:t>
      </w:r>
      <w:r w:rsidR="00BA4366">
        <w:rPr>
          <w:rFonts w:ascii="Times New Roman" w:eastAsia="Times New Roman" w:hAnsi="Times New Roman" w:cs="Times New Roman"/>
          <w:bCs/>
          <w:szCs w:val="24"/>
          <w:lang w:eastAsia="en-GB"/>
        </w:rPr>
        <w:t>’</w:t>
      </w:r>
      <w:r w:rsidR="00B90C4D" w:rsidRPr="007C7BB9">
        <w:rPr>
          <w:rFonts w:ascii="Times New Roman" w:eastAsia="Times New Roman" w:hAnsi="Times New Roman" w:cs="Times New Roman"/>
          <w:bCs/>
          <w:szCs w:val="24"/>
          <w:lang w:eastAsia="en-GB"/>
        </w:rPr>
        <w:t xml:space="preserve"> </w:t>
      </w:r>
      <w:r w:rsidRPr="007C7BB9">
        <w:rPr>
          <w:rFonts w:ascii="Times New Roman" w:eastAsia="Times New Roman" w:hAnsi="Times New Roman" w:cs="Times New Roman"/>
          <w:bCs/>
          <w:szCs w:val="24"/>
          <w:lang w:eastAsia="en-GB"/>
        </w:rPr>
        <w:t>is part of the same family of process</w:t>
      </w:r>
      <w:r w:rsidR="00DC7CF3">
        <w:rPr>
          <w:rFonts w:ascii="Times New Roman" w:eastAsia="Times New Roman" w:hAnsi="Times New Roman" w:cs="Times New Roman"/>
          <w:bCs/>
          <w:szCs w:val="24"/>
          <w:lang w:eastAsia="en-GB"/>
        </w:rPr>
        <w:t>-</w:t>
      </w:r>
      <w:r w:rsidRPr="007C7BB9">
        <w:rPr>
          <w:rFonts w:ascii="Times New Roman" w:eastAsia="Times New Roman" w:hAnsi="Times New Roman" w:cs="Times New Roman"/>
          <w:bCs/>
          <w:szCs w:val="24"/>
          <w:lang w:eastAsia="en-GB"/>
        </w:rPr>
        <w:t xml:space="preserve">orientated duties reflected elsewhere in discrimination law across the UK and </w:t>
      </w:r>
      <w:r w:rsidR="00FA0E31">
        <w:rPr>
          <w:rFonts w:ascii="Times New Roman" w:eastAsia="Times New Roman" w:hAnsi="Times New Roman" w:cs="Times New Roman"/>
          <w:bCs/>
          <w:szCs w:val="24"/>
          <w:lang w:eastAsia="en-GB"/>
        </w:rPr>
        <w:t xml:space="preserve">in </w:t>
      </w:r>
      <w:r w:rsidRPr="007C7BB9">
        <w:rPr>
          <w:rFonts w:ascii="Times New Roman" w:eastAsia="Times New Roman" w:hAnsi="Times New Roman" w:cs="Times New Roman"/>
          <w:bCs/>
          <w:szCs w:val="24"/>
          <w:lang w:eastAsia="en-GB"/>
        </w:rPr>
        <w:t xml:space="preserve">the Equality Act 2010 </w:t>
      </w:r>
      <w:r w:rsidR="00441506" w:rsidRPr="007C7BB9">
        <w:rPr>
          <w:rFonts w:ascii="Times New Roman" w:eastAsia="Times New Roman" w:hAnsi="Times New Roman" w:cs="Times New Roman"/>
          <w:bCs/>
          <w:szCs w:val="24"/>
          <w:lang w:eastAsia="en-GB"/>
        </w:rPr>
        <w:t>itself</w:t>
      </w:r>
      <w:r w:rsidRPr="007C7BB9">
        <w:rPr>
          <w:rFonts w:ascii="Times New Roman" w:eastAsia="Times New Roman" w:hAnsi="Times New Roman" w:cs="Times New Roman"/>
          <w:bCs/>
          <w:szCs w:val="24"/>
          <w:lang w:eastAsia="en-GB"/>
        </w:rPr>
        <w:t>.</w:t>
      </w:r>
      <w:bookmarkStart w:id="2" w:name="_Ref194769597"/>
      <w:r w:rsidRPr="007C7BB9">
        <w:rPr>
          <w:rStyle w:val="FootnoteReference"/>
          <w:rFonts w:ascii="Times New Roman" w:eastAsia="Times New Roman" w:hAnsi="Times New Roman" w:cs="Times New Roman"/>
          <w:bCs/>
          <w:szCs w:val="24"/>
          <w:lang w:eastAsia="en-GB"/>
        </w:rPr>
        <w:footnoteReference w:id="4"/>
      </w:r>
      <w:bookmarkEnd w:id="2"/>
      <w:r w:rsidR="004253B4" w:rsidRPr="007C7BB9">
        <w:rPr>
          <w:rFonts w:ascii="Times New Roman" w:eastAsia="Times New Roman" w:hAnsi="Times New Roman" w:cs="Times New Roman"/>
          <w:bCs/>
          <w:szCs w:val="24"/>
          <w:lang w:eastAsia="en-GB"/>
        </w:rPr>
        <w:t xml:space="preserve"> </w:t>
      </w:r>
      <w:r w:rsidR="00A272E0">
        <w:rPr>
          <w:rFonts w:ascii="Times New Roman" w:eastAsia="Times New Roman" w:hAnsi="Times New Roman" w:cs="Times New Roman"/>
          <w:bCs/>
          <w:szCs w:val="24"/>
          <w:lang w:eastAsia="en-GB"/>
        </w:rPr>
        <w:t>As</w:t>
      </w:r>
      <w:r w:rsidR="00441506" w:rsidRPr="007C7BB9">
        <w:rPr>
          <w:rFonts w:ascii="Times New Roman" w:eastAsia="Times New Roman" w:hAnsi="Times New Roman" w:cs="Times New Roman"/>
          <w:bCs/>
          <w:szCs w:val="24"/>
          <w:lang w:eastAsia="en-GB"/>
        </w:rPr>
        <w:t xml:space="preserve"> a</w:t>
      </w:r>
      <w:r w:rsidR="004253B4" w:rsidRPr="007C7BB9">
        <w:rPr>
          <w:rFonts w:ascii="Times New Roman" w:eastAsia="Times New Roman" w:hAnsi="Times New Roman" w:cs="Times New Roman"/>
          <w:bCs/>
          <w:szCs w:val="24"/>
          <w:lang w:eastAsia="en-GB"/>
        </w:rPr>
        <w:t xml:space="preserve"> softer </w:t>
      </w:r>
      <w:r w:rsidR="00A272E0">
        <w:rPr>
          <w:rFonts w:ascii="Times New Roman" w:eastAsia="Times New Roman" w:hAnsi="Times New Roman" w:cs="Times New Roman"/>
          <w:bCs/>
          <w:szCs w:val="24"/>
          <w:lang w:eastAsia="en-GB"/>
        </w:rPr>
        <w:t>rendering</w:t>
      </w:r>
      <w:r w:rsidR="004253B4" w:rsidRPr="007C7BB9">
        <w:rPr>
          <w:rFonts w:ascii="Times New Roman" w:eastAsia="Times New Roman" w:hAnsi="Times New Roman" w:cs="Times New Roman"/>
          <w:bCs/>
          <w:szCs w:val="24"/>
          <w:lang w:eastAsia="en-GB"/>
        </w:rPr>
        <w:t xml:space="preserve"> of the</w:t>
      </w:r>
      <w:r w:rsidR="00441506" w:rsidRPr="007C7BB9">
        <w:rPr>
          <w:rFonts w:ascii="Times New Roman" w:eastAsia="Times New Roman" w:hAnsi="Times New Roman" w:cs="Times New Roman"/>
          <w:bCs/>
          <w:szCs w:val="24"/>
          <w:lang w:eastAsia="en-GB"/>
        </w:rPr>
        <w:t xml:space="preserve"> </w:t>
      </w:r>
      <w:r w:rsidR="00BA4366">
        <w:rPr>
          <w:rFonts w:ascii="Times New Roman" w:eastAsia="Times New Roman" w:hAnsi="Times New Roman" w:cs="Times New Roman"/>
          <w:bCs/>
          <w:szCs w:val="24"/>
          <w:lang w:eastAsia="en-GB"/>
        </w:rPr>
        <w:t>‘</w:t>
      </w:r>
      <w:r w:rsidR="00441506" w:rsidRPr="007C7BB9">
        <w:rPr>
          <w:rFonts w:ascii="Times New Roman" w:eastAsia="Times New Roman" w:hAnsi="Times New Roman" w:cs="Times New Roman"/>
          <w:bCs/>
          <w:szCs w:val="24"/>
          <w:lang w:eastAsia="en-GB"/>
        </w:rPr>
        <w:t>due regard</w:t>
      </w:r>
      <w:r w:rsidR="00BA4366">
        <w:rPr>
          <w:rFonts w:ascii="Times New Roman" w:eastAsia="Times New Roman" w:hAnsi="Times New Roman" w:cs="Times New Roman"/>
          <w:bCs/>
          <w:szCs w:val="24"/>
          <w:lang w:eastAsia="en-GB"/>
        </w:rPr>
        <w:t>’</w:t>
      </w:r>
      <w:r w:rsidR="004253B4" w:rsidRPr="007C7BB9">
        <w:rPr>
          <w:rFonts w:ascii="Times New Roman" w:eastAsia="Times New Roman" w:hAnsi="Times New Roman" w:cs="Times New Roman"/>
          <w:bCs/>
          <w:szCs w:val="24"/>
          <w:lang w:eastAsia="en-GB"/>
        </w:rPr>
        <w:t xml:space="preserve"> formulation in the Public Sector Equality Duty</w:t>
      </w:r>
      <w:r w:rsidR="005037FE">
        <w:rPr>
          <w:rFonts w:ascii="Times New Roman" w:eastAsia="Times New Roman" w:hAnsi="Times New Roman" w:cs="Times New Roman"/>
          <w:bCs/>
          <w:szCs w:val="24"/>
          <w:lang w:eastAsia="en-GB"/>
        </w:rPr>
        <w:t xml:space="preserve"> (PSED)</w:t>
      </w:r>
      <w:r w:rsidR="004253B4" w:rsidRPr="007C7BB9">
        <w:rPr>
          <w:rFonts w:ascii="Times New Roman" w:eastAsia="Times New Roman" w:hAnsi="Times New Roman" w:cs="Times New Roman"/>
          <w:bCs/>
          <w:szCs w:val="24"/>
          <w:lang w:eastAsia="en-GB"/>
        </w:rPr>
        <w:t xml:space="preserve"> unde</w:t>
      </w:r>
      <w:r w:rsidR="004253B4" w:rsidRPr="00BA2D09">
        <w:t>r</w:t>
      </w:r>
      <w:r w:rsidR="00DC7CF3" w:rsidRPr="00BA2D09">
        <w:t xml:space="preserve"> </w:t>
      </w:r>
      <w:r w:rsidR="00DC7CF3" w:rsidRPr="00DC7CF3">
        <w:t xml:space="preserve">section </w:t>
      </w:r>
      <w:r w:rsidR="004253B4" w:rsidRPr="00BA2D09">
        <w:t>149, it requires certain specified public bodies</w:t>
      </w:r>
      <w:r w:rsidR="00265B1B">
        <w:t>—</w:t>
      </w:r>
      <w:r w:rsidR="00265B1B" w:rsidRPr="00DC7CF3">
        <w:t>government</w:t>
      </w:r>
      <w:r w:rsidR="00265B1B" w:rsidRPr="00BA2D09">
        <w:t xml:space="preserve"> </w:t>
      </w:r>
      <w:r w:rsidR="004253B4" w:rsidRPr="00BA2D09">
        <w:t xml:space="preserve">ministers </w:t>
      </w:r>
      <w:r w:rsidR="004253B4" w:rsidRPr="007C7BB9">
        <w:rPr>
          <w:rFonts w:ascii="Times New Roman" w:eastAsia="Times New Roman" w:hAnsi="Times New Roman" w:cs="Times New Roman"/>
          <w:bCs/>
          <w:szCs w:val="24"/>
          <w:lang w:eastAsia="en-GB"/>
        </w:rPr>
        <w:t>and departments, local authorities, the police</w:t>
      </w:r>
      <w:r w:rsidR="00695935">
        <w:rPr>
          <w:rFonts w:ascii="Times New Roman" w:eastAsia="Times New Roman" w:hAnsi="Times New Roman" w:cs="Times New Roman"/>
          <w:bCs/>
          <w:szCs w:val="24"/>
          <w:lang w:eastAsia="en-GB"/>
        </w:rPr>
        <w:t xml:space="preserve"> and so on</w:t>
      </w:r>
      <w:r w:rsidR="00265B1B">
        <w:rPr>
          <w:rFonts w:ascii="Times New Roman" w:eastAsia="Times New Roman" w:hAnsi="Times New Roman" w:cs="Times New Roman"/>
          <w:bCs/>
          <w:szCs w:val="24"/>
          <w:lang w:eastAsia="en-GB"/>
        </w:rPr>
        <w:t>—</w:t>
      </w:r>
      <w:r w:rsidR="00BA4366">
        <w:rPr>
          <w:rFonts w:ascii="Times New Roman" w:eastAsia="Times New Roman" w:hAnsi="Times New Roman" w:cs="Times New Roman"/>
          <w:bCs/>
          <w:szCs w:val="24"/>
          <w:lang w:eastAsia="en-GB"/>
        </w:rPr>
        <w:t>‘</w:t>
      </w:r>
      <w:r w:rsidR="00F53A45" w:rsidRPr="007C7BB9">
        <w:rPr>
          <w:rFonts w:ascii="Times New Roman" w:eastAsia="Times New Roman" w:hAnsi="Times New Roman" w:cs="Times New Roman"/>
          <w:bCs/>
          <w:szCs w:val="24"/>
          <w:lang w:eastAsia="en-GB"/>
        </w:rPr>
        <w:t>when making decisions of a strategic nature about how to exercise [their] functions</w:t>
      </w:r>
      <w:r w:rsidR="00BA4366">
        <w:rPr>
          <w:rFonts w:ascii="Times New Roman" w:eastAsia="Times New Roman" w:hAnsi="Times New Roman" w:cs="Times New Roman"/>
          <w:bCs/>
          <w:szCs w:val="24"/>
          <w:lang w:eastAsia="en-GB"/>
        </w:rPr>
        <w:t>’</w:t>
      </w:r>
      <w:r w:rsidR="00F53A45" w:rsidRPr="007C7BB9">
        <w:rPr>
          <w:rFonts w:ascii="Times New Roman" w:eastAsia="Times New Roman" w:hAnsi="Times New Roman" w:cs="Times New Roman"/>
          <w:bCs/>
          <w:szCs w:val="24"/>
          <w:lang w:eastAsia="en-GB"/>
        </w:rPr>
        <w:t xml:space="preserve">, </w:t>
      </w:r>
      <w:r w:rsidR="000D444D" w:rsidRPr="007C7BB9">
        <w:rPr>
          <w:rFonts w:ascii="Times New Roman" w:eastAsia="Times New Roman" w:hAnsi="Times New Roman" w:cs="Times New Roman"/>
          <w:bCs/>
          <w:szCs w:val="24"/>
          <w:lang w:eastAsia="en-GB"/>
        </w:rPr>
        <w:t xml:space="preserve">to </w:t>
      </w:r>
      <w:r w:rsidR="00F53A45" w:rsidRPr="007C7BB9">
        <w:rPr>
          <w:rFonts w:ascii="Times New Roman" w:eastAsia="Times New Roman" w:hAnsi="Times New Roman" w:cs="Times New Roman"/>
          <w:bCs/>
          <w:szCs w:val="24"/>
          <w:lang w:eastAsia="en-GB"/>
        </w:rPr>
        <w:t xml:space="preserve">have </w:t>
      </w:r>
      <w:r w:rsidR="00BA4366">
        <w:rPr>
          <w:rFonts w:ascii="Times New Roman" w:eastAsia="Times New Roman" w:hAnsi="Times New Roman" w:cs="Times New Roman"/>
          <w:bCs/>
          <w:szCs w:val="24"/>
          <w:lang w:eastAsia="en-GB"/>
        </w:rPr>
        <w:t>‘</w:t>
      </w:r>
      <w:r w:rsidR="00F53A45" w:rsidRPr="007C7BB9">
        <w:rPr>
          <w:rFonts w:ascii="Times New Roman" w:eastAsia="Times New Roman" w:hAnsi="Times New Roman" w:cs="Times New Roman"/>
          <w:bCs/>
          <w:szCs w:val="24"/>
          <w:lang w:eastAsia="en-GB"/>
        </w:rPr>
        <w:t>due regard to the desirability of exercising them in a way that is designed to reduce the inequalities of outcome which result from socio-economic disadvantage</w:t>
      </w:r>
      <w:r w:rsidR="00BA4366">
        <w:rPr>
          <w:rFonts w:ascii="Times New Roman" w:eastAsia="Times New Roman" w:hAnsi="Times New Roman" w:cs="Times New Roman"/>
          <w:bCs/>
          <w:szCs w:val="24"/>
          <w:lang w:eastAsia="en-GB"/>
        </w:rPr>
        <w:t>’</w:t>
      </w:r>
      <w:r w:rsidR="00265B1B">
        <w:rPr>
          <w:rFonts w:ascii="Times New Roman" w:eastAsia="Times New Roman" w:hAnsi="Times New Roman" w:cs="Times New Roman"/>
          <w:bCs/>
          <w:szCs w:val="24"/>
          <w:lang w:eastAsia="en-GB"/>
        </w:rPr>
        <w:t>.</w:t>
      </w:r>
      <w:r w:rsidR="0074401D" w:rsidRPr="007C7BB9">
        <w:rPr>
          <w:rStyle w:val="FootnoteReference"/>
          <w:rFonts w:ascii="Times New Roman" w:eastAsia="Times New Roman" w:hAnsi="Times New Roman" w:cs="Times New Roman"/>
          <w:bCs/>
          <w:szCs w:val="24"/>
          <w:lang w:eastAsia="en-GB"/>
        </w:rPr>
        <w:footnoteReference w:id="5"/>
      </w:r>
      <w:r w:rsidR="00D97808" w:rsidRPr="007C7BB9">
        <w:rPr>
          <w:rFonts w:ascii="Times New Roman" w:eastAsia="Times New Roman" w:hAnsi="Times New Roman" w:cs="Times New Roman"/>
          <w:bCs/>
          <w:szCs w:val="24"/>
          <w:lang w:eastAsia="en-GB"/>
        </w:rPr>
        <w:t xml:space="preserve"> </w:t>
      </w:r>
      <w:r w:rsidR="00441506" w:rsidRPr="007C7BB9">
        <w:rPr>
          <w:rFonts w:ascii="Times New Roman" w:eastAsia="Times New Roman" w:hAnsi="Times New Roman" w:cs="Times New Roman"/>
          <w:bCs/>
          <w:szCs w:val="24"/>
          <w:lang w:eastAsia="en-GB"/>
        </w:rPr>
        <w:t>In its echoes of the PSED, t</w:t>
      </w:r>
      <w:r w:rsidR="00D97808" w:rsidRPr="007C7BB9">
        <w:rPr>
          <w:rFonts w:ascii="Times New Roman" w:eastAsia="Times New Roman" w:hAnsi="Times New Roman" w:cs="Times New Roman"/>
          <w:bCs/>
          <w:szCs w:val="24"/>
          <w:lang w:eastAsia="en-GB"/>
        </w:rPr>
        <w:t>he commencement of this duty is</w:t>
      </w:r>
      <w:r w:rsidR="000D444D" w:rsidRPr="007C7BB9">
        <w:rPr>
          <w:rFonts w:ascii="Times New Roman" w:eastAsia="Times New Roman" w:hAnsi="Times New Roman" w:cs="Times New Roman"/>
          <w:bCs/>
          <w:szCs w:val="24"/>
          <w:lang w:eastAsia="en-GB"/>
        </w:rPr>
        <w:t xml:space="preserve"> part</w:t>
      </w:r>
      <w:r w:rsidR="00265B1B">
        <w:rPr>
          <w:rFonts w:ascii="Times New Roman" w:eastAsia="Times New Roman" w:hAnsi="Times New Roman" w:cs="Times New Roman"/>
          <w:bCs/>
          <w:szCs w:val="24"/>
          <w:lang w:eastAsia="en-GB"/>
        </w:rPr>
        <w:t xml:space="preserve"> </w:t>
      </w:r>
      <w:r w:rsidR="000D444D" w:rsidRPr="007C7BB9">
        <w:rPr>
          <w:rFonts w:ascii="Times New Roman" w:eastAsia="Times New Roman" w:hAnsi="Times New Roman" w:cs="Times New Roman"/>
          <w:bCs/>
          <w:szCs w:val="24"/>
          <w:lang w:eastAsia="en-GB"/>
        </w:rPr>
        <w:t>and</w:t>
      </w:r>
      <w:r w:rsidR="00265B1B">
        <w:rPr>
          <w:rFonts w:ascii="Times New Roman" w:eastAsia="Times New Roman" w:hAnsi="Times New Roman" w:cs="Times New Roman"/>
          <w:bCs/>
          <w:szCs w:val="24"/>
          <w:lang w:eastAsia="en-GB"/>
        </w:rPr>
        <w:t xml:space="preserve"> </w:t>
      </w:r>
      <w:r w:rsidR="000D444D" w:rsidRPr="007C7BB9">
        <w:rPr>
          <w:rFonts w:ascii="Times New Roman" w:eastAsia="Times New Roman" w:hAnsi="Times New Roman" w:cs="Times New Roman"/>
          <w:bCs/>
          <w:szCs w:val="24"/>
          <w:lang w:eastAsia="en-GB"/>
        </w:rPr>
        <w:t xml:space="preserve">parcel of </w:t>
      </w:r>
      <w:r w:rsidR="00D97808" w:rsidRPr="007C7BB9">
        <w:rPr>
          <w:rFonts w:ascii="Times New Roman" w:eastAsia="Times New Roman" w:hAnsi="Times New Roman" w:cs="Times New Roman"/>
          <w:bCs/>
          <w:szCs w:val="24"/>
          <w:lang w:eastAsia="en-GB"/>
        </w:rPr>
        <w:t xml:space="preserve">a longer-standing </w:t>
      </w:r>
      <w:r w:rsidR="00BA4366">
        <w:rPr>
          <w:rFonts w:ascii="Times New Roman" w:eastAsia="Times New Roman" w:hAnsi="Times New Roman" w:cs="Times New Roman"/>
          <w:bCs/>
          <w:szCs w:val="24"/>
          <w:lang w:eastAsia="en-GB"/>
        </w:rPr>
        <w:t>‘</w:t>
      </w:r>
      <w:r w:rsidR="00D97808" w:rsidRPr="007C7BB9">
        <w:rPr>
          <w:rFonts w:ascii="Times New Roman" w:eastAsia="Times New Roman" w:hAnsi="Times New Roman" w:cs="Times New Roman"/>
          <w:bCs/>
          <w:szCs w:val="24"/>
          <w:lang w:eastAsia="en-GB"/>
        </w:rPr>
        <w:t>reflexive turn</w:t>
      </w:r>
      <w:r w:rsidR="00BA4366">
        <w:rPr>
          <w:rFonts w:ascii="Times New Roman" w:eastAsia="Times New Roman" w:hAnsi="Times New Roman" w:cs="Times New Roman"/>
          <w:bCs/>
          <w:szCs w:val="24"/>
          <w:lang w:eastAsia="en-GB"/>
        </w:rPr>
        <w:t>’</w:t>
      </w:r>
      <w:r w:rsidR="00D97808" w:rsidRPr="007C7BB9">
        <w:rPr>
          <w:rFonts w:ascii="Times New Roman" w:eastAsia="Times New Roman" w:hAnsi="Times New Roman" w:cs="Times New Roman"/>
          <w:bCs/>
          <w:szCs w:val="24"/>
          <w:lang w:eastAsia="en-GB"/>
        </w:rPr>
        <w:t xml:space="preserve"> in English discrimination law, focusing less on </w:t>
      </w:r>
      <w:r w:rsidR="00BA4366">
        <w:rPr>
          <w:rFonts w:ascii="Times New Roman" w:eastAsia="Times New Roman" w:hAnsi="Times New Roman" w:cs="Times New Roman"/>
          <w:bCs/>
          <w:szCs w:val="24"/>
          <w:lang w:eastAsia="en-GB"/>
        </w:rPr>
        <w:t>‘</w:t>
      </w:r>
      <w:r w:rsidR="00D97808" w:rsidRPr="007C7BB9">
        <w:rPr>
          <w:rFonts w:ascii="Times New Roman" w:eastAsia="Times New Roman" w:hAnsi="Times New Roman" w:cs="Times New Roman"/>
          <w:bCs/>
          <w:szCs w:val="24"/>
          <w:lang w:eastAsia="en-GB"/>
        </w:rPr>
        <w:t>command and control</w:t>
      </w:r>
      <w:r w:rsidR="00BA4366">
        <w:rPr>
          <w:rFonts w:ascii="Times New Roman" w:eastAsia="Times New Roman" w:hAnsi="Times New Roman" w:cs="Times New Roman"/>
          <w:bCs/>
          <w:szCs w:val="24"/>
          <w:lang w:eastAsia="en-GB"/>
        </w:rPr>
        <w:t>’</w:t>
      </w:r>
      <w:r w:rsidR="00D97808" w:rsidRPr="007C7BB9">
        <w:rPr>
          <w:rFonts w:ascii="Times New Roman" w:eastAsia="Times New Roman" w:hAnsi="Times New Roman" w:cs="Times New Roman"/>
          <w:bCs/>
          <w:szCs w:val="24"/>
          <w:lang w:eastAsia="en-GB"/>
        </w:rPr>
        <w:t xml:space="preserve"> approaches to securing substantive outcomes once discrimination happens and more on shaping the practices and processes adopted by regulated bodies to stop discrimination</w:t>
      </w:r>
      <w:r w:rsidR="00A451CC" w:rsidRPr="007C7BB9">
        <w:rPr>
          <w:rFonts w:ascii="Times New Roman" w:eastAsia="Times New Roman" w:hAnsi="Times New Roman" w:cs="Times New Roman"/>
          <w:bCs/>
          <w:szCs w:val="24"/>
          <w:lang w:eastAsia="en-GB"/>
        </w:rPr>
        <w:t xml:space="preserve"> occurring</w:t>
      </w:r>
      <w:r w:rsidR="00D97808" w:rsidRPr="007C7BB9">
        <w:rPr>
          <w:rFonts w:ascii="Times New Roman" w:eastAsia="Times New Roman" w:hAnsi="Times New Roman" w:cs="Times New Roman"/>
          <w:bCs/>
          <w:szCs w:val="24"/>
          <w:lang w:eastAsia="en-GB"/>
        </w:rPr>
        <w:t xml:space="preserve"> in the first place.</w:t>
      </w:r>
      <w:bookmarkStart w:id="3" w:name="_Ref194747889"/>
      <w:r w:rsidR="00C75E37" w:rsidRPr="007C7BB9">
        <w:rPr>
          <w:rStyle w:val="FootnoteReference"/>
          <w:rFonts w:ascii="Times New Roman" w:eastAsia="Times New Roman" w:hAnsi="Times New Roman" w:cs="Times New Roman"/>
          <w:bCs/>
          <w:szCs w:val="24"/>
          <w:lang w:eastAsia="en-GB"/>
        </w:rPr>
        <w:footnoteReference w:id="6"/>
      </w:r>
      <w:bookmarkEnd w:id="3"/>
    </w:p>
    <w:p w14:paraId="01DA66F7" w14:textId="2F90D359" w:rsidR="0090786B" w:rsidRDefault="0090786B" w:rsidP="00BA2D09">
      <w:pPr>
        <w:rPr>
          <w:rFonts w:ascii="Times New Roman" w:eastAsia="Source Sans Pro" w:hAnsi="Times New Roman" w:cs="Times New Roman"/>
          <w:bCs/>
          <w:color w:val="000000" w:themeColor="text1"/>
          <w:szCs w:val="24"/>
        </w:rPr>
      </w:pPr>
      <w:r w:rsidRPr="007C7BB9">
        <w:rPr>
          <w:rFonts w:ascii="Times New Roman" w:eastAsia="Times New Roman" w:hAnsi="Times New Roman" w:cs="Times New Roman"/>
          <w:bCs/>
          <w:szCs w:val="24"/>
          <w:lang w:eastAsia="en-GB"/>
        </w:rPr>
        <w:t>Th</w:t>
      </w:r>
      <w:r w:rsidR="005037FE">
        <w:rPr>
          <w:rFonts w:ascii="Times New Roman" w:eastAsia="Times New Roman" w:hAnsi="Times New Roman" w:cs="Times New Roman"/>
          <w:bCs/>
          <w:szCs w:val="24"/>
          <w:lang w:eastAsia="en-GB"/>
        </w:rPr>
        <w:t>is</w:t>
      </w:r>
      <w:r w:rsidRPr="007C7BB9">
        <w:rPr>
          <w:rFonts w:ascii="Times New Roman" w:eastAsia="Times New Roman" w:hAnsi="Times New Roman" w:cs="Times New Roman"/>
          <w:bCs/>
          <w:szCs w:val="24"/>
          <w:lang w:eastAsia="en-GB"/>
        </w:rPr>
        <w:t xml:space="preserve"> </w:t>
      </w:r>
      <w:r w:rsidR="00FA0E31">
        <w:rPr>
          <w:rFonts w:ascii="Times New Roman" w:eastAsia="Times New Roman" w:hAnsi="Times New Roman" w:cs="Times New Roman"/>
          <w:bCs/>
          <w:szCs w:val="24"/>
          <w:lang w:eastAsia="en-GB"/>
        </w:rPr>
        <w:t xml:space="preserve">socio-economic </w:t>
      </w:r>
      <w:r w:rsidRPr="007C7BB9">
        <w:rPr>
          <w:rFonts w:ascii="Times New Roman" w:eastAsia="Times New Roman" w:hAnsi="Times New Roman" w:cs="Times New Roman"/>
          <w:bCs/>
          <w:szCs w:val="24"/>
          <w:lang w:eastAsia="en-GB"/>
        </w:rPr>
        <w:t xml:space="preserve">duty is </w:t>
      </w:r>
      <w:r w:rsidR="007352A1" w:rsidRPr="007C7BB9">
        <w:rPr>
          <w:rFonts w:ascii="Times New Roman" w:eastAsia="Times New Roman" w:hAnsi="Times New Roman" w:cs="Times New Roman"/>
          <w:bCs/>
          <w:szCs w:val="24"/>
          <w:lang w:eastAsia="en-GB"/>
        </w:rPr>
        <w:t>noteworthy for at least three reasons</w:t>
      </w:r>
      <w:r w:rsidRPr="007C7BB9">
        <w:rPr>
          <w:rFonts w:ascii="Times New Roman" w:eastAsia="Times New Roman" w:hAnsi="Times New Roman" w:cs="Times New Roman"/>
          <w:bCs/>
          <w:szCs w:val="24"/>
          <w:lang w:eastAsia="en-GB"/>
        </w:rPr>
        <w:t xml:space="preserve">. </w:t>
      </w:r>
      <w:r w:rsidR="007352A1" w:rsidRPr="007C7BB9">
        <w:rPr>
          <w:rFonts w:ascii="Times New Roman" w:eastAsia="Times New Roman" w:hAnsi="Times New Roman" w:cs="Times New Roman"/>
          <w:bCs/>
          <w:szCs w:val="24"/>
          <w:lang w:eastAsia="en-GB"/>
        </w:rPr>
        <w:t xml:space="preserve">First, </w:t>
      </w:r>
      <w:r w:rsidR="00897895" w:rsidRPr="007C7BB9">
        <w:rPr>
          <w:rFonts w:ascii="Times New Roman" w:eastAsia="Times New Roman" w:hAnsi="Times New Roman" w:cs="Times New Roman"/>
          <w:bCs/>
          <w:szCs w:val="24"/>
          <w:lang w:eastAsia="en-GB"/>
        </w:rPr>
        <w:t>it focuses on socio-economic inequality. A</w:t>
      </w:r>
      <w:r w:rsidRPr="007C7BB9">
        <w:rPr>
          <w:rFonts w:ascii="Times New Roman" w:eastAsia="Times New Roman" w:hAnsi="Times New Roman" w:cs="Times New Roman"/>
          <w:bCs/>
          <w:szCs w:val="24"/>
          <w:lang w:eastAsia="en-GB"/>
        </w:rPr>
        <w:t>lthough fundamentally distinct from the far broad</w:t>
      </w:r>
      <w:r w:rsidR="00A272E0">
        <w:rPr>
          <w:rFonts w:ascii="Times New Roman" w:eastAsia="Times New Roman" w:hAnsi="Times New Roman" w:cs="Times New Roman"/>
          <w:bCs/>
          <w:szCs w:val="24"/>
          <w:lang w:eastAsia="en-GB"/>
        </w:rPr>
        <w:t>er</w:t>
      </w:r>
      <w:r w:rsidRPr="007C7BB9">
        <w:rPr>
          <w:rFonts w:ascii="Times New Roman" w:eastAsia="Times New Roman" w:hAnsi="Times New Roman" w:cs="Times New Roman"/>
          <w:bCs/>
          <w:szCs w:val="24"/>
          <w:lang w:eastAsia="en-GB"/>
        </w:rPr>
        <w:t>-ranging protections that</w:t>
      </w:r>
      <w:r w:rsidRPr="007C7BB9">
        <w:rPr>
          <w:rFonts w:ascii="Times New Roman" w:eastAsia="Source Sans Pro" w:hAnsi="Times New Roman" w:cs="Times New Roman"/>
          <w:bCs/>
          <w:color w:val="000000" w:themeColor="text1"/>
          <w:szCs w:val="24"/>
        </w:rPr>
        <w:t xml:space="preserve"> would come with including </w:t>
      </w:r>
      <w:r w:rsidR="00BA4366">
        <w:rPr>
          <w:rFonts w:ascii="Times New Roman" w:eastAsia="Source Sans Pro" w:hAnsi="Times New Roman" w:cs="Times New Roman"/>
          <w:bCs/>
          <w:color w:val="000000" w:themeColor="text1"/>
          <w:szCs w:val="24"/>
        </w:rPr>
        <w:t>‘</w:t>
      </w:r>
      <w:r w:rsidRPr="007C7BB9">
        <w:rPr>
          <w:rFonts w:ascii="Times New Roman" w:eastAsia="Source Sans Pro" w:hAnsi="Times New Roman" w:cs="Times New Roman"/>
          <w:bCs/>
          <w:color w:val="000000" w:themeColor="text1"/>
          <w:szCs w:val="24"/>
        </w:rPr>
        <w:t xml:space="preserve">socio-economic </w:t>
      </w:r>
      <w:r w:rsidR="00A568EA" w:rsidRPr="007C7BB9">
        <w:rPr>
          <w:rFonts w:ascii="Times New Roman" w:eastAsia="Source Sans Pro" w:hAnsi="Times New Roman" w:cs="Times New Roman"/>
          <w:bCs/>
          <w:color w:val="000000" w:themeColor="text1"/>
          <w:szCs w:val="24"/>
        </w:rPr>
        <w:t>status</w:t>
      </w:r>
      <w:r w:rsidR="00BA4366">
        <w:rPr>
          <w:rFonts w:ascii="Times New Roman" w:eastAsia="Source Sans Pro" w:hAnsi="Times New Roman" w:cs="Times New Roman"/>
          <w:bCs/>
          <w:color w:val="000000" w:themeColor="text1"/>
          <w:szCs w:val="24"/>
        </w:rPr>
        <w:t>’</w:t>
      </w:r>
      <w:r w:rsidR="00A568EA" w:rsidRPr="007C7BB9">
        <w:rPr>
          <w:rFonts w:ascii="Times New Roman" w:eastAsia="Source Sans Pro" w:hAnsi="Times New Roman" w:cs="Times New Roman"/>
          <w:bCs/>
          <w:color w:val="000000" w:themeColor="text1"/>
          <w:szCs w:val="24"/>
        </w:rPr>
        <w:t xml:space="preserve"> </w:t>
      </w:r>
      <w:r w:rsidRPr="007C7BB9">
        <w:rPr>
          <w:rFonts w:ascii="Times New Roman" w:eastAsia="Source Sans Pro" w:hAnsi="Times New Roman" w:cs="Times New Roman"/>
          <w:bCs/>
          <w:color w:val="000000" w:themeColor="text1"/>
          <w:szCs w:val="24"/>
        </w:rPr>
        <w:t xml:space="preserve">as a tenth </w:t>
      </w:r>
      <w:r w:rsidR="00BA4366">
        <w:rPr>
          <w:rFonts w:ascii="Times New Roman" w:eastAsia="Source Sans Pro" w:hAnsi="Times New Roman" w:cs="Times New Roman"/>
          <w:bCs/>
          <w:color w:val="000000" w:themeColor="text1"/>
          <w:szCs w:val="24"/>
        </w:rPr>
        <w:t>‘</w:t>
      </w:r>
      <w:r w:rsidRPr="007C7BB9">
        <w:rPr>
          <w:rFonts w:ascii="Times New Roman" w:eastAsia="Source Sans Pro" w:hAnsi="Times New Roman" w:cs="Times New Roman"/>
          <w:bCs/>
          <w:color w:val="000000" w:themeColor="text1"/>
          <w:szCs w:val="24"/>
        </w:rPr>
        <w:t>protected characteristic</w:t>
      </w:r>
      <w:r w:rsidR="00BA4366">
        <w:rPr>
          <w:rFonts w:ascii="Times New Roman" w:eastAsia="Source Sans Pro" w:hAnsi="Times New Roman" w:cs="Times New Roman"/>
          <w:bCs/>
          <w:color w:val="000000" w:themeColor="text1"/>
          <w:szCs w:val="24"/>
        </w:rPr>
        <w:t>’</w:t>
      </w:r>
      <w:r w:rsidR="009349CF" w:rsidRPr="007C7BB9">
        <w:rPr>
          <w:rFonts w:ascii="Times New Roman" w:eastAsia="Source Sans Pro" w:hAnsi="Times New Roman" w:cs="Times New Roman"/>
          <w:bCs/>
          <w:color w:val="000000" w:themeColor="text1"/>
          <w:szCs w:val="24"/>
        </w:rPr>
        <w:t xml:space="preserve"> </w:t>
      </w:r>
      <w:r w:rsidRPr="007C7BB9">
        <w:rPr>
          <w:rFonts w:ascii="Times New Roman" w:eastAsia="Source Sans Pro" w:hAnsi="Times New Roman" w:cs="Times New Roman"/>
          <w:bCs/>
          <w:color w:val="000000" w:themeColor="text1"/>
          <w:szCs w:val="24"/>
        </w:rPr>
        <w:t>alongside age, sex, religion or belief</w:t>
      </w:r>
      <w:r w:rsidR="00695935">
        <w:rPr>
          <w:rFonts w:ascii="Times New Roman" w:eastAsia="Source Sans Pro" w:hAnsi="Times New Roman" w:cs="Times New Roman"/>
          <w:bCs/>
          <w:color w:val="000000" w:themeColor="text1"/>
          <w:szCs w:val="24"/>
        </w:rPr>
        <w:t xml:space="preserve"> and so on</w:t>
      </w:r>
      <w:r w:rsidR="002E43FE" w:rsidRPr="007C7BB9">
        <w:rPr>
          <w:rFonts w:ascii="Times New Roman" w:eastAsia="Source Sans Pro" w:hAnsi="Times New Roman" w:cs="Times New Roman"/>
          <w:bCs/>
          <w:color w:val="000000" w:themeColor="text1"/>
          <w:szCs w:val="24"/>
        </w:rPr>
        <w:t>,</w:t>
      </w:r>
      <w:r w:rsidRPr="007C7BB9">
        <w:rPr>
          <w:rStyle w:val="FootnoteReference"/>
          <w:rFonts w:ascii="Times New Roman" w:eastAsia="Source Sans Pro" w:hAnsi="Times New Roman" w:cs="Times New Roman"/>
          <w:bCs/>
          <w:color w:val="000000" w:themeColor="text1"/>
          <w:szCs w:val="24"/>
        </w:rPr>
        <w:footnoteReference w:id="7"/>
      </w:r>
      <w:r w:rsidR="002E43FE" w:rsidRPr="007C7BB9">
        <w:rPr>
          <w:rFonts w:ascii="Times New Roman" w:eastAsia="Source Sans Pro" w:hAnsi="Times New Roman" w:cs="Times New Roman"/>
          <w:bCs/>
          <w:color w:val="000000" w:themeColor="text1"/>
          <w:szCs w:val="24"/>
        </w:rPr>
        <w:t xml:space="preserve"> the duty is the only direct reference to socio-economic disadvantage within the Equality Act 2010</w:t>
      </w:r>
      <w:r w:rsidR="00A272E0">
        <w:rPr>
          <w:rFonts w:ascii="Times New Roman" w:eastAsia="Source Sans Pro" w:hAnsi="Times New Roman" w:cs="Times New Roman"/>
          <w:bCs/>
          <w:color w:val="000000" w:themeColor="text1"/>
          <w:szCs w:val="24"/>
        </w:rPr>
        <w:t xml:space="preserve"> and such explicit recognition remains unusual in English discrimination law</w:t>
      </w:r>
      <w:r w:rsidR="00504649" w:rsidRPr="007C7BB9">
        <w:rPr>
          <w:rFonts w:ascii="Times New Roman" w:eastAsia="Source Sans Pro" w:hAnsi="Times New Roman" w:cs="Times New Roman"/>
          <w:bCs/>
          <w:color w:val="000000" w:themeColor="text1"/>
          <w:szCs w:val="24"/>
        </w:rPr>
        <w:t>.</w:t>
      </w:r>
      <w:r w:rsidR="00FA0E31">
        <w:rPr>
          <w:rStyle w:val="FootnoteReference"/>
          <w:rFonts w:ascii="Times New Roman" w:eastAsia="Source Sans Pro" w:hAnsi="Times New Roman" w:cs="Times New Roman"/>
          <w:bCs/>
          <w:color w:val="000000" w:themeColor="text1"/>
          <w:szCs w:val="24"/>
        </w:rPr>
        <w:footnoteReference w:id="8"/>
      </w:r>
      <w:r w:rsidR="00504649" w:rsidRPr="007C7BB9">
        <w:rPr>
          <w:rFonts w:ascii="Times New Roman" w:eastAsia="Source Sans Pro" w:hAnsi="Times New Roman" w:cs="Times New Roman"/>
          <w:bCs/>
          <w:color w:val="000000" w:themeColor="text1"/>
          <w:szCs w:val="24"/>
        </w:rPr>
        <w:t xml:space="preserve"> </w:t>
      </w:r>
      <w:r w:rsidR="007352A1" w:rsidRPr="007C7BB9">
        <w:rPr>
          <w:rFonts w:ascii="Times New Roman" w:eastAsia="Source Sans Pro" w:hAnsi="Times New Roman" w:cs="Times New Roman"/>
          <w:bCs/>
          <w:color w:val="000000" w:themeColor="text1"/>
          <w:szCs w:val="24"/>
        </w:rPr>
        <w:t>Second,</w:t>
      </w:r>
      <w:r w:rsidR="00504649" w:rsidRPr="007C7BB9">
        <w:rPr>
          <w:rFonts w:ascii="Times New Roman" w:eastAsia="Source Sans Pro" w:hAnsi="Times New Roman" w:cs="Times New Roman"/>
          <w:bCs/>
          <w:color w:val="000000" w:themeColor="text1"/>
          <w:szCs w:val="24"/>
        </w:rPr>
        <w:t xml:space="preserve"> much like the </w:t>
      </w:r>
      <w:r w:rsidR="005037FE">
        <w:rPr>
          <w:rFonts w:ascii="Times New Roman" w:eastAsia="Source Sans Pro" w:hAnsi="Times New Roman" w:cs="Times New Roman"/>
          <w:bCs/>
          <w:color w:val="000000" w:themeColor="text1"/>
          <w:szCs w:val="24"/>
        </w:rPr>
        <w:t>PSED</w:t>
      </w:r>
      <w:r w:rsidR="009349CF" w:rsidRPr="007C7BB9">
        <w:rPr>
          <w:rFonts w:ascii="Times New Roman" w:eastAsia="Source Sans Pro" w:hAnsi="Times New Roman" w:cs="Times New Roman"/>
          <w:bCs/>
          <w:color w:val="000000" w:themeColor="text1"/>
          <w:szCs w:val="24"/>
        </w:rPr>
        <w:t xml:space="preserve"> </w:t>
      </w:r>
      <w:r w:rsidR="00504649" w:rsidRPr="007C7BB9">
        <w:rPr>
          <w:rFonts w:ascii="Times New Roman" w:eastAsia="Source Sans Pro" w:hAnsi="Times New Roman" w:cs="Times New Roman"/>
          <w:bCs/>
          <w:color w:val="000000" w:themeColor="text1"/>
          <w:szCs w:val="24"/>
        </w:rPr>
        <w:t xml:space="preserve">and </w:t>
      </w:r>
      <w:r w:rsidR="00504649" w:rsidRPr="007C7BB9">
        <w:rPr>
          <w:rFonts w:ascii="Times New Roman" w:eastAsia="Source Sans Pro" w:hAnsi="Times New Roman" w:cs="Times New Roman"/>
          <w:bCs/>
          <w:color w:val="000000" w:themeColor="text1"/>
          <w:szCs w:val="24"/>
        </w:rPr>
        <w:lastRenderedPageBreak/>
        <w:t>its predecessor</w:t>
      </w:r>
      <w:r w:rsidR="009349CF" w:rsidRPr="007C7BB9">
        <w:rPr>
          <w:rFonts w:ascii="Times New Roman" w:eastAsia="Source Sans Pro" w:hAnsi="Times New Roman" w:cs="Times New Roman"/>
          <w:bCs/>
          <w:color w:val="000000" w:themeColor="text1"/>
          <w:szCs w:val="24"/>
        </w:rPr>
        <w:t xml:space="preserve">s </w:t>
      </w:r>
      <w:r w:rsidR="007352A1" w:rsidRPr="007C7BB9">
        <w:rPr>
          <w:rFonts w:ascii="Times New Roman" w:eastAsia="Source Sans Pro" w:hAnsi="Times New Roman" w:cs="Times New Roman"/>
          <w:bCs/>
          <w:color w:val="000000" w:themeColor="text1"/>
          <w:szCs w:val="24"/>
        </w:rPr>
        <w:t>(</w:t>
      </w:r>
      <w:r w:rsidR="009349CF" w:rsidRPr="007C7BB9">
        <w:rPr>
          <w:rFonts w:ascii="Times New Roman" w:eastAsia="Source Sans Pro" w:hAnsi="Times New Roman" w:cs="Times New Roman"/>
          <w:bCs/>
          <w:color w:val="000000" w:themeColor="text1"/>
          <w:szCs w:val="24"/>
        </w:rPr>
        <w:t>including</w:t>
      </w:r>
      <w:r w:rsidR="00504649" w:rsidRPr="007C7BB9">
        <w:rPr>
          <w:rFonts w:ascii="Times New Roman" w:eastAsia="Source Sans Pro" w:hAnsi="Times New Roman" w:cs="Times New Roman"/>
          <w:bCs/>
          <w:color w:val="000000" w:themeColor="text1"/>
          <w:szCs w:val="24"/>
        </w:rPr>
        <w:t xml:space="preserve"> long</w:t>
      </w:r>
      <w:r w:rsidR="00265B1B">
        <w:rPr>
          <w:rFonts w:ascii="Times New Roman" w:eastAsia="Source Sans Pro" w:hAnsi="Times New Roman" w:cs="Times New Roman"/>
          <w:bCs/>
          <w:color w:val="000000" w:themeColor="text1"/>
          <w:szCs w:val="24"/>
        </w:rPr>
        <w:t>-</w:t>
      </w:r>
      <w:r w:rsidR="00504649" w:rsidRPr="007C7BB9">
        <w:rPr>
          <w:rFonts w:ascii="Times New Roman" w:eastAsia="Source Sans Pro" w:hAnsi="Times New Roman" w:cs="Times New Roman"/>
          <w:bCs/>
          <w:color w:val="000000" w:themeColor="text1"/>
          <w:szCs w:val="24"/>
        </w:rPr>
        <w:t xml:space="preserve">standing </w:t>
      </w:r>
      <w:r w:rsidR="009349CF" w:rsidRPr="007C7BB9">
        <w:rPr>
          <w:rFonts w:ascii="Times New Roman" w:eastAsia="Source Sans Pro" w:hAnsi="Times New Roman" w:cs="Times New Roman"/>
          <w:bCs/>
          <w:color w:val="000000" w:themeColor="text1"/>
          <w:szCs w:val="24"/>
        </w:rPr>
        <w:t xml:space="preserve">examples </w:t>
      </w:r>
      <w:r w:rsidR="00504649" w:rsidRPr="007C7BB9">
        <w:rPr>
          <w:rFonts w:ascii="Times New Roman" w:eastAsia="Source Sans Pro" w:hAnsi="Times New Roman" w:cs="Times New Roman"/>
          <w:bCs/>
          <w:color w:val="000000" w:themeColor="text1"/>
          <w:szCs w:val="24"/>
        </w:rPr>
        <w:t>trailblazed in Northern Ireland</w:t>
      </w:r>
      <w:r w:rsidR="007352A1" w:rsidRPr="007C7BB9">
        <w:rPr>
          <w:rFonts w:ascii="Times New Roman" w:eastAsia="Source Sans Pro" w:hAnsi="Times New Roman" w:cs="Times New Roman"/>
          <w:bCs/>
          <w:color w:val="000000" w:themeColor="text1"/>
          <w:szCs w:val="24"/>
        </w:rPr>
        <w:t>)</w:t>
      </w:r>
      <w:bookmarkStart w:id="4" w:name="_Ref194748157"/>
      <w:r w:rsidR="00265B1B">
        <w:rPr>
          <w:rFonts w:ascii="Times New Roman" w:eastAsia="Source Sans Pro" w:hAnsi="Times New Roman" w:cs="Times New Roman"/>
          <w:bCs/>
          <w:color w:val="000000" w:themeColor="text1"/>
          <w:szCs w:val="24"/>
        </w:rPr>
        <w:t>,</w:t>
      </w:r>
      <w:r w:rsidR="00504649" w:rsidRPr="007C7BB9">
        <w:rPr>
          <w:rStyle w:val="FootnoteReference"/>
          <w:rFonts w:ascii="Times New Roman" w:eastAsia="Source Sans Pro" w:hAnsi="Times New Roman" w:cs="Times New Roman"/>
          <w:bCs/>
          <w:color w:val="000000" w:themeColor="text1"/>
          <w:szCs w:val="24"/>
        </w:rPr>
        <w:footnoteReference w:id="9"/>
      </w:r>
      <w:bookmarkEnd w:id="4"/>
      <w:r w:rsidR="009349CF" w:rsidRPr="007C7BB9">
        <w:rPr>
          <w:rFonts w:ascii="Times New Roman" w:eastAsia="Source Sans Pro" w:hAnsi="Times New Roman" w:cs="Times New Roman"/>
          <w:bCs/>
          <w:color w:val="000000" w:themeColor="text1"/>
          <w:szCs w:val="24"/>
        </w:rPr>
        <w:t xml:space="preserve"> it is an example of the use of reflexive law by the public sector against itself. </w:t>
      </w:r>
      <w:r w:rsidR="007352A1" w:rsidRPr="007C7BB9">
        <w:rPr>
          <w:rFonts w:ascii="Times New Roman" w:eastAsia="Source Sans Pro" w:hAnsi="Times New Roman" w:cs="Times New Roman"/>
          <w:bCs/>
          <w:color w:val="000000" w:themeColor="text1"/>
          <w:szCs w:val="24"/>
        </w:rPr>
        <w:t>Unlike the</w:t>
      </w:r>
      <w:r w:rsidR="003A4A95">
        <w:rPr>
          <w:rFonts w:ascii="Times New Roman" w:eastAsia="Source Sans Pro" w:hAnsi="Times New Roman" w:cs="Times New Roman"/>
          <w:bCs/>
          <w:color w:val="000000" w:themeColor="text1"/>
          <w:szCs w:val="24"/>
        </w:rPr>
        <w:t xml:space="preserve"> other</w:t>
      </w:r>
      <w:r w:rsidR="007352A1" w:rsidRPr="007C7BB9">
        <w:rPr>
          <w:rFonts w:ascii="Times New Roman" w:eastAsia="Source Sans Pro" w:hAnsi="Times New Roman" w:cs="Times New Roman"/>
          <w:bCs/>
          <w:color w:val="000000" w:themeColor="text1"/>
          <w:szCs w:val="24"/>
        </w:rPr>
        <w:t xml:space="preserve"> </w:t>
      </w:r>
      <w:r w:rsidR="00D271C9" w:rsidRPr="007C7BB9">
        <w:rPr>
          <w:rFonts w:ascii="Times New Roman" w:eastAsia="Source Sans Pro" w:hAnsi="Times New Roman" w:cs="Times New Roman"/>
          <w:bCs/>
          <w:color w:val="000000" w:themeColor="text1"/>
          <w:szCs w:val="24"/>
        </w:rPr>
        <w:t>sectors that tend to dominate research into uses of</w:t>
      </w:r>
      <w:r w:rsidR="007352A1" w:rsidRPr="007C7BB9">
        <w:rPr>
          <w:rFonts w:ascii="Times New Roman" w:eastAsia="Source Sans Pro" w:hAnsi="Times New Roman" w:cs="Times New Roman"/>
          <w:bCs/>
          <w:color w:val="000000" w:themeColor="text1"/>
          <w:szCs w:val="24"/>
        </w:rPr>
        <w:t xml:space="preserve"> reflexive law</w:t>
      </w:r>
      <w:r w:rsidR="00265B1B">
        <w:rPr>
          <w:rFonts w:ascii="Times New Roman" w:eastAsia="Source Sans Pro" w:hAnsi="Times New Roman" w:cs="Times New Roman"/>
          <w:bCs/>
          <w:color w:val="000000" w:themeColor="text1"/>
          <w:szCs w:val="24"/>
        </w:rPr>
        <w:t>—</w:t>
      </w:r>
      <w:r w:rsidR="00D271C9" w:rsidRPr="007C7BB9">
        <w:rPr>
          <w:rFonts w:ascii="Times New Roman" w:eastAsia="Source Sans Pro" w:hAnsi="Times New Roman" w:cs="Times New Roman"/>
          <w:bCs/>
          <w:color w:val="000000" w:themeColor="text1"/>
          <w:szCs w:val="24"/>
        </w:rPr>
        <w:t>particularly</w:t>
      </w:r>
      <w:r w:rsidR="00881D42" w:rsidRPr="007C7BB9">
        <w:rPr>
          <w:rFonts w:ascii="Times New Roman" w:eastAsia="Source Sans Pro" w:hAnsi="Times New Roman" w:cs="Times New Roman"/>
          <w:bCs/>
          <w:color w:val="000000" w:themeColor="text1"/>
          <w:szCs w:val="24"/>
        </w:rPr>
        <w:t xml:space="preserve"> </w:t>
      </w:r>
      <w:r w:rsidR="007352A1" w:rsidRPr="007C7BB9">
        <w:rPr>
          <w:rFonts w:ascii="Times New Roman" w:eastAsia="Source Sans Pro" w:hAnsi="Times New Roman" w:cs="Times New Roman"/>
          <w:bCs/>
          <w:color w:val="000000" w:themeColor="text1"/>
          <w:szCs w:val="24"/>
        </w:rPr>
        <w:t>environmental</w:t>
      </w:r>
      <w:r w:rsidR="006231D2" w:rsidRPr="007C7BB9">
        <w:rPr>
          <w:rFonts w:ascii="Times New Roman" w:eastAsia="Source Sans Pro" w:hAnsi="Times New Roman" w:cs="Times New Roman"/>
          <w:bCs/>
          <w:color w:val="000000" w:themeColor="text1"/>
          <w:szCs w:val="24"/>
        </w:rPr>
        <w:t xml:space="preserve">, </w:t>
      </w:r>
      <w:r w:rsidR="007352A1" w:rsidRPr="007C7BB9">
        <w:rPr>
          <w:rFonts w:ascii="Times New Roman" w:eastAsia="Source Sans Pro" w:hAnsi="Times New Roman" w:cs="Times New Roman"/>
          <w:bCs/>
          <w:color w:val="000000" w:themeColor="text1"/>
          <w:szCs w:val="24"/>
        </w:rPr>
        <w:t>labour market</w:t>
      </w:r>
      <w:r w:rsidR="006231D2" w:rsidRPr="007C7BB9">
        <w:rPr>
          <w:rFonts w:ascii="Times New Roman" w:eastAsia="Source Sans Pro" w:hAnsi="Times New Roman" w:cs="Times New Roman"/>
          <w:bCs/>
          <w:color w:val="000000" w:themeColor="text1"/>
          <w:szCs w:val="24"/>
        </w:rPr>
        <w:t xml:space="preserve"> and financial services</w:t>
      </w:r>
      <w:r w:rsidR="007352A1" w:rsidRPr="007C7BB9">
        <w:rPr>
          <w:rFonts w:ascii="Times New Roman" w:eastAsia="Source Sans Pro" w:hAnsi="Times New Roman" w:cs="Times New Roman"/>
          <w:bCs/>
          <w:color w:val="000000" w:themeColor="text1"/>
          <w:szCs w:val="24"/>
        </w:rPr>
        <w:t xml:space="preserve"> regulation</w:t>
      </w:r>
      <w:r w:rsidR="00265B1B">
        <w:rPr>
          <w:rFonts w:ascii="Times New Roman" w:eastAsia="Source Sans Pro" w:hAnsi="Times New Roman" w:cs="Times New Roman"/>
          <w:bCs/>
          <w:color w:val="000000" w:themeColor="text1"/>
          <w:szCs w:val="24"/>
        </w:rPr>
        <w:t>—</w:t>
      </w:r>
      <w:r w:rsidR="007352A1" w:rsidRPr="007C7BB9">
        <w:rPr>
          <w:rFonts w:ascii="Times New Roman" w:eastAsia="Source Sans Pro" w:hAnsi="Times New Roman" w:cs="Times New Roman"/>
          <w:bCs/>
          <w:color w:val="000000" w:themeColor="text1"/>
          <w:szCs w:val="24"/>
        </w:rPr>
        <w:t>the focus is not on shaping the activities of private actors</w:t>
      </w:r>
      <w:r w:rsidR="002E7463" w:rsidRPr="007C7BB9">
        <w:rPr>
          <w:rFonts w:ascii="Times New Roman" w:eastAsia="Source Sans Pro" w:hAnsi="Times New Roman" w:cs="Times New Roman"/>
          <w:bCs/>
          <w:color w:val="000000" w:themeColor="text1"/>
          <w:szCs w:val="24"/>
        </w:rPr>
        <w:t>.</w:t>
      </w:r>
      <w:bookmarkStart w:id="5" w:name="_Ref194748331"/>
      <w:r w:rsidR="002E7463" w:rsidRPr="007C7BB9">
        <w:rPr>
          <w:rStyle w:val="FootnoteReference"/>
          <w:rFonts w:ascii="Times New Roman" w:eastAsia="Source Sans Pro" w:hAnsi="Times New Roman" w:cs="Times New Roman"/>
          <w:bCs/>
          <w:color w:val="000000" w:themeColor="text1"/>
          <w:szCs w:val="24"/>
        </w:rPr>
        <w:footnoteReference w:id="10"/>
      </w:r>
      <w:bookmarkEnd w:id="5"/>
      <w:r w:rsidR="002E7463" w:rsidRPr="007C7BB9">
        <w:rPr>
          <w:rFonts w:ascii="Times New Roman" w:eastAsia="Source Sans Pro" w:hAnsi="Times New Roman" w:cs="Times New Roman"/>
          <w:bCs/>
          <w:color w:val="000000" w:themeColor="text1"/>
          <w:szCs w:val="24"/>
        </w:rPr>
        <w:t xml:space="preserve"> Instead</w:t>
      </w:r>
      <w:r w:rsidR="00265B1B">
        <w:rPr>
          <w:rFonts w:ascii="Times New Roman" w:eastAsia="Source Sans Pro" w:hAnsi="Times New Roman" w:cs="Times New Roman"/>
          <w:bCs/>
          <w:color w:val="000000" w:themeColor="text1"/>
          <w:szCs w:val="24"/>
        </w:rPr>
        <w:t>,</w:t>
      </w:r>
      <w:r w:rsidR="002E7463" w:rsidRPr="007C7BB9">
        <w:rPr>
          <w:rFonts w:ascii="Times New Roman" w:eastAsia="Source Sans Pro" w:hAnsi="Times New Roman" w:cs="Times New Roman"/>
          <w:bCs/>
          <w:color w:val="000000" w:themeColor="text1"/>
          <w:szCs w:val="24"/>
        </w:rPr>
        <w:t xml:space="preserve"> </w:t>
      </w:r>
      <w:r w:rsidR="007352A1" w:rsidRPr="007C7BB9">
        <w:rPr>
          <w:rFonts w:ascii="Times New Roman" w:eastAsia="Source Sans Pro" w:hAnsi="Times New Roman" w:cs="Times New Roman"/>
          <w:bCs/>
          <w:color w:val="000000" w:themeColor="text1"/>
          <w:szCs w:val="24"/>
        </w:rPr>
        <w:t>one part of the public sector (central government</w:t>
      </w:r>
      <w:r w:rsidR="00D271C9" w:rsidRPr="007C7BB9">
        <w:rPr>
          <w:rFonts w:ascii="Times New Roman" w:eastAsia="Source Sans Pro" w:hAnsi="Times New Roman" w:cs="Times New Roman"/>
          <w:bCs/>
          <w:color w:val="000000" w:themeColor="text1"/>
          <w:szCs w:val="24"/>
        </w:rPr>
        <w:t xml:space="preserve">) </w:t>
      </w:r>
      <w:r w:rsidR="0029278F" w:rsidRPr="007C7BB9">
        <w:rPr>
          <w:rFonts w:ascii="Times New Roman" w:eastAsia="Source Sans Pro" w:hAnsi="Times New Roman" w:cs="Times New Roman"/>
          <w:bCs/>
          <w:color w:val="000000" w:themeColor="text1"/>
          <w:szCs w:val="24"/>
        </w:rPr>
        <w:t xml:space="preserve">is seeking to </w:t>
      </w:r>
      <w:r w:rsidR="00D271C9" w:rsidRPr="007C7BB9">
        <w:rPr>
          <w:rFonts w:ascii="Times New Roman" w:eastAsia="Source Sans Pro" w:hAnsi="Times New Roman" w:cs="Times New Roman"/>
          <w:bCs/>
          <w:color w:val="000000" w:themeColor="text1"/>
          <w:szCs w:val="24"/>
        </w:rPr>
        <w:t>shap</w:t>
      </w:r>
      <w:r w:rsidR="0029278F" w:rsidRPr="007C7BB9">
        <w:rPr>
          <w:rFonts w:ascii="Times New Roman" w:eastAsia="Source Sans Pro" w:hAnsi="Times New Roman" w:cs="Times New Roman"/>
          <w:bCs/>
          <w:color w:val="000000" w:themeColor="text1"/>
          <w:szCs w:val="24"/>
        </w:rPr>
        <w:t>e</w:t>
      </w:r>
      <w:r w:rsidR="00D271C9" w:rsidRPr="007C7BB9">
        <w:rPr>
          <w:rFonts w:ascii="Times New Roman" w:eastAsia="Source Sans Pro" w:hAnsi="Times New Roman" w:cs="Times New Roman"/>
          <w:bCs/>
          <w:color w:val="000000" w:themeColor="text1"/>
          <w:szCs w:val="24"/>
        </w:rPr>
        <w:t xml:space="preserve"> its own behaviour and that of other parts of the public sector. Third, and perhaps most importantly for the current </w:t>
      </w:r>
      <w:r w:rsidR="00265B1B" w:rsidRPr="007C7BB9">
        <w:rPr>
          <w:rFonts w:ascii="Times New Roman" w:eastAsia="Source Sans Pro" w:hAnsi="Times New Roman" w:cs="Times New Roman"/>
          <w:bCs/>
          <w:color w:val="000000" w:themeColor="text1"/>
          <w:szCs w:val="24"/>
        </w:rPr>
        <w:t>government</w:t>
      </w:r>
      <w:r w:rsidR="00D271C9" w:rsidRPr="007C7BB9">
        <w:rPr>
          <w:rFonts w:ascii="Times New Roman" w:eastAsia="Source Sans Pro" w:hAnsi="Times New Roman" w:cs="Times New Roman"/>
          <w:bCs/>
          <w:color w:val="000000" w:themeColor="text1"/>
          <w:szCs w:val="24"/>
        </w:rPr>
        <w:t>, commencing the duty does not cost any money. It is</w:t>
      </w:r>
      <w:r w:rsidR="00265B1B">
        <w:rPr>
          <w:rFonts w:ascii="Times New Roman" w:eastAsia="Source Sans Pro" w:hAnsi="Times New Roman" w:cs="Times New Roman"/>
          <w:bCs/>
          <w:color w:val="000000" w:themeColor="text1"/>
          <w:szCs w:val="24"/>
        </w:rPr>
        <w:t>—</w:t>
      </w:r>
      <w:r w:rsidR="00D271C9" w:rsidRPr="007C7BB9">
        <w:rPr>
          <w:rFonts w:ascii="Times New Roman" w:eastAsia="Source Sans Pro" w:hAnsi="Times New Roman" w:cs="Times New Roman"/>
          <w:bCs/>
          <w:color w:val="000000" w:themeColor="text1"/>
          <w:szCs w:val="24"/>
        </w:rPr>
        <w:t xml:space="preserve">at least </w:t>
      </w:r>
      <w:r w:rsidR="00D271C9" w:rsidRPr="00BA2D09">
        <w:t xml:space="preserve">on </w:t>
      </w:r>
      <w:r w:rsidR="00265B1B" w:rsidRPr="00BA2D09">
        <w:t>paper</w:t>
      </w:r>
      <w:r w:rsidR="00265B1B">
        <w:t>,</w:t>
      </w:r>
      <w:r w:rsidR="00DB6886" w:rsidRPr="00BA2D09">
        <w:t xml:space="preserve"> if no</w:t>
      </w:r>
      <w:r w:rsidR="00DB6886" w:rsidRPr="007C7BB9">
        <w:rPr>
          <w:rFonts w:ascii="Times New Roman" w:eastAsia="Source Sans Pro" w:hAnsi="Times New Roman" w:cs="Times New Roman"/>
          <w:bCs/>
          <w:color w:val="000000" w:themeColor="text1"/>
          <w:szCs w:val="24"/>
        </w:rPr>
        <w:t xml:space="preserve">t in </w:t>
      </w:r>
      <w:r w:rsidR="003A4A95">
        <w:rPr>
          <w:rFonts w:ascii="Times New Roman" w:eastAsia="Source Sans Pro" w:hAnsi="Times New Roman" w:cs="Times New Roman"/>
          <w:bCs/>
          <w:color w:val="000000" w:themeColor="text1"/>
          <w:szCs w:val="24"/>
        </w:rPr>
        <w:t>practice</w:t>
      </w:r>
      <w:r w:rsidR="00265B1B">
        <w:rPr>
          <w:rFonts w:ascii="Times New Roman" w:eastAsia="Source Sans Pro" w:hAnsi="Times New Roman" w:cs="Times New Roman"/>
          <w:bCs/>
          <w:color w:val="000000" w:themeColor="text1"/>
          <w:szCs w:val="24"/>
        </w:rPr>
        <w:t>—</w:t>
      </w:r>
      <w:r w:rsidR="00D271C9" w:rsidRPr="007C7BB9">
        <w:rPr>
          <w:rFonts w:ascii="Times New Roman" w:eastAsia="Source Sans Pro" w:hAnsi="Times New Roman" w:cs="Times New Roman"/>
          <w:bCs/>
          <w:color w:val="000000" w:themeColor="text1"/>
          <w:szCs w:val="24"/>
        </w:rPr>
        <w:t xml:space="preserve">a </w:t>
      </w:r>
      <w:r w:rsidR="00E02461" w:rsidRPr="007C7BB9">
        <w:rPr>
          <w:rFonts w:ascii="Times New Roman" w:eastAsia="Source Sans Pro" w:hAnsi="Times New Roman" w:cs="Times New Roman"/>
          <w:bCs/>
          <w:color w:val="000000" w:themeColor="text1"/>
          <w:szCs w:val="24"/>
        </w:rPr>
        <w:t>policy address</w:t>
      </w:r>
      <w:r w:rsidR="00A86F53">
        <w:rPr>
          <w:rFonts w:ascii="Times New Roman" w:eastAsia="Source Sans Pro" w:hAnsi="Times New Roman" w:cs="Times New Roman"/>
          <w:bCs/>
          <w:color w:val="000000" w:themeColor="text1"/>
          <w:szCs w:val="24"/>
        </w:rPr>
        <w:t>ing</w:t>
      </w:r>
      <w:r w:rsidR="00E02461" w:rsidRPr="007C7BB9">
        <w:rPr>
          <w:rFonts w:ascii="Times New Roman" w:eastAsia="Source Sans Pro" w:hAnsi="Times New Roman" w:cs="Times New Roman"/>
          <w:bCs/>
          <w:color w:val="000000" w:themeColor="text1"/>
          <w:szCs w:val="24"/>
        </w:rPr>
        <w:t xml:space="preserve"> socio-economic disadvantage</w:t>
      </w:r>
      <w:r w:rsidR="00D271C9" w:rsidRPr="007C7BB9">
        <w:rPr>
          <w:rFonts w:ascii="Times New Roman" w:eastAsia="Source Sans Pro" w:hAnsi="Times New Roman" w:cs="Times New Roman"/>
          <w:bCs/>
          <w:color w:val="000000" w:themeColor="text1"/>
          <w:szCs w:val="24"/>
        </w:rPr>
        <w:t xml:space="preserve"> that can be </w:t>
      </w:r>
      <w:r w:rsidR="00E02461" w:rsidRPr="007C7BB9">
        <w:rPr>
          <w:rFonts w:ascii="Times New Roman" w:eastAsia="Source Sans Pro" w:hAnsi="Times New Roman" w:cs="Times New Roman"/>
          <w:bCs/>
          <w:color w:val="000000" w:themeColor="text1"/>
          <w:szCs w:val="24"/>
        </w:rPr>
        <w:t>commenced without having to feature as a line item on any departmen</w:t>
      </w:r>
      <w:r w:rsidR="00C575CE">
        <w:rPr>
          <w:rFonts w:ascii="Times New Roman" w:eastAsia="Source Sans Pro" w:hAnsi="Times New Roman" w:cs="Times New Roman"/>
          <w:bCs/>
          <w:color w:val="000000" w:themeColor="text1"/>
          <w:szCs w:val="24"/>
        </w:rPr>
        <w:t>t</w:t>
      </w:r>
      <w:r w:rsidR="00BA4366">
        <w:rPr>
          <w:rFonts w:ascii="Times New Roman" w:eastAsia="Source Sans Pro" w:hAnsi="Times New Roman" w:cs="Times New Roman"/>
          <w:bCs/>
          <w:color w:val="000000" w:themeColor="text1"/>
          <w:szCs w:val="24"/>
        </w:rPr>
        <w:t>’</w:t>
      </w:r>
      <w:r w:rsidR="00C575CE">
        <w:rPr>
          <w:rFonts w:ascii="Times New Roman" w:eastAsia="Source Sans Pro" w:hAnsi="Times New Roman" w:cs="Times New Roman"/>
          <w:bCs/>
          <w:color w:val="000000" w:themeColor="text1"/>
          <w:szCs w:val="24"/>
        </w:rPr>
        <w:t>s</w:t>
      </w:r>
      <w:r w:rsidR="00E02461" w:rsidRPr="007C7BB9">
        <w:rPr>
          <w:rFonts w:ascii="Times New Roman" w:eastAsia="Source Sans Pro" w:hAnsi="Times New Roman" w:cs="Times New Roman"/>
          <w:bCs/>
          <w:color w:val="000000" w:themeColor="text1"/>
          <w:szCs w:val="24"/>
        </w:rPr>
        <w:t xml:space="preserve"> budget.</w:t>
      </w:r>
    </w:p>
    <w:p w14:paraId="2F57D56C" w14:textId="5A8C69FA" w:rsidR="004D3FDF" w:rsidRDefault="00E979A4" w:rsidP="00BA2D09">
      <w:pPr>
        <w:rPr>
          <w:rFonts w:ascii="Times New Roman" w:eastAsia="Times New Roman" w:hAnsi="Times New Roman" w:cs="Times New Roman"/>
          <w:bCs/>
          <w:szCs w:val="24"/>
          <w:lang w:eastAsia="en-GB"/>
        </w:rPr>
      </w:pPr>
      <w:r w:rsidRPr="00BA2D09">
        <w:t>In t</w:t>
      </w:r>
      <w:r w:rsidR="00BA4366" w:rsidRPr="00BA2D09">
        <w:t xml:space="preserve">his </w:t>
      </w:r>
      <w:r w:rsidR="00BA4366" w:rsidRPr="00265B1B">
        <w:t>article</w:t>
      </w:r>
      <w:r w:rsidRPr="00BA2D09">
        <w:t>,</w:t>
      </w:r>
      <w:r w:rsidR="009443D5" w:rsidRPr="00BA2D09">
        <w:t xml:space="preserve"> taking this upcoming commencement of the </w:t>
      </w:r>
      <w:r w:rsidR="00BA4366" w:rsidRPr="00BA2D09">
        <w:t>‘</w:t>
      </w:r>
      <w:r w:rsidR="009443D5" w:rsidRPr="00BA2D09">
        <w:t>socio-economic duty</w:t>
      </w:r>
      <w:r w:rsidR="00BA4366" w:rsidRPr="00BA2D09">
        <w:t>’</w:t>
      </w:r>
      <w:r w:rsidR="009443D5" w:rsidRPr="00BA2D09">
        <w:t xml:space="preserve"> in England </w:t>
      </w:r>
      <w:r w:rsidR="009443D5" w:rsidRPr="007C7BB9">
        <w:rPr>
          <w:rFonts w:ascii="Times New Roman" w:eastAsia="Times New Roman" w:hAnsi="Times New Roman" w:cs="Times New Roman"/>
          <w:bCs/>
          <w:szCs w:val="24"/>
          <w:lang w:eastAsia="en-GB"/>
        </w:rPr>
        <w:t>as its focus</w:t>
      </w:r>
      <w:r w:rsidR="009443D5">
        <w:rPr>
          <w:rFonts w:ascii="Times New Roman" w:eastAsia="Times New Roman" w:hAnsi="Times New Roman" w:cs="Times New Roman"/>
          <w:bCs/>
          <w:szCs w:val="24"/>
          <w:lang w:eastAsia="en-GB"/>
        </w:rPr>
        <w:t xml:space="preserve">, </w:t>
      </w:r>
      <w:r w:rsidRPr="007C7BB9">
        <w:rPr>
          <w:rFonts w:ascii="Times New Roman" w:eastAsia="Times New Roman" w:hAnsi="Times New Roman" w:cs="Times New Roman"/>
          <w:bCs/>
          <w:szCs w:val="24"/>
          <w:lang w:eastAsia="en-GB"/>
        </w:rPr>
        <w:t>I explore a question that has remained persistently under-ex</w:t>
      </w:r>
      <w:r>
        <w:rPr>
          <w:rFonts w:ascii="Times New Roman" w:eastAsia="Times New Roman" w:hAnsi="Times New Roman" w:cs="Times New Roman"/>
          <w:bCs/>
          <w:szCs w:val="24"/>
          <w:lang w:eastAsia="en-GB"/>
        </w:rPr>
        <w:t>amined</w:t>
      </w:r>
      <w:r w:rsidRPr="007C7BB9">
        <w:rPr>
          <w:rFonts w:ascii="Times New Roman" w:eastAsia="Times New Roman" w:hAnsi="Times New Roman" w:cs="Times New Roman"/>
          <w:bCs/>
          <w:szCs w:val="24"/>
          <w:lang w:eastAsia="en-GB"/>
        </w:rPr>
        <w:t>: what do civil servants think about the use of reflexive discrimination law?</w:t>
      </w:r>
      <w:r>
        <w:rPr>
          <w:rFonts w:ascii="Times New Roman" w:eastAsia="Times New Roman" w:hAnsi="Times New Roman" w:cs="Times New Roman"/>
          <w:bCs/>
          <w:szCs w:val="24"/>
          <w:lang w:eastAsia="en-GB"/>
        </w:rPr>
        <w:t xml:space="preserve"> </w:t>
      </w:r>
      <w:r w:rsidR="009443D5">
        <w:rPr>
          <w:rFonts w:ascii="Times New Roman" w:eastAsia="Times New Roman" w:hAnsi="Times New Roman" w:cs="Times New Roman"/>
          <w:bCs/>
          <w:szCs w:val="24"/>
          <w:lang w:eastAsia="en-GB"/>
        </w:rPr>
        <w:t>I</w:t>
      </w:r>
      <w:r w:rsidR="00F34D8F">
        <w:rPr>
          <w:rFonts w:ascii="Times New Roman" w:eastAsia="Times New Roman" w:hAnsi="Times New Roman" w:cs="Times New Roman"/>
          <w:bCs/>
          <w:szCs w:val="24"/>
          <w:lang w:eastAsia="en-GB"/>
        </w:rPr>
        <w:t xml:space="preserve"> detail the findings of a qualitative survey with 267 civil servants and a survey experiment with a further 432. </w:t>
      </w:r>
      <w:r w:rsidR="004D3FDF">
        <w:rPr>
          <w:rFonts w:ascii="Times New Roman" w:eastAsia="Times New Roman" w:hAnsi="Times New Roman" w:cs="Times New Roman"/>
          <w:bCs/>
          <w:szCs w:val="24"/>
          <w:lang w:eastAsia="en-GB"/>
        </w:rPr>
        <w:t xml:space="preserve">What emerged </w:t>
      </w:r>
      <w:r w:rsidR="006D67B6">
        <w:rPr>
          <w:rFonts w:ascii="Times New Roman" w:eastAsia="Times New Roman" w:hAnsi="Times New Roman" w:cs="Times New Roman"/>
          <w:bCs/>
          <w:szCs w:val="24"/>
          <w:lang w:eastAsia="en-GB"/>
        </w:rPr>
        <w:t>was a civil service that is broadly supportive of the policy, but with concerns across t</w:t>
      </w:r>
      <w:r w:rsidR="004D3FDF" w:rsidRPr="007C7BB9">
        <w:rPr>
          <w:rFonts w:ascii="Times New Roman" w:eastAsia="Times New Roman" w:hAnsi="Times New Roman" w:cs="Times New Roman"/>
          <w:bCs/>
          <w:szCs w:val="24"/>
          <w:lang w:eastAsia="en-GB"/>
        </w:rPr>
        <w:t>hree key themes</w:t>
      </w:r>
      <w:r w:rsidR="004D3FDF">
        <w:rPr>
          <w:rFonts w:ascii="Times New Roman" w:eastAsia="Times New Roman" w:hAnsi="Times New Roman" w:cs="Times New Roman"/>
          <w:bCs/>
          <w:szCs w:val="24"/>
          <w:lang w:eastAsia="en-GB"/>
        </w:rPr>
        <w:t>:</w:t>
      </w:r>
      <w:r w:rsidR="004D3FDF" w:rsidRPr="007C7BB9">
        <w:rPr>
          <w:rFonts w:ascii="Times New Roman" w:eastAsia="Times New Roman" w:hAnsi="Times New Roman" w:cs="Times New Roman"/>
          <w:bCs/>
          <w:szCs w:val="24"/>
          <w:lang w:eastAsia="en-GB"/>
        </w:rPr>
        <w:t xml:space="preserve"> a lack </w:t>
      </w:r>
      <w:r w:rsidR="004D3FDF">
        <w:rPr>
          <w:rFonts w:ascii="Times New Roman" w:eastAsia="Times New Roman" w:hAnsi="Times New Roman" w:cs="Times New Roman"/>
          <w:bCs/>
          <w:szCs w:val="24"/>
          <w:lang w:eastAsia="en-GB"/>
        </w:rPr>
        <w:t>of capacity</w:t>
      </w:r>
      <w:r w:rsidR="004D3FDF" w:rsidRPr="007C7BB9">
        <w:rPr>
          <w:rFonts w:ascii="Times New Roman" w:eastAsia="Times New Roman" w:hAnsi="Times New Roman" w:cs="Times New Roman"/>
          <w:bCs/>
          <w:szCs w:val="24"/>
          <w:lang w:eastAsia="en-GB"/>
        </w:rPr>
        <w:t xml:space="preserve"> for its effective implementation in a public sector that is already facing acute financial challenges</w:t>
      </w:r>
      <w:r w:rsidR="004D3FDF">
        <w:rPr>
          <w:rFonts w:ascii="Times New Roman" w:eastAsia="Times New Roman" w:hAnsi="Times New Roman" w:cs="Times New Roman"/>
          <w:bCs/>
          <w:szCs w:val="24"/>
          <w:lang w:eastAsia="en-GB"/>
        </w:rPr>
        <w:t xml:space="preserve">; </w:t>
      </w:r>
      <w:r w:rsidR="004D3FDF" w:rsidRPr="007C7BB9">
        <w:rPr>
          <w:rFonts w:ascii="Times New Roman" w:eastAsia="Times New Roman" w:hAnsi="Times New Roman" w:cs="Times New Roman"/>
          <w:bCs/>
          <w:szCs w:val="24"/>
          <w:lang w:eastAsia="en-GB"/>
        </w:rPr>
        <w:t xml:space="preserve">associated concerns about a </w:t>
      </w:r>
      <w:r w:rsidR="00BA4366">
        <w:rPr>
          <w:rFonts w:ascii="Times New Roman" w:eastAsia="Times New Roman" w:hAnsi="Times New Roman" w:cs="Times New Roman"/>
          <w:bCs/>
          <w:szCs w:val="24"/>
          <w:lang w:eastAsia="en-GB"/>
        </w:rPr>
        <w:t>‘</w:t>
      </w:r>
      <w:r w:rsidR="00265B1B" w:rsidRPr="00BA2D09">
        <w:t>tick</w:t>
      </w:r>
      <w:r w:rsidR="00265B1B" w:rsidRPr="00265B1B">
        <w:t>-</w:t>
      </w:r>
      <w:r w:rsidR="00265B1B" w:rsidRPr="00BA2D09">
        <w:t>box</w:t>
      </w:r>
      <w:r w:rsidR="004D3FDF" w:rsidRPr="00BA2D09">
        <w:t xml:space="preserve"> mentality</w:t>
      </w:r>
      <w:r w:rsidR="00BA4366" w:rsidRPr="00BA2D09">
        <w:t>’</w:t>
      </w:r>
      <w:r w:rsidR="004D3FDF" w:rsidRPr="00BA2D09">
        <w:t xml:space="preserve">, </w:t>
      </w:r>
      <w:r w:rsidR="004D3FDF" w:rsidRPr="007C7BB9">
        <w:rPr>
          <w:rFonts w:ascii="Times New Roman" w:eastAsia="Times New Roman" w:hAnsi="Times New Roman" w:cs="Times New Roman"/>
          <w:bCs/>
          <w:szCs w:val="24"/>
          <w:lang w:eastAsia="en-GB"/>
        </w:rPr>
        <w:t>where the duty would be discharged in form</w:t>
      </w:r>
      <w:r w:rsidR="00265B1B">
        <w:rPr>
          <w:rFonts w:ascii="Times New Roman" w:eastAsia="Times New Roman" w:hAnsi="Times New Roman" w:cs="Times New Roman"/>
          <w:bCs/>
          <w:szCs w:val="24"/>
          <w:lang w:eastAsia="en-GB"/>
        </w:rPr>
        <w:t>,</w:t>
      </w:r>
      <w:r w:rsidR="004D3FDF" w:rsidRPr="007C7BB9">
        <w:rPr>
          <w:rFonts w:ascii="Times New Roman" w:eastAsia="Times New Roman" w:hAnsi="Times New Roman" w:cs="Times New Roman"/>
          <w:bCs/>
          <w:szCs w:val="24"/>
          <w:lang w:eastAsia="en-GB"/>
        </w:rPr>
        <w:t xml:space="preserve"> if not in spirit</w:t>
      </w:r>
      <w:r w:rsidR="004D3FDF">
        <w:rPr>
          <w:rFonts w:ascii="Times New Roman" w:eastAsia="Times New Roman" w:hAnsi="Times New Roman" w:cs="Times New Roman"/>
          <w:bCs/>
          <w:szCs w:val="24"/>
          <w:lang w:eastAsia="en-GB"/>
        </w:rPr>
        <w:t>; and</w:t>
      </w:r>
      <w:r w:rsidR="00265B1B">
        <w:rPr>
          <w:rFonts w:ascii="Times New Roman" w:eastAsia="Times New Roman" w:hAnsi="Times New Roman" w:cs="Times New Roman"/>
          <w:bCs/>
          <w:szCs w:val="24"/>
          <w:lang w:eastAsia="en-GB"/>
        </w:rPr>
        <w:t>—</w:t>
      </w:r>
      <w:r w:rsidR="004D3FDF" w:rsidRPr="007C7BB9">
        <w:rPr>
          <w:rFonts w:ascii="Times New Roman" w:eastAsia="Times New Roman" w:hAnsi="Times New Roman" w:cs="Times New Roman"/>
          <w:bCs/>
          <w:szCs w:val="24"/>
          <w:lang w:eastAsia="en-GB"/>
        </w:rPr>
        <w:t>initially seemingly at odds with the first two</w:t>
      </w:r>
      <w:r w:rsidR="00265B1B">
        <w:rPr>
          <w:rFonts w:ascii="Times New Roman" w:eastAsia="Times New Roman" w:hAnsi="Times New Roman" w:cs="Times New Roman"/>
          <w:bCs/>
          <w:szCs w:val="24"/>
          <w:lang w:eastAsia="en-GB"/>
        </w:rPr>
        <w:t>—</w:t>
      </w:r>
      <w:r w:rsidR="004D3FDF" w:rsidRPr="007C7BB9">
        <w:rPr>
          <w:rFonts w:ascii="Times New Roman" w:eastAsia="Times New Roman" w:hAnsi="Times New Roman" w:cs="Times New Roman"/>
          <w:bCs/>
          <w:szCs w:val="24"/>
          <w:lang w:eastAsia="en-GB"/>
        </w:rPr>
        <w:t>a view that to be effective, such a duty must be tied to clear external enforcement</w:t>
      </w:r>
      <w:r w:rsidR="004D3FDF">
        <w:rPr>
          <w:rFonts w:ascii="Times New Roman" w:eastAsia="Times New Roman" w:hAnsi="Times New Roman" w:cs="Times New Roman"/>
          <w:bCs/>
          <w:szCs w:val="24"/>
          <w:lang w:eastAsia="en-GB"/>
        </w:rPr>
        <w:t>.</w:t>
      </w:r>
      <w:r w:rsidR="004D3FDF" w:rsidRPr="005457C3">
        <w:rPr>
          <w:rFonts w:ascii="Times New Roman" w:eastAsia="Times New Roman" w:hAnsi="Times New Roman" w:cs="Times New Roman"/>
          <w:bCs/>
          <w:szCs w:val="24"/>
          <w:lang w:eastAsia="en-GB"/>
        </w:rPr>
        <w:t xml:space="preserve"> </w:t>
      </w:r>
      <w:r w:rsidR="004D3FDF">
        <w:rPr>
          <w:rFonts w:ascii="Times New Roman" w:eastAsia="Times New Roman" w:hAnsi="Times New Roman" w:cs="Times New Roman"/>
          <w:bCs/>
          <w:szCs w:val="24"/>
          <w:lang w:eastAsia="en-GB"/>
        </w:rPr>
        <w:t xml:space="preserve">In </w:t>
      </w:r>
      <w:r w:rsidR="006D67B6">
        <w:rPr>
          <w:rFonts w:ascii="Times New Roman" w:eastAsia="Times New Roman" w:hAnsi="Times New Roman" w:cs="Times New Roman"/>
          <w:bCs/>
          <w:szCs w:val="24"/>
          <w:lang w:eastAsia="en-GB"/>
        </w:rPr>
        <w:t>the</w:t>
      </w:r>
      <w:r w:rsidR="004D3FDF">
        <w:rPr>
          <w:rFonts w:ascii="Times New Roman" w:eastAsia="Times New Roman" w:hAnsi="Times New Roman" w:cs="Times New Roman"/>
          <w:bCs/>
          <w:szCs w:val="24"/>
          <w:lang w:eastAsia="en-GB"/>
        </w:rPr>
        <w:t xml:space="preserve"> survey experiment, </w:t>
      </w:r>
      <w:r w:rsidR="004D3FDF" w:rsidRPr="007C7BB9">
        <w:rPr>
          <w:rFonts w:ascii="Times New Roman" w:eastAsia="Times New Roman" w:hAnsi="Times New Roman" w:cs="Times New Roman"/>
          <w:bCs/>
          <w:szCs w:val="24"/>
          <w:lang w:eastAsia="en-GB"/>
        </w:rPr>
        <w:t>I take two of the</w:t>
      </w:r>
      <w:r w:rsidR="004D3FDF">
        <w:rPr>
          <w:rFonts w:ascii="Times New Roman" w:eastAsia="Times New Roman" w:hAnsi="Times New Roman" w:cs="Times New Roman"/>
          <w:bCs/>
          <w:szCs w:val="24"/>
          <w:lang w:eastAsia="en-GB"/>
        </w:rPr>
        <w:t>se</w:t>
      </w:r>
      <w:r w:rsidR="004D3FDF" w:rsidRPr="007C7BB9">
        <w:rPr>
          <w:rFonts w:ascii="Times New Roman" w:eastAsia="Times New Roman" w:hAnsi="Times New Roman" w:cs="Times New Roman"/>
          <w:bCs/>
          <w:szCs w:val="24"/>
          <w:lang w:eastAsia="en-GB"/>
        </w:rPr>
        <w:t xml:space="preserve"> themes</w:t>
      </w:r>
      <w:r w:rsidR="00265B1B">
        <w:rPr>
          <w:rFonts w:ascii="Times New Roman" w:eastAsia="Times New Roman" w:hAnsi="Times New Roman" w:cs="Times New Roman"/>
          <w:bCs/>
          <w:szCs w:val="24"/>
          <w:lang w:eastAsia="en-GB"/>
        </w:rPr>
        <w:t>—</w:t>
      </w:r>
      <w:r w:rsidR="004D3FDF" w:rsidRPr="007C7BB9">
        <w:rPr>
          <w:rFonts w:ascii="Times New Roman" w:eastAsia="Times New Roman" w:hAnsi="Times New Roman" w:cs="Times New Roman"/>
          <w:bCs/>
          <w:szCs w:val="24"/>
          <w:lang w:eastAsia="en-GB"/>
        </w:rPr>
        <w:t>resources and enforcement</w:t>
      </w:r>
      <w:r w:rsidR="00265B1B">
        <w:rPr>
          <w:rFonts w:ascii="Times New Roman" w:eastAsia="Times New Roman" w:hAnsi="Times New Roman" w:cs="Times New Roman"/>
          <w:bCs/>
          <w:szCs w:val="24"/>
          <w:lang w:eastAsia="en-GB"/>
        </w:rPr>
        <w:t>—</w:t>
      </w:r>
      <w:r w:rsidR="004D3FDF" w:rsidRPr="007C7BB9">
        <w:rPr>
          <w:rFonts w:ascii="Times New Roman" w:eastAsia="Times New Roman" w:hAnsi="Times New Roman" w:cs="Times New Roman"/>
          <w:bCs/>
          <w:szCs w:val="24"/>
          <w:lang w:eastAsia="en-GB"/>
        </w:rPr>
        <w:t>to explore their impact on the third</w:t>
      </w:r>
      <w:r w:rsidR="00265B1B">
        <w:rPr>
          <w:rFonts w:ascii="Times New Roman" w:eastAsia="Times New Roman" w:hAnsi="Times New Roman" w:cs="Times New Roman"/>
          <w:bCs/>
          <w:szCs w:val="24"/>
          <w:lang w:eastAsia="en-GB"/>
        </w:rPr>
        <w:t>—</w:t>
      </w:r>
      <w:r w:rsidR="00BA0011">
        <w:rPr>
          <w:rFonts w:ascii="Times New Roman" w:eastAsia="Times New Roman" w:hAnsi="Times New Roman" w:cs="Times New Roman"/>
          <w:bCs/>
          <w:szCs w:val="24"/>
          <w:lang w:eastAsia="en-GB"/>
        </w:rPr>
        <w:t xml:space="preserve">attitudes </w:t>
      </w:r>
      <w:r w:rsidR="004D3FDF" w:rsidRPr="007C7BB9">
        <w:rPr>
          <w:rFonts w:ascii="Times New Roman" w:eastAsia="Times New Roman" w:hAnsi="Times New Roman" w:cs="Times New Roman"/>
          <w:bCs/>
          <w:szCs w:val="24"/>
          <w:lang w:eastAsia="en-GB"/>
        </w:rPr>
        <w:t xml:space="preserve">that the policy </w:t>
      </w:r>
      <w:r w:rsidR="004D3FDF">
        <w:rPr>
          <w:rFonts w:ascii="Times New Roman" w:eastAsia="Times New Roman" w:hAnsi="Times New Roman" w:cs="Times New Roman"/>
          <w:bCs/>
          <w:szCs w:val="24"/>
          <w:lang w:eastAsia="en-GB"/>
        </w:rPr>
        <w:t>will be</w:t>
      </w:r>
      <w:r w:rsidR="004D3FDF" w:rsidRPr="007C7BB9">
        <w:rPr>
          <w:rFonts w:ascii="Times New Roman" w:eastAsia="Times New Roman" w:hAnsi="Times New Roman" w:cs="Times New Roman"/>
          <w:bCs/>
          <w:szCs w:val="24"/>
          <w:lang w:eastAsia="en-GB"/>
        </w:rPr>
        <w:t xml:space="preserve"> a </w:t>
      </w:r>
      <w:r w:rsidR="00BA4366" w:rsidRPr="00BA2D09">
        <w:t>‘</w:t>
      </w:r>
      <w:r w:rsidR="00265B1B" w:rsidRPr="00BA2D09">
        <w:t>tick</w:t>
      </w:r>
      <w:r w:rsidR="00265B1B" w:rsidRPr="00265B1B">
        <w:t>-</w:t>
      </w:r>
      <w:r w:rsidR="00265B1B" w:rsidRPr="00BA2D09">
        <w:t>box</w:t>
      </w:r>
      <w:r w:rsidR="00BA4366" w:rsidRPr="00BA2D09">
        <w:t>’</w:t>
      </w:r>
      <w:r w:rsidR="004D3FDF" w:rsidRPr="00BA2D09">
        <w:t xml:space="preserve"> exercise. The results demonstrate that both increased resources and enforcement significantly decrease</w:t>
      </w:r>
      <w:r w:rsidR="00BA0011" w:rsidRPr="00BA2D09">
        <w:t xml:space="preserve"> civil servant</w:t>
      </w:r>
      <w:r w:rsidR="004D3FDF" w:rsidRPr="00BA2D09">
        <w:t xml:space="preserve"> perceptions that the policy is a </w:t>
      </w:r>
      <w:r w:rsidR="00BA4366" w:rsidRPr="00BA2D09">
        <w:t>‘</w:t>
      </w:r>
      <w:r w:rsidR="00265B1B" w:rsidRPr="00BA2D09">
        <w:t>tick</w:t>
      </w:r>
      <w:r w:rsidR="00265B1B" w:rsidRPr="00265B1B">
        <w:t>-</w:t>
      </w:r>
      <w:r w:rsidR="00265B1B" w:rsidRPr="00BA2D09">
        <w:t>box</w:t>
      </w:r>
      <w:r w:rsidR="00BA4366" w:rsidRPr="00BA2D09">
        <w:t>’</w:t>
      </w:r>
      <w:r w:rsidR="004D3FDF" w:rsidRPr="00BA2D09">
        <w:t xml:space="preserve"> exercis</w:t>
      </w:r>
      <w:r w:rsidR="004D3FDF" w:rsidRPr="007C7BB9">
        <w:rPr>
          <w:rFonts w:ascii="Times New Roman" w:eastAsia="Times New Roman" w:hAnsi="Times New Roman" w:cs="Times New Roman"/>
          <w:bCs/>
          <w:szCs w:val="24"/>
          <w:lang w:eastAsia="en-GB"/>
        </w:rPr>
        <w:t>e and increase perceptions that it will be effective.</w:t>
      </w:r>
    </w:p>
    <w:p w14:paraId="57A35671" w14:textId="1DFA1121" w:rsidR="004D3FDF" w:rsidRPr="00160D1C" w:rsidRDefault="004D3FDF" w:rsidP="00BA2D09">
      <w:pPr>
        <w:rPr>
          <w:rFonts w:ascii="Times New Roman" w:eastAsia="Times New Roman" w:hAnsi="Times New Roman" w:cs="Times New Roman"/>
          <w:bCs/>
          <w:szCs w:val="24"/>
          <w:lang w:eastAsia="en-GB"/>
        </w:rPr>
      </w:pPr>
      <w:r>
        <w:rPr>
          <w:rFonts w:ascii="Times New Roman" w:eastAsia="Times New Roman" w:hAnsi="Times New Roman" w:cs="Times New Roman"/>
          <w:bCs/>
          <w:szCs w:val="24"/>
          <w:lang w:eastAsia="en-GB"/>
        </w:rPr>
        <w:t>Explaining these findings leads t</w:t>
      </w:r>
      <w:r w:rsidRPr="005457C3">
        <w:rPr>
          <w:rFonts w:ascii="Times New Roman" w:eastAsia="Times New Roman" w:hAnsi="Times New Roman" w:cs="Times New Roman"/>
          <w:bCs/>
          <w:szCs w:val="24"/>
          <w:lang w:eastAsia="en-GB"/>
        </w:rPr>
        <w:t>o the broader argument of</w:t>
      </w:r>
      <w:r w:rsidRPr="00BA2D09">
        <w:t xml:space="preserve"> t</w:t>
      </w:r>
      <w:r w:rsidR="00BA4366" w:rsidRPr="00BA2D09">
        <w:t xml:space="preserve">his </w:t>
      </w:r>
      <w:r w:rsidR="00BA4366" w:rsidRPr="00130F23">
        <w:t>article</w:t>
      </w:r>
      <w:r w:rsidRPr="00BA2D09">
        <w:t xml:space="preserve">: </w:t>
      </w:r>
      <w:bookmarkStart w:id="6" w:name="_Hlk217996497"/>
      <w:r w:rsidRPr="00BA2D09">
        <w:t>r</w:t>
      </w:r>
      <w:r w:rsidRPr="005457C3">
        <w:rPr>
          <w:rFonts w:ascii="Times New Roman" w:eastAsia="Times New Roman" w:hAnsi="Times New Roman" w:cs="Times New Roman"/>
          <w:bCs/>
          <w:szCs w:val="24"/>
          <w:lang w:eastAsia="en-GB"/>
        </w:rPr>
        <w:t xml:space="preserve">esearch </w:t>
      </w:r>
      <w:r w:rsidR="00BA0011">
        <w:rPr>
          <w:rFonts w:ascii="Times New Roman" w:eastAsia="Times New Roman" w:hAnsi="Times New Roman" w:cs="Times New Roman"/>
          <w:bCs/>
          <w:szCs w:val="24"/>
          <w:lang w:eastAsia="en-GB"/>
        </w:rPr>
        <w:t>in the burgeoning field of</w:t>
      </w:r>
      <w:r w:rsidRPr="005457C3">
        <w:rPr>
          <w:rFonts w:ascii="Times New Roman" w:eastAsia="Times New Roman" w:hAnsi="Times New Roman" w:cs="Times New Roman"/>
          <w:bCs/>
          <w:szCs w:val="24"/>
          <w:lang w:eastAsia="en-GB"/>
        </w:rPr>
        <w:t xml:space="preserve"> </w:t>
      </w:r>
      <w:r w:rsidR="00BA4366">
        <w:rPr>
          <w:rFonts w:ascii="Times New Roman" w:eastAsia="Times New Roman" w:hAnsi="Times New Roman" w:cs="Times New Roman"/>
          <w:bCs/>
          <w:szCs w:val="24"/>
          <w:lang w:eastAsia="en-GB"/>
        </w:rPr>
        <w:t>‘</w:t>
      </w:r>
      <w:r w:rsidRPr="005457C3">
        <w:rPr>
          <w:rFonts w:ascii="Times New Roman" w:eastAsia="Times New Roman" w:hAnsi="Times New Roman" w:cs="Times New Roman"/>
          <w:bCs/>
          <w:szCs w:val="24"/>
          <w:lang w:eastAsia="en-GB"/>
        </w:rPr>
        <w:t>blame avoidance</w:t>
      </w:r>
      <w:r w:rsidR="00BA4366">
        <w:rPr>
          <w:rFonts w:ascii="Times New Roman" w:eastAsia="Times New Roman" w:hAnsi="Times New Roman" w:cs="Times New Roman"/>
          <w:bCs/>
          <w:szCs w:val="24"/>
          <w:lang w:eastAsia="en-GB"/>
        </w:rPr>
        <w:t>’</w:t>
      </w:r>
      <w:r w:rsidRPr="005457C3">
        <w:rPr>
          <w:rFonts w:ascii="Times New Roman" w:eastAsia="Times New Roman" w:hAnsi="Times New Roman" w:cs="Times New Roman"/>
          <w:bCs/>
          <w:szCs w:val="24"/>
          <w:lang w:eastAsia="en-GB"/>
        </w:rPr>
        <w:t xml:space="preserve"> can help to understand and interrogate criticisms levelled at</w:t>
      </w:r>
      <w:r>
        <w:rPr>
          <w:rFonts w:ascii="Times New Roman" w:eastAsia="Times New Roman" w:hAnsi="Times New Roman" w:cs="Times New Roman"/>
          <w:bCs/>
          <w:szCs w:val="24"/>
          <w:lang w:eastAsia="en-GB"/>
        </w:rPr>
        <w:t xml:space="preserve"> the </w:t>
      </w:r>
      <w:r w:rsidR="000A3BAD" w:rsidRPr="000A3BAD">
        <w:t>socio-economic duty</w:t>
      </w:r>
      <w:r w:rsidRPr="00BA2D09">
        <w:t xml:space="preserve"> and reflexive law duties more generally.</w:t>
      </w:r>
      <w:bookmarkEnd w:id="6"/>
      <w:r w:rsidRPr="00BA2D09">
        <w:t xml:space="preserve"> Researchers </w:t>
      </w:r>
      <w:r w:rsidRPr="007C7BB9">
        <w:rPr>
          <w:rFonts w:ascii="Times New Roman" w:eastAsia="Times New Roman" w:hAnsi="Times New Roman" w:cs="Times New Roman"/>
          <w:bCs/>
          <w:szCs w:val="24"/>
          <w:lang w:eastAsia="en-GB"/>
        </w:rPr>
        <w:t>have long identified proactive strategies policy</w:t>
      </w:r>
      <w:r w:rsidR="00130F23">
        <w:rPr>
          <w:rFonts w:ascii="Times New Roman" w:eastAsia="Times New Roman" w:hAnsi="Times New Roman" w:cs="Times New Roman"/>
          <w:bCs/>
          <w:szCs w:val="24"/>
          <w:lang w:eastAsia="en-GB"/>
        </w:rPr>
        <w:t xml:space="preserve"> mak</w:t>
      </w:r>
      <w:r w:rsidRPr="007C7BB9">
        <w:rPr>
          <w:rFonts w:ascii="Times New Roman" w:eastAsia="Times New Roman" w:hAnsi="Times New Roman" w:cs="Times New Roman"/>
          <w:bCs/>
          <w:szCs w:val="24"/>
          <w:lang w:eastAsia="en-GB"/>
        </w:rPr>
        <w:t xml:space="preserve">ers can adopt to avoid the finger pointing </w:t>
      </w:r>
      <w:r w:rsidRPr="007C7BB9">
        <w:rPr>
          <w:rFonts w:ascii="Times New Roman" w:eastAsia="Times New Roman" w:hAnsi="Times New Roman" w:cs="Times New Roman"/>
          <w:bCs/>
          <w:szCs w:val="24"/>
          <w:lang w:eastAsia="en-GB"/>
        </w:rPr>
        <w:lastRenderedPageBreak/>
        <w:t>at them when things go wrong.</w:t>
      </w:r>
      <w:r w:rsidR="00BA0011" w:rsidRPr="007C7BB9">
        <w:rPr>
          <w:rStyle w:val="FootnoteReference"/>
          <w:rFonts w:ascii="Times New Roman" w:eastAsia="Times New Roman" w:hAnsi="Times New Roman" w:cs="Times New Roman"/>
          <w:color w:val="000000" w:themeColor="text1"/>
          <w:szCs w:val="24"/>
          <w:lang w:eastAsia="en-GB"/>
        </w:rPr>
        <w:footnoteReference w:id="11"/>
      </w:r>
      <w:r w:rsidRPr="00AB7FF8">
        <w:rPr>
          <w:rFonts w:ascii="Times New Roman" w:eastAsia="Times New Roman" w:hAnsi="Times New Roman" w:cs="Times New Roman"/>
          <w:bCs/>
          <w:szCs w:val="24"/>
          <w:lang w:eastAsia="en-GB"/>
        </w:rPr>
        <w:t xml:space="preserve"> </w:t>
      </w:r>
      <w:r>
        <w:rPr>
          <w:rFonts w:ascii="Times New Roman" w:eastAsia="Times New Roman" w:hAnsi="Times New Roman" w:cs="Times New Roman"/>
          <w:bCs/>
          <w:szCs w:val="24"/>
          <w:lang w:eastAsia="en-GB"/>
        </w:rPr>
        <w:t xml:space="preserve">The same strategies that underpin reflexive law tools bear striking structural similarities to well-established blame avoidance strategies, leaving them open to critique </w:t>
      </w:r>
      <w:r w:rsidR="00BD4698">
        <w:rPr>
          <w:rFonts w:ascii="Times New Roman" w:eastAsia="Times New Roman" w:hAnsi="Times New Roman" w:cs="Times New Roman"/>
          <w:bCs/>
          <w:szCs w:val="24"/>
          <w:lang w:eastAsia="en-GB"/>
        </w:rPr>
        <w:t>along these same lines</w:t>
      </w:r>
      <w:r>
        <w:rPr>
          <w:rFonts w:ascii="Times New Roman" w:eastAsia="Times New Roman" w:hAnsi="Times New Roman" w:cs="Times New Roman"/>
          <w:bCs/>
          <w:szCs w:val="24"/>
          <w:lang w:eastAsia="en-GB"/>
        </w:rPr>
        <w:t xml:space="preserve">. </w:t>
      </w:r>
      <w:bookmarkStart w:id="7" w:name="_Hlk217996900"/>
      <w:r>
        <w:rPr>
          <w:rFonts w:ascii="Times New Roman" w:eastAsia="Times New Roman" w:hAnsi="Times New Roman" w:cs="Times New Roman"/>
          <w:bCs/>
          <w:szCs w:val="24"/>
          <w:lang w:eastAsia="en-GB"/>
        </w:rPr>
        <w:t>Understood in this way, I argue th</w:t>
      </w:r>
      <w:r w:rsidRPr="00BA2D09">
        <w:t>at the findings in t</w:t>
      </w:r>
      <w:r w:rsidR="00BA4366" w:rsidRPr="00BA2D09">
        <w:t xml:space="preserve">his </w:t>
      </w:r>
      <w:r w:rsidR="00BA4366" w:rsidRPr="000A3BAD">
        <w:t>article</w:t>
      </w:r>
      <w:r w:rsidRPr="00BA2D09">
        <w:t xml:space="preserve"> demonstrate</w:t>
      </w:r>
      <w:r>
        <w:rPr>
          <w:rFonts w:ascii="Times New Roman" w:eastAsia="Times New Roman" w:hAnsi="Times New Roman" w:cs="Times New Roman"/>
          <w:bCs/>
          <w:szCs w:val="24"/>
          <w:lang w:eastAsia="en-GB"/>
        </w:rPr>
        <w:t xml:space="preserve"> that, in the absence of adequate resources and </w:t>
      </w:r>
      <w:r w:rsidRPr="00160D1C">
        <w:rPr>
          <w:rFonts w:ascii="Times New Roman" w:eastAsia="Times New Roman" w:hAnsi="Times New Roman" w:cs="Times New Roman"/>
          <w:bCs/>
          <w:szCs w:val="24"/>
          <w:lang w:eastAsia="en-GB"/>
        </w:rPr>
        <w:t xml:space="preserve">enforcement, the bringing in of the socio-economic duty will be less likely to </w:t>
      </w:r>
      <w:r>
        <w:rPr>
          <w:rFonts w:ascii="Times New Roman" w:eastAsia="Times New Roman" w:hAnsi="Times New Roman" w:cs="Times New Roman"/>
          <w:bCs/>
          <w:szCs w:val="24"/>
          <w:lang w:eastAsia="en-GB"/>
        </w:rPr>
        <w:t xml:space="preserve">be effective at reducing </w:t>
      </w:r>
      <w:r w:rsidRPr="00160D1C">
        <w:rPr>
          <w:rFonts w:ascii="Times New Roman" w:eastAsia="Times New Roman" w:hAnsi="Times New Roman" w:cs="Times New Roman"/>
          <w:bCs/>
          <w:szCs w:val="24"/>
          <w:lang w:eastAsia="en-GB"/>
        </w:rPr>
        <w:t xml:space="preserve">socio-economic inequality and more likely to trigger </w:t>
      </w:r>
      <w:r w:rsidR="00BA4366">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blame games</w:t>
      </w:r>
      <w:r w:rsidR="00BA4366">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 xml:space="preserve"> between central government and the public authorities subject to the duty.</w:t>
      </w:r>
      <w:bookmarkEnd w:id="7"/>
    </w:p>
    <w:p w14:paraId="5F11C41D" w14:textId="0A70D302" w:rsidR="00AF117B" w:rsidRPr="00C415A9" w:rsidRDefault="004D3FDF" w:rsidP="00BA2D09">
      <w:pPr>
        <w:rPr>
          <w:rFonts w:ascii="Times New Roman" w:eastAsia="Times New Roman" w:hAnsi="Times New Roman" w:cs="Times New Roman"/>
          <w:bCs/>
          <w:szCs w:val="24"/>
          <w:lang w:eastAsia="en-GB"/>
        </w:rPr>
      </w:pPr>
      <w:r w:rsidRPr="00160D1C">
        <w:rPr>
          <w:rFonts w:ascii="Times New Roman" w:eastAsia="Times New Roman" w:hAnsi="Times New Roman" w:cs="Times New Roman"/>
          <w:bCs/>
          <w:szCs w:val="24"/>
          <w:lang w:eastAsia="en-GB"/>
        </w:rPr>
        <w:t>Th</w:t>
      </w:r>
      <w:r w:rsidRPr="00BA2D09">
        <w:t xml:space="preserve">e </w:t>
      </w:r>
      <w:r w:rsidR="000A3BAD">
        <w:t xml:space="preserve">rest of the </w:t>
      </w:r>
      <w:r w:rsidR="00BA4366" w:rsidRPr="000A3BAD">
        <w:t>article</w:t>
      </w:r>
      <w:r w:rsidRPr="000A3BAD">
        <w:t xml:space="preserve"> </w:t>
      </w:r>
      <w:r w:rsidR="000A3BAD">
        <w:t xml:space="preserve">is </w:t>
      </w:r>
      <w:r w:rsidRPr="000A3BAD">
        <w:t>divide</w:t>
      </w:r>
      <w:r w:rsidR="000A3BAD">
        <w:t>d</w:t>
      </w:r>
      <w:r w:rsidRPr="00BA2D09">
        <w:t xml:space="preserve"> into f</w:t>
      </w:r>
      <w:r w:rsidRPr="00160D1C">
        <w:rPr>
          <w:rFonts w:ascii="Times New Roman" w:eastAsia="Times New Roman" w:hAnsi="Times New Roman" w:cs="Times New Roman"/>
          <w:bCs/>
          <w:szCs w:val="24"/>
          <w:lang w:eastAsia="en-GB"/>
        </w:rPr>
        <w:t xml:space="preserve">our sections. In </w:t>
      </w:r>
      <w:r w:rsidR="000A3BAD">
        <w:rPr>
          <w:rFonts w:ascii="Times New Roman" w:eastAsia="Times New Roman" w:hAnsi="Times New Roman" w:cs="Times New Roman"/>
          <w:bCs/>
          <w:szCs w:val="24"/>
          <w:lang w:eastAsia="en-GB"/>
        </w:rPr>
        <w:t>section 2</w:t>
      </w:r>
      <w:r w:rsidRPr="00160D1C">
        <w:rPr>
          <w:rFonts w:ascii="Times New Roman" w:eastAsia="Times New Roman" w:hAnsi="Times New Roman" w:cs="Times New Roman"/>
          <w:bCs/>
          <w:szCs w:val="24"/>
          <w:lang w:eastAsia="en-GB"/>
        </w:rPr>
        <w:t>, I set out the potential and promise of t</w:t>
      </w:r>
      <w:r w:rsidRPr="00BA2D09">
        <w:t xml:space="preserve">he </w:t>
      </w:r>
      <w:r w:rsidR="000A3BAD" w:rsidRPr="000A3BAD">
        <w:t>socio-economic duty</w:t>
      </w:r>
      <w:r w:rsidRPr="00BA2D09">
        <w:t>, focus</w:t>
      </w:r>
      <w:r w:rsidRPr="00160D1C">
        <w:rPr>
          <w:rFonts w:ascii="Times New Roman" w:eastAsia="Times New Roman" w:hAnsi="Times New Roman" w:cs="Times New Roman"/>
          <w:bCs/>
          <w:szCs w:val="24"/>
          <w:lang w:eastAsia="en-GB"/>
        </w:rPr>
        <w:t>ing on three key reflexive law mechanisms in the duty</w:t>
      </w:r>
      <w:r w:rsidR="00265B1B">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 xml:space="preserve">the use of the </w:t>
      </w:r>
      <w:r w:rsidR="00BA4366">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due regard</w:t>
      </w:r>
      <w:r w:rsidR="00BA4366">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 xml:space="preserve"> formulation, </w:t>
      </w:r>
      <w:r w:rsidR="00C03D27">
        <w:rPr>
          <w:rFonts w:ascii="Times New Roman" w:eastAsia="Times New Roman" w:hAnsi="Times New Roman" w:cs="Times New Roman"/>
          <w:bCs/>
          <w:szCs w:val="24"/>
          <w:lang w:eastAsia="en-GB"/>
        </w:rPr>
        <w:t>the widespread use</w:t>
      </w:r>
      <w:r w:rsidRPr="00160D1C">
        <w:rPr>
          <w:rFonts w:ascii="Times New Roman" w:eastAsia="Times New Roman" w:hAnsi="Times New Roman" w:cs="Times New Roman"/>
          <w:bCs/>
          <w:szCs w:val="24"/>
          <w:lang w:eastAsia="en-GB"/>
        </w:rPr>
        <w:t xml:space="preserve"> o</w:t>
      </w:r>
      <w:r w:rsidR="00632616">
        <w:rPr>
          <w:rFonts w:ascii="Times New Roman" w:eastAsia="Times New Roman" w:hAnsi="Times New Roman" w:cs="Times New Roman"/>
          <w:bCs/>
          <w:szCs w:val="24"/>
          <w:lang w:eastAsia="en-GB"/>
        </w:rPr>
        <w:t>f</w:t>
      </w:r>
      <w:r w:rsidRPr="00160D1C">
        <w:rPr>
          <w:rFonts w:ascii="Times New Roman" w:eastAsia="Times New Roman" w:hAnsi="Times New Roman" w:cs="Times New Roman"/>
          <w:bCs/>
          <w:szCs w:val="24"/>
          <w:lang w:eastAsia="en-GB"/>
        </w:rPr>
        <w:t xml:space="preserve"> impact assessments and the emphasis on stakeholder engagement. I then turn to how critiques against the duty</w:t>
      </w:r>
      <w:r w:rsidR="00265B1B">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and</w:t>
      </w:r>
      <w:r w:rsidR="00C03D27">
        <w:rPr>
          <w:rFonts w:ascii="Times New Roman" w:eastAsia="Times New Roman" w:hAnsi="Times New Roman" w:cs="Times New Roman"/>
          <w:bCs/>
          <w:szCs w:val="24"/>
          <w:lang w:eastAsia="en-GB"/>
        </w:rPr>
        <w:t xml:space="preserve"> by extension</w:t>
      </w:r>
      <w:r w:rsidRPr="00160D1C">
        <w:rPr>
          <w:rFonts w:ascii="Times New Roman" w:eastAsia="Times New Roman" w:hAnsi="Times New Roman" w:cs="Times New Roman"/>
          <w:bCs/>
          <w:szCs w:val="24"/>
          <w:lang w:eastAsia="en-GB"/>
        </w:rPr>
        <w:t xml:space="preserve"> against reflexive law approaches more generally</w:t>
      </w:r>
      <w:r w:rsidR="00265B1B">
        <w:rPr>
          <w:rFonts w:ascii="Times New Roman" w:eastAsia="Times New Roman" w:hAnsi="Times New Roman" w:cs="Times New Roman"/>
          <w:bCs/>
          <w:szCs w:val="24"/>
          <w:lang w:eastAsia="en-GB"/>
        </w:rPr>
        <w:t>—</w:t>
      </w:r>
      <w:r w:rsidRPr="00160D1C">
        <w:rPr>
          <w:rFonts w:ascii="Times New Roman" w:eastAsia="Times New Roman" w:hAnsi="Times New Roman" w:cs="Times New Roman"/>
          <w:bCs/>
          <w:szCs w:val="24"/>
          <w:lang w:eastAsia="en-GB"/>
        </w:rPr>
        <w:t>map onto strategies identified within the blame avoidance literature.</w:t>
      </w:r>
      <w:r>
        <w:rPr>
          <w:rFonts w:ascii="Times New Roman" w:eastAsia="Times New Roman" w:hAnsi="Times New Roman" w:cs="Times New Roman"/>
          <w:bCs/>
          <w:szCs w:val="24"/>
          <w:lang w:eastAsia="en-GB"/>
        </w:rPr>
        <w:t xml:space="preserve"> This sets up the analysis of the qualitative and quantitative data that follows. I turn to the three key themes that emerged in the qualitative survey before testing the interaction between them in a survey experiment. When seen as part of a </w:t>
      </w:r>
      <w:r w:rsidR="00BA4366">
        <w:rPr>
          <w:rFonts w:ascii="Times New Roman" w:eastAsia="Times New Roman" w:hAnsi="Times New Roman" w:cs="Times New Roman"/>
          <w:bCs/>
          <w:szCs w:val="24"/>
          <w:lang w:eastAsia="en-GB"/>
        </w:rPr>
        <w:t>‘</w:t>
      </w:r>
      <w:r>
        <w:rPr>
          <w:rFonts w:ascii="Times New Roman" w:eastAsia="Times New Roman" w:hAnsi="Times New Roman" w:cs="Times New Roman"/>
          <w:bCs/>
          <w:szCs w:val="24"/>
          <w:lang w:eastAsia="en-GB"/>
        </w:rPr>
        <w:t>blame game</w:t>
      </w:r>
      <w:r w:rsidR="00BA4366">
        <w:rPr>
          <w:rFonts w:ascii="Times New Roman" w:eastAsia="Times New Roman" w:hAnsi="Times New Roman" w:cs="Times New Roman"/>
          <w:bCs/>
          <w:szCs w:val="24"/>
          <w:lang w:eastAsia="en-GB"/>
        </w:rPr>
        <w:t>’</w:t>
      </w:r>
      <w:r>
        <w:rPr>
          <w:rFonts w:ascii="Times New Roman" w:eastAsia="Times New Roman" w:hAnsi="Times New Roman" w:cs="Times New Roman"/>
          <w:bCs/>
          <w:szCs w:val="24"/>
          <w:lang w:eastAsia="en-GB"/>
        </w:rPr>
        <w:t xml:space="preserve">, when executed poorly, reflexive law mechanisms </w:t>
      </w:r>
      <w:r w:rsidR="00C03D27">
        <w:rPr>
          <w:rFonts w:ascii="Times New Roman" w:eastAsia="Times New Roman" w:hAnsi="Times New Roman" w:cs="Times New Roman"/>
          <w:bCs/>
          <w:szCs w:val="24"/>
          <w:lang w:eastAsia="en-GB"/>
        </w:rPr>
        <w:t xml:space="preserve">can be criticised as </w:t>
      </w:r>
      <w:r>
        <w:rPr>
          <w:rFonts w:ascii="Times New Roman" w:eastAsia="Times New Roman" w:hAnsi="Times New Roman" w:cs="Times New Roman"/>
          <w:bCs/>
          <w:szCs w:val="24"/>
          <w:lang w:eastAsia="en-GB"/>
        </w:rPr>
        <w:t>shift</w:t>
      </w:r>
      <w:r w:rsidR="00C03D27">
        <w:rPr>
          <w:rFonts w:ascii="Times New Roman" w:eastAsia="Times New Roman" w:hAnsi="Times New Roman" w:cs="Times New Roman"/>
          <w:bCs/>
          <w:szCs w:val="24"/>
          <w:lang w:eastAsia="en-GB"/>
        </w:rPr>
        <w:t>ing</w:t>
      </w:r>
      <w:r>
        <w:rPr>
          <w:rFonts w:ascii="Times New Roman" w:eastAsia="Times New Roman" w:hAnsi="Times New Roman" w:cs="Times New Roman"/>
          <w:bCs/>
          <w:szCs w:val="24"/>
          <w:lang w:eastAsia="en-GB"/>
        </w:rPr>
        <w:t xml:space="preserve"> blame away from central </w:t>
      </w:r>
      <w:r w:rsidR="0093613D">
        <w:rPr>
          <w:rFonts w:ascii="Times New Roman" w:eastAsia="Times New Roman" w:hAnsi="Times New Roman" w:cs="Times New Roman"/>
          <w:bCs/>
          <w:szCs w:val="24"/>
          <w:lang w:eastAsia="en-GB"/>
        </w:rPr>
        <w:t>government</w:t>
      </w:r>
      <w:r>
        <w:rPr>
          <w:rFonts w:ascii="Times New Roman" w:eastAsia="Times New Roman" w:hAnsi="Times New Roman" w:cs="Times New Roman"/>
          <w:bCs/>
          <w:szCs w:val="24"/>
          <w:lang w:eastAsia="en-GB"/>
        </w:rPr>
        <w:t xml:space="preserve"> and onto other (cash-strapped and under-resourced) parts of the public sector. However, where resources and enforcement are adequate, the evidence i</w:t>
      </w:r>
      <w:r w:rsidRPr="00BA2D09">
        <w:t>n t</w:t>
      </w:r>
      <w:r w:rsidR="00BA4366" w:rsidRPr="00BA2D09">
        <w:t xml:space="preserve">his </w:t>
      </w:r>
      <w:r w:rsidR="00BA4366" w:rsidRPr="000A3BAD">
        <w:t>article</w:t>
      </w:r>
      <w:r w:rsidRPr="00BA2D09">
        <w:t xml:space="preserve"> suggests that civil servant perceptions of the policy significantly improve and </w:t>
      </w:r>
      <w:r w:rsidR="00EC740E" w:rsidRPr="00BA2D09">
        <w:t xml:space="preserve">the </w:t>
      </w:r>
      <w:r w:rsidR="000A3BAD" w:rsidRPr="000A3BAD">
        <w:t>socio-economic duty</w:t>
      </w:r>
      <w:r w:rsidR="00EC740E" w:rsidRPr="00BA2D09">
        <w:t xml:space="preserve"> has</w:t>
      </w:r>
      <w:r w:rsidRPr="00BA2D09">
        <w:t xml:space="preserve"> t</w:t>
      </w:r>
      <w:r>
        <w:rPr>
          <w:rFonts w:ascii="Times New Roman" w:eastAsia="Times New Roman" w:hAnsi="Times New Roman" w:cs="Times New Roman"/>
          <w:bCs/>
          <w:szCs w:val="24"/>
          <w:lang w:eastAsia="en-GB"/>
        </w:rPr>
        <w:t>he best chance of being effective.</w:t>
      </w:r>
    </w:p>
    <w:p w14:paraId="749171E4" w14:textId="5AFAAE79" w:rsidR="004B72E2" w:rsidRPr="007C7BB9" w:rsidRDefault="00BA4366" w:rsidP="00BA4366">
      <w:pPr>
        <w:pStyle w:val="Heading1"/>
        <w:numPr>
          <w:ilvl w:val="0"/>
          <w:numId w:val="38"/>
        </w:numPr>
        <w:rPr>
          <w:rFonts w:ascii="Times New Roman" w:eastAsia="Times New Roman" w:hAnsi="Times New Roman" w:cs="Times New Roman"/>
          <w:lang w:eastAsia="en-GB"/>
        </w:rPr>
      </w:pPr>
      <w:r>
        <w:rPr>
          <w:rFonts w:ascii="Times New Roman" w:eastAsia="Times New Roman" w:hAnsi="Times New Roman" w:cs="Times New Roman"/>
          <w:lang w:eastAsia="en-GB"/>
        </w:rPr>
        <w:t>The Promise and Potential of the Socio-economic Duty</w:t>
      </w:r>
    </w:p>
    <w:p w14:paraId="7EAEDDA2" w14:textId="7EF0D914" w:rsidR="00CE16D4" w:rsidRDefault="00CE16D4" w:rsidP="00BA2D09">
      <w:pPr>
        <w:rPr>
          <w:rFonts w:eastAsia="Times New Roman" w:cstheme="majorBidi"/>
          <w:bCs/>
          <w:szCs w:val="24"/>
          <w:lang w:eastAsia="en-GB"/>
        </w:rPr>
      </w:pPr>
      <w:r w:rsidRPr="000A3BAD">
        <w:t>T</w:t>
      </w:r>
      <w:r w:rsidR="00BA4366" w:rsidRPr="000A3BAD">
        <w:t>his article</w:t>
      </w:r>
      <w:r w:rsidRPr="000A3BAD">
        <w:t xml:space="preserve"> focuses on the </w:t>
      </w:r>
      <w:r w:rsidR="000A3BAD" w:rsidRPr="000A3BAD">
        <w:t>socio-economic duty</w:t>
      </w:r>
      <w:r w:rsidRPr="000A3BAD">
        <w:t>, but the story of this provision and the</w:t>
      </w:r>
      <w:r>
        <w:rPr>
          <w:rFonts w:eastAsia="Times New Roman" w:cstheme="majorBidi"/>
          <w:bCs/>
          <w:szCs w:val="24"/>
          <w:lang w:eastAsia="en-GB"/>
        </w:rPr>
        <w:t xml:space="preserve"> Equality Act 2010 itself cannot be separated from the broader </w:t>
      </w:r>
      <w:r w:rsidR="00BA4366">
        <w:rPr>
          <w:rFonts w:eastAsia="Times New Roman" w:cstheme="majorBidi"/>
          <w:bCs/>
          <w:szCs w:val="24"/>
          <w:lang w:eastAsia="en-GB"/>
        </w:rPr>
        <w:t>‘</w:t>
      </w:r>
      <w:r w:rsidRPr="000D3161">
        <w:rPr>
          <w:rFonts w:eastAsia="Times New Roman" w:cstheme="majorBidi"/>
          <w:bCs/>
          <w:szCs w:val="24"/>
          <w:lang w:eastAsia="en-GB"/>
        </w:rPr>
        <w:t>reflexive turn</w:t>
      </w:r>
      <w:r w:rsidR="00BA4366">
        <w:rPr>
          <w:rFonts w:eastAsia="Times New Roman" w:cstheme="majorBidi"/>
          <w:bCs/>
          <w:szCs w:val="24"/>
          <w:lang w:eastAsia="en-GB"/>
        </w:rPr>
        <w:t>’</w:t>
      </w:r>
      <w:r>
        <w:rPr>
          <w:rFonts w:eastAsia="Times New Roman" w:cstheme="majorBidi"/>
          <w:bCs/>
          <w:szCs w:val="24"/>
          <w:lang w:eastAsia="en-GB"/>
        </w:rPr>
        <w:t xml:space="preserve"> in discrimination law in the last two decades.</w:t>
      </w:r>
      <w:r w:rsidRPr="000D3161">
        <w:rPr>
          <w:rStyle w:val="FootnoteReference"/>
          <w:rFonts w:eastAsia="Times New Roman" w:cstheme="majorBidi"/>
          <w:bCs/>
          <w:szCs w:val="24"/>
          <w:lang w:eastAsia="en-GB"/>
        </w:rPr>
        <w:footnoteReference w:id="12"/>
      </w:r>
      <w:r>
        <w:rPr>
          <w:rFonts w:eastAsia="Times New Roman" w:cstheme="majorBidi"/>
          <w:bCs/>
          <w:szCs w:val="24"/>
          <w:lang w:eastAsia="en-GB"/>
        </w:rPr>
        <w:t xml:space="preserve"> As Hepple</w:t>
      </w:r>
      <w:r w:rsidR="00265B1B">
        <w:rPr>
          <w:rFonts w:eastAsia="Times New Roman" w:cstheme="majorBidi"/>
          <w:bCs/>
          <w:szCs w:val="24"/>
          <w:lang w:eastAsia="en-GB"/>
        </w:rPr>
        <w:t>—</w:t>
      </w:r>
      <w:r>
        <w:rPr>
          <w:rFonts w:eastAsia="Times New Roman" w:cstheme="majorBidi"/>
          <w:bCs/>
          <w:szCs w:val="24"/>
          <w:lang w:eastAsia="en-GB"/>
        </w:rPr>
        <w:t xml:space="preserve">himself a key </w:t>
      </w:r>
      <w:r w:rsidR="00457086">
        <w:rPr>
          <w:rFonts w:eastAsia="Times New Roman" w:cstheme="majorBidi"/>
          <w:bCs/>
          <w:szCs w:val="24"/>
          <w:lang w:eastAsia="en-GB"/>
        </w:rPr>
        <w:t>architect</w:t>
      </w:r>
      <w:r>
        <w:rPr>
          <w:rFonts w:eastAsia="Times New Roman" w:cstheme="majorBidi"/>
          <w:bCs/>
          <w:szCs w:val="24"/>
          <w:lang w:eastAsia="en-GB"/>
        </w:rPr>
        <w:t xml:space="preserve"> in the passing of the legislation</w:t>
      </w:r>
      <w:r w:rsidR="00265B1B">
        <w:rPr>
          <w:rFonts w:eastAsia="Times New Roman" w:cstheme="majorBidi"/>
          <w:bCs/>
          <w:szCs w:val="24"/>
          <w:lang w:eastAsia="en-GB"/>
        </w:rPr>
        <w:t>—</w:t>
      </w:r>
      <w:r>
        <w:rPr>
          <w:rFonts w:eastAsia="Times New Roman" w:cstheme="majorBidi"/>
          <w:bCs/>
          <w:szCs w:val="24"/>
          <w:lang w:eastAsia="en-GB"/>
        </w:rPr>
        <w:t xml:space="preserve">has argued, the 2010 Act represents a </w:t>
      </w:r>
      <w:r w:rsidR="00BA4366">
        <w:rPr>
          <w:rFonts w:eastAsia="Times New Roman" w:cstheme="majorBidi"/>
          <w:bCs/>
          <w:szCs w:val="24"/>
          <w:lang w:eastAsia="en-GB"/>
        </w:rPr>
        <w:t>‘</w:t>
      </w:r>
      <w:r>
        <w:rPr>
          <w:rFonts w:eastAsia="Times New Roman" w:cstheme="majorBidi"/>
          <w:bCs/>
          <w:szCs w:val="24"/>
          <w:lang w:eastAsia="en-GB"/>
        </w:rPr>
        <w:t>fifth generation</w:t>
      </w:r>
      <w:r w:rsidR="00BA4366">
        <w:rPr>
          <w:rFonts w:eastAsia="Times New Roman" w:cstheme="majorBidi"/>
          <w:bCs/>
          <w:szCs w:val="24"/>
          <w:lang w:eastAsia="en-GB"/>
        </w:rPr>
        <w:t>’</w:t>
      </w:r>
      <w:r>
        <w:rPr>
          <w:rFonts w:eastAsia="Times New Roman" w:cstheme="majorBidi"/>
          <w:bCs/>
          <w:szCs w:val="24"/>
          <w:lang w:eastAsia="en-GB"/>
        </w:rPr>
        <w:t xml:space="preserve"> of equality legislation in Great Britain.</w:t>
      </w:r>
      <w:r>
        <w:rPr>
          <w:rStyle w:val="FootnoteReference"/>
          <w:rFonts w:eastAsia="Times New Roman" w:cstheme="majorBidi"/>
          <w:bCs/>
          <w:szCs w:val="24"/>
          <w:lang w:eastAsia="en-GB"/>
        </w:rPr>
        <w:footnoteReference w:id="13"/>
      </w:r>
      <w:r>
        <w:rPr>
          <w:rFonts w:eastAsia="Times New Roman" w:cstheme="majorBidi"/>
          <w:bCs/>
          <w:szCs w:val="24"/>
          <w:lang w:eastAsia="en-GB"/>
        </w:rPr>
        <w:t xml:space="preserve"> Early efforts focused on </w:t>
      </w:r>
      <w:r w:rsidRPr="0002526B">
        <w:rPr>
          <w:rFonts w:eastAsia="Times New Roman" w:cstheme="majorBidi"/>
          <w:bCs/>
          <w:i/>
          <w:iCs/>
          <w:szCs w:val="24"/>
          <w:lang w:eastAsia="en-GB"/>
        </w:rPr>
        <w:t>formal</w:t>
      </w:r>
      <w:r>
        <w:rPr>
          <w:rFonts w:eastAsia="Times New Roman" w:cstheme="majorBidi"/>
          <w:bCs/>
          <w:szCs w:val="24"/>
          <w:lang w:eastAsia="en-GB"/>
        </w:rPr>
        <w:t xml:space="preserve"> equality (likes must be treated </w:t>
      </w:r>
      <w:r>
        <w:rPr>
          <w:rFonts w:eastAsia="Times New Roman" w:cstheme="majorBidi"/>
          <w:bCs/>
          <w:szCs w:val="24"/>
          <w:lang w:eastAsia="en-GB"/>
        </w:rPr>
        <w:lastRenderedPageBreak/>
        <w:t xml:space="preserve">alike), </w:t>
      </w:r>
      <w:r w:rsidR="0040126B">
        <w:rPr>
          <w:rFonts w:eastAsia="Times New Roman" w:cstheme="majorBidi"/>
          <w:bCs/>
          <w:szCs w:val="24"/>
          <w:lang w:eastAsia="en-GB"/>
        </w:rPr>
        <w:t xml:space="preserve">the </w:t>
      </w:r>
      <w:r>
        <w:rPr>
          <w:rFonts w:eastAsia="Times New Roman" w:cstheme="majorBidi"/>
          <w:bCs/>
          <w:szCs w:val="24"/>
          <w:lang w:eastAsia="en-GB"/>
        </w:rPr>
        <w:t>first</w:t>
      </w:r>
      <w:r w:rsidR="0040126B">
        <w:rPr>
          <w:rFonts w:eastAsia="Times New Roman" w:cstheme="majorBidi"/>
          <w:bCs/>
          <w:szCs w:val="24"/>
          <w:lang w:eastAsia="en-GB"/>
        </w:rPr>
        <w:t xml:space="preserve"> generation focusing</w:t>
      </w:r>
      <w:r>
        <w:rPr>
          <w:rFonts w:eastAsia="Times New Roman" w:cstheme="majorBidi"/>
          <w:bCs/>
          <w:szCs w:val="24"/>
          <w:lang w:eastAsia="en-GB"/>
        </w:rPr>
        <w:t xml:space="preserve"> on race discrimination in public settings (as in the Race Relations Act 1965) and the second expanding its reach to employment, housing and</w:t>
      </w:r>
      <w:r w:rsidR="00A42F8C">
        <w:rPr>
          <w:rFonts w:eastAsia="Times New Roman" w:cstheme="majorBidi"/>
          <w:bCs/>
          <w:szCs w:val="24"/>
          <w:lang w:eastAsia="en-GB"/>
        </w:rPr>
        <w:t xml:space="preserve"> the</w:t>
      </w:r>
      <w:r>
        <w:rPr>
          <w:rFonts w:eastAsia="Times New Roman" w:cstheme="majorBidi"/>
          <w:bCs/>
          <w:szCs w:val="24"/>
          <w:lang w:eastAsia="en-GB"/>
        </w:rPr>
        <w:t xml:space="preserve"> provision of goods and services (as in the Race Relations Act 1968). The third </w:t>
      </w:r>
      <w:r w:rsidR="000A3BAD">
        <w:rPr>
          <w:rFonts w:eastAsia="Times New Roman" w:cstheme="majorBidi"/>
          <w:bCs/>
          <w:szCs w:val="24"/>
          <w:lang w:eastAsia="en-GB"/>
        </w:rPr>
        <w:t xml:space="preserve">generation </w:t>
      </w:r>
      <w:r>
        <w:rPr>
          <w:rFonts w:eastAsia="Times New Roman" w:cstheme="majorBidi"/>
          <w:bCs/>
          <w:szCs w:val="24"/>
          <w:lang w:eastAsia="en-GB"/>
        </w:rPr>
        <w:t xml:space="preserve">marked a move towards </w:t>
      </w:r>
      <w:r w:rsidRPr="00FB1F80">
        <w:rPr>
          <w:rFonts w:eastAsia="Times New Roman" w:cstheme="majorBidi"/>
          <w:bCs/>
          <w:i/>
          <w:iCs/>
          <w:szCs w:val="24"/>
          <w:lang w:eastAsia="en-GB"/>
        </w:rPr>
        <w:t>substantive</w:t>
      </w:r>
      <w:r>
        <w:rPr>
          <w:rFonts w:eastAsia="Times New Roman" w:cstheme="majorBidi"/>
          <w:bCs/>
          <w:szCs w:val="24"/>
          <w:lang w:eastAsia="en-GB"/>
        </w:rPr>
        <w:t xml:space="preserve"> equality; recognising that </w:t>
      </w:r>
      <w:r w:rsidRPr="000E7E37">
        <w:rPr>
          <w:rFonts w:eastAsia="Times New Roman" w:cstheme="majorBidi"/>
          <w:bCs/>
          <w:szCs w:val="24"/>
          <w:lang w:eastAsia="en-GB"/>
        </w:rPr>
        <w:t>treating people as equals may require treating them differently</w:t>
      </w:r>
      <w:r>
        <w:rPr>
          <w:rFonts w:eastAsia="Times New Roman" w:cstheme="majorBidi"/>
          <w:bCs/>
          <w:szCs w:val="24"/>
          <w:lang w:eastAsia="en-GB"/>
        </w:rPr>
        <w:t>. Extending protections to discrimination on the grounds of sex and disability, legislation included indirect and adverse effects discrimination (as in the Sex Discrimination Act 1975 and Disability Discrimination Act 1995). The fourth</w:t>
      </w:r>
      <w:r w:rsidR="000A3BAD" w:rsidRPr="000A3BAD">
        <w:rPr>
          <w:rFonts w:eastAsia="Times New Roman" w:cstheme="majorBidi"/>
          <w:bCs/>
          <w:szCs w:val="24"/>
          <w:lang w:eastAsia="en-GB"/>
        </w:rPr>
        <w:t xml:space="preserve"> </w:t>
      </w:r>
      <w:r w:rsidR="000A3BAD">
        <w:rPr>
          <w:rFonts w:eastAsia="Times New Roman" w:cstheme="majorBidi"/>
          <w:bCs/>
          <w:szCs w:val="24"/>
          <w:lang w:eastAsia="en-GB"/>
        </w:rPr>
        <w:t>generation</w:t>
      </w:r>
      <w:r>
        <w:rPr>
          <w:rFonts w:eastAsia="Times New Roman" w:cstheme="majorBidi"/>
          <w:bCs/>
          <w:szCs w:val="24"/>
          <w:lang w:eastAsia="en-GB"/>
        </w:rPr>
        <w:t xml:space="preserve">, in increasingly expanding anti-discrimination law to cover age, disability, religion or belief and sexual orientation, marked a period of </w:t>
      </w:r>
      <w:r>
        <w:rPr>
          <w:rFonts w:eastAsia="Times New Roman" w:cstheme="majorBidi"/>
          <w:bCs/>
          <w:i/>
          <w:iCs/>
          <w:szCs w:val="24"/>
          <w:lang w:eastAsia="en-GB"/>
        </w:rPr>
        <w:t>comprehensive</w:t>
      </w:r>
      <w:r>
        <w:rPr>
          <w:rFonts w:eastAsia="Times New Roman" w:cstheme="majorBidi"/>
          <w:bCs/>
          <w:szCs w:val="24"/>
          <w:lang w:eastAsia="en-GB"/>
        </w:rPr>
        <w:t xml:space="preserve"> equality.</w:t>
      </w:r>
    </w:p>
    <w:p w14:paraId="15798EEF" w14:textId="3CD7079F" w:rsidR="00CE16D4" w:rsidRPr="00C14825" w:rsidRDefault="00AE50A8" w:rsidP="00BA2D09">
      <w:pPr>
        <w:rPr>
          <w:rFonts w:eastAsia="Times New Roman" w:cstheme="majorBidi"/>
          <w:bCs/>
          <w:szCs w:val="24"/>
          <w:lang w:eastAsia="en-GB"/>
        </w:rPr>
      </w:pPr>
      <w:r>
        <w:rPr>
          <w:rFonts w:eastAsia="Times New Roman" w:cstheme="majorBidi"/>
          <w:bCs/>
          <w:szCs w:val="24"/>
          <w:lang w:eastAsia="en-GB"/>
        </w:rPr>
        <w:t>The</w:t>
      </w:r>
      <w:r w:rsidRPr="000A3BAD">
        <w:t xml:space="preserve"> </w:t>
      </w:r>
      <w:r w:rsidR="000A3BAD" w:rsidRPr="000A3BAD">
        <w:t>socio-economic duty</w:t>
      </w:r>
      <w:r w:rsidRPr="000A3BAD">
        <w:t xml:space="preserve"> is </w:t>
      </w:r>
      <w:r w:rsidR="000A3BAD">
        <w:rPr>
          <w:rFonts w:eastAsia="Times New Roman" w:cstheme="majorBidi"/>
          <w:bCs/>
          <w:szCs w:val="24"/>
          <w:lang w:eastAsia="en-GB"/>
        </w:rPr>
        <w:t>part and parcel</w:t>
      </w:r>
      <w:r>
        <w:rPr>
          <w:rFonts w:eastAsia="Times New Roman" w:cstheme="majorBidi"/>
          <w:bCs/>
          <w:szCs w:val="24"/>
          <w:lang w:eastAsia="en-GB"/>
        </w:rPr>
        <w:t xml:space="preserve"> of </w:t>
      </w:r>
      <w:r w:rsidR="00CE16D4">
        <w:rPr>
          <w:rFonts w:eastAsia="Times New Roman" w:cstheme="majorBidi"/>
          <w:bCs/>
          <w:szCs w:val="24"/>
          <w:lang w:eastAsia="en-GB"/>
        </w:rPr>
        <w:t>the current</w:t>
      </w:r>
      <w:r w:rsidR="0035705B">
        <w:rPr>
          <w:rFonts w:eastAsia="Times New Roman" w:cstheme="majorBidi"/>
          <w:bCs/>
          <w:szCs w:val="24"/>
          <w:lang w:eastAsia="en-GB"/>
        </w:rPr>
        <w:t xml:space="preserve"> fifth</w:t>
      </w:r>
      <w:r w:rsidR="00CE16D4">
        <w:rPr>
          <w:rFonts w:eastAsia="Times New Roman" w:cstheme="majorBidi"/>
          <w:bCs/>
          <w:szCs w:val="24"/>
          <w:lang w:eastAsia="en-GB"/>
        </w:rPr>
        <w:t xml:space="preserve"> generation of anti-discrimination legislation</w:t>
      </w:r>
      <w:r w:rsidR="000A3BAD">
        <w:rPr>
          <w:rFonts w:eastAsia="Times New Roman" w:cstheme="majorBidi"/>
          <w:bCs/>
          <w:szCs w:val="24"/>
          <w:lang w:eastAsia="en-GB"/>
        </w:rPr>
        <w:t>,</w:t>
      </w:r>
      <w:r w:rsidR="00CE16D4">
        <w:rPr>
          <w:rFonts w:eastAsia="Times New Roman" w:cstheme="majorBidi"/>
          <w:bCs/>
          <w:szCs w:val="24"/>
          <w:lang w:eastAsia="en-GB"/>
        </w:rPr>
        <w:t xml:space="preserve"> focused on </w:t>
      </w:r>
      <w:r w:rsidR="00CE16D4">
        <w:rPr>
          <w:rFonts w:eastAsia="Times New Roman" w:cstheme="majorBidi"/>
          <w:bCs/>
          <w:i/>
          <w:iCs/>
          <w:szCs w:val="24"/>
          <w:lang w:eastAsia="en-GB"/>
        </w:rPr>
        <w:t xml:space="preserve">transformative </w:t>
      </w:r>
      <w:r w:rsidR="00CE16D4">
        <w:rPr>
          <w:rFonts w:eastAsia="Times New Roman" w:cstheme="majorBidi"/>
          <w:bCs/>
          <w:szCs w:val="24"/>
          <w:lang w:eastAsia="en-GB"/>
        </w:rPr>
        <w:t xml:space="preserve">equality. Marked by the passing of the Equality Act 2010, this approach requires public bodies to </w:t>
      </w:r>
      <w:r w:rsidR="00BA4366">
        <w:rPr>
          <w:rFonts w:eastAsia="Times New Roman" w:cstheme="majorBidi"/>
          <w:bCs/>
          <w:szCs w:val="24"/>
          <w:lang w:eastAsia="en-GB"/>
        </w:rPr>
        <w:t>‘</w:t>
      </w:r>
      <w:r w:rsidR="00CE16D4">
        <w:rPr>
          <w:rFonts w:eastAsia="Times New Roman" w:cstheme="majorBidi"/>
          <w:bCs/>
          <w:szCs w:val="24"/>
          <w:lang w:eastAsia="en-GB"/>
        </w:rPr>
        <w:t>mainstream equality into the exercise of all their functions</w:t>
      </w:r>
      <w:r w:rsidR="00BA4366">
        <w:rPr>
          <w:rFonts w:eastAsia="Times New Roman" w:cstheme="majorBidi"/>
          <w:bCs/>
          <w:szCs w:val="24"/>
          <w:lang w:eastAsia="en-GB"/>
        </w:rPr>
        <w:t>’</w:t>
      </w:r>
      <w:r w:rsidR="00CE16D4">
        <w:rPr>
          <w:rFonts w:eastAsia="Times New Roman" w:cstheme="majorBidi"/>
          <w:bCs/>
          <w:szCs w:val="24"/>
          <w:lang w:eastAsia="en-GB"/>
        </w:rPr>
        <w:t xml:space="preserve"> through provisions like the </w:t>
      </w:r>
      <w:r w:rsidR="0037172B">
        <w:rPr>
          <w:rFonts w:eastAsia="Times New Roman" w:cstheme="majorBidi"/>
          <w:bCs/>
          <w:szCs w:val="24"/>
          <w:lang w:eastAsia="en-GB"/>
        </w:rPr>
        <w:t>PSED</w:t>
      </w:r>
      <w:r w:rsidR="00CE16D4">
        <w:rPr>
          <w:rFonts w:eastAsia="Times New Roman" w:cstheme="majorBidi"/>
          <w:bCs/>
          <w:szCs w:val="24"/>
          <w:lang w:eastAsia="en-GB"/>
        </w:rPr>
        <w:t xml:space="preserve"> and the</w:t>
      </w:r>
      <w:r w:rsidR="00CE16D4" w:rsidRPr="000A3BAD">
        <w:t xml:space="preserve"> </w:t>
      </w:r>
      <w:r w:rsidR="000A3BAD" w:rsidRPr="000A3BAD">
        <w:t>socio-economic duty</w:t>
      </w:r>
      <w:r w:rsidR="00CE16D4" w:rsidRPr="000A3BAD">
        <w:t xml:space="preserve">. </w:t>
      </w:r>
      <w:r w:rsidR="00CE16D4" w:rsidRPr="00BA2D09">
        <w:t xml:space="preserve">This idea of </w:t>
      </w:r>
      <w:r w:rsidR="00BA4366" w:rsidRPr="00BA2D09">
        <w:t>‘</w:t>
      </w:r>
      <w:r w:rsidR="00CE16D4" w:rsidRPr="00BA2D09">
        <w:t>mainstreaming equality</w:t>
      </w:r>
      <w:r w:rsidR="00BA4366" w:rsidRPr="00BA2D09">
        <w:t>’</w:t>
      </w:r>
      <w:r w:rsidR="00CE16D4" w:rsidRPr="00BA2D09">
        <w:t xml:space="preserve"> pre-dates the Equality </w:t>
      </w:r>
      <w:r w:rsidR="00CE16D4">
        <w:rPr>
          <w:rFonts w:eastAsia="Times New Roman" w:cstheme="majorBidi"/>
          <w:color w:val="000000" w:themeColor="text1"/>
          <w:szCs w:val="24"/>
          <w:lang w:eastAsia="en-GB"/>
        </w:rPr>
        <w:t xml:space="preserve">Act 2010 itself (indeed, McCrudden characterised it as </w:t>
      </w:r>
      <w:r w:rsidR="00BA4366">
        <w:rPr>
          <w:rFonts w:eastAsia="Times New Roman" w:cstheme="majorBidi"/>
          <w:color w:val="000000" w:themeColor="text1"/>
          <w:szCs w:val="24"/>
          <w:lang w:eastAsia="en-GB"/>
        </w:rPr>
        <w:t>‘</w:t>
      </w:r>
      <w:r w:rsidR="00CE16D4" w:rsidRPr="00456298">
        <w:rPr>
          <w:rFonts w:eastAsia="Times New Roman" w:cstheme="majorBidi"/>
          <w:color w:val="000000" w:themeColor="text1"/>
          <w:szCs w:val="24"/>
          <w:lang w:eastAsia="en-GB"/>
        </w:rPr>
        <w:t>an idea whose time has come</w:t>
      </w:r>
      <w:r w:rsidR="00BA4366">
        <w:rPr>
          <w:rFonts w:eastAsia="Times New Roman" w:cstheme="majorBidi"/>
          <w:color w:val="000000" w:themeColor="text1"/>
          <w:szCs w:val="24"/>
          <w:lang w:eastAsia="en-GB"/>
        </w:rPr>
        <w:t>’</w:t>
      </w:r>
      <w:r w:rsidR="00CE16D4">
        <w:rPr>
          <w:rFonts w:eastAsia="Times New Roman" w:cstheme="majorBidi"/>
          <w:color w:val="000000" w:themeColor="text1"/>
          <w:szCs w:val="24"/>
          <w:lang w:eastAsia="en-GB"/>
        </w:rPr>
        <w:t xml:space="preserve"> before the turn of the millennium).</w:t>
      </w:r>
      <w:r w:rsidR="00CE16D4">
        <w:rPr>
          <w:rStyle w:val="FootnoteReference"/>
          <w:rFonts w:eastAsia="Times New Roman" w:cstheme="majorBidi"/>
          <w:color w:val="000000" w:themeColor="text1"/>
          <w:szCs w:val="24"/>
          <w:lang w:eastAsia="en-GB"/>
        </w:rPr>
        <w:footnoteReference w:id="14"/>
      </w:r>
      <w:r w:rsidR="00CE16D4">
        <w:rPr>
          <w:rFonts w:eastAsia="Times New Roman" w:cstheme="majorBidi"/>
          <w:color w:val="000000" w:themeColor="text1"/>
          <w:szCs w:val="24"/>
          <w:lang w:eastAsia="en-GB"/>
        </w:rPr>
        <w:t xml:space="preserve"> The term is used to capture different ideas,</w:t>
      </w:r>
      <w:r w:rsidR="00CE16D4">
        <w:rPr>
          <w:rStyle w:val="FootnoteReference"/>
          <w:rFonts w:eastAsia="Times New Roman" w:cstheme="majorBidi"/>
          <w:color w:val="000000" w:themeColor="text1"/>
          <w:szCs w:val="24"/>
          <w:lang w:eastAsia="en-GB"/>
        </w:rPr>
        <w:footnoteReference w:id="15"/>
      </w:r>
      <w:r w:rsidR="00CE16D4">
        <w:rPr>
          <w:rFonts w:eastAsia="Times New Roman" w:cstheme="majorBidi"/>
          <w:color w:val="000000" w:themeColor="text1"/>
          <w:szCs w:val="24"/>
          <w:lang w:eastAsia="en-GB"/>
        </w:rPr>
        <w:t xml:space="preserve"> but in the context of anti-discrimination legislation and</w:t>
      </w:r>
      <w:r w:rsidR="00FC1522">
        <w:rPr>
          <w:rFonts w:eastAsia="Times New Roman" w:cstheme="majorBidi"/>
          <w:color w:val="000000" w:themeColor="text1"/>
          <w:szCs w:val="24"/>
          <w:lang w:eastAsia="en-GB"/>
        </w:rPr>
        <w:t xml:space="preserve"> the</w:t>
      </w:r>
      <w:r w:rsidR="00CE16D4">
        <w:rPr>
          <w:rFonts w:eastAsia="Times New Roman" w:cstheme="majorBidi"/>
          <w:color w:val="000000" w:themeColor="text1"/>
          <w:szCs w:val="24"/>
          <w:lang w:eastAsia="en-GB"/>
        </w:rPr>
        <w:t xml:space="preserve"> </w:t>
      </w:r>
      <w:r w:rsidR="000A3BAD" w:rsidRPr="000A3BAD">
        <w:t>socio-economic duty</w:t>
      </w:r>
      <w:r w:rsidR="00CE16D4" w:rsidRPr="00BA2D09">
        <w:t xml:space="preserve">, reflects the </w:t>
      </w:r>
      <w:r w:rsidR="00BA4366" w:rsidRPr="00BA2D09">
        <w:t>‘</w:t>
      </w:r>
      <w:r w:rsidR="00CE16D4" w:rsidRPr="00BA2D09">
        <w:t>classic reflexive regulation</w:t>
      </w:r>
      <w:r w:rsidR="00BA4366" w:rsidRPr="00BA2D09">
        <w:t>’</w:t>
      </w:r>
      <w:r w:rsidR="00CE16D4" w:rsidRPr="00BA2D09">
        <w:t xml:space="preserve"> approach explored throughout t</w:t>
      </w:r>
      <w:r w:rsidR="00BA4366" w:rsidRPr="00BA2D09">
        <w:t xml:space="preserve">his </w:t>
      </w:r>
      <w:r w:rsidR="00BA4366" w:rsidRPr="000A3BAD">
        <w:t>article</w:t>
      </w:r>
      <w:r w:rsidR="00CE16D4">
        <w:rPr>
          <w:rFonts w:eastAsia="Times New Roman" w:cstheme="majorBidi"/>
          <w:color w:val="000000" w:themeColor="text1"/>
          <w:szCs w:val="24"/>
          <w:lang w:eastAsia="en-GB"/>
        </w:rPr>
        <w:t>.</w:t>
      </w:r>
      <w:r w:rsidR="00CE16D4">
        <w:rPr>
          <w:rStyle w:val="FootnoteReference"/>
          <w:rFonts w:eastAsia="Times New Roman" w:cstheme="majorBidi"/>
          <w:color w:val="000000" w:themeColor="text1"/>
          <w:szCs w:val="24"/>
          <w:lang w:eastAsia="en-GB"/>
        </w:rPr>
        <w:footnoteReference w:id="16"/>
      </w:r>
    </w:p>
    <w:p w14:paraId="736D1CB2" w14:textId="325F41E3" w:rsidR="00CE16D4" w:rsidRPr="000D3161" w:rsidRDefault="008A6164" w:rsidP="00BA2D09">
      <w:pPr>
        <w:rPr>
          <w:rFonts w:eastAsia="Times New Roman" w:cstheme="majorBidi"/>
          <w:color w:val="000000" w:themeColor="text1"/>
          <w:szCs w:val="24"/>
          <w:lang w:eastAsia="en-GB"/>
        </w:rPr>
      </w:pPr>
      <w:r>
        <w:rPr>
          <w:rFonts w:eastAsia="Times New Roman" w:cstheme="majorBidi"/>
          <w:color w:val="000000" w:themeColor="text1"/>
          <w:szCs w:val="24"/>
          <w:lang w:eastAsia="en-GB"/>
        </w:rPr>
        <w:t xml:space="preserve">This kind of </w:t>
      </w:r>
      <w:r w:rsidR="00BA4366">
        <w:rPr>
          <w:rFonts w:eastAsia="Times New Roman" w:cstheme="majorBidi"/>
          <w:color w:val="000000" w:themeColor="text1"/>
          <w:szCs w:val="24"/>
          <w:lang w:eastAsia="en-GB"/>
        </w:rPr>
        <w:t>‘</w:t>
      </w:r>
      <w:r>
        <w:rPr>
          <w:rFonts w:eastAsia="Times New Roman" w:cstheme="majorBidi"/>
          <w:color w:val="000000" w:themeColor="text1"/>
          <w:szCs w:val="24"/>
          <w:lang w:eastAsia="en-GB"/>
        </w:rPr>
        <w:t>r</w:t>
      </w:r>
      <w:r w:rsidR="00CE16D4">
        <w:rPr>
          <w:rFonts w:eastAsia="Times New Roman" w:cstheme="majorBidi"/>
          <w:color w:val="000000" w:themeColor="text1"/>
          <w:szCs w:val="24"/>
          <w:lang w:eastAsia="en-GB"/>
        </w:rPr>
        <w:t>eflexive regulation</w:t>
      </w:r>
      <w:r w:rsidR="00BA4366">
        <w:rPr>
          <w:rFonts w:eastAsia="Times New Roman" w:cstheme="majorBidi"/>
          <w:color w:val="000000" w:themeColor="text1"/>
          <w:szCs w:val="24"/>
          <w:lang w:eastAsia="en-GB"/>
        </w:rPr>
        <w:t>’</w:t>
      </w:r>
      <w:r w:rsidR="00CE16D4">
        <w:rPr>
          <w:rFonts w:eastAsia="Times New Roman" w:cstheme="majorBidi"/>
          <w:color w:val="000000" w:themeColor="text1"/>
          <w:szCs w:val="24"/>
          <w:lang w:eastAsia="en-GB"/>
        </w:rPr>
        <w:t xml:space="preserve"> has its own</w:t>
      </w:r>
      <w:r w:rsidR="00CE16D4" w:rsidRPr="000D3161">
        <w:rPr>
          <w:rFonts w:eastAsia="Times New Roman" w:cstheme="majorBidi"/>
          <w:color w:val="000000" w:themeColor="text1"/>
          <w:szCs w:val="24"/>
          <w:lang w:eastAsia="en-GB"/>
        </w:rPr>
        <w:t xml:space="preserve"> burgeoning literature</w:t>
      </w:r>
      <w:r w:rsidR="00CE16D4">
        <w:rPr>
          <w:rFonts w:eastAsia="Times New Roman" w:cstheme="majorBidi"/>
          <w:color w:val="000000" w:themeColor="text1"/>
          <w:szCs w:val="24"/>
          <w:lang w:eastAsia="en-GB"/>
        </w:rPr>
        <w:t xml:space="preserve"> across environmental law, labour law,</w:t>
      </w:r>
      <w:r w:rsidR="00BA4366">
        <w:rPr>
          <w:rFonts w:eastAsia="Times New Roman" w:cstheme="majorBidi"/>
          <w:color w:val="000000" w:themeColor="text1"/>
          <w:szCs w:val="24"/>
          <w:lang w:eastAsia="en-GB"/>
        </w:rPr>
        <w:t xml:space="preserve"> </w:t>
      </w:r>
      <w:r w:rsidR="00CE16D4">
        <w:rPr>
          <w:rFonts w:eastAsia="Times New Roman" w:cstheme="majorBidi"/>
          <w:color w:val="000000" w:themeColor="text1"/>
          <w:szCs w:val="24"/>
          <w:lang w:eastAsia="en-GB"/>
        </w:rPr>
        <w:t>corporative governance and family law</w:t>
      </w:r>
      <w:r w:rsidR="00265B1B">
        <w:rPr>
          <w:rFonts w:eastAsia="Times New Roman" w:cstheme="majorBidi"/>
          <w:color w:val="000000" w:themeColor="text1"/>
          <w:szCs w:val="24"/>
          <w:lang w:eastAsia="en-GB"/>
        </w:rPr>
        <w:t>—</w:t>
      </w:r>
      <w:r w:rsidR="00CE16D4">
        <w:rPr>
          <w:rFonts w:eastAsia="Times New Roman" w:cstheme="majorBidi"/>
          <w:color w:val="000000" w:themeColor="text1"/>
          <w:szCs w:val="24"/>
          <w:lang w:eastAsia="en-GB"/>
        </w:rPr>
        <w:t>to name but some</w:t>
      </w:r>
      <w:r w:rsidR="00265B1B">
        <w:rPr>
          <w:rFonts w:eastAsia="Times New Roman" w:cstheme="majorBidi"/>
          <w:color w:val="000000" w:themeColor="text1"/>
          <w:szCs w:val="24"/>
          <w:lang w:eastAsia="en-GB"/>
        </w:rPr>
        <w:t>—</w:t>
      </w:r>
      <w:r w:rsidR="00CE16D4">
        <w:rPr>
          <w:rFonts w:eastAsia="Times New Roman" w:cstheme="majorBidi"/>
          <w:color w:val="000000" w:themeColor="text1"/>
          <w:szCs w:val="24"/>
          <w:lang w:eastAsia="en-GB"/>
        </w:rPr>
        <w:t>and a canon of formative works.</w:t>
      </w:r>
      <w:r w:rsidR="00CE16D4">
        <w:rPr>
          <w:rStyle w:val="FootnoteReference"/>
          <w:rFonts w:eastAsia="Times New Roman" w:cstheme="majorBidi"/>
          <w:color w:val="000000" w:themeColor="text1"/>
          <w:szCs w:val="24"/>
          <w:lang w:eastAsia="en-GB"/>
        </w:rPr>
        <w:footnoteReference w:id="17"/>
      </w:r>
      <w:r w:rsidR="00CE16D4">
        <w:rPr>
          <w:rFonts w:eastAsia="Times New Roman" w:cstheme="majorBidi"/>
          <w:color w:val="000000" w:themeColor="text1"/>
          <w:szCs w:val="24"/>
          <w:lang w:eastAsia="en-GB"/>
        </w:rPr>
        <w:t xml:space="preserve"> </w:t>
      </w:r>
      <w:r w:rsidR="00CE16D4" w:rsidRPr="000D3161">
        <w:rPr>
          <w:rFonts w:eastAsia="Times New Roman" w:cstheme="majorBidi"/>
          <w:color w:val="000000" w:themeColor="text1"/>
          <w:szCs w:val="24"/>
          <w:lang w:eastAsia="en-GB"/>
        </w:rPr>
        <w:t xml:space="preserve">All have their roots in systems theory, with Teubner putting forward the </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most ambitious and most elaborated proposal</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 xml:space="preserve"> of reflexive law that has since been widely adopted, refined and critiqued.</w:t>
      </w:r>
      <w:bookmarkStart w:id="8" w:name="_Ref217984142"/>
      <w:r w:rsidR="00CE16D4" w:rsidRPr="000D3161">
        <w:rPr>
          <w:rStyle w:val="FootnoteReference"/>
          <w:rFonts w:eastAsia="Times New Roman" w:cstheme="majorBidi"/>
          <w:color w:val="000000" w:themeColor="text1"/>
          <w:szCs w:val="24"/>
          <w:lang w:eastAsia="en-GB"/>
        </w:rPr>
        <w:footnoteReference w:id="18"/>
      </w:r>
      <w:bookmarkEnd w:id="8"/>
      <w:r w:rsidR="00CE16D4" w:rsidRPr="000D3161">
        <w:rPr>
          <w:rFonts w:eastAsia="Times New Roman" w:cstheme="majorBidi"/>
          <w:color w:val="000000" w:themeColor="text1"/>
          <w:szCs w:val="24"/>
          <w:lang w:eastAsia="en-GB"/>
        </w:rPr>
        <w:t xml:space="preserve"> The analytical starting point</w:t>
      </w:r>
      <w:r w:rsidR="00265B1B">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which itself developed from theories of autopoiesis in the natural sciences</w:t>
      </w:r>
      <w:r w:rsidR="00CE16D4" w:rsidRPr="000D3161">
        <w:rPr>
          <w:rStyle w:val="FootnoteReference"/>
          <w:rFonts w:cstheme="majorBidi"/>
          <w:szCs w:val="24"/>
        </w:rPr>
        <w:footnoteReference w:id="19"/>
      </w:r>
      <w:r w:rsidR="00265B1B">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 xml:space="preserve">is that </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law</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 xml:space="preserve"> is but one of many other social </w:t>
      </w:r>
      <w:r w:rsidR="00CE16D4" w:rsidRPr="000D3161">
        <w:rPr>
          <w:rFonts w:eastAsia="Times New Roman" w:cstheme="majorBidi"/>
          <w:color w:val="000000" w:themeColor="text1"/>
          <w:szCs w:val="24"/>
          <w:lang w:eastAsia="en-GB"/>
        </w:rPr>
        <w:lastRenderedPageBreak/>
        <w:t>subsystems that constitute society, rather than a centralised force that directly controls or dictates the behaviour of these other systems (be it systems of the family, religion, corporations, education, the media, local government, health and social care</w:t>
      </w:r>
      <w:r w:rsidR="00695935">
        <w:rPr>
          <w:rFonts w:eastAsia="Times New Roman" w:cstheme="majorBidi"/>
          <w:color w:val="000000" w:themeColor="text1"/>
          <w:szCs w:val="24"/>
          <w:lang w:eastAsia="en-GB"/>
        </w:rPr>
        <w:t xml:space="preserve"> and so on</w:t>
      </w:r>
      <w:r w:rsidR="00CE16D4" w:rsidRPr="000D3161">
        <w:rPr>
          <w:rFonts w:eastAsia="Times New Roman" w:cstheme="majorBidi"/>
          <w:color w:val="000000" w:themeColor="text1"/>
          <w:szCs w:val="24"/>
          <w:lang w:eastAsia="en-GB"/>
        </w:rPr>
        <w:t xml:space="preserve">). The idea is that the </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regulating</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 xml:space="preserve"> and </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regulated</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 xml:space="preserve"> </w:t>
      </w:r>
      <w:r w:rsidR="001534C3" w:rsidRPr="001534C3">
        <w:t>subsys</w:t>
      </w:r>
      <w:r w:rsidR="00CE16D4" w:rsidRPr="001534C3">
        <w:t>tem</w:t>
      </w:r>
      <w:r w:rsidR="00CE16D4" w:rsidRPr="000D3161">
        <w:rPr>
          <w:rFonts w:eastAsia="Times New Roman" w:cstheme="majorBidi"/>
          <w:color w:val="000000" w:themeColor="text1"/>
          <w:szCs w:val="24"/>
          <w:lang w:eastAsia="en-GB"/>
        </w:rPr>
        <w:t xml:space="preserve">s are </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autopoietic</w:t>
      </w:r>
      <w:r w:rsidR="00BA4366">
        <w:rPr>
          <w:rFonts w:eastAsia="Times New Roman" w:cstheme="majorBidi"/>
          <w:color w:val="000000" w:themeColor="text1"/>
          <w:szCs w:val="24"/>
          <w:lang w:eastAsia="en-GB"/>
        </w:rPr>
        <w:t>’</w:t>
      </w:r>
      <w:r w:rsidR="00CE16D4" w:rsidRPr="000D3161">
        <w:rPr>
          <w:rFonts w:eastAsia="Times New Roman" w:cstheme="majorBidi"/>
          <w:color w:val="000000" w:themeColor="text1"/>
          <w:szCs w:val="24"/>
          <w:lang w:eastAsia="en-GB"/>
        </w:rPr>
        <w:t>: they are self-reproducing and operate based on their own rules and codes.</w:t>
      </w:r>
      <w:r w:rsidR="00CE16D4" w:rsidRPr="000D3161">
        <w:rPr>
          <w:rStyle w:val="FootnoteReference"/>
          <w:rFonts w:eastAsia="Times New Roman" w:cstheme="majorBidi"/>
          <w:color w:val="000000" w:themeColor="text1"/>
          <w:szCs w:val="24"/>
          <w:lang w:eastAsia="en-GB"/>
        </w:rPr>
        <w:footnoteReference w:id="20"/>
      </w:r>
      <w:r w:rsidR="00CE16D4" w:rsidRPr="000D3161">
        <w:rPr>
          <w:rFonts w:eastAsia="Times New Roman" w:cstheme="majorBidi"/>
          <w:color w:val="000000" w:themeColor="text1"/>
          <w:szCs w:val="24"/>
          <w:lang w:eastAsia="en-GB"/>
        </w:rPr>
        <w:t xml:space="preserve"> For example, the education system may be guided by norms like accreditation and pedagogy, while corporations may operate according to profitability and market competition.</w:t>
      </w:r>
    </w:p>
    <w:p w14:paraId="3BF2C982" w14:textId="7CA0B6B8" w:rsidR="00CE16D4" w:rsidRPr="000D3161" w:rsidRDefault="00CE16D4" w:rsidP="00BA2D09">
      <w:pPr>
        <w:rPr>
          <w:rFonts w:eastAsia="Times New Roman" w:cstheme="majorBidi"/>
          <w:color w:val="000000" w:themeColor="text1"/>
          <w:szCs w:val="24"/>
          <w:lang w:eastAsia="en-GB"/>
        </w:rPr>
      </w:pPr>
      <w:r w:rsidRPr="000D3161">
        <w:rPr>
          <w:rFonts w:eastAsia="Times New Roman" w:cstheme="majorBidi"/>
          <w:color w:val="000000" w:themeColor="text1"/>
          <w:szCs w:val="24"/>
          <w:lang w:eastAsia="en-GB"/>
        </w:rPr>
        <w:t>For readers new to the theory, Fredman</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s metaphor of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language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to describe the autopoietic roots of reflexive law theory is a helpful characterisation.</w:t>
      </w:r>
      <w:r w:rsidR="00BA4366">
        <w:rPr>
          <w:rFonts w:eastAsia="Times New Roman" w:cstheme="majorBidi"/>
          <w:color w:val="000000" w:themeColor="text1"/>
          <w:szCs w:val="24"/>
          <w:lang w:eastAsia="en-GB"/>
        </w:rPr>
        <w:t xml:space="preserve"> </w:t>
      </w:r>
      <w:r w:rsidRPr="000D3161">
        <w:rPr>
          <w:rFonts w:eastAsia="Times New Roman" w:cstheme="majorBidi"/>
          <w:color w:val="000000" w:themeColor="text1"/>
          <w:szCs w:val="24"/>
          <w:lang w:eastAsia="en-GB"/>
        </w:rPr>
        <w:t xml:space="preserve">She describes society as </w:t>
      </w:r>
      <w:r w:rsidR="00BA4366">
        <w:rPr>
          <w:rFonts w:eastAsia="Times New Roman" w:cstheme="majorBidi"/>
          <w:color w:val="000000" w:themeColor="text1"/>
          <w:szCs w:val="24"/>
          <w:lang w:eastAsia="en-GB"/>
        </w:rPr>
        <w:t>‘</w:t>
      </w:r>
      <w:r w:rsidRPr="000D3161">
        <w:rPr>
          <w:rFonts w:eastAsia="Times New Roman" w:cstheme="majorBidi"/>
          <w:szCs w:val="24"/>
          <w:lang w:eastAsia="en-GB"/>
        </w:rPr>
        <w:t>structured non-hierarchically into multiple</w:t>
      </w:r>
      <w:r w:rsidRPr="001534C3">
        <w:t xml:space="preserve"> </w:t>
      </w:r>
      <w:r w:rsidR="001534C3" w:rsidRPr="001534C3">
        <w:t>subsys</w:t>
      </w:r>
      <w:r w:rsidRPr="001534C3">
        <w:t>tems each</w:t>
      </w:r>
      <w:r w:rsidRPr="000D3161">
        <w:rPr>
          <w:rFonts w:eastAsia="Times New Roman" w:cstheme="majorBidi"/>
          <w:szCs w:val="24"/>
          <w:lang w:eastAsia="en-GB"/>
        </w:rPr>
        <w:t xml:space="preserve"> of which has its own </w:t>
      </w:r>
      <w:r w:rsidR="00BA4366">
        <w:rPr>
          <w:rFonts w:eastAsia="Times New Roman" w:cstheme="majorBidi"/>
          <w:szCs w:val="24"/>
          <w:lang w:eastAsia="en-GB"/>
        </w:rPr>
        <w:t>‘</w:t>
      </w:r>
      <w:r w:rsidRPr="000D3161">
        <w:rPr>
          <w:rFonts w:eastAsia="Times New Roman" w:cstheme="majorBidi"/>
          <w:szCs w:val="24"/>
          <w:lang w:eastAsia="en-GB"/>
        </w:rPr>
        <w:t>language</w:t>
      </w:r>
      <w:r w:rsidR="00BA4366">
        <w:rPr>
          <w:rFonts w:eastAsia="Times New Roman" w:cstheme="majorBidi"/>
          <w:szCs w:val="24"/>
          <w:lang w:eastAsia="en-GB"/>
        </w:rPr>
        <w:t>’</w:t>
      </w:r>
      <w:r w:rsidR="001534C3">
        <w:rPr>
          <w:rFonts w:eastAsia="Times New Roman" w:cstheme="majorBidi"/>
          <w:szCs w:val="24"/>
          <w:lang w:eastAsia="en-GB"/>
        </w:rPr>
        <w:t>.</w:t>
      </w:r>
      <w:r w:rsidRPr="000D3161">
        <w:rPr>
          <w:rStyle w:val="FootnoteReference"/>
          <w:rFonts w:eastAsia="Times New Roman" w:cstheme="majorBidi"/>
          <w:szCs w:val="24"/>
          <w:lang w:eastAsia="en-GB"/>
        </w:rPr>
        <w:footnoteReference w:id="21"/>
      </w:r>
      <w:r w:rsidRPr="000D3161">
        <w:rPr>
          <w:rFonts w:eastAsia="Times New Roman" w:cstheme="majorBidi"/>
          <w:szCs w:val="24"/>
          <w:lang w:eastAsia="en-GB"/>
        </w:rPr>
        <w:t xml:space="preserve"> Each </w:t>
      </w:r>
      <w:r w:rsidR="001534C3" w:rsidRPr="001534C3">
        <w:t>subsys</w:t>
      </w:r>
      <w:r w:rsidRPr="001534C3">
        <w:t xml:space="preserve">tem cannot understand or translate the language of other </w:t>
      </w:r>
      <w:r w:rsidR="001534C3" w:rsidRPr="001534C3">
        <w:t>subsys</w:t>
      </w:r>
      <w:r w:rsidRPr="001534C3">
        <w:t>tems, but instead</w:t>
      </w:r>
      <w:r w:rsidRPr="000D3161">
        <w:rPr>
          <w:rFonts w:eastAsia="Times New Roman" w:cstheme="majorBidi"/>
          <w:szCs w:val="24"/>
          <w:lang w:eastAsia="en-GB"/>
        </w:rPr>
        <w:t xml:space="preserve"> translates external stimuli (from the law or elsewhere) into its own language and then reacts accordingly, relative to its own norms and internal logic.</w:t>
      </w:r>
      <w:r w:rsidRPr="000D3161">
        <w:rPr>
          <w:rStyle w:val="FootnoteReference"/>
          <w:rFonts w:eastAsia="Times New Roman" w:cstheme="majorBidi"/>
          <w:szCs w:val="24"/>
          <w:lang w:eastAsia="en-GB"/>
        </w:rPr>
        <w:footnoteReference w:id="22"/>
      </w:r>
      <w:r w:rsidRPr="000D3161">
        <w:rPr>
          <w:rFonts w:eastAsia="Times New Roman" w:cstheme="majorBidi"/>
          <w:szCs w:val="24"/>
          <w:lang w:eastAsia="en-GB"/>
        </w:rPr>
        <w:t xml:space="preserve"> A regulator </w:t>
      </w:r>
      <w:r>
        <w:rPr>
          <w:rFonts w:eastAsia="Times New Roman" w:cstheme="majorBidi"/>
          <w:szCs w:val="24"/>
          <w:lang w:eastAsia="en-GB"/>
        </w:rPr>
        <w:t xml:space="preserve">designing anti-discrimination legislation </w:t>
      </w:r>
      <w:r w:rsidRPr="000D3161">
        <w:rPr>
          <w:rFonts w:eastAsia="Times New Roman" w:cstheme="majorBidi"/>
          <w:szCs w:val="24"/>
          <w:lang w:eastAsia="en-GB"/>
        </w:rPr>
        <w:t xml:space="preserve">should therefore avoid </w:t>
      </w:r>
      <w:r w:rsidR="00C13FFB">
        <w:rPr>
          <w:rFonts w:eastAsia="Times New Roman" w:cstheme="majorBidi"/>
          <w:szCs w:val="24"/>
          <w:lang w:eastAsia="en-GB"/>
        </w:rPr>
        <w:t xml:space="preserve">a reliance on </w:t>
      </w:r>
      <w:r w:rsidRPr="000D3161">
        <w:rPr>
          <w:rFonts w:eastAsia="Times New Roman" w:cstheme="majorBidi"/>
          <w:color w:val="000000" w:themeColor="text1"/>
          <w:szCs w:val="24"/>
          <w:lang w:eastAsia="en-GB"/>
        </w:rPr>
        <w:t xml:space="preserve">what might be characterised as a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command and control</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approach</w:t>
      </w:r>
      <w:r w:rsidR="00265B1B">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a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top-down</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imposition of a substantive outcome</w:t>
      </w:r>
      <w:r w:rsidR="00265B1B">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and instead look to create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second order effects</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through influencing the behaviour of the </w:t>
      </w:r>
      <w:r w:rsidR="001534C3" w:rsidRPr="001534C3">
        <w:t>subsys</w:t>
      </w:r>
      <w:r w:rsidRPr="001534C3">
        <w:t>te</w:t>
      </w:r>
      <w:r w:rsidRPr="000D3161">
        <w:rPr>
          <w:rFonts w:eastAsia="Times New Roman" w:cstheme="majorBidi"/>
          <w:color w:val="000000" w:themeColor="text1"/>
          <w:szCs w:val="24"/>
          <w:lang w:eastAsia="en-GB"/>
        </w:rPr>
        <w:t>ms it seeks to influence.</w:t>
      </w:r>
      <w:r w:rsidRPr="000D3161">
        <w:rPr>
          <w:rStyle w:val="FootnoteReference"/>
          <w:rFonts w:eastAsia="Times New Roman" w:cstheme="majorBidi"/>
          <w:color w:val="000000" w:themeColor="text1"/>
          <w:szCs w:val="24"/>
          <w:lang w:eastAsia="en-GB"/>
        </w:rPr>
        <w:footnoteReference w:id="23"/>
      </w:r>
      <w:r w:rsidRPr="000D3161">
        <w:rPr>
          <w:rFonts w:eastAsia="Times New Roman" w:cstheme="majorBidi"/>
          <w:color w:val="000000" w:themeColor="text1"/>
          <w:szCs w:val="24"/>
          <w:lang w:eastAsia="en-GB"/>
        </w:rPr>
        <w:t xml:space="preserve"> The argument goes that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command and control</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approaches are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bound to fail</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in an increasingly fragmented society, either by being ignored completely or having unintended consequences on the regulated </w:t>
      </w:r>
      <w:r w:rsidR="001534C3" w:rsidRPr="001534C3">
        <w:t>subsys</w:t>
      </w:r>
      <w:r w:rsidRPr="001534C3">
        <w:t>t</w:t>
      </w:r>
      <w:r w:rsidRPr="000D3161">
        <w:rPr>
          <w:rFonts w:eastAsia="Times New Roman" w:cstheme="majorBidi"/>
          <w:color w:val="000000" w:themeColor="text1"/>
          <w:szCs w:val="24"/>
          <w:lang w:eastAsia="en-GB"/>
        </w:rPr>
        <w:t>em.</w:t>
      </w:r>
      <w:bookmarkStart w:id="9" w:name="_Ref194751951"/>
      <w:r w:rsidRPr="000D3161">
        <w:rPr>
          <w:rStyle w:val="FootnoteReference"/>
          <w:rFonts w:eastAsia="Times New Roman" w:cstheme="majorBidi"/>
          <w:color w:val="000000" w:themeColor="text1"/>
          <w:szCs w:val="24"/>
          <w:lang w:eastAsia="en-GB"/>
        </w:rPr>
        <w:footnoteReference w:id="24"/>
      </w:r>
      <w:bookmarkEnd w:id="9"/>
      <w:r w:rsidRPr="000D3161">
        <w:rPr>
          <w:rFonts w:eastAsia="Times New Roman" w:cstheme="majorBidi"/>
          <w:color w:val="000000" w:themeColor="text1"/>
          <w:szCs w:val="24"/>
          <w:lang w:eastAsia="en-GB"/>
        </w:rPr>
        <w:t xml:space="preserve"> Regulation should instead seek to influence the inter</w:t>
      </w:r>
      <w:r w:rsidRPr="001534C3">
        <w:t xml:space="preserve">related </w:t>
      </w:r>
      <w:r w:rsidR="001534C3" w:rsidRPr="001534C3">
        <w:t>subsys</w:t>
      </w:r>
      <w:r w:rsidRPr="001534C3">
        <w:t>tems</w:t>
      </w:r>
      <w:r w:rsidRPr="000D3161">
        <w:rPr>
          <w:rFonts w:eastAsia="Times New Roman" w:cstheme="majorBidi"/>
          <w:color w:val="000000" w:themeColor="text1"/>
          <w:szCs w:val="24"/>
          <w:lang w:eastAsia="en-GB"/>
        </w:rPr>
        <w:t xml:space="preserve"> by creating effective stimuli.</w:t>
      </w:r>
      <w:r w:rsidRPr="000D3161">
        <w:rPr>
          <w:rStyle w:val="FootnoteReference"/>
          <w:rFonts w:eastAsia="Times New Roman" w:cstheme="majorBidi"/>
          <w:color w:val="000000" w:themeColor="text1"/>
          <w:szCs w:val="24"/>
          <w:lang w:eastAsia="en-GB"/>
        </w:rPr>
        <w:footnoteReference w:id="25"/>
      </w:r>
      <w:r w:rsidRPr="000D3161">
        <w:rPr>
          <w:rFonts w:eastAsia="Times New Roman" w:cstheme="majorBidi"/>
          <w:color w:val="000000" w:themeColor="text1"/>
          <w:szCs w:val="24"/>
          <w:lang w:eastAsia="en-GB"/>
        </w:rPr>
        <w:t xml:space="preserve"> These then can shape a</w:t>
      </w:r>
      <w:r w:rsidRPr="00BA2D09">
        <w:t xml:space="preserve"> </w:t>
      </w:r>
      <w:r w:rsidR="001534C3" w:rsidRPr="001534C3">
        <w:t>subsys</w:t>
      </w:r>
      <w:r w:rsidRPr="001534C3">
        <w:t>tem</w:t>
      </w:r>
      <w:r w:rsidR="00BA4366" w:rsidRPr="001534C3">
        <w:t>’</w:t>
      </w:r>
      <w:r w:rsidRPr="000D3161">
        <w:rPr>
          <w:rFonts w:eastAsia="Times New Roman" w:cstheme="majorBidi"/>
          <w:color w:val="000000" w:themeColor="text1"/>
          <w:szCs w:val="24"/>
          <w:lang w:eastAsia="en-GB"/>
        </w:rPr>
        <w:t>s own internalisation of norms</w:t>
      </w:r>
      <w:r w:rsidR="00265B1B">
        <w:rPr>
          <w:rFonts w:eastAsia="Times New Roman" w:cstheme="majorBidi"/>
          <w:color w:val="000000" w:themeColor="text1"/>
          <w:szCs w:val="24"/>
          <w:lang w:eastAsia="en-GB"/>
        </w:rPr>
        <w:t>—</w:t>
      </w:r>
      <w:r>
        <w:rPr>
          <w:rFonts w:eastAsia="Times New Roman" w:cstheme="majorBidi"/>
          <w:color w:val="000000" w:themeColor="text1"/>
          <w:szCs w:val="24"/>
          <w:lang w:eastAsia="en-GB"/>
        </w:rPr>
        <w:t xml:space="preserve">they can be </w:t>
      </w:r>
      <w:r w:rsidR="00BA4366">
        <w:rPr>
          <w:rFonts w:eastAsia="Times New Roman" w:cstheme="majorBidi"/>
          <w:color w:val="000000" w:themeColor="text1"/>
          <w:szCs w:val="24"/>
          <w:lang w:eastAsia="en-GB"/>
        </w:rPr>
        <w:t>‘</w:t>
      </w:r>
      <w:r>
        <w:rPr>
          <w:rFonts w:eastAsia="Times New Roman" w:cstheme="majorBidi"/>
          <w:color w:val="000000" w:themeColor="text1"/>
          <w:szCs w:val="24"/>
          <w:lang w:eastAsia="en-GB"/>
        </w:rPr>
        <w:t>mainstreamed</w:t>
      </w:r>
      <w:r w:rsidR="00BA4366">
        <w:rPr>
          <w:rFonts w:eastAsia="Times New Roman" w:cstheme="majorBidi"/>
          <w:color w:val="000000" w:themeColor="text1"/>
          <w:szCs w:val="24"/>
          <w:lang w:eastAsia="en-GB"/>
        </w:rPr>
        <w:t>’</w:t>
      </w:r>
      <w:r w:rsidR="00265B1B">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without needing to resort to a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command and control</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approach.</w:t>
      </w:r>
    </w:p>
    <w:p w14:paraId="6C2948FB" w14:textId="3C8EBD8F" w:rsidR="00CE16D4" w:rsidRPr="000D3161" w:rsidRDefault="00CE16D4" w:rsidP="00BA2D09">
      <w:pPr>
        <w:rPr>
          <w:rFonts w:eastAsia="Times New Roman" w:cstheme="majorBidi"/>
          <w:color w:val="000000" w:themeColor="text1"/>
          <w:szCs w:val="24"/>
          <w:lang w:eastAsia="en-GB"/>
        </w:rPr>
      </w:pPr>
      <w:r>
        <w:rPr>
          <w:rFonts w:eastAsia="Times New Roman" w:cstheme="majorBidi"/>
          <w:color w:val="000000" w:themeColor="text1"/>
          <w:szCs w:val="24"/>
          <w:lang w:eastAsia="en-GB"/>
        </w:rPr>
        <w:t>There are three</w:t>
      </w:r>
      <w:r w:rsidRPr="000D3161">
        <w:rPr>
          <w:rFonts w:eastAsia="Times New Roman" w:cstheme="majorBidi"/>
          <w:color w:val="000000" w:themeColor="text1"/>
          <w:szCs w:val="24"/>
          <w:lang w:eastAsia="en-GB"/>
        </w:rPr>
        <w:t xml:space="preserve"> (non-exhaustive)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common insights</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that characterise this approach</w:t>
      </w:r>
      <w:r>
        <w:rPr>
          <w:rFonts w:eastAsia="Times New Roman" w:cstheme="majorBidi"/>
          <w:color w:val="000000" w:themeColor="text1"/>
          <w:szCs w:val="24"/>
          <w:lang w:eastAsia="en-GB"/>
        </w:rPr>
        <w:t xml:space="preserve"> reflected in the </w:t>
      </w:r>
      <w:r w:rsidRPr="000D3161">
        <w:rPr>
          <w:rFonts w:eastAsia="Times New Roman" w:cstheme="majorBidi"/>
          <w:color w:val="000000" w:themeColor="text1"/>
          <w:szCs w:val="24"/>
          <w:lang w:eastAsia="en-GB"/>
        </w:rPr>
        <w:t>construction of the</w:t>
      </w:r>
      <w:r w:rsidRPr="00BA2D09">
        <w:t xml:space="preserve"> </w:t>
      </w:r>
      <w:r w:rsidR="000A3BAD" w:rsidRPr="001534C3">
        <w:t>socio-economic duty</w:t>
      </w:r>
      <w:r w:rsidRPr="000D3161">
        <w:rPr>
          <w:rFonts w:eastAsia="Times New Roman" w:cstheme="majorBidi"/>
          <w:color w:val="000000" w:themeColor="text1"/>
          <w:szCs w:val="24"/>
          <w:lang w:eastAsia="en-GB"/>
        </w:rPr>
        <w:t>.</w:t>
      </w:r>
      <w:r w:rsidRPr="000D3161">
        <w:rPr>
          <w:rStyle w:val="FootnoteReference"/>
          <w:rFonts w:eastAsia="Times New Roman" w:cstheme="majorBidi"/>
          <w:color w:val="000000" w:themeColor="text1"/>
          <w:szCs w:val="24"/>
          <w:lang w:eastAsia="en-GB"/>
        </w:rPr>
        <w:footnoteReference w:id="26"/>
      </w:r>
      <w:r w:rsidRPr="000D3161">
        <w:rPr>
          <w:rFonts w:eastAsia="Times New Roman" w:cstheme="majorBidi"/>
          <w:color w:val="000000" w:themeColor="text1"/>
          <w:szCs w:val="24"/>
          <w:lang w:eastAsia="en-GB"/>
        </w:rPr>
        <w:t xml:space="preserve"> These are the </w:t>
      </w:r>
      <w:r>
        <w:rPr>
          <w:rFonts w:eastAsia="Times New Roman" w:cstheme="majorBidi"/>
          <w:color w:val="000000" w:themeColor="text1"/>
          <w:szCs w:val="24"/>
          <w:lang w:eastAsia="en-GB"/>
        </w:rPr>
        <w:t>creation</w:t>
      </w:r>
      <w:r w:rsidRPr="000D3161">
        <w:rPr>
          <w:rFonts w:eastAsia="Times New Roman" w:cstheme="majorBidi"/>
          <w:color w:val="000000" w:themeColor="text1"/>
          <w:szCs w:val="24"/>
          <w:lang w:eastAsia="en-GB"/>
        </w:rPr>
        <w:t xml:space="preserve"> of</w:t>
      </w:r>
      <w:r>
        <w:rPr>
          <w:rFonts w:eastAsia="Times New Roman" w:cstheme="majorBidi"/>
          <w:color w:val="000000" w:themeColor="text1"/>
          <w:szCs w:val="24"/>
          <w:lang w:eastAsia="en-GB"/>
        </w:rPr>
        <w:t xml:space="preserve"> a</w:t>
      </w:r>
      <w:r w:rsidRPr="000D3161">
        <w:rPr>
          <w:rFonts w:eastAsia="Times New Roman" w:cstheme="majorBidi"/>
          <w:color w:val="000000" w:themeColor="text1"/>
          <w:szCs w:val="24"/>
          <w:lang w:eastAsia="en-GB"/>
        </w:rPr>
        <w:t xml:space="preserve"> procedural stimulus (through the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due regard</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formulation), the focus on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self-steering</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(through the widespread use of impact assessments</w:t>
      </w:r>
      <w:r w:rsidR="00C13FFB">
        <w:rPr>
          <w:rFonts w:eastAsia="Times New Roman" w:cstheme="majorBidi"/>
          <w:color w:val="000000" w:themeColor="text1"/>
          <w:szCs w:val="24"/>
          <w:lang w:eastAsia="en-GB"/>
        </w:rPr>
        <w:t xml:space="preserve"> and other internal documentary processes</w:t>
      </w:r>
      <w:r w:rsidRPr="000D3161">
        <w:rPr>
          <w:rFonts w:eastAsia="Times New Roman" w:cstheme="majorBidi"/>
          <w:color w:val="000000" w:themeColor="text1"/>
          <w:szCs w:val="24"/>
          <w:lang w:eastAsia="en-GB"/>
        </w:rPr>
        <w:t xml:space="preserve">) and the </w:t>
      </w:r>
      <w:r w:rsidRPr="000D3161">
        <w:rPr>
          <w:rFonts w:eastAsia="Times New Roman" w:cstheme="majorBidi"/>
          <w:color w:val="000000" w:themeColor="text1"/>
          <w:szCs w:val="24"/>
          <w:lang w:eastAsia="en-GB"/>
        </w:rPr>
        <w:lastRenderedPageBreak/>
        <w:t>importance of deliberation (through the emphasis on stakeholder engagement).</w:t>
      </w:r>
      <w:r>
        <w:rPr>
          <w:rFonts w:eastAsia="Times New Roman" w:cstheme="majorBidi"/>
          <w:color w:val="000000" w:themeColor="text1"/>
          <w:szCs w:val="24"/>
          <w:lang w:eastAsia="en-GB"/>
        </w:rPr>
        <w:t xml:space="preserve"> I deal with each of these in turn below.</w:t>
      </w:r>
    </w:p>
    <w:p w14:paraId="06E1AD56" w14:textId="4B0AF56F" w:rsidR="00CE16D4" w:rsidRPr="000D3161" w:rsidRDefault="00CE16D4" w:rsidP="00BA2D09">
      <w:pPr>
        <w:pStyle w:val="Heading2"/>
      </w:pPr>
      <w:r w:rsidRPr="000D3161">
        <w:t>Creating</w:t>
      </w:r>
      <w:r>
        <w:t xml:space="preserve"> a </w:t>
      </w:r>
      <w:r w:rsidR="002D7E66">
        <w:t>Procedural Stimulu</w:t>
      </w:r>
      <w:r>
        <w:t>s</w:t>
      </w:r>
    </w:p>
    <w:p w14:paraId="1AC3824E" w14:textId="7E767F08" w:rsidR="00CE16D4" w:rsidRDefault="00CE16D4" w:rsidP="00BA2D09">
      <w:pPr>
        <w:rPr>
          <w:rFonts w:eastAsia="Times New Roman" w:cstheme="majorBidi"/>
          <w:szCs w:val="24"/>
          <w:lang w:eastAsia="en-GB"/>
        </w:rPr>
      </w:pPr>
      <w:r w:rsidRPr="000D3161">
        <w:rPr>
          <w:rFonts w:eastAsia="Times New Roman" w:cstheme="majorBidi"/>
          <w:color w:val="000000" w:themeColor="text1"/>
          <w:szCs w:val="24"/>
          <w:lang w:eastAsia="en-GB"/>
        </w:rPr>
        <w:t xml:space="preserve">First, </w:t>
      </w:r>
      <w:r>
        <w:rPr>
          <w:rFonts w:eastAsia="Times New Roman" w:cstheme="majorBidi"/>
          <w:color w:val="000000" w:themeColor="text1"/>
          <w:szCs w:val="24"/>
          <w:lang w:eastAsia="en-GB"/>
        </w:rPr>
        <w:t xml:space="preserve">the construction of the </w:t>
      </w:r>
      <w:r w:rsidR="000A3BAD" w:rsidRPr="001534C3">
        <w:t>socio-economic duty</w:t>
      </w:r>
      <w:r w:rsidRPr="00BA2D09">
        <w:t xml:space="preserve"> </w:t>
      </w:r>
      <w:r>
        <w:rPr>
          <w:rFonts w:eastAsia="Times New Roman" w:cstheme="majorBidi"/>
          <w:color w:val="000000" w:themeColor="text1"/>
          <w:szCs w:val="24"/>
          <w:lang w:eastAsia="en-GB"/>
        </w:rPr>
        <w:t xml:space="preserve">reflects </w:t>
      </w:r>
      <w:r w:rsidRPr="000D3161">
        <w:rPr>
          <w:rFonts w:eastAsia="Times New Roman" w:cstheme="majorBidi"/>
          <w:color w:val="000000" w:themeColor="text1"/>
          <w:szCs w:val="24"/>
          <w:lang w:eastAsia="en-GB"/>
        </w:rPr>
        <w:t>reflexive regulation</w:t>
      </w:r>
      <w:r w:rsidR="00BA4366">
        <w:rPr>
          <w:rFonts w:eastAsia="Times New Roman" w:cstheme="majorBidi"/>
          <w:color w:val="000000" w:themeColor="text1"/>
          <w:szCs w:val="24"/>
          <w:lang w:eastAsia="en-GB"/>
        </w:rPr>
        <w:t>’</w:t>
      </w:r>
      <w:r>
        <w:rPr>
          <w:rFonts w:eastAsia="Times New Roman" w:cstheme="majorBidi"/>
          <w:color w:val="000000" w:themeColor="text1"/>
          <w:szCs w:val="24"/>
          <w:lang w:eastAsia="en-GB"/>
        </w:rPr>
        <w:t>s</w:t>
      </w:r>
      <w:r w:rsidRPr="000D3161">
        <w:rPr>
          <w:rFonts w:eastAsia="Times New Roman" w:cstheme="majorBidi"/>
          <w:color w:val="000000" w:themeColor="text1"/>
          <w:szCs w:val="24"/>
          <w:lang w:eastAsia="en-GB"/>
        </w:rPr>
        <w:t xml:space="preserve"> </w:t>
      </w:r>
      <w:r>
        <w:rPr>
          <w:rFonts w:eastAsia="Times New Roman" w:cstheme="majorBidi"/>
          <w:color w:val="000000" w:themeColor="text1"/>
          <w:szCs w:val="24"/>
          <w:lang w:eastAsia="en-GB"/>
        </w:rPr>
        <w:t>focus</w:t>
      </w:r>
      <w:r w:rsidRPr="000D3161">
        <w:rPr>
          <w:rFonts w:eastAsia="Times New Roman" w:cstheme="majorBidi"/>
          <w:color w:val="000000" w:themeColor="text1"/>
          <w:szCs w:val="24"/>
          <w:lang w:eastAsia="en-GB"/>
        </w:rPr>
        <w:t xml:space="preserve"> on crafting what McCrudden characterises as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procedural stimuli</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interventions that aim to shape </w:t>
      </w:r>
      <w:r w:rsidRPr="000D3161">
        <w:rPr>
          <w:rFonts w:eastAsia="Times New Roman" w:cstheme="majorBidi"/>
          <w:i/>
          <w:color w:val="000000" w:themeColor="text1"/>
          <w:szCs w:val="24"/>
          <w:lang w:eastAsia="en-GB"/>
        </w:rPr>
        <w:t>processes</w:t>
      </w:r>
      <w:r w:rsidRPr="000D3161">
        <w:rPr>
          <w:rFonts w:eastAsia="Times New Roman" w:cstheme="majorBidi"/>
          <w:color w:val="000000" w:themeColor="text1"/>
          <w:szCs w:val="24"/>
          <w:lang w:eastAsia="en-GB"/>
        </w:rPr>
        <w:t xml:space="preserve"> undertaken by regulated actors rather than mandate </w:t>
      </w:r>
      <w:r w:rsidRPr="000D3161">
        <w:rPr>
          <w:rFonts w:eastAsia="Times New Roman" w:cstheme="majorBidi"/>
          <w:i/>
          <w:color w:val="000000" w:themeColor="text1"/>
          <w:szCs w:val="24"/>
          <w:lang w:eastAsia="en-GB"/>
        </w:rPr>
        <w:t xml:space="preserve">outcomes </w:t>
      </w:r>
      <w:r w:rsidRPr="000D3161">
        <w:rPr>
          <w:rFonts w:eastAsia="Times New Roman" w:cstheme="majorBidi"/>
          <w:color w:val="000000" w:themeColor="text1"/>
          <w:szCs w:val="24"/>
          <w:lang w:eastAsia="en-GB"/>
        </w:rPr>
        <w:t>from them.</w:t>
      </w:r>
      <w:r w:rsidRPr="000D3161">
        <w:rPr>
          <w:rStyle w:val="FootnoteReference"/>
          <w:rFonts w:eastAsia="Times New Roman" w:cstheme="majorBidi"/>
          <w:color w:val="000000" w:themeColor="text1"/>
          <w:szCs w:val="24"/>
          <w:lang w:eastAsia="en-GB"/>
        </w:rPr>
        <w:footnoteReference w:id="27"/>
      </w:r>
      <w:r w:rsidRPr="000D3161">
        <w:rPr>
          <w:rFonts w:eastAsia="Times New Roman" w:cstheme="majorBidi"/>
          <w:color w:val="000000" w:themeColor="text1"/>
          <w:szCs w:val="24"/>
          <w:lang w:eastAsia="en-GB"/>
        </w:rPr>
        <w:t xml:space="preserve"> This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procedural orientation</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is the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essence of reflexive law</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w:t>
      </w:r>
      <w:r w:rsidRPr="000D3161">
        <w:rPr>
          <w:rStyle w:val="FootnoteReference"/>
          <w:rFonts w:eastAsia="Times New Roman" w:cstheme="majorBidi"/>
          <w:bCs/>
          <w:szCs w:val="24"/>
          <w:lang w:eastAsia="en-GB"/>
        </w:rPr>
        <w:footnoteReference w:id="28"/>
      </w:r>
      <w:r w:rsidRPr="000D3161">
        <w:rPr>
          <w:rFonts w:eastAsia="Times New Roman" w:cstheme="majorBidi"/>
          <w:color w:val="000000" w:themeColor="text1"/>
          <w:szCs w:val="24"/>
          <w:lang w:eastAsia="en-GB"/>
        </w:rPr>
        <w:t xml:space="preserve"> As </w:t>
      </w:r>
      <w:proofErr w:type="spellStart"/>
      <w:r w:rsidRPr="000D3161">
        <w:rPr>
          <w:rFonts w:eastAsia="Times New Roman" w:cstheme="majorBidi"/>
          <w:szCs w:val="24"/>
          <w:lang w:eastAsia="en-GB"/>
        </w:rPr>
        <w:t>Ashiagbor</w:t>
      </w:r>
      <w:proofErr w:type="spellEnd"/>
      <w:r w:rsidRPr="000D3161">
        <w:rPr>
          <w:rFonts w:eastAsia="Times New Roman" w:cstheme="majorBidi"/>
          <w:szCs w:val="24"/>
          <w:lang w:eastAsia="en-GB"/>
        </w:rPr>
        <w:t xml:space="preserve"> puts it, the argument here is to </w:t>
      </w:r>
      <w:r w:rsidR="00BA4366">
        <w:rPr>
          <w:rFonts w:eastAsia="Times New Roman" w:cstheme="majorBidi"/>
          <w:szCs w:val="24"/>
          <w:lang w:eastAsia="en-GB"/>
        </w:rPr>
        <w:t>‘</w:t>
      </w:r>
      <w:r w:rsidRPr="000D3161">
        <w:rPr>
          <w:rFonts w:eastAsia="Times New Roman" w:cstheme="majorBidi"/>
          <w:szCs w:val="24"/>
          <w:lang w:eastAsia="en-GB"/>
        </w:rPr>
        <w:t>abandon the idea of effective external control by law</w:t>
      </w:r>
      <w:r w:rsidR="00BA4366">
        <w:rPr>
          <w:rFonts w:eastAsia="Times New Roman" w:cstheme="majorBidi"/>
          <w:szCs w:val="24"/>
          <w:lang w:eastAsia="en-GB"/>
        </w:rPr>
        <w:t>’</w:t>
      </w:r>
      <w:r w:rsidRPr="000D3161">
        <w:rPr>
          <w:rFonts w:eastAsia="Times New Roman" w:cstheme="majorBidi"/>
          <w:szCs w:val="24"/>
          <w:lang w:eastAsia="en-GB"/>
        </w:rPr>
        <w:t xml:space="preserve"> and instead develop indirect regulations that are </w:t>
      </w:r>
      <w:r w:rsidR="00BA4366">
        <w:rPr>
          <w:rFonts w:eastAsia="Times New Roman" w:cstheme="majorBidi"/>
          <w:szCs w:val="24"/>
          <w:lang w:eastAsia="en-GB"/>
        </w:rPr>
        <w:t>‘</w:t>
      </w:r>
      <w:r w:rsidRPr="000D3161">
        <w:rPr>
          <w:rFonts w:eastAsia="Times New Roman" w:cstheme="majorBidi"/>
          <w:szCs w:val="24"/>
          <w:lang w:eastAsia="en-GB"/>
        </w:rPr>
        <w:t>merely triggering the self-regulatory</w:t>
      </w:r>
      <w:r w:rsidR="00BA4366">
        <w:rPr>
          <w:rFonts w:eastAsia="Times New Roman" w:cstheme="majorBidi"/>
          <w:szCs w:val="24"/>
          <w:lang w:eastAsia="en-GB"/>
        </w:rPr>
        <w:t>’</w:t>
      </w:r>
      <w:r w:rsidRPr="000D3161">
        <w:rPr>
          <w:rFonts w:eastAsia="Times New Roman" w:cstheme="majorBidi"/>
          <w:szCs w:val="24"/>
          <w:lang w:eastAsia="en-GB"/>
        </w:rPr>
        <w:t xml:space="preserve"> process</w:t>
      </w:r>
      <w:r w:rsidR="00BA4366">
        <w:rPr>
          <w:rFonts w:eastAsia="Times New Roman" w:cstheme="majorBidi"/>
          <w:szCs w:val="24"/>
          <w:lang w:eastAsia="en-GB"/>
        </w:rPr>
        <w:t>’</w:t>
      </w:r>
      <w:r w:rsidRPr="000D3161">
        <w:rPr>
          <w:rFonts w:eastAsia="Times New Roman" w:cstheme="majorBidi"/>
          <w:szCs w:val="24"/>
          <w:lang w:eastAsia="en-GB"/>
        </w:rPr>
        <w:t>.</w:t>
      </w:r>
      <w:r w:rsidRPr="000D3161">
        <w:rPr>
          <w:rStyle w:val="FootnoteReference"/>
          <w:rFonts w:eastAsia="Times New Roman" w:cstheme="majorBidi"/>
          <w:szCs w:val="24"/>
          <w:lang w:eastAsia="en-GB"/>
        </w:rPr>
        <w:footnoteReference w:id="29"/>
      </w:r>
      <w:r w:rsidRPr="000D3161">
        <w:rPr>
          <w:rFonts w:eastAsia="Times New Roman" w:cstheme="majorBidi"/>
          <w:szCs w:val="24"/>
          <w:lang w:eastAsia="en-GB"/>
        </w:rPr>
        <w:t xml:space="preserve"> The design challenge for regulators is to craft effective stimuli that can </w:t>
      </w:r>
      <w:r w:rsidR="00BA4366">
        <w:rPr>
          <w:rFonts w:eastAsia="Times New Roman" w:cstheme="majorBidi"/>
          <w:szCs w:val="24"/>
          <w:lang w:eastAsia="en-GB"/>
        </w:rPr>
        <w:t>‘</w:t>
      </w:r>
      <w:r w:rsidRPr="000D3161">
        <w:rPr>
          <w:rFonts w:eastAsia="Times New Roman" w:cstheme="majorBidi"/>
          <w:szCs w:val="24"/>
          <w:lang w:eastAsia="en-GB"/>
        </w:rPr>
        <w:t>influence the self-steering of another system</w:t>
      </w:r>
      <w:r w:rsidR="00BA4366">
        <w:rPr>
          <w:rFonts w:eastAsia="Times New Roman" w:cstheme="majorBidi"/>
          <w:szCs w:val="24"/>
          <w:lang w:eastAsia="en-GB"/>
        </w:rPr>
        <w:t>’</w:t>
      </w:r>
      <w:r w:rsidRPr="000D3161">
        <w:rPr>
          <w:rStyle w:val="FootnoteReference"/>
          <w:rFonts w:eastAsia="Times New Roman" w:cstheme="majorBidi"/>
          <w:szCs w:val="24"/>
          <w:lang w:eastAsia="en-GB"/>
        </w:rPr>
        <w:footnoteReference w:id="30"/>
      </w:r>
      <w:r>
        <w:rPr>
          <w:rFonts w:eastAsia="Times New Roman" w:cstheme="majorBidi"/>
          <w:szCs w:val="24"/>
          <w:lang w:eastAsia="en-GB"/>
        </w:rPr>
        <w:t xml:space="preserve"> towards their regulatory ends.</w:t>
      </w:r>
    </w:p>
    <w:p w14:paraId="596A9771" w14:textId="7D5E967C" w:rsidR="00CE16D4" w:rsidRPr="004D39B1" w:rsidRDefault="00CE16D4" w:rsidP="00BA2D09">
      <w:pPr>
        <w:shd w:val="clear" w:color="auto" w:fill="FFFFFF"/>
        <w:spacing w:after="280"/>
        <w:ind w:right="-46"/>
        <w:rPr>
          <w:rFonts w:eastAsia="Times New Roman" w:cstheme="majorBidi"/>
          <w:color w:val="000000" w:themeColor="text1"/>
          <w:szCs w:val="24"/>
          <w:lang w:eastAsia="en-GB"/>
        </w:rPr>
      </w:pPr>
      <w:r w:rsidRPr="000D3161">
        <w:rPr>
          <w:rFonts w:eastAsia="Times New Roman" w:cstheme="majorBidi"/>
          <w:color w:val="000000" w:themeColor="text1"/>
          <w:szCs w:val="24"/>
          <w:lang w:eastAsia="en-GB"/>
        </w:rPr>
        <w:t>The PSED is a textbook example (literally</w:t>
      </w:r>
      <w:r w:rsidRPr="000D3161">
        <w:rPr>
          <w:rStyle w:val="FootnoteReference"/>
          <w:rFonts w:eastAsia="Times New Roman" w:cstheme="majorBidi"/>
          <w:color w:val="000000" w:themeColor="text1"/>
          <w:szCs w:val="24"/>
          <w:lang w:eastAsia="en-GB"/>
        </w:rPr>
        <w:footnoteReference w:id="31"/>
      </w:r>
      <w:r w:rsidRPr="000D3161">
        <w:rPr>
          <w:rFonts w:eastAsia="Times New Roman" w:cstheme="majorBidi"/>
          <w:color w:val="000000" w:themeColor="text1"/>
          <w:szCs w:val="24"/>
          <w:lang w:eastAsia="en-GB"/>
        </w:rPr>
        <w:t xml:space="preserve">) of this kind of procedural stimuli. Its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due regard</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formulation is designed to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provide a stimulus to the organisation to develop its own response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and as such is an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archetypal example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of reflexive law.</w:t>
      </w:r>
      <w:r w:rsidRPr="000D3161">
        <w:rPr>
          <w:rStyle w:val="FootnoteReference"/>
          <w:rFonts w:cstheme="majorBidi"/>
          <w:szCs w:val="24"/>
        </w:rPr>
        <w:footnoteReference w:id="32"/>
      </w:r>
      <w:r w:rsidRPr="000D3161">
        <w:rPr>
          <w:rFonts w:eastAsia="Times New Roman" w:cstheme="majorBidi"/>
          <w:color w:val="000000" w:themeColor="text1"/>
          <w:szCs w:val="24"/>
          <w:lang w:eastAsia="en-GB"/>
        </w:rPr>
        <w:t xml:space="preserve"> As Lees and Pedersen point out, these kinds of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due regard</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duties are not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necessar</w:t>
      </w:r>
      <w:r w:rsidR="00A96720">
        <w:rPr>
          <w:rFonts w:eastAsia="Times New Roman" w:cstheme="majorBidi"/>
          <w:color w:val="000000" w:themeColor="text1"/>
          <w:szCs w:val="24"/>
          <w:lang w:eastAsia="en-GB"/>
        </w:rPr>
        <w:t>il</w:t>
      </w:r>
      <w:r w:rsidRPr="000D3161">
        <w:rPr>
          <w:rFonts w:eastAsia="Times New Roman" w:cstheme="majorBidi"/>
          <w:color w:val="000000" w:themeColor="text1"/>
          <w:szCs w:val="24"/>
          <w:lang w:eastAsia="en-GB"/>
        </w:rPr>
        <w:t>y</w:t>
      </w:r>
      <w:r w:rsidR="001534C3">
        <w:rPr>
          <w:rFonts w:eastAsia="Times New Roman" w:cstheme="majorBidi"/>
          <w:color w:val="000000" w:themeColor="text1"/>
          <w:szCs w:val="24"/>
          <w:lang w:eastAsia="en-GB"/>
        </w:rPr>
        <w:t xml:space="preserve"> </w:t>
      </w:r>
      <w:r w:rsidRPr="000D3161">
        <w:rPr>
          <w:rFonts w:eastAsia="Times New Roman" w:cstheme="majorBidi"/>
          <w:color w:val="000000" w:themeColor="text1"/>
          <w:szCs w:val="24"/>
          <w:lang w:eastAsia="en-GB"/>
        </w:rPr>
        <w:t>…</w:t>
      </w:r>
      <w:r w:rsidR="001534C3">
        <w:rPr>
          <w:rFonts w:eastAsia="Times New Roman" w:cstheme="majorBidi"/>
          <w:color w:val="000000" w:themeColor="text1"/>
          <w:szCs w:val="24"/>
          <w:lang w:eastAsia="en-GB"/>
        </w:rPr>
        <w:t xml:space="preserve"> </w:t>
      </w:r>
      <w:r w:rsidRPr="000D3161">
        <w:rPr>
          <w:rFonts w:eastAsia="Times New Roman" w:cstheme="majorBidi"/>
          <w:color w:val="000000" w:themeColor="text1"/>
          <w:szCs w:val="24"/>
          <w:lang w:eastAsia="en-GB"/>
        </w:rPr>
        <w:t>a meaningless one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w:t>
      </w:r>
      <w:r>
        <w:rPr>
          <w:rFonts w:eastAsia="Times New Roman" w:cstheme="majorBidi"/>
          <w:color w:val="000000" w:themeColor="text1"/>
          <w:szCs w:val="24"/>
          <w:lang w:eastAsia="en-GB"/>
        </w:rPr>
        <w:t>legally</w:t>
      </w:r>
      <w:r w:rsidR="00265B1B">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resulting judicial review challenges can help to shape decisions by ensuring that factors are put in</w:t>
      </w:r>
      <w:r w:rsidR="001534C3">
        <w:rPr>
          <w:rFonts w:eastAsia="Times New Roman" w:cstheme="majorBidi"/>
          <w:color w:val="000000" w:themeColor="text1"/>
          <w:szCs w:val="24"/>
          <w:lang w:eastAsia="en-GB"/>
        </w:rPr>
        <w:t xml:space="preserve"> </w:t>
      </w:r>
      <w:r w:rsidRPr="000D3161">
        <w:rPr>
          <w:rFonts w:eastAsia="Times New Roman" w:cstheme="majorBidi"/>
          <w:color w:val="000000" w:themeColor="text1"/>
          <w:szCs w:val="24"/>
          <w:lang w:eastAsia="en-GB"/>
        </w:rPr>
        <w:t>front of decision</w:t>
      </w:r>
      <w:r w:rsidR="00130F23">
        <w:rPr>
          <w:rFonts w:eastAsia="Times New Roman" w:cstheme="majorBidi"/>
          <w:color w:val="000000" w:themeColor="text1"/>
          <w:szCs w:val="24"/>
          <w:lang w:eastAsia="en-GB"/>
        </w:rPr>
        <w:t xml:space="preserve"> mak</w:t>
      </w:r>
      <w:r w:rsidRPr="000D3161">
        <w:rPr>
          <w:rFonts w:eastAsia="Times New Roman" w:cstheme="majorBidi"/>
          <w:color w:val="000000" w:themeColor="text1"/>
          <w:szCs w:val="24"/>
          <w:lang w:eastAsia="en-GB"/>
        </w:rPr>
        <w:t>ers.</w:t>
      </w:r>
      <w:r w:rsidRPr="000D3161">
        <w:rPr>
          <w:rStyle w:val="FootnoteReference"/>
          <w:rFonts w:eastAsia="Times New Roman" w:cstheme="majorBidi"/>
          <w:color w:val="000000" w:themeColor="text1"/>
          <w:szCs w:val="24"/>
          <w:lang w:eastAsia="en-GB"/>
        </w:rPr>
        <w:footnoteReference w:id="33"/>
      </w:r>
      <w:r w:rsidRPr="000D3161">
        <w:rPr>
          <w:rFonts w:eastAsia="Times New Roman" w:cstheme="majorBidi"/>
          <w:color w:val="000000" w:themeColor="text1"/>
          <w:szCs w:val="24"/>
          <w:lang w:eastAsia="en-GB"/>
        </w:rPr>
        <w:t xml:space="preserve"> </w:t>
      </w:r>
      <w:r w:rsidRPr="000D3161">
        <w:rPr>
          <w:rFonts w:cstheme="majorBidi"/>
          <w:szCs w:val="24"/>
        </w:rPr>
        <w:t>How this formulation plays out in the PSED has had extensive judicial consideration</w:t>
      </w:r>
      <w:r w:rsidR="001534C3">
        <w:rPr>
          <w:rFonts w:cstheme="majorBidi"/>
          <w:szCs w:val="24"/>
        </w:rPr>
        <w:t>:</w:t>
      </w:r>
      <w:r w:rsidRPr="000D3161">
        <w:rPr>
          <w:rFonts w:cstheme="majorBidi"/>
          <w:szCs w:val="24"/>
        </w:rPr>
        <w:t xml:space="preserve"> a body of case law </w:t>
      </w:r>
      <w:r w:rsidRPr="000D3161">
        <w:rPr>
          <w:rFonts w:cstheme="majorBidi"/>
          <w:color w:val="000000"/>
          <w:szCs w:val="24"/>
        </w:rPr>
        <w:t xml:space="preserve">lamented by the courts as </w:t>
      </w:r>
      <w:r w:rsidR="00BA4366">
        <w:rPr>
          <w:rFonts w:cstheme="majorBidi"/>
          <w:color w:val="000000"/>
          <w:szCs w:val="24"/>
        </w:rPr>
        <w:t>‘</w:t>
      </w:r>
      <w:r w:rsidRPr="000D3161">
        <w:rPr>
          <w:rFonts w:cstheme="majorBidi"/>
          <w:color w:val="000000"/>
          <w:szCs w:val="24"/>
        </w:rPr>
        <w:t>two lever arch files</w:t>
      </w:r>
      <w:r w:rsidR="00BA4366">
        <w:rPr>
          <w:rFonts w:cstheme="majorBidi"/>
          <w:color w:val="000000"/>
          <w:szCs w:val="24"/>
        </w:rPr>
        <w:t>’</w:t>
      </w:r>
      <w:r w:rsidRPr="000D3161">
        <w:rPr>
          <w:rFonts w:cstheme="majorBidi"/>
          <w:color w:val="000000"/>
          <w:szCs w:val="24"/>
        </w:rPr>
        <w:t xml:space="preserve"> worth and praised as a </w:t>
      </w:r>
      <w:r w:rsidR="00BA4366">
        <w:rPr>
          <w:rFonts w:cstheme="majorBidi"/>
          <w:color w:val="000000"/>
          <w:szCs w:val="24"/>
        </w:rPr>
        <w:t>‘</w:t>
      </w:r>
      <w:r w:rsidRPr="000D3161">
        <w:rPr>
          <w:rFonts w:cstheme="majorBidi"/>
          <w:color w:val="000000"/>
          <w:szCs w:val="24"/>
        </w:rPr>
        <w:t>feast of decided cases</w:t>
      </w:r>
      <w:r w:rsidR="00BA4366">
        <w:rPr>
          <w:rFonts w:cstheme="majorBidi"/>
          <w:color w:val="000000"/>
          <w:szCs w:val="24"/>
        </w:rPr>
        <w:t>’</w:t>
      </w:r>
      <w:r w:rsidRPr="000D3161">
        <w:rPr>
          <w:rFonts w:cstheme="majorBidi"/>
          <w:color w:val="000000"/>
          <w:szCs w:val="24"/>
        </w:rPr>
        <w:t>.</w:t>
      </w:r>
      <w:bookmarkStart w:id="10" w:name="_Ref206232098"/>
      <w:r w:rsidRPr="000D3161">
        <w:rPr>
          <w:rStyle w:val="FootnoteReference"/>
          <w:rFonts w:cstheme="majorBidi"/>
          <w:color w:val="000000"/>
          <w:szCs w:val="24"/>
        </w:rPr>
        <w:footnoteReference w:id="34"/>
      </w:r>
      <w:bookmarkEnd w:id="10"/>
      <w:r w:rsidRPr="000D3161">
        <w:rPr>
          <w:rFonts w:cstheme="majorBidi"/>
          <w:color w:val="000000"/>
          <w:szCs w:val="24"/>
        </w:rPr>
        <w:t xml:space="preserve"> Setting this out in full here would leave space for little else, but it is worth underscoring two points in particular. First, the courts have been clear</w:t>
      </w:r>
      <w:r w:rsidR="00265B1B">
        <w:rPr>
          <w:rFonts w:cstheme="majorBidi"/>
          <w:color w:val="000000"/>
          <w:szCs w:val="24"/>
        </w:rPr>
        <w:t>—</w:t>
      </w:r>
      <w:r w:rsidRPr="000D3161">
        <w:rPr>
          <w:rFonts w:cstheme="majorBidi"/>
          <w:color w:val="000000"/>
          <w:szCs w:val="24"/>
        </w:rPr>
        <w:t xml:space="preserve">as underscored in the leading case </w:t>
      </w:r>
      <w:proofErr w:type="spellStart"/>
      <w:r w:rsidRPr="000D3161">
        <w:rPr>
          <w:rFonts w:cstheme="majorBidi"/>
          <w:i/>
          <w:iCs/>
          <w:color w:val="000000"/>
          <w:szCs w:val="24"/>
        </w:rPr>
        <w:t>Bracking</w:t>
      </w:r>
      <w:proofErr w:type="spellEnd"/>
      <w:r w:rsidR="00265B1B">
        <w:rPr>
          <w:rFonts w:cstheme="majorBidi"/>
          <w:color w:val="000000"/>
          <w:szCs w:val="24"/>
        </w:rPr>
        <w:t>—</w:t>
      </w:r>
      <w:r w:rsidRPr="000D3161">
        <w:rPr>
          <w:rFonts w:cstheme="majorBidi"/>
          <w:color w:val="000000"/>
          <w:szCs w:val="24"/>
        </w:rPr>
        <w:t>that a decision</w:t>
      </w:r>
      <w:r w:rsidR="00130F23">
        <w:rPr>
          <w:rFonts w:cstheme="majorBidi"/>
          <w:color w:val="000000"/>
          <w:szCs w:val="24"/>
        </w:rPr>
        <w:t xml:space="preserve"> mak</w:t>
      </w:r>
      <w:r w:rsidRPr="000D3161">
        <w:rPr>
          <w:rFonts w:cstheme="majorBidi"/>
          <w:color w:val="000000"/>
          <w:szCs w:val="24"/>
        </w:rPr>
        <w:t xml:space="preserve">er must turn their mind to the duty at the point a policy is being formulated, not afterwards as a kind of </w:t>
      </w:r>
      <w:r w:rsidRPr="00BA2D09">
        <w:rPr>
          <w:i/>
          <w:color w:val="000000"/>
        </w:rPr>
        <w:t>post</w:t>
      </w:r>
      <w:r w:rsidR="00130F23" w:rsidRPr="00130F23">
        <w:rPr>
          <w:rFonts w:cstheme="majorBidi"/>
          <w:i/>
          <w:iCs/>
          <w:color w:val="000000"/>
          <w:szCs w:val="24"/>
        </w:rPr>
        <w:t xml:space="preserve"> </w:t>
      </w:r>
      <w:r w:rsidRPr="00BA2D09">
        <w:rPr>
          <w:i/>
          <w:color w:val="000000"/>
        </w:rPr>
        <w:t>hoc</w:t>
      </w:r>
      <w:r w:rsidRPr="000D3161">
        <w:rPr>
          <w:rFonts w:cstheme="majorBidi"/>
          <w:color w:val="000000"/>
          <w:szCs w:val="24"/>
        </w:rPr>
        <w:t xml:space="preserve"> </w:t>
      </w:r>
      <w:r w:rsidR="008C74DC">
        <w:rPr>
          <w:rFonts w:cstheme="majorBidi"/>
          <w:color w:val="000000"/>
          <w:szCs w:val="24"/>
        </w:rPr>
        <w:t>‘</w:t>
      </w:r>
      <w:r w:rsidRPr="000D3161">
        <w:rPr>
          <w:rFonts w:cstheme="majorBidi"/>
          <w:color w:val="000000"/>
          <w:szCs w:val="24"/>
        </w:rPr>
        <w:t>rear</w:t>
      </w:r>
      <w:r w:rsidR="008C74DC">
        <w:rPr>
          <w:rFonts w:cstheme="majorBidi"/>
          <w:color w:val="000000"/>
          <w:szCs w:val="24"/>
        </w:rPr>
        <w:t>-</w:t>
      </w:r>
      <w:r w:rsidRPr="000D3161">
        <w:rPr>
          <w:rFonts w:cstheme="majorBidi"/>
          <w:color w:val="000000"/>
          <w:szCs w:val="24"/>
        </w:rPr>
        <w:t>guard action</w:t>
      </w:r>
      <w:r w:rsidR="008C74DC">
        <w:rPr>
          <w:rFonts w:cstheme="majorBidi"/>
          <w:color w:val="000000"/>
          <w:szCs w:val="24"/>
        </w:rPr>
        <w:t>’</w:t>
      </w:r>
      <w:r w:rsidRPr="000D3161">
        <w:rPr>
          <w:rFonts w:cstheme="majorBidi"/>
          <w:color w:val="000000"/>
          <w:szCs w:val="24"/>
        </w:rPr>
        <w:t>.</w:t>
      </w:r>
      <w:r w:rsidRPr="000D3161">
        <w:rPr>
          <w:rStyle w:val="FootnoteReference"/>
          <w:rFonts w:cstheme="majorBidi"/>
          <w:color w:val="000000"/>
          <w:szCs w:val="24"/>
        </w:rPr>
        <w:footnoteReference w:id="35"/>
      </w:r>
      <w:r w:rsidRPr="000D3161">
        <w:rPr>
          <w:rFonts w:cstheme="majorBidi"/>
          <w:color w:val="000000"/>
          <w:szCs w:val="24"/>
        </w:rPr>
        <w:t xml:space="preserve"> Second, the case law has repeatedly emphasised the </w:t>
      </w:r>
      <w:r w:rsidRPr="000D3161">
        <w:rPr>
          <w:rFonts w:cstheme="majorBidi"/>
          <w:color w:val="000000"/>
          <w:szCs w:val="24"/>
        </w:rPr>
        <w:lastRenderedPageBreak/>
        <w:t xml:space="preserve">existence of an </w:t>
      </w:r>
      <w:r w:rsidR="00BA4366">
        <w:rPr>
          <w:rFonts w:cstheme="majorBidi"/>
          <w:color w:val="000000"/>
          <w:szCs w:val="24"/>
        </w:rPr>
        <w:t>‘</w:t>
      </w:r>
      <w:r w:rsidRPr="000D3161">
        <w:rPr>
          <w:rFonts w:cstheme="majorBidi"/>
          <w:color w:val="000000"/>
          <w:szCs w:val="24"/>
        </w:rPr>
        <w:t>important evidential element</w:t>
      </w:r>
      <w:r w:rsidR="00BA4366">
        <w:rPr>
          <w:rFonts w:cstheme="majorBidi"/>
          <w:color w:val="000000"/>
          <w:szCs w:val="24"/>
        </w:rPr>
        <w:t>’</w:t>
      </w:r>
      <w:r w:rsidRPr="000D3161">
        <w:rPr>
          <w:rFonts w:cstheme="majorBidi"/>
          <w:color w:val="000000"/>
          <w:szCs w:val="24"/>
        </w:rPr>
        <w:t xml:space="preserve"> where a decision</w:t>
      </w:r>
      <w:r w:rsidR="00130F23">
        <w:rPr>
          <w:rFonts w:cstheme="majorBidi"/>
          <w:color w:val="000000"/>
          <w:szCs w:val="24"/>
        </w:rPr>
        <w:t xml:space="preserve"> mak</w:t>
      </w:r>
      <w:r w:rsidRPr="000D3161">
        <w:rPr>
          <w:rFonts w:cstheme="majorBidi"/>
          <w:color w:val="000000"/>
          <w:szCs w:val="24"/>
        </w:rPr>
        <w:t xml:space="preserve">er must demonstrate the </w:t>
      </w:r>
      <w:r w:rsidR="00BA4366">
        <w:rPr>
          <w:rFonts w:cstheme="majorBidi"/>
          <w:color w:val="000000"/>
          <w:szCs w:val="24"/>
        </w:rPr>
        <w:t>‘</w:t>
      </w:r>
      <w:r w:rsidRPr="000D3161">
        <w:rPr>
          <w:rFonts w:cstheme="majorBidi"/>
          <w:color w:val="000000"/>
          <w:szCs w:val="24"/>
        </w:rPr>
        <w:t>recording of steps taken</w:t>
      </w:r>
      <w:r w:rsidR="00130F23">
        <w:rPr>
          <w:rFonts w:cstheme="majorBidi"/>
          <w:color w:val="000000"/>
          <w:szCs w:val="24"/>
        </w:rPr>
        <w:t xml:space="preserve"> </w:t>
      </w:r>
      <w:r w:rsidRPr="000D3161">
        <w:rPr>
          <w:rFonts w:cstheme="majorBidi"/>
          <w:color w:val="000000"/>
          <w:szCs w:val="24"/>
        </w:rPr>
        <w:t>…</w:t>
      </w:r>
      <w:r w:rsidR="00130F23">
        <w:rPr>
          <w:rFonts w:cstheme="majorBidi"/>
          <w:color w:val="000000"/>
          <w:szCs w:val="24"/>
        </w:rPr>
        <w:t xml:space="preserve"> </w:t>
      </w:r>
      <w:r w:rsidRPr="000D3161">
        <w:rPr>
          <w:rFonts w:cstheme="majorBidi"/>
          <w:color w:val="000000"/>
          <w:szCs w:val="24"/>
        </w:rPr>
        <w:t>to meet their statutory requirements</w:t>
      </w:r>
      <w:r w:rsidR="00BA4366">
        <w:rPr>
          <w:rFonts w:cstheme="majorBidi"/>
          <w:color w:val="000000"/>
          <w:szCs w:val="24"/>
        </w:rPr>
        <w:t>’</w:t>
      </w:r>
      <w:r w:rsidRPr="000D3161">
        <w:rPr>
          <w:rFonts w:cstheme="majorBidi"/>
          <w:color w:val="000000"/>
          <w:szCs w:val="24"/>
        </w:rPr>
        <w:t xml:space="preserve"> and the need to </w:t>
      </w:r>
      <w:r w:rsidR="00BA4366">
        <w:rPr>
          <w:rFonts w:cstheme="majorBidi"/>
          <w:color w:val="000000"/>
          <w:szCs w:val="24"/>
        </w:rPr>
        <w:t>‘</w:t>
      </w:r>
      <w:r w:rsidRPr="000D3161">
        <w:rPr>
          <w:rFonts w:cstheme="majorBidi"/>
          <w:color w:val="000000"/>
          <w:szCs w:val="24"/>
        </w:rPr>
        <w:t>assess the risk and extent of any adverse impact</w:t>
      </w:r>
      <w:r w:rsidR="00BA4366">
        <w:rPr>
          <w:rFonts w:cstheme="majorBidi"/>
          <w:color w:val="000000"/>
          <w:szCs w:val="24"/>
        </w:rPr>
        <w:t>’</w:t>
      </w:r>
      <w:r w:rsidRPr="000D3161">
        <w:rPr>
          <w:rFonts w:cstheme="majorBidi"/>
          <w:color w:val="000000"/>
          <w:szCs w:val="24"/>
        </w:rPr>
        <w:t xml:space="preserve">; this cannot be </w:t>
      </w:r>
      <w:r w:rsidR="00BA4366">
        <w:rPr>
          <w:rFonts w:cstheme="majorBidi"/>
          <w:color w:val="000000"/>
          <w:szCs w:val="24"/>
        </w:rPr>
        <w:t>‘</w:t>
      </w:r>
      <w:r w:rsidRPr="000D3161">
        <w:rPr>
          <w:rFonts w:cstheme="majorBidi"/>
          <w:color w:val="000000"/>
          <w:szCs w:val="24"/>
        </w:rPr>
        <w:t>just window-dressing</w:t>
      </w:r>
      <w:r w:rsidR="00BA4366">
        <w:rPr>
          <w:rFonts w:cstheme="majorBidi"/>
          <w:color w:val="000000"/>
          <w:szCs w:val="24"/>
        </w:rPr>
        <w:t>’</w:t>
      </w:r>
      <w:r w:rsidRPr="000D3161">
        <w:rPr>
          <w:rFonts w:cstheme="majorBidi"/>
          <w:color w:val="000000"/>
          <w:szCs w:val="24"/>
        </w:rPr>
        <w:t>.</w:t>
      </w:r>
      <w:r w:rsidRPr="000D3161">
        <w:rPr>
          <w:rStyle w:val="FootnoteReference"/>
          <w:rFonts w:cstheme="majorBidi"/>
          <w:color w:val="000000"/>
          <w:szCs w:val="24"/>
        </w:rPr>
        <w:footnoteReference w:id="36"/>
      </w:r>
      <w:r w:rsidRPr="000D3161">
        <w:rPr>
          <w:rFonts w:cstheme="majorBidi"/>
          <w:color w:val="000000"/>
          <w:szCs w:val="24"/>
        </w:rPr>
        <w:t xml:space="preserve"> </w:t>
      </w:r>
      <w:r>
        <w:rPr>
          <w:rFonts w:cstheme="majorBidi"/>
          <w:color w:val="000000"/>
          <w:szCs w:val="24"/>
        </w:rPr>
        <w:t>C</w:t>
      </w:r>
      <w:r w:rsidRPr="000D3161">
        <w:rPr>
          <w:rFonts w:cstheme="majorBidi"/>
          <w:color w:val="000000"/>
          <w:szCs w:val="24"/>
        </w:rPr>
        <w:t>ompliance is a question of fact to be assessed by the court, and the duty need not be name</w:t>
      </w:r>
      <w:r w:rsidR="00130F23">
        <w:rPr>
          <w:rFonts w:cstheme="majorBidi"/>
          <w:color w:val="000000"/>
          <w:szCs w:val="24"/>
        </w:rPr>
        <w:t>-</w:t>
      </w:r>
      <w:r w:rsidRPr="000D3161">
        <w:rPr>
          <w:rFonts w:cstheme="majorBidi"/>
          <w:color w:val="000000"/>
          <w:szCs w:val="24"/>
        </w:rPr>
        <w:t>checked to demonstrate it.</w:t>
      </w:r>
      <w:r w:rsidRPr="000D3161">
        <w:rPr>
          <w:rStyle w:val="FootnoteReference"/>
          <w:rFonts w:cstheme="majorBidi"/>
          <w:color w:val="000000"/>
          <w:szCs w:val="24"/>
        </w:rPr>
        <w:footnoteReference w:id="37"/>
      </w:r>
    </w:p>
    <w:p w14:paraId="6940B13A" w14:textId="7BFE9AD3" w:rsidR="00CE16D4" w:rsidRPr="000D3161" w:rsidRDefault="00CE16D4" w:rsidP="00BA2D09">
      <w:pPr>
        <w:rPr>
          <w:rFonts w:cstheme="majorBidi"/>
          <w:szCs w:val="24"/>
        </w:rPr>
      </w:pPr>
      <w:r w:rsidRPr="000D3161">
        <w:rPr>
          <w:rFonts w:eastAsia="Times New Roman" w:cstheme="majorBidi"/>
          <w:color w:val="000000" w:themeColor="text1"/>
          <w:szCs w:val="24"/>
          <w:lang w:eastAsia="en-GB"/>
        </w:rPr>
        <w:t xml:space="preserve">The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socio-economic duty</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echoes the PSED</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s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due regard</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formulation. </w:t>
      </w:r>
      <w:r w:rsidRPr="000D3161">
        <w:rPr>
          <w:rFonts w:cstheme="majorBidi"/>
          <w:color w:val="000000" w:themeColor="text1"/>
          <w:szCs w:val="24"/>
        </w:rPr>
        <w:t>It places an obligation on</w:t>
      </w:r>
      <w:r w:rsidRPr="000D3161">
        <w:rPr>
          <w:rFonts w:eastAsia="Source Sans Pro" w:cstheme="majorBidi"/>
          <w:color w:val="000000" w:themeColor="text1"/>
          <w:szCs w:val="24"/>
        </w:rPr>
        <w:t xml:space="preserve"> certain public bodies, when taking key decisions, to have regard to whether it is desirable to reduce the inequalities of outcome which result from socio-economic disadvantage.</w:t>
      </w:r>
      <w:r w:rsidRPr="000D3161">
        <w:rPr>
          <w:rFonts w:cstheme="majorBidi"/>
          <w:color w:val="000000" w:themeColor="text1"/>
          <w:szCs w:val="24"/>
        </w:rPr>
        <w:t xml:space="preserve"> </w:t>
      </w:r>
      <w:r w:rsidR="0093613D">
        <w:rPr>
          <w:rFonts w:cstheme="majorBidi"/>
          <w:color w:val="000000" w:themeColor="text1"/>
          <w:szCs w:val="24"/>
        </w:rPr>
        <w:t>T</w:t>
      </w:r>
      <w:r w:rsidR="00885D7F">
        <w:rPr>
          <w:rFonts w:cstheme="majorBidi"/>
          <w:szCs w:val="24"/>
        </w:rPr>
        <w:t>he</w:t>
      </w:r>
      <w:r w:rsidRPr="000D3161">
        <w:rPr>
          <w:rFonts w:cstheme="majorBidi"/>
          <w:szCs w:val="24"/>
        </w:rPr>
        <w:t xml:space="preserve"> Equality Act 2010 sets out, </w:t>
      </w:r>
      <w:r w:rsidRPr="00BA2D09">
        <w:rPr>
          <w:i/>
        </w:rPr>
        <w:t>inter alia</w:t>
      </w:r>
      <w:r w:rsidRPr="000D3161">
        <w:rPr>
          <w:rFonts w:cstheme="majorBidi"/>
          <w:szCs w:val="24"/>
        </w:rPr>
        <w:t>, that:</w:t>
      </w:r>
    </w:p>
    <w:p w14:paraId="71DBDC7A" w14:textId="474D3C8A" w:rsidR="00CE16D4" w:rsidRPr="000D3161" w:rsidRDefault="00CE16D4" w:rsidP="00BA2D09">
      <w:pPr>
        <w:shd w:val="clear" w:color="auto" w:fill="FFFFFF"/>
        <w:spacing w:after="280" w:line="240" w:lineRule="auto"/>
        <w:ind w:left="360" w:right="521"/>
        <w:rPr>
          <w:rFonts w:eastAsia="Times New Roman" w:cstheme="majorBidi"/>
          <w:szCs w:val="24"/>
        </w:rPr>
      </w:pPr>
      <w:r w:rsidRPr="000D3161">
        <w:rPr>
          <w:rFonts w:eastAsia="Times New Roman" w:cstheme="majorBidi"/>
          <w:szCs w:val="24"/>
        </w:rPr>
        <w:t xml:space="preserve">An authority to which this section applies must, </w:t>
      </w:r>
      <w:r w:rsidRPr="00BA2D09">
        <w:rPr>
          <w:i/>
        </w:rPr>
        <w:t>when making decisions of a strategic nature</w:t>
      </w:r>
      <w:r w:rsidRPr="000D3161">
        <w:rPr>
          <w:rFonts w:eastAsia="Times New Roman" w:cstheme="majorBidi"/>
          <w:szCs w:val="24"/>
        </w:rPr>
        <w:t xml:space="preserve"> about how to exercise its functions, </w:t>
      </w:r>
      <w:r w:rsidRPr="00BA2D09">
        <w:rPr>
          <w:i/>
        </w:rPr>
        <w:t>have due regard to the desirability</w:t>
      </w:r>
      <w:r w:rsidRPr="000D3161">
        <w:rPr>
          <w:rFonts w:eastAsia="Times New Roman" w:cstheme="majorBidi"/>
          <w:szCs w:val="24"/>
        </w:rPr>
        <w:t xml:space="preserve"> of exercising them in a way that is designed to reduce the </w:t>
      </w:r>
      <w:r w:rsidRPr="00BA2D09">
        <w:rPr>
          <w:i/>
        </w:rPr>
        <w:t>inequalities of outcome which result from socio-economic disadvantage</w:t>
      </w:r>
      <w:r w:rsidRPr="000D3161">
        <w:rPr>
          <w:rFonts w:eastAsia="Times New Roman" w:cstheme="majorBidi"/>
          <w:szCs w:val="24"/>
        </w:rPr>
        <w:t>.</w:t>
      </w:r>
      <w:r w:rsidR="0093613D">
        <w:rPr>
          <w:rStyle w:val="FootnoteReference"/>
          <w:rFonts w:eastAsia="Times New Roman" w:cstheme="majorBidi"/>
          <w:szCs w:val="24"/>
        </w:rPr>
        <w:footnoteReference w:id="38"/>
      </w:r>
    </w:p>
    <w:p w14:paraId="1AA62F6E" w14:textId="0291427F" w:rsidR="00CE16D4" w:rsidRPr="000D3161" w:rsidRDefault="00CE16D4" w:rsidP="00BA2D09">
      <w:pPr>
        <w:shd w:val="clear" w:color="auto" w:fill="FFFFFF"/>
        <w:spacing w:after="280"/>
        <w:ind w:right="-46"/>
        <w:rPr>
          <w:rFonts w:cstheme="majorBidi"/>
          <w:szCs w:val="24"/>
        </w:rPr>
      </w:pPr>
      <w:r w:rsidRPr="000D3161">
        <w:rPr>
          <w:rFonts w:eastAsia="Times New Roman" w:cstheme="majorBidi"/>
          <w:szCs w:val="24"/>
        </w:rPr>
        <w:t>However, this</w:t>
      </w:r>
      <w:r w:rsidRPr="000D3161">
        <w:rPr>
          <w:rFonts w:eastAsia="Source Sans Pro" w:cstheme="majorBidi"/>
          <w:bCs/>
          <w:color w:val="000000" w:themeColor="text1"/>
          <w:szCs w:val="24"/>
        </w:rPr>
        <w:t xml:space="preserve"> duty is significantly </w:t>
      </w:r>
      <w:r w:rsidR="0093613D" w:rsidRPr="00BA2D09">
        <w:rPr>
          <w:color w:val="000000" w:themeColor="text1"/>
        </w:rPr>
        <w:t>‘</w:t>
      </w:r>
      <w:r w:rsidRPr="000D3161">
        <w:rPr>
          <w:rFonts w:cstheme="majorBidi"/>
          <w:szCs w:val="24"/>
        </w:rPr>
        <w:t>less intense</w:t>
      </w:r>
      <w:r w:rsidR="0093613D">
        <w:rPr>
          <w:rFonts w:cstheme="majorBidi"/>
          <w:szCs w:val="24"/>
        </w:rPr>
        <w:t>’</w:t>
      </w:r>
      <w:r w:rsidRPr="000D3161">
        <w:rPr>
          <w:rFonts w:cstheme="majorBidi"/>
          <w:szCs w:val="24"/>
        </w:rPr>
        <w:t xml:space="preserve"> than the parallel PSED under section 149 </w:t>
      </w:r>
      <w:r w:rsidR="0093613D">
        <w:rPr>
          <w:rFonts w:cstheme="majorBidi"/>
          <w:szCs w:val="24"/>
        </w:rPr>
        <w:t xml:space="preserve">of the </w:t>
      </w:r>
      <w:r w:rsidRPr="000D3161">
        <w:rPr>
          <w:rFonts w:cstheme="majorBidi"/>
          <w:szCs w:val="24"/>
        </w:rPr>
        <w:t>Equality Act 2010.</w:t>
      </w:r>
      <w:r w:rsidRPr="000D3161">
        <w:rPr>
          <w:rStyle w:val="FootnoteReference"/>
          <w:rFonts w:cstheme="majorBidi"/>
          <w:szCs w:val="24"/>
        </w:rPr>
        <w:footnoteReference w:id="39"/>
      </w:r>
      <w:r w:rsidRPr="000D3161">
        <w:rPr>
          <w:rFonts w:cstheme="majorBidi"/>
          <w:szCs w:val="24"/>
        </w:rPr>
        <w:t xml:space="preserve"> Key sections</w:t>
      </w:r>
      <w:r w:rsidR="00265B1B">
        <w:rPr>
          <w:rFonts w:cstheme="majorBidi"/>
          <w:szCs w:val="24"/>
        </w:rPr>
        <w:t>—</w:t>
      </w:r>
      <w:r w:rsidR="0093613D">
        <w:rPr>
          <w:rFonts w:cstheme="majorBidi"/>
          <w:szCs w:val="24"/>
        </w:rPr>
        <w:t>emphasised</w:t>
      </w:r>
      <w:r w:rsidRPr="000D3161">
        <w:rPr>
          <w:rFonts w:cstheme="majorBidi"/>
          <w:szCs w:val="24"/>
        </w:rPr>
        <w:t xml:space="preserve"> in the excerpt above</w:t>
      </w:r>
      <w:r w:rsidR="00265B1B">
        <w:rPr>
          <w:rFonts w:cstheme="majorBidi"/>
          <w:szCs w:val="24"/>
        </w:rPr>
        <w:t>—</w:t>
      </w:r>
      <w:r w:rsidRPr="000D3161">
        <w:rPr>
          <w:rFonts w:cstheme="majorBidi"/>
          <w:szCs w:val="24"/>
        </w:rPr>
        <w:t xml:space="preserve">dilute the obligations imposed on public authorities. The duty applies only to </w:t>
      </w:r>
      <w:r w:rsidR="00BA4366">
        <w:rPr>
          <w:rFonts w:cstheme="majorBidi"/>
          <w:szCs w:val="24"/>
        </w:rPr>
        <w:t>‘</w:t>
      </w:r>
      <w:r w:rsidRPr="000D3161">
        <w:rPr>
          <w:rFonts w:cstheme="majorBidi"/>
          <w:szCs w:val="24"/>
        </w:rPr>
        <w:t>decisions of a strategic nature</w:t>
      </w:r>
      <w:r w:rsidR="00BA4366">
        <w:rPr>
          <w:rFonts w:cstheme="majorBidi"/>
          <w:szCs w:val="24"/>
        </w:rPr>
        <w:t>’</w:t>
      </w:r>
      <w:r w:rsidR="0093613D">
        <w:rPr>
          <w:rFonts w:cstheme="majorBidi"/>
          <w:szCs w:val="24"/>
        </w:rPr>
        <w:t>,</w:t>
      </w:r>
      <w:r w:rsidRPr="000D3161">
        <w:rPr>
          <w:rFonts w:cstheme="majorBidi"/>
          <w:szCs w:val="24"/>
        </w:rPr>
        <w:t xml:space="preserve"> rather than all public functions. A </w:t>
      </w:r>
      <w:r w:rsidR="00BA4366">
        <w:rPr>
          <w:rFonts w:cstheme="majorBidi"/>
          <w:szCs w:val="24"/>
        </w:rPr>
        <w:t>‘</w:t>
      </w:r>
      <w:r w:rsidRPr="000D3161">
        <w:rPr>
          <w:rFonts w:cstheme="majorBidi"/>
          <w:szCs w:val="24"/>
        </w:rPr>
        <w:t>strategic decision</w:t>
      </w:r>
      <w:r w:rsidR="00BA4366">
        <w:rPr>
          <w:rFonts w:cstheme="majorBidi"/>
          <w:szCs w:val="24"/>
        </w:rPr>
        <w:t>’</w:t>
      </w:r>
      <w:r w:rsidRPr="000D3161">
        <w:rPr>
          <w:rFonts w:cstheme="majorBidi"/>
          <w:szCs w:val="24"/>
        </w:rPr>
        <w:t xml:space="preserve"> is not defined in the legislation, but guidance in the Welsh and Scottish context</w:t>
      </w:r>
      <w:r w:rsidR="009B31E7">
        <w:rPr>
          <w:rFonts w:cstheme="majorBidi"/>
          <w:szCs w:val="24"/>
        </w:rPr>
        <w:t>s</w:t>
      </w:r>
      <w:r w:rsidRPr="000D3161">
        <w:rPr>
          <w:rFonts w:cstheme="majorBidi"/>
          <w:szCs w:val="24"/>
        </w:rPr>
        <w:t xml:space="preserve"> identifies a broad remit: namely, </w:t>
      </w:r>
      <w:r w:rsidR="00BA4366">
        <w:rPr>
          <w:rFonts w:cstheme="majorBidi"/>
          <w:szCs w:val="24"/>
        </w:rPr>
        <w:t>‘</w:t>
      </w:r>
      <w:r w:rsidRPr="000D3161">
        <w:rPr>
          <w:rFonts w:cstheme="majorBidi"/>
          <w:szCs w:val="24"/>
        </w:rPr>
        <w:t>high-level decisions that the public sector takes, such as deciding priorities and setting objectives</w:t>
      </w:r>
      <w:r w:rsidR="00BA4366">
        <w:rPr>
          <w:rFonts w:cstheme="majorBidi"/>
          <w:szCs w:val="24"/>
        </w:rPr>
        <w:t>’</w:t>
      </w:r>
      <w:r w:rsidRPr="000D3161">
        <w:rPr>
          <w:rFonts w:cstheme="majorBidi"/>
          <w:szCs w:val="24"/>
        </w:rPr>
        <w:t>, examples of which range from preparing legislation and corporate/development plans or strategies, to major investment and procurement exercises or decisions to commission services.</w:t>
      </w:r>
      <w:r w:rsidRPr="000D3161">
        <w:rPr>
          <w:rStyle w:val="FootnoteReference"/>
          <w:rFonts w:cstheme="majorBidi"/>
          <w:szCs w:val="24"/>
        </w:rPr>
        <w:footnoteReference w:id="40"/>
      </w:r>
      <w:r w:rsidRPr="000D3161">
        <w:rPr>
          <w:rFonts w:cstheme="majorBidi"/>
          <w:szCs w:val="24"/>
        </w:rPr>
        <w:t xml:space="preserve"> In a further important contrast to the PSED, the public authority must have </w:t>
      </w:r>
      <w:r w:rsidR="00BA4366">
        <w:rPr>
          <w:rFonts w:cstheme="majorBidi"/>
          <w:szCs w:val="24"/>
        </w:rPr>
        <w:t>‘</w:t>
      </w:r>
      <w:r w:rsidRPr="000D3161">
        <w:rPr>
          <w:rFonts w:cstheme="majorBidi"/>
          <w:szCs w:val="24"/>
        </w:rPr>
        <w:t>due regard</w:t>
      </w:r>
      <w:r w:rsidR="00BA4366">
        <w:rPr>
          <w:rFonts w:cstheme="majorBidi"/>
          <w:szCs w:val="24"/>
        </w:rPr>
        <w:t>’</w:t>
      </w:r>
      <w:r w:rsidRPr="000D3161">
        <w:rPr>
          <w:rFonts w:cstheme="majorBidi"/>
          <w:szCs w:val="24"/>
        </w:rPr>
        <w:t xml:space="preserve"> only to the </w:t>
      </w:r>
      <w:r w:rsidRPr="000D3161">
        <w:rPr>
          <w:rFonts w:cstheme="majorBidi"/>
          <w:i/>
          <w:szCs w:val="24"/>
        </w:rPr>
        <w:t xml:space="preserve">desirability </w:t>
      </w:r>
      <w:r w:rsidRPr="000D3161">
        <w:rPr>
          <w:rFonts w:cstheme="majorBidi"/>
          <w:szCs w:val="24"/>
        </w:rPr>
        <w:t xml:space="preserve">of exercising their functions in a way that is designed to reduce the inequalities of outcome which result from socio-economic disadvantage. This is significantly softer than a stronger formulation that could require action in response to identification of such inequalities (such as the requirement to </w:t>
      </w:r>
      <w:r w:rsidR="00BA4366">
        <w:rPr>
          <w:rFonts w:cstheme="majorBidi"/>
          <w:szCs w:val="24"/>
        </w:rPr>
        <w:t>‘</w:t>
      </w:r>
      <w:r w:rsidRPr="000D3161">
        <w:rPr>
          <w:rFonts w:cstheme="majorBidi"/>
          <w:szCs w:val="24"/>
        </w:rPr>
        <w:t>take reasonable steps</w:t>
      </w:r>
      <w:r w:rsidR="00BA4366">
        <w:rPr>
          <w:rFonts w:cstheme="majorBidi"/>
          <w:szCs w:val="24"/>
        </w:rPr>
        <w:t>’</w:t>
      </w:r>
      <w:r w:rsidRPr="000D3161">
        <w:rPr>
          <w:rFonts w:cstheme="majorBidi"/>
          <w:szCs w:val="24"/>
        </w:rPr>
        <w:t xml:space="preserve"> to </w:t>
      </w:r>
      <w:r w:rsidRPr="000D3161">
        <w:rPr>
          <w:rFonts w:cstheme="majorBidi"/>
          <w:szCs w:val="24"/>
        </w:rPr>
        <w:lastRenderedPageBreak/>
        <w:t xml:space="preserve">address them) or even the PSED formulation of having simple </w:t>
      </w:r>
      <w:r w:rsidR="00BA4366">
        <w:rPr>
          <w:rFonts w:cstheme="majorBidi"/>
          <w:szCs w:val="24"/>
        </w:rPr>
        <w:t>‘</w:t>
      </w:r>
      <w:r w:rsidRPr="000D3161">
        <w:rPr>
          <w:rFonts w:cstheme="majorBidi"/>
          <w:szCs w:val="24"/>
        </w:rPr>
        <w:t>due regard</w:t>
      </w:r>
      <w:r w:rsidR="00BA4366">
        <w:rPr>
          <w:rFonts w:cstheme="majorBidi"/>
          <w:szCs w:val="24"/>
        </w:rPr>
        <w:t>’</w:t>
      </w:r>
      <w:r w:rsidRPr="000D3161">
        <w:rPr>
          <w:rFonts w:cstheme="majorBidi"/>
          <w:szCs w:val="24"/>
        </w:rPr>
        <w:t xml:space="preserve"> without the </w:t>
      </w:r>
      <w:r w:rsidR="00BA4366">
        <w:rPr>
          <w:rFonts w:cstheme="majorBidi"/>
          <w:szCs w:val="24"/>
        </w:rPr>
        <w:t>‘</w:t>
      </w:r>
      <w:r w:rsidRPr="000D3161">
        <w:rPr>
          <w:rFonts w:cstheme="majorBidi"/>
          <w:szCs w:val="24"/>
        </w:rPr>
        <w:t>desirability</w:t>
      </w:r>
      <w:r w:rsidR="00BA4366">
        <w:rPr>
          <w:rFonts w:cstheme="majorBidi"/>
          <w:szCs w:val="24"/>
        </w:rPr>
        <w:t>’</w:t>
      </w:r>
      <w:r w:rsidRPr="000D3161">
        <w:rPr>
          <w:rFonts w:cstheme="majorBidi"/>
          <w:szCs w:val="24"/>
        </w:rPr>
        <w:t xml:space="preserve"> gloss.</w:t>
      </w:r>
      <w:bookmarkStart w:id="11" w:name="_Ref194770903"/>
      <w:r w:rsidRPr="000D3161">
        <w:rPr>
          <w:rStyle w:val="FootnoteReference"/>
          <w:rFonts w:cstheme="majorBidi"/>
          <w:szCs w:val="24"/>
        </w:rPr>
        <w:footnoteReference w:id="41"/>
      </w:r>
      <w:bookmarkEnd w:id="11"/>
    </w:p>
    <w:p w14:paraId="7D786AEB" w14:textId="63704F07" w:rsidR="00BA4366" w:rsidRDefault="00CE16D4" w:rsidP="00BA2D09">
      <w:pPr>
        <w:rPr>
          <w:rFonts w:cstheme="majorBidi"/>
          <w:szCs w:val="24"/>
        </w:rPr>
      </w:pPr>
      <w:r w:rsidRPr="000D3161">
        <w:rPr>
          <w:rFonts w:cstheme="majorBidi"/>
          <w:color w:val="000000"/>
          <w:szCs w:val="24"/>
        </w:rPr>
        <w:t>Reflexive</w:t>
      </w:r>
      <w:r w:rsidRPr="000D3161">
        <w:rPr>
          <w:rFonts w:eastAsia="Times New Roman" w:cstheme="majorBidi"/>
          <w:szCs w:val="24"/>
        </w:rPr>
        <w:t xml:space="preserve"> law</w:t>
      </w:r>
      <w:r w:rsidR="00BA4366">
        <w:rPr>
          <w:rFonts w:eastAsia="Times New Roman" w:cstheme="majorBidi"/>
          <w:szCs w:val="24"/>
        </w:rPr>
        <w:t>’</w:t>
      </w:r>
      <w:r w:rsidRPr="000D3161">
        <w:rPr>
          <w:rFonts w:eastAsia="Times New Roman" w:cstheme="majorBidi"/>
          <w:szCs w:val="24"/>
        </w:rPr>
        <w:t xml:space="preserve">s </w:t>
      </w:r>
      <w:r w:rsidR="00BA4366">
        <w:rPr>
          <w:rFonts w:eastAsia="Times New Roman" w:cstheme="majorBidi"/>
          <w:szCs w:val="24"/>
        </w:rPr>
        <w:t>‘</w:t>
      </w:r>
      <w:r w:rsidRPr="000D3161">
        <w:rPr>
          <w:rFonts w:eastAsia="Times New Roman" w:cstheme="majorBidi"/>
          <w:szCs w:val="24"/>
        </w:rPr>
        <w:t>legal self-restraint</w:t>
      </w:r>
      <w:r w:rsidR="00BA4366">
        <w:rPr>
          <w:rFonts w:eastAsia="Times New Roman" w:cstheme="majorBidi"/>
          <w:szCs w:val="24"/>
        </w:rPr>
        <w:t>’</w:t>
      </w:r>
      <w:r w:rsidRPr="000D3161">
        <w:rPr>
          <w:rFonts w:eastAsia="Times New Roman" w:cstheme="majorBidi"/>
          <w:szCs w:val="24"/>
        </w:rPr>
        <w:t xml:space="preserve"> extends not only to</w:t>
      </w:r>
      <w:r w:rsidR="00BA4366">
        <w:rPr>
          <w:rFonts w:eastAsia="Times New Roman" w:cstheme="majorBidi"/>
          <w:szCs w:val="24"/>
        </w:rPr>
        <w:t xml:space="preserve"> ‘</w:t>
      </w:r>
      <w:r w:rsidRPr="000D3161">
        <w:rPr>
          <w:rFonts w:eastAsia="Times New Roman" w:cstheme="majorBidi"/>
          <w:szCs w:val="24"/>
        </w:rPr>
        <w:t>procedural stimuli</w:t>
      </w:r>
      <w:r w:rsidR="00BA4366">
        <w:rPr>
          <w:rFonts w:eastAsia="Times New Roman" w:cstheme="majorBidi"/>
          <w:szCs w:val="24"/>
        </w:rPr>
        <w:t>’</w:t>
      </w:r>
      <w:r w:rsidRPr="000D3161">
        <w:rPr>
          <w:rFonts w:eastAsia="Times New Roman" w:cstheme="majorBidi"/>
          <w:szCs w:val="24"/>
        </w:rPr>
        <w:t xml:space="preserve"> like the </w:t>
      </w:r>
      <w:r w:rsidR="00BA4366">
        <w:rPr>
          <w:rFonts w:eastAsia="Times New Roman" w:cstheme="majorBidi"/>
          <w:szCs w:val="24"/>
        </w:rPr>
        <w:t>‘</w:t>
      </w:r>
      <w:r w:rsidRPr="000D3161">
        <w:rPr>
          <w:rFonts w:eastAsia="Times New Roman" w:cstheme="majorBidi"/>
          <w:szCs w:val="24"/>
        </w:rPr>
        <w:t>due regard</w:t>
      </w:r>
      <w:r w:rsidR="00BA4366">
        <w:rPr>
          <w:rFonts w:eastAsia="Times New Roman" w:cstheme="majorBidi"/>
          <w:szCs w:val="24"/>
        </w:rPr>
        <w:t>’</w:t>
      </w:r>
      <w:r w:rsidRPr="000D3161">
        <w:rPr>
          <w:rFonts w:eastAsia="Times New Roman" w:cstheme="majorBidi"/>
          <w:szCs w:val="24"/>
        </w:rPr>
        <w:t xml:space="preserve"> formulation (the </w:t>
      </w:r>
      <w:r w:rsidR="00BA4366">
        <w:rPr>
          <w:rFonts w:eastAsia="Times New Roman" w:cstheme="majorBidi"/>
          <w:szCs w:val="24"/>
        </w:rPr>
        <w:t>‘</w:t>
      </w:r>
      <w:r w:rsidRPr="000D3161">
        <w:rPr>
          <w:rFonts w:eastAsia="Times New Roman" w:cstheme="majorBidi"/>
          <w:szCs w:val="24"/>
        </w:rPr>
        <w:t>procedural stimuli</w:t>
      </w:r>
      <w:r w:rsidR="00BA4366">
        <w:rPr>
          <w:rFonts w:eastAsia="Times New Roman" w:cstheme="majorBidi"/>
          <w:szCs w:val="24"/>
        </w:rPr>
        <w:t>’</w:t>
      </w:r>
      <w:r w:rsidRPr="000D3161">
        <w:rPr>
          <w:rFonts w:eastAsia="Times New Roman" w:cstheme="majorBidi"/>
          <w:szCs w:val="24"/>
        </w:rPr>
        <w:t>), but also to how its intended outcomes are communicated and defined.</w:t>
      </w:r>
      <w:r w:rsidRPr="000D3161">
        <w:rPr>
          <w:rStyle w:val="FootnoteReference"/>
          <w:rFonts w:eastAsia="Times New Roman" w:cstheme="majorBidi"/>
          <w:szCs w:val="24"/>
        </w:rPr>
        <w:footnoteReference w:id="42"/>
      </w:r>
      <w:r w:rsidRPr="000D3161">
        <w:rPr>
          <w:rFonts w:eastAsia="Times New Roman" w:cstheme="majorBidi"/>
          <w:szCs w:val="24"/>
        </w:rPr>
        <w:t xml:space="preserve"> The goals and principles should be </w:t>
      </w:r>
      <w:r w:rsidR="00BA4366">
        <w:rPr>
          <w:rFonts w:eastAsia="Times New Roman" w:cstheme="majorBidi"/>
          <w:szCs w:val="24"/>
        </w:rPr>
        <w:t>‘</w:t>
      </w:r>
      <w:r w:rsidRPr="000D3161">
        <w:rPr>
          <w:rFonts w:eastAsia="Times New Roman" w:cstheme="majorBidi"/>
          <w:szCs w:val="24"/>
        </w:rPr>
        <w:t>broad enough to leave particular ways of conforming</w:t>
      </w:r>
      <w:r w:rsidR="00BA4366">
        <w:rPr>
          <w:rFonts w:eastAsia="Times New Roman" w:cstheme="majorBidi"/>
          <w:szCs w:val="24"/>
        </w:rPr>
        <w:t>’</w:t>
      </w:r>
      <w:r w:rsidRPr="000D3161">
        <w:rPr>
          <w:rFonts w:eastAsia="Times New Roman" w:cstheme="majorBidi"/>
          <w:szCs w:val="24"/>
        </w:rPr>
        <w:t xml:space="preserve"> open and subject to significant scope for </w:t>
      </w:r>
      <w:r w:rsidR="00BA4366">
        <w:rPr>
          <w:rFonts w:eastAsia="Times New Roman" w:cstheme="majorBidi"/>
          <w:szCs w:val="24"/>
        </w:rPr>
        <w:t>‘</w:t>
      </w:r>
      <w:r w:rsidRPr="000D3161">
        <w:rPr>
          <w:rFonts w:eastAsia="Times New Roman" w:cstheme="majorBidi"/>
          <w:szCs w:val="24"/>
        </w:rPr>
        <w:t>contextual development</w:t>
      </w:r>
      <w:r w:rsidR="00BA4366">
        <w:rPr>
          <w:rFonts w:eastAsia="Times New Roman" w:cstheme="majorBidi"/>
          <w:szCs w:val="24"/>
        </w:rPr>
        <w:t>’</w:t>
      </w:r>
      <w:r w:rsidRPr="000D3161">
        <w:rPr>
          <w:rFonts w:eastAsia="Times New Roman" w:cstheme="majorBidi"/>
          <w:szCs w:val="24"/>
        </w:rPr>
        <w:t xml:space="preserve"> in the regulated subsystem.</w:t>
      </w:r>
      <w:r w:rsidRPr="000D3161">
        <w:rPr>
          <w:rStyle w:val="FootnoteReference"/>
          <w:rFonts w:eastAsia="Times New Roman" w:cstheme="majorBidi"/>
          <w:szCs w:val="24"/>
        </w:rPr>
        <w:footnoteReference w:id="43"/>
      </w:r>
      <w:r w:rsidRPr="000D3161">
        <w:rPr>
          <w:rFonts w:eastAsia="Times New Roman" w:cstheme="majorBidi"/>
          <w:szCs w:val="24"/>
        </w:rPr>
        <w:t xml:space="preserve"> </w:t>
      </w:r>
      <w:r>
        <w:rPr>
          <w:rFonts w:eastAsia="Times New Roman" w:cstheme="majorBidi"/>
          <w:szCs w:val="24"/>
        </w:rPr>
        <w:t>T</w:t>
      </w:r>
      <w:r w:rsidRPr="000D3161">
        <w:rPr>
          <w:rFonts w:cstheme="majorBidi"/>
          <w:szCs w:val="24"/>
        </w:rPr>
        <w:t xml:space="preserve">his approach is reflected in the incredibly broad remit of </w:t>
      </w:r>
      <w:r w:rsidR="00BA4366">
        <w:rPr>
          <w:rFonts w:cstheme="majorBidi"/>
          <w:szCs w:val="24"/>
        </w:rPr>
        <w:t>‘</w:t>
      </w:r>
      <w:r w:rsidRPr="000D3161">
        <w:rPr>
          <w:rFonts w:cstheme="majorBidi"/>
          <w:szCs w:val="24"/>
        </w:rPr>
        <w:t>inequalities of outcome which result from socio-economic disadvantage</w:t>
      </w:r>
      <w:r w:rsidR="00BA4366">
        <w:rPr>
          <w:rFonts w:cstheme="majorBidi"/>
          <w:szCs w:val="24"/>
        </w:rPr>
        <w:t>’</w:t>
      </w:r>
      <w:r>
        <w:rPr>
          <w:rFonts w:cstheme="majorBidi"/>
          <w:szCs w:val="24"/>
        </w:rPr>
        <w:t xml:space="preserve"> in the guidance issued in Scotland and Wales</w:t>
      </w:r>
      <w:r w:rsidRPr="000D3161">
        <w:rPr>
          <w:rFonts w:cstheme="majorBidi"/>
          <w:szCs w:val="24"/>
        </w:rPr>
        <w:t xml:space="preserve">. Guidance from the Welsh </w:t>
      </w:r>
      <w:r w:rsidR="0093613D" w:rsidRPr="000D3161">
        <w:rPr>
          <w:rFonts w:cstheme="majorBidi"/>
          <w:szCs w:val="24"/>
        </w:rPr>
        <w:t xml:space="preserve">government </w:t>
      </w:r>
      <w:r w:rsidRPr="000D3161">
        <w:rPr>
          <w:rFonts w:cstheme="majorBidi"/>
          <w:szCs w:val="24"/>
        </w:rPr>
        <w:t>is illustrative of the breadth of issues that could be relevant.</w:t>
      </w:r>
      <w:r w:rsidRPr="000D3161">
        <w:rPr>
          <w:rStyle w:val="FootnoteReference"/>
          <w:rFonts w:cstheme="majorBidi"/>
          <w:szCs w:val="24"/>
        </w:rPr>
        <w:footnoteReference w:id="44"/>
      </w:r>
      <w:r w:rsidRPr="000D3161">
        <w:rPr>
          <w:rFonts w:cstheme="majorBidi"/>
          <w:szCs w:val="24"/>
        </w:rPr>
        <w:t xml:space="preserve"> Drawing on the </w:t>
      </w:r>
      <w:r w:rsidR="001534C3" w:rsidRPr="000D3161">
        <w:rPr>
          <w:rFonts w:cstheme="majorBidi"/>
          <w:szCs w:val="24"/>
        </w:rPr>
        <w:t xml:space="preserve">measurement framework </w:t>
      </w:r>
      <w:r w:rsidR="001534C3">
        <w:rPr>
          <w:rFonts w:cstheme="majorBidi"/>
          <w:szCs w:val="24"/>
        </w:rPr>
        <w:t xml:space="preserve">of the </w:t>
      </w:r>
      <w:r w:rsidRPr="000D3161">
        <w:rPr>
          <w:rFonts w:cstheme="majorBidi"/>
          <w:szCs w:val="24"/>
        </w:rPr>
        <w:t>Equality and Human Rights Commission</w:t>
      </w:r>
      <w:r w:rsidR="001534C3">
        <w:rPr>
          <w:rFonts w:cstheme="majorBidi"/>
          <w:szCs w:val="24"/>
        </w:rPr>
        <w:t xml:space="preserve"> </w:t>
      </w:r>
      <w:r w:rsidR="001534C3">
        <w:t>(</w:t>
      </w:r>
      <w:r w:rsidR="001534C3" w:rsidRPr="000D3161">
        <w:rPr>
          <w:rFonts w:cstheme="majorBidi"/>
          <w:szCs w:val="24"/>
        </w:rPr>
        <w:t>EHRC</w:t>
      </w:r>
      <w:r w:rsidR="001534C3">
        <w:rPr>
          <w:rFonts w:cstheme="majorBidi"/>
          <w:szCs w:val="24"/>
        </w:rPr>
        <w:t>)</w:t>
      </w:r>
      <w:r w:rsidR="001534C3" w:rsidRPr="000D3161">
        <w:rPr>
          <w:rFonts w:cstheme="majorBidi"/>
          <w:szCs w:val="24"/>
        </w:rPr>
        <w:t xml:space="preserve"> </w:t>
      </w:r>
      <w:r w:rsidRPr="000D3161">
        <w:rPr>
          <w:rFonts w:cstheme="majorBidi"/>
          <w:szCs w:val="24"/>
        </w:rPr>
        <w:t xml:space="preserve">for </w:t>
      </w:r>
      <w:r w:rsidR="00BA4366">
        <w:rPr>
          <w:rFonts w:cstheme="majorBidi"/>
          <w:szCs w:val="24"/>
        </w:rPr>
        <w:t>‘</w:t>
      </w:r>
      <w:r w:rsidRPr="000D3161">
        <w:rPr>
          <w:rFonts w:cstheme="majorBidi"/>
          <w:szCs w:val="24"/>
        </w:rPr>
        <w:t>equality and human rights</w:t>
      </w:r>
      <w:r w:rsidR="00BA4366">
        <w:rPr>
          <w:rFonts w:cstheme="majorBidi"/>
          <w:szCs w:val="24"/>
        </w:rPr>
        <w:t>’</w:t>
      </w:r>
      <w:r w:rsidRPr="000D3161">
        <w:rPr>
          <w:rFonts w:cstheme="majorBidi"/>
          <w:szCs w:val="24"/>
        </w:rPr>
        <w:t xml:space="preserve">, the Welsh </w:t>
      </w:r>
      <w:r w:rsidR="0093613D">
        <w:rPr>
          <w:rFonts w:cstheme="majorBidi"/>
          <w:szCs w:val="24"/>
        </w:rPr>
        <w:t>government</w:t>
      </w:r>
      <w:r w:rsidRPr="000D3161">
        <w:rPr>
          <w:rFonts w:cstheme="majorBidi"/>
          <w:szCs w:val="24"/>
        </w:rPr>
        <w:t xml:space="preserve"> sets out a sm</w:t>
      </w:r>
      <w:r w:rsidR="001534C3">
        <w:rPr>
          <w:rFonts w:cstheme="majorBidi"/>
          <w:szCs w:val="24"/>
        </w:rPr>
        <w:t>o</w:t>
      </w:r>
      <w:r w:rsidRPr="000D3161">
        <w:rPr>
          <w:rFonts w:cstheme="majorBidi"/>
          <w:szCs w:val="24"/>
        </w:rPr>
        <w:t>rg</w:t>
      </w:r>
      <w:r w:rsidR="001534C3">
        <w:rPr>
          <w:rFonts w:cstheme="majorBidi"/>
          <w:szCs w:val="24"/>
        </w:rPr>
        <w:t>a</w:t>
      </w:r>
      <w:r w:rsidRPr="000D3161">
        <w:rPr>
          <w:rFonts w:cstheme="majorBidi"/>
          <w:szCs w:val="24"/>
        </w:rPr>
        <w:t>sbord of factors when unpacking the duty</w:t>
      </w:r>
      <w:r w:rsidR="00BA4366">
        <w:rPr>
          <w:rFonts w:cstheme="majorBidi"/>
          <w:szCs w:val="24"/>
        </w:rPr>
        <w:t>’</w:t>
      </w:r>
      <w:r w:rsidRPr="000D3161">
        <w:rPr>
          <w:rFonts w:cstheme="majorBidi"/>
          <w:szCs w:val="24"/>
        </w:rPr>
        <w:t xml:space="preserve">s organising concepts of </w:t>
      </w:r>
      <w:r w:rsidR="00BA4366">
        <w:rPr>
          <w:rFonts w:cstheme="majorBidi"/>
          <w:szCs w:val="24"/>
        </w:rPr>
        <w:t>‘</w:t>
      </w:r>
      <w:r w:rsidRPr="000D3161">
        <w:rPr>
          <w:rFonts w:cstheme="majorBidi"/>
          <w:szCs w:val="24"/>
        </w:rPr>
        <w:t>socio-economic disadvantage</w:t>
      </w:r>
      <w:r w:rsidR="00BA4366">
        <w:rPr>
          <w:rFonts w:cstheme="majorBidi"/>
          <w:szCs w:val="24"/>
        </w:rPr>
        <w:t>’</w:t>
      </w:r>
      <w:r w:rsidRPr="000D3161">
        <w:rPr>
          <w:rFonts w:cstheme="majorBidi"/>
          <w:szCs w:val="24"/>
        </w:rPr>
        <w:t xml:space="preserve"> and </w:t>
      </w:r>
      <w:r w:rsidR="00BA4366">
        <w:rPr>
          <w:rFonts w:cstheme="majorBidi"/>
          <w:szCs w:val="24"/>
        </w:rPr>
        <w:t>‘</w:t>
      </w:r>
      <w:r w:rsidRPr="000D3161">
        <w:rPr>
          <w:rFonts w:cstheme="majorBidi"/>
          <w:szCs w:val="24"/>
        </w:rPr>
        <w:t>inequality of outcome</w:t>
      </w:r>
      <w:r w:rsidR="00BA4366">
        <w:rPr>
          <w:rFonts w:cstheme="majorBidi"/>
          <w:szCs w:val="24"/>
        </w:rPr>
        <w:t>’</w:t>
      </w:r>
      <w:r w:rsidRPr="000D3161">
        <w:rPr>
          <w:rFonts w:cstheme="majorBidi"/>
          <w:szCs w:val="24"/>
        </w:rPr>
        <w:t xml:space="preserve">, from area and material deprivation, to education, health, work, living standards and the </w:t>
      </w:r>
      <w:r w:rsidR="00BA4366">
        <w:rPr>
          <w:rFonts w:cstheme="majorBidi"/>
          <w:szCs w:val="24"/>
        </w:rPr>
        <w:t>‘</w:t>
      </w:r>
      <w:r w:rsidRPr="000D3161">
        <w:rPr>
          <w:rFonts w:cstheme="majorBidi"/>
          <w:szCs w:val="24"/>
        </w:rPr>
        <w:t>capacity to avoid premature mortality</w:t>
      </w:r>
      <w:r w:rsidR="00BA4366">
        <w:rPr>
          <w:rFonts w:cstheme="majorBidi"/>
          <w:szCs w:val="24"/>
        </w:rPr>
        <w:t>’</w:t>
      </w:r>
      <w:r w:rsidRPr="000D3161">
        <w:rPr>
          <w:rFonts w:cstheme="majorBidi"/>
          <w:szCs w:val="24"/>
        </w:rPr>
        <w:t>.</w:t>
      </w:r>
      <w:r w:rsidRPr="000D3161">
        <w:rPr>
          <w:rStyle w:val="FootnoteReference"/>
          <w:rFonts w:cstheme="majorBidi"/>
          <w:szCs w:val="24"/>
        </w:rPr>
        <w:footnoteReference w:id="45"/>
      </w:r>
      <w:r>
        <w:rPr>
          <w:rFonts w:cstheme="majorBidi"/>
          <w:szCs w:val="24"/>
        </w:rPr>
        <w:t xml:space="preserve"> </w:t>
      </w:r>
      <w:r w:rsidRPr="000D3161">
        <w:rPr>
          <w:rFonts w:cstheme="majorBidi"/>
          <w:szCs w:val="24"/>
        </w:rPr>
        <w:t>Welsh participants in the</w:t>
      </w:r>
      <w:r w:rsidRPr="001534C3">
        <w:t xml:space="preserve"> </w:t>
      </w:r>
      <w:r w:rsidRPr="000D3161">
        <w:rPr>
          <w:rFonts w:cstheme="majorBidi"/>
          <w:szCs w:val="24"/>
        </w:rPr>
        <w:t>EHRC</w:t>
      </w:r>
      <w:r w:rsidR="001534C3">
        <w:rPr>
          <w:rFonts w:cstheme="majorBidi"/>
          <w:szCs w:val="24"/>
        </w:rPr>
        <w:t>’s</w:t>
      </w:r>
      <w:r w:rsidRPr="000D3161">
        <w:rPr>
          <w:rFonts w:cstheme="majorBidi"/>
          <w:szCs w:val="24"/>
        </w:rPr>
        <w:t xml:space="preserve"> evaluation pointed to the heavily contextual nature of how socio-economic factors were defined and called for </w:t>
      </w:r>
      <w:r w:rsidR="00BA4366">
        <w:rPr>
          <w:rFonts w:cstheme="majorBidi"/>
          <w:szCs w:val="24"/>
        </w:rPr>
        <w:t>‘</w:t>
      </w:r>
      <w:r w:rsidRPr="000D3161">
        <w:rPr>
          <w:rFonts w:cstheme="majorBidi"/>
          <w:szCs w:val="24"/>
        </w:rPr>
        <w:t>clearer definitions</w:t>
      </w:r>
      <w:r w:rsidR="00BA4366">
        <w:rPr>
          <w:rFonts w:cstheme="majorBidi"/>
          <w:szCs w:val="24"/>
        </w:rPr>
        <w:t>’</w:t>
      </w:r>
      <w:r w:rsidRPr="000D3161">
        <w:rPr>
          <w:rFonts w:cstheme="majorBidi"/>
          <w:szCs w:val="24"/>
        </w:rPr>
        <w:t xml:space="preserve"> to be provided</w:t>
      </w:r>
      <w:bookmarkStart w:id="12" w:name="_Ref194771657"/>
      <w:r w:rsidR="00450648">
        <w:rPr>
          <w:rFonts w:cstheme="majorBidi"/>
          <w:szCs w:val="24"/>
        </w:rPr>
        <w:t>.</w:t>
      </w:r>
      <w:r w:rsidRPr="000D3161">
        <w:rPr>
          <w:rStyle w:val="FootnoteReference"/>
          <w:rFonts w:cstheme="majorBidi"/>
          <w:szCs w:val="24"/>
        </w:rPr>
        <w:footnoteReference w:id="46"/>
      </w:r>
      <w:bookmarkEnd w:id="12"/>
      <w:r w:rsidRPr="000D3161">
        <w:rPr>
          <w:rFonts w:cstheme="majorBidi"/>
          <w:szCs w:val="24"/>
        </w:rPr>
        <w:t xml:space="preserve"> As Fredman notes, there </w:t>
      </w:r>
      <w:r w:rsidR="00BA4366">
        <w:rPr>
          <w:rFonts w:cstheme="majorBidi"/>
          <w:szCs w:val="24"/>
        </w:rPr>
        <w:t>‘</w:t>
      </w:r>
      <w:r w:rsidRPr="000D3161">
        <w:rPr>
          <w:rFonts w:eastAsia="Source Sans Pro" w:cstheme="majorBidi"/>
          <w:bCs/>
          <w:color w:val="000000" w:themeColor="text1"/>
          <w:szCs w:val="24"/>
        </w:rPr>
        <w:t>may be something to be said for leaving it to public bodies to decide for themselves what they consider to be socio-economic disadvantage and inequalities of outcome</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w:t>
      </w:r>
      <w:r w:rsidRPr="000D3161">
        <w:rPr>
          <w:rStyle w:val="FootnoteReference"/>
          <w:rFonts w:eastAsia="Source Sans Pro" w:cstheme="majorBidi"/>
          <w:bCs/>
          <w:color w:val="000000" w:themeColor="text1"/>
          <w:szCs w:val="24"/>
        </w:rPr>
        <w:footnoteReference w:id="47"/>
      </w:r>
      <w:r w:rsidRPr="000D3161">
        <w:rPr>
          <w:rFonts w:eastAsia="Source Sans Pro" w:cstheme="majorBidi"/>
          <w:bCs/>
          <w:color w:val="000000" w:themeColor="text1"/>
          <w:szCs w:val="24"/>
        </w:rPr>
        <w:t xml:space="preserve"> After</w:t>
      </w:r>
      <w:r w:rsidR="00450648">
        <w:rPr>
          <w:rFonts w:eastAsia="Source Sans Pro" w:cstheme="majorBidi"/>
          <w:bCs/>
          <w:color w:val="000000" w:themeColor="text1"/>
          <w:szCs w:val="24"/>
        </w:rPr>
        <w:t xml:space="preserve"> </w:t>
      </w:r>
      <w:r w:rsidRPr="000D3161">
        <w:rPr>
          <w:rFonts w:eastAsia="Source Sans Pro" w:cstheme="majorBidi"/>
          <w:bCs/>
          <w:color w:val="000000" w:themeColor="text1"/>
          <w:szCs w:val="24"/>
        </w:rPr>
        <w:t>all, what evidence is relevant to discharge the duty is heavily contingent on the specific decision at play. It is clear, however, that the scope of its application is intentionally broad</w:t>
      </w:r>
      <w:r w:rsidR="00450648">
        <w:rPr>
          <w:rFonts w:eastAsia="Source Sans Pro" w:cstheme="majorBidi"/>
          <w:bCs/>
          <w:color w:val="000000" w:themeColor="text1"/>
          <w:szCs w:val="24"/>
        </w:rPr>
        <w:t xml:space="preserve"> </w:t>
      </w:r>
      <w:r w:rsidRPr="000D3161">
        <w:rPr>
          <w:rFonts w:eastAsia="Source Sans Pro" w:cstheme="majorBidi"/>
          <w:bCs/>
          <w:color w:val="000000" w:themeColor="text1"/>
          <w:szCs w:val="24"/>
        </w:rPr>
        <w:t>ranging by design and to be left largely to public bodies subject to the duty.</w:t>
      </w:r>
    </w:p>
    <w:p w14:paraId="7A637763" w14:textId="7758C7F7" w:rsidR="00CE16D4" w:rsidRPr="000D3161" w:rsidRDefault="00CE16D4" w:rsidP="00BA2D09">
      <w:pPr>
        <w:pStyle w:val="Heading2"/>
        <w:rPr>
          <w:rFonts w:eastAsia="Times New Roman"/>
        </w:rPr>
      </w:pPr>
      <w:r>
        <w:rPr>
          <w:rFonts w:eastAsia="Times New Roman"/>
        </w:rPr>
        <w:lastRenderedPageBreak/>
        <w:t xml:space="preserve">A </w:t>
      </w:r>
      <w:r w:rsidR="002D7E66">
        <w:rPr>
          <w:rFonts w:eastAsia="Times New Roman"/>
        </w:rPr>
        <w:t xml:space="preserve">Focus </w:t>
      </w:r>
      <w:r>
        <w:rPr>
          <w:rFonts w:eastAsia="Times New Roman"/>
        </w:rPr>
        <w:t xml:space="preserve">on </w:t>
      </w:r>
      <w:r w:rsidR="00BA4366">
        <w:rPr>
          <w:rFonts w:eastAsia="Times New Roman"/>
        </w:rPr>
        <w:t>‘</w:t>
      </w:r>
      <w:r w:rsidR="002D7E66">
        <w:rPr>
          <w:rFonts w:eastAsia="Times New Roman"/>
        </w:rPr>
        <w:t>Self-Steering’</w:t>
      </w:r>
    </w:p>
    <w:p w14:paraId="54E80E78" w14:textId="23FC44E5" w:rsidR="00CE16D4" w:rsidRPr="000D3161" w:rsidRDefault="00CE16D4" w:rsidP="00BA2D09">
      <w:pPr>
        <w:shd w:val="clear" w:color="auto" w:fill="FFFFFF"/>
        <w:spacing w:after="280"/>
        <w:ind w:right="-46"/>
        <w:rPr>
          <w:rFonts w:eastAsia="Source Sans Pro" w:cstheme="majorBidi"/>
          <w:bCs/>
          <w:color w:val="000000" w:themeColor="text1"/>
          <w:szCs w:val="24"/>
        </w:rPr>
      </w:pPr>
      <w:r w:rsidRPr="000D3161">
        <w:rPr>
          <w:rFonts w:eastAsia="Times New Roman" w:cstheme="majorBidi"/>
          <w:szCs w:val="24"/>
        </w:rPr>
        <w:t xml:space="preserve">Second, </w:t>
      </w:r>
      <w:r w:rsidRPr="000D3161">
        <w:rPr>
          <w:rFonts w:cstheme="majorBidi"/>
          <w:szCs w:val="24"/>
        </w:rPr>
        <w:t>in echoing the mechanics of the PSED</w:t>
      </w:r>
      <w:r w:rsidR="00BA4366">
        <w:rPr>
          <w:rFonts w:cstheme="majorBidi"/>
          <w:szCs w:val="24"/>
        </w:rPr>
        <w:t>’</w:t>
      </w:r>
      <w:r w:rsidRPr="000D3161">
        <w:rPr>
          <w:rFonts w:cstheme="majorBidi"/>
          <w:szCs w:val="24"/>
        </w:rPr>
        <w:t xml:space="preserve">s </w:t>
      </w:r>
      <w:r w:rsidR="00BA4366">
        <w:rPr>
          <w:rFonts w:cstheme="majorBidi"/>
          <w:szCs w:val="24"/>
        </w:rPr>
        <w:t>‘</w:t>
      </w:r>
      <w:r w:rsidRPr="000D3161">
        <w:rPr>
          <w:rFonts w:cstheme="majorBidi"/>
          <w:szCs w:val="24"/>
        </w:rPr>
        <w:t>due regard</w:t>
      </w:r>
      <w:r w:rsidR="00BA4366">
        <w:rPr>
          <w:rFonts w:cstheme="majorBidi"/>
          <w:szCs w:val="24"/>
        </w:rPr>
        <w:t>’</w:t>
      </w:r>
      <w:r w:rsidRPr="000D3161">
        <w:rPr>
          <w:rFonts w:cstheme="majorBidi"/>
          <w:szCs w:val="24"/>
        </w:rPr>
        <w:t xml:space="preserve"> formulation, the duty </w:t>
      </w:r>
      <w:r>
        <w:rPr>
          <w:rFonts w:cstheme="majorBidi"/>
          <w:szCs w:val="24"/>
        </w:rPr>
        <w:t xml:space="preserve">recognises the value of shaping the </w:t>
      </w:r>
      <w:r w:rsidRPr="000D3161">
        <w:rPr>
          <w:rFonts w:cstheme="majorBidi"/>
          <w:szCs w:val="24"/>
        </w:rPr>
        <w:t>decision-making processes of the regulated authorities and</w:t>
      </w:r>
      <w:r w:rsidR="00327BAC">
        <w:rPr>
          <w:rFonts w:cstheme="majorBidi"/>
          <w:szCs w:val="24"/>
        </w:rPr>
        <w:t xml:space="preserve"> requiring them</w:t>
      </w:r>
      <w:r w:rsidRPr="000D3161">
        <w:rPr>
          <w:rFonts w:cstheme="majorBidi"/>
          <w:szCs w:val="24"/>
        </w:rPr>
        <w:t xml:space="preserve"> to </w:t>
      </w:r>
      <w:r w:rsidR="00BA4366">
        <w:rPr>
          <w:rFonts w:cstheme="majorBidi"/>
          <w:szCs w:val="24"/>
        </w:rPr>
        <w:t>‘</w:t>
      </w:r>
      <w:r w:rsidRPr="000D3161">
        <w:rPr>
          <w:rFonts w:eastAsia="Source Sans Pro" w:cstheme="majorBidi"/>
          <w:bCs/>
          <w:color w:val="000000" w:themeColor="text1"/>
          <w:szCs w:val="24"/>
        </w:rPr>
        <w:t>confront, rather than turn a blind eye</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to</w:t>
      </w:r>
      <w:r w:rsidR="00873ED9">
        <w:rPr>
          <w:rFonts w:eastAsia="Source Sans Pro" w:cstheme="majorBidi"/>
          <w:bCs/>
          <w:color w:val="000000" w:themeColor="text1"/>
          <w:szCs w:val="24"/>
        </w:rPr>
        <w:t>,</w:t>
      </w:r>
      <w:r w:rsidRPr="000D3161">
        <w:rPr>
          <w:rFonts w:eastAsia="Source Sans Pro" w:cstheme="majorBidi"/>
          <w:bCs/>
          <w:color w:val="000000" w:themeColor="text1"/>
          <w:szCs w:val="24"/>
        </w:rPr>
        <w:t xml:space="preserve"> the potential impact of policy decisions.</w:t>
      </w:r>
      <w:r w:rsidRPr="000D3161">
        <w:rPr>
          <w:rStyle w:val="FootnoteReference"/>
          <w:rFonts w:eastAsia="Source Sans Pro" w:cstheme="majorBidi"/>
          <w:bCs/>
          <w:color w:val="000000" w:themeColor="text1"/>
          <w:szCs w:val="24"/>
        </w:rPr>
        <w:footnoteReference w:id="48"/>
      </w:r>
      <w:r w:rsidRPr="000D3161">
        <w:rPr>
          <w:rFonts w:eastAsia="Source Sans Pro" w:cstheme="majorBidi"/>
          <w:bCs/>
          <w:color w:val="000000" w:themeColor="text1"/>
          <w:szCs w:val="24"/>
        </w:rPr>
        <w:t xml:space="preserve"> On the ground, this generally requires a form to be filled out. For example, to evidence having had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due regard</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authorities ordinarily undertake and </w:t>
      </w:r>
      <w:r>
        <w:rPr>
          <w:rFonts w:eastAsia="Source Sans Pro" w:cstheme="majorBidi"/>
          <w:bCs/>
          <w:color w:val="000000" w:themeColor="text1"/>
          <w:szCs w:val="24"/>
        </w:rPr>
        <w:t>o</w:t>
      </w:r>
      <w:r w:rsidR="00C72AF6">
        <w:rPr>
          <w:rFonts w:eastAsia="Source Sans Pro" w:cstheme="majorBidi"/>
          <w:bCs/>
          <w:color w:val="000000" w:themeColor="text1"/>
          <w:szCs w:val="24"/>
        </w:rPr>
        <w:t>f</w:t>
      </w:r>
      <w:r>
        <w:rPr>
          <w:rFonts w:eastAsia="Source Sans Pro" w:cstheme="majorBidi"/>
          <w:bCs/>
          <w:color w:val="000000" w:themeColor="text1"/>
          <w:szCs w:val="24"/>
        </w:rPr>
        <w:t>ten</w:t>
      </w:r>
      <w:r w:rsidRPr="000D3161">
        <w:rPr>
          <w:rFonts w:eastAsia="Source Sans Pro" w:cstheme="majorBidi"/>
          <w:bCs/>
          <w:color w:val="000000" w:themeColor="text1"/>
          <w:szCs w:val="24"/>
        </w:rPr>
        <w:t xml:space="preserve"> publish an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impact assessment</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This is despite the fact that it has long been the case, as Fredman points out, that there is no statutory duty to do so.</w:t>
      </w:r>
      <w:bookmarkStart w:id="13" w:name="_Ref194752650"/>
      <w:r w:rsidRPr="000D3161">
        <w:rPr>
          <w:rStyle w:val="FootnoteReference"/>
          <w:rFonts w:eastAsia="Source Sans Pro" w:cstheme="majorBidi"/>
          <w:bCs/>
          <w:color w:val="000000" w:themeColor="text1"/>
          <w:szCs w:val="24"/>
        </w:rPr>
        <w:footnoteReference w:id="49"/>
      </w:r>
      <w:bookmarkEnd w:id="13"/>
      <w:r w:rsidRPr="000D3161">
        <w:rPr>
          <w:rFonts w:eastAsia="Source Sans Pro" w:cstheme="majorBidi"/>
          <w:bCs/>
          <w:color w:val="000000" w:themeColor="text1"/>
          <w:szCs w:val="24"/>
        </w:rPr>
        <w:t xml:space="preserve"> This</w:t>
      </w:r>
      <w:r w:rsidR="00873ED9">
        <w:rPr>
          <w:rFonts w:eastAsia="Source Sans Pro" w:cstheme="majorBidi"/>
          <w:bCs/>
          <w:color w:val="000000" w:themeColor="text1"/>
          <w:szCs w:val="24"/>
        </w:rPr>
        <w:t>,</w:t>
      </w:r>
      <w:r w:rsidRPr="000D3161">
        <w:rPr>
          <w:rFonts w:eastAsia="Source Sans Pro" w:cstheme="majorBidi"/>
          <w:bCs/>
          <w:color w:val="000000" w:themeColor="text1"/>
          <w:szCs w:val="24"/>
        </w:rPr>
        <w:t xml:space="preserve"> in turn</w:t>
      </w:r>
      <w:r w:rsidR="00873ED9">
        <w:rPr>
          <w:rFonts w:eastAsia="Source Sans Pro" w:cstheme="majorBidi"/>
          <w:bCs/>
          <w:color w:val="000000" w:themeColor="text1"/>
          <w:szCs w:val="24"/>
        </w:rPr>
        <w:t>,</w:t>
      </w:r>
      <w:r w:rsidRPr="000D3161">
        <w:rPr>
          <w:rFonts w:eastAsia="Source Sans Pro" w:cstheme="majorBidi"/>
          <w:bCs/>
          <w:color w:val="000000" w:themeColor="text1"/>
          <w:szCs w:val="24"/>
        </w:rPr>
        <w:t xml:space="preserve"> can foster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greater transparency, accountability and evidence-based </w:t>
      </w:r>
      <w:r w:rsidR="00C32BD2">
        <w:rPr>
          <w:rFonts w:eastAsia="Source Sans Pro" w:cstheme="majorBidi"/>
          <w:bCs/>
          <w:color w:val="000000" w:themeColor="text1"/>
          <w:szCs w:val="24"/>
        </w:rPr>
        <w:t>policy mak</w:t>
      </w:r>
      <w:r w:rsidRPr="000D3161">
        <w:rPr>
          <w:rFonts w:eastAsia="Source Sans Pro" w:cstheme="majorBidi"/>
          <w:bCs/>
          <w:color w:val="000000" w:themeColor="text1"/>
          <w:szCs w:val="24"/>
        </w:rPr>
        <w:t>ing</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in respect of groups that may have otherwise been neglected in the process.</w:t>
      </w:r>
      <w:r w:rsidRPr="000D3161">
        <w:rPr>
          <w:rStyle w:val="FootnoteReference"/>
          <w:rFonts w:eastAsia="Source Sans Pro" w:cstheme="majorBidi"/>
          <w:bCs/>
          <w:color w:val="000000" w:themeColor="text1"/>
          <w:szCs w:val="24"/>
        </w:rPr>
        <w:footnoteReference w:id="50"/>
      </w:r>
    </w:p>
    <w:p w14:paraId="657FF506" w14:textId="33AD6C0D" w:rsidR="00CE16D4" w:rsidRPr="000D3161" w:rsidRDefault="00CE16D4" w:rsidP="00BA2D09">
      <w:pPr>
        <w:shd w:val="clear" w:color="auto" w:fill="FFFFFF"/>
        <w:spacing w:after="280"/>
        <w:ind w:right="-46"/>
        <w:rPr>
          <w:rFonts w:eastAsia="Source Sans Pro" w:cstheme="majorBidi"/>
          <w:bCs/>
          <w:color w:val="000000" w:themeColor="text1"/>
          <w:szCs w:val="24"/>
        </w:rPr>
      </w:pPr>
      <w:r w:rsidRPr="000D3161">
        <w:rPr>
          <w:rFonts w:eastAsia="Source Sans Pro" w:cstheme="majorBidi"/>
          <w:bCs/>
          <w:color w:val="000000" w:themeColor="text1"/>
          <w:szCs w:val="24"/>
        </w:rPr>
        <w:t xml:space="preserve">A reflexive law approach would posit that these impact assessment processes work because they require the regulated system to be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explicit about assumptions and uncertainties</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in their operations.</w:t>
      </w:r>
      <w:r w:rsidRPr="000D3161">
        <w:rPr>
          <w:rStyle w:val="FootnoteReference"/>
          <w:rFonts w:eastAsia="Source Sans Pro" w:cstheme="majorBidi"/>
          <w:bCs/>
          <w:color w:val="000000" w:themeColor="text1"/>
          <w:szCs w:val="24"/>
        </w:rPr>
        <w:footnoteReference w:id="51"/>
      </w:r>
      <w:r w:rsidRPr="000D3161">
        <w:rPr>
          <w:rFonts w:eastAsia="Source Sans Pro" w:cstheme="majorBidi"/>
          <w:bCs/>
          <w:color w:val="000000" w:themeColor="text1"/>
          <w:szCs w:val="24"/>
        </w:rPr>
        <w:t xml:space="preserve"> By doing</w:t>
      </w:r>
      <w:r w:rsidR="00873ED9">
        <w:rPr>
          <w:rFonts w:eastAsia="Source Sans Pro" w:cstheme="majorBidi"/>
          <w:bCs/>
          <w:color w:val="000000" w:themeColor="text1"/>
          <w:szCs w:val="24"/>
        </w:rPr>
        <w:t xml:space="preserve"> </w:t>
      </w:r>
      <w:r w:rsidRPr="000D3161">
        <w:rPr>
          <w:rFonts w:eastAsia="Source Sans Pro" w:cstheme="majorBidi"/>
          <w:bCs/>
          <w:color w:val="000000" w:themeColor="text1"/>
          <w:szCs w:val="24"/>
        </w:rPr>
        <w:t xml:space="preserve">so, it makes those programmes that are riskier </w:t>
      </w:r>
      <w:r w:rsidR="006C1714">
        <w:rPr>
          <w:rFonts w:eastAsia="Source Sans Pro" w:cstheme="majorBidi"/>
          <w:bCs/>
          <w:color w:val="000000" w:themeColor="text1"/>
          <w:szCs w:val="24"/>
        </w:rPr>
        <w:t xml:space="preserve">less likely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to survive</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because they become more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difficult to justify</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internally.</w:t>
      </w:r>
      <w:r w:rsidRPr="000D3161">
        <w:rPr>
          <w:rStyle w:val="FootnoteReference"/>
          <w:rFonts w:eastAsia="Source Sans Pro" w:cstheme="majorBidi"/>
          <w:bCs/>
          <w:color w:val="000000" w:themeColor="text1"/>
          <w:szCs w:val="24"/>
        </w:rPr>
        <w:footnoteReference w:id="52"/>
      </w:r>
      <w:r w:rsidRPr="000D3161">
        <w:rPr>
          <w:rFonts w:eastAsia="Source Sans Pro" w:cstheme="majorBidi"/>
          <w:bCs/>
          <w:color w:val="000000" w:themeColor="text1"/>
          <w:szCs w:val="24"/>
        </w:rPr>
        <w:t xml:space="preserve"> Documentary processes within the regulated system work to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re-read, re-construct and re-contextualise</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the key regulatory messages contained within the procedural stimuli and, in doing</w:t>
      </w:r>
      <w:r w:rsidR="00873ED9">
        <w:rPr>
          <w:rFonts w:eastAsia="Source Sans Pro" w:cstheme="majorBidi"/>
          <w:bCs/>
          <w:color w:val="000000" w:themeColor="text1"/>
          <w:szCs w:val="24"/>
        </w:rPr>
        <w:t xml:space="preserve"> </w:t>
      </w:r>
      <w:r w:rsidRPr="000D3161">
        <w:rPr>
          <w:rFonts w:eastAsia="Source Sans Pro" w:cstheme="majorBidi"/>
          <w:bCs/>
          <w:color w:val="000000" w:themeColor="text1"/>
          <w:szCs w:val="24"/>
        </w:rPr>
        <w:t>so, make some courses of action further away from the regulatory aims more costly whilst providing incentives for others that are closer to them.</w:t>
      </w:r>
      <w:r w:rsidRPr="000D3161">
        <w:rPr>
          <w:rStyle w:val="FootnoteReference"/>
          <w:rFonts w:eastAsia="Source Sans Pro" w:cstheme="majorBidi"/>
          <w:bCs/>
          <w:color w:val="000000" w:themeColor="text1"/>
          <w:szCs w:val="24"/>
        </w:rPr>
        <w:footnoteReference w:id="53"/>
      </w:r>
    </w:p>
    <w:p w14:paraId="78E7C270" w14:textId="6E745E2B" w:rsidR="00CE16D4" w:rsidRPr="00BA2D09" w:rsidRDefault="00CE16D4" w:rsidP="00BA2D09">
      <w:r w:rsidRPr="000D3161">
        <w:rPr>
          <w:rFonts w:cstheme="majorBidi"/>
          <w:szCs w:val="24"/>
        </w:rPr>
        <w:t xml:space="preserve">Evidence from Scotland and Wales suggests that, although there are huge variations in approaches, most public bodies have incorporated the socio-economic duty into the existing </w:t>
      </w:r>
      <w:r w:rsidR="00BA4366">
        <w:rPr>
          <w:rFonts w:cstheme="majorBidi"/>
          <w:szCs w:val="24"/>
        </w:rPr>
        <w:t>‘</w:t>
      </w:r>
      <w:r w:rsidRPr="000D3161">
        <w:rPr>
          <w:rFonts w:cstheme="majorBidi"/>
          <w:szCs w:val="24"/>
        </w:rPr>
        <w:t>process, template or framework</w:t>
      </w:r>
      <w:r w:rsidR="00BA4366">
        <w:rPr>
          <w:rFonts w:cstheme="majorBidi"/>
          <w:szCs w:val="24"/>
        </w:rPr>
        <w:t>’</w:t>
      </w:r>
      <w:r w:rsidRPr="000D3161">
        <w:rPr>
          <w:rFonts w:cstheme="majorBidi"/>
          <w:szCs w:val="24"/>
        </w:rPr>
        <w:t xml:space="preserve"> for impact assessments already used for the PSED.</w:t>
      </w:r>
      <w:r w:rsidRPr="000D3161">
        <w:rPr>
          <w:rStyle w:val="FootnoteReference"/>
          <w:rFonts w:cstheme="majorBidi"/>
          <w:szCs w:val="24"/>
        </w:rPr>
        <w:footnoteReference w:id="54"/>
      </w:r>
      <w:r w:rsidRPr="000D3161">
        <w:rPr>
          <w:rFonts w:cstheme="majorBidi"/>
          <w:szCs w:val="24"/>
        </w:rPr>
        <w:t xml:space="preserve"> They therefore discharge the duties </w:t>
      </w:r>
      <w:r w:rsidR="00BA4366">
        <w:rPr>
          <w:rFonts w:cstheme="majorBidi"/>
          <w:szCs w:val="24"/>
        </w:rPr>
        <w:t>‘</w:t>
      </w:r>
      <w:r w:rsidRPr="000D3161">
        <w:rPr>
          <w:rFonts w:cstheme="majorBidi"/>
          <w:szCs w:val="24"/>
        </w:rPr>
        <w:t>holistically</w:t>
      </w:r>
      <w:r w:rsidR="00BA4366">
        <w:rPr>
          <w:rFonts w:cstheme="majorBidi"/>
          <w:szCs w:val="24"/>
        </w:rPr>
        <w:t>’</w:t>
      </w:r>
      <w:r w:rsidRPr="000D3161">
        <w:rPr>
          <w:rFonts w:cstheme="majorBidi"/>
          <w:szCs w:val="24"/>
        </w:rPr>
        <w:t xml:space="preserve">: having regard to the impact a policy or decision may have on inequalities of outcome which result from socio-economic disadvantage at the same time as they undertake an impact assessment on other groups as required by the PSED. This holistic approach avoids what participants in the EHRC evaluation characterised as a </w:t>
      </w:r>
      <w:r w:rsidR="00BA4366">
        <w:rPr>
          <w:rFonts w:cstheme="majorBidi"/>
          <w:szCs w:val="24"/>
        </w:rPr>
        <w:t>‘</w:t>
      </w:r>
      <w:r w:rsidRPr="000D3161">
        <w:rPr>
          <w:rFonts w:cstheme="majorBidi"/>
          <w:szCs w:val="24"/>
        </w:rPr>
        <w:t>duplication of effort and issues</w:t>
      </w:r>
      <w:r w:rsidR="00BA4366">
        <w:rPr>
          <w:rFonts w:cstheme="majorBidi"/>
          <w:szCs w:val="24"/>
        </w:rPr>
        <w:t>’</w:t>
      </w:r>
      <w:r w:rsidRPr="000D3161">
        <w:rPr>
          <w:rFonts w:cstheme="majorBidi"/>
          <w:szCs w:val="24"/>
        </w:rPr>
        <w:t>.</w:t>
      </w:r>
      <w:r w:rsidRPr="000D3161">
        <w:rPr>
          <w:rStyle w:val="FootnoteReference"/>
          <w:rFonts w:cstheme="majorBidi"/>
          <w:szCs w:val="24"/>
        </w:rPr>
        <w:footnoteReference w:id="55"/>
      </w:r>
      <w:r w:rsidRPr="000D3161">
        <w:rPr>
          <w:rFonts w:cstheme="majorBidi"/>
          <w:szCs w:val="24"/>
        </w:rPr>
        <w:t xml:space="preserve"> For instance, many Scottish </w:t>
      </w:r>
      <w:r w:rsidR="00873ED9" w:rsidRPr="000D3161">
        <w:rPr>
          <w:rFonts w:cstheme="majorBidi"/>
          <w:szCs w:val="24"/>
        </w:rPr>
        <w:t xml:space="preserve">local authorities </w:t>
      </w:r>
      <w:r w:rsidRPr="000D3161">
        <w:rPr>
          <w:rFonts w:cstheme="majorBidi"/>
          <w:szCs w:val="24"/>
        </w:rPr>
        <w:t xml:space="preserve">undertake an </w:t>
      </w:r>
      <w:r w:rsidR="00BA4366">
        <w:rPr>
          <w:rFonts w:cstheme="majorBidi"/>
          <w:szCs w:val="24"/>
        </w:rPr>
        <w:lastRenderedPageBreak/>
        <w:t>‘</w:t>
      </w:r>
      <w:r w:rsidRPr="000D3161">
        <w:rPr>
          <w:rFonts w:cstheme="majorBidi"/>
          <w:szCs w:val="24"/>
        </w:rPr>
        <w:t>integrated impact assessment</w:t>
      </w:r>
      <w:r w:rsidR="00BA4366">
        <w:rPr>
          <w:rFonts w:cstheme="majorBidi"/>
          <w:szCs w:val="24"/>
        </w:rPr>
        <w:t>’</w:t>
      </w:r>
      <w:r w:rsidRPr="000D3161">
        <w:rPr>
          <w:rFonts w:cstheme="majorBidi"/>
          <w:szCs w:val="24"/>
        </w:rPr>
        <w:t>, combining assessment of socio-economic impacts alongside protected characteristics in the Equality Act 2010, as in the excerpt from Aberdeenshire Council</w:t>
      </w:r>
      <w:r w:rsidR="00BA4366">
        <w:rPr>
          <w:rFonts w:cstheme="majorBidi"/>
          <w:szCs w:val="24"/>
        </w:rPr>
        <w:t>’</w:t>
      </w:r>
      <w:r w:rsidRPr="000D3161">
        <w:rPr>
          <w:rFonts w:cstheme="majorBidi"/>
          <w:szCs w:val="24"/>
        </w:rPr>
        <w:t>s revised impact assessment after commencement of the Fairer Scotland Duty</w:t>
      </w:r>
      <w:r w:rsidR="00873ED9">
        <w:rPr>
          <w:rFonts w:cstheme="majorBidi"/>
          <w:szCs w:val="24"/>
        </w:rPr>
        <w:t>, presented in Figure 1</w:t>
      </w:r>
      <w:r w:rsidRPr="000D3161">
        <w:rPr>
          <w:rFonts w:cstheme="majorBidi"/>
          <w:szCs w:val="24"/>
        </w:rPr>
        <w:t>.</w:t>
      </w:r>
      <w:r w:rsidRPr="00BA2D09">
        <w:br w:type="page"/>
      </w:r>
    </w:p>
    <w:p w14:paraId="6E1B4C07" w14:textId="014D9BCC" w:rsidR="00CE16D4" w:rsidRPr="000D3161" w:rsidRDefault="00CE16D4" w:rsidP="00BA2D09">
      <w:pPr>
        <w:pStyle w:val="Caption"/>
      </w:pPr>
      <w:r w:rsidRPr="000D3161">
        <w:rPr>
          <w:b/>
        </w:rPr>
        <w:lastRenderedPageBreak/>
        <w:t xml:space="preserve">Figure </w:t>
      </w:r>
      <w:r w:rsidR="00873ED9">
        <w:rPr>
          <w:b/>
        </w:rPr>
        <w:t>1.</w:t>
      </w:r>
      <w:r w:rsidRPr="000D3161">
        <w:rPr>
          <w:b/>
        </w:rPr>
        <w:t xml:space="preserve"> </w:t>
      </w:r>
      <w:r w:rsidRPr="000D3161">
        <w:t>Excerpt from Aberdeenshire Council</w:t>
      </w:r>
      <w:r w:rsidR="00BA4366">
        <w:t>’</w:t>
      </w:r>
      <w:r w:rsidRPr="000D3161">
        <w:t xml:space="preserve">s </w:t>
      </w:r>
      <w:r w:rsidR="00BA4366">
        <w:t>‘</w:t>
      </w:r>
      <w:r w:rsidRPr="000D3161">
        <w:t>integrated impact assessment</w:t>
      </w:r>
      <w:r w:rsidR="00BA4366">
        <w:t>’</w:t>
      </w:r>
      <w:r w:rsidRPr="000D3161">
        <w:t xml:space="preserve"> form.</w:t>
      </w:r>
    </w:p>
    <w:p w14:paraId="534BBC7F" w14:textId="107E9889" w:rsidR="00CE16D4" w:rsidRPr="000D3161" w:rsidRDefault="00CE16D4" w:rsidP="00BA2D09">
      <w:pPr>
        <w:shd w:val="clear" w:color="auto" w:fill="FFFFFF"/>
        <w:spacing w:after="280"/>
        <w:ind w:right="-46"/>
        <w:rPr>
          <w:rFonts w:eastAsia="Source Sans Pro" w:cstheme="majorBidi"/>
          <w:bCs/>
          <w:color w:val="000000" w:themeColor="text1"/>
          <w:szCs w:val="24"/>
        </w:rPr>
      </w:pPr>
      <w:r w:rsidRPr="000D3161">
        <w:rPr>
          <w:rFonts w:cstheme="majorBidi"/>
          <w:szCs w:val="24"/>
        </w:rPr>
        <w:t xml:space="preserve">The integration of the </w:t>
      </w:r>
      <w:r w:rsidR="00BA4366">
        <w:rPr>
          <w:rFonts w:cstheme="majorBidi"/>
          <w:szCs w:val="24"/>
        </w:rPr>
        <w:t>‘</w:t>
      </w:r>
      <w:r w:rsidRPr="000D3161">
        <w:rPr>
          <w:rFonts w:cstheme="majorBidi"/>
          <w:szCs w:val="24"/>
        </w:rPr>
        <w:t>socio-economic duty</w:t>
      </w:r>
      <w:r w:rsidR="00BA4366">
        <w:rPr>
          <w:rFonts w:cstheme="majorBidi"/>
          <w:szCs w:val="24"/>
        </w:rPr>
        <w:t>’</w:t>
      </w:r>
      <w:r w:rsidRPr="000D3161">
        <w:rPr>
          <w:rFonts w:cstheme="majorBidi"/>
          <w:szCs w:val="24"/>
        </w:rPr>
        <w:t xml:space="preserve"> into the same form helps to ensure that it works to complement and enhance the discharge of the PSED. There is clear intersectionality between the status-based discrimination already protected under the </w:t>
      </w:r>
      <w:r w:rsidR="00695935" w:rsidRPr="000D3161">
        <w:rPr>
          <w:rFonts w:cstheme="majorBidi"/>
          <w:szCs w:val="24"/>
        </w:rPr>
        <w:t xml:space="preserve">Equality Act </w:t>
      </w:r>
      <w:r w:rsidRPr="000D3161">
        <w:rPr>
          <w:rFonts w:cstheme="majorBidi"/>
          <w:szCs w:val="24"/>
        </w:rPr>
        <w:t xml:space="preserve">(with regard to race, sex, disability and so on) and socio-economic disadvantage. As Fredman argues, the </w:t>
      </w:r>
      <w:r w:rsidR="00BA4366">
        <w:rPr>
          <w:rFonts w:cstheme="majorBidi"/>
          <w:szCs w:val="24"/>
        </w:rPr>
        <w:t>‘</w:t>
      </w:r>
      <w:r w:rsidRPr="000D3161">
        <w:rPr>
          <w:rFonts w:eastAsia="Source Sans Pro" w:cstheme="majorBidi"/>
          <w:bCs/>
          <w:color w:val="000000" w:themeColor="text1"/>
          <w:szCs w:val="24"/>
        </w:rPr>
        <w:t xml:space="preserve">reciprocal nature of the </w:t>
      </w:r>
      <w:r w:rsidR="00E45383">
        <w:rPr>
          <w:rFonts w:eastAsia="Source Sans Pro" w:cstheme="majorBidi"/>
          <w:bCs/>
          <w:color w:val="000000" w:themeColor="text1"/>
          <w:szCs w:val="24"/>
        </w:rPr>
        <w:t>link between them</w:t>
      </w:r>
      <w:r w:rsidRPr="000D3161">
        <w:rPr>
          <w:rFonts w:eastAsia="Source Sans Pro" w:cstheme="majorBidi"/>
          <w:bCs/>
          <w:color w:val="000000" w:themeColor="text1"/>
          <w:szCs w:val="24"/>
        </w:rPr>
        <w:t xml:space="preserve"> should not be ignored</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by exercising the duties in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isolation from each other</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w:t>
      </w:r>
      <w:r w:rsidRPr="000D3161">
        <w:rPr>
          <w:rStyle w:val="FootnoteReference"/>
          <w:rFonts w:eastAsia="Source Sans Pro" w:cstheme="majorBidi"/>
          <w:bCs/>
          <w:color w:val="000000" w:themeColor="text1"/>
          <w:szCs w:val="24"/>
        </w:rPr>
        <w:footnoteReference w:id="56"/>
      </w:r>
      <w:r w:rsidRPr="000D3161">
        <w:rPr>
          <w:rFonts w:eastAsia="Source Sans Pro" w:cstheme="majorBidi"/>
          <w:bCs/>
          <w:color w:val="000000" w:themeColor="text1"/>
          <w:szCs w:val="24"/>
        </w:rPr>
        <w:t xml:space="preserve"> Likewise, as the PSED bites on a broader range of decision</w:t>
      </w:r>
      <w:r w:rsidR="00130F23">
        <w:rPr>
          <w:rFonts w:eastAsia="Source Sans Pro" w:cstheme="majorBidi"/>
          <w:bCs/>
          <w:color w:val="000000" w:themeColor="text1"/>
          <w:szCs w:val="24"/>
        </w:rPr>
        <w:t xml:space="preserve"> mak</w:t>
      </w:r>
      <w:r w:rsidRPr="000D3161">
        <w:rPr>
          <w:rFonts w:eastAsia="Source Sans Pro" w:cstheme="majorBidi"/>
          <w:bCs/>
          <w:color w:val="000000" w:themeColor="text1"/>
          <w:szCs w:val="24"/>
        </w:rPr>
        <w:t>ing over</w:t>
      </w:r>
      <w:r w:rsidR="00695935">
        <w:rPr>
          <w:rFonts w:eastAsia="Source Sans Pro" w:cstheme="majorBidi"/>
          <w:bCs/>
          <w:color w:val="000000" w:themeColor="text1"/>
          <w:szCs w:val="24"/>
        </w:rPr>
        <w:t xml:space="preserve"> </w:t>
      </w:r>
      <w:r w:rsidRPr="000D3161">
        <w:rPr>
          <w:rFonts w:eastAsia="Source Sans Pro" w:cstheme="majorBidi"/>
          <w:bCs/>
          <w:color w:val="000000" w:themeColor="text1"/>
          <w:szCs w:val="24"/>
        </w:rPr>
        <w:t>and</w:t>
      </w:r>
      <w:r w:rsidR="00695935">
        <w:rPr>
          <w:rFonts w:eastAsia="Source Sans Pro" w:cstheme="majorBidi"/>
          <w:bCs/>
          <w:color w:val="000000" w:themeColor="text1"/>
          <w:szCs w:val="24"/>
        </w:rPr>
        <w:t xml:space="preserve"> </w:t>
      </w:r>
      <w:r w:rsidRPr="000D3161">
        <w:rPr>
          <w:rFonts w:eastAsia="Source Sans Pro" w:cstheme="majorBidi"/>
          <w:bCs/>
          <w:color w:val="000000" w:themeColor="text1"/>
          <w:szCs w:val="24"/>
        </w:rPr>
        <w:t xml:space="preserve">above those of a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strategic nature</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envisaged in the tight statutory construction of the socio-economic duty, a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holistic</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assessment process helps to ensure considerations of socio-economic impacts bleed across into other policy areas beyond those envisaged under the tight construction of the legal duty. Here, therefore, a high-level duty targeting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strategic</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 xml:space="preserve"> decision</w:t>
      </w:r>
      <w:r w:rsidR="00130F23">
        <w:rPr>
          <w:rFonts w:eastAsia="Source Sans Pro" w:cstheme="majorBidi"/>
          <w:bCs/>
          <w:color w:val="000000" w:themeColor="text1"/>
          <w:szCs w:val="24"/>
        </w:rPr>
        <w:t xml:space="preserve"> mak</w:t>
      </w:r>
      <w:r w:rsidRPr="000D3161">
        <w:rPr>
          <w:rFonts w:eastAsia="Source Sans Pro" w:cstheme="majorBidi"/>
          <w:bCs/>
          <w:color w:val="000000" w:themeColor="text1"/>
          <w:szCs w:val="24"/>
        </w:rPr>
        <w:t>ing that would ordinarily sit at senior levels of a public body is likely to find itself diffusing across all tiers of policy</w:t>
      </w:r>
      <w:r w:rsidR="00130F23">
        <w:rPr>
          <w:rFonts w:eastAsia="Source Sans Pro" w:cstheme="majorBidi"/>
          <w:bCs/>
          <w:color w:val="000000" w:themeColor="text1"/>
          <w:szCs w:val="24"/>
        </w:rPr>
        <w:t xml:space="preserve"> mak</w:t>
      </w:r>
      <w:r w:rsidRPr="000D3161">
        <w:rPr>
          <w:rFonts w:eastAsia="Source Sans Pro" w:cstheme="majorBidi"/>
          <w:bCs/>
          <w:color w:val="000000" w:themeColor="text1"/>
          <w:szCs w:val="24"/>
        </w:rPr>
        <w:t xml:space="preserve">ing at an organisation. The EHRC evaluation points to evidence of this, with impact assessment processes </w:t>
      </w:r>
      <w:r w:rsidR="00BA4366">
        <w:rPr>
          <w:rFonts w:eastAsia="Source Sans Pro" w:cstheme="majorBidi"/>
          <w:bCs/>
          <w:color w:val="000000" w:themeColor="text1"/>
          <w:szCs w:val="24"/>
        </w:rPr>
        <w:t>‘</w:t>
      </w:r>
      <w:r w:rsidRPr="000D3161">
        <w:rPr>
          <w:rFonts w:eastAsia="Source Sans Pro" w:cstheme="majorBidi"/>
          <w:bCs/>
          <w:color w:val="000000" w:themeColor="text1"/>
          <w:szCs w:val="24"/>
        </w:rPr>
        <w:t>not being restricted to high-level strategic decisions</w:t>
      </w:r>
      <w:r w:rsidR="00BA4366">
        <w:rPr>
          <w:rFonts w:eastAsia="Source Sans Pro" w:cstheme="majorBidi"/>
          <w:bCs/>
          <w:color w:val="000000" w:themeColor="text1"/>
          <w:szCs w:val="24"/>
        </w:rPr>
        <w:t>’</w:t>
      </w:r>
      <w:r w:rsidR="00695935">
        <w:rPr>
          <w:rFonts w:eastAsia="Source Sans Pro" w:cstheme="majorBidi"/>
          <w:bCs/>
          <w:color w:val="000000" w:themeColor="text1"/>
          <w:szCs w:val="24"/>
        </w:rPr>
        <w:t>,</w:t>
      </w:r>
      <w:r w:rsidRPr="000D3161">
        <w:rPr>
          <w:rFonts w:eastAsia="Source Sans Pro" w:cstheme="majorBidi"/>
          <w:bCs/>
          <w:color w:val="000000" w:themeColor="text1"/>
          <w:szCs w:val="24"/>
        </w:rPr>
        <w:t xml:space="preserve"> but instead spreading across a broader range of decisions about front-line service delivery.</w:t>
      </w:r>
      <w:r w:rsidRPr="000D3161">
        <w:rPr>
          <w:rStyle w:val="FootnoteReference"/>
          <w:rFonts w:eastAsia="Source Sans Pro" w:cstheme="majorBidi"/>
          <w:bCs/>
          <w:color w:val="000000" w:themeColor="text1"/>
          <w:szCs w:val="24"/>
        </w:rPr>
        <w:footnoteReference w:id="57"/>
      </w:r>
    </w:p>
    <w:p w14:paraId="1B8B2C8E" w14:textId="366E2AB9" w:rsidR="00CE16D4" w:rsidRPr="000D3161" w:rsidRDefault="00CE16D4" w:rsidP="00BA2D09">
      <w:pPr>
        <w:pStyle w:val="Heading2"/>
        <w:rPr>
          <w:rFonts w:eastAsia="Times New Roman"/>
        </w:rPr>
      </w:pPr>
      <w:r>
        <w:rPr>
          <w:rFonts w:eastAsia="Times New Roman"/>
        </w:rPr>
        <w:t xml:space="preserve">The </w:t>
      </w:r>
      <w:r w:rsidR="002D7E66">
        <w:rPr>
          <w:rFonts w:eastAsia="Times New Roman"/>
        </w:rPr>
        <w:t xml:space="preserve">Importance </w:t>
      </w:r>
      <w:r>
        <w:rPr>
          <w:rFonts w:eastAsia="Times New Roman"/>
        </w:rPr>
        <w:t xml:space="preserve">of </w:t>
      </w:r>
      <w:r w:rsidR="002D7E66">
        <w:rPr>
          <w:rFonts w:eastAsia="Times New Roman"/>
        </w:rPr>
        <w:t>Deliberation</w:t>
      </w:r>
    </w:p>
    <w:p w14:paraId="453903F3" w14:textId="3E91BE2C" w:rsidR="00CE16D4" w:rsidRPr="000D3161" w:rsidRDefault="00CE16D4" w:rsidP="00017EAA">
      <w:pPr>
        <w:rPr>
          <w:rFonts w:eastAsia="Times New Roman" w:cstheme="majorBidi"/>
          <w:color w:val="000000" w:themeColor="text1"/>
          <w:szCs w:val="24"/>
          <w:lang w:eastAsia="en-GB"/>
        </w:rPr>
      </w:pPr>
      <w:r w:rsidRPr="000D3161">
        <w:rPr>
          <w:rFonts w:eastAsia="Times New Roman" w:cstheme="majorBidi"/>
          <w:color w:val="000000" w:themeColor="text1"/>
          <w:szCs w:val="24"/>
          <w:lang w:eastAsia="en-GB"/>
        </w:rPr>
        <w:t>Finally, reflexive law places faith in the power of deliberation and participation to help secure regulatory ends. The argument goes that by encouraging organisations to engage others when formulating their own response to a given regulatory problem, reflexive law can in turn catalyse learning between stakeholders, help to shape outcomes that are driven more by consensus and mutual understanding, and ultimately lead to more effective implementation of law and policy.</w:t>
      </w:r>
      <w:r w:rsidRPr="000D3161">
        <w:rPr>
          <w:rStyle w:val="FootnoteReference"/>
          <w:rFonts w:eastAsia="Times New Roman" w:cstheme="majorBidi"/>
          <w:color w:val="000000" w:themeColor="text1"/>
          <w:szCs w:val="24"/>
          <w:lang w:eastAsia="en-GB"/>
        </w:rPr>
        <w:footnoteReference w:id="58"/>
      </w:r>
      <w:r w:rsidRPr="000D3161">
        <w:rPr>
          <w:rFonts w:eastAsia="Times New Roman" w:cstheme="majorBidi"/>
          <w:color w:val="000000" w:themeColor="text1"/>
          <w:szCs w:val="24"/>
          <w:lang w:eastAsia="en-GB"/>
        </w:rPr>
        <w:t xml:space="preserve"> In the context of equality and discrimination law, these are likely to be disadvantaged groups who would not otherwise be involved in the policy or decision-making process. Decision</w:t>
      </w:r>
      <w:r w:rsidR="00130F23">
        <w:rPr>
          <w:rFonts w:eastAsia="Times New Roman" w:cstheme="majorBidi"/>
          <w:color w:val="000000" w:themeColor="text1"/>
          <w:szCs w:val="24"/>
          <w:lang w:eastAsia="en-GB"/>
        </w:rPr>
        <w:t xml:space="preserve"> mak</w:t>
      </w:r>
      <w:r w:rsidRPr="000D3161">
        <w:rPr>
          <w:rFonts w:eastAsia="Times New Roman" w:cstheme="majorBidi"/>
          <w:color w:val="000000" w:themeColor="text1"/>
          <w:szCs w:val="24"/>
          <w:lang w:eastAsia="en-GB"/>
        </w:rPr>
        <w:t xml:space="preserve">ers need not necessarily heed their views in the final outcome of the process, but must be obliged to </w:t>
      </w:r>
      <w:r w:rsidR="00BA4366">
        <w:rPr>
          <w:rFonts w:eastAsia="Times New Roman" w:cstheme="majorBidi"/>
          <w:color w:val="000000" w:themeColor="text1"/>
          <w:szCs w:val="24"/>
          <w:lang w:eastAsia="en-GB"/>
        </w:rPr>
        <w:t>‘</w:t>
      </w:r>
      <w:r w:rsidR="00017EAA" w:rsidRPr="00017EAA">
        <w:rPr>
          <w:rFonts w:eastAsia="Times New Roman" w:cstheme="majorBidi"/>
          <w:color w:val="000000" w:themeColor="text1"/>
          <w:szCs w:val="24"/>
          <w:lang w:eastAsia="en-GB"/>
        </w:rPr>
        <w:t>trigger a deliberative response</w:t>
      </w:r>
      <w:r w:rsidR="00017EAA">
        <w:rPr>
          <w:rFonts w:eastAsia="Times New Roman" w:cstheme="majorBidi"/>
          <w:color w:val="000000" w:themeColor="text1"/>
          <w:szCs w:val="24"/>
          <w:lang w:eastAsia="en-GB"/>
        </w:rPr>
        <w:t>’ or at ‘</w:t>
      </w:r>
      <w:r w:rsidR="00017EAA" w:rsidRPr="00017EAA">
        <w:rPr>
          <w:rFonts w:eastAsia="Times New Roman" w:cstheme="majorBidi"/>
          <w:color w:val="000000" w:themeColor="text1"/>
          <w:szCs w:val="24"/>
          <w:lang w:eastAsia="en-GB"/>
        </w:rPr>
        <w:t>least</w:t>
      </w:r>
      <w:r w:rsidR="00017EAA">
        <w:rPr>
          <w:rFonts w:eastAsia="Times New Roman" w:cstheme="majorBidi"/>
          <w:color w:val="000000" w:themeColor="text1"/>
          <w:szCs w:val="24"/>
          <w:lang w:eastAsia="en-GB"/>
        </w:rPr>
        <w:t xml:space="preserve"> </w:t>
      </w:r>
      <w:r w:rsidR="00017EAA" w:rsidRPr="00017EAA">
        <w:rPr>
          <w:rFonts w:eastAsia="Times New Roman" w:cstheme="majorBidi"/>
          <w:color w:val="000000" w:themeColor="text1"/>
          <w:szCs w:val="24"/>
          <w:lang w:eastAsia="en-GB"/>
        </w:rPr>
        <w:t>function as a deliberative forum</w:t>
      </w:r>
      <w:r w:rsidR="00017EAA">
        <w:rPr>
          <w:rFonts w:eastAsia="Times New Roman" w:cstheme="majorBidi"/>
          <w:color w:val="000000" w:themeColor="text1"/>
          <w:szCs w:val="24"/>
          <w:lang w:eastAsia="en-GB"/>
        </w:rPr>
        <w:t>’</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w:t>
      </w:r>
      <w:r w:rsidRPr="000D3161">
        <w:rPr>
          <w:rStyle w:val="FootnoteReference"/>
          <w:rFonts w:eastAsia="Times New Roman" w:cstheme="majorBidi"/>
          <w:color w:val="000000" w:themeColor="text1"/>
          <w:szCs w:val="24"/>
          <w:lang w:eastAsia="en-GB"/>
        </w:rPr>
        <w:footnoteReference w:id="59"/>
      </w:r>
      <w:r w:rsidRPr="000D3161">
        <w:rPr>
          <w:rFonts w:eastAsia="Times New Roman" w:cstheme="majorBidi"/>
          <w:color w:val="000000" w:themeColor="text1"/>
          <w:szCs w:val="24"/>
          <w:lang w:eastAsia="en-GB"/>
        </w:rPr>
        <w:t xml:space="preserve"> Of course, as McCrudden points out, this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apparent enthusiasm for open-ended deliberation</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brings significant risks, particularly in the context of equality law</w:t>
      </w:r>
      <w:r w:rsidR="008418AC">
        <w:rPr>
          <w:rFonts w:eastAsia="Times New Roman" w:cstheme="majorBidi"/>
          <w:color w:val="000000" w:themeColor="text1"/>
          <w:szCs w:val="24"/>
          <w:lang w:eastAsia="en-GB"/>
        </w:rPr>
        <w:t>—</w:t>
      </w:r>
      <w:r w:rsidR="008418AC">
        <w:rPr>
          <w:rFonts w:eastAsia="Times New Roman" w:cstheme="majorBidi"/>
          <w:color w:val="000000" w:themeColor="text1"/>
          <w:szCs w:val="24"/>
          <w:lang w:eastAsia="en-GB"/>
        </w:rPr>
        <w:lastRenderedPageBreak/>
        <w:t>n</w:t>
      </w:r>
      <w:r w:rsidRPr="000D3161">
        <w:rPr>
          <w:rFonts w:eastAsia="Times New Roman" w:cstheme="majorBidi"/>
          <w:color w:val="000000" w:themeColor="text1"/>
          <w:szCs w:val="24"/>
          <w:lang w:eastAsia="en-GB"/>
        </w:rPr>
        <w:t>ot least that this deliberation may result in outcomes that are far beyond that envisaged by the regulators or lead to inaction.</w:t>
      </w:r>
      <w:r w:rsidRPr="000D3161">
        <w:rPr>
          <w:rStyle w:val="FootnoteReference"/>
          <w:rFonts w:eastAsia="Times New Roman" w:cstheme="majorBidi"/>
          <w:color w:val="000000" w:themeColor="text1"/>
          <w:szCs w:val="24"/>
          <w:lang w:eastAsia="en-GB"/>
        </w:rPr>
        <w:footnoteReference w:id="60"/>
      </w:r>
    </w:p>
    <w:p w14:paraId="37595C3E" w14:textId="26A152DE" w:rsidR="00CE16D4" w:rsidRPr="000D3161" w:rsidRDefault="00CE16D4" w:rsidP="00BA2D09">
      <w:pPr>
        <w:rPr>
          <w:rFonts w:eastAsia="Times New Roman" w:cstheme="majorBidi"/>
          <w:color w:val="000000" w:themeColor="text1"/>
          <w:szCs w:val="24"/>
          <w:lang w:eastAsia="en-GB"/>
        </w:rPr>
      </w:pPr>
      <w:r w:rsidRPr="000D3161">
        <w:rPr>
          <w:rFonts w:eastAsia="Times New Roman" w:cstheme="majorBidi"/>
          <w:color w:val="000000" w:themeColor="text1"/>
          <w:szCs w:val="24"/>
          <w:lang w:eastAsia="en-GB"/>
        </w:rPr>
        <w:t xml:space="preserve">This faith in deliberation permeates throughout the Welsh and Scottish guidance on the </w:t>
      </w:r>
      <w:r w:rsidR="00BA4366">
        <w:rPr>
          <w:rFonts w:eastAsia="Times New Roman" w:cstheme="majorBidi"/>
          <w:color w:val="000000" w:themeColor="text1"/>
          <w:szCs w:val="24"/>
          <w:lang w:eastAsia="en-GB"/>
        </w:rPr>
        <w:t>‘</w:t>
      </w:r>
      <w:r w:rsidR="008418AC" w:rsidRPr="000D3161">
        <w:rPr>
          <w:rFonts w:eastAsia="Times New Roman" w:cstheme="majorBidi"/>
          <w:color w:val="000000" w:themeColor="text1"/>
          <w:szCs w:val="24"/>
          <w:lang w:eastAsia="en-GB"/>
        </w:rPr>
        <w:t>Socio</w:t>
      </w:r>
      <w:r w:rsidRPr="000D3161">
        <w:rPr>
          <w:rFonts w:eastAsia="Times New Roman" w:cstheme="majorBidi"/>
          <w:color w:val="000000" w:themeColor="text1"/>
          <w:szCs w:val="24"/>
          <w:lang w:eastAsia="en-GB"/>
        </w:rPr>
        <w:t xml:space="preserve">-economic </w:t>
      </w:r>
      <w:r w:rsidR="008418AC" w:rsidRPr="000D3161">
        <w:rPr>
          <w:rFonts w:eastAsia="Times New Roman" w:cstheme="majorBidi"/>
          <w:color w:val="000000" w:themeColor="text1"/>
          <w:szCs w:val="24"/>
          <w:lang w:eastAsia="en-GB"/>
        </w:rPr>
        <w:t>Duty</w:t>
      </w:r>
      <w:r w:rsidR="008418AC">
        <w:rPr>
          <w:rFonts w:eastAsia="Times New Roman" w:cstheme="majorBidi"/>
          <w:color w:val="000000" w:themeColor="text1"/>
          <w:szCs w:val="24"/>
          <w:lang w:eastAsia="en-GB"/>
        </w:rPr>
        <w:t>’</w:t>
      </w:r>
      <w:r w:rsidR="008418AC" w:rsidRPr="000D3161">
        <w:rPr>
          <w:rFonts w:eastAsia="Times New Roman" w:cstheme="majorBidi"/>
          <w:color w:val="000000" w:themeColor="text1"/>
          <w:szCs w:val="24"/>
          <w:lang w:eastAsia="en-GB"/>
        </w:rPr>
        <w:t xml:space="preserve"> </w:t>
      </w:r>
      <w:r w:rsidRPr="000D3161">
        <w:rPr>
          <w:rFonts w:eastAsia="Times New Roman" w:cstheme="majorBidi"/>
          <w:color w:val="000000" w:themeColor="text1"/>
          <w:szCs w:val="24"/>
          <w:lang w:eastAsia="en-GB"/>
        </w:rPr>
        <w:t xml:space="preserve">and the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Fairer Scotland Duty</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respectively. The second stage of the Welsh </w:t>
      </w:r>
      <w:r w:rsidR="0093613D">
        <w:rPr>
          <w:rFonts w:eastAsia="Times New Roman" w:cstheme="majorBidi"/>
          <w:color w:val="000000" w:themeColor="text1"/>
          <w:szCs w:val="24"/>
          <w:lang w:eastAsia="en-GB"/>
        </w:rPr>
        <w:t>government</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s five-stage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putting the duty in practice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guide is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evidence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in which they ask: </w:t>
      </w:r>
      <w:r w:rsidR="00BA4366">
        <w:rPr>
          <w:rFonts w:eastAsia="Times New Roman" w:cstheme="majorBidi"/>
          <w:color w:val="000000" w:themeColor="text1"/>
          <w:szCs w:val="24"/>
          <w:lang w:eastAsia="en-GB"/>
        </w:rPr>
        <w:t>‘</w:t>
      </w:r>
      <w:r w:rsidR="008418AC" w:rsidRPr="000D3161">
        <w:rPr>
          <w:rFonts w:eastAsia="Times New Roman" w:cstheme="majorBidi"/>
          <w:color w:val="000000" w:themeColor="text1"/>
          <w:szCs w:val="24"/>
          <w:lang w:eastAsia="en-GB"/>
        </w:rPr>
        <w:t xml:space="preserve">How </w:t>
      </w:r>
      <w:r w:rsidRPr="000D3161">
        <w:rPr>
          <w:rFonts w:eastAsia="Times New Roman" w:cstheme="majorBidi"/>
          <w:color w:val="000000" w:themeColor="text1"/>
          <w:szCs w:val="24"/>
          <w:lang w:eastAsia="en-GB"/>
        </w:rPr>
        <w:t>have you engaged with those affected by the decision?</w:t>
      </w:r>
      <w:r w:rsidR="00BA4366">
        <w:rPr>
          <w:rFonts w:eastAsia="Times New Roman" w:cstheme="majorBidi"/>
          <w:color w:val="000000" w:themeColor="text1"/>
          <w:szCs w:val="24"/>
          <w:lang w:eastAsia="en-GB"/>
        </w:rPr>
        <w:t>’</w:t>
      </w:r>
      <w:r w:rsidRPr="000D3161">
        <w:rPr>
          <w:rStyle w:val="FootnoteReference"/>
          <w:rFonts w:eastAsia="Times New Roman" w:cstheme="majorBidi"/>
          <w:color w:val="000000" w:themeColor="text1"/>
          <w:szCs w:val="24"/>
          <w:lang w:eastAsia="en-GB"/>
        </w:rPr>
        <w:footnoteReference w:id="61"/>
      </w:r>
      <w:r w:rsidRPr="000D3161">
        <w:rPr>
          <w:rFonts w:eastAsia="Times New Roman" w:cstheme="majorBidi"/>
          <w:color w:val="000000" w:themeColor="text1"/>
          <w:szCs w:val="24"/>
          <w:lang w:eastAsia="en-GB"/>
        </w:rPr>
        <w:t xml:space="preserve"> Participation is returned to frequently in the Scottish guidance as a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core principle</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 xml:space="preserve"> when implementing the duty. Underscoring the principle of </w:t>
      </w:r>
      <w:r w:rsidR="00BA4366">
        <w:rPr>
          <w:rFonts w:eastAsia="Times New Roman" w:cstheme="majorBidi"/>
          <w:color w:val="000000" w:themeColor="text1"/>
          <w:szCs w:val="24"/>
          <w:lang w:eastAsia="en-GB"/>
        </w:rPr>
        <w:t>‘</w:t>
      </w:r>
      <w:r w:rsidRPr="000D3161">
        <w:rPr>
          <w:rFonts w:eastAsia="Times New Roman" w:cstheme="majorBidi"/>
          <w:color w:val="000000" w:themeColor="text1"/>
          <w:szCs w:val="24"/>
          <w:lang w:eastAsia="en-GB"/>
        </w:rPr>
        <w:t>nothing about us without us</w:t>
      </w:r>
      <w:r w:rsidR="00BA4366">
        <w:rPr>
          <w:rFonts w:eastAsia="Times New Roman" w:cstheme="majorBidi"/>
          <w:color w:val="000000" w:themeColor="text1"/>
          <w:szCs w:val="24"/>
          <w:lang w:eastAsia="en-GB"/>
        </w:rPr>
        <w:t>’</w:t>
      </w:r>
      <w:r w:rsidR="00332A07">
        <w:rPr>
          <w:rFonts w:eastAsia="Times New Roman" w:cstheme="majorBidi"/>
          <w:color w:val="000000" w:themeColor="text1"/>
          <w:szCs w:val="24"/>
          <w:lang w:eastAsia="en-GB"/>
        </w:rPr>
        <w:t>,</w:t>
      </w:r>
      <w:r w:rsidRPr="000D3161">
        <w:rPr>
          <w:rStyle w:val="FootnoteReference"/>
          <w:rFonts w:eastAsia="Times New Roman" w:cstheme="majorBidi"/>
          <w:color w:val="000000" w:themeColor="text1"/>
          <w:szCs w:val="24"/>
          <w:lang w:eastAsia="en-GB"/>
        </w:rPr>
        <w:footnoteReference w:id="62"/>
      </w:r>
      <w:r w:rsidRPr="000D3161">
        <w:rPr>
          <w:rFonts w:eastAsia="Times New Roman" w:cstheme="majorBidi"/>
          <w:color w:val="000000" w:themeColor="text1"/>
          <w:szCs w:val="24"/>
          <w:lang w:eastAsia="en-GB"/>
        </w:rPr>
        <w:t xml:space="preserve"> the guidance suggests that:</w:t>
      </w:r>
    </w:p>
    <w:p w14:paraId="7A347DA1" w14:textId="68A070C0" w:rsidR="00CE16D4" w:rsidRPr="000D3161" w:rsidRDefault="00CE16D4" w:rsidP="00BA2D09">
      <w:pPr>
        <w:spacing w:line="240" w:lineRule="auto"/>
        <w:ind w:left="567" w:right="521"/>
        <w:rPr>
          <w:rFonts w:eastAsia="Times New Roman" w:cstheme="majorBidi"/>
          <w:color w:val="000000" w:themeColor="text1"/>
          <w:szCs w:val="24"/>
          <w:lang w:eastAsia="en-GB"/>
        </w:rPr>
      </w:pPr>
      <w:r w:rsidRPr="000D3161">
        <w:rPr>
          <w:rFonts w:eastAsia="Times New Roman" w:cstheme="majorBidi"/>
          <w:color w:val="000000" w:themeColor="text1"/>
          <w:szCs w:val="24"/>
          <w:lang w:eastAsia="en-GB"/>
        </w:rPr>
        <w:t>Through all the stages, it is important to involve relevant communities, particularly people with direct experience of poverty and disadvantage</w:t>
      </w:r>
      <w:r w:rsidR="002D7E66">
        <w:rPr>
          <w:rFonts w:eastAsia="Times New Roman" w:cstheme="majorBidi"/>
          <w:color w:val="000000" w:themeColor="text1"/>
          <w:szCs w:val="24"/>
          <w:lang w:eastAsia="en-GB"/>
        </w:rPr>
        <w:t xml:space="preserve"> </w:t>
      </w:r>
      <w:r w:rsidRPr="000D3161">
        <w:rPr>
          <w:rFonts w:eastAsia="Times New Roman" w:cstheme="majorBidi"/>
          <w:color w:val="000000" w:themeColor="text1"/>
          <w:szCs w:val="24"/>
          <w:lang w:eastAsia="en-GB"/>
        </w:rPr>
        <w:t>… If they are provided with a clear account of the policy options and what they are intended to achieve, disadvantaged groups can help frame what this will mean for people like themselves.</w:t>
      </w:r>
      <w:r w:rsidRPr="000D3161">
        <w:rPr>
          <w:rStyle w:val="FootnoteReference"/>
          <w:rFonts w:eastAsia="Times New Roman" w:cstheme="majorBidi"/>
          <w:color w:val="000000" w:themeColor="text1"/>
          <w:szCs w:val="24"/>
          <w:lang w:eastAsia="en-GB"/>
        </w:rPr>
        <w:footnoteReference w:id="63"/>
      </w:r>
    </w:p>
    <w:p w14:paraId="4AC471CA" w14:textId="15F4D229" w:rsidR="00CE16D4" w:rsidRPr="000D3161" w:rsidRDefault="00CE16D4" w:rsidP="00BA2D09">
      <w:pPr>
        <w:rPr>
          <w:rFonts w:eastAsia="Times New Roman" w:cstheme="majorBidi"/>
          <w:color w:val="000000" w:themeColor="text1"/>
          <w:szCs w:val="24"/>
          <w:lang w:eastAsia="en-GB"/>
        </w:rPr>
      </w:pPr>
      <w:r w:rsidRPr="000D3161">
        <w:rPr>
          <w:rFonts w:eastAsia="Times New Roman" w:cstheme="majorBidi"/>
          <w:color w:val="000000" w:themeColor="text1"/>
          <w:szCs w:val="24"/>
          <w:lang w:eastAsia="en-GB"/>
        </w:rPr>
        <w:t xml:space="preserve">The Scottish guidance provides several mechanisms through which this deliberative approach can be operationalised, including the establishment of lived experience panels, consultation with community organisations and targeted engagement with affected groups. However, as with other aspects of reflexive regulation, the effectiveness of these participatory mechanisms depends heavily on how public bodies choose to implement them. Evidence from the EHRC evaluation suggests </w:t>
      </w:r>
      <w:r w:rsidR="001A4AE5">
        <w:rPr>
          <w:rFonts w:eastAsia="Times New Roman" w:cstheme="majorBidi"/>
          <w:color w:val="000000" w:themeColor="text1"/>
          <w:szCs w:val="24"/>
          <w:lang w:eastAsia="en-GB"/>
        </w:rPr>
        <w:t>a wide variation in practice</w:t>
      </w:r>
      <w:r w:rsidR="0020479E">
        <w:rPr>
          <w:rFonts w:eastAsia="Times New Roman" w:cstheme="majorBidi"/>
          <w:color w:val="000000" w:themeColor="text1"/>
          <w:szCs w:val="24"/>
          <w:lang w:eastAsia="en-GB"/>
        </w:rPr>
        <w:t>s</w:t>
      </w:r>
      <w:r w:rsidRPr="000D3161">
        <w:rPr>
          <w:rFonts w:eastAsia="Times New Roman" w:cstheme="majorBidi"/>
          <w:color w:val="000000" w:themeColor="text1"/>
          <w:szCs w:val="24"/>
          <w:lang w:eastAsia="en-GB"/>
        </w:rPr>
        <w:t xml:space="preserve">, with some authorities developing sophisticated engagement strategies while others struggle to achieve meaningful </w:t>
      </w:r>
      <w:r w:rsidRPr="006D3C5B">
        <w:rPr>
          <w:rFonts w:eastAsia="Times New Roman" w:cstheme="majorBidi"/>
          <w:color w:val="000000" w:themeColor="text1"/>
          <w:szCs w:val="24"/>
          <w:lang w:eastAsia="en-GB"/>
        </w:rPr>
        <w:t>consultation</w:t>
      </w:r>
      <w:r w:rsidR="000C6ADF">
        <w:rPr>
          <w:rFonts w:eastAsia="Times New Roman" w:cstheme="majorBidi"/>
          <w:color w:val="000000" w:themeColor="text1"/>
          <w:szCs w:val="24"/>
          <w:lang w:eastAsia="en-GB"/>
        </w:rPr>
        <w:t xml:space="preserve"> with affected groups</w:t>
      </w:r>
      <w:r w:rsidRPr="000D3161">
        <w:rPr>
          <w:rFonts w:eastAsia="Times New Roman" w:cstheme="majorBidi"/>
          <w:color w:val="000000" w:themeColor="text1"/>
          <w:szCs w:val="24"/>
          <w:lang w:eastAsia="en-GB"/>
        </w:rPr>
        <w:t>, let alone deliberat</w:t>
      </w:r>
      <w:r w:rsidR="0020245D">
        <w:rPr>
          <w:rFonts w:eastAsia="Times New Roman" w:cstheme="majorBidi"/>
          <w:color w:val="000000" w:themeColor="text1"/>
          <w:szCs w:val="24"/>
          <w:lang w:eastAsia="en-GB"/>
        </w:rPr>
        <w:t>e</w:t>
      </w:r>
      <w:r w:rsidR="002E6E1B">
        <w:rPr>
          <w:rFonts w:eastAsia="Times New Roman" w:cstheme="majorBidi"/>
          <w:color w:val="000000" w:themeColor="text1"/>
          <w:szCs w:val="24"/>
          <w:lang w:eastAsia="en-GB"/>
        </w:rPr>
        <w:t xml:space="preserve"> with them</w:t>
      </w:r>
      <w:r w:rsidRPr="000D3161">
        <w:rPr>
          <w:rFonts w:eastAsia="Times New Roman" w:cstheme="majorBidi"/>
          <w:color w:val="000000" w:themeColor="text1"/>
          <w:szCs w:val="24"/>
          <w:lang w:eastAsia="en-GB"/>
        </w:rPr>
        <w:t>.</w:t>
      </w:r>
      <w:r w:rsidRPr="000D3161">
        <w:rPr>
          <w:rStyle w:val="FootnoteReference"/>
          <w:rFonts w:eastAsia="Times New Roman" w:cstheme="majorBidi"/>
          <w:color w:val="000000" w:themeColor="text1"/>
          <w:szCs w:val="24"/>
          <w:lang w:eastAsia="en-GB"/>
        </w:rPr>
        <w:footnoteReference w:id="64"/>
      </w:r>
    </w:p>
    <w:p w14:paraId="51BC2725" w14:textId="79E2602E" w:rsidR="00CE16D4" w:rsidRPr="007C7BB9" w:rsidRDefault="002D7E66" w:rsidP="00BA4366">
      <w:pPr>
        <w:pStyle w:val="Heading1"/>
        <w:numPr>
          <w:ilvl w:val="0"/>
          <w:numId w:val="38"/>
        </w:numPr>
        <w:rPr>
          <w:rFonts w:ascii="Times New Roman" w:eastAsia="Times New Roman" w:hAnsi="Times New Roman" w:cs="Times New Roman"/>
          <w:lang w:eastAsia="en-GB"/>
        </w:rPr>
      </w:pPr>
      <w:r>
        <w:rPr>
          <w:rFonts w:ascii="Times New Roman" w:eastAsia="Times New Roman" w:hAnsi="Times New Roman" w:cs="Times New Roman"/>
          <w:lang w:eastAsia="en-GB"/>
        </w:rPr>
        <w:t>Addressing Criticisms: Blame Avoidance and Reflexive Law</w:t>
      </w:r>
    </w:p>
    <w:p w14:paraId="0D97B0A7" w14:textId="14BC3D32" w:rsidR="003D41DC" w:rsidRPr="00BA2D09" w:rsidRDefault="00A05F6F" w:rsidP="00BA2D09">
      <w:pPr>
        <w:rPr>
          <w:caps/>
        </w:rPr>
      </w:pPr>
      <w:r w:rsidRPr="00BA2D09">
        <w:t xml:space="preserve">The UK </w:t>
      </w:r>
      <w:r w:rsidR="0093613D" w:rsidRPr="00213AF4">
        <w:t>coalition</w:t>
      </w:r>
      <w:r w:rsidRPr="00213AF4">
        <w:t xml:space="preserve"> </w:t>
      </w:r>
      <w:r w:rsidR="0093613D" w:rsidRPr="00213AF4">
        <w:t>government</w:t>
      </w:r>
      <w:r w:rsidR="00BA4366" w:rsidRPr="00213AF4">
        <w:t>’</w:t>
      </w:r>
      <w:r w:rsidRPr="00213AF4">
        <w:t>s</w:t>
      </w:r>
      <w:r w:rsidRPr="00BA2D09">
        <w:t xml:space="preserve"> decision not to bring the </w:t>
      </w:r>
      <w:r w:rsidR="000A3BAD" w:rsidRPr="00213AF4">
        <w:t>socio-economic duty</w:t>
      </w:r>
      <w:r w:rsidRPr="00BA2D09">
        <w:t xml:space="preserve"> into force was rooted in a scepticism of this</w:t>
      </w:r>
      <w:r w:rsidR="006D67B6" w:rsidRPr="00BA2D09">
        <w:t xml:space="preserve"> reflexive</w:t>
      </w:r>
      <w:r w:rsidRPr="00BA2D09">
        <w:t xml:space="preserve"> approach to anti-discrimination law</w:t>
      </w:r>
      <w:r w:rsidR="00E570F1" w:rsidRPr="00BA2D09">
        <w:t>.</w:t>
      </w:r>
      <w:r w:rsidR="003E5821" w:rsidRPr="00BA2D09">
        <w:t xml:space="preserve"> Broadly speaking, the criticisms both at the time of the</w:t>
      </w:r>
      <w:r w:rsidR="00017EAA">
        <w:t xml:space="preserve"> passing of the Equality Act 2010</w:t>
      </w:r>
      <w:r w:rsidR="003E5821" w:rsidRPr="00BA2D09">
        <w:t xml:space="preserve"> and in the public pronouncements that followed it f</w:t>
      </w:r>
      <w:r w:rsidR="006504AB" w:rsidRPr="00BA2D09">
        <w:t>e</w:t>
      </w:r>
      <w:r w:rsidR="003E5821" w:rsidRPr="00BA2D09">
        <w:t xml:space="preserve">ll into three </w:t>
      </w:r>
      <w:r w:rsidR="00745DD4" w:rsidRPr="00BA2D09">
        <w:t xml:space="preserve">main </w:t>
      </w:r>
      <w:r w:rsidR="003E5821" w:rsidRPr="00BA2D09">
        <w:t xml:space="preserve">camps. The first is the familiar refrain that the policy is merely a </w:t>
      </w:r>
      <w:r w:rsidR="00BA4366" w:rsidRPr="00BA2D09">
        <w:rPr>
          <w:caps/>
        </w:rPr>
        <w:t>‘</w:t>
      </w:r>
      <w:r w:rsidR="003E5821" w:rsidRPr="00BA2D09">
        <w:t>tick</w:t>
      </w:r>
      <w:r w:rsidR="00745DD4" w:rsidRPr="00BA2D09">
        <w:t>-</w:t>
      </w:r>
      <w:r w:rsidR="003E5821" w:rsidRPr="00BA2D09">
        <w:t>box</w:t>
      </w:r>
      <w:r w:rsidR="00BA4366" w:rsidRPr="00BA2D09">
        <w:rPr>
          <w:caps/>
        </w:rPr>
        <w:t>’</w:t>
      </w:r>
      <w:r w:rsidR="003E5821" w:rsidRPr="00BA2D09">
        <w:t xml:space="preserve"> exercise: </w:t>
      </w:r>
      <w:r w:rsidR="003D41DC" w:rsidRPr="00BA2D09">
        <w:t xml:space="preserve">that to the regulated, </w:t>
      </w:r>
      <w:r w:rsidR="00BA4366" w:rsidRPr="00BA2D09">
        <w:rPr>
          <w:caps/>
        </w:rPr>
        <w:t>‘</w:t>
      </w:r>
      <w:r w:rsidR="003D41DC" w:rsidRPr="00BA2D09">
        <w:t xml:space="preserve">equality has become </w:t>
      </w:r>
      <w:r w:rsidR="003D41DC" w:rsidRPr="00BA2D09">
        <w:lastRenderedPageBreak/>
        <w:t>about bureaucracy and box-ticking</w:t>
      </w:r>
      <w:r w:rsidR="00BA4366" w:rsidRPr="00BA2D09">
        <w:rPr>
          <w:caps/>
        </w:rPr>
        <w:t>’</w:t>
      </w:r>
      <w:r w:rsidR="00745DD4" w:rsidRPr="00BA2D09">
        <w:t xml:space="preserve"> rather than improving </w:t>
      </w:r>
      <w:r w:rsidR="00745DD4">
        <w:rPr>
          <w:lang w:eastAsia="en-GB"/>
        </w:rPr>
        <w:t>people</w:t>
      </w:r>
      <w:r w:rsidR="00107476">
        <w:rPr>
          <w:lang w:eastAsia="en-GB"/>
        </w:rPr>
        <w:t>’</w:t>
      </w:r>
      <w:r w:rsidR="00745DD4">
        <w:rPr>
          <w:lang w:eastAsia="en-GB"/>
        </w:rPr>
        <w:t>s</w:t>
      </w:r>
      <w:r w:rsidR="00745DD4" w:rsidRPr="00BA2D09">
        <w:t xml:space="preserve"> lives</w:t>
      </w:r>
      <w:r w:rsidR="003D41DC" w:rsidRPr="00BA2D09">
        <w:t>.</w:t>
      </w:r>
      <w:r w:rsidR="003D41DC" w:rsidRPr="00BA2D09">
        <w:rPr>
          <w:rStyle w:val="FootnoteReference"/>
          <w:rFonts w:ascii="Times New Roman" w:hAnsi="Times New Roman"/>
        </w:rPr>
        <w:footnoteReference w:id="65"/>
      </w:r>
      <w:r w:rsidR="003D41DC" w:rsidRPr="00BA2D09">
        <w:t xml:space="preserve"> The second is that</w:t>
      </w:r>
      <w:r w:rsidR="00107476" w:rsidRPr="00BA2D09">
        <w:t xml:space="preserve"> </w:t>
      </w:r>
      <w:r w:rsidR="00107476">
        <w:rPr>
          <w:lang w:eastAsia="en-GB"/>
        </w:rPr>
        <w:t>it</w:t>
      </w:r>
      <w:r w:rsidR="003D41DC">
        <w:rPr>
          <w:lang w:eastAsia="en-GB"/>
        </w:rPr>
        <w:t xml:space="preserve"> </w:t>
      </w:r>
      <w:r w:rsidR="00745DD4" w:rsidRPr="00BA2D09">
        <w:t xml:space="preserve">is </w:t>
      </w:r>
      <w:r w:rsidR="00BA4366" w:rsidRPr="00BA2D09">
        <w:rPr>
          <w:caps/>
        </w:rPr>
        <w:t>‘</w:t>
      </w:r>
      <w:r w:rsidR="00745DD4" w:rsidRPr="00BA2D09">
        <w:t>nothing more than a gesture</w:t>
      </w:r>
      <w:r w:rsidR="00BA4366" w:rsidRPr="00BA2D09">
        <w:rPr>
          <w:caps/>
        </w:rPr>
        <w:t>’</w:t>
      </w:r>
      <w:r w:rsidR="00745DD4" w:rsidRPr="00BA2D09">
        <w:rPr>
          <w:rStyle w:val="FootnoteReference"/>
          <w:rFonts w:ascii="Times New Roman" w:hAnsi="Times New Roman"/>
        </w:rPr>
        <w:footnoteReference w:id="66"/>
      </w:r>
      <w:r w:rsidR="00265B1B">
        <w:rPr>
          <w:lang w:eastAsia="en-GB"/>
        </w:rPr>
        <w:t>—</w:t>
      </w:r>
      <w:r w:rsidR="00745DD4" w:rsidRPr="00BA2D09">
        <w:t>a provision design</w:t>
      </w:r>
      <w:r w:rsidR="006D67B6" w:rsidRPr="00BA2D09">
        <w:t>ed</w:t>
      </w:r>
      <w:r w:rsidR="00745DD4" w:rsidRPr="00BA2D09">
        <w:t xml:space="preserve"> to</w:t>
      </w:r>
      <w:r w:rsidR="00D8619B" w:rsidRPr="00BA2D09">
        <w:t xml:space="preserve"> get the political credit for action, without the need to commit resource</w:t>
      </w:r>
      <w:r w:rsidR="006D67B6" w:rsidRPr="00BA2D09">
        <w:t>. It is, in other words,</w:t>
      </w:r>
      <w:r w:rsidR="00671081" w:rsidRPr="00BA2D09">
        <w:t xml:space="preserve"> </w:t>
      </w:r>
      <w:r w:rsidR="00BA4366" w:rsidRPr="00BA2D09">
        <w:rPr>
          <w:caps/>
        </w:rPr>
        <w:t>‘</w:t>
      </w:r>
      <w:r w:rsidR="00671081" w:rsidRPr="00BA2D09">
        <w:t>not substantive legislation</w:t>
      </w:r>
      <w:r w:rsidR="00610BE0">
        <w:t>’</w:t>
      </w:r>
      <w:r w:rsidR="00C70C16" w:rsidRPr="00BA2D09">
        <w:t xml:space="preserve"> but instead a kind of virtue </w:t>
      </w:r>
      <w:r w:rsidR="00C70C16">
        <w:rPr>
          <w:lang w:eastAsia="en-GB"/>
        </w:rPr>
        <w:t>signalling</w:t>
      </w:r>
      <w:r w:rsidR="004D7662" w:rsidRPr="00BA2D09">
        <w:t>.</w:t>
      </w:r>
      <w:r w:rsidR="00671081" w:rsidRPr="00BA2D09">
        <w:rPr>
          <w:rStyle w:val="FootnoteReference"/>
          <w:rFonts w:ascii="Times New Roman" w:hAnsi="Times New Roman"/>
        </w:rPr>
        <w:footnoteReference w:id="67"/>
      </w:r>
      <w:r w:rsidR="00D8619B" w:rsidRPr="00BA2D09">
        <w:t xml:space="preserve"> Third, </w:t>
      </w:r>
      <w:r w:rsidR="00362A34" w:rsidRPr="00BA2D09">
        <w:t>it gums up</w:t>
      </w:r>
      <w:r w:rsidR="00934A28" w:rsidRPr="00BA2D09">
        <w:t xml:space="preserve"> decision</w:t>
      </w:r>
      <w:r w:rsidR="00130F23">
        <w:rPr>
          <w:lang w:eastAsia="en-GB"/>
        </w:rPr>
        <w:t xml:space="preserve"> </w:t>
      </w:r>
      <w:r w:rsidR="00130F23" w:rsidRPr="00BA2D09">
        <w:t>mak</w:t>
      </w:r>
      <w:r w:rsidR="00934A28" w:rsidRPr="00BA2D09">
        <w:t>ing in</w:t>
      </w:r>
      <w:r w:rsidR="00362A34" w:rsidRPr="00BA2D09">
        <w:t xml:space="preserve"> public authorities, particularly</w:t>
      </w:r>
      <w:r w:rsidR="00934A28" w:rsidRPr="00BA2D09">
        <w:t xml:space="preserve"> through</w:t>
      </w:r>
      <w:r w:rsidR="00362A34" w:rsidRPr="00BA2D09">
        <w:t xml:space="preserve"> impact assessments and consultations with affected groups, </w:t>
      </w:r>
      <w:r w:rsidR="00107476">
        <w:rPr>
          <w:lang w:eastAsia="en-GB"/>
        </w:rPr>
        <w:t>which</w:t>
      </w:r>
      <w:r w:rsidR="00362A34" w:rsidRPr="00BA2D09">
        <w:t xml:space="preserve"> unjustifiably slows down </w:t>
      </w:r>
      <w:r w:rsidR="00934A28" w:rsidRPr="00BA2D09">
        <w:t>decisions or unnecessarily complicates them</w:t>
      </w:r>
      <w:r w:rsidR="00041718" w:rsidRPr="00BA2D09">
        <w:t>. A</w:t>
      </w:r>
      <w:r w:rsidR="00370553" w:rsidRPr="00BA2D09">
        <w:t xml:space="preserve">s Theresa May </w:t>
      </w:r>
      <w:r w:rsidR="00A04F79" w:rsidRPr="00BA2D09">
        <w:t xml:space="preserve">(at the time the Minister for Women and Equalities) </w:t>
      </w:r>
      <w:r w:rsidR="00370553" w:rsidRPr="00BA2D09">
        <w:t xml:space="preserve">put it, </w:t>
      </w:r>
      <w:r w:rsidR="00BA4366" w:rsidRPr="00BA2D09">
        <w:rPr>
          <w:caps/>
        </w:rPr>
        <w:t>‘</w:t>
      </w:r>
      <w:r w:rsidR="00370553" w:rsidRPr="00BA2D09">
        <w:t>council services like bin collections and bus routes</w:t>
      </w:r>
      <w:r w:rsidR="00BA4366" w:rsidRPr="00BA2D09">
        <w:rPr>
          <w:caps/>
        </w:rPr>
        <w:t>’</w:t>
      </w:r>
      <w:r w:rsidR="00791E3D" w:rsidRPr="00BA2D09">
        <w:t xml:space="preserve"> would be </w:t>
      </w:r>
      <w:r w:rsidR="00BA4366" w:rsidRPr="00BA2D09">
        <w:rPr>
          <w:caps/>
        </w:rPr>
        <w:t>‘</w:t>
      </w:r>
      <w:r w:rsidR="00370553" w:rsidRPr="00BA2D09">
        <w:t xml:space="preserve">designed not on the basis of practical need but on this one politically-motivated </w:t>
      </w:r>
      <w:r w:rsidR="00370553" w:rsidRPr="00370553">
        <w:rPr>
          <w:lang w:eastAsia="en-GB"/>
        </w:rPr>
        <w:t>target</w:t>
      </w:r>
      <w:r w:rsidR="00BA4366" w:rsidRPr="00107476">
        <w:rPr>
          <w:caps/>
          <w:lang w:eastAsia="en-GB"/>
        </w:rPr>
        <w:t>’</w:t>
      </w:r>
      <w:r w:rsidR="00107476">
        <w:rPr>
          <w:caps/>
          <w:lang w:eastAsia="en-GB"/>
        </w:rPr>
        <w:t>.</w:t>
      </w:r>
      <w:r w:rsidR="00370553" w:rsidRPr="00BA2D09">
        <w:rPr>
          <w:rStyle w:val="FootnoteReference"/>
          <w:rFonts w:ascii="Times New Roman" w:hAnsi="Times New Roman"/>
        </w:rPr>
        <w:footnoteReference w:id="68"/>
      </w:r>
    </w:p>
    <w:p w14:paraId="324CA4C6" w14:textId="0C749CA8" w:rsidR="00BA4366" w:rsidRDefault="00EC0AF5" w:rsidP="00BA2D09">
      <w:pPr>
        <w:rPr>
          <w:lang w:eastAsia="en-GB"/>
        </w:rPr>
      </w:pPr>
      <w:r>
        <w:rPr>
          <w:lang w:eastAsia="en-GB"/>
        </w:rPr>
        <w:t xml:space="preserve">There are two things to note about these </w:t>
      </w:r>
      <w:r w:rsidR="00D52ED5">
        <w:rPr>
          <w:lang w:eastAsia="en-GB"/>
        </w:rPr>
        <w:t>criticisms for the purposes of the argument in</w:t>
      </w:r>
      <w:r w:rsidR="00BA4366" w:rsidRPr="00107476">
        <w:t xml:space="preserve"> </w:t>
      </w:r>
      <w:r w:rsidR="00D52ED5" w:rsidRPr="00107476">
        <w:t>t</w:t>
      </w:r>
      <w:r w:rsidR="00BA4366" w:rsidRPr="00107476">
        <w:t>his article</w:t>
      </w:r>
      <w:r w:rsidR="003D41DC" w:rsidRPr="00107476">
        <w:t>. The first is that this tryptic</w:t>
      </w:r>
      <w:r w:rsidR="00265B1B" w:rsidRPr="00107476">
        <w:t>—tick-box</w:t>
      </w:r>
      <w:r w:rsidR="003D41DC" w:rsidRPr="00107476">
        <w:t xml:space="preserve"> conc</w:t>
      </w:r>
      <w:r w:rsidR="003D41DC">
        <w:rPr>
          <w:lang w:eastAsia="en-GB"/>
        </w:rPr>
        <w:t>erns, passing the buck and death by discussion</w:t>
      </w:r>
      <w:r w:rsidR="00265B1B">
        <w:rPr>
          <w:lang w:eastAsia="en-GB"/>
        </w:rPr>
        <w:t>—</w:t>
      </w:r>
      <w:r w:rsidR="003D41DC">
        <w:rPr>
          <w:lang w:eastAsia="en-GB"/>
        </w:rPr>
        <w:t xml:space="preserve">can be (and often </w:t>
      </w:r>
      <w:r w:rsidR="00107476">
        <w:rPr>
          <w:lang w:eastAsia="en-GB"/>
        </w:rPr>
        <w:t>is</w:t>
      </w:r>
      <w:r w:rsidR="003D41DC">
        <w:rPr>
          <w:lang w:eastAsia="en-GB"/>
        </w:rPr>
        <w:t xml:space="preserve">) applied to any attempt at reflexive regulation in </w:t>
      </w:r>
      <w:r w:rsidR="008C1673">
        <w:rPr>
          <w:lang w:eastAsia="en-GB"/>
        </w:rPr>
        <w:t>whatever</w:t>
      </w:r>
      <w:r w:rsidR="003D41DC">
        <w:rPr>
          <w:lang w:eastAsia="en-GB"/>
        </w:rPr>
        <w:t xml:space="preserve"> context, be</w:t>
      </w:r>
      <w:r w:rsidR="0035238E">
        <w:rPr>
          <w:lang w:eastAsia="en-GB"/>
        </w:rPr>
        <w:t xml:space="preserve"> it</w:t>
      </w:r>
      <w:r w:rsidR="003D41DC">
        <w:rPr>
          <w:lang w:eastAsia="en-GB"/>
        </w:rPr>
        <w:t xml:space="preserve"> in environmental, labour market or corporate governance</w:t>
      </w:r>
      <w:r w:rsidR="0035238E">
        <w:rPr>
          <w:lang w:eastAsia="en-GB"/>
        </w:rPr>
        <w:t xml:space="preserve"> regulation</w:t>
      </w:r>
      <w:r w:rsidR="003D41DC">
        <w:rPr>
          <w:lang w:eastAsia="en-GB"/>
        </w:rPr>
        <w:t xml:space="preserve">. </w:t>
      </w:r>
      <w:r w:rsidR="00C23619">
        <w:rPr>
          <w:lang w:eastAsia="en-GB"/>
        </w:rPr>
        <w:t>The</w:t>
      </w:r>
      <w:r w:rsidR="00616D68">
        <w:rPr>
          <w:lang w:eastAsia="en-GB"/>
        </w:rPr>
        <w:t>se</w:t>
      </w:r>
      <w:r w:rsidR="00C23619">
        <w:rPr>
          <w:lang w:eastAsia="en-GB"/>
        </w:rPr>
        <w:t xml:space="preserve"> are evergreen concerns</w:t>
      </w:r>
      <w:r w:rsidR="00B4563A">
        <w:rPr>
          <w:lang w:eastAsia="en-GB"/>
        </w:rPr>
        <w:t xml:space="preserve"> about reflexive </w:t>
      </w:r>
      <w:r w:rsidR="008C5239">
        <w:rPr>
          <w:lang w:eastAsia="en-GB"/>
        </w:rPr>
        <w:t>law</w:t>
      </w:r>
      <w:r w:rsidR="00C23619">
        <w:rPr>
          <w:lang w:eastAsia="en-GB"/>
        </w:rPr>
        <w:t xml:space="preserve"> that are not unique to the</w:t>
      </w:r>
      <w:r w:rsidR="00C23619" w:rsidRPr="00107476">
        <w:t xml:space="preserve"> </w:t>
      </w:r>
      <w:r w:rsidR="000A3BAD" w:rsidRPr="00107476">
        <w:t>socio-economic duty</w:t>
      </w:r>
      <w:r w:rsidR="00C23619" w:rsidRPr="00107476">
        <w:t xml:space="preserve">. </w:t>
      </w:r>
      <w:r w:rsidR="00C23619">
        <w:rPr>
          <w:lang w:eastAsia="en-GB"/>
        </w:rPr>
        <w:t>Second,</w:t>
      </w:r>
      <w:r w:rsidR="00B4563A">
        <w:rPr>
          <w:lang w:eastAsia="en-GB"/>
        </w:rPr>
        <w:t xml:space="preserve"> they bear a striking</w:t>
      </w:r>
      <w:r w:rsidR="006D67B6">
        <w:rPr>
          <w:lang w:eastAsia="en-GB"/>
        </w:rPr>
        <w:t xml:space="preserve"> structural</w:t>
      </w:r>
      <w:r w:rsidR="00B4563A">
        <w:rPr>
          <w:lang w:eastAsia="en-GB"/>
        </w:rPr>
        <w:t xml:space="preserve"> resemblance to</w:t>
      </w:r>
      <w:r w:rsidR="00F203EC">
        <w:rPr>
          <w:lang w:eastAsia="en-GB"/>
        </w:rPr>
        <w:t xml:space="preserve"> arguments in</w:t>
      </w:r>
      <w:r w:rsidR="00B4563A">
        <w:rPr>
          <w:lang w:eastAsia="en-GB"/>
        </w:rPr>
        <w:t xml:space="preserve"> the literature on blame avoidance within political science more generally. This literature has long </w:t>
      </w:r>
      <w:r w:rsidR="00F203EC">
        <w:rPr>
          <w:lang w:eastAsia="en-GB"/>
        </w:rPr>
        <w:t xml:space="preserve">interrogated law and policy with a focus on </w:t>
      </w:r>
      <w:r w:rsidR="00CE6AA5">
        <w:rPr>
          <w:lang w:eastAsia="en-GB"/>
        </w:rPr>
        <w:t xml:space="preserve">box-ticking, </w:t>
      </w:r>
      <w:r w:rsidR="00F203EC">
        <w:rPr>
          <w:lang w:eastAsia="en-GB"/>
        </w:rPr>
        <w:t>passing of blame and diffusion through deliberation.</w:t>
      </w:r>
      <w:r w:rsidR="00AD174D">
        <w:rPr>
          <w:lang w:eastAsia="en-GB"/>
        </w:rPr>
        <w:t xml:space="preserve"> </w:t>
      </w:r>
      <w:r w:rsidR="006D67B6">
        <w:rPr>
          <w:lang w:eastAsia="en-GB"/>
        </w:rPr>
        <w:t>I argue that c</w:t>
      </w:r>
      <w:r w:rsidR="00AD174D">
        <w:rPr>
          <w:lang w:eastAsia="en-GB"/>
        </w:rPr>
        <w:t xml:space="preserve">riticisms of reflexive law can therefore be understood and </w:t>
      </w:r>
      <w:r w:rsidR="0071352F">
        <w:rPr>
          <w:lang w:eastAsia="en-GB"/>
        </w:rPr>
        <w:t>ultimately addressed</w:t>
      </w:r>
      <w:r w:rsidR="00AD174D">
        <w:rPr>
          <w:lang w:eastAsia="en-GB"/>
        </w:rPr>
        <w:t xml:space="preserve"> more effectively</w:t>
      </w:r>
      <w:r w:rsidR="00BF4933">
        <w:rPr>
          <w:lang w:eastAsia="en-GB"/>
        </w:rPr>
        <w:t xml:space="preserve"> through an engagement with t</w:t>
      </w:r>
      <w:r w:rsidR="00B06606">
        <w:rPr>
          <w:lang w:eastAsia="en-GB"/>
        </w:rPr>
        <w:t>h</w:t>
      </w:r>
      <w:r w:rsidR="008C5239">
        <w:rPr>
          <w:lang w:eastAsia="en-GB"/>
        </w:rPr>
        <w:t>is</w:t>
      </w:r>
      <w:r w:rsidR="00B06606">
        <w:rPr>
          <w:lang w:eastAsia="en-GB"/>
        </w:rPr>
        <w:t xml:space="preserve"> </w:t>
      </w:r>
      <w:r w:rsidR="00BA4A94">
        <w:rPr>
          <w:lang w:eastAsia="en-GB"/>
        </w:rPr>
        <w:t>research</w:t>
      </w:r>
      <w:r w:rsidR="006D67B6">
        <w:rPr>
          <w:lang w:eastAsia="en-GB"/>
        </w:rPr>
        <w:t xml:space="preserve">. </w:t>
      </w:r>
      <w:r w:rsidR="00B06606">
        <w:rPr>
          <w:lang w:eastAsia="en-GB"/>
        </w:rPr>
        <w:t>This section puts that argument.</w:t>
      </w:r>
      <w:r w:rsidR="004E3A40">
        <w:rPr>
          <w:lang w:eastAsia="en-GB"/>
        </w:rPr>
        <w:t xml:space="preserve"> I start by contextualising the discussion with a brief introduction to the focus of the blame avoidance literature, before aligning these common criticisms of th</w:t>
      </w:r>
      <w:r w:rsidR="004E3A40" w:rsidRPr="00107476">
        <w:t xml:space="preserve">e </w:t>
      </w:r>
      <w:r w:rsidR="000A3BAD" w:rsidRPr="00107476">
        <w:t>socio-economic duty</w:t>
      </w:r>
      <w:r w:rsidR="004E3A40" w:rsidRPr="00107476">
        <w:t xml:space="preserve"> </w:t>
      </w:r>
      <w:r w:rsidR="004E3A40">
        <w:rPr>
          <w:lang w:eastAsia="en-GB"/>
        </w:rPr>
        <w:t xml:space="preserve">against </w:t>
      </w:r>
      <w:r w:rsidR="00107476">
        <w:rPr>
          <w:lang w:eastAsia="en-GB"/>
        </w:rPr>
        <w:t>long-standing</w:t>
      </w:r>
      <w:r w:rsidR="004E3A40">
        <w:rPr>
          <w:lang w:eastAsia="en-GB"/>
        </w:rPr>
        <w:t xml:space="preserve"> arguments in the field.</w:t>
      </w:r>
    </w:p>
    <w:p w14:paraId="2D865496" w14:textId="70AAA322" w:rsidR="005916C1" w:rsidRPr="00BA2D09" w:rsidRDefault="00BD283F" w:rsidP="00BA2D09">
      <w:pPr>
        <w:pStyle w:val="Heading2"/>
        <w:numPr>
          <w:ilvl w:val="0"/>
          <w:numId w:val="41"/>
        </w:numPr>
      </w:pPr>
      <w:r w:rsidRPr="00BA2D09">
        <w:t xml:space="preserve">Criticisms of the </w:t>
      </w:r>
      <w:r w:rsidR="00107476" w:rsidRPr="00107476">
        <w:rPr>
          <w:color w:val="auto"/>
        </w:rPr>
        <w:t>Socio</w:t>
      </w:r>
      <w:r w:rsidR="000A3BAD" w:rsidRPr="00107476">
        <w:rPr>
          <w:color w:val="auto"/>
        </w:rPr>
        <w:t xml:space="preserve">-economic </w:t>
      </w:r>
      <w:r w:rsidR="00107476" w:rsidRPr="00107476">
        <w:rPr>
          <w:color w:val="auto"/>
        </w:rPr>
        <w:t>Duty</w:t>
      </w:r>
      <w:r w:rsidR="00107476" w:rsidRPr="00BA2D09">
        <w:rPr>
          <w:color w:val="auto"/>
        </w:rPr>
        <w:t xml:space="preserve"> </w:t>
      </w:r>
      <w:r w:rsidRPr="00BA2D09">
        <w:t>and Blame Avoidance</w:t>
      </w:r>
    </w:p>
    <w:p w14:paraId="0E0980D0" w14:textId="12742761" w:rsidR="00705BB7" w:rsidRPr="007C7BB9" w:rsidRDefault="00705BB7" w:rsidP="00BA2D09">
      <w:pPr>
        <w:rPr>
          <w:rFonts w:ascii="Times New Roman" w:eastAsia="Times New Roman" w:hAnsi="Times New Roman" w:cs="Times New Roman"/>
          <w:color w:val="000000" w:themeColor="text1"/>
          <w:szCs w:val="24"/>
          <w:lang w:eastAsia="en-GB"/>
        </w:rPr>
      </w:pPr>
      <w:r w:rsidRPr="007C7BB9">
        <w:rPr>
          <w:rFonts w:ascii="Times New Roman" w:eastAsia="Times New Roman" w:hAnsi="Times New Roman" w:cs="Times New Roman"/>
          <w:color w:val="000000" w:themeColor="text1"/>
          <w:szCs w:val="24"/>
          <w:lang w:eastAsia="en-GB"/>
        </w:rPr>
        <w:t xml:space="preserve">The </w:t>
      </w:r>
      <w:r w:rsidR="00461421">
        <w:rPr>
          <w:rFonts w:ascii="Times New Roman" w:eastAsia="Times New Roman" w:hAnsi="Times New Roman" w:cs="Times New Roman"/>
          <w:color w:val="000000" w:themeColor="text1"/>
          <w:szCs w:val="24"/>
          <w:lang w:eastAsia="en-GB"/>
        </w:rPr>
        <w:t>analytical</w:t>
      </w:r>
      <w:r w:rsidRPr="007C7BB9">
        <w:rPr>
          <w:rFonts w:ascii="Times New Roman" w:eastAsia="Times New Roman" w:hAnsi="Times New Roman" w:cs="Times New Roman"/>
          <w:color w:val="000000" w:themeColor="text1"/>
          <w:szCs w:val="24"/>
          <w:lang w:eastAsia="en-GB"/>
        </w:rPr>
        <w:t xml:space="preserve"> starting point of the blame avoidance literature is identifying interactions between two kinds of actors: blame</w:t>
      </w:r>
      <w:r w:rsidR="00107476">
        <w:rPr>
          <w:rFonts w:ascii="Times New Roman" w:eastAsia="Times New Roman" w:hAnsi="Times New Roman" w:cs="Times New Roman"/>
          <w:color w:val="000000" w:themeColor="text1"/>
          <w:szCs w:val="24"/>
          <w:lang w:eastAsia="en-GB"/>
        </w:rPr>
        <w:t xml:space="preserve"> </w:t>
      </w:r>
      <w:r w:rsidRPr="007C7BB9">
        <w:rPr>
          <w:rFonts w:ascii="Times New Roman" w:eastAsia="Times New Roman" w:hAnsi="Times New Roman" w:cs="Times New Roman"/>
          <w:color w:val="000000" w:themeColor="text1"/>
          <w:szCs w:val="24"/>
          <w:lang w:eastAsia="en-GB"/>
        </w:rPr>
        <w:t>shifters (those trying to move blame onto someone other than them</w:t>
      </w:r>
      <w:r w:rsidR="00107476">
        <w:rPr>
          <w:rFonts w:ascii="Times New Roman" w:eastAsia="Times New Roman" w:hAnsi="Times New Roman" w:cs="Times New Roman"/>
          <w:color w:val="000000" w:themeColor="text1"/>
          <w:szCs w:val="24"/>
          <w:lang w:eastAsia="en-GB"/>
        </w:rPr>
        <w:t>self</w:t>
      </w:r>
      <w:r w:rsidRPr="007C7BB9">
        <w:rPr>
          <w:rFonts w:ascii="Times New Roman" w:eastAsia="Times New Roman" w:hAnsi="Times New Roman" w:cs="Times New Roman"/>
          <w:color w:val="000000" w:themeColor="text1"/>
          <w:szCs w:val="24"/>
          <w:lang w:eastAsia="en-GB"/>
        </w:rPr>
        <w:t>) and the blame</w:t>
      </w:r>
      <w:r w:rsidR="00107476">
        <w:rPr>
          <w:rFonts w:ascii="Times New Roman" w:eastAsia="Times New Roman" w:hAnsi="Times New Roman" w:cs="Times New Roman"/>
          <w:color w:val="000000" w:themeColor="text1"/>
          <w:szCs w:val="24"/>
          <w:lang w:eastAsia="en-GB"/>
        </w:rPr>
        <w:t xml:space="preserve"> </w:t>
      </w:r>
      <w:proofErr w:type="spellStart"/>
      <w:r w:rsidRPr="007C7BB9">
        <w:rPr>
          <w:rFonts w:ascii="Times New Roman" w:eastAsia="Times New Roman" w:hAnsi="Times New Roman" w:cs="Times New Roman"/>
          <w:color w:val="000000" w:themeColor="text1"/>
          <w:szCs w:val="24"/>
          <w:lang w:eastAsia="en-GB"/>
        </w:rPr>
        <w:t>shiftees</w:t>
      </w:r>
      <w:proofErr w:type="spellEnd"/>
      <w:r w:rsidRPr="007C7BB9">
        <w:rPr>
          <w:rFonts w:ascii="Times New Roman" w:eastAsia="Times New Roman" w:hAnsi="Times New Roman" w:cs="Times New Roman"/>
          <w:color w:val="000000" w:themeColor="text1"/>
          <w:szCs w:val="24"/>
          <w:lang w:eastAsia="en-GB"/>
        </w:rPr>
        <w:t xml:space="preserve"> (the target of the blame shifters).</w:t>
      </w:r>
      <w:bookmarkStart w:id="14" w:name="_Ref194750438"/>
      <w:r w:rsidRPr="007C7BB9">
        <w:rPr>
          <w:rStyle w:val="FootnoteReference"/>
          <w:rFonts w:ascii="Times New Roman" w:hAnsi="Times New Roman" w:cs="Times New Roman"/>
        </w:rPr>
        <w:footnoteReference w:id="69"/>
      </w:r>
      <w:bookmarkEnd w:id="14"/>
      <w:r w:rsidRPr="007C7BB9">
        <w:rPr>
          <w:rFonts w:ascii="Times New Roman" w:eastAsia="Times New Roman" w:hAnsi="Times New Roman" w:cs="Times New Roman"/>
          <w:color w:val="000000" w:themeColor="text1"/>
          <w:szCs w:val="24"/>
          <w:lang w:eastAsia="en-GB"/>
        </w:rPr>
        <w:t xml:space="preserve"> In most examples, the former are politicians and senior officials, and the latter are front-line bureaucrats or </w:t>
      </w:r>
      <w:r w:rsidRPr="007C7BB9">
        <w:rPr>
          <w:rFonts w:ascii="Times New Roman" w:eastAsia="Times New Roman" w:hAnsi="Times New Roman" w:cs="Times New Roman"/>
          <w:color w:val="000000" w:themeColor="text1"/>
          <w:szCs w:val="24"/>
          <w:lang w:eastAsia="en-GB"/>
        </w:rPr>
        <w:lastRenderedPageBreak/>
        <w:t>agencies</w:t>
      </w:r>
      <w:r w:rsidR="00D0559F">
        <w:rPr>
          <w:rFonts w:ascii="Times New Roman" w:eastAsia="Times New Roman" w:hAnsi="Times New Roman" w:cs="Times New Roman"/>
          <w:color w:val="000000" w:themeColor="text1"/>
          <w:szCs w:val="24"/>
          <w:lang w:eastAsia="en-GB"/>
        </w:rPr>
        <w:t xml:space="preserve">. </w:t>
      </w:r>
      <w:r w:rsidRPr="007C7BB9">
        <w:rPr>
          <w:rFonts w:ascii="Times New Roman" w:eastAsia="Times New Roman" w:hAnsi="Times New Roman" w:cs="Times New Roman"/>
          <w:color w:val="000000" w:themeColor="text1"/>
          <w:szCs w:val="24"/>
          <w:lang w:eastAsia="en-GB"/>
        </w:rPr>
        <w:t xml:space="preserve">Of course, this is rarely a straightforward process. Sometimes it goes wrong for the blame shifters. Blame </w:t>
      </w:r>
      <w:proofErr w:type="spellStart"/>
      <w:r w:rsidRPr="007C7BB9">
        <w:rPr>
          <w:rFonts w:ascii="Times New Roman" w:eastAsia="Times New Roman" w:hAnsi="Times New Roman" w:cs="Times New Roman"/>
          <w:color w:val="000000" w:themeColor="text1"/>
          <w:szCs w:val="24"/>
          <w:lang w:eastAsia="en-GB"/>
        </w:rPr>
        <w:t>shiftees</w:t>
      </w:r>
      <w:proofErr w:type="spellEnd"/>
      <w:r w:rsidRPr="007C7BB9">
        <w:rPr>
          <w:rFonts w:ascii="Times New Roman" w:eastAsia="Times New Roman" w:hAnsi="Times New Roman" w:cs="Times New Roman"/>
          <w:color w:val="000000" w:themeColor="text1"/>
          <w:szCs w:val="24"/>
          <w:lang w:eastAsia="en-GB"/>
        </w:rPr>
        <w:t xml:space="preserve"> are not always just passive recipients of blame, but instead can engage in their own blame avoidance strategies to push blame back (</w:t>
      </w:r>
      <w:r w:rsidR="00461421">
        <w:rPr>
          <w:rFonts w:ascii="Times New Roman" w:eastAsia="Times New Roman" w:hAnsi="Times New Roman" w:cs="Times New Roman"/>
          <w:color w:val="000000" w:themeColor="text1"/>
          <w:szCs w:val="24"/>
          <w:lang w:eastAsia="en-GB"/>
        </w:rPr>
        <w:t xml:space="preserve">often </w:t>
      </w:r>
      <w:r w:rsidRPr="007C7BB9">
        <w:rPr>
          <w:rFonts w:ascii="Times New Roman" w:eastAsia="Times New Roman" w:hAnsi="Times New Roman" w:cs="Times New Roman"/>
          <w:color w:val="000000" w:themeColor="text1"/>
          <w:szCs w:val="24"/>
          <w:lang w:eastAsia="en-GB"/>
        </w:rPr>
        <w:t xml:space="preserve">characterised as a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blame boomerang</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or diffuse it elsewhere.</w:t>
      </w:r>
      <w:r w:rsidRPr="007C7BB9">
        <w:rPr>
          <w:rStyle w:val="FootnoteReference"/>
          <w:rFonts w:ascii="Times New Roman" w:eastAsia="Times New Roman" w:hAnsi="Times New Roman" w:cs="Times New Roman"/>
          <w:color w:val="000000" w:themeColor="text1"/>
          <w:szCs w:val="24"/>
          <w:lang w:eastAsia="en-GB"/>
        </w:rPr>
        <w:footnoteReference w:id="70"/>
      </w:r>
      <w:r w:rsidRPr="007C7BB9">
        <w:rPr>
          <w:rFonts w:ascii="Times New Roman" w:eastAsia="Times New Roman" w:hAnsi="Times New Roman" w:cs="Times New Roman"/>
          <w:color w:val="000000" w:themeColor="text1"/>
          <w:szCs w:val="24"/>
          <w:lang w:eastAsia="en-GB"/>
        </w:rPr>
        <w:t xml:space="preserve"> Likewise, the strategies adopted by the blame shifters may not be effective at preserving credit or </w:t>
      </w:r>
      <w:r w:rsidR="00564616">
        <w:rPr>
          <w:rFonts w:ascii="Times New Roman" w:eastAsia="Times New Roman" w:hAnsi="Times New Roman" w:cs="Times New Roman"/>
          <w:color w:val="000000" w:themeColor="text1"/>
          <w:szCs w:val="24"/>
          <w:lang w:eastAsia="en-GB"/>
        </w:rPr>
        <w:t xml:space="preserve">even </w:t>
      </w:r>
      <w:r w:rsidRPr="007C7BB9">
        <w:rPr>
          <w:rFonts w:ascii="Times New Roman" w:eastAsia="Times New Roman" w:hAnsi="Times New Roman" w:cs="Times New Roman"/>
          <w:color w:val="000000" w:themeColor="text1"/>
          <w:szCs w:val="24"/>
          <w:lang w:eastAsia="en-GB"/>
        </w:rPr>
        <w:t>shifting blame</w:t>
      </w:r>
      <w:r w:rsidR="00564616">
        <w:rPr>
          <w:rFonts w:ascii="Times New Roman" w:eastAsia="Times New Roman" w:hAnsi="Times New Roman" w:cs="Times New Roman"/>
          <w:color w:val="000000" w:themeColor="text1"/>
          <w:szCs w:val="24"/>
          <w:lang w:eastAsia="en-GB"/>
        </w:rPr>
        <w:t xml:space="preserve"> in the first place</w:t>
      </w:r>
      <w:r w:rsidRPr="007C7BB9">
        <w:rPr>
          <w:rFonts w:ascii="Times New Roman" w:eastAsia="Times New Roman" w:hAnsi="Times New Roman" w:cs="Times New Roman"/>
          <w:color w:val="000000" w:themeColor="text1"/>
          <w:szCs w:val="24"/>
          <w:lang w:eastAsia="en-GB"/>
        </w:rPr>
        <w:t>.</w:t>
      </w:r>
    </w:p>
    <w:p w14:paraId="1D9F70B9" w14:textId="08A90F97" w:rsidR="00705BB7" w:rsidRPr="007C7BB9" w:rsidRDefault="00705BB7" w:rsidP="00BA2D09">
      <w:pPr>
        <w:rPr>
          <w:rFonts w:ascii="Times New Roman" w:eastAsia="Times New Roman" w:hAnsi="Times New Roman" w:cs="Times New Roman"/>
          <w:color w:val="000000" w:themeColor="text1"/>
          <w:szCs w:val="24"/>
          <w:lang w:eastAsia="en-GB"/>
        </w:rPr>
      </w:pPr>
      <w:r w:rsidRPr="007C7BB9">
        <w:rPr>
          <w:rFonts w:ascii="Times New Roman" w:eastAsia="Times New Roman" w:hAnsi="Times New Roman" w:cs="Times New Roman"/>
          <w:color w:val="000000" w:themeColor="text1"/>
          <w:szCs w:val="24"/>
          <w:lang w:eastAsia="en-GB"/>
        </w:rPr>
        <w:t xml:space="preserve">The broad literature analysing this blame avoidance behaviour </w:t>
      </w:r>
      <w:r w:rsidR="00B10445">
        <w:rPr>
          <w:rFonts w:ascii="Times New Roman" w:eastAsia="Times New Roman" w:hAnsi="Times New Roman" w:cs="Times New Roman"/>
          <w:color w:val="000000" w:themeColor="text1"/>
          <w:szCs w:val="24"/>
          <w:lang w:eastAsia="en-GB"/>
        </w:rPr>
        <w:t>examines</w:t>
      </w:r>
      <w:r w:rsidR="008C7D69">
        <w:rPr>
          <w:rFonts w:ascii="Times New Roman" w:eastAsia="Times New Roman" w:hAnsi="Times New Roman" w:cs="Times New Roman"/>
          <w:color w:val="000000" w:themeColor="text1"/>
          <w:szCs w:val="24"/>
          <w:lang w:eastAsia="en-GB"/>
        </w:rPr>
        <w:t xml:space="preserve"> </w:t>
      </w:r>
      <w:r w:rsidR="00107476">
        <w:rPr>
          <w:rFonts w:ascii="Times New Roman" w:eastAsia="Times New Roman" w:hAnsi="Times New Roman" w:cs="Times New Roman"/>
          <w:color w:val="000000" w:themeColor="text1"/>
          <w:szCs w:val="24"/>
          <w:lang w:eastAsia="en-GB"/>
        </w:rPr>
        <w:t>two types of strategy:</w:t>
      </w:r>
      <w:r w:rsidRPr="007C7BB9">
        <w:rPr>
          <w:rFonts w:ascii="Times New Roman" w:eastAsia="Times New Roman" w:hAnsi="Times New Roman" w:cs="Times New Roman"/>
          <w:color w:val="000000" w:themeColor="text1"/>
          <w:szCs w:val="24"/>
          <w:lang w:eastAsia="en-GB"/>
        </w:rPr>
        <w:t xml:space="preserve"> </w:t>
      </w:r>
      <w:r w:rsidRPr="007C7BB9">
        <w:rPr>
          <w:rFonts w:ascii="Times New Roman" w:eastAsia="Times New Roman" w:hAnsi="Times New Roman" w:cs="Times New Roman"/>
          <w:i/>
          <w:iCs/>
          <w:color w:val="000000" w:themeColor="text1"/>
          <w:szCs w:val="24"/>
          <w:lang w:eastAsia="en-GB"/>
        </w:rPr>
        <w:t>anticipatory</w:t>
      </w:r>
      <w:r w:rsidRPr="007C7BB9">
        <w:rPr>
          <w:rFonts w:ascii="Times New Roman" w:eastAsia="Times New Roman" w:hAnsi="Times New Roman" w:cs="Times New Roman"/>
          <w:color w:val="000000" w:themeColor="text1"/>
          <w:szCs w:val="24"/>
          <w:lang w:eastAsia="en-GB"/>
        </w:rPr>
        <w:t xml:space="preserve"> </w:t>
      </w:r>
      <w:r w:rsidR="00107476">
        <w:rPr>
          <w:rFonts w:ascii="Times New Roman" w:eastAsia="Times New Roman" w:hAnsi="Times New Roman" w:cs="Times New Roman"/>
          <w:color w:val="000000" w:themeColor="text1"/>
          <w:szCs w:val="24"/>
          <w:lang w:eastAsia="en-GB"/>
        </w:rPr>
        <w:t>and</w:t>
      </w:r>
      <w:r w:rsidRPr="007C7BB9">
        <w:rPr>
          <w:rFonts w:ascii="Times New Roman" w:eastAsia="Times New Roman" w:hAnsi="Times New Roman" w:cs="Times New Roman"/>
          <w:color w:val="000000" w:themeColor="text1"/>
          <w:szCs w:val="24"/>
          <w:lang w:eastAsia="en-GB"/>
        </w:rPr>
        <w:t xml:space="preserve"> </w:t>
      </w:r>
      <w:r w:rsidRPr="007C7BB9">
        <w:rPr>
          <w:rFonts w:ascii="Times New Roman" w:eastAsia="Times New Roman" w:hAnsi="Times New Roman" w:cs="Times New Roman"/>
          <w:i/>
          <w:iCs/>
          <w:color w:val="000000" w:themeColor="text1"/>
          <w:szCs w:val="24"/>
          <w:lang w:eastAsia="en-GB"/>
        </w:rPr>
        <w:t>reactive</w:t>
      </w:r>
      <w:r w:rsidRPr="007C7BB9">
        <w:rPr>
          <w:rFonts w:ascii="Times New Roman" w:eastAsia="Times New Roman" w:hAnsi="Times New Roman" w:cs="Times New Roman"/>
          <w:color w:val="000000" w:themeColor="text1"/>
          <w:szCs w:val="24"/>
          <w:lang w:eastAsia="en-GB"/>
        </w:rPr>
        <w:t xml:space="preserve">. Anticipatory strategies aim to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keep blameworthy events</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 from happening or to structure things so </w:t>
      </w:r>
      <w:r w:rsidR="00107476">
        <w:rPr>
          <w:rFonts w:ascii="Times New Roman" w:eastAsia="Times New Roman" w:hAnsi="Times New Roman" w:cs="Times New Roman"/>
          <w:color w:val="000000" w:themeColor="text1"/>
          <w:szCs w:val="24"/>
          <w:lang w:eastAsia="en-GB"/>
        </w:rPr>
        <w:t xml:space="preserve">that </w:t>
      </w:r>
      <w:r w:rsidR="00FB78CA">
        <w:rPr>
          <w:rFonts w:ascii="Times New Roman" w:eastAsia="Times New Roman" w:hAnsi="Times New Roman" w:cs="Times New Roman"/>
          <w:color w:val="000000" w:themeColor="text1"/>
          <w:szCs w:val="24"/>
          <w:lang w:eastAsia="en-GB"/>
        </w:rPr>
        <w:t>one is</w:t>
      </w:r>
      <w:r w:rsidRPr="007C7BB9">
        <w:rPr>
          <w:rFonts w:ascii="Times New Roman" w:eastAsia="Times New Roman" w:hAnsi="Times New Roman" w:cs="Times New Roman"/>
          <w:color w:val="000000" w:themeColor="text1"/>
          <w:szCs w:val="24"/>
          <w:lang w:eastAsia="en-GB"/>
        </w:rPr>
        <w:t xml:space="preserve"> in a strong position to shift or avoid blame should the worst happen.</w:t>
      </w:r>
      <w:r w:rsidRPr="007C7BB9">
        <w:rPr>
          <w:rStyle w:val="FootnoteReference"/>
          <w:rFonts w:ascii="Times New Roman" w:eastAsia="Times New Roman" w:hAnsi="Times New Roman" w:cs="Times New Roman"/>
          <w:color w:val="000000" w:themeColor="text1"/>
          <w:szCs w:val="24"/>
          <w:lang w:eastAsia="en-GB"/>
        </w:rPr>
        <w:footnoteReference w:id="71"/>
      </w:r>
      <w:r w:rsidRPr="007C7BB9">
        <w:rPr>
          <w:rFonts w:ascii="Times New Roman" w:eastAsia="Times New Roman" w:hAnsi="Times New Roman" w:cs="Times New Roman"/>
          <w:color w:val="000000" w:themeColor="text1"/>
          <w:szCs w:val="24"/>
          <w:lang w:eastAsia="en-GB"/>
        </w:rPr>
        <w:t xml:space="preserve"> Reactive strategies are about how to respond when a blame event occurs, such as the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presentational strategies</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 of framing events or shifting the blame to others.</w:t>
      </w:r>
      <w:r w:rsidRPr="007C7BB9">
        <w:rPr>
          <w:rStyle w:val="FootnoteReference"/>
          <w:rFonts w:ascii="Times New Roman" w:eastAsia="Times New Roman" w:hAnsi="Times New Roman" w:cs="Times New Roman"/>
          <w:color w:val="000000" w:themeColor="text1"/>
          <w:szCs w:val="24"/>
          <w:lang w:eastAsia="en-GB"/>
        </w:rPr>
        <w:footnoteReference w:id="72"/>
      </w:r>
      <w:r w:rsidRPr="007C7BB9">
        <w:rPr>
          <w:rFonts w:ascii="Times New Roman" w:eastAsia="Times New Roman" w:hAnsi="Times New Roman" w:cs="Times New Roman"/>
          <w:color w:val="000000" w:themeColor="text1"/>
          <w:szCs w:val="24"/>
          <w:lang w:eastAsia="en-GB"/>
        </w:rPr>
        <w:t xml:space="preserve"> Given </w:t>
      </w:r>
      <w:r w:rsidR="00A31F37">
        <w:rPr>
          <w:rFonts w:ascii="Times New Roman" w:eastAsia="Times New Roman" w:hAnsi="Times New Roman" w:cs="Times New Roman"/>
          <w:color w:val="000000" w:themeColor="text1"/>
          <w:szCs w:val="24"/>
          <w:lang w:eastAsia="en-GB"/>
        </w:rPr>
        <w:t>my</w:t>
      </w:r>
      <w:r w:rsidR="00A31F37" w:rsidRPr="007C7BB9">
        <w:rPr>
          <w:rFonts w:ascii="Times New Roman" w:eastAsia="Times New Roman" w:hAnsi="Times New Roman" w:cs="Times New Roman"/>
          <w:color w:val="000000" w:themeColor="text1"/>
          <w:szCs w:val="24"/>
          <w:lang w:eastAsia="en-GB"/>
        </w:rPr>
        <w:t xml:space="preserve"> </w:t>
      </w:r>
      <w:r w:rsidRPr="007C7BB9">
        <w:rPr>
          <w:rFonts w:ascii="Times New Roman" w:eastAsia="Times New Roman" w:hAnsi="Times New Roman" w:cs="Times New Roman"/>
          <w:color w:val="000000" w:themeColor="text1"/>
          <w:szCs w:val="24"/>
          <w:lang w:eastAsia="en-GB"/>
        </w:rPr>
        <w:t xml:space="preserve">focus in this article, I will be drawing exclusively on the literature examining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anticipatory</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i/>
          <w:iCs/>
          <w:color w:val="000000" w:themeColor="text1"/>
          <w:szCs w:val="24"/>
          <w:lang w:eastAsia="en-GB"/>
        </w:rPr>
        <w:t xml:space="preserve"> </w:t>
      </w:r>
      <w:r w:rsidRPr="007C7BB9">
        <w:rPr>
          <w:rFonts w:ascii="Times New Roman" w:eastAsia="Times New Roman" w:hAnsi="Times New Roman" w:cs="Times New Roman"/>
          <w:color w:val="000000" w:themeColor="text1"/>
          <w:szCs w:val="24"/>
          <w:lang w:eastAsia="en-GB"/>
        </w:rPr>
        <w:t>blame avoidance strategies.</w:t>
      </w:r>
    </w:p>
    <w:p w14:paraId="270FE0C8" w14:textId="3E5F905E" w:rsidR="008C7D69" w:rsidRPr="007C7BB9" w:rsidRDefault="008C7D69" w:rsidP="00BA2D09">
      <w:pPr>
        <w:rPr>
          <w:rFonts w:ascii="Times New Roman" w:eastAsia="Times New Roman" w:hAnsi="Times New Roman" w:cs="Times New Roman"/>
          <w:color w:val="000000" w:themeColor="text1"/>
          <w:szCs w:val="24"/>
          <w:lang w:eastAsia="en-GB"/>
        </w:rPr>
      </w:pPr>
      <w:r>
        <w:rPr>
          <w:rFonts w:ascii="Times New Roman" w:eastAsia="Times New Roman" w:hAnsi="Times New Roman" w:cs="Times New Roman"/>
          <w:color w:val="000000" w:themeColor="text1"/>
          <w:szCs w:val="24"/>
          <w:lang w:eastAsia="en-GB"/>
        </w:rPr>
        <w:t xml:space="preserve">In legal scholarship more broadly, other concepts have been used </w:t>
      </w:r>
      <w:r w:rsidR="00A33475">
        <w:rPr>
          <w:rFonts w:ascii="Times New Roman" w:eastAsia="Times New Roman" w:hAnsi="Times New Roman" w:cs="Times New Roman"/>
          <w:color w:val="000000" w:themeColor="text1"/>
          <w:szCs w:val="24"/>
          <w:lang w:eastAsia="en-GB"/>
        </w:rPr>
        <w:t>to explore similar dynamics</w:t>
      </w:r>
      <w:r>
        <w:rPr>
          <w:rFonts w:ascii="Times New Roman" w:eastAsia="Times New Roman" w:hAnsi="Times New Roman" w:cs="Times New Roman"/>
          <w:color w:val="000000" w:themeColor="text1"/>
          <w:szCs w:val="24"/>
          <w:lang w:eastAsia="en-GB"/>
        </w:rPr>
        <w:t xml:space="preserve">. For instance, the socio-economic duty </w:t>
      </w:r>
      <w:r w:rsidR="005916C1">
        <w:rPr>
          <w:rFonts w:ascii="Times New Roman" w:eastAsia="Times New Roman" w:hAnsi="Times New Roman" w:cs="Times New Roman"/>
          <w:color w:val="000000" w:themeColor="text1"/>
          <w:szCs w:val="24"/>
          <w:lang w:eastAsia="en-GB"/>
        </w:rPr>
        <w:t>could be criticised as sharing</w:t>
      </w:r>
      <w:r>
        <w:rPr>
          <w:rFonts w:ascii="Times New Roman" w:eastAsia="Times New Roman" w:hAnsi="Times New Roman" w:cs="Times New Roman"/>
          <w:color w:val="000000" w:themeColor="text1"/>
          <w:szCs w:val="24"/>
          <w:lang w:eastAsia="en-GB"/>
        </w:rPr>
        <w:t xml:space="preserve"> characteristics of what Lees and Pedersen </w:t>
      </w:r>
      <w:r w:rsidR="005916C1">
        <w:rPr>
          <w:rFonts w:ascii="Times New Roman" w:eastAsia="Times New Roman" w:hAnsi="Times New Roman" w:cs="Times New Roman"/>
          <w:color w:val="000000" w:themeColor="text1"/>
          <w:szCs w:val="24"/>
          <w:lang w:eastAsia="en-GB"/>
        </w:rPr>
        <w:t>term</w:t>
      </w:r>
      <w:r>
        <w:rPr>
          <w:rFonts w:ascii="Times New Roman" w:eastAsia="Times New Roman" w:hAnsi="Times New Roman" w:cs="Times New Roman"/>
          <w:color w:val="000000" w:themeColor="text1"/>
          <w:szCs w:val="24"/>
          <w:lang w:eastAsia="en-GB"/>
        </w:rPr>
        <w:t xml:space="preserve"> </w:t>
      </w:r>
      <w:r w:rsidR="00BA4366">
        <w:rPr>
          <w:rFonts w:ascii="Times New Roman" w:eastAsia="Times New Roman" w:hAnsi="Times New Roman" w:cs="Times New Roman"/>
          <w:color w:val="000000" w:themeColor="text1"/>
          <w:szCs w:val="24"/>
          <w:lang w:eastAsia="en-GB"/>
        </w:rPr>
        <w:t>‘</w:t>
      </w:r>
      <w:r>
        <w:rPr>
          <w:rFonts w:ascii="Times New Roman" w:eastAsia="Times New Roman" w:hAnsi="Times New Roman" w:cs="Times New Roman"/>
          <w:color w:val="000000" w:themeColor="text1"/>
          <w:szCs w:val="24"/>
          <w:lang w:eastAsia="en-GB"/>
        </w:rPr>
        <w:t>performative law</w:t>
      </w:r>
      <w:r w:rsidR="00BA4366">
        <w:rPr>
          <w:rFonts w:ascii="Times New Roman" w:eastAsia="Times New Roman" w:hAnsi="Times New Roman" w:cs="Times New Roman"/>
          <w:color w:val="000000" w:themeColor="text1"/>
          <w:szCs w:val="24"/>
          <w:lang w:eastAsia="en-GB"/>
        </w:rPr>
        <w:t>’</w:t>
      </w:r>
      <w:r>
        <w:rPr>
          <w:rFonts w:ascii="Times New Roman" w:eastAsia="Times New Roman" w:hAnsi="Times New Roman" w:cs="Times New Roman"/>
          <w:color w:val="000000" w:themeColor="text1"/>
          <w:szCs w:val="24"/>
          <w:lang w:eastAsia="en-GB"/>
        </w:rPr>
        <w:t xml:space="preserve">: where </w:t>
      </w:r>
      <w:r w:rsidR="00BA4366">
        <w:rPr>
          <w:rFonts w:ascii="Times New Roman" w:eastAsia="Times New Roman" w:hAnsi="Times New Roman" w:cs="Times New Roman"/>
          <w:color w:val="000000" w:themeColor="text1"/>
          <w:szCs w:val="24"/>
          <w:lang w:eastAsia="en-GB"/>
        </w:rPr>
        <w:t>‘</w:t>
      </w:r>
      <w:r w:rsidRPr="00C52882">
        <w:rPr>
          <w:rFonts w:cstheme="majorBidi"/>
          <w:szCs w:val="24"/>
        </w:rPr>
        <w:t>the legal commitment is</w:t>
      </w:r>
      <w:r w:rsidR="00265B1B">
        <w:rPr>
          <w:rFonts w:cstheme="majorBidi"/>
          <w:szCs w:val="24"/>
        </w:rPr>
        <w:t>—</w:t>
      </w:r>
      <w:r w:rsidRPr="00C52882">
        <w:rPr>
          <w:rFonts w:cstheme="majorBidi"/>
          <w:szCs w:val="24"/>
        </w:rPr>
        <w:t>thanks to a lack of capacity or intention</w:t>
      </w:r>
      <w:r w:rsidR="00265B1B">
        <w:rPr>
          <w:rFonts w:cstheme="majorBidi"/>
          <w:szCs w:val="24"/>
        </w:rPr>
        <w:t>—</w:t>
      </w:r>
      <w:r w:rsidRPr="00C52882">
        <w:rPr>
          <w:rFonts w:cstheme="majorBidi"/>
          <w:szCs w:val="24"/>
        </w:rPr>
        <w:t>a hollow</w:t>
      </w:r>
      <w:r>
        <w:rPr>
          <w:rFonts w:cstheme="majorBidi"/>
          <w:szCs w:val="24"/>
        </w:rPr>
        <w:t xml:space="preserve"> </w:t>
      </w:r>
      <w:r w:rsidRPr="00C52882">
        <w:rPr>
          <w:rFonts w:cstheme="majorBidi"/>
          <w:szCs w:val="24"/>
        </w:rPr>
        <w:t>commitment</w:t>
      </w:r>
      <w:r w:rsidR="00BA4366">
        <w:rPr>
          <w:rFonts w:cstheme="majorBidi"/>
          <w:szCs w:val="24"/>
        </w:rPr>
        <w:t>’</w:t>
      </w:r>
      <w:bookmarkStart w:id="15" w:name="_Ref206761826"/>
      <w:r w:rsidR="00107476">
        <w:rPr>
          <w:rFonts w:cstheme="majorBidi"/>
          <w:szCs w:val="24"/>
        </w:rPr>
        <w:t>.</w:t>
      </w:r>
      <w:r w:rsidR="00D54B01">
        <w:rPr>
          <w:rStyle w:val="FootnoteReference"/>
          <w:rFonts w:cstheme="majorBidi"/>
          <w:szCs w:val="24"/>
        </w:rPr>
        <w:footnoteReference w:id="73"/>
      </w:r>
      <w:bookmarkEnd w:id="15"/>
      <w:r w:rsidR="009C274F">
        <w:rPr>
          <w:rFonts w:cstheme="majorBidi"/>
          <w:szCs w:val="24"/>
        </w:rPr>
        <w:t xml:space="preserve"> Here, </w:t>
      </w:r>
      <w:r w:rsidR="00BA4366">
        <w:rPr>
          <w:rFonts w:cstheme="majorBidi"/>
          <w:szCs w:val="24"/>
        </w:rPr>
        <w:t>‘</w:t>
      </w:r>
      <w:r w:rsidR="009C274F">
        <w:rPr>
          <w:rFonts w:cstheme="majorBidi"/>
          <w:szCs w:val="24"/>
        </w:rPr>
        <w:t>performative law</w:t>
      </w:r>
      <w:r w:rsidR="00BA4366">
        <w:rPr>
          <w:rFonts w:cstheme="majorBidi"/>
          <w:szCs w:val="24"/>
        </w:rPr>
        <w:t>’</w:t>
      </w:r>
      <w:r w:rsidR="00265B1B">
        <w:rPr>
          <w:rFonts w:cstheme="majorBidi"/>
          <w:szCs w:val="24"/>
        </w:rPr>
        <w:t>—</w:t>
      </w:r>
      <w:r w:rsidR="009C274F">
        <w:rPr>
          <w:rFonts w:cstheme="majorBidi"/>
          <w:szCs w:val="24"/>
        </w:rPr>
        <w:t xml:space="preserve">legislation which is just </w:t>
      </w:r>
      <w:r w:rsidR="00BA4366">
        <w:rPr>
          <w:rFonts w:cstheme="majorBidi"/>
          <w:szCs w:val="24"/>
        </w:rPr>
        <w:t>‘</w:t>
      </w:r>
      <w:r w:rsidR="009C274F">
        <w:rPr>
          <w:rFonts w:cstheme="majorBidi"/>
          <w:szCs w:val="24"/>
        </w:rPr>
        <w:t>for show</w:t>
      </w:r>
      <w:r w:rsidR="00BA4366">
        <w:rPr>
          <w:rFonts w:cstheme="majorBidi"/>
          <w:szCs w:val="24"/>
        </w:rPr>
        <w:t>’</w:t>
      </w:r>
      <w:r w:rsidR="009C274F">
        <w:rPr>
          <w:rStyle w:val="FootnoteReference"/>
          <w:rFonts w:cstheme="majorBidi"/>
          <w:szCs w:val="24"/>
        </w:rPr>
        <w:footnoteReference w:id="74"/>
      </w:r>
      <w:r w:rsidR="00265B1B">
        <w:rPr>
          <w:rFonts w:cstheme="majorBidi"/>
          <w:szCs w:val="24"/>
        </w:rPr>
        <w:t>—</w:t>
      </w:r>
      <w:r w:rsidR="008E61DC">
        <w:rPr>
          <w:rFonts w:cstheme="majorBidi"/>
          <w:szCs w:val="24"/>
        </w:rPr>
        <w:t xml:space="preserve">mixes </w:t>
      </w:r>
      <w:r w:rsidR="00BA4366">
        <w:rPr>
          <w:rFonts w:cstheme="majorBidi"/>
          <w:szCs w:val="24"/>
        </w:rPr>
        <w:t>‘</w:t>
      </w:r>
      <w:r w:rsidR="008E61DC">
        <w:rPr>
          <w:rFonts w:cstheme="majorBidi"/>
          <w:szCs w:val="24"/>
        </w:rPr>
        <w:t>symbolic gesture</w:t>
      </w:r>
      <w:r w:rsidR="00BA4366">
        <w:rPr>
          <w:rFonts w:cstheme="majorBidi"/>
          <w:szCs w:val="24"/>
        </w:rPr>
        <w:t>’</w:t>
      </w:r>
      <w:r w:rsidR="008E61DC">
        <w:rPr>
          <w:rFonts w:cstheme="majorBidi"/>
          <w:szCs w:val="24"/>
        </w:rPr>
        <w:t xml:space="preserve"> with a </w:t>
      </w:r>
      <w:r w:rsidR="00BA4366">
        <w:rPr>
          <w:rFonts w:cstheme="majorBidi"/>
          <w:szCs w:val="24"/>
        </w:rPr>
        <w:t>‘</w:t>
      </w:r>
      <w:r w:rsidR="008E61DC">
        <w:rPr>
          <w:rFonts w:cstheme="majorBidi"/>
          <w:szCs w:val="24"/>
        </w:rPr>
        <w:t>lack of substantive action</w:t>
      </w:r>
      <w:r w:rsidR="00BA4366">
        <w:rPr>
          <w:rFonts w:cstheme="majorBidi"/>
          <w:szCs w:val="24"/>
        </w:rPr>
        <w:t>’</w:t>
      </w:r>
      <w:r w:rsidR="009F2BB3">
        <w:rPr>
          <w:rFonts w:cstheme="majorBidi"/>
          <w:szCs w:val="24"/>
        </w:rPr>
        <w:t>, echoing Feldman</w:t>
      </w:r>
      <w:r w:rsidR="00BA4366">
        <w:rPr>
          <w:rFonts w:cstheme="majorBidi"/>
          <w:szCs w:val="24"/>
        </w:rPr>
        <w:t>’</w:t>
      </w:r>
      <w:r w:rsidR="009F2BB3">
        <w:rPr>
          <w:rFonts w:cstheme="majorBidi"/>
          <w:szCs w:val="24"/>
        </w:rPr>
        <w:t xml:space="preserve">s work on </w:t>
      </w:r>
      <w:r w:rsidR="00BA4366">
        <w:rPr>
          <w:rFonts w:cstheme="majorBidi"/>
          <w:szCs w:val="24"/>
        </w:rPr>
        <w:t>‘</w:t>
      </w:r>
      <w:r w:rsidR="009F2BB3">
        <w:rPr>
          <w:rFonts w:cstheme="majorBidi"/>
          <w:szCs w:val="24"/>
        </w:rPr>
        <w:t>law containing no law</w:t>
      </w:r>
      <w:r w:rsidR="00BA4366">
        <w:rPr>
          <w:rFonts w:cstheme="majorBidi"/>
          <w:szCs w:val="24"/>
        </w:rPr>
        <w:t>’</w:t>
      </w:r>
      <w:r w:rsidR="002D55B4">
        <w:rPr>
          <w:rFonts w:cstheme="majorBidi"/>
          <w:szCs w:val="24"/>
        </w:rPr>
        <w:t xml:space="preserve"> and </w:t>
      </w:r>
      <w:r w:rsidR="009A5D2C">
        <w:rPr>
          <w:rFonts w:cstheme="majorBidi"/>
          <w:szCs w:val="24"/>
        </w:rPr>
        <w:t xml:space="preserve">research </w:t>
      </w:r>
      <w:r w:rsidR="002D55B4">
        <w:rPr>
          <w:rFonts w:cstheme="majorBidi"/>
          <w:szCs w:val="24"/>
        </w:rPr>
        <w:t xml:space="preserve">outside of legal scholarship on </w:t>
      </w:r>
      <w:r w:rsidR="00BA4366">
        <w:rPr>
          <w:rFonts w:cstheme="majorBidi"/>
          <w:szCs w:val="24"/>
        </w:rPr>
        <w:t>‘</w:t>
      </w:r>
      <w:r w:rsidR="002D55B4" w:rsidRPr="00C52882">
        <w:rPr>
          <w:rFonts w:cstheme="majorBidi"/>
          <w:szCs w:val="24"/>
        </w:rPr>
        <w:t>signalling</w:t>
      </w:r>
      <w:r w:rsidR="00BA4366">
        <w:rPr>
          <w:rFonts w:cstheme="majorBidi"/>
          <w:szCs w:val="24"/>
        </w:rPr>
        <w:t>’</w:t>
      </w:r>
      <w:r w:rsidR="002D55B4" w:rsidRPr="00C52882">
        <w:rPr>
          <w:rFonts w:cstheme="majorBidi"/>
          <w:szCs w:val="24"/>
        </w:rPr>
        <w:t xml:space="preserve">, </w:t>
      </w:r>
      <w:r w:rsidR="00BA4366">
        <w:rPr>
          <w:rFonts w:cstheme="majorBidi"/>
          <w:szCs w:val="24"/>
        </w:rPr>
        <w:t>‘</w:t>
      </w:r>
      <w:r w:rsidR="002D55B4" w:rsidRPr="00C52882">
        <w:rPr>
          <w:rFonts w:cstheme="majorBidi"/>
          <w:szCs w:val="24"/>
        </w:rPr>
        <w:t>credit-claiming</w:t>
      </w:r>
      <w:r w:rsidR="00BA4366">
        <w:rPr>
          <w:rFonts w:cstheme="majorBidi"/>
          <w:szCs w:val="24"/>
        </w:rPr>
        <w:t>’</w:t>
      </w:r>
      <w:r w:rsidR="002D55B4" w:rsidRPr="00C52882">
        <w:rPr>
          <w:rFonts w:cstheme="majorBidi"/>
          <w:szCs w:val="24"/>
        </w:rPr>
        <w:t xml:space="preserve"> and </w:t>
      </w:r>
      <w:r w:rsidR="00BA4366">
        <w:rPr>
          <w:rFonts w:cstheme="majorBidi"/>
          <w:szCs w:val="24"/>
        </w:rPr>
        <w:t>‘</w:t>
      </w:r>
      <w:r w:rsidR="002D55B4" w:rsidRPr="00C52882">
        <w:rPr>
          <w:rFonts w:cstheme="majorBidi"/>
          <w:szCs w:val="24"/>
        </w:rPr>
        <w:t>public relations</w:t>
      </w:r>
      <w:r w:rsidR="00BA4366">
        <w:rPr>
          <w:rFonts w:cstheme="majorBidi"/>
          <w:szCs w:val="24"/>
        </w:rPr>
        <w:t>’</w:t>
      </w:r>
      <w:r w:rsidR="002D55B4">
        <w:rPr>
          <w:rFonts w:cstheme="majorBidi"/>
          <w:szCs w:val="24"/>
        </w:rPr>
        <w:t>.</w:t>
      </w:r>
      <w:r w:rsidR="008E61DC">
        <w:rPr>
          <w:rStyle w:val="FootnoteReference"/>
          <w:rFonts w:cstheme="majorBidi"/>
          <w:szCs w:val="24"/>
        </w:rPr>
        <w:footnoteReference w:id="75"/>
      </w:r>
      <w:r w:rsidR="00F62596">
        <w:rPr>
          <w:rFonts w:cstheme="majorBidi"/>
          <w:szCs w:val="24"/>
        </w:rPr>
        <w:t xml:space="preserve"> </w:t>
      </w:r>
      <w:r w:rsidR="001F007E">
        <w:rPr>
          <w:rFonts w:cstheme="majorBidi"/>
          <w:szCs w:val="24"/>
        </w:rPr>
        <w:t>However, the argume</w:t>
      </w:r>
      <w:r w:rsidR="001F007E" w:rsidRPr="00127FED">
        <w:t>nt in t</w:t>
      </w:r>
      <w:r w:rsidR="00BA4366" w:rsidRPr="00127FED">
        <w:t>his article</w:t>
      </w:r>
      <w:r w:rsidR="001F007E" w:rsidRPr="00127FED">
        <w:t xml:space="preserve"> is in many </w:t>
      </w:r>
      <w:r w:rsidR="001F007E">
        <w:rPr>
          <w:rFonts w:cstheme="majorBidi"/>
          <w:szCs w:val="24"/>
        </w:rPr>
        <w:t>respects a narrower one: I seek to demonstrate how</w:t>
      </w:r>
      <w:r w:rsidR="001F007E" w:rsidRPr="007C7BB9">
        <w:rPr>
          <w:rFonts w:ascii="Times New Roman" w:eastAsia="Times New Roman" w:hAnsi="Times New Roman" w:cs="Times New Roman"/>
          <w:color w:val="000000" w:themeColor="text1"/>
          <w:szCs w:val="24"/>
          <w:lang w:eastAsia="en-GB"/>
        </w:rPr>
        <w:t xml:space="preserve"> key </w:t>
      </w:r>
      <w:r w:rsidR="00961CE8">
        <w:rPr>
          <w:rFonts w:ascii="Times New Roman" w:eastAsia="Times New Roman" w:hAnsi="Times New Roman" w:cs="Times New Roman"/>
          <w:color w:val="000000" w:themeColor="text1"/>
          <w:szCs w:val="24"/>
          <w:lang w:eastAsia="en-GB"/>
        </w:rPr>
        <w:t>criticisms of</w:t>
      </w:r>
      <w:r w:rsidR="001F007E" w:rsidRPr="007C7BB9">
        <w:rPr>
          <w:rFonts w:ascii="Times New Roman" w:eastAsia="Times New Roman" w:hAnsi="Times New Roman" w:cs="Times New Roman"/>
          <w:color w:val="000000" w:themeColor="text1"/>
          <w:szCs w:val="24"/>
          <w:lang w:eastAsia="en-GB"/>
        </w:rPr>
        <w:t xml:space="preserve"> reflexive law align with</w:t>
      </w:r>
      <w:r w:rsidR="00961CE8">
        <w:rPr>
          <w:rFonts w:ascii="Times New Roman" w:eastAsia="Times New Roman" w:hAnsi="Times New Roman" w:cs="Times New Roman"/>
          <w:color w:val="000000" w:themeColor="text1"/>
          <w:szCs w:val="24"/>
          <w:lang w:eastAsia="en-GB"/>
        </w:rPr>
        <w:t xml:space="preserve"> well-established</w:t>
      </w:r>
      <w:r w:rsidR="001F007E" w:rsidRPr="007C7BB9">
        <w:rPr>
          <w:rFonts w:ascii="Times New Roman" w:eastAsia="Times New Roman" w:hAnsi="Times New Roman" w:cs="Times New Roman"/>
          <w:color w:val="000000" w:themeColor="text1"/>
          <w:szCs w:val="24"/>
          <w:lang w:eastAsia="en-GB"/>
        </w:rPr>
        <w:t xml:space="preserve"> blame avoidance strategie</w:t>
      </w:r>
      <w:r w:rsidR="00EA1E08">
        <w:rPr>
          <w:rFonts w:ascii="Times New Roman" w:eastAsia="Times New Roman" w:hAnsi="Times New Roman" w:cs="Times New Roman"/>
          <w:color w:val="000000" w:themeColor="text1"/>
          <w:szCs w:val="24"/>
          <w:lang w:eastAsia="en-GB"/>
        </w:rPr>
        <w:t>s, regardless of whether they</w:t>
      </w:r>
      <w:r w:rsidR="00C72208">
        <w:rPr>
          <w:rFonts w:ascii="Times New Roman" w:eastAsia="Times New Roman" w:hAnsi="Times New Roman" w:cs="Times New Roman"/>
          <w:color w:val="000000" w:themeColor="text1"/>
          <w:szCs w:val="24"/>
          <w:lang w:eastAsia="en-GB"/>
        </w:rPr>
        <w:t xml:space="preserve"> may also echo arguments</w:t>
      </w:r>
      <w:r w:rsidR="00EA1E08">
        <w:rPr>
          <w:rFonts w:ascii="Times New Roman" w:eastAsia="Times New Roman" w:hAnsi="Times New Roman" w:cs="Times New Roman"/>
          <w:color w:val="000000" w:themeColor="text1"/>
          <w:szCs w:val="24"/>
          <w:lang w:eastAsia="en-GB"/>
        </w:rPr>
        <w:t xml:space="preserve"> </w:t>
      </w:r>
      <w:r w:rsidR="00C72208">
        <w:rPr>
          <w:rFonts w:ascii="Times New Roman" w:eastAsia="Times New Roman" w:hAnsi="Times New Roman" w:cs="Times New Roman"/>
          <w:color w:val="000000" w:themeColor="text1"/>
          <w:szCs w:val="24"/>
          <w:lang w:eastAsia="en-GB"/>
        </w:rPr>
        <w:t>surrounding</w:t>
      </w:r>
      <w:r w:rsidR="00EA1E08">
        <w:rPr>
          <w:rFonts w:ascii="Times New Roman" w:eastAsia="Times New Roman" w:hAnsi="Times New Roman" w:cs="Times New Roman"/>
          <w:color w:val="000000" w:themeColor="text1"/>
          <w:szCs w:val="24"/>
          <w:lang w:eastAsia="en-GB"/>
        </w:rPr>
        <w:t xml:space="preserve"> </w:t>
      </w:r>
      <w:r w:rsidR="00BA4366">
        <w:rPr>
          <w:rFonts w:ascii="Times New Roman" w:eastAsia="Times New Roman" w:hAnsi="Times New Roman" w:cs="Times New Roman"/>
          <w:color w:val="000000" w:themeColor="text1"/>
          <w:szCs w:val="24"/>
          <w:lang w:eastAsia="en-GB"/>
        </w:rPr>
        <w:t>‘</w:t>
      </w:r>
      <w:r w:rsidR="00EA1E08">
        <w:rPr>
          <w:rFonts w:ascii="Times New Roman" w:eastAsia="Times New Roman" w:hAnsi="Times New Roman" w:cs="Times New Roman"/>
          <w:color w:val="000000" w:themeColor="text1"/>
          <w:szCs w:val="24"/>
          <w:lang w:eastAsia="en-GB"/>
        </w:rPr>
        <w:t>performative law</w:t>
      </w:r>
      <w:r w:rsidR="00BA4366">
        <w:rPr>
          <w:rFonts w:ascii="Times New Roman" w:eastAsia="Times New Roman" w:hAnsi="Times New Roman" w:cs="Times New Roman"/>
          <w:color w:val="000000" w:themeColor="text1"/>
          <w:szCs w:val="24"/>
          <w:lang w:eastAsia="en-GB"/>
        </w:rPr>
        <w:t>’</w:t>
      </w:r>
      <w:r w:rsidR="00EA1E08">
        <w:rPr>
          <w:rFonts w:ascii="Times New Roman" w:eastAsia="Times New Roman" w:hAnsi="Times New Roman" w:cs="Times New Roman"/>
          <w:color w:val="000000" w:themeColor="text1"/>
          <w:szCs w:val="24"/>
          <w:lang w:eastAsia="en-GB"/>
        </w:rPr>
        <w:t xml:space="preserve"> too.</w:t>
      </w:r>
      <w:r w:rsidR="00EA1E08">
        <w:rPr>
          <w:rStyle w:val="FootnoteReference"/>
          <w:rFonts w:ascii="Times New Roman" w:eastAsia="Times New Roman" w:hAnsi="Times New Roman" w:cs="Times New Roman"/>
          <w:color w:val="000000" w:themeColor="text1"/>
          <w:szCs w:val="24"/>
          <w:lang w:eastAsia="en-GB"/>
        </w:rPr>
        <w:footnoteReference w:id="76"/>
      </w:r>
    </w:p>
    <w:p w14:paraId="08C659D7" w14:textId="581207BD" w:rsidR="00992F62" w:rsidRDefault="00746589" w:rsidP="00BA2D09">
      <w:pPr>
        <w:rPr>
          <w:rFonts w:ascii="Times New Roman" w:eastAsia="Times New Roman" w:hAnsi="Times New Roman" w:cs="Times New Roman"/>
          <w:color w:val="000000" w:themeColor="text1"/>
          <w:szCs w:val="24"/>
          <w:lang w:eastAsia="en-GB"/>
        </w:rPr>
      </w:pPr>
      <w:r>
        <w:rPr>
          <w:rFonts w:ascii="Times New Roman" w:eastAsia="Times New Roman" w:hAnsi="Times New Roman" w:cs="Times New Roman"/>
          <w:color w:val="000000" w:themeColor="text1"/>
          <w:szCs w:val="24"/>
          <w:lang w:eastAsia="en-GB"/>
        </w:rPr>
        <w:t xml:space="preserve">Table </w:t>
      </w:r>
      <w:r w:rsidR="00127FED">
        <w:rPr>
          <w:rFonts w:ascii="Times New Roman" w:eastAsia="Times New Roman" w:hAnsi="Times New Roman" w:cs="Times New Roman"/>
          <w:color w:val="000000" w:themeColor="text1"/>
          <w:szCs w:val="24"/>
          <w:lang w:eastAsia="en-GB"/>
        </w:rPr>
        <w:t>1</w:t>
      </w:r>
      <w:r>
        <w:rPr>
          <w:rFonts w:ascii="Times New Roman" w:eastAsia="Times New Roman" w:hAnsi="Times New Roman" w:cs="Times New Roman"/>
          <w:color w:val="000000" w:themeColor="text1"/>
          <w:szCs w:val="24"/>
          <w:lang w:eastAsia="en-GB"/>
        </w:rPr>
        <w:t xml:space="preserve"> provides a summary of the </w:t>
      </w:r>
      <w:r w:rsidR="00425B69">
        <w:rPr>
          <w:rFonts w:ascii="Times New Roman" w:eastAsia="Times New Roman" w:hAnsi="Times New Roman" w:cs="Times New Roman"/>
          <w:color w:val="000000" w:themeColor="text1"/>
          <w:szCs w:val="24"/>
          <w:lang w:eastAsia="en-GB"/>
        </w:rPr>
        <w:t>overlaps between criticisms of th</w:t>
      </w:r>
      <w:r w:rsidR="00425B69" w:rsidRPr="00BA2D09">
        <w:t xml:space="preserve">e </w:t>
      </w:r>
      <w:r w:rsidR="000A3BAD" w:rsidRPr="00127FED">
        <w:t>socio-economic duty</w:t>
      </w:r>
      <w:r w:rsidR="00425B69" w:rsidRPr="00BA2D09">
        <w:t xml:space="preserve"> </w:t>
      </w:r>
      <w:r w:rsidR="00425B69">
        <w:rPr>
          <w:rFonts w:ascii="Times New Roman" w:eastAsia="Times New Roman" w:hAnsi="Times New Roman" w:cs="Times New Roman"/>
          <w:color w:val="000000" w:themeColor="text1"/>
          <w:szCs w:val="24"/>
          <w:lang w:eastAsia="en-GB"/>
        </w:rPr>
        <w:t>and blame avoidance theory explored throughout this section</w:t>
      </w:r>
      <w:r>
        <w:rPr>
          <w:rFonts w:ascii="Times New Roman" w:eastAsia="Times New Roman" w:hAnsi="Times New Roman" w:cs="Times New Roman"/>
          <w:color w:val="000000" w:themeColor="text1"/>
          <w:szCs w:val="24"/>
          <w:lang w:eastAsia="en-GB"/>
        </w:rPr>
        <w:t>.</w:t>
      </w:r>
      <w:r w:rsidR="00992F62">
        <w:rPr>
          <w:rFonts w:ascii="Times New Roman" w:eastAsia="Times New Roman" w:hAnsi="Times New Roman" w:cs="Times New Roman"/>
          <w:color w:val="000000" w:themeColor="text1"/>
          <w:szCs w:val="24"/>
          <w:lang w:eastAsia="en-GB"/>
        </w:rPr>
        <w:t xml:space="preserve"> The first column details a key feature in the design of </w:t>
      </w:r>
      <w:r w:rsidR="00BA4366">
        <w:rPr>
          <w:rFonts w:ascii="Times New Roman" w:eastAsia="Times New Roman" w:hAnsi="Times New Roman" w:cs="Times New Roman"/>
          <w:color w:val="000000" w:themeColor="text1"/>
          <w:szCs w:val="24"/>
          <w:lang w:eastAsia="en-GB"/>
        </w:rPr>
        <w:t>‘</w:t>
      </w:r>
      <w:r w:rsidR="00992F62">
        <w:rPr>
          <w:rFonts w:ascii="Times New Roman" w:eastAsia="Times New Roman" w:hAnsi="Times New Roman" w:cs="Times New Roman"/>
          <w:color w:val="000000" w:themeColor="text1"/>
          <w:szCs w:val="24"/>
          <w:lang w:eastAsia="en-GB"/>
        </w:rPr>
        <w:t>socio-economic duty</w:t>
      </w:r>
      <w:r w:rsidR="00BA4366">
        <w:rPr>
          <w:rFonts w:ascii="Times New Roman" w:eastAsia="Times New Roman" w:hAnsi="Times New Roman" w:cs="Times New Roman"/>
          <w:color w:val="000000" w:themeColor="text1"/>
          <w:szCs w:val="24"/>
          <w:lang w:eastAsia="en-GB"/>
        </w:rPr>
        <w:t>’</w:t>
      </w:r>
      <w:r w:rsidR="00992F62">
        <w:rPr>
          <w:rFonts w:ascii="Times New Roman" w:eastAsia="Times New Roman" w:hAnsi="Times New Roman" w:cs="Times New Roman"/>
          <w:color w:val="000000" w:themeColor="text1"/>
          <w:szCs w:val="24"/>
          <w:lang w:eastAsia="en-GB"/>
        </w:rPr>
        <w:t xml:space="preserve"> outlined above, with the second and third </w:t>
      </w:r>
      <w:r w:rsidR="00127FED">
        <w:rPr>
          <w:rFonts w:ascii="Times New Roman" w:eastAsia="Times New Roman" w:hAnsi="Times New Roman" w:cs="Times New Roman"/>
          <w:color w:val="000000" w:themeColor="text1"/>
          <w:szCs w:val="24"/>
          <w:lang w:eastAsia="en-GB"/>
        </w:rPr>
        <w:t xml:space="preserve">columns </w:t>
      </w:r>
      <w:r w:rsidR="00992F62">
        <w:rPr>
          <w:rFonts w:ascii="Times New Roman" w:eastAsia="Times New Roman" w:hAnsi="Times New Roman" w:cs="Times New Roman"/>
          <w:color w:val="000000" w:themeColor="text1"/>
          <w:szCs w:val="24"/>
          <w:lang w:eastAsia="en-GB"/>
        </w:rPr>
        <w:t xml:space="preserve">detailing how it maps onto respective reflexive law </w:t>
      </w:r>
      <w:r>
        <w:rPr>
          <w:rFonts w:ascii="Times New Roman" w:eastAsia="Times New Roman" w:hAnsi="Times New Roman" w:cs="Times New Roman"/>
          <w:color w:val="000000" w:themeColor="text1"/>
          <w:szCs w:val="24"/>
          <w:lang w:eastAsia="en-GB"/>
        </w:rPr>
        <w:t xml:space="preserve">strategies </w:t>
      </w:r>
      <w:r w:rsidR="00992F62">
        <w:rPr>
          <w:rFonts w:ascii="Times New Roman" w:eastAsia="Times New Roman" w:hAnsi="Times New Roman" w:cs="Times New Roman"/>
          <w:color w:val="000000" w:themeColor="text1"/>
          <w:szCs w:val="24"/>
          <w:lang w:eastAsia="en-GB"/>
        </w:rPr>
        <w:t xml:space="preserve">and blame avoidance </w:t>
      </w:r>
      <w:r>
        <w:rPr>
          <w:rFonts w:ascii="Times New Roman" w:eastAsia="Times New Roman" w:hAnsi="Times New Roman" w:cs="Times New Roman"/>
          <w:color w:val="000000" w:themeColor="text1"/>
          <w:szCs w:val="24"/>
          <w:lang w:eastAsia="en-GB"/>
        </w:rPr>
        <w:t xml:space="preserve">critiques </w:t>
      </w:r>
      <w:r w:rsidR="00127FED">
        <w:rPr>
          <w:rFonts w:ascii="Times New Roman" w:eastAsia="Times New Roman" w:hAnsi="Times New Roman" w:cs="Times New Roman"/>
          <w:color w:val="000000" w:themeColor="text1"/>
          <w:szCs w:val="24"/>
          <w:lang w:eastAsia="en-GB"/>
        </w:rPr>
        <w:t>respectively</w:t>
      </w:r>
      <w:r w:rsidR="00992F62">
        <w:rPr>
          <w:rFonts w:ascii="Times New Roman" w:eastAsia="Times New Roman" w:hAnsi="Times New Roman" w:cs="Times New Roman"/>
          <w:color w:val="000000" w:themeColor="text1"/>
          <w:szCs w:val="24"/>
          <w:lang w:eastAsia="en-GB"/>
        </w:rPr>
        <w:t>. In the same spirit as Hood</w:t>
      </w:r>
      <w:r w:rsidR="00BA4366">
        <w:rPr>
          <w:rFonts w:ascii="Times New Roman" w:eastAsia="Times New Roman" w:hAnsi="Times New Roman" w:cs="Times New Roman"/>
          <w:color w:val="000000" w:themeColor="text1"/>
          <w:szCs w:val="24"/>
          <w:lang w:eastAsia="en-GB"/>
        </w:rPr>
        <w:t>’</w:t>
      </w:r>
      <w:r w:rsidR="00992F62">
        <w:rPr>
          <w:rFonts w:ascii="Times New Roman" w:eastAsia="Times New Roman" w:hAnsi="Times New Roman" w:cs="Times New Roman"/>
          <w:color w:val="000000" w:themeColor="text1"/>
          <w:szCs w:val="24"/>
          <w:lang w:eastAsia="en-GB"/>
        </w:rPr>
        <w:t xml:space="preserve">s summaries of </w:t>
      </w:r>
      <w:r w:rsidR="007E44FF">
        <w:rPr>
          <w:rFonts w:ascii="Times New Roman" w:eastAsia="Times New Roman" w:hAnsi="Times New Roman" w:cs="Times New Roman"/>
          <w:color w:val="000000" w:themeColor="text1"/>
          <w:szCs w:val="24"/>
          <w:lang w:eastAsia="en-GB"/>
        </w:rPr>
        <w:t xml:space="preserve">ideas in the blame </w:t>
      </w:r>
      <w:r w:rsidR="007E44FF">
        <w:rPr>
          <w:rFonts w:ascii="Times New Roman" w:eastAsia="Times New Roman" w:hAnsi="Times New Roman" w:cs="Times New Roman"/>
          <w:color w:val="000000" w:themeColor="text1"/>
          <w:szCs w:val="24"/>
          <w:lang w:eastAsia="en-GB"/>
        </w:rPr>
        <w:lastRenderedPageBreak/>
        <w:t>avoidance literature</w:t>
      </w:r>
      <w:r w:rsidR="00992F62">
        <w:rPr>
          <w:rFonts w:ascii="Times New Roman" w:eastAsia="Times New Roman" w:hAnsi="Times New Roman" w:cs="Times New Roman"/>
          <w:color w:val="000000" w:themeColor="text1"/>
          <w:szCs w:val="24"/>
          <w:lang w:eastAsia="en-GB"/>
        </w:rPr>
        <w:t xml:space="preserve">, these columns set out the term generally used to describe the strategy, alongside a characterisation of its </w:t>
      </w:r>
      <w:r w:rsidR="00BA4366">
        <w:rPr>
          <w:rFonts w:ascii="Times New Roman" w:eastAsia="Times New Roman" w:hAnsi="Times New Roman" w:cs="Times New Roman"/>
          <w:color w:val="000000" w:themeColor="text1"/>
          <w:szCs w:val="24"/>
          <w:lang w:eastAsia="en-GB"/>
        </w:rPr>
        <w:t>‘</w:t>
      </w:r>
      <w:r w:rsidR="00992F62">
        <w:rPr>
          <w:rFonts w:ascii="Times New Roman" w:eastAsia="Times New Roman" w:hAnsi="Times New Roman" w:cs="Times New Roman"/>
          <w:color w:val="000000" w:themeColor="text1"/>
          <w:szCs w:val="24"/>
          <w:lang w:eastAsia="en-GB"/>
        </w:rPr>
        <w:t>motto</w:t>
      </w:r>
      <w:r w:rsidR="00BA4366">
        <w:rPr>
          <w:rFonts w:ascii="Times New Roman" w:eastAsia="Times New Roman" w:hAnsi="Times New Roman" w:cs="Times New Roman"/>
          <w:color w:val="000000" w:themeColor="text1"/>
          <w:szCs w:val="24"/>
          <w:lang w:eastAsia="en-GB"/>
        </w:rPr>
        <w:t>’</w:t>
      </w:r>
      <w:r w:rsidR="00992F62">
        <w:rPr>
          <w:rFonts w:ascii="Times New Roman" w:eastAsia="Times New Roman" w:hAnsi="Times New Roman" w:cs="Times New Roman"/>
          <w:color w:val="000000" w:themeColor="text1"/>
          <w:szCs w:val="24"/>
          <w:lang w:eastAsia="en-GB"/>
        </w:rPr>
        <w:t>: a snappier summary of its meaning.</w:t>
      </w:r>
      <w:r w:rsidR="00992F62">
        <w:rPr>
          <w:rStyle w:val="FootnoteReference"/>
          <w:rFonts w:ascii="Times New Roman" w:eastAsia="Times New Roman" w:hAnsi="Times New Roman" w:cs="Times New Roman"/>
          <w:color w:val="000000" w:themeColor="text1"/>
          <w:szCs w:val="24"/>
          <w:lang w:eastAsia="en-GB"/>
        </w:rPr>
        <w:footnoteReference w:id="77"/>
      </w:r>
      <w:r w:rsidR="00992F62">
        <w:rPr>
          <w:rFonts w:ascii="Times New Roman" w:eastAsia="Times New Roman" w:hAnsi="Times New Roman" w:cs="Times New Roman"/>
          <w:color w:val="000000" w:themeColor="text1"/>
          <w:szCs w:val="24"/>
          <w:lang w:eastAsia="en-GB"/>
        </w:rPr>
        <w:t xml:space="preserve"> I </w:t>
      </w:r>
      <w:r w:rsidR="00127FED">
        <w:rPr>
          <w:rFonts w:ascii="Times New Roman" w:eastAsia="Times New Roman" w:hAnsi="Times New Roman" w:cs="Times New Roman"/>
          <w:color w:val="000000" w:themeColor="text1"/>
          <w:szCs w:val="24"/>
          <w:lang w:eastAsia="en-GB"/>
        </w:rPr>
        <w:t>assess</w:t>
      </w:r>
      <w:r w:rsidR="00220D65">
        <w:rPr>
          <w:rFonts w:ascii="Times New Roman" w:eastAsia="Times New Roman" w:hAnsi="Times New Roman" w:cs="Times New Roman"/>
          <w:color w:val="000000" w:themeColor="text1"/>
          <w:szCs w:val="24"/>
          <w:lang w:eastAsia="en-GB"/>
        </w:rPr>
        <w:t xml:space="preserve"> each strategy </w:t>
      </w:r>
      <w:r w:rsidR="00127FED">
        <w:rPr>
          <w:rFonts w:ascii="Times New Roman" w:eastAsia="Times New Roman" w:hAnsi="Times New Roman" w:cs="Times New Roman"/>
          <w:color w:val="000000" w:themeColor="text1"/>
          <w:szCs w:val="24"/>
          <w:lang w:eastAsia="en-GB"/>
        </w:rPr>
        <w:t xml:space="preserve">in turn </w:t>
      </w:r>
      <w:r w:rsidR="00220D65">
        <w:rPr>
          <w:rFonts w:ascii="Times New Roman" w:eastAsia="Times New Roman" w:hAnsi="Times New Roman" w:cs="Times New Roman"/>
          <w:color w:val="000000" w:themeColor="text1"/>
          <w:szCs w:val="24"/>
          <w:lang w:eastAsia="en-GB"/>
        </w:rPr>
        <w:t>below.</w:t>
      </w:r>
    </w:p>
    <w:p w14:paraId="0D4F5C36" w14:textId="77777777" w:rsidR="00D10B29" w:rsidRDefault="00D10B29" w:rsidP="00BA4366">
      <w:pPr>
        <w:rPr>
          <w:rFonts w:ascii="Times New Roman" w:eastAsia="Times New Roman" w:hAnsi="Times New Roman" w:cs="Times New Roman"/>
          <w:color w:val="000000" w:themeColor="text1"/>
          <w:szCs w:val="24"/>
          <w:lang w:eastAsia="en-GB"/>
        </w:rPr>
      </w:pPr>
      <w:r>
        <w:rPr>
          <w:rFonts w:ascii="Times New Roman" w:eastAsia="Times New Roman" w:hAnsi="Times New Roman" w:cs="Times New Roman"/>
          <w:color w:val="000000" w:themeColor="text1"/>
          <w:szCs w:val="24"/>
          <w:lang w:eastAsia="en-GB"/>
        </w:rPr>
        <w:br w:type="page"/>
      </w:r>
    </w:p>
    <w:p w14:paraId="6A79F19A" w14:textId="46BFC07E" w:rsidR="001B7659" w:rsidRPr="00BA2D09" w:rsidRDefault="001B7659" w:rsidP="00BA2D09">
      <w:pPr>
        <w:pStyle w:val="Caption"/>
        <w:rPr>
          <w:b/>
        </w:rPr>
      </w:pPr>
      <w:r w:rsidRPr="00BA2D09">
        <w:rPr>
          <w:b/>
        </w:rPr>
        <w:lastRenderedPageBreak/>
        <w:t xml:space="preserve">Table </w:t>
      </w:r>
      <w:r w:rsidR="002D7E66" w:rsidRPr="0002070E">
        <w:rPr>
          <w:b/>
          <w:bCs/>
          <w:lang w:eastAsia="en-GB"/>
        </w:rPr>
        <w:t>1.</w:t>
      </w:r>
      <w:r w:rsidRPr="00BA2D09">
        <w:rPr>
          <w:b/>
        </w:rPr>
        <w:t xml:space="preserve"> A characterisation of reflexive law </w:t>
      </w:r>
      <w:r w:rsidR="006E374A" w:rsidRPr="00BA2D09">
        <w:rPr>
          <w:b/>
        </w:rPr>
        <w:t xml:space="preserve">strategies </w:t>
      </w:r>
      <w:r w:rsidRPr="00BA2D09">
        <w:rPr>
          <w:b/>
        </w:rPr>
        <w:t xml:space="preserve">and blame avoidance </w:t>
      </w:r>
      <w:r w:rsidR="00992F62" w:rsidRPr="00BA2D09">
        <w:rPr>
          <w:b/>
        </w:rPr>
        <w:t xml:space="preserve">critique </w:t>
      </w:r>
      <w:r w:rsidRPr="00BA2D09">
        <w:rPr>
          <w:b/>
        </w:rPr>
        <w:t>as applied to the socio-economic duty</w:t>
      </w:r>
    </w:p>
    <w:tbl>
      <w:tblPr>
        <w:tblStyle w:val="TableGrid"/>
        <w:tblW w:w="0" w:type="auto"/>
        <w:tblLook w:val="04A0" w:firstRow="1" w:lastRow="0" w:firstColumn="1" w:lastColumn="0" w:noHBand="0" w:noVBand="1"/>
      </w:tblPr>
      <w:tblGrid>
        <w:gridCol w:w="2689"/>
        <w:gridCol w:w="3118"/>
        <w:gridCol w:w="3209"/>
      </w:tblGrid>
      <w:tr w:rsidR="001B7659" w:rsidRPr="007C7BB9" w14:paraId="61B556FB" w14:textId="77777777" w:rsidTr="00DA4F1F">
        <w:tc>
          <w:tcPr>
            <w:tcW w:w="2689" w:type="dxa"/>
            <w:shd w:val="clear" w:color="auto" w:fill="D9D9D9" w:themeFill="background1" w:themeFillShade="D9"/>
            <w:vAlign w:val="center"/>
          </w:tcPr>
          <w:p w14:paraId="63369768" w14:textId="77777777" w:rsidR="001B7659" w:rsidRPr="00344401" w:rsidRDefault="001B7659" w:rsidP="00BA2D09">
            <w:pPr>
              <w:jc w:val="center"/>
              <w:rPr>
                <w:rFonts w:ascii="Times New Roman" w:eastAsia="Times New Roman" w:hAnsi="Times New Roman" w:cs="Times New Roman"/>
                <w:b/>
                <w:bCs/>
                <w:color w:val="000000" w:themeColor="text1"/>
                <w:szCs w:val="24"/>
                <w:lang w:eastAsia="en-GB"/>
              </w:rPr>
            </w:pPr>
            <w:r w:rsidRPr="00344401">
              <w:rPr>
                <w:rFonts w:ascii="Times New Roman" w:eastAsia="Times New Roman" w:hAnsi="Times New Roman" w:cs="Times New Roman"/>
                <w:b/>
                <w:bCs/>
                <w:color w:val="000000" w:themeColor="text1"/>
                <w:szCs w:val="24"/>
                <w:lang w:eastAsia="en-GB"/>
              </w:rPr>
              <w:t>Socio-economic duty</w:t>
            </w:r>
          </w:p>
        </w:tc>
        <w:tc>
          <w:tcPr>
            <w:tcW w:w="3118" w:type="dxa"/>
            <w:shd w:val="clear" w:color="auto" w:fill="D9D9D9" w:themeFill="background1" w:themeFillShade="D9"/>
            <w:vAlign w:val="center"/>
          </w:tcPr>
          <w:p w14:paraId="405B514A" w14:textId="77777777" w:rsidR="001B7659" w:rsidRPr="00344401" w:rsidRDefault="001B7659" w:rsidP="00BA2D09">
            <w:pPr>
              <w:jc w:val="center"/>
              <w:rPr>
                <w:rFonts w:ascii="Times New Roman" w:eastAsia="Times New Roman" w:hAnsi="Times New Roman" w:cs="Times New Roman"/>
                <w:b/>
                <w:bCs/>
                <w:color w:val="000000" w:themeColor="text1"/>
                <w:szCs w:val="24"/>
                <w:lang w:eastAsia="en-GB"/>
              </w:rPr>
            </w:pPr>
            <w:r w:rsidRPr="00344401">
              <w:rPr>
                <w:rFonts w:ascii="Times New Roman" w:eastAsia="Times New Roman" w:hAnsi="Times New Roman" w:cs="Times New Roman"/>
                <w:b/>
                <w:bCs/>
                <w:color w:val="000000" w:themeColor="text1"/>
                <w:szCs w:val="24"/>
                <w:lang w:eastAsia="en-GB"/>
              </w:rPr>
              <w:t>Reflexive law strategy</w:t>
            </w:r>
          </w:p>
        </w:tc>
        <w:tc>
          <w:tcPr>
            <w:tcW w:w="3209" w:type="dxa"/>
            <w:shd w:val="clear" w:color="auto" w:fill="D9D9D9" w:themeFill="background1" w:themeFillShade="D9"/>
            <w:vAlign w:val="center"/>
          </w:tcPr>
          <w:p w14:paraId="0A4A5BED" w14:textId="1A340183" w:rsidR="001B7659" w:rsidRPr="00344401" w:rsidRDefault="001B7659" w:rsidP="00BA2D09">
            <w:pPr>
              <w:jc w:val="center"/>
              <w:rPr>
                <w:rFonts w:ascii="Times New Roman" w:eastAsia="Times New Roman" w:hAnsi="Times New Roman" w:cs="Times New Roman"/>
                <w:b/>
                <w:bCs/>
                <w:color w:val="000000" w:themeColor="text1"/>
                <w:szCs w:val="24"/>
                <w:lang w:eastAsia="en-GB"/>
              </w:rPr>
            </w:pPr>
            <w:r w:rsidRPr="00344401">
              <w:rPr>
                <w:rFonts w:ascii="Times New Roman" w:eastAsia="Times New Roman" w:hAnsi="Times New Roman" w:cs="Times New Roman"/>
                <w:b/>
                <w:bCs/>
                <w:color w:val="000000" w:themeColor="text1"/>
                <w:szCs w:val="24"/>
                <w:lang w:eastAsia="en-GB"/>
              </w:rPr>
              <w:t xml:space="preserve">Blame avoidance </w:t>
            </w:r>
            <w:r w:rsidR="00992F62">
              <w:rPr>
                <w:rFonts w:ascii="Times New Roman" w:eastAsia="Times New Roman" w:hAnsi="Times New Roman" w:cs="Times New Roman"/>
                <w:b/>
                <w:bCs/>
                <w:color w:val="000000" w:themeColor="text1"/>
                <w:szCs w:val="24"/>
                <w:lang w:eastAsia="en-GB"/>
              </w:rPr>
              <w:t>critique</w:t>
            </w:r>
          </w:p>
        </w:tc>
      </w:tr>
      <w:tr w:rsidR="001B7659" w:rsidRPr="007C7BB9" w14:paraId="022BC49A" w14:textId="77777777" w:rsidTr="00DA4F1F">
        <w:tc>
          <w:tcPr>
            <w:tcW w:w="2689" w:type="dxa"/>
            <w:shd w:val="clear" w:color="auto" w:fill="F2F2F2" w:themeFill="background1" w:themeFillShade="F2"/>
            <w:vAlign w:val="center"/>
          </w:tcPr>
          <w:p w14:paraId="04D6CAC1" w14:textId="561B8CC3" w:rsidR="001B7659" w:rsidRPr="007C7BB9" w:rsidRDefault="00BA4366" w:rsidP="00BA2D09">
            <w:pPr>
              <w:jc w:val="center"/>
              <w:rPr>
                <w:rFonts w:ascii="Times New Roman" w:eastAsia="Times New Roman" w:hAnsi="Times New Roman" w:cs="Times New Roman"/>
                <w:color w:val="000000" w:themeColor="text1"/>
                <w:szCs w:val="24"/>
                <w:lang w:eastAsia="en-GB"/>
              </w:rPr>
            </w:pPr>
            <w:r>
              <w:rPr>
                <w:rFonts w:ascii="Times New Roman" w:eastAsia="Times New Roman" w:hAnsi="Times New Roman" w:cs="Times New Roman"/>
                <w:color w:val="000000" w:themeColor="text1"/>
                <w:szCs w:val="24"/>
                <w:lang w:eastAsia="en-GB"/>
              </w:rPr>
              <w:t>‘</w:t>
            </w:r>
            <w:r w:rsidR="001B7659" w:rsidRPr="007C7BB9">
              <w:rPr>
                <w:rFonts w:ascii="Times New Roman" w:eastAsia="Times New Roman" w:hAnsi="Times New Roman" w:cs="Times New Roman"/>
                <w:color w:val="000000" w:themeColor="text1"/>
                <w:szCs w:val="24"/>
                <w:lang w:eastAsia="en-GB"/>
              </w:rPr>
              <w:t>Due regard</w:t>
            </w:r>
            <w:r>
              <w:rPr>
                <w:rFonts w:ascii="Times New Roman" w:eastAsia="Times New Roman" w:hAnsi="Times New Roman" w:cs="Times New Roman"/>
                <w:color w:val="000000" w:themeColor="text1"/>
                <w:szCs w:val="24"/>
                <w:lang w:eastAsia="en-GB"/>
              </w:rPr>
              <w:t>’</w:t>
            </w:r>
            <w:r w:rsidR="001B7659" w:rsidRPr="007C7BB9">
              <w:rPr>
                <w:rFonts w:ascii="Times New Roman" w:eastAsia="Times New Roman" w:hAnsi="Times New Roman" w:cs="Times New Roman"/>
                <w:color w:val="000000" w:themeColor="text1"/>
                <w:szCs w:val="24"/>
                <w:lang w:eastAsia="en-GB"/>
              </w:rPr>
              <w:t xml:space="preserve"> formulation</w:t>
            </w:r>
          </w:p>
        </w:tc>
        <w:tc>
          <w:tcPr>
            <w:tcW w:w="3118" w:type="dxa"/>
            <w:vAlign w:val="center"/>
          </w:tcPr>
          <w:p w14:paraId="34C45878" w14:textId="77777777" w:rsidR="00BA4366" w:rsidRPr="00127FED" w:rsidRDefault="001B7659" w:rsidP="00BA2D09">
            <w:pPr>
              <w:spacing w:after="0"/>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Procedural stimulus</w:t>
            </w:r>
          </w:p>
          <w:p w14:paraId="64304F85" w14:textId="53DE768C" w:rsidR="001B7659" w:rsidRPr="00127FED" w:rsidRDefault="001B7659" w:rsidP="00BA2D09">
            <w:pPr>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 xml:space="preserve">Motto: </w:t>
            </w:r>
            <w:r w:rsidR="00BA4366" w:rsidRPr="00127FED">
              <w:rPr>
                <w:rFonts w:ascii="Times New Roman" w:eastAsia="Times New Roman" w:hAnsi="Times New Roman" w:cs="Times New Roman"/>
                <w:color w:val="000000" w:themeColor="text1"/>
                <w:szCs w:val="24"/>
                <w:lang w:eastAsia="en-GB"/>
              </w:rPr>
              <w:t>‘</w:t>
            </w:r>
            <w:r w:rsidRPr="00BA2D09">
              <w:rPr>
                <w:rFonts w:ascii="Times New Roman" w:hAnsi="Times New Roman"/>
                <w:color w:val="000000" w:themeColor="text1"/>
              </w:rPr>
              <w:t>Stimulate rather than dictate</w:t>
            </w:r>
            <w:r w:rsidR="00BA4366" w:rsidRPr="00BA2D09">
              <w:rPr>
                <w:rFonts w:ascii="Times New Roman" w:hAnsi="Times New Roman"/>
                <w:color w:val="000000" w:themeColor="text1"/>
              </w:rPr>
              <w:t>’</w:t>
            </w:r>
          </w:p>
        </w:tc>
        <w:tc>
          <w:tcPr>
            <w:tcW w:w="3209" w:type="dxa"/>
            <w:vAlign w:val="center"/>
          </w:tcPr>
          <w:p w14:paraId="127D7F1B" w14:textId="45486BA7" w:rsidR="00BA4366" w:rsidRPr="00127FED" w:rsidRDefault="001B7659" w:rsidP="00BA2D09">
            <w:pPr>
              <w:spacing w:after="0"/>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Delegation of responsibility (</w:t>
            </w:r>
            <w:r w:rsidR="00BA4366" w:rsidRPr="00127FED">
              <w:rPr>
                <w:rFonts w:ascii="Times New Roman" w:eastAsia="Times New Roman" w:hAnsi="Times New Roman" w:cs="Times New Roman"/>
                <w:color w:val="000000" w:themeColor="text1"/>
                <w:szCs w:val="24"/>
                <w:lang w:eastAsia="en-GB"/>
              </w:rPr>
              <w:t>‘</w:t>
            </w:r>
            <w:r w:rsidR="00127FED" w:rsidRPr="00127FED">
              <w:rPr>
                <w:rFonts w:ascii="Times New Roman" w:eastAsia="Times New Roman" w:hAnsi="Times New Roman" w:cs="Times New Roman"/>
                <w:color w:val="000000" w:themeColor="text1"/>
                <w:szCs w:val="24"/>
                <w:lang w:eastAsia="en-GB"/>
              </w:rPr>
              <w:t xml:space="preserve">agency’ </w:t>
            </w:r>
            <w:r w:rsidRPr="00127FED">
              <w:rPr>
                <w:rFonts w:ascii="Times New Roman" w:eastAsia="Times New Roman" w:hAnsi="Times New Roman" w:cs="Times New Roman"/>
                <w:color w:val="000000" w:themeColor="text1"/>
                <w:szCs w:val="24"/>
                <w:lang w:eastAsia="en-GB"/>
              </w:rPr>
              <w:t>strategy)</w:t>
            </w:r>
          </w:p>
          <w:p w14:paraId="597F429F" w14:textId="36B2A599" w:rsidR="001B7659" w:rsidRPr="00127FED" w:rsidRDefault="001B7659" w:rsidP="00BA2D09">
            <w:pPr>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 xml:space="preserve">Motto: </w:t>
            </w:r>
            <w:r w:rsidR="00BA4366" w:rsidRPr="00127FED">
              <w:rPr>
                <w:rFonts w:ascii="Times New Roman" w:eastAsia="Times New Roman" w:hAnsi="Times New Roman" w:cs="Times New Roman"/>
                <w:color w:val="000000" w:themeColor="text1"/>
                <w:szCs w:val="24"/>
                <w:lang w:eastAsia="en-GB"/>
              </w:rPr>
              <w:t>‘</w:t>
            </w:r>
            <w:r w:rsidRPr="00BA2D09">
              <w:rPr>
                <w:rFonts w:ascii="Times New Roman" w:hAnsi="Times New Roman"/>
                <w:color w:val="000000" w:themeColor="text1"/>
              </w:rPr>
              <w:t>Not my problem</w:t>
            </w:r>
            <w:r w:rsidR="00BA4366" w:rsidRPr="00BA2D09">
              <w:rPr>
                <w:rFonts w:ascii="Times New Roman" w:hAnsi="Times New Roman"/>
                <w:color w:val="000000" w:themeColor="text1"/>
              </w:rPr>
              <w:t>’</w:t>
            </w:r>
          </w:p>
        </w:tc>
      </w:tr>
      <w:tr w:rsidR="001B7659" w:rsidRPr="007C7BB9" w14:paraId="29392646" w14:textId="77777777" w:rsidTr="00DA4F1F">
        <w:tc>
          <w:tcPr>
            <w:tcW w:w="2689" w:type="dxa"/>
            <w:shd w:val="clear" w:color="auto" w:fill="F2F2F2" w:themeFill="background1" w:themeFillShade="F2"/>
            <w:vAlign w:val="center"/>
          </w:tcPr>
          <w:p w14:paraId="6421FE91" w14:textId="77777777" w:rsidR="001B7659" w:rsidRPr="007C7BB9" w:rsidRDefault="001B7659" w:rsidP="00BA2D09">
            <w:pPr>
              <w:jc w:val="center"/>
              <w:rPr>
                <w:rFonts w:ascii="Times New Roman" w:eastAsia="Times New Roman" w:hAnsi="Times New Roman" w:cs="Times New Roman"/>
                <w:color w:val="000000" w:themeColor="text1"/>
                <w:szCs w:val="24"/>
                <w:lang w:eastAsia="en-GB"/>
              </w:rPr>
            </w:pPr>
            <w:r w:rsidRPr="007C7BB9">
              <w:rPr>
                <w:rFonts w:ascii="Times New Roman" w:eastAsia="Times New Roman" w:hAnsi="Times New Roman" w:cs="Times New Roman"/>
                <w:color w:val="000000" w:themeColor="text1"/>
                <w:szCs w:val="24"/>
                <w:lang w:eastAsia="en-GB"/>
              </w:rPr>
              <w:t>Use of impact assessments</w:t>
            </w:r>
          </w:p>
        </w:tc>
        <w:tc>
          <w:tcPr>
            <w:tcW w:w="3118" w:type="dxa"/>
            <w:vAlign w:val="center"/>
          </w:tcPr>
          <w:p w14:paraId="5900DA1F" w14:textId="77777777" w:rsidR="00BA4366" w:rsidRPr="00127FED" w:rsidRDefault="001B7659" w:rsidP="00BA2D09">
            <w:pPr>
              <w:spacing w:after="0"/>
              <w:jc w:val="center"/>
              <w:rPr>
                <w:rFonts w:ascii="Times New Roman" w:eastAsia="Times New Roman" w:hAnsi="Times New Roman" w:cs="Times New Roman"/>
                <w:bCs/>
                <w:color w:val="000000" w:themeColor="text1"/>
                <w:szCs w:val="24"/>
                <w:lang w:eastAsia="en-GB"/>
              </w:rPr>
            </w:pPr>
            <w:r w:rsidRPr="00127FED">
              <w:rPr>
                <w:rFonts w:ascii="Times New Roman" w:hAnsi="Times New Roman" w:cs="Times New Roman"/>
                <w:bCs/>
              </w:rPr>
              <w:t>Synchronising difference reduction</w:t>
            </w:r>
          </w:p>
          <w:p w14:paraId="2F3F2586" w14:textId="01DC97F6" w:rsidR="001B7659" w:rsidRPr="00127FED" w:rsidRDefault="001B7659" w:rsidP="00BA2D09">
            <w:pPr>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 xml:space="preserve">Motto: </w:t>
            </w:r>
            <w:r w:rsidR="00BA4366" w:rsidRPr="00127FED">
              <w:rPr>
                <w:rFonts w:ascii="Times New Roman" w:eastAsia="Times New Roman" w:hAnsi="Times New Roman" w:cs="Times New Roman"/>
                <w:color w:val="000000" w:themeColor="text1"/>
                <w:szCs w:val="24"/>
                <w:lang w:eastAsia="en-GB"/>
              </w:rPr>
              <w:t>‘</w:t>
            </w:r>
            <w:r w:rsidRPr="00BA2D09">
              <w:rPr>
                <w:rFonts w:ascii="Times New Roman" w:hAnsi="Times New Roman"/>
                <w:color w:val="000000" w:themeColor="text1"/>
              </w:rPr>
              <w:t>Enable self-steering</w:t>
            </w:r>
            <w:r w:rsidR="00BA4366" w:rsidRPr="00BA2D09">
              <w:rPr>
                <w:rFonts w:ascii="Times New Roman" w:hAnsi="Times New Roman"/>
                <w:color w:val="000000" w:themeColor="text1"/>
              </w:rPr>
              <w:t>’</w:t>
            </w:r>
          </w:p>
        </w:tc>
        <w:tc>
          <w:tcPr>
            <w:tcW w:w="3209" w:type="dxa"/>
            <w:vAlign w:val="center"/>
          </w:tcPr>
          <w:p w14:paraId="33757203" w14:textId="498D696F" w:rsidR="00BA4366" w:rsidRPr="00127FED" w:rsidRDefault="000F39D2" w:rsidP="00BA2D09">
            <w:pPr>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Defensive p</w:t>
            </w:r>
            <w:r w:rsidR="001B7659" w:rsidRPr="00127FED">
              <w:rPr>
                <w:rFonts w:ascii="Times New Roman" w:eastAsia="Times New Roman" w:hAnsi="Times New Roman" w:cs="Times New Roman"/>
                <w:color w:val="000000" w:themeColor="text1"/>
                <w:szCs w:val="24"/>
                <w:lang w:eastAsia="en-GB"/>
              </w:rPr>
              <w:t>rotocolisation</w:t>
            </w:r>
            <w:r w:rsidR="00127FED">
              <w:rPr>
                <w:rFonts w:ascii="Times New Roman" w:eastAsia="Times New Roman" w:hAnsi="Times New Roman" w:cs="Times New Roman"/>
                <w:color w:val="000000" w:themeColor="text1"/>
                <w:szCs w:val="24"/>
                <w:lang w:eastAsia="en-GB"/>
              </w:rPr>
              <w:t xml:space="preserve"> </w:t>
            </w:r>
            <w:r w:rsidR="001B7659" w:rsidRPr="00127FED">
              <w:rPr>
                <w:rFonts w:ascii="Times New Roman" w:eastAsia="Times New Roman" w:hAnsi="Times New Roman" w:cs="Times New Roman"/>
                <w:color w:val="000000" w:themeColor="text1"/>
                <w:szCs w:val="24"/>
                <w:lang w:eastAsia="en-GB"/>
              </w:rPr>
              <w:t>(</w:t>
            </w:r>
            <w:r w:rsidR="00BA4366" w:rsidRPr="00127FED">
              <w:rPr>
                <w:rFonts w:ascii="Times New Roman" w:eastAsia="Times New Roman" w:hAnsi="Times New Roman" w:cs="Times New Roman"/>
                <w:color w:val="000000" w:themeColor="text1"/>
                <w:szCs w:val="24"/>
                <w:lang w:eastAsia="en-GB"/>
              </w:rPr>
              <w:t>‘</w:t>
            </w:r>
            <w:r w:rsidR="00127FED" w:rsidRPr="00127FED">
              <w:rPr>
                <w:rFonts w:ascii="Times New Roman" w:eastAsia="Times New Roman" w:hAnsi="Times New Roman" w:cs="Times New Roman"/>
                <w:color w:val="000000" w:themeColor="text1"/>
                <w:szCs w:val="24"/>
                <w:lang w:eastAsia="en-GB"/>
              </w:rPr>
              <w:t xml:space="preserve">policy’ </w:t>
            </w:r>
            <w:r w:rsidR="001B7659" w:rsidRPr="00127FED">
              <w:rPr>
                <w:rFonts w:ascii="Times New Roman" w:eastAsia="Times New Roman" w:hAnsi="Times New Roman" w:cs="Times New Roman"/>
                <w:color w:val="000000" w:themeColor="text1"/>
                <w:szCs w:val="24"/>
                <w:lang w:eastAsia="en-GB"/>
              </w:rPr>
              <w:t>strategy)</w:t>
            </w:r>
          </w:p>
          <w:p w14:paraId="3284BC50" w14:textId="0C21A9DB" w:rsidR="001B7659" w:rsidRPr="00127FED" w:rsidRDefault="001B7659" w:rsidP="00BA2D09">
            <w:pPr>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 xml:space="preserve">Motto: </w:t>
            </w:r>
            <w:r w:rsidR="00BA4366" w:rsidRPr="00127FED">
              <w:rPr>
                <w:rFonts w:ascii="Times New Roman" w:eastAsia="Times New Roman" w:hAnsi="Times New Roman" w:cs="Times New Roman"/>
                <w:color w:val="000000" w:themeColor="text1"/>
                <w:szCs w:val="24"/>
                <w:lang w:eastAsia="en-GB"/>
              </w:rPr>
              <w:t>‘</w:t>
            </w:r>
            <w:r w:rsidRPr="00BA2D09">
              <w:rPr>
                <w:rFonts w:ascii="Times New Roman" w:hAnsi="Times New Roman"/>
                <w:color w:val="000000" w:themeColor="text1"/>
              </w:rPr>
              <w:t>We followed procedure</w:t>
            </w:r>
            <w:r w:rsidR="00BA4366" w:rsidRPr="00BA2D09">
              <w:rPr>
                <w:rFonts w:ascii="Times New Roman" w:hAnsi="Times New Roman"/>
                <w:color w:val="000000" w:themeColor="text1"/>
              </w:rPr>
              <w:t>’</w:t>
            </w:r>
          </w:p>
        </w:tc>
      </w:tr>
      <w:tr w:rsidR="001B7659" w:rsidRPr="007C7BB9" w14:paraId="741004AD" w14:textId="77777777" w:rsidTr="00DA4F1F">
        <w:tc>
          <w:tcPr>
            <w:tcW w:w="2689" w:type="dxa"/>
            <w:shd w:val="clear" w:color="auto" w:fill="F2F2F2" w:themeFill="background1" w:themeFillShade="F2"/>
            <w:vAlign w:val="center"/>
          </w:tcPr>
          <w:p w14:paraId="107E23C6" w14:textId="77777777" w:rsidR="001B7659" w:rsidRPr="007C7BB9" w:rsidRDefault="001B7659" w:rsidP="00BA2D09">
            <w:pPr>
              <w:jc w:val="center"/>
              <w:rPr>
                <w:rFonts w:ascii="Times New Roman" w:eastAsia="Times New Roman" w:hAnsi="Times New Roman" w:cs="Times New Roman"/>
                <w:color w:val="000000" w:themeColor="text1"/>
                <w:szCs w:val="24"/>
                <w:lang w:eastAsia="en-GB"/>
              </w:rPr>
            </w:pPr>
            <w:r w:rsidRPr="007C7BB9">
              <w:rPr>
                <w:rFonts w:ascii="Times New Roman" w:eastAsia="Times New Roman" w:hAnsi="Times New Roman" w:cs="Times New Roman"/>
                <w:color w:val="000000" w:themeColor="text1"/>
                <w:szCs w:val="24"/>
                <w:lang w:eastAsia="en-GB"/>
              </w:rPr>
              <w:t>Emphasis on stakeholder engagement</w:t>
            </w:r>
          </w:p>
        </w:tc>
        <w:tc>
          <w:tcPr>
            <w:tcW w:w="3118" w:type="dxa"/>
            <w:vAlign w:val="center"/>
          </w:tcPr>
          <w:p w14:paraId="1262DD80" w14:textId="77777777" w:rsidR="00BA4366" w:rsidRPr="00127FED" w:rsidRDefault="001B7659" w:rsidP="00BA2D09">
            <w:pPr>
              <w:spacing w:after="0"/>
              <w:jc w:val="center"/>
              <w:rPr>
                <w:rFonts w:ascii="Times New Roman" w:eastAsia="Times New Roman" w:hAnsi="Times New Roman" w:cs="Times New Roman"/>
                <w:color w:val="000000" w:themeColor="text1"/>
                <w:szCs w:val="24"/>
                <w:lang w:val="it-IT" w:eastAsia="en-GB"/>
              </w:rPr>
            </w:pPr>
            <w:proofErr w:type="spellStart"/>
            <w:r w:rsidRPr="00127FED">
              <w:rPr>
                <w:rFonts w:ascii="Times New Roman" w:eastAsia="Times New Roman" w:hAnsi="Times New Roman" w:cs="Times New Roman"/>
                <w:color w:val="000000" w:themeColor="text1"/>
                <w:szCs w:val="24"/>
                <w:lang w:val="it-IT" w:eastAsia="en-GB"/>
              </w:rPr>
              <w:t>Deliberation</w:t>
            </w:r>
            <w:proofErr w:type="spellEnd"/>
          </w:p>
          <w:p w14:paraId="67AA99E4" w14:textId="019BEB33" w:rsidR="001B7659" w:rsidRPr="00127FED" w:rsidRDefault="001B7659" w:rsidP="00BA2D09">
            <w:pPr>
              <w:jc w:val="center"/>
              <w:rPr>
                <w:rFonts w:ascii="Times New Roman" w:eastAsia="Times New Roman" w:hAnsi="Times New Roman" w:cs="Times New Roman"/>
                <w:color w:val="000000" w:themeColor="text1"/>
                <w:szCs w:val="24"/>
                <w:lang w:val="it-IT" w:eastAsia="en-GB"/>
              </w:rPr>
            </w:pPr>
            <w:r w:rsidRPr="00127FED">
              <w:rPr>
                <w:rFonts w:ascii="Times New Roman" w:eastAsia="Times New Roman" w:hAnsi="Times New Roman" w:cs="Times New Roman"/>
                <w:color w:val="000000" w:themeColor="text1"/>
                <w:szCs w:val="24"/>
                <w:lang w:val="it-IT" w:eastAsia="en-GB"/>
              </w:rPr>
              <w:t xml:space="preserve">Motto: </w:t>
            </w:r>
            <w:r w:rsidR="00BA4366" w:rsidRPr="00127FED">
              <w:rPr>
                <w:rFonts w:ascii="Times New Roman" w:eastAsia="Times New Roman" w:hAnsi="Times New Roman" w:cs="Times New Roman"/>
                <w:color w:val="000000" w:themeColor="text1"/>
                <w:szCs w:val="24"/>
                <w:lang w:val="it-IT" w:eastAsia="en-GB"/>
              </w:rPr>
              <w:t>‘</w:t>
            </w:r>
            <w:r w:rsidRPr="00BA2D09">
              <w:rPr>
                <w:rFonts w:ascii="Times New Roman" w:hAnsi="Times New Roman"/>
                <w:color w:val="000000" w:themeColor="text1"/>
                <w:lang w:val="it-IT"/>
              </w:rPr>
              <w:t>Co-produce consensus</w:t>
            </w:r>
            <w:r w:rsidR="00BA4366" w:rsidRPr="00BA2D09">
              <w:rPr>
                <w:rFonts w:ascii="Times New Roman" w:hAnsi="Times New Roman"/>
                <w:color w:val="000000" w:themeColor="text1"/>
                <w:lang w:val="it-IT"/>
              </w:rPr>
              <w:t>’</w:t>
            </w:r>
          </w:p>
        </w:tc>
        <w:tc>
          <w:tcPr>
            <w:tcW w:w="3209" w:type="dxa"/>
            <w:vAlign w:val="center"/>
          </w:tcPr>
          <w:p w14:paraId="7FB398F9" w14:textId="77777777" w:rsidR="00BA4366" w:rsidRPr="00127FED" w:rsidRDefault="001B7659" w:rsidP="00BA2D09">
            <w:pPr>
              <w:spacing w:after="0"/>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Diffusion by engagement</w:t>
            </w:r>
          </w:p>
          <w:p w14:paraId="01A6B8E6" w14:textId="4EC68C1B" w:rsidR="001B7659" w:rsidRPr="00127FED" w:rsidRDefault="001B7659" w:rsidP="00BA2D09">
            <w:pPr>
              <w:jc w:val="center"/>
              <w:rPr>
                <w:rFonts w:ascii="Times New Roman" w:eastAsia="Times New Roman" w:hAnsi="Times New Roman" w:cs="Times New Roman"/>
                <w:color w:val="000000" w:themeColor="text1"/>
                <w:szCs w:val="24"/>
                <w:lang w:eastAsia="en-GB"/>
              </w:rPr>
            </w:pPr>
            <w:r w:rsidRPr="00127FED">
              <w:rPr>
                <w:rFonts w:ascii="Times New Roman" w:eastAsia="Times New Roman" w:hAnsi="Times New Roman" w:cs="Times New Roman"/>
                <w:color w:val="000000" w:themeColor="text1"/>
                <w:szCs w:val="24"/>
                <w:lang w:eastAsia="en-GB"/>
              </w:rPr>
              <w:t xml:space="preserve">Motto: </w:t>
            </w:r>
            <w:r w:rsidR="00BA4366" w:rsidRPr="00127FED">
              <w:rPr>
                <w:rFonts w:ascii="Times New Roman" w:eastAsia="Times New Roman" w:hAnsi="Times New Roman" w:cs="Times New Roman"/>
                <w:color w:val="000000" w:themeColor="text1"/>
                <w:szCs w:val="24"/>
                <w:lang w:eastAsia="en-GB"/>
              </w:rPr>
              <w:t>‘</w:t>
            </w:r>
            <w:r w:rsidRPr="00BA2D09">
              <w:rPr>
                <w:rFonts w:ascii="Times New Roman" w:hAnsi="Times New Roman"/>
                <w:color w:val="000000" w:themeColor="text1"/>
              </w:rPr>
              <w:t>Death by discussion</w:t>
            </w:r>
            <w:r w:rsidR="00BA4366" w:rsidRPr="00BA2D09">
              <w:rPr>
                <w:rFonts w:ascii="Times New Roman" w:hAnsi="Times New Roman"/>
                <w:color w:val="000000" w:themeColor="text1"/>
              </w:rPr>
              <w:t>’</w:t>
            </w:r>
          </w:p>
        </w:tc>
      </w:tr>
    </w:tbl>
    <w:p w14:paraId="71476ACE" w14:textId="77777777" w:rsidR="001B7659" w:rsidRDefault="001B7659" w:rsidP="00BA2D09">
      <w:pPr>
        <w:rPr>
          <w:rFonts w:ascii="Times New Roman" w:eastAsia="Times New Roman" w:hAnsi="Times New Roman" w:cs="Times New Roman"/>
          <w:color w:val="000000" w:themeColor="text1"/>
          <w:szCs w:val="24"/>
          <w:lang w:eastAsia="en-GB"/>
        </w:rPr>
      </w:pPr>
    </w:p>
    <w:p w14:paraId="0A16765D" w14:textId="5112927A" w:rsidR="00992F62" w:rsidRPr="00BA2D09" w:rsidRDefault="00BA4366" w:rsidP="00BA2D09">
      <w:pPr>
        <w:pStyle w:val="Heading2"/>
      </w:pPr>
      <w:r w:rsidRPr="00BA2D09">
        <w:t>‘</w:t>
      </w:r>
      <w:r w:rsidR="00891B99" w:rsidRPr="00BA2D09">
        <w:t>Not</w:t>
      </w:r>
      <w:r w:rsidR="002D7E66" w:rsidRPr="00BA2D09">
        <w:t xml:space="preserve"> </w:t>
      </w:r>
      <w:r w:rsidR="002D7E66" w:rsidRPr="002D7E66">
        <w:rPr>
          <w:rFonts w:eastAsia="Times New Roman"/>
          <w:lang w:eastAsia="en-GB"/>
        </w:rPr>
        <w:t>My Proble</w:t>
      </w:r>
      <w:r w:rsidR="00891B99" w:rsidRPr="002D7E66">
        <w:rPr>
          <w:rFonts w:eastAsia="Times New Roman"/>
          <w:lang w:eastAsia="en-GB"/>
        </w:rPr>
        <w:t>m</w:t>
      </w:r>
      <w:r w:rsidRPr="002D7E66">
        <w:rPr>
          <w:rFonts w:eastAsia="Times New Roman"/>
          <w:lang w:eastAsia="en-GB"/>
        </w:rPr>
        <w:t>’</w:t>
      </w:r>
    </w:p>
    <w:p w14:paraId="0FC81122" w14:textId="667CE3A9" w:rsidR="00705BB7" w:rsidRPr="007C7BB9" w:rsidRDefault="0074139C" w:rsidP="00BA2D09">
      <w:pPr>
        <w:shd w:val="clear" w:color="auto" w:fill="FFFFFF"/>
        <w:spacing w:after="280"/>
        <w:ind w:right="-46"/>
        <w:rPr>
          <w:rFonts w:ascii="Times New Roman" w:hAnsi="Times New Roman" w:cs="Times New Roman"/>
          <w:szCs w:val="24"/>
        </w:rPr>
      </w:pPr>
      <w:r>
        <w:rPr>
          <w:rFonts w:ascii="Times New Roman" w:hAnsi="Times New Roman" w:cs="Times New Roman"/>
          <w:szCs w:val="24"/>
        </w:rPr>
        <w:t>Critiques of the reliance on</w:t>
      </w:r>
      <w:r w:rsidR="009B4DE5">
        <w:rPr>
          <w:rFonts w:ascii="Times New Roman" w:hAnsi="Times New Roman" w:cs="Times New Roman"/>
          <w:szCs w:val="24"/>
        </w:rPr>
        <w:t xml:space="preserve"> </w:t>
      </w:r>
      <w:r w:rsidR="00705BB7" w:rsidRPr="007C7BB9">
        <w:rPr>
          <w:rFonts w:ascii="Times New Roman" w:hAnsi="Times New Roman" w:cs="Times New Roman"/>
          <w:szCs w:val="24"/>
        </w:rPr>
        <w:t xml:space="preserve">procedural stimuli and broad definitional scope bear striking similarities to the range of </w:t>
      </w:r>
      <w:r w:rsidR="00BA4366">
        <w:rPr>
          <w:rFonts w:ascii="Times New Roman" w:hAnsi="Times New Roman" w:cs="Times New Roman"/>
          <w:szCs w:val="24"/>
        </w:rPr>
        <w:t>‘</w:t>
      </w:r>
      <w:r w:rsidR="00705BB7" w:rsidRPr="007C7BB9">
        <w:rPr>
          <w:rFonts w:ascii="Times New Roman" w:hAnsi="Times New Roman" w:cs="Times New Roman"/>
          <w:szCs w:val="24"/>
        </w:rPr>
        <w:t>agency strategies</w:t>
      </w:r>
      <w:r w:rsidR="00BA4366">
        <w:rPr>
          <w:rFonts w:ascii="Times New Roman" w:hAnsi="Times New Roman" w:cs="Times New Roman"/>
          <w:szCs w:val="24"/>
        </w:rPr>
        <w:t>’</w:t>
      </w:r>
      <w:r w:rsidR="00705BB7" w:rsidRPr="007C7BB9">
        <w:rPr>
          <w:rFonts w:ascii="Times New Roman" w:hAnsi="Times New Roman" w:cs="Times New Roman"/>
          <w:szCs w:val="24"/>
        </w:rPr>
        <w:t xml:space="preserve"> of blame avoidance set out by Hood and explored across the blame avoidance literature.</w:t>
      </w:r>
      <w:r w:rsidR="00705BB7" w:rsidRPr="007C7BB9">
        <w:rPr>
          <w:rStyle w:val="FootnoteReference"/>
          <w:rFonts w:ascii="Times New Roman" w:hAnsi="Times New Roman" w:cs="Times New Roman"/>
          <w:szCs w:val="24"/>
        </w:rPr>
        <w:footnoteReference w:id="78"/>
      </w:r>
      <w:r w:rsidR="00705BB7" w:rsidRPr="007C7BB9">
        <w:rPr>
          <w:rFonts w:ascii="Times New Roman" w:hAnsi="Times New Roman" w:cs="Times New Roman"/>
          <w:szCs w:val="24"/>
        </w:rPr>
        <w:t xml:space="preserve"> Agency strategies involve the deliberate structuring of responsibilities to minimise direct accountability for potentially controversial outcomes. Here, those seeking to avoid blame can arrange the </w:t>
      </w:r>
      <w:r w:rsidR="00BA4366">
        <w:rPr>
          <w:rFonts w:ascii="Times New Roman" w:hAnsi="Times New Roman" w:cs="Times New Roman"/>
          <w:szCs w:val="24"/>
        </w:rPr>
        <w:t>‘</w:t>
      </w:r>
      <w:r w:rsidR="00705BB7" w:rsidRPr="007C7BB9">
        <w:rPr>
          <w:rFonts w:ascii="Times New Roman" w:hAnsi="Times New Roman" w:cs="Times New Roman"/>
          <w:szCs w:val="24"/>
        </w:rPr>
        <w:t>bureaucratic architecture</w:t>
      </w:r>
      <w:r w:rsidR="00BA4366">
        <w:rPr>
          <w:rFonts w:ascii="Times New Roman" w:hAnsi="Times New Roman" w:cs="Times New Roman"/>
          <w:szCs w:val="24"/>
        </w:rPr>
        <w:t>’</w:t>
      </w:r>
      <w:r w:rsidR="00265B1B">
        <w:rPr>
          <w:rFonts w:ascii="Times New Roman" w:hAnsi="Times New Roman" w:cs="Times New Roman"/>
          <w:szCs w:val="24"/>
        </w:rPr>
        <w:t>—</w:t>
      </w:r>
      <w:r w:rsidR="00705BB7" w:rsidRPr="007C7BB9">
        <w:rPr>
          <w:rFonts w:ascii="Times New Roman" w:hAnsi="Times New Roman" w:cs="Times New Roman"/>
          <w:szCs w:val="24"/>
        </w:rPr>
        <w:t xml:space="preserve">the </w:t>
      </w:r>
      <w:r w:rsidR="00BA4366">
        <w:rPr>
          <w:rFonts w:ascii="Times New Roman" w:hAnsi="Times New Roman" w:cs="Times New Roman"/>
          <w:szCs w:val="24"/>
        </w:rPr>
        <w:t>‘</w:t>
      </w:r>
      <w:r w:rsidR="00705BB7" w:rsidRPr="007C7BB9">
        <w:rPr>
          <w:rFonts w:ascii="Times New Roman" w:hAnsi="Times New Roman" w:cs="Times New Roman"/>
          <w:szCs w:val="24"/>
        </w:rPr>
        <w:t>constitutional status and administrative structures</w:t>
      </w:r>
      <w:r w:rsidR="00BA4366">
        <w:rPr>
          <w:rFonts w:ascii="Times New Roman" w:hAnsi="Times New Roman" w:cs="Times New Roman"/>
          <w:szCs w:val="24"/>
        </w:rPr>
        <w:t>’</w:t>
      </w:r>
      <w:r w:rsidR="00265B1B">
        <w:rPr>
          <w:rFonts w:ascii="Times New Roman" w:hAnsi="Times New Roman" w:cs="Times New Roman"/>
          <w:szCs w:val="24"/>
        </w:rPr>
        <w:t>—</w:t>
      </w:r>
      <w:r w:rsidR="00705BB7" w:rsidRPr="007C7BB9">
        <w:rPr>
          <w:rFonts w:ascii="Times New Roman" w:hAnsi="Times New Roman" w:cs="Times New Roman"/>
          <w:szCs w:val="24"/>
        </w:rPr>
        <w:t>to either specify that someone else is to blame or obscure who is responsible for what.</w:t>
      </w:r>
      <w:r w:rsidR="00705BB7" w:rsidRPr="007C7BB9">
        <w:rPr>
          <w:rStyle w:val="FootnoteReference"/>
          <w:rFonts w:ascii="Times New Roman" w:hAnsi="Times New Roman" w:cs="Times New Roman"/>
          <w:szCs w:val="24"/>
        </w:rPr>
        <w:footnoteReference w:id="79"/>
      </w:r>
      <w:r w:rsidR="00705BB7" w:rsidRPr="007C7BB9">
        <w:rPr>
          <w:rFonts w:ascii="Times New Roman" w:hAnsi="Times New Roman" w:cs="Times New Roman"/>
          <w:szCs w:val="24"/>
        </w:rPr>
        <w:t xml:space="preserve"> This kind of agency strategy is characterised elsewhere simply as the </w:t>
      </w:r>
      <w:r w:rsidR="00BA4366">
        <w:rPr>
          <w:rFonts w:ascii="Times New Roman" w:hAnsi="Times New Roman" w:cs="Times New Roman"/>
          <w:szCs w:val="24"/>
        </w:rPr>
        <w:t>‘</w:t>
      </w:r>
      <w:r w:rsidR="00705BB7" w:rsidRPr="007C7BB9">
        <w:rPr>
          <w:rFonts w:ascii="Times New Roman" w:hAnsi="Times New Roman" w:cs="Times New Roman"/>
          <w:szCs w:val="24"/>
        </w:rPr>
        <w:t>pass the buck strategy</w:t>
      </w:r>
      <w:r w:rsidR="00BA4366">
        <w:rPr>
          <w:rFonts w:ascii="Times New Roman" w:hAnsi="Times New Roman" w:cs="Times New Roman"/>
          <w:szCs w:val="24"/>
        </w:rPr>
        <w:t>’</w:t>
      </w:r>
      <w:r w:rsidR="00705BB7" w:rsidRPr="007C7BB9">
        <w:rPr>
          <w:rFonts w:ascii="Times New Roman" w:hAnsi="Times New Roman" w:cs="Times New Roman"/>
          <w:szCs w:val="24"/>
        </w:rPr>
        <w:t xml:space="preserve">, where the blame shifter forces the blame </w:t>
      </w:r>
      <w:proofErr w:type="spellStart"/>
      <w:r w:rsidR="00705BB7" w:rsidRPr="007C7BB9">
        <w:rPr>
          <w:rFonts w:ascii="Times New Roman" w:hAnsi="Times New Roman" w:cs="Times New Roman"/>
          <w:szCs w:val="24"/>
        </w:rPr>
        <w:t>shiftee</w:t>
      </w:r>
      <w:proofErr w:type="spellEnd"/>
      <w:r w:rsidR="00705BB7" w:rsidRPr="007C7BB9">
        <w:rPr>
          <w:rFonts w:ascii="Times New Roman" w:hAnsi="Times New Roman" w:cs="Times New Roman"/>
          <w:szCs w:val="24"/>
        </w:rPr>
        <w:t xml:space="preserve"> to make </w:t>
      </w:r>
      <w:r w:rsidR="00BA4366">
        <w:rPr>
          <w:rFonts w:ascii="Times New Roman" w:hAnsi="Times New Roman" w:cs="Times New Roman"/>
          <w:szCs w:val="24"/>
        </w:rPr>
        <w:t>‘</w:t>
      </w:r>
      <w:r w:rsidR="00705BB7" w:rsidRPr="007C7BB9">
        <w:rPr>
          <w:rFonts w:ascii="Times New Roman" w:hAnsi="Times New Roman" w:cs="Times New Roman"/>
          <w:szCs w:val="24"/>
        </w:rPr>
        <w:t>politically costly</w:t>
      </w:r>
      <w:r w:rsidR="00BA4366">
        <w:rPr>
          <w:rFonts w:ascii="Times New Roman" w:hAnsi="Times New Roman" w:cs="Times New Roman"/>
          <w:szCs w:val="24"/>
        </w:rPr>
        <w:t>’</w:t>
      </w:r>
      <w:r w:rsidR="00705BB7" w:rsidRPr="007C7BB9">
        <w:rPr>
          <w:rFonts w:ascii="Times New Roman" w:hAnsi="Times New Roman" w:cs="Times New Roman"/>
          <w:szCs w:val="24"/>
        </w:rPr>
        <w:t xml:space="preserve"> choices for them.</w:t>
      </w:r>
      <w:r w:rsidR="00705BB7" w:rsidRPr="007C7BB9">
        <w:rPr>
          <w:rStyle w:val="FootnoteReference"/>
          <w:rFonts w:ascii="Times New Roman" w:hAnsi="Times New Roman" w:cs="Times New Roman"/>
          <w:szCs w:val="24"/>
        </w:rPr>
        <w:footnoteReference w:id="80"/>
      </w:r>
      <w:r w:rsidR="00705BB7" w:rsidRPr="007C7BB9">
        <w:rPr>
          <w:rFonts w:ascii="Times New Roman" w:hAnsi="Times New Roman" w:cs="Times New Roman"/>
          <w:szCs w:val="24"/>
        </w:rPr>
        <w:t xml:space="preserve"> </w:t>
      </w:r>
      <w:r w:rsidR="00B17314">
        <w:rPr>
          <w:rFonts w:ascii="Times New Roman" w:hAnsi="Times New Roman" w:cs="Times New Roman"/>
          <w:szCs w:val="24"/>
        </w:rPr>
        <w:t>Core to the design of</w:t>
      </w:r>
      <w:r w:rsidR="00705BB7" w:rsidRPr="007C7BB9">
        <w:rPr>
          <w:rFonts w:ascii="Times New Roman" w:hAnsi="Times New Roman" w:cs="Times New Roman"/>
          <w:szCs w:val="24"/>
        </w:rPr>
        <w:t xml:space="preserve"> reflexive regulation like the socio-economic duty</w:t>
      </w:r>
      <w:r w:rsidR="00D9086D">
        <w:rPr>
          <w:rFonts w:ascii="Times New Roman" w:hAnsi="Times New Roman" w:cs="Times New Roman"/>
          <w:szCs w:val="24"/>
        </w:rPr>
        <w:t xml:space="preserve"> is </w:t>
      </w:r>
      <w:r w:rsidR="00705BB7" w:rsidRPr="007C7BB9">
        <w:rPr>
          <w:rFonts w:ascii="Times New Roman" w:hAnsi="Times New Roman" w:cs="Times New Roman"/>
          <w:szCs w:val="24"/>
        </w:rPr>
        <w:t>central government delegat</w:t>
      </w:r>
      <w:r w:rsidR="00D9086D">
        <w:rPr>
          <w:rFonts w:ascii="Times New Roman" w:hAnsi="Times New Roman" w:cs="Times New Roman"/>
          <w:szCs w:val="24"/>
        </w:rPr>
        <w:t>ing</w:t>
      </w:r>
      <w:r w:rsidR="00705BB7" w:rsidRPr="007C7BB9">
        <w:rPr>
          <w:rFonts w:ascii="Times New Roman" w:hAnsi="Times New Roman" w:cs="Times New Roman"/>
          <w:szCs w:val="24"/>
        </w:rPr>
        <w:t xml:space="preserve"> both the interpretation of socio-economic disadvantage and the determination of appropriate responses to public bodies themselves.</w:t>
      </w:r>
    </w:p>
    <w:p w14:paraId="09460D36" w14:textId="7FE21DDB" w:rsidR="00705BB7" w:rsidRPr="007C7BB9" w:rsidRDefault="00705BB7" w:rsidP="00BA2D09">
      <w:pPr>
        <w:shd w:val="clear" w:color="auto" w:fill="FFFFFF"/>
        <w:spacing w:after="280"/>
        <w:ind w:right="-46"/>
        <w:rPr>
          <w:rFonts w:ascii="Times New Roman" w:eastAsia="Times New Roman" w:hAnsi="Times New Roman" w:cs="Times New Roman"/>
          <w:bCs/>
          <w:iCs/>
        </w:rPr>
      </w:pPr>
      <w:r w:rsidRPr="007C7BB9">
        <w:rPr>
          <w:rFonts w:ascii="Times New Roman" w:eastAsia="Times New Roman" w:hAnsi="Times New Roman" w:cs="Times New Roman"/>
          <w:bCs/>
          <w:iCs/>
        </w:rPr>
        <w:lastRenderedPageBreak/>
        <w:t>Much like the socio-economic duty, this kind of blame</w:t>
      </w:r>
      <w:r w:rsidR="00C32BD2">
        <w:rPr>
          <w:rFonts w:ascii="Times New Roman" w:eastAsia="Times New Roman" w:hAnsi="Times New Roman" w:cs="Times New Roman"/>
          <w:bCs/>
          <w:iCs/>
        </w:rPr>
        <w:t>-</w:t>
      </w:r>
      <w:r w:rsidRPr="007C7BB9">
        <w:rPr>
          <w:rFonts w:ascii="Times New Roman" w:eastAsia="Times New Roman" w:hAnsi="Times New Roman" w:cs="Times New Roman"/>
          <w:bCs/>
          <w:iCs/>
        </w:rPr>
        <w:t>avoid</w:t>
      </w:r>
      <w:r w:rsidR="00C32BD2">
        <w:rPr>
          <w:rFonts w:ascii="Times New Roman" w:eastAsia="Times New Roman" w:hAnsi="Times New Roman" w:cs="Times New Roman"/>
          <w:bCs/>
          <w:iCs/>
        </w:rPr>
        <w:t>ing</w:t>
      </w:r>
      <w:r w:rsidRPr="007C7BB9">
        <w:rPr>
          <w:rFonts w:ascii="Times New Roman" w:eastAsia="Times New Roman" w:hAnsi="Times New Roman" w:cs="Times New Roman"/>
          <w:bCs/>
          <w:iCs/>
        </w:rPr>
        <w:t xml:space="preserve"> strategy can operate across and between different tiers of </w:t>
      </w:r>
      <w:r w:rsidR="0093613D">
        <w:rPr>
          <w:rFonts w:ascii="Times New Roman" w:eastAsia="Times New Roman" w:hAnsi="Times New Roman" w:cs="Times New Roman"/>
          <w:bCs/>
          <w:iCs/>
        </w:rPr>
        <w:t>government</w:t>
      </w:r>
      <w:r w:rsidRPr="007C7BB9">
        <w:rPr>
          <w:rFonts w:ascii="Times New Roman" w:eastAsia="Times New Roman" w:hAnsi="Times New Roman" w:cs="Times New Roman"/>
          <w:bCs/>
          <w:iCs/>
        </w:rPr>
        <w:t xml:space="preserve">, described in the literature as a </w:t>
      </w:r>
      <w:r w:rsidR="00BA4366">
        <w:rPr>
          <w:rFonts w:ascii="Times New Roman" w:eastAsia="Times New Roman" w:hAnsi="Times New Roman" w:cs="Times New Roman"/>
          <w:bCs/>
          <w:iCs/>
        </w:rPr>
        <w:t>‘</w:t>
      </w:r>
      <w:r w:rsidRPr="007C7BB9">
        <w:rPr>
          <w:rFonts w:ascii="Times New Roman" w:eastAsia="Times New Roman" w:hAnsi="Times New Roman" w:cs="Times New Roman"/>
          <w:bCs/>
          <w:iCs/>
        </w:rPr>
        <w:t>multi-level blame game</w:t>
      </w:r>
      <w:r w:rsidR="00BA4366">
        <w:rPr>
          <w:rFonts w:ascii="Times New Roman" w:eastAsia="Times New Roman" w:hAnsi="Times New Roman" w:cs="Times New Roman"/>
          <w:bCs/>
          <w:iCs/>
        </w:rPr>
        <w:t>’</w:t>
      </w:r>
      <w:r w:rsidR="00C32BD2">
        <w:rPr>
          <w:rFonts w:ascii="Times New Roman" w:eastAsia="Times New Roman" w:hAnsi="Times New Roman" w:cs="Times New Roman"/>
          <w:bCs/>
          <w:iCs/>
        </w:rPr>
        <w:t>.</w:t>
      </w:r>
      <w:r w:rsidRPr="007C7BB9">
        <w:rPr>
          <w:rStyle w:val="FootnoteReference"/>
          <w:rFonts w:ascii="Times New Roman" w:eastAsia="Times New Roman" w:hAnsi="Times New Roman" w:cs="Times New Roman"/>
          <w:bCs/>
          <w:iCs/>
        </w:rPr>
        <w:footnoteReference w:id="81"/>
      </w:r>
      <w:r w:rsidRPr="007C7BB9">
        <w:rPr>
          <w:rFonts w:ascii="Times New Roman" w:eastAsia="Times New Roman" w:hAnsi="Times New Roman" w:cs="Times New Roman"/>
          <w:bCs/>
          <w:iCs/>
        </w:rPr>
        <w:t xml:space="preserve"> Empirical analyses of blame shifting in multi-level governance structures (and particularly the European Union, which has become a particular focus for this kind of work) show that policy</w:t>
      </w:r>
      <w:r w:rsidR="00C32BD2">
        <w:rPr>
          <w:rFonts w:ascii="Times New Roman" w:eastAsia="Times New Roman" w:hAnsi="Times New Roman" w:cs="Times New Roman"/>
          <w:bCs/>
          <w:iCs/>
        </w:rPr>
        <w:t xml:space="preserve"> </w:t>
      </w:r>
      <w:r w:rsidRPr="007C7BB9">
        <w:rPr>
          <w:rFonts w:ascii="Times New Roman" w:eastAsia="Times New Roman" w:hAnsi="Times New Roman" w:cs="Times New Roman"/>
          <w:bCs/>
          <w:iCs/>
        </w:rPr>
        <w:t xml:space="preserve">makers at one tier of </w:t>
      </w:r>
      <w:r w:rsidR="0093613D">
        <w:rPr>
          <w:rFonts w:ascii="Times New Roman" w:eastAsia="Times New Roman" w:hAnsi="Times New Roman" w:cs="Times New Roman"/>
          <w:bCs/>
          <w:iCs/>
        </w:rPr>
        <w:t>government</w:t>
      </w:r>
      <w:r w:rsidRPr="007C7BB9">
        <w:rPr>
          <w:rFonts w:ascii="Times New Roman" w:eastAsia="Times New Roman" w:hAnsi="Times New Roman" w:cs="Times New Roman"/>
          <w:bCs/>
          <w:iCs/>
        </w:rPr>
        <w:t xml:space="preserve"> tend to prefer shifting blame to other tier</w:t>
      </w:r>
      <w:r w:rsidR="00516520">
        <w:rPr>
          <w:rFonts w:ascii="Times New Roman" w:eastAsia="Times New Roman" w:hAnsi="Times New Roman" w:cs="Times New Roman"/>
          <w:bCs/>
          <w:iCs/>
        </w:rPr>
        <w:t>s</w:t>
      </w:r>
      <w:r w:rsidRPr="007C7BB9">
        <w:rPr>
          <w:rFonts w:ascii="Times New Roman" w:eastAsia="Times New Roman" w:hAnsi="Times New Roman" w:cs="Times New Roman"/>
          <w:bCs/>
          <w:iCs/>
        </w:rPr>
        <w:t xml:space="preserve"> (such as from central government to local government, and vice versa).</w:t>
      </w:r>
      <w:r w:rsidRPr="007C7BB9">
        <w:rPr>
          <w:rStyle w:val="FootnoteReference"/>
          <w:rFonts w:ascii="Times New Roman" w:eastAsia="Times New Roman" w:hAnsi="Times New Roman" w:cs="Times New Roman"/>
          <w:bCs/>
          <w:iCs/>
        </w:rPr>
        <w:footnoteReference w:id="82"/>
      </w:r>
      <w:r w:rsidRPr="007C7BB9">
        <w:rPr>
          <w:rFonts w:ascii="Times New Roman" w:eastAsia="Times New Roman" w:hAnsi="Times New Roman" w:cs="Times New Roman"/>
          <w:bCs/>
          <w:iCs/>
        </w:rPr>
        <w:t xml:space="preserve"> However, it also shows that opportunities to shift blame are often constrained by the complexities of policy implementation; where shifting blame across tiers is not possible, </w:t>
      </w:r>
      <w:r w:rsidR="00C32BD2">
        <w:rPr>
          <w:rFonts w:ascii="Times New Roman" w:eastAsia="Times New Roman" w:hAnsi="Times New Roman" w:cs="Times New Roman"/>
          <w:bCs/>
          <w:iCs/>
        </w:rPr>
        <w:t>policy mak</w:t>
      </w:r>
      <w:r w:rsidRPr="007C7BB9">
        <w:rPr>
          <w:rFonts w:ascii="Times New Roman" w:eastAsia="Times New Roman" w:hAnsi="Times New Roman" w:cs="Times New Roman"/>
          <w:bCs/>
          <w:iCs/>
        </w:rPr>
        <w:t>ers in the same tier may still opt to shift blame among themselves.</w:t>
      </w:r>
      <w:r w:rsidRPr="007C7BB9">
        <w:rPr>
          <w:rStyle w:val="FootnoteReference"/>
          <w:rFonts w:ascii="Times New Roman" w:eastAsia="Times New Roman" w:hAnsi="Times New Roman" w:cs="Times New Roman"/>
          <w:bCs/>
          <w:iCs/>
        </w:rPr>
        <w:footnoteReference w:id="83"/>
      </w:r>
    </w:p>
    <w:p w14:paraId="5983EC16" w14:textId="20A05A3D" w:rsidR="00011702" w:rsidRPr="00BA2D09" w:rsidRDefault="00BA4366" w:rsidP="00BA2D09">
      <w:pPr>
        <w:pStyle w:val="Heading2"/>
      </w:pPr>
      <w:r w:rsidRPr="00BA2D09">
        <w:t>‘</w:t>
      </w:r>
      <w:r w:rsidR="00891B99" w:rsidRPr="00BA2D09">
        <w:t>We</w:t>
      </w:r>
      <w:r w:rsidR="002D7E66" w:rsidRPr="00BA2D09">
        <w:t xml:space="preserve"> </w:t>
      </w:r>
      <w:r w:rsidR="002D7E66" w:rsidRPr="00EA3F55">
        <w:rPr>
          <w:lang w:eastAsia="en-GB"/>
        </w:rPr>
        <w:t>Followed Proc</w:t>
      </w:r>
      <w:r w:rsidR="00891B99" w:rsidRPr="00EA3F55">
        <w:rPr>
          <w:lang w:eastAsia="en-GB"/>
        </w:rPr>
        <w:t>edure</w:t>
      </w:r>
      <w:r>
        <w:rPr>
          <w:lang w:eastAsia="en-GB"/>
        </w:rPr>
        <w:t>’</w:t>
      </w:r>
    </w:p>
    <w:p w14:paraId="5D674AC3" w14:textId="1BDA27FE" w:rsidR="00705BB7" w:rsidRPr="007C7BB9" w:rsidRDefault="00FE52D6" w:rsidP="00BA2D09">
      <w:pPr>
        <w:rPr>
          <w:rFonts w:ascii="Times New Roman" w:hAnsi="Times New Roman" w:cs="Times New Roman"/>
          <w:lang w:eastAsia="en-GB"/>
        </w:rPr>
      </w:pPr>
      <w:r>
        <w:rPr>
          <w:rFonts w:ascii="Times New Roman" w:hAnsi="Times New Roman" w:cs="Times New Roman"/>
          <w:lang w:eastAsia="en-GB"/>
        </w:rPr>
        <w:t>A</w:t>
      </w:r>
      <w:r w:rsidRPr="007C7BB9">
        <w:rPr>
          <w:rFonts w:ascii="Times New Roman" w:hAnsi="Times New Roman" w:cs="Times New Roman"/>
          <w:lang w:eastAsia="en-GB"/>
        </w:rPr>
        <w:t xml:space="preserve"> </w:t>
      </w:r>
      <w:r w:rsidR="00705BB7" w:rsidRPr="007C7BB9">
        <w:rPr>
          <w:rFonts w:ascii="Times New Roman" w:hAnsi="Times New Roman" w:cs="Times New Roman"/>
          <w:lang w:eastAsia="en-GB"/>
        </w:rPr>
        <w:t>reliance on documentary processes</w:t>
      </w:r>
      <w:r>
        <w:rPr>
          <w:rFonts w:ascii="Times New Roman" w:hAnsi="Times New Roman" w:cs="Times New Roman"/>
          <w:lang w:eastAsia="en-GB"/>
        </w:rPr>
        <w:t xml:space="preserve"> seen in the design and delivery of a </w:t>
      </w:r>
      <w:r w:rsidR="00BA4366">
        <w:rPr>
          <w:rFonts w:ascii="Times New Roman" w:hAnsi="Times New Roman" w:cs="Times New Roman"/>
          <w:lang w:eastAsia="en-GB"/>
        </w:rPr>
        <w:t>‘</w:t>
      </w:r>
      <w:r>
        <w:rPr>
          <w:rFonts w:ascii="Times New Roman" w:hAnsi="Times New Roman" w:cs="Times New Roman"/>
          <w:lang w:eastAsia="en-GB"/>
        </w:rPr>
        <w:t>procedural stimulus</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 is a </w:t>
      </w:r>
      <w:r w:rsidR="00BA4366">
        <w:rPr>
          <w:rFonts w:ascii="Times New Roman" w:hAnsi="Times New Roman" w:cs="Times New Roman"/>
          <w:lang w:eastAsia="en-GB"/>
        </w:rPr>
        <w:t>‘</w:t>
      </w:r>
      <w:r w:rsidR="00705BB7" w:rsidRPr="007C7BB9">
        <w:rPr>
          <w:rFonts w:ascii="Times New Roman" w:eastAsia="Times New Roman" w:hAnsi="Times New Roman" w:cs="Times New Roman"/>
          <w:bCs/>
          <w:szCs w:val="24"/>
          <w:lang w:eastAsia="en-GB"/>
        </w:rPr>
        <w:t>standard government-bureaucracy reflex</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 in the blame game.</w:t>
      </w:r>
      <w:r w:rsidR="00705BB7" w:rsidRPr="007C7BB9">
        <w:rPr>
          <w:rStyle w:val="FootnoteReference"/>
          <w:rFonts w:ascii="Times New Roman" w:hAnsi="Times New Roman" w:cs="Times New Roman"/>
          <w:lang w:eastAsia="en-GB"/>
        </w:rPr>
        <w:footnoteReference w:id="84"/>
      </w:r>
      <w:r w:rsidR="00705BB7" w:rsidRPr="007C7BB9">
        <w:rPr>
          <w:rFonts w:ascii="Times New Roman" w:hAnsi="Times New Roman" w:cs="Times New Roman"/>
          <w:lang w:eastAsia="en-GB"/>
        </w:rPr>
        <w:t xml:space="preserve"> This is what Hood characterises as </w:t>
      </w:r>
      <w:r w:rsidR="00BA4366">
        <w:rPr>
          <w:rFonts w:ascii="Times New Roman" w:hAnsi="Times New Roman" w:cs="Times New Roman"/>
          <w:lang w:eastAsia="en-GB"/>
        </w:rPr>
        <w:t>‘</w:t>
      </w:r>
      <w:r w:rsidR="00705BB7" w:rsidRPr="007C7BB9">
        <w:rPr>
          <w:rFonts w:ascii="Times New Roman" w:hAnsi="Times New Roman" w:cs="Times New Roman"/>
          <w:lang w:eastAsia="en-GB"/>
        </w:rPr>
        <w:t>protocoli</w:t>
      </w:r>
      <w:r w:rsidR="004A0D92">
        <w:rPr>
          <w:rFonts w:ascii="Times New Roman" w:hAnsi="Times New Roman" w:cs="Times New Roman"/>
          <w:lang w:eastAsia="en-GB"/>
        </w:rPr>
        <w:t>s</w:t>
      </w:r>
      <w:r w:rsidR="00705BB7" w:rsidRPr="007C7BB9">
        <w:rPr>
          <w:rFonts w:ascii="Times New Roman" w:hAnsi="Times New Roman" w:cs="Times New Roman"/>
          <w:lang w:eastAsia="en-GB"/>
        </w:rPr>
        <w:t>ation</w:t>
      </w:r>
      <w:r w:rsidR="00BA4366">
        <w:rPr>
          <w:rFonts w:ascii="Times New Roman" w:hAnsi="Times New Roman" w:cs="Times New Roman"/>
          <w:lang w:eastAsia="en-GB"/>
        </w:rPr>
        <w:t>’</w:t>
      </w:r>
      <w:r w:rsidR="00705BB7" w:rsidRPr="007C7BB9">
        <w:rPr>
          <w:rFonts w:ascii="Times New Roman" w:hAnsi="Times New Roman" w:cs="Times New Roman"/>
          <w:lang w:eastAsia="en-GB"/>
        </w:rPr>
        <w:t>: where an organisation adopts processes, rules, routines and procedures in an effort to diffuse blame away from the exercise of individual discretion, instead pointing to the completion of a standardised process.</w:t>
      </w:r>
      <w:r w:rsidR="00705BB7" w:rsidRPr="007C7BB9">
        <w:rPr>
          <w:rStyle w:val="FootnoteReference"/>
          <w:rFonts w:ascii="Times New Roman" w:hAnsi="Times New Roman" w:cs="Times New Roman"/>
          <w:lang w:eastAsia="en-GB"/>
        </w:rPr>
        <w:footnoteReference w:id="85"/>
      </w:r>
      <w:r w:rsidR="00705BB7" w:rsidRPr="007C7BB9">
        <w:rPr>
          <w:rFonts w:ascii="Times New Roman" w:hAnsi="Times New Roman" w:cs="Times New Roman"/>
          <w:lang w:eastAsia="en-GB"/>
        </w:rPr>
        <w:t xml:space="preserve"> This</w:t>
      </w:r>
      <w:r w:rsidR="00C32BD2">
        <w:rPr>
          <w:rFonts w:ascii="Times New Roman" w:hAnsi="Times New Roman" w:cs="Times New Roman"/>
          <w:lang w:eastAsia="en-GB"/>
        </w:rPr>
        <w:t>,</w:t>
      </w:r>
      <w:r w:rsidR="00705BB7" w:rsidRPr="007C7BB9">
        <w:rPr>
          <w:rFonts w:ascii="Times New Roman" w:hAnsi="Times New Roman" w:cs="Times New Roman"/>
          <w:lang w:eastAsia="en-GB"/>
        </w:rPr>
        <w:t xml:space="preserve"> in turn</w:t>
      </w:r>
      <w:r w:rsidR="00C32BD2">
        <w:rPr>
          <w:rFonts w:ascii="Times New Roman" w:hAnsi="Times New Roman" w:cs="Times New Roman"/>
          <w:lang w:eastAsia="en-GB"/>
        </w:rPr>
        <w:t>,</w:t>
      </w:r>
      <w:r w:rsidR="00705BB7" w:rsidRPr="007C7BB9">
        <w:rPr>
          <w:rFonts w:ascii="Times New Roman" w:hAnsi="Times New Roman" w:cs="Times New Roman"/>
          <w:lang w:eastAsia="en-GB"/>
        </w:rPr>
        <w:t xml:space="preserve"> leads to the crafting of </w:t>
      </w:r>
      <w:r w:rsidR="00BA4366">
        <w:rPr>
          <w:rFonts w:ascii="Times New Roman" w:hAnsi="Times New Roman" w:cs="Times New Roman"/>
          <w:lang w:eastAsia="en-GB"/>
        </w:rPr>
        <w:t>‘</w:t>
      </w:r>
      <w:r w:rsidR="00265B1B" w:rsidRPr="00C32BD2">
        <w:t>tick-box</w:t>
      </w:r>
      <w:r w:rsidR="00705BB7" w:rsidRPr="00BA2D09">
        <w:t xml:space="preserve"> p</w:t>
      </w:r>
      <w:r w:rsidR="00705BB7" w:rsidRPr="007C7BB9">
        <w:rPr>
          <w:rFonts w:ascii="Times New Roman" w:hAnsi="Times New Roman" w:cs="Times New Roman"/>
          <w:lang w:eastAsia="en-GB"/>
        </w:rPr>
        <w:t>rocedures</w:t>
      </w:r>
      <w:r w:rsidR="00BA4366">
        <w:rPr>
          <w:rFonts w:ascii="Times New Roman" w:hAnsi="Times New Roman" w:cs="Times New Roman"/>
          <w:lang w:eastAsia="en-GB"/>
        </w:rPr>
        <w:t>’</w:t>
      </w:r>
      <w:r w:rsidR="00634C3B">
        <w:rPr>
          <w:rFonts w:ascii="Times New Roman" w:hAnsi="Times New Roman" w:cs="Times New Roman"/>
          <w:lang w:eastAsia="en-GB"/>
        </w:rPr>
        <w:t>,</w:t>
      </w:r>
      <w:r w:rsidR="00705BB7" w:rsidRPr="007C7BB9">
        <w:rPr>
          <w:rFonts w:ascii="Times New Roman" w:hAnsi="Times New Roman" w:cs="Times New Roman"/>
          <w:lang w:eastAsia="en-GB"/>
        </w:rPr>
        <w:t xml:space="preserve"> designed with the </w:t>
      </w:r>
      <w:r w:rsidR="00BA4366">
        <w:rPr>
          <w:rFonts w:ascii="Times New Roman" w:hAnsi="Times New Roman" w:cs="Times New Roman"/>
          <w:lang w:eastAsia="en-GB"/>
        </w:rPr>
        <w:t>‘</w:t>
      </w:r>
      <w:r w:rsidR="00705BB7" w:rsidRPr="007C7BB9">
        <w:rPr>
          <w:rFonts w:ascii="Times New Roman" w:hAnsi="Times New Roman" w:cs="Times New Roman"/>
          <w:lang w:eastAsia="en-GB"/>
        </w:rPr>
        <w:t>imperatives of blame prevention re-engineering</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 in mind</w:t>
      </w:r>
      <w:r w:rsidR="00634C3B">
        <w:rPr>
          <w:rFonts w:ascii="Times New Roman" w:hAnsi="Times New Roman" w:cs="Times New Roman"/>
          <w:lang w:eastAsia="en-GB"/>
        </w:rPr>
        <w:t xml:space="preserve">, </w:t>
      </w:r>
      <w:r w:rsidR="00C32BD2">
        <w:rPr>
          <w:rFonts w:ascii="Times New Roman" w:hAnsi="Times New Roman" w:cs="Times New Roman"/>
          <w:lang w:eastAsia="en-GB"/>
        </w:rPr>
        <w:t>which</w:t>
      </w:r>
      <w:r w:rsidR="00705BB7" w:rsidRPr="007C7BB9">
        <w:rPr>
          <w:rFonts w:ascii="Times New Roman" w:hAnsi="Times New Roman" w:cs="Times New Roman"/>
          <w:lang w:eastAsia="en-GB"/>
        </w:rPr>
        <w:t xml:space="preserve"> leads to front-line workers spending their time </w:t>
      </w:r>
      <w:r w:rsidR="00BA4366">
        <w:rPr>
          <w:rFonts w:ascii="Times New Roman" w:hAnsi="Times New Roman" w:cs="Times New Roman"/>
          <w:lang w:eastAsia="en-GB"/>
        </w:rPr>
        <w:t>‘</w:t>
      </w:r>
      <w:r w:rsidR="00705BB7" w:rsidRPr="007C7BB9">
        <w:rPr>
          <w:rFonts w:ascii="Times New Roman" w:hAnsi="Times New Roman" w:cs="Times New Roman"/>
          <w:lang w:eastAsia="en-GB"/>
        </w:rPr>
        <w:t>defensively ticking procedural boxes</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 while </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buried under </w:t>
      </w:r>
      <w:r w:rsidR="00C32BD2">
        <w:t>paper</w:t>
      </w:r>
      <w:r w:rsidR="00705BB7" w:rsidRPr="007C7BB9">
        <w:rPr>
          <w:rFonts w:ascii="Times New Roman" w:hAnsi="Times New Roman" w:cs="Times New Roman"/>
          <w:lang w:eastAsia="en-GB"/>
        </w:rPr>
        <w:t>work</w:t>
      </w:r>
      <w:r w:rsidR="00BA4366">
        <w:rPr>
          <w:rFonts w:ascii="Times New Roman" w:hAnsi="Times New Roman" w:cs="Times New Roman"/>
          <w:lang w:eastAsia="en-GB"/>
        </w:rPr>
        <w:t>’</w:t>
      </w:r>
      <w:r w:rsidR="00C32BD2">
        <w:rPr>
          <w:rFonts w:ascii="Times New Roman" w:hAnsi="Times New Roman" w:cs="Times New Roman"/>
          <w:lang w:eastAsia="en-GB"/>
        </w:rPr>
        <w:t>.</w:t>
      </w:r>
      <w:r w:rsidR="00705BB7" w:rsidRPr="007C7BB9">
        <w:rPr>
          <w:rStyle w:val="FootnoteReference"/>
          <w:rFonts w:ascii="Times New Roman" w:hAnsi="Times New Roman" w:cs="Times New Roman"/>
          <w:lang w:eastAsia="en-GB"/>
        </w:rPr>
        <w:footnoteReference w:id="86"/>
      </w:r>
    </w:p>
    <w:p w14:paraId="17E2CF4A" w14:textId="52F81435" w:rsidR="00632C2E" w:rsidRPr="009572B7" w:rsidRDefault="00705BB7" w:rsidP="00BA2D09">
      <w:pPr>
        <w:shd w:val="clear" w:color="auto" w:fill="FFFFFF"/>
        <w:spacing w:after="280"/>
        <w:ind w:right="-46"/>
        <w:rPr>
          <w:rFonts w:ascii="Times New Roman" w:hAnsi="Times New Roman" w:cs="Times New Roman"/>
          <w:lang w:eastAsia="en-GB"/>
        </w:rPr>
      </w:pPr>
      <w:r w:rsidRPr="007C7BB9">
        <w:rPr>
          <w:rFonts w:ascii="Times New Roman" w:hAnsi="Times New Roman" w:cs="Times New Roman"/>
          <w:lang w:eastAsia="en-GB"/>
        </w:rPr>
        <w:t xml:space="preserve">It is perhaps no surprise, therefore, </w:t>
      </w:r>
      <w:r w:rsidR="006852D0">
        <w:rPr>
          <w:rFonts w:ascii="Times New Roman" w:hAnsi="Times New Roman" w:cs="Times New Roman"/>
          <w:lang w:eastAsia="en-GB"/>
        </w:rPr>
        <w:t>that these</w:t>
      </w:r>
      <w:r w:rsidRPr="007C7BB9">
        <w:rPr>
          <w:rFonts w:ascii="Times New Roman" w:hAnsi="Times New Roman" w:cs="Times New Roman"/>
          <w:lang w:eastAsia="en-GB"/>
        </w:rPr>
        <w:t xml:space="preserve"> standardised forms and processes </w:t>
      </w:r>
      <w:r w:rsidR="004E3BE9">
        <w:rPr>
          <w:rFonts w:ascii="Times New Roman" w:hAnsi="Times New Roman" w:cs="Times New Roman"/>
          <w:lang w:eastAsia="en-GB"/>
        </w:rPr>
        <w:t>so often form the focus of critiques of the duty</w:t>
      </w:r>
      <w:r w:rsidRPr="007C7BB9">
        <w:rPr>
          <w:rFonts w:ascii="Times New Roman" w:hAnsi="Times New Roman" w:cs="Times New Roman"/>
          <w:lang w:eastAsia="en-GB"/>
        </w:rPr>
        <w:t xml:space="preserve">. As Fredman points out, there is a tension in the role of the courts in encouraging these </w:t>
      </w:r>
      <w:r w:rsidR="00C32BD2">
        <w:rPr>
          <w:rFonts w:ascii="Times New Roman" w:hAnsi="Times New Roman" w:cs="Times New Roman"/>
          <w:lang w:eastAsia="en-GB"/>
        </w:rPr>
        <w:t>blame-avoid</w:t>
      </w:r>
      <w:r w:rsidRPr="007C7BB9">
        <w:rPr>
          <w:rFonts w:ascii="Times New Roman" w:hAnsi="Times New Roman" w:cs="Times New Roman"/>
          <w:lang w:eastAsia="en-GB"/>
        </w:rPr>
        <w:t>ing practices. On the one hand, when discharging the PSED</w:t>
      </w:r>
      <w:r w:rsidR="00C32BD2">
        <w:rPr>
          <w:rFonts w:ascii="Times New Roman" w:hAnsi="Times New Roman" w:cs="Times New Roman"/>
          <w:lang w:eastAsia="en-GB"/>
        </w:rPr>
        <w:t>,</w:t>
      </w:r>
      <w:r w:rsidRPr="007C7BB9">
        <w:rPr>
          <w:rFonts w:ascii="Times New Roman" w:hAnsi="Times New Roman" w:cs="Times New Roman"/>
          <w:lang w:eastAsia="en-GB"/>
        </w:rPr>
        <w:t xml:space="preserve"> it has been </w:t>
      </w:r>
      <w:r w:rsidR="00BA4366">
        <w:rPr>
          <w:rFonts w:ascii="Times New Roman" w:hAnsi="Times New Roman" w:cs="Times New Roman"/>
          <w:lang w:eastAsia="en-GB"/>
        </w:rPr>
        <w:t>‘</w:t>
      </w:r>
      <w:r w:rsidRPr="007C7BB9">
        <w:rPr>
          <w:rFonts w:ascii="Times New Roman" w:hAnsi="Times New Roman" w:cs="Times New Roman"/>
          <w:lang w:eastAsia="en-GB"/>
        </w:rPr>
        <w:t>consistently stressed</w:t>
      </w:r>
      <w:r w:rsidR="00BA4366">
        <w:rPr>
          <w:rFonts w:ascii="Times New Roman" w:hAnsi="Times New Roman" w:cs="Times New Roman"/>
          <w:lang w:eastAsia="en-GB"/>
        </w:rPr>
        <w:t>’</w:t>
      </w:r>
      <w:r w:rsidRPr="007C7BB9">
        <w:rPr>
          <w:rFonts w:ascii="Times New Roman" w:hAnsi="Times New Roman" w:cs="Times New Roman"/>
          <w:lang w:eastAsia="en-GB"/>
        </w:rPr>
        <w:t xml:space="preserve"> that the statutory duty does not require a formal </w:t>
      </w:r>
      <w:r w:rsidR="00BA4366">
        <w:rPr>
          <w:rFonts w:ascii="Times New Roman" w:hAnsi="Times New Roman" w:cs="Times New Roman"/>
          <w:lang w:eastAsia="en-GB"/>
        </w:rPr>
        <w:t>‘</w:t>
      </w:r>
      <w:r w:rsidRPr="007C7BB9">
        <w:rPr>
          <w:rFonts w:ascii="Times New Roman" w:hAnsi="Times New Roman" w:cs="Times New Roman"/>
          <w:lang w:eastAsia="en-GB"/>
        </w:rPr>
        <w:t>equality impact assessment</w:t>
      </w:r>
      <w:r w:rsidR="00BA4366">
        <w:rPr>
          <w:rFonts w:ascii="Times New Roman" w:hAnsi="Times New Roman" w:cs="Times New Roman"/>
          <w:lang w:eastAsia="en-GB"/>
        </w:rPr>
        <w:t>’</w:t>
      </w:r>
      <w:r w:rsidRPr="007C7BB9">
        <w:rPr>
          <w:rFonts w:ascii="Times New Roman" w:hAnsi="Times New Roman" w:cs="Times New Roman"/>
          <w:lang w:eastAsia="en-GB"/>
        </w:rPr>
        <w:t>, let alone dictate the parameters or form it takes.</w:t>
      </w:r>
      <w:r w:rsidRPr="007C7BB9">
        <w:rPr>
          <w:rStyle w:val="FootnoteReference"/>
          <w:rFonts w:ascii="Times New Roman" w:hAnsi="Times New Roman" w:cs="Times New Roman"/>
          <w:lang w:eastAsia="en-GB"/>
        </w:rPr>
        <w:footnoteReference w:id="87"/>
      </w:r>
      <w:r w:rsidRPr="007C7BB9">
        <w:rPr>
          <w:rFonts w:ascii="Times New Roman" w:hAnsi="Times New Roman" w:cs="Times New Roman"/>
          <w:lang w:eastAsia="en-GB"/>
        </w:rPr>
        <w:t xml:space="preserve"> Part of the canon of PSED principles emphasised in </w:t>
      </w:r>
      <w:r w:rsidRPr="007C7BB9">
        <w:rPr>
          <w:rFonts w:ascii="Times New Roman" w:hAnsi="Times New Roman" w:cs="Times New Roman"/>
          <w:i/>
          <w:iCs/>
          <w:lang w:eastAsia="en-GB"/>
        </w:rPr>
        <w:t>Bridges</w:t>
      </w:r>
      <w:r w:rsidRPr="00BA2D09">
        <w:t>,</w:t>
      </w:r>
      <w:r w:rsidRPr="007C7BB9">
        <w:rPr>
          <w:rFonts w:ascii="Times New Roman" w:hAnsi="Times New Roman" w:cs="Times New Roman"/>
          <w:i/>
          <w:iCs/>
          <w:lang w:eastAsia="en-GB"/>
        </w:rPr>
        <w:t xml:space="preserve"> </w:t>
      </w:r>
      <w:r w:rsidRPr="007C7BB9">
        <w:rPr>
          <w:rFonts w:ascii="Times New Roman" w:hAnsi="Times New Roman" w:cs="Times New Roman"/>
          <w:lang w:eastAsia="en-GB"/>
        </w:rPr>
        <w:t xml:space="preserve">and applied routinely since, is that the duty is exercised with an </w:t>
      </w:r>
      <w:r w:rsidR="00BA4366">
        <w:rPr>
          <w:rFonts w:ascii="Times New Roman" w:hAnsi="Times New Roman" w:cs="Times New Roman"/>
          <w:lang w:eastAsia="en-GB"/>
        </w:rPr>
        <w:t>‘</w:t>
      </w:r>
      <w:r w:rsidRPr="007C7BB9">
        <w:rPr>
          <w:rFonts w:ascii="Times New Roman" w:hAnsi="Times New Roman" w:cs="Times New Roman"/>
          <w:lang w:eastAsia="en-GB"/>
        </w:rPr>
        <w:t>open mind</w:t>
      </w:r>
      <w:r w:rsidR="00BA4366">
        <w:rPr>
          <w:rFonts w:ascii="Times New Roman" w:hAnsi="Times New Roman" w:cs="Times New Roman"/>
          <w:lang w:eastAsia="en-GB"/>
        </w:rPr>
        <w:t>’</w:t>
      </w:r>
      <w:r w:rsidRPr="007C7BB9">
        <w:rPr>
          <w:rFonts w:ascii="Times New Roman" w:hAnsi="Times New Roman" w:cs="Times New Roman"/>
          <w:lang w:eastAsia="en-GB"/>
        </w:rPr>
        <w:t xml:space="preserve"> and </w:t>
      </w:r>
      <w:r w:rsidR="00BA4366">
        <w:rPr>
          <w:rFonts w:ascii="Times New Roman" w:hAnsi="Times New Roman" w:cs="Times New Roman"/>
          <w:lang w:eastAsia="en-GB"/>
        </w:rPr>
        <w:t>‘</w:t>
      </w:r>
      <w:r w:rsidRPr="007C7BB9">
        <w:rPr>
          <w:rFonts w:ascii="Times New Roman" w:hAnsi="Times New Roman" w:cs="Times New Roman"/>
          <w:lang w:eastAsia="en-GB"/>
        </w:rPr>
        <w:t>is not a question of ticking boxes</w:t>
      </w:r>
      <w:r w:rsidR="00BA4366">
        <w:rPr>
          <w:rFonts w:ascii="Times New Roman" w:hAnsi="Times New Roman" w:cs="Times New Roman"/>
          <w:lang w:eastAsia="en-GB"/>
        </w:rPr>
        <w:t>’</w:t>
      </w:r>
      <w:r w:rsidRPr="007C7BB9">
        <w:rPr>
          <w:rFonts w:ascii="Times New Roman" w:hAnsi="Times New Roman" w:cs="Times New Roman"/>
          <w:lang w:eastAsia="en-GB"/>
        </w:rPr>
        <w:t>.</w:t>
      </w:r>
      <w:r w:rsidRPr="007C7BB9">
        <w:rPr>
          <w:rStyle w:val="FootnoteReference"/>
          <w:rFonts w:ascii="Times New Roman" w:hAnsi="Times New Roman" w:cs="Times New Roman"/>
          <w:lang w:eastAsia="en-GB"/>
        </w:rPr>
        <w:footnoteReference w:id="88"/>
      </w:r>
      <w:r w:rsidRPr="007C7BB9">
        <w:rPr>
          <w:rFonts w:ascii="Times New Roman" w:hAnsi="Times New Roman" w:cs="Times New Roman"/>
          <w:lang w:eastAsia="en-GB"/>
        </w:rPr>
        <w:t xml:space="preserve"> However, as </w:t>
      </w:r>
      <w:r w:rsidRPr="007C7BB9">
        <w:rPr>
          <w:rFonts w:ascii="Times New Roman" w:hAnsi="Times New Roman" w:cs="Times New Roman"/>
          <w:lang w:eastAsia="en-GB"/>
        </w:rPr>
        <w:lastRenderedPageBreak/>
        <w:t xml:space="preserve">successive challenges to public bodies have increasingly settled the principles at play, the more scope there is for </w:t>
      </w:r>
      <w:r w:rsidR="00BA4366">
        <w:rPr>
          <w:rFonts w:ascii="Times New Roman" w:hAnsi="Times New Roman" w:cs="Times New Roman"/>
          <w:lang w:eastAsia="en-GB"/>
        </w:rPr>
        <w:t>‘</w:t>
      </w:r>
      <w:r w:rsidRPr="007C7BB9">
        <w:rPr>
          <w:rFonts w:ascii="Times New Roman" w:hAnsi="Times New Roman" w:cs="Times New Roman"/>
          <w:lang w:eastAsia="en-GB"/>
        </w:rPr>
        <w:t>mere procedural compliance</w:t>
      </w:r>
      <w:r w:rsidR="00BA4366">
        <w:rPr>
          <w:rFonts w:ascii="Times New Roman" w:hAnsi="Times New Roman" w:cs="Times New Roman"/>
          <w:lang w:eastAsia="en-GB"/>
        </w:rPr>
        <w:t>’</w:t>
      </w:r>
      <w:r w:rsidRPr="007C7BB9">
        <w:rPr>
          <w:rFonts w:ascii="Times New Roman" w:hAnsi="Times New Roman" w:cs="Times New Roman"/>
          <w:lang w:eastAsia="en-GB"/>
        </w:rPr>
        <w:t xml:space="preserve"> by ticking these principles off through form</w:t>
      </w:r>
      <w:r w:rsidR="00C32BD2">
        <w:rPr>
          <w:rFonts w:ascii="Times New Roman" w:hAnsi="Times New Roman" w:cs="Times New Roman"/>
          <w:lang w:eastAsia="en-GB"/>
        </w:rPr>
        <w:t xml:space="preserve"> </w:t>
      </w:r>
      <w:r w:rsidRPr="007C7BB9">
        <w:rPr>
          <w:rFonts w:ascii="Times New Roman" w:hAnsi="Times New Roman" w:cs="Times New Roman"/>
          <w:lang w:eastAsia="en-GB"/>
        </w:rPr>
        <w:t>filling.</w:t>
      </w:r>
      <w:r w:rsidRPr="007C7BB9">
        <w:rPr>
          <w:rStyle w:val="FootnoteReference"/>
          <w:rFonts w:ascii="Times New Roman" w:hAnsi="Times New Roman" w:cs="Times New Roman"/>
          <w:lang w:eastAsia="en-GB"/>
        </w:rPr>
        <w:footnoteReference w:id="89"/>
      </w:r>
      <w:r w:rsidR="001F6E0C">
        <w:rPr>
          <w:rFonts w:ascii="Times New Roman" w:hAnsi="Times New Roman" w:cs="Times New Roman"/>
          <w:lang w:eastAsia="en-GB"/>
        </w:rPr>
        <w:t xml:space="preserve"> The insight of the </w:t>
      </w:r>
      <w:r w:rsidR="00C32BD2">
        <w:rPr>
          <w:rFonts w:ascii="Times New Roman" w:hAnsi="Times New Roman" w:cs="Times New Roman"/>
          <w:lang w:eastAsia="en-GB"/>
        </w:rPr>
        <w:t>blame avoidance</w:t>
      </w:r>
      <w:r w:rsidR="001F6E0C">
        <w:rPr>
          <w:rFonts w:ascii="Times New Roman" w:hAnsi="Times New Roman" w:cs="Times New Roman"/>
          <w:lang w:eastAsia="en-GB"/>
        </w:rPr>
        <w:t xml:space="preserve"> literature is that bureaucrats tasked with meeting these duties are not </w:t>
      </w:r>
      <w:r w:rsidR="00BA4366">
        <w:rPr>
          <w:rFonts w:ascii="Times New Roman" w:hAnsi="Times New Roman" w:cs="Times New Roman"/>
          <w:lang w:eastAsia="en-GB"/>
        </w:rPr>
        <w:t>‘</w:t>
      </w:r>
      <w:r w:rsidR="001F6E0C">
        <w:rPr>
          <w:rFonts w:ascii="Times New Roman" w:hAnsi="Times New Roman" w:cs="Times New Roman"/>
          <w:lang w:eastAsia="en-GB"/>
        </w:rPr>
        <w:t>passive agents</w:t>
      </w:r>
      <w:r w:rsidR="00BA4366">
        <w:rPr>
          <w:rFonts w:ascii="Times New Roman" w:hAnsi="Times New Roman" w:cs="Times New Roman"/>
          <w:lang w:eastAsia="en-GB"/>
        </w:rPr>
        <w:t>’</w:t>
      </w:r>
      <w:r w:rsidR="001F6E0C">
        <w:rPr>
          <w:rFonts w:ascii="Times New Roman" w:hAnsi="Times New Roman" w:cs="Times New Roman"/>
          <w:lang w:eastAsia="en-GB"/>
        </w:rPr>
        <w:t xml:space="preserve">, but can adopt </w:t>
      </w:r>
      <w:r w:rsidR="00CC7335">
        <w:rPr>
          <w:rFonts w:ascii="Times New Roman" w:hAnsi="Times New Roman" w:cs="Times New Roman"/>
          <w:lang w:eastAsia="en-GB"/>
        </w:rPr>
        <w:t xml:space="preserve">these </w:t>
      </w:r>
      <w:r w:rsidR="001F6E0C">
        <w:rPr>
          <w:rFonts w:ascii="Times New Roman" w:hAnsi="Times New Roman" w:cs="Times New Roman"/>
          <w:lang w:eastAsia="en-GB"/>
        </w:rPr>
        <w:t xml:space="preserve">practices as part of their own </w:t>
      </w:r>
      <w:r w:rsidR="00BA4366">
        <w:rPr>
          <w:rFonts w:ascii="Times New Roman" w:hAnsi="Times New Roman" w:cs="Times New Roman"/>
          <w:lang w:eastAsia="en-GB"/>
        </w:rPr>
        <w:t>‘</w:t>
      </w:r>
      <w:r w:rsidR="001F6E0C">
        <w:rPr>
          <w:rFonts w:ascii="Times New Roman" w:hAnsi="Times New Roman" w:cs="Times New Roman"/>
          <w:lang w:eastAsia="en-GB"/>
        </w:rPr>
        <w:t xml:space="preserve">defensive </w:t>
      </w:r>
      <w:r w:rsidR="00C32BD2">
        <w:rPr>
          <w:rFonts w:ascii="Times New Roman" w:hAnsi="Times New Roman" w:cs="Times New Roman"/>
          <w:lang w:eastAsia="en-GB"/>
        </w:rPr>
        <w:t>blame avoidance</w:t>
      </w:r>
      <w:r w:rsidR="001F6E0C">
        <w:rPr>
          <w:rFonts w:ascii="Times New Roman" w:hAnsi="Times New Roman" w:cs="Times New Roman"/>
          <w:lang w:eastAsia="en-GB"/>
        </w:rPr>
        <w:t xml:space="preserve"> strategies</w:t>
      </w:r>
      <w:r w:rsidR="00BA4366">
        <w:rPr>
          <w:rFonts w:ascii="Times New Roman" w:hAnsi="Times New Roman" w:cs="Times New Roman"/>
          <w:lang w:eastAsia="en-GB"/>
        </w:rPr>
        <w:t>’</w:t>
      </w:r>
      <w:r w:rsidR="001F6E0C">
        <w:rPr>
          <w:rFonts w:ascii="Times New Roman" w:hAnsi="Times New Roman" w:cs="Times New Roman"/>
          <w:lang w:eastAsia="en-GB"/>
        </w:rPr>
        <w:t>.</w:t>
      </w:r>
      <w:r w:rsidR="009572B7" w:rsidRPr="007C7BB9">
        <w:rPr>
          <w:rStyle w:val="FootnoteReference"/>
          <w:rFonts w:ascii="Times New Roman" w:hAnsi="Times New Roman" w:cs="Times New Roman"/>
          <w:lang w:eastAsia="en-GB"/>
        </w:rPr>
        <w:footnoteReference w:id="90"/>
      </w:r>
    </w:p>
    <w:p w14:paraId="689C9B27" w14:textId="5885D7D7" w:rsidR="00011702" w:rsidRPr="00BA2D09" w:rsidRDefault="00BA4366" w:rsidP="00BA2D09">
      <w:pPr>
        <w:pStyle w:val="Heading2"/>
      </w:pPr>
      <w:r w:rsidRPr="00BA2D09">
        <w:t>‘</w:t>
      </w:r>
      <w:r w:rsidR="00E06827" w:rsidRPr="00BA2D09">
        <w:t>Death by Discussion</w:t>
      </w:r>
      <w:r w:rsidRPr="00BA2D09">
        <w:t>’</w:t>
      </w:r>
    </w:p>
    <w:p w14:paraId="79C6339D" w14:textId="2AF02EC7" w:rsidR="00705BB7" w:rsidRPr="007C7BB9" w:rsidRDefault="00705BB7" w:rsidP="00BA2D09">
      <w:pPr>
        <w:rPr>
          <w:rFonts w:ascii="Times New Roman" w:eastAsia="Times New Roman" w:hAnsi="Times New Roman" w:cs="Times New Roman"/>
          <w:color w:val="000000" w:themeColor="text1"/>
          <w:szCs w:val="24"/>
          <w:lang w:eastAsia="en-GB"/>
        </w:rPr>
      </w:pPr>
      <w:r w:rsidRPr="007C7BB9">
        <w:rPr>
          <w:rFonts w:ascii="Times New Roman" w:eastAsia="Times New Roman" w:hAnsi="Times New Roman" w:cs="Times New Roman"/>
          <w:color w:val="000000" w:themeColor="text1"/>
          <w:szCs w:val="24"/>
          <w:lang w:eastAsia="en-GB"/>
        </w:rPr>
        <w:t>This deliberative approach can also</w:t>
      </w:r>
      <w:r w:rsidR="007A10A8">
        <w:rPr>
          <w:rFonts w:ascii="Times New Roman" w:eastAsia="Times New Roman" w:hAnsi="Times New Roman" w:cs="Times New Roman"/>
          <w:color w:val="000000" w:themeColor="text1"/>
          <w:szCs w:val="24"/>
          <w:lang w:eastAsia="en-GB"/>
        </w:rPr>
        <w:t xml:space="preserve"> be </w:t>
      </w:r>
      <w:r w:rsidR="007A05E6">
        <w:rPr>
          <w:rFonts w:ascii="Times New Roman" w:eastAsia="Times New Roman" w:hAnsi="Times New Roman" w:cs="Times New Roman"/>
          <w:color w:val="000000" w:themeColor="text1"/>
          <w:szCs w:val="24"/>
          <w:lang w:eastAsia="en-GB"/>
        </w:rPr>
        <w:t>criticised</w:t>
      </w:r>
      <w:r w:rsidR="007A10A8">
        <w:rPr>
          <w:rFonts w:ascii="Times New Roman" w:eastAsia="Times New Roman" w:hAnsi="Times New Roman" w:cs="Times New Roman"/>
          <w:color w:val="000000" w:themeColor="text1"/>
          <w:szCs w:val="24"/>
          <w:lang w:eastAsia="en-GB"/>
        </w:rPr>
        <w:t xml:space="preserve"> as</w:t>
      </w:r>
      <w:r w:rsidRPr="007C7BB9">
        <w:rPr>
          <w:rFonts w:ascii="Times New Roman" w:eastAsia="Times New Roman" w:hAnsi="Times New Roman" w:cs="Times New Roman"/>
          <w:color w:val="000000" w:themeColor="text1"/>
          <w:szCs w:val="24"/>
          <w:lang w:eastAsia="en-GB"/>
        </w:rPr>
        <w:t xml:space="preserve"> </w:t>
      </w:r>
      <w:r w:rsidR="007A05E6">
        <w:rPr>
          <w:rFonts w:ascii="Times New Roman" w:eastAsia="Times New Roman" w:hAnsi="Times New Roman" w:cs="Times New Roman"/>
          <w:color w:val="000000" w:themeColor="text1"/>
          <w:szCs w:val="24"/>
          <w:lang w:eastAsia="en-GB"/>
        </w:rPr>
        <w:t>a kind of blame avoidance</w:t>
      </w:r>
      <w:r w:rsidRPr="007C7BB9">
        <w:rPr>
          <w:rFonts w:ascii="Times New Roman" w:eastAsia="Times New Roman" w:hAnsi="Times New Roman" w:cs="Times New Roman"/>
          <w:color w:val="000000" w:themeColor="text1"/>
          <w:szCs w:val="24"/>
          <w:lang w:eastAsia="en-GB"/>
        </w:rPr>
        <w:t xml:space="preserve">. Hood identifies a canon of </w:t>
      </w:r>
      <w:r w:rsidR="00C32BD2">
        <w:rPr>
          <w:rFonts w:ascii="Times New Roman" w:eastAsia="Times New Roman" w:hAnsi="Times New Roman" w:cs="Times New Roman"/>
          <w:color w:val="000000" w:themeColor="text1"/>
          <w:szCs w:val="24"/>
          <w:lang w:eastAsia="en-GB"/>
        </w:rPr>
        <w:t>blame avoidance</w:t>
      </w:r>
      <w:r w:rsidRPr="007C7BB9">
        <w:rPr>
          <w:rFonts w:ascii="Times New Roman" w:eastAsia="Times New Roman" w:hAnsi="Times New Roman" w:cs="Times New Roman"/>
          <w:color w:val="000000" w:themeColor="text1"/>
          <w:szCs w:val="24"/>
          <w:lang w:eastAsia="en-GB"/>
        </w:rPr>
        <w:t xml:space="preserve"> strategies under the banner of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partnership approaches</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techniques including joint</w:t>
      </w:r>
      <w:r w:rsidR="00C32BD2">
        <w:rPr>
          <w:rFonts w:ascii="Times New Roman" w:eastAsia="Times New Roman" w:hAnsi="Times New Roman" w:cs="Times New Roman"/>
          <w:color w:val="000000" w:themeColor="text1"/>
          <w:szCs w:val="24"/>
          <w:lang w:eastAsia="en-GB"/>
        </w:rPr>
        <w:t xml:space="preserve"> </w:t>
      </w:r>
      <w:r w:rsidRPr="007C7BB9">
        <w:rPr>
          <w:rFonts w:ascii="Times New Roman" w:eastAsia="Times New Roman" w:hAnsi="Times New Roman" w:cs="Times New Roman"/>
          <w:color w:val="000000" w:themeColor="text1"/>
          <w:szCs w:val="24"/>
          <w:lang w:eastAsia="en-GB"/>
        </w:rPr>
        <w:t xml:space="preserve">working, multi-agency agreements and other forms of institutional machinery that become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so complex that blame can be shuffled about or made to disappear</w:t>
      </w:r>
      <w:r w:rsidR="00BA4366">
        <w:rPr>
          <w:rFonts w:ascii="Times New Roman" w:eastAsia="Times New Roman" w:hAnsi="Times New Roman" w:cs="Times New Roman"/>
          <w:color w:val="000000" w:themeColor="text1"/>
          <w:szCs w:val="24"/>
          <w:lang w:eastAsia="en-GB"/>
        </w:rPr>
        <w:t>’</w:t>
      </w:r>
      <w:r w:rsidR="00C32BD2">
        <w:rPr>
          <w:rFonts w:ascii="Times New Roman" w:eastAsia="Times New Roman" w:hAnsi="Times New Roman" w:cs="Times New Roman"/>
          <w:color w:val="000000" w:themeColor="text1"/>
          <w:szCs w:val="24"/>
          <w:lang w:eastAsia="en-GB"/>
        </w:rPr>
        <w:t>.</w:t>
      </w:r>
      <w:r w:rsidRPr="007C7BB9">
        <w:rPr>
          <w:rStyle w:val="FootnoteReference"/>
          <w:rFonts w:ascii="Times New Roman" w:eastAsia="Times New Roman" w:hAnsi="Times New Roman" w:cs="Times New Roman"/>
          <w:color w:val="000000" w:themeColor="text1"/>
          <w:szCs w:val="24"/>
          <w:lang w:eastAsia="en-GB"/>
        </w:rPr>
        <w:footnoteReference w:id="91"/>
      </w:r>
      <w:r w:rsidRPr="007C7BB9">
        <w:rPr>
          <w:rFonts w:ascii="Times New Roman" w:eastAsia="Times New Roman" w:hAnsi="Times New Roman" w:cs="Times New Roman"/>
          <w:color w:val="000000" w:themeColor="text1"/>
          <w:szCs w:val="24"/>
          <w:lang w:eastAsia="en-GB"/>
        </w:rPr>
        <w:t xml:space="preserve"> The motto he ascribes to this is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don</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t go solo</w:t>
      </w:r>
      <w:r w:rsidR="00BA4366">
        <w:rPr>
          <w:rFonts w:ascii="Times New Roman" w:eastAsia="Times New Roman" w:hAnsi="Times New Roman" w:cs="Times New Roman"/>
          <w:color w:val="000000" w:themeColor="text1"/>
          <w:szCs w:val="24"/>
          <w:lang w:eastAsia="en-GB"/>
        </w:rPr>
        <w:t>’</w:t>
      </w:r>
      <w:r w:rsidR="00265B1B">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if would-be blamers struggle to identify who to blame given the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many hands</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 involved in a policy</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s development or implementation, then the blame can ultimately be deflected or diffused.</w:t>
      </w:r>
      <w:r w:rsidRPr="007C7BB9">
        <w:rPr>
          <w:rStyle w:val="FootnoteReference"/>
          <w:rFonts w:ascii="Times New Roman" w:eastAsia="Times New Roman" w:hAnsi="Times New Roman" w:cs="Times New Roman"/>
          <w:color w:val="000000" w:themeColor="text1"/>
          <w:szCs w:val="24"/>
          <w:lang w:eastAsia="en-GB"/>
        </w:rPr>
        <w:footnoteReference w:id="92"/>
      </w:r>
    </w:p>
    <w:p w14:paraId="43B6F609" w14:textId="45F5AF78" w:rsidR="00705BB7" w:rsidRPr="007C7BB9" w:rsidRDefault="00705BB7" w:rsidP="00BA2D09">
      <w:pPr>
        <w:rPr>
          <w:rFonts w:ascii="Times New Roman" w:eastAsia="Times New Roman" w:hAnsi="Times New Roman" w:cs="Times New Roman"/>
          <w:color w:val="000000" w:themeColor="text1"/>
          <w:szCs w:val="24"/>
          <w:lang w:eastAsia="en-GB"/>
        </w:rPr>
      </w:pPr>
      <w:r w:rsidRPr="007C7BB9">
        <w:rPr>
          <w:rFonts w:ascii="Times New Roman" w:eastAsia="Times New Roman" w:hAnsi="Times New Roman" w:cs="Times New Roman"/>
          <w:color w:val="000000" w:themeColor="text1"/>
          <w:szCs w:val="24"/>
          <w:lang w:eastAsia="en-GB"/>
        </w:rPr>
        <w:t xml:space="preserve">This idea has been explored specifically in the context of policy consultations and other deliberative exercises. Characterised as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death by discussion</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 the argument goes that consultation and deliberation can serve to diffuse the responsibility for decisions or make the process so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drawn out</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 that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attention is lost</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w:t>
      </w:r>
      <w:r w:rsidRPr="007C7BB9">
        <w:rPr>
          <w:rStyle w:val="FootnoteReference"/>
          <w:rFonts w:ascii="Times New Roman" w:hAnsi="Times New Roman" w:cs="Times New Roman"/>
        </w:rPr>
        <w:footnoteReference w:id="93"/>
      </w:r>
      <w:r w:rsidRPr="007C7BB9">
        <w:rPr>
          <w:rFonts w:ascii="Times New Roman" w:eastAsia="Times New Roman" w:hAnsi="Times New Roman" w:cs="Times New Roman"/>
          <w:color w:val="000000" w:themeColor="text1"/>
          <w:szCs w:val="24"/>
          <w:lang w:eastAsia="en-GB"/>
        </w:rPr>
        <w:t xml:space="preserve"> Kevins and Vis have demonstrated empirically that this works.</w:t>
      </w:r>
      <w:bookmarkStart w:id="16" w:name="_Ref194753648"/>
      <w:r w:rsidRPr="007C7BB9">
        <w:rPr>
          <w:rStyle w:val="FootnoteReference"/>
          <w:rFonts w:ascii="Times New Roman" w:hAnsi="Times New Roman" w:cs="Times New Roman"/>
        </w:rPr>
        <w:footnoteReference w:id="94"/>
      </w:r>
      <w:bookmarkEnd w:id="16"/>
      <w:r w:rsidRPr="007C7BB9">
        <w:rPr>
          <w:rFonts w:ascii="Times New Roman" w:eastAsia="Times New Roman" w:hAnsi="Times New Roman" w:cs="Times New Roman"/>
          <w:color w:val="000000" w:themeColor="text1"/>
          <w:szCs w:val="24"/>
          <w:lang w:eastAsia="en-GB"/>
        </w:rPr>
        <w:t xml:space="preserve"> Using a scenario of a local council cutting homeless services (an </w:t>
      </w:r>
      <w:proofErr w:type="spellStart"/>
      <w:r w:rsidRPr="007C7BB9">
        <w:rPr>
          <w:rFonts w:ascii="Times New Roman" w:eastAsia="Times New Roman" w:hAnsi="Times New Roman" w:cs="Times New Roman"/>
          <w:color w:val="000000" w:themeColor="text1"/>
          <w:szCs w:val="24"/>
          <w:lang w:eastAsia="en-GB"/>
        </w:rPr>
        <w:t>apposite</w:t>
      </w:r>
      <w:proofErr w:type="spellEnd"/>
      <w:r w:rsidRPr="007C7BB9">
        <w:rPr>
          <w:rFonts w:ascii="Times New Roman" w:eastAsia="Times New Roman" w:hAnsi="Times New Roman" w:cs="Times New Roman"/>
          <w:color w:val="000000" w:themeColor="text1"/>
          <w:szCs w:val="24"/>
          <w:lang w:eastAsia="en-GB"/>
        </w:rPr>
        <w:t xml:space="preserve"> example when thinking of the socio-economic duty), they found that the public were less likely to attribute blame where consultative processes (in this case, a town hall meeting) had taken place.</w:t>
      </w:r>
      <w:r w:rsidRPr="007C7BB9">
        <w:rPr>
          <w:rStyle w:val="FootnoteReference"/>
          <w:rFonts w:ascii="Times New Roman" w:hAnsi="Times New Roman" w:cs="Times New Roman"/>
        </w:rPr>
        <w:footnoteReference w:id="95"/>
      </w:r>
    </w:p>
    <w:p w14:paraId="53BD2915" w14:textId="4D9E9ED6" w:rsidR="00705BB7" w:rsidRDefault="00705BB7" w:rsidP="00BA2D09">
      <w:pPr>
        <w:rPr>
          <w:rFonts w:ascii="Times New Roman" w:hAnsi="Times New Roman" w:cs="Times New Roman"/>
        </w:rPr>
      </w:pPr>
      <w:r w:rsidRPr="007C7BB9">
        <w:rPr>
          <w:rFonts w:ascii="Times New Roman" w:eastAsia="Times New Roman" w:hAnsi="Times New Roman" w:cs="Times New Roman"/>
          <w:color w:val="000000" w:themeColor="text1"/>
          <w:szCs w:val="24"/>
          <w:lang w:eastAsia="en-GB"/>
        </w:rPr>
        <w:t xml:space="preserve">They suggest that consultations make for such a </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promising tool</w:t>
      </w:r>
      <w:r w:rsidR="00BA4366">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 for blame avoidance for two reasons. First, by involving others in the chain of decision</w:t>
      </w:r>
      <w:r w:rsidR="00130F23">
        <w:rPr>
          <w:rFonts w:ascii="Times New Roman" w:eastAsia="Times New Roman" w:hAnsi="Times New Roman" w:cs="Times New Roman"/>
          <w:color w:val="000000" w:themeColor="text1"/>
          <w:szCs w:val="24"/>
          <w:lang w:eastAsia="en-GB"/>
        </w:rPr>
        <w:t xml:space="preserve"> mak</w:t>
      </w:r>
      <w:r w:rsidRPr="007C7BB9">
        <w:rPr>
          <w:rFonts w:ascii="Times New Roman" w:eastAsia="Times New Roman" w:hAnsi="Times New Roman" w:cs="Times New Roman"/>
          <w:color w:val="000000" w:themeColor="text1"/>
          <w:szCs w:val="24"/>
          <w:lang w:eastAsia="en-GB"/>
        </w:rPr>
        <w:t>ing</w:t>
      </w:r>
      <w:r w:rsidR="00265B1B">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by consulting, co-producing or deliberating</w:t>
      </w:r>
      <w:r w:rsidR="00265B1B">
        <w:rPr>
          <w:rFonts w:ascii="Times New Roman" w:eastAsia="Times New Roman" w:hAnsi="Times New Roman" w:cs="Times New Roman"/>
          <w:color w:val="000000" w:themeColor="text1"/>
          <w:szCs w:val="24"/>
          <w:lang w:eastAsia="en-GB"/>
        </w:rPr>
        <w:t>—</w:t>
      </w:r>
      <w:r w:rsidRPr="007C7BB9">
        <w:rPr>
          <w:rFonts w:ascii="Times New Roman" w:eastAsia="Times New Roman" w:hAnsi="Times New Roman" w:cs="Times New Roman"/>
          <w:color w:val="000000" w:themeColor="text1"/>
          <w:szCs w:val="24"/>
          <w:lang w:eastAsia="en-GB"/>
        </w:rPr>
        <w:t xml:space="preserve">the </w:t>
      </w:r>
      <w:r w:rsidR="00BA4366">
        <w:rPr>
          <w:rFonts w:ascii="Times New Roman" w:eastAsia="Times New Roman" w:hAnsi="Times New Roman" w:cs="Times New Roman"/>
          <w:color w:val="000000" w:themeColor="text1"/>
          <w:szCs w:val="24"/>
          <w:lang w:eastAsia="en-GB"/>
        </w:rPr>
        <w:t>‘</w:t>
      </w:r>
      <w:r w:rsidRPr="007C7BB9">
        <w:rPr>
          <w:rFonts w:ascii="Times New Roman" w:hAnsi="Times New Roman" w:cs="Times New Roman"/>
        </w:rPr>
        <w:t>clarity of responsibility</w:t>
      </w:r>
      <w:r w:rsidR="00BA4366">
        <w:rPr>
          <w:rFonts w:ascii="Times New Roman" w:hAnsi="Times New Roman" w:cs="Times New Roman"/>
        </w:rPr>
        <w:t>’</w:t>
      </w:r>
      <w:r w:rsidRPr="007C7BB9">
        <w:rPr>
          <w:rFonts w:ascii="Times New Roman" w:hAnsi="Times New Roman" w:cs="Times New Roman"/>
        </w:rPr>
        <w:t xml:space="preserve"> for an overall policy and its impact is weakened.</w:t>
      </w:r>
      <w:r w:rsidRPr="007C7BB9">
        <w:rPr>
          <w:rStyle w:val="FootnoteReference"/>
          <w:rFonts w:ascii="Times New Roman" w:hAnsi="Times New Roman" w:cs="Times New Roman"/>
        </w:rPr>
        <w:footnoteReference w:id="96"/>
      </w:r>
      <w:r w:rsidRPr="007C7BB9">
        <w:rPr>
          <w:rFonts w:ascii="Times New Roman" w:hAnsi="Times New Roman" w:cs="Times New Roman"/>
        </w:rPr>
        <w:t xml:space="preserve"> Second, in line with </w:t>
      </w:r>
      <w:r w:rsidR="00107476">
        <w:rPr>
          <w:rFonts w:ascii="Times New Roman" w:hAnsi="Times New Roman" w:cs="Times New Roman"/>
        </w:rPr>
        <w:t>long-standing</w:t>
      </w:r>
      <w:r w:rsidRPr="007C7BB9">
        <w:rPr>
          <w:rFonts w:ascii="Times New Roman" w:hAnsi="Times New Roman" w:cs="Times New Roman"/>
        </w:rPr>
        <w:t xml:space="preserve"> arguments rooted in the literature on </w:t>
      </w:r>
      <w:r w:rsidRPr="007C7BB9">
        <w:rPr>
          <w:rFonts w:ascii="Times New Roman" w:hAnsi="Times New Roman" w:cs="Times New Roman"/>
        </w:rPr>
        <w:lastRenderedPageBreak/>
        <w:t xml:space="preserve">procedural fairness, where individuals perceive that they and/or affected groups have a </w:t>
      </w:r>
      <w:r w:rsidR="00BA4366">
        <w:rPr>
          <w:rFonts w:ascii="Times New Roman" w:hAnsi="Times New Roman" w:cs="Times New Roman"/>
        </w:rPr>
        <w:t>‘</w:t>
      </w:r>
      <w:r w:rsidRPr="007C7BB9">
        <w:rPr>
          <w:rFonts w:ascii="Times New Roman" w:hAnsi="Times New Roman" w:cs="Times New Roman"/>
        </w:rPr>
        <w:t>voice</w:t>
      </w:r>
      <w:r w:rsidR="00BA4366">
        <w:rPr>
          <w:rFonts w:ascii="Times New Roman" w:hAnsi="Times New Roman" w:cs="Times New Roman"/>
        </w:rPr>
        <w:t>’</w:t>
      </w:r>
      <w:r w:rsidRPr="007C7BB9">
        <w:rPr>
          <w:rFonts w:ascii="Times New Roman" w:hAnsi="Times New Roman" w:cs="Times New Roman"/>
        </w:rPr>
        <w:t xml:space="preserve"> in the decision-making process, they are more likely to perceive a policy decision as legitimate and therefore accept it and its consequences.</w:t>
      </w:r>
      <w:r w:rsidRPr="007C7BB9">
        <w:rPr>
          <w:rStyle w:val="FootnoteReference"/>
          <w:rFonts w:ascii="Times New Roman" w:hAnsi="Times New Roman" w:cs="Times New Roman"/>
        </w:rPr>
        <w:footnoteReference w:id="97"/>
      </w:r>
      <w:r w:rsidRPr="007C7BB9">
        <w:rPr>
          <w:rFonts w:ascii="Times New Roman" w:hAnsi="Times New Roman" w:cs="Times New Roman"/>
        </w:rPr>
        <w:t xml:space="preserve"> For both of these mechanisms, the mere act of consulting can mitigate blame, regardless of whether it has any visible influence on the policy itself.</w:t>
      </w:r>
      <w:r w:rsidRPr="007C7BB9">
        <w:rPr>
          <w:rStyle w:val="FootnoteReference"/>
          <w:rFonts w:ascii="Times New Roman" w:hAnsi="Times New Roman" w:cs="Times New Roman"/>
        </w:rPr>
        <w:footnoteReference w:id="98"/>
      </w:r>
    </w:p>
    <w:p w14:paraId="3D9383B1" w14:textId="12EB59CA" w:rsidR="005D6859" w:rsidRPr="00BA2D09" w:rsidRDefault="005D6859" w:rsidP="00BA2D09">
      <w:r>
        <w:rPr>
          <w:rFonts w:ascii="Times New Roman" w:hAnsi="Times New Roman" w:cs="Times New Roman"/>
        </w:rPr>
        <w:t>These criticisms of the</w:t>
      </w:r>
      <w:r w:rsidRPr="00BA2D09">
        <w:t xml:space="preserve"> </w:t>
      </w:r>
      <w:r w:rsidR="000A3BAD" w:rsidRPr="00B1001A">
        <w:t>socio-economic duty</w:t>
      </w:r>
      <w:r w:rsidRPr="00BA2D09">
        <w:t xml:space="preserve"> can therefore be understood as concerns about </w:t>
      </w:r>
      <w:r w:rsidR="00C32BD2" w:rsidRPr="00BA2D09">
        <w:t>blame avoidance</w:t>
      </w:r>
      <w:r w:rsidRPr="00BA2D09">
        <w:t xml:space="preserve"> behaviour. Couching them in this way provides a framework for examining their salience among civil servant </w:t>
      </w:r>
      <w:r w:rsidR="00946319" w:rsidRPr="00BA2D09">
        <w:t>participants in this study</w:t>
      </w:r>
      <w:r w:rsidRPr="00BA2D09">
        <w:t xml:space="preserve"> and the extent to which the design and implementation of the policy may impact on these attitudes. It is to this end </w:t>
      </w:r>
      <w:r w:rsidR="00B1001A">
        <w:t xml:space="preserve">that </w:t>
      </w:r>
      <w:r w:rsidRPr="00BA2D09">
        <w:t>t</w:t>
      </w:r>
      <w:r w:rsidR="00BA4366" w:rsidRPr="00BA2D09">
        <w:t xml:space="preserve">his </w:t>
      </w:r>
      <w:r w:rsidR="00BA4366" w:rsidRPr="00B1001A">
        <w:t>article</w:t>
      </w:r>
      <w:r w:rsidRPr="00BA2D09">
        <w:t xml:space="preserve"> now turns.</w:t>
      </w:r>
    </w:p>
    <w:p w14:paraId="1ADDF94D" w14:textId="0D167995" w:rsidR="00705BB7" w:rsidRDefault="002D7E66" w:rsidP="00BA4366">
      <w:pPr>
        <w:pStyle w:val="Heading1"/>
        <w:numPr>
          <w:ilvl w:val="0"/>
          <w:numId w:val="38"/>
        </w:numPr>
        <w:rPr>
          <w:rFonts w:ascii="Times New Roman" w:eastAsia="Times New Roman" w:hAnsi="Times New Roman" w:cs="Times New Roman"/>
          <w:lang w:eastAsia="en-GB"/>
        </w:rPr>
      </w:pPr>
      <w:r w:rsidRPr="007C7BB9">
        <w:rPr>
          <w:rFonts w:ascii="Times New Roman" w:eastAsia="Times New Roman" w:hAnsi="Times New Roman" w:cs="Times New Roman"/>
          <w:lang w:eastAsia="en-GB"/>
        </w:rPr>
        <w:t>Method</w:t>
      </w:r>
    </w:p>
    <w:p w14:paraId="6CCD3BB5" w14:textId="28818169" w:rsidR="007F2078" w:rsidRDefault="00BB4235" w:rsidP="00BA2D09">
      <w:pPr>
        <w:rPr>
          <w:lang w:eastAsia="en-GB"/>
        </w:rPr>
      </w:pPr>
      <w:r>
        <w:rPr>
          <w:lang w:eastAsia="en-GB"/>
        </w:rPr>
        <w:t xml:space="preserve">Having </w:t>
      </w:r>
      <w:r w:rsidR="00490371">
        <w:rPr>
          <w:lang w:eastAsia="en-GB"/>
        </w:rPr>
        <w:t>introduced the reflexive law elements of th</w:t>
      </w:r>
      <w:r w:rsidR="00490371" w:rsidRPr="00B1001A">
        <w:t xml:space="preserve">e </w:t>
      </w:r>
      <w:r w:rsidR="000A3BAD" w:rsidRPr="00B1001A">
        <w:t>socio-economic duty</w:t>
      </w:r>
      <w:r w:rsidR="00490371" w:rsidRPr="00B1001A">
        <w:t xml:space="preserve"> an</w:t>
      </w:r>
      <w:r w:rsidR="00490371">
        <w:rPr>
          <w:lang w:eastAsia="en-GB"/>
        </w:rPr>
        <w:t xml:space="preserve">d explored how criticisms levelled against it can be understood through engagement with the </w:t>
      </w:r>
      <w:r w:rsidR="00C32BD2">
        <w:rPr>
          <w:lang w:eastAsia="en-GB"/>
        </w:rPr>
        <w:t>blame avoidance</w:t>
      </w:r>
      <w:r w:rsidR="00490371">
        <w:rPr>
          <w:lang w:eastAsia="en-GB"/>
        </w:rPr>
        <w:t xml:space="preserve"> literature,</w:t>
      </w:r>
      <w:r>
        <w:rPr>
          <w:lang w:eastAsia="en-GB"/>
        </w:rPr>
        <w:t xml:space="preserve"> this section outlines the three datasets drawn on </w:t>
      </w:r>
      <w:r w:rsidR="00E41B9E">
        <w:rPr>
          <w:lang w:eastAsia="en-GB"/>
        </w:rPr>
        <w:t>in the analysis below</w:t>
      </w:r>
      <w:r>
        <w:rPr>
          <w:lang w:eastAsia="en-GB"/>
        </w:rPr>
        <w:t>.</w:t>
      </w:r>
      <w:r w:rsidR="00347AB5">
        <w:rPr>
          <w:rStyle w:val="FootnoteReference"/>
          <w:lang w:eastAsia="en-GB"/>
        </w:rPr>
        <w:footnoteReference w:id="99"/>
      </w:r>
      <w:r w:rsidR="007F2078">
        <w:rPr>
          <w:lang w:eastAsia="en-GB"/>
        </w:rPr>
        <w:t xml:space="preserve"> </w:t>
      </w:r>
      <w:r w:rsidR="005826D5">
        <w:rPr>
          <w:lang w:eastAsia="en-GB"/>
        </w:rPr>
        <w:t>First,</w:t>
      </w:r>
      <w:r w:rsidR="00FE090A">
        <w:rPr>
          <w:lang w:eastAsia="en-GB"/>
        </w:rPr>
        <w:t xml:space="preserve"> </w:t>
      </w:r>
      <w:r w:rsidR="00FB1259">
        <w:rPr>
          <w:lang w:eastAsia="en-GB"/>
        </w:rPr>
        <w:t xml:space="preserve">semi-structured </w:t>
      </w:r>
      <w:r w:rsidR="00FE090A">
        <w:rPr>
          <w:lang w:eastAsia="en-GB"/>
        </w:rPr>
        <w:t xml:space="preserve">interviews </w:t>
      </w:r>
      <w:r w:rsidR="00B1001A">
        <w:rPr>
          <w:lang w:eastAsia="en-GB"/>
        </w:rPr>
        <w:t xml:space="preserve">were conducted </w:t>
      </w:r>
      <w:r w:rsidR="00FE090A">
        <w:rPr>
          <w:lang w:eastAsia="en-GB"/>
        </w:rPr>
        <w:t>with 10 staff working in equality roles</w:t>
      </w:r>
      <w:r w:rsidR="00F852F9">
        <w:rPr>
          <w:lang w:eastAsia="en-GB"/>
        </w:rPr>
        <w:t xml:space="preserve"> (such as </w:t>
      </w:r>
      <w:r w:rsidR="00B1001A">
        <w:rPr>
          <w:lang w:eastAsia="en-GB"/>
        </w:rPr>
        <w:t>equality and diversity managers, inclusion managers and community engagement lea</w:t>
      </w:r>
      <w:r w:rsidR="0011077D">
        <w:rPr>
          <w:lang w:eastAsia="en-GB"/>
        </w:rPr>
        <w:t>ds</w:t>
      </w:r>
      <w:r w:rsidR="00F852F9">
        <w:rPr>
          <w:lang w:eastAsia="en-GB"/>
        </w:rPr>
        <w:t>)</w:t>
      </w:r>
      <w:r w:rsidR="00FE090A">
        <w:rPr>
          <w:lang w:eastAsia="en-GB"/>
        </w:rPr>
        <w:t xml:space="preserve"> across </w:t>
      </w:r>
      <w:r w:rsidR="00B1001A">
        <w:rPr>
          <w:lang w:eastAsia="en-GB"/>
        </w:rPr>
        <w:t>six</w:t>
      </w:r>
      <w:r w:rsidR="00FE090A">
        <w:rPr>
          <w:lang w:eastAsia="en-GB"/>
        </w:rPr>
        <w:t xml:space="preserve"> </w:t>
      </w:r>
      <w:r w:rsidR="00B1001A">
        <w:rPr>
          <w:lang w:eastAsia="en-GB"/>
        </w:rPr>
        <w:t>local authorities</w:t>
      </w:r>
      <w:r w:rsidR="00265B1B">
        <w:rPr>
          <w:lang w:eastAsia="en-GB"/>
        </w:rPr>
        <w:t>—</w:t>
      </w:r>
      <w:r w:rsidR="00B1001A">
        <w:rPr>
          <w:lang w:eastAsia="en-GB"/>
        </w:rPr>
        <w:t>three</w:t>
      </w:r>
      <w:r w:rsidR="00FE090A">
        <w:rPr>
          <w:lang w:eastAsia="en-GB"/>
        </w:rPr>
        <w:t xml:space="preserve"> in Scotland and </w:t>
      </w:r>
      <w:r w:rsidR="00B1001A">
        <w:rPr>
          <w:lang w:eastAsia="en-GB"/>
        </w:rPr>
        <w:t>three</w:t>
      </w:r>
      <w:r w:rsidR="00FE090A">
        <w:rPr>
          <w:lang w:eastAsia="en-GB"/>
        </w:rPr>
        <w:t xml:space="preserve"> in Wales</w:t>
      </w:r>
      <w:r w:rsidR="00265B1B">
        <w:rPr>
          <w:lang w:eastAsia="en-GB"/>
        </w:rPr>
        <w:t>—</w:t>
      </w:r>
      <w:r w:rsidR="007F2078">
        <w:rPr>
          <w:lang w:eastAsia="en-GB"/>
        </w:rPr>
        <w:t xml:space="preserve">in December 2024 to January 2025. </w:t>
      </w:r>
      <w:r w:rsidR="00B1001A">
        <w:rPr>
          <w:lang w:eastAsia="en-GB"/>
        </w:rPr>
        <w:t>The p</w:t>
      </w:r>
      <w:r w:rsidR="007F2078">
        <w:rPr>
          <w:lang w:eastAsia="en-GB"/>
        </w:rPr>
        <w:t xml:space="preserve">articipants were recruited via direct email by the researcher </w:t>
      </w:r>
      <w:r w:rsidR="00535D69">
        <w:rPr>
          <w:lang w:eastAsia="en-GB"/>
        </w:rPr>
        <w:t>based on desk-based research of their</w:t>
      </w:r>
      <w:r w:rsidR="005826D5">
        <w:rPr>
          <w:lang w:eastAsia="en-GB"/>
        </w:rPr>
        <w:t xml:space="preserve"> roles.</w:t>
      </w:r>
      <w:r w:rsidR="00535D69">
        <w:rPr>
          <w:lang w:eastAsia="en-GB"/>
        </w:rPr>
        <w:t xml:space="preserve"> </w:t>
      </w:r>
      <w:r w:rsidR="00CD322C">
        <w:rPr>
          <w:lang w:eastAsia="en-GB"/>
        </w:rPr>
        <w:t xml:space="preserve">These interviews explored their experiences of implementing these socio-economic duties, their reflections on impact assessment processes and </w:t>
      </w:r>
      <w:r w:rsidR="00B1001A">
        <w:rPr>
          <w:lang w:eastAsia="en-GB"/>
        </w:rPr>
        <w:t xml:space="preserve">their </w:t>
      </w:r>
      <w:r w:rsidR="00CD322C">
        <w:rPr>
          <w:lang w:eastAsia="en-GB"/>
        </w:rPr>
        <w:t xml:space="preserve">views on the accompanying </w:t>
      </w:r>
      <w:r w:rsidR="0093613D">
        <w:rPr>
          <w:lang w:eastAsia="en-GB"/>
        </w:rPr>
        <w:t>government</w:t>
      </w:r>
      <w:r w:rsidR="00CD322C">
        <w:rPr>
          <w:lang w:eastAsia="en-GB"/>
        </w:rPr>
        <w:t xml:space="preserve"> guidance.</w:t>
      </w:r>
      <w:r w:rsidR="00F676F0">
        <w:rPr>
          <w:lang w:eastAsia="en-GB"/>
        </w:rPr>
        <w:t xml:space="preserve"> The interviews were intended to shape the data collection with English participants that followe</w:t>
      </w:r>
      <w:r w:rsidR="00706232">
        <w:rPr>
          <w:lang w:eastAsia="en-GB"/>
        </w:rPr>
        <w:t>d.</w:t>
      </w:r>
    </w:p>
    <w:p w14:paraId="615EB61A" w14:textId="01AB2AA5" w:rsidR="00605894" w:rsidRDefault="00C97A58" w:rsidP="00BA2D09">
      <w:pPr>
        <w:rPr>
          <w:lang w:eastAsia="en-GB"/>
        </w:rPr>
      </w:pPr>
      <w:r>
        <w:rPr>
          <w:lang w:eastAsia="en-GB"/>
        </w:rPr>
        <w:t xml:space="preserve">The </w:t>
      </w:r>
      <w:r w:rsidR="00FB4430">
        <w:rPr>
          <w:lang w:eastAsia="en-GB"/>
        </w:rPr>
        <w:t xml:space="preserve">other </w:t>
      </w:r>
      <w:r>
        <w:rPr>
          <w:lang w:eastAsia="en-GB"/>
        </w:rPr>
        <w:t xml:space="preserve">two datasets were collected via </w:t>
      </w:r>
      <w:r w:rsidR="00256CE1" w:rsidRPr="00C44DBA">
        <w:rPr>
          <w:lang w:eastAsia="en-GB"/>
        </w:rPr>
        <w:t>Prolific</w:t>
      </w:r>
      <w:r w:rsidR="00265B1B">
        <w:rPr>
          <w:i/>
          <w:iCs/>
          <w:lang w:eastAsia="en-GB"/>
        </w:rPr>
        <w:t>—</w:t>
      </w:r>
      <w:r w:rsidR="00256CE1">
        <w:rPr>
          <w:lang w:eastAsia="en-GB"/>
        </w:rPr>
        <w:t>a widely utilised</w:t>
      </w:r>
      <w:r w:rsidR="00BA7D1E">
        <w:rPr>
          <w:lang w:eastAsia="en-GB"/>
        </w:rPr>
        <w:t xml:space="preserve"> online</w:t>
      </w:r>
      <w:r w:rsidR="00256CE1">
        <w:rPr>
          <w:lang w:eastAsia="en-GB"/>
        </w:rPr>
        <w:t xml:space="preserve"> panel </w:t>
      </w:r>
      <w:r w:rsidR="00C46BE5">
        <w:rPr>
          <w:lang w:eastAsia="en-GB"/>
        </w:rPr>
        <w:t xml:space="preserve">provider </w:t>
      </w:r>
      <w:r w:rsidR="00256CE1">
        <w:rPr>
          <w:lang w:eastAsia="en-GB"/>
        </w:rPr>
        <w:t>in social science research</w:t>
      </w:r>
      <w:r w:rsidR="0065506B">
        <w:rPr>
          <w:lang w:eastAsia="en-GB"/>
        </w:rPr>
        <w:t>, including</w:t>
      </w:r>
      <w:r w:rsidR="0011077D">
        <w:rPr>
          <w:lang w:eastAsia="en-GB"/>
        </w:rPr>
        <w:t xml:space="preserve"> </w:t>
      </w:r>
      <w:r w:rsidR="0065506B">
        <w:rPr>
          <w:lang w:eastAsia="en-GB"/>
        </w:rPr>
        <w:t>in studies involving civil servant participants</w:t>
      </w:r>
      <w:r w:rsidR="00256CE1">
        <w:rPr>
          <w:lang w:eastAsia="en-GB"/>
        </w:rPr>
        <w:t>.</w:t>
      </w:r>
      <w:r w:rsidR="005C5E89">
        <w:rPr>
          <w:rStyle w:val="FootnoteReference"/>
          <w:lang w:eastAsia="en-GB"/>
        </w:rPr>
        <w:footnoteReference w:id="100"/>
      </w:r>
      <w:r w:rsidR="00256CE1">
        <w:rPr>
          <w:lang w:eastAsia="en-GB"/>
        </w:rPr>
        <w:t xml:space="preserve"> </w:t>
      </w:r>
      <w:r w:rsidR="009E7AA2">
        <w:rPr>
          <w:lang w:eastAsia="en-GB"/>
        </w:rPr>
        <w:t>The data collection took place between January and March</w:t>
      </w:r>
      <w:r w:rsidR="00F92F27">
        <w:rPr>
          <w:lang w:eastAsia="en-GB"/>
        </w:rPr>
        <w:t xml:space="preserve"> 2025</w:t>
      </w:r>
      <w:r w:rsidR="00591FC6">
        <w:rPr>
          <w:lang w:eastAsia="en-GB"/>
        </w:rPr>
        <w:t xml:space="preserve">. </w:t>
      </w:r>
      <w:r w:rsidR="002713E9">
        <w:rPr>
          <w:lang w:eastAsia="en-GB"/>
        </w:rPr>
        <w:t>A</w:t>
      </w:r>
      <w:r w:rsidR="00591FC6">
        <w:rPr>
          <w:lang w:eastAsia="en-GB"/>
        </w:rPr>
        <w:t xml:space="preserve"> total of 2152 participants who worked in the public sector (in roles other than teacher or frontline medical professional, such </w:t>
      </w:r>
      <w:r w:rsidR="00591FC6">
        <w:rPr>
          <w:lang w:eastAsia="en-GB"/>
        </w:rPr>
        <w:lastRenderedPageBreak/>
        <w:t xml:space="preserve">as nurse or doctor) were included a screening survey. This asked participants for </w:t>
      </w:r>
      <w:r w:rsidR="003017AB">
        <w:rPr>
          <w:lang w:eastAsia="en-GB"/>
        </w:rPr>
        <w:t xml:space="preserve">a </w:t>
      </w:r>
      <w:r w:rsidR="00591FC6">
        <w:rPr>
          <w:lang w:eastAsia="en-GB"/>
        </w:rPr>
        <w:t>short</w:t>
      </w:r>
      <w:r w:rsidR="00B1001A">
        <w:rPr>
          <w:lang w:eastAsia="en-GB"/>
        </w:rPr>
        <w:t>,</w:t>
      </w:r>
      <w:r w:rsidR="003017AB">
        <w:rPr>
          <w:lang w:eastAsia="en-GB"/>
        </w:rPr>
        <w:t xml:space="preserve"> qualitative</w:t>
      </w:r>
      <w:r w:rsidR="00591FC6">
        <w:rPr>
          <w:lang w:eastAsia="en-GB"/>
        </w:rPr>
        <w:t xml:space="preserve"> description of their current role</w:t>
      </w:r>
      <w:r w:rsidR="003017AB">
        <w:rPr>
          <w:lang w:eastAsia="en-GB"/>
        </w:rPr>
        <w:t>, contextual questions (such as how long they had been in post) and</w:t>
      </w:r>
      <w:r w:rsidR="00265B1B">
        <w:rPr>
          <w:lang w:eastAsia="en-GB"/>
        </w:rPr>
        <w:t>—</w:t>
      </w:r>
      <w:r w:rsidR="003017AB">
        <w:rPr>
          <w:lang w:eastAsia="en-GB"/>
        </w:rPr>
        <w:t>as an indication of how policy-facing their role is</w:t>
      </w:r>
      <w:r w:rsidR="00265B1B">
        <w:rPr>
          <w:lang w:eastAsia="en-GB"/>
        </w:rPr>
        <w:t>—</w:t>
      </w:r>
      <w:r w:rsidR="003017AB">
        <w:rPr>
          <w:lang w:eastAsia="en-GB"/>
        </w:rPr>
        <w:t xml:space="preserve">whether they had participated in an equality impact assessment. Participants whose roles did not touch on policy development or implementation (for instance, maintenance staff, technical support staff </w:t>
      </w:r>
      <w:r w:rsidR="00CB4463">
        <w:rPr>
          <w:lang w:eastAsia="en-GB"/>
        </w:rPr>
        <w:t xml:space="preserve">or other manual </w:t>
      </w:r>
      <w:r w:rsidR="00B1001A">
        <w:rPr>
          <w:lang w:eastAsia="en-GB"/>
        </w:rPr>
        <w:t>worker</w:t>
      </w:r>
      <w:r w:rsidR="00CB4463">
        <w:rPr>
          <w:lang w:eastAsia="en-GB"/>
        </w:rPr>
        <w:t>s) were screened out. This led to a pool of 990 civil servants who, broadly speaking, work in roles that touch on policy development and/or implementation</w:t>
      </w:r>
      <w:r w:rsidR="002714B3">
        <w:rPr>
          <w:lang w:eastAsia="en-GB"/>
        </w:rPr>
        <w:t xml:space="preserve">. </w:t>
      </w:r>
      <w:r w:rsidR="00752256">
        <w:rPr>
          <w:lang w:eastAsia="en-GB"/>
        </w:rPr>
        <w:t>Of these, those who had indicated prior experience of equality impact assessments were invited to participate in the qualitative survey</w:t>
      </w:r>
      <w:r w:rsidR="00431E83">
        <w:rPr>
          <w:lang w:eastAsia="en-GB"/>
        </w:rPr>
        <w:t xml:space="preserve"> (with </w:t>
      </w:r>
      <w:r w:rsidR="00B1001A">
        <w:rPr>
          <w:lang w:eastAsia="en-GB"/>
        </w:rPr>
        <w:t xml:space="preserve">a </w:t>
      </w:r>
      <w:r w:rsidR="00431E83">
        <w:rPr>
          <w:lang w:eastAsia="en-GB"/>
        </w:rPr>
        <w:t xml:space="preserve">final </w:t>
      </w:r>
      <w:r w:rsidR="009D5CD0">
        <w:rPr>
          <w:lang w:eastAsia="en-GB"/>
        </w:rPr>
        <w:t>data</w:t>
      </w:r>
      <w:r w:rsidR="00431E83">
        <w:rPr>
          <w:lang w:eastAsia="en-GB"/>
        </w:rPr>
        <w:t>set of 267 completions)</w:t>
      </w:r>
      <w:r w:rsidR="00752256">
        <w:rPr>
          <w:lang w:eastAsia="en-GB"/>
        </w:rPr>
        <w:t>. After the conclusion of the qualitative survey, all remaining participants</w:t>
      </w:r>
      <w:r w:rsidR="00265B1B">
        <w:rPr>
          <w:lang w:eastAsia="en-GB"/>
        </w:rPr>
        <w:t>—</w:t>
      </w:r>
      <w:r w:rsidR="00752256">
        <w:rPr>
          <w:lang w:eastAsia="en-GB"/>
        </w:rPr>
        <w:t>including those who had not indicated prior experience of equality impact assessments</w:t>
      </w:r>
      <w:r w:rsidR="00265B1B">
        <w:rPr>
          <w:lang w:eastAsia="en-GB"/>
        </w:rPr>
        <w:t>—</w:t>
      </w:r>
      <w:r w:rsidR="00752256">
        <w:rPr>
          <w:lang w:eastAsia="en-GB"/>
        </w:rPr>
        <w:t>were invited to participate in the survey experiment</w:t>
      </w:r>
      <w:r w:rsidR="00431E83">
        <w:rPr>
          <w:lang w:eastAsia="en-GB"/>
        </w:rPr>
        <w:t xml:space="preserve"> (with </w:t>
      </w:r>
      <w:r w:rsidR="0002070E">
        <w:rPr>
          <w:lang w:eastAsia="en-GB"/>
        </w:rPr>
        <w:t xml:space="preserve">a </w:t>
      </w:r>
      <w:r w:rsidR="00431E83">
        <w:rPr>
          <w:lang w:eastAsia="en-GB"/>
        </w:rPr>
        <w:t xml:space="preserve">final </w:t>
      </w:r>
      <w:r w:rsidR="009D5CD0">
        <w:rPr>
          <w:lang w:eastAsia="en-GB"/>
        </w:rPr>
        <w:t>dataset</w:t>
      </w:r>
      <w:r w:rsidR="00431E83">
        <w:rPr>
          <w:lang w:eastAsia="en-GB"/>
        </w:rPr>
        <w:t xml:space="preserve"> of 432 completions)</w:t>
      </w:r>
      <w:r w:rsidR="00752256">
        <w:rPr>
          <w:lang w:eastAsia="en-GB"/>
        </w:rPr>
        <w:t>.</w:t>
      </w:r>
    </w:p>
    <w:p w14:paraId="5E2E9F99" w14:textId="6CCA2C87" w:rsidR="00CB6154" w:rsidRDefault="00984A70" w:rsidP="00BA2D09">
      <w:pPr>
        <w:rPr>
          <w:rFonts w:ascii="Times New Roman" w:hAnsi="Times New Roman" w:cs="Times New Roman"/>
          <w:lang w:eastAsia="en-GB"/>
        </w:rPr>
      </w:pPr>
      <w:r>
        <w:rPr>
          <w:rFonts w:ascii="Times New Roman" w:hAnsi="Times New Roman" w:cs="Times New Roman"/>
          <w:lang w:eastAsia="en-GB"/>
        </w:rPr>
        <w:t xml:space="preserve">After a short video introduction to the </w:t>
      </w:r>
      <w:r w:rsidR="002010A3">
        <w:rPr>
          <w:rFonts w:ascii="Times New Roman" w:hAnsi="Times New Roman" w:cs="Times New Roman"/>
          <w:lang w:eastAsia="en-GB"/>
        </w:rPr>
        <w:t>study</w:t>
      </w:r>
      <w:r w:rsidR="0002070E">
        <w:rPr>
          <w:rFonts w:ascii="Times New Roman" w:hAnsi="Times New Roman" w:cs="Times New Roman"/>
          <w:lang w:eastAsia="en-GB"/>
        </w:rPr>
        <w:t xml:space="preserve"> from the researcher,</w:t>
      </w:r>
      <w:r w:rsidR="002010A3">
        <w:rPr>
          <w:rFonts w:ascii="Times New Roman" w:hAnsi="Times New Roman" w:cs="Times New Roman"/>
          <w:lang w:eastAsia="en-GB"/>
        </w:rPr>
        <w:t xml:space="preserve"> </w:t>
      </w:r>
      <w:r>
        <w:rPr>
          <w:rFonts w:ascii="Times New Roman" w:hAnsi="Times New Roman" w:cs="Times New Roman"/>
          <w:lang w:eastAsia="en-GB"/>
        </w:rPr>
        <w:t>participants were directed to a page with three overarching</w:t>
      </w:r>
      <w:r w:rsidR="00772255">
        <w:rPr>
          <w:rFonts w:ascii="Times New Roman" w:hAnsi="Times New Roman" w:cs="Times New Roman"/>
          <w:lang w:eastAsia="en-GB"/>
        </w:rPr>
        <w:t xml:space="preserve"> qualitative questions</w:t>
      </w:r>
      <w:r>
        <w:rPr>
          <w:rFonts w:ascii="Times New Roman" w:hAnsi="Times New Roman" w:cs="Times New Roman"/>
          <w:lang w:eastAsia="en-GB"/>
        </w:rPr>
        <w:t>, each accompanied by an open text</w:t>
      </w:r>
      <w:r w:rsidR="0002070E">
        <w:rPr>
          <w:rFonts w:ascii="Times New Roman" w:hAnsi="Times New Roman" w:cs="Times New Roman"/>
          <w:lang w:eastAsia="en-GB"/>
        </w:rPr>
        <w:t xml:space="preserve"> </w:t>
      </w:r>
      <w:r>
        <w:rPr>
          <w:rFonts w:ascii="Times New Roman" w:hAnsi="Times New Roman" w:cs="Times New Roman"/>
          <w:lang w:eastAsia="en-GB"/>
        </w:rPr>
        <w:t>box</w:t>
      </w:r>
      <w:r w:rsidR="002010A3">
        <w:rPr>
          <w:rFonts w:ascii="Times New Roman" w:hAnsi="Times New Roman" w:cs="Times New Roman"/>
          <w:lang w:eastAsia="en-GB"/>
        </w:rPr>
        <w:t xml:space="preserve"> (see the Online Appendix)</w:t>
      </w:r>
      <w:r w:rsidR="00772255">
        <w:rPr>
          <w:rFonts w:ascii="Times New Roman" w:hAnsi="Times New Roman" w:cs="Times New Roman"/>
          <w:lang w:eastAsia="en-GB"/>
        </w:rPr>
        <w:t>. This led to a total dataset</w:t>
      </w:r>
      <w:r w:rsidR="00347AB5">
        <w:rPr>
          <w:rFonts w:ascii="Times New Roman" w:hAnsi="Times New Roman" w:cs="Times New Roman"/>
          <w:lang w:eastAsia="en-GB"/>
        </w:rPr>
        <w:t xml:space="preserve"> of</w:t>
      </w:r>
      <w:r w:rsidR="00772255">
        <w:rPr>
          <w:rFonts w:ascii="Times New Roman" w:hAnsi="Times New Roman" w:cs="Times New Roman"/>
          <w:lang w:eastAsia="en-GB"/>
        </w:rPr>
        <w:t xml:space="preserve"> 58,144</w:t>
      </w:r>
      <w:r w:rsidR="00772255" w:rsidRPr="007C7BB9">
        <w:rPr>
          <w:rFonts w:ascii="Times New Roman" w:hAnsi="Times New Roman" w:cs="Times New Roman"/>
          <w:lang w:eastAsia="en-GB"/>
        </w:rPr>
        <w:t xml:space="preserve"> words</w:t>
      </w:r>
      <w:r w:rsidR="0002070E">
        <w:rPr>
          <w:rFonts w:ascii="Times New Roman" w:hAnsi="Times New Roman" w:cs="Times New Roman"/>
          <w:lang w:eastAsia="en-GB"/>
        </w:rPr>
        <w:t>,</w:t>
      </w:r>
      <w:r w:rsidR="00772255">
        <w:rPr>
          <w:rFonts w:ascii="Times New Roman" w:hAnsi="Times New Roman" w:cs="Times New Roman"/>
          <w:lang w:eastAsia="en-GB"/>
        </w:rPr>
        <w:t xml:space="preserve"> </w:t>
      </w:r>
      <w:r w:rsidR="00991443">
        <w:rPr>
          <w:rFonts w:ascii="Times New Roman" w:hAnsi="Times New Roman" w:cs="Times New Roman"/>
          <w:lang w:eastAsia="en-GB"/>
        </w:rPr>
        <w:t xml:space="preserve">with participants taking an average of </w:t>
      </w:r>
      <w:r w:rsidR="00F92247">
        <w:rPr>
          <w:rFonts w:ascii="Times New Roman" w:hAnsi="Times New Roman" w:cs="Times New Roman"/>
          <w:lang w:eastAsia="en-GB"/>
        </w:rPr>
        <w:t>22</w:t>
      </w:r>
      <w:r w:rsidR="00991443">
        <w:rPr>
          <w:rFonts w:ascii="Times New Roman" w:hAnsi="Times New Roman" w:cs="Times New Roman"/>
          <w:lang w:eastAsia="en-GB"/>
        </w:rPr>
        <w:t xml:space="preserve"> minutes to complete the survey</w:t>
      </w:r>
      <w:r w:rsidR="002010A3">
        <w:rPr>
          <w:rFonts w:ascii="Times New Roman" w:hAnsi="Times New Roman" w:cs="Times New Roman"/>
          <w:lang w:eastAsia="en-GB"/>
        </w:rPr>
        <w:t>.</w:t>
      </w:r>
      <w:r w:rsidR="001C087A">
        <w:rPr>
          <w:rFonts w:ascii="Times New Roman" w:hAnsi="Times New Roman" w:cs="Times New Roman"/>
          <w:lang w:eastAsia="en-GB"/>
        </w:rPr>
        <w:t xml:space="preserve"> </w:t>
      </w:r>
      <w:r w:rsidR="003A06BD">
        <w:rPr>
          <w:rFonts w:ascii="Times New Roman" w:hAnsi="Times New Roman" w:cs="Times New Roman"/>
          <w:lang w:eastAsia="en-GB"/>
        </w:rPr>
        <w:t>These</w:t>
      </w:r>
      <w:r w:rsidR="00CB6154" w:rsidRPr="00CB6154">
        <w:rPr>
          <w:rFonts w:ascii="Times New Roman" w:hAnsi="Times New Roman" w:cs="Times New Roman"/>
          <w:lang w:eastAsia="en-GB"/>
        </w:rPr>
        <w:t xml:space="preserve"> data were analy</w:t>
      </w:r>
      <w:r w:rsidR="00CB6154">
        <w:rPr>
          <w:rFonts w:ascii="Times New Roman" w:hAnsi="Times New Roman" w:cs="Times New Roman"/>
          <w:lang w:eastAsia="en-GB"/>
        </w:rPr>
        <w:t>s</w:t>
      </w:r>
      <w:r w:rsidR="00CB6154" w:rsidRPr="00CB6154">
        <w:rPr>
          <w:rFonts w:ascii="Times New Roman" w:hAnsi="Times New Roman" w:cs="Times New Roman"/>
          <w:lang w:eastAsia="en-GB"/>
        </w:rPr>
        <w:t>ed</w:t>
      </w:r>
      <w:r w:rsidR="002323C1">
        <w:rPr>
          <w:rFonts w:ascii="Times New Roman" w:hAnsi="Times New Roman" w:cs="Times New Roman"/>
          <w:lang w:eastAsia="en-GB"/>
        </w:rPr>
        <w:t xml:space="preserve"> inductively</w:t>
      </w:r>
      <w:r w:rsidR="00CB6154" w:rsidRPr="00CB6154">
        <w:rPr>
          <w:rFonts w:ascii="Times New Roman" w:hAnsi="Times New Roman" w:cs="Times New Roman"/>
          <w:lang w:eastAsia="en-GB"/>
        </w:rPr>
        <w:t xml:space="preserve"> using reflexive thematic analysis to identify patterns across the dataset.</w:t>
      </w:r>
      <w:r w:rsidR="00CB6154">
        <w:rPr>
          <w:rStyle w:val="FootnoteReference"/>
          <w:rFonts w:ascii="Times New Roman" w:hAnsi="Times New Roman" w:cs="Times New Roman"/>
          <w:lang w:eastAsia="en-GB"/>
        </w:rPr>
        <w:footnoteReference w:id="101"/>
      </w:r>
    </w:p>
    <w:p w14:paraId="10CB03EE" w14:textId="5D382A93" w:rsidR="0032398C" w:rsidRDefault="00991443" w:rsidP="00BA2D09">
      <w:pPr>
        <w:rPr>
          <w:rFonts w:ascii="Times New Roman" w:hAnsi="Times New Roman" w:cs="Times New Roman"/>
          <w:lang w:eastAsia="en-GB"/>
        </w:rPr>
      </w:pPr>
      <w:r>
        <w:rPr>
          <w:rFonts w:ascii="Times New Roman" w:hAnsi="Times New Roman" w:cs="Times New Roman"/>
          <w:lang w:eastAsia="en-GB"/>
        </w:rPr>
        <w:t>The survey experiment was designed to test the</w:t>
      </w:r>
      <w:r w:rsidR="00BD79DE">
        <w:rPr>
          <w:rFonts w:ascii="Times New Roman" w:hAnsi="Times New Roman" w:cs="Times New Roman"/>
          <w:lang w:eastAsia="en-GB"/>
        </w:rPr>
        <w:t>se</w:t>
      </w:r>
      <w:r>
        <w:rPr>
          <w:rFonts w:ascii="Times New Roman" w:hAnsi="Times New Roman" w:cs="Times New Roman"/>
          <w:lang w:eastAsia="en-GB"/>
        </w:rPr>
        <w:t xml:space="preserve"> qualitative findings. I return to the hypotheses that underpin it </w:t>
      </w:r>
      <w:r w:rsidR="003A3D0E">
        <w:rPr>
          <w:rFonts w:ascii="Times New Roman" w:hAnsi="Times New Roman" w:cs="Times New Roman"/>
          <w:lang w:eastAsia="en-GB"/>
        </w:rPr>
        <w:t xml:space="preserve">in the dedicated section </w:t>
      </w:r>
      <w:r w:rsidR="00C53B82">
        <w:rPr>
          <w:rFonts w:ascii="Times New Roman" w:hAnsi="Times New Roman" w:cs="Times New Roman"/>
          <w:lang w:eastAsia="en-GB"/>
        </w:rPr>
        <w:t>below</w:t>
      </w:r>
      <w:r w:rsidR="0002070E">
        <w:rPr>
          <w:rFonts w:ascii="Times New Roman" w:hAnsi="Times New Roman" w:cs="Times New Roman"/>
          <w:lang w:eastAsia="en-GB"/>
        </w:rPr>
        <w:t>,</w:t>
      </w:r>
      <w:r w:rsidR="00C53B82">
        <w:rPr>
          <w:rFonts w:ascii="Times New Roman" w:hAnsi="Times New Roman" w:cs="Times New Roman"/>
          <w:lang w:eastAsia="en-GB"/>
        </w:rPr>
        <w:t xml:space="preserve"> but</w:t>
      </w:r>
      <w:r>
        <w:rPr>
          <w:rFonts w:ascii="Times New Roman" w:hAnsi="Times New Roman" w:cs="Times New Roman"/>
          <w:lang w:eastAsia="en-GB"/>
        </w:rPr>
        <w:t xml:space="preserve"> set out the broad approach here. </w:t>
      </w:r>
      <w:r w:rsidR="00C3425E">
        <w:rPr>
          <w:rFonts w:ascii="Times New Roman" w:hAnsi="Times New Roman" w:cs="Times New Roman"/>
          <w:lang w:eastAsia="en-GB"/>
        </w:rPr>
        <w:t>The survey design was</w:t>
      </w:r>
      <w:r w:rsidR="0032398C">
        <w:rPr>
          <w:rFonts w:ascii="Times New Roman" w:hAnsi="Times New Roman" w:cs="Times New Roman"/>
          <w:lang w:eastAsia="en-GB"/>
        </w:rPr>
        <w:t xml:space="preserve"> a scenario-based </w:t>
      </w:r>
      <w:r w:rsidR="00BA4366">
        <w:rPr>
          <w:rFonts w:ascii="Times New Roman" w:hAnsi="Times New Roman" w:cs="Times New Roman"/>
          <w:lang w:eastAsia="en-GB"/>
        </w:rPr>
        <w:t>‘</w:t>
      </w:r>
      <w:r w:rsidR="0032398C">
        <w:rPr>
          <w:rFonts w:ascii="Times New Roman" w:hAnsi="Times New Roman" w:cs="Times New Roman"/>
          <w:lang w:eastAsia="en-GB"/>
        </w:rPr>
        <w:t>2</w:t>
      </w:r>
      <w:r w:rsidR="0002070E">
        <w:rPr>
          <w:rFonts w:ascii="Times New Roman" w:hAnsi="Times New Roman" w:cs="Times New Roman"/>
          <w:lang w:eastAsia="en-GB"/>
        </w:rPr>
        <w:t>×</w:t>
      </w:r>
      <w:r w:rsidR="0032398C">
        <w:rPr>
          <w:rFonts w:ascii="Times New Roman" w:hAnsi="Times New Roman" w:cs="Times New Roman"/>
          <w:lang w:eastAsia="en-GB"/>
        </w:rPr>
        <w:t>2</w:t>
      </w:r>
      <w:r w:rsidR="00BA4366">
        <w:rPr>
          <w:rFonts w:ascii="Times New Roman" w:hAnsi="Times New Roman" w:cs="Times New Roman"/>
          <w:lang w:eastAsia="en-GB"/>
        </w:rPr>
        <w:t>’</w:t>
      </w:r>
      <w:r w:rsidR="0032398C">
        <w:rPr>
          <w:rFonts w:ascii="Times New Roman" w:hAnsi="Times New Roman" w:cs="Times New Roman"/>
          <w:lang w:eastAsia="en-GB"/>
        </w:rPr>
        <w:t xml:space="preserve"> experiment to test attitudes to different ways of introducing the </w:t>
      </w:r>
      <w:r w:rsidR="00BA4366">
        <w:rPr>
          <w:rFonts w:ascii="Times New Roman" w:hAnsi="Times New Roman" w:cs="Times New Roman"/>
          <w:lang w:eastAsia="en-GB"/>
        </w:rPr>
        <w:t>‘</w:t>
      </w:r>
      <w:r w:rsidR="0032398C">
        <w:rPr>
          <w:rFonts w:ascii="Times New Roman" w:hAnsi="Times New Roman" w:cs="Times New Roman"/>
          <w:lang w:eastAsia="en-GB"/>
        </w:rPr>
        <w:t>socio-economic duty</w:t>
      </w:r>
      <w:r w:rsidR="00BA4366">
        <w:rPr>
          <w:rFonts w:ascii="Times New Roman" w:hAnsi="Times New Roman" w:cs="Times New Roman"/>
          <w:lang w:eastAsia="en-GB"/>
        </w:rPr>
        <w:t>’</w:t>
      </w:r>
      <w:r w:rsidR="0032398C">
        <w:rPr>
          <w:rFonts w:ascii="Times New Roman" w:hAnsi="Times New Roman" w:cs="Times New Roman"/>
          <w:lang w:eastAsia="en-GB"/>
        </w:rPr>
        <w:t>.</w:t>
      </w:r>
      <w:r w:rsidR="00C53B82">
        <w:rPr>
          <w:rFonts w:ascii="Times New Roman" w:hAnsi="Times New Roman" w:cs="Times New Roman"/>
          <w:lang w:eastAsia="en-GB"/>
        </w:rPr>
        <w:t xml:space="preserve"> The use of experimental designs such as this has been growing both in </w:t>
      </w:r>
      <w:r w:rsidR="00C32BD2">
        <w:rPr>
          <w:rFonts w:ascii="Times New Roman" w:hAnsi="Times New Roman" w:cs="Times New Roman"/>
          <w:lang w:eastAsia="en-GB"/>
        </w:rPr>
        <w:t>blame avoidance</w:t>
      </w:r>
      <w:r w:rsidR="00C53B82">
        <w:rPr>
          <w:rFonts w:ascii="Times New Roman" w:hAnsi="Times New Roman" w:cs="Times New Roman"/>
          <w:lang w:eastAsia="en-GB"/>
        </w:rPr>
        <w:t xml:space="preserve"> research and socio-legal studies more generally.</w:t>
      </w:r>
      <w:r w:rsidR="00C53B82">
        <w:rPr>
          <w:rStyle w:val="FootnoteReference"/>
          <w:rFonts w:ascii="Times New Roman" w:hAnsi="Times New Roman" w:cs="Times New Roman"/>
          <w:lang w:eastAsia="en-GB"/>
        </w:rPr>
        <w:footnoteReference w:id="102"/>
      </w:r>
      <w:r w:rsidR="0032398C">
        <w:rPr>
          <w:rFonts w:ascii="Times New Roman" w:hAnsi="Times New Roman" w:cs="Times New Roman"/>
          <w:lang w:eastAsia="en-GB"/>
        </w:rPr>
        <w:t xml:space="preserve"> </w:t>
      </w:r>
      <w:r w:rsidR="00F87299">
        <w:rPr>
          <w:rFonts w:ascii="Times New Roman" w:hAnsi="Times New Roman" w:cs="Times New Roman"/>
          <w:lang w:eastAsia="en-GB"/>
        </w:rPr>
        <w:t xml:space="preserve">After a short explanation of the </w:t>
      </w:r>
      <w:r w:rsidR="00BA4366">
        <w:rPr>
          <w:rFonts w:ascii="Times New Roman" w:hAnsi="Times New Roman" w:cs="Times New Roman"/>
          <w:lang w:eastAsia="en-GB"/>
        </w:rPr>
        <w:t>‘</w:t>
      </w:r>
      <w:r w:rsidR="00F87299">
        <w:rPr>
          <w:rFonts w:ascii="Times New Roman" w:hAnsi="Times New Roman" w:cs="Times New Roman"/>
          <w:lang w:eastAsia="en-GB"/>
        </w:rPr>
        <w:t>socio-economic duty</w:t>
      </w:r>
      <w:r w:rsidR="00BA4366">
        <w:rPr>
          <w:rFonts w:ascii="Times New Roman" w:hAnsi="Times New Roman" w:cs="Times New Roman"/>
          <w:lang w:eastAsia="en-GB"/>
        </w:rPr>
        <w:t>’</w:t>
      </w:r>
      <w:r w:rsidR="0002070E">
        <w:rPr>
          <w:rFonts w:ascii="Times New Roman" w:hAnsi="Times New Roman" w:cs="Times New Roman"/>
          <w:lang w:eastAsia="en-GB"/>
        </w:rPr>
        <w:t>,</w:t>
      </w:r>
      <w:r w:rsidR="00F87299">
        <w:rPr>
          <w:rFonts w:ascii="Times New Roman" w:hAnsi="Times New Roman" w:cs="Times New Roman"/>
          <w:lang w:eastAsia="en-GB"/>
        </w:rPr>
        <w:t xml:space="preserve"> participants were </w:t>
      </w:r>
      <w:r w:rsidR="0032398C">
        <w:rPr>
          <w:rFonts w:ascii="Times New Roman" w:hAnsi="Times New Roman" w:cs="Times New Roman"/>
          <w:lang w:eastAsia="en-GB"/>
        </w:rPr>
        <w:t xml:space="preserve">allocated randomly between scenarios that varied across two criteria: whether it was accompanied by an increase in resources and whether the </w:t>
      </w:r>
      <w:r w:rsidR="006D21B6">
        <w:rPr>
          <w:rFonts w:ascii="Times New Roman" w:hAnsi="Times New Roman" w:cs="Times New Roman"/>
          <w:lang w:eastAsia="en-GB"/>
        </w:rPr>
        <w:t>EHRC</w:t>
      </w:r>
      <w:r w:rsidR="0032398C">
        <w:rPr>
          <w:rFonts w:ascii="Times New Roman" w:hAnsi="Times New Roman" w:cs="Times New Roman"/>
          <w:lang w:eastAsia="en-GB"/>
        </w:rPr>
        <w:t xml:space="preserve"> had specific enforcement powers.</w:t>
      </w:r>
      <w:r w:rsidR="00830989">
        <w:rPr>
          <w:rFonts w:ascii="Times New Roman" w:hAnsi="Times New Roman" w:cs="Times New Roman"/>
          <w:lang w:eastAsia="en-GB"/>
        </w:rPr>
        <w:t xml:space="preserve"> These experimental treatments are set out in Figure </w:t>
      </w:r>
      <w:r w:rsidR="0002070E">
        <w:rPr>
          <w:rFonts w:ascii="Times New Roman" w:hAnsi="Times New Roman" w:cs="Times New Roman"/>
          <w:lang w:eastAsia="en-GB"/>
        </w:rPr>
        <w:t>2</w:t>
      </w:r>
      <w:r w:rsidR="00830989">
        <w:rPr>
          <w:rFonts w:ascii="Times New Roman" w:hAnsi="Times New Roman" w:cs="Times New Roman"/>
          <w:lang w:eastAsia="en-GB"/>
        </w:rPr>
        <w:t>.</w:t>
      </w:r>
    </w:p>
    <w:p w14:paraId="0DE74C6B" w14:textId="25C0CAFA" w:rsidR="00F87299" w:rsidRPr="00BA2D09" w:rsidRDefault="00F87299" w:rsidP="00BA2D09">
      <w:pPr>
        <w:pStyle w:val="Caption"/>
      </w:pPr>
      <w:r w:rsidRPr="00BA2D09">
        <w:rPr>
          <w:b/>
        </w:rPr>
        <w:t xml:space="preserve">Figure </w:t>
      </w:r>
      <w:r w:rsidR="0002070E">
        <w:rPr>
          <w:b/>
          <w:bCs/>
          <w:lang w:eastAsia="en-GB"/>
        </w:rPr>
        <w:t>2</w:t>
      </w:r>
      <w:r w:rsidR="002D7E66">
        <w:rPr>
          <w:b/>
          <w:bCs/>
          <w:lang w:eastAsia="en-GB"/>
        </w:rPr>
        <w:t>.</w:t>
      </w:r>
      <w:r w:rsidRPr="00BA2D09">
        <w:rPr>
          <w:b/>
        </w:rPr>
        <w:t xml:space="preserve"> </w:t>
      </w:r>
      <w:r w:rsidRPr="00BA2D09">
        <w:t xml:space="preserve">Experimental treatments for </w:t>
      </w:r>
      <w:r w:rsidR="00BA4366" w:rsidRPr="00BA2D09">
        <w:t>‘</w:t>
      </w:r>
      <w:r w:rsidRPr="00BA2D09">
        <w:t>resources</w:t>
      </w:r>
      <w:r w:rsidR="00BA4366" w:rsidRPr="00BA2D09">
        <w:t>’</w:t>
      </w:r>
      <w:r w:rsidRPr="00BA2D09">
        <w:t xml:space="preserve"> and </w:t>
      </w:r>
      <w:r w:rsidR="00BA4366" w:rsidRPr="00BA2D09">
        <w:t>‘</w:t>
      </w:r>
      <w:r w:rsidRPr="00BA2D09">
        <w:t>enforcement</w:t>
      </w:r>
      <w:r w:rsidR="00BA4366" w:rsidRPr="00BA2D09">
        <w:t>’</w:t>
      </w:r>
      <w:r w:rsidRPr="00BA2D09">
        <w:t xml:space="preserve"> in the survey experiment</w:t>
      </w:r>
      <w:r w:rsidR="0002070E">
        <w:rPr>
          <w:lang w:eastAsia="en-GB"/>
        </w:rPr>
        <w:t>.</w:t>
      </w:r>
    </w:p>
    <w:tbl>
      <w:tblPr>
        <w:tblStyle w:val="TableGrid"/>
        <w:tblW w:w="0" w:type="auto"/>
        <w:tblLook w:val="04A0" w:firstRow="1" w:lastRow="0" w:firstColumn="1" w:lastColumn="0" w:noHBand="0" w:noVBand="1"/>
      </w:tblPr>
      <w:tblGrid>
        <w:gridCol w:w="9016"/>
      </w:tblGrid>
      <w:tr w:rsidR="00F87299" w14:paraId="7710D0C3" w14:textId="77777777" w:rsidTr="00F87299">
        <w:tc>
          <w:tcPr>
            <w:tcW w:w="9016" w:type="dxa"/>
          </w:tcPr>
          <w:p w14:paraId="6B363603" w14:textId="77777777" w:rsidR="00F87299" w:rsidRDefault="00F87299" w:rsidP="00BA2D09">
            <w:pPr>
              <w:rPr>
                <w:rFonts w:ascii="Times New Roman" w:hAnsi="Times New Roman" w:cs="Times New Roman"/>
                <w:lang w:eastAsia="en-GB"/>
              </w:rPr>
            </w:pPr>
          </w:p>
          <w:p w14:paraId="056BA97E" w14:textId="7037A28C" w:rsidR="00F87299" w:rsidRPr="00F87299" w:rsidRDefault="00F87299" w:rsidP="00BA2D09">
            <w:pPr>
              <w:spacing w:after="160"/>
              <w:rPr>
                <w:rFonts w:ascii="Times New Roman" w:hAnsi="Times New Roman" w:cs="Times New Roman"/>
                <w:lang w:eastAsia="en-GB"/>
              </w:rPr>
            </w:pPr>
            <w:r w:rsidRPr="00F87299">
              <w:rPr>
                <w:rFonts w:ascii="Times New Roman" w:hAnsi="Times New Roman" w:cs="Times New Roman"/>
                <w:lang w:eastAsia="en-GB"/>
              </w:rPr>
              <w:t xml:space="preserve">As part of implementing this socio-economic duty, the </w:t>
            </w:r>
            <w:r w:rsidR="0093613D">
              <w:rPr>
                <w:rFonts w:ascii="Times New Roman" w:hAnsi="Times New Roman" w:cs="Times New Roman"/>
                <w:lang w:eastAsia="en-GB"/>
              </w:rPr>
              <w:t>government</w:t>
            </w:r>
            <w:r w:rsidRPr="00F87299">
              <w:rPr>
                <w:rFonts w:ascii="Times New Roman" w:hAnsi="Times New Roman" w:cs="Times New Roman"/>
                <w:lang w:eastAsia="en-GB"/>
              </w:rPr>
              <w:t xml:space="preserve"> has made announcements about </w:t>
            </w:r>
            <w:r w:rsidRPr="00F87299">
              <w:rPr>
                <w:rFonts w:ascii="Times New Roman" w:hAnsi="Times New Roman" w:cs="Times New Roman"/>
                <w:b/>
                <w:bCs/>
                <w:lang w:eastAsia="en-GB"/>
              </w:rPr>
              <w:t>funding</w:t>
            </w:r>
            <w:r w:rsidRPr="00F87299">
              <w:rPr>
                <w:rFonts w:ascii="Times New Roman" w:hAnsi="Times New Roman" w:cs="Times New Roman"/>
                <w:lang w:eastAsia="en-GB"/>
              </w:rPr>
              <w:t> and </w:t>
            </w:r>
            <w:r w:rsidRPr="00F87299">
              <w:rPr>
                <w:rFonts w:ascii="Times New Roman" w:hAnsi="Times New Roman" w:cs="Times New Roman"/>
                <w:b/>
                <w:bCs/>
                <w:lang w:eastAsia="en-GB"/>
              </w:rPr>
              <w:t>enforcement</w:t>
            </w:r>
            <w:r w:rsidRPr="00F87299">
              <w:rPr>
                <w:rFonts w:ascii="Times New Roman" w:hAnsi="Times New Roman" w:cs="Times New Roman"/>
                <w:lang w:eastAsia="en-GB"/>
              </w:rPr>
              <w:t> of the duty.</w:t>
            </w:r>
          </w:p>
          <w:p w14:paraId="0E51F54F" w14:textId="00229B6B" w:rsidR="00F87299" w:rsidRDefault="00F87299" w:rsidP="00BA2D09">
            <w:pPr>
              <w:numPr>
                <w:ilvl w:val="0"/>
                <w:numId w:val="34"/>
              </w:numPr>
              <w:spacing w:after="160"/>
              <w:rPr>
                <w:rFonts w:ascii="Times New Roman" w:hAnsi="Times New Roman" w:cs="Times New Roman"/>
                <w:lang w:eastAsia="en-GB"/>
              </w:rPr>
            </w:pPr>
            <w:r w:rsidRPr="00F87299">
              <w:rPr>
                <w:rFonts w:ascii="Times New Roman" w:hAnsi="Times New Roman" w:cs="Times New Roman"/>
                <w:i/>
                <w:iCs/>
                <w:lang w:eastAsia="en-GB"/>
              </w:rPr>
              <w:t>[Resources present]</w:t>
            </w:r>
            <w:r>
              <w:rPr>
                <w:rFonts w:ascii="Times New Roman" w:hAnsi="Times New Roman" w:cs="Times New Roman"/>
                <w:b/>
                <w:bCs/>
                <w:lang w:eastAsia="en-GB"/>
              </w:rPr>
              <w:t xml:space="preserve"> </w:t>
            </w:r>
            <w:r w:rsidRPr="00F87299">
              <w:rPr>
                <w:rFonts w:ascii="Times New Roman" w:hAnsi="Times New Roman" w:cs="Times New Roman"/>
                <w:b/>
                <w:bCs/>
                <w:lang w:eastAsia="en-GB"/>
              </w:rPr>
              <w:t>On funding</w:t>
            </w:r>
            <w:r w:rsidRPr="00BA2D09">
              <w:t>, </w:t>
            </w:r>
            <w:r w:rsidRPr="0002070E">
              <w:rPr>
                <w:rFonts w:ascii="Times New Roman" w:hAnsi="Times New Roman" w:cs="Times New Roman"/>
                <w:u w:val="single"/>
                <w:lang w:eastAsia="en-GB"/>
              </w:rPr>
              <w:t>£20 million in new funding </w:t>
            </w:r>
            <w:r w:rsidRPr="00BA2D09">
              <w:rPr>
                <w:rFonts w:ascii="Times New Roman" w:hAnsi="Times New Roman"/>
                <w:u w:val="single"/>
              </w:rPr>
              <w:t>will be allocated</w:t>
            </w:r>
            <w:r w:rsidRPr="00F87299">
              <w:rPr>
                <w:rFonts w:ascii="Times New Roman" w:hAnsi="Times New Roman" w:cs="Times New Roman"/>
                <w:lang w:eastAsia="en-GB"/>
              </w:rPr>
              <w:t xml:space="preserve"> to support public bodies in implementing the duty. Each authority will receive funding proportionate to its size.</w:t>
            </w:r>
          </w:p>
          <w:p w14:paraId="673E5AE1" w14:textId="5564759E" w:rsidR="00F87299" w:rsidRDefault="00F87299" w:rsidP="00BA2D09">
            <w:pPr>
              <w:spacing w:after="160"/>
              <w:ind w:left="720"/>
              <w:rPr>
                <w:rFonts w:ascii="Times New Roman" w:hAnsi="Times New Roman" w:cs="Times New Roman"/>
                <w:lang w:eastAsia="en-GB"/>
              </w:rPr>
            </w:pPr>
            <w:r>
              <w:rPr>
                <w:rFonts w:ascii="Times New Roman" w:hAnsi="Times New Roman" w:cs="Times New Roman"/>
                <w:i/>
                <w:iCs/>
                <w:lang w:eastAsia="en-GB"/>
              </w:rPr>
              <w:t>[OR]</w:t>
            </w:r>
          </w:p>
          <w:p w14:paraId="57375817" w14:textId="6F68C216" w:rsidR="00F87299" w:rsidRDefault="00F87299" w:rsidP="00BA2D09">
            <w:pPr>
              <w:numPr>
                <w:ilvl w:val="0"/>
                <w:numId w:val="34"/>
              </w:numPr>
              <w:spacing w:after="160"/>
              <w:rPr>
                <w:rFonts w:ascii="Times New Roman" w:hAnsi="Times New Roman" w:cs="Times New Roman"/>
                <w:lang w:eastAsia="en-GB"/>
              </w:rPr>
            </w:pPr>
            <w:r w:rsidRPr="00F87299">
              <w:rPr>
                <w:rFonts w:ascii="Times New Roman" w:hAnsi="Times New Roman" w:cs="Times New Roman"/>
                <w:i/>
                <w:iCs/>
                <w:lang w:eastAsia="en-GB"/>
              </w:rPr>
              <w:t xml:space="preserve">[Resources </w:t>
            </w:r>
            <w:r>
              <w:rPr>
                <w:rFonts w:ascii="Times New Roman" w:hAnsi="Times New Roman" w:cs="Times New Roman"/>
                <w:i/>
                <w:iCs/>
                <w:lang w:eastAsia="en-GB"/>
              </w:rPr>
              <w:t>absent</w:t>
            </w:r>
            <w:r w:rsidRPr="00F87299">
              <w:rPr>
                <w:rFonts w:ascii="Times New Roman" w:hAnsi="Times New Roman" w:cs="Times New Roman"/>
                <w:i/>
                <w:iCs/>
                <w:lang w:eastAsia="en-GB"/>
              </w:rPr>
              <w:t>]</w:t>
            </w:r>
            <w:r>
              <w:t xml:space="preserve"> </w:t>
            </w:r>
            <w:r w:rsidRPr="00F87299">
              <w:rPr>
                <w:rFonts w:ascii="Times New Roman" w:hAnsi="Times New Roman" w:cs="Times New Roman"/>
                <w:b/>
                <w:bCs/>
                <w:lang w:eastAsia="en-GB"/>
              </w:rPr>
              <w:t>On funding</w:t>
            </w:r>
            <w:r w:rsidRPr="00F87299">
              <w:rPr>
                <w:rFonts w:ascii="Times New Roman" w:hAnsi="Times New Roman" w:cs="Times New Roman"/>
                <w:lang w:eastAsia="en-GB"/>
              </w:rPr>
              <w:t xml:space="preserve">, </w:t>
            </w:r>
            <w:r w:rsidRPr="00F87299">
              <w:rPr>
                <w:rFonts w:ascii="Times New Roman" w:hAnsi="Times New Roman" w:cs="Times New Roman"/>
                <w:u w:val="single"/>
                <w:lang w:eastAsia="en-GB"/>
              </w:rPr>
              <w:t>no additional funding will be provided</w:t>
            </w:r>
            <w:r w:rsidRPr="00F87299">
              <w:rPr>
                <w:rFonts w:ascii="Times New Roman" w:hAnsi="Times New Roman" w:cs="Times New Roman"/>
                <w:lang w:eastAsia="en-GB"/>
              </w:rPr>
              <w:t xml:space="preserve"> to public bodies for implementing the duty. Public bodies are expected to incorporate any implementation costs within existing budgets.</w:t>
            </w:r>
          </w:p>
          <w:p w14:paraId="2A1EC666" w14:textId="51D9AD4A" w:rsidR="00F87299" w:rsidRPr="00F87299" w:rsidRDefault="00F87299" w:rsidP="00BA2D09">
            <w:pPr>
              <w:spacing w:after="160"/>
              <w:ind w:left="720"/>
              <w:rPr>
                <w:rFonts w:ascii="Times New Roman" w:hAnsi="Times New Roman" w:cs="Times New Roman"/>
                <w:lang w:eastAsia="en-GB"/>
              </w:rPr>
            </w:pPr>
            <w:r>
              <w:rPr>
                <w:rFonts w:ascii="Times New Roman" w:hAnsi="Times New Roman" w:cs="Times New Roman"/>
                <w:i/>
                <w:iCs/>
                <w:lang w:eastAsia="en-GB"/>
              </w:rPr>
              <w:t>[AND]</w:t>
            </w:r>
          </w:p>
          <w:p w14:paraId="793C8374" w14:textId="39E6310C" w:rsidR="00F87299" w:rsidRDefault="00F87299" w:rsidP="00BA2D09">
            <w:pPr>
              <w:numPr>
                <w:ilvl w:val="0"/>
                <w:numId w:val="34"/>
              </w:numPr>
              <w:spacing w:after="160"/>
              <w:rPr>
                <w:rFonts w:ascii="Times New Roman" w:hAnsi="Times New Roman" w:cs="Times New Roman"/>
                <w:lang w:eastAsia="en-GB"/>
              </w:rPr>
            </w:pPr>
            <w:r w:rsidRPr="00F87299">
              <w:rPr>
                <w:rFonts w:ascii="Times New Roman" w:hAnsi="Times New Roman" w:cs="Times New Roman"/>
                <w:i/>
                <w:iCs/>
                <w:lang w:eastAsia="en-GB"/>
              </w:rPr>
              <w:t>[</w:t>
            </w:r>
            <w:r>
              <w:rPr>
                <w:rFonts w:ascii="Times New Roman" w:hAnsi="Times New Roman" w:cs="Times New Roman"/>
                <w:i/>
                <w:iCs/>
                <w:lang w:eastAsia="en-GB"/>
              </w:rPr>
              <w:t>Enforcement</w:t>
            </w:r>
            <w:r w:rsidRPr="00F87299">
              <w:rPr>
                <w:rFonts w:ascii="Times New Roman" w:hAnsi="Times New Roman" w:cs="Times New Roman"/>
                <w:i/>
                <w:iCs/>
                <w:lang w:eastAsia="en-GB"/>
              </w:rPr>
              <w:t xml:space="preserve"> present]</w:t>
            </w:r>
            <w:r>
              <w:rPr>
                <w:rFonts w:ascii="Times New Roman" w:hAnsi="Times New Roman" w:cs="Times New Roman"/>
                <w:b/>
                <w:bCs/>
                <w:lang w:eastAsia="en-GB"/>
              </w:rPr>
              <w:t xml:space="preserve"> </w:t>
            </w:r>
            <w:r w:rsidRPr="00F87299">
              <w:rPr>
                <w:rFonts w:ascii="Times New Roman" w:hAnsi="Times New Roman" w:cs="Times New Roman"/>
                <w:b/>
                <w:bCs/>
                <w:lang w:eastAsia="en-GB"/>
              </w:rPr>
              <w:t>On enforcement</w:t>
            </w:r>
            <w:r w:rsidRPr="00BA2D09">
              <w:t>, </w:t>
            </w:r>
            <w:r w:rsidRPr="00F87299">
              <w:rPr>
                <w:rFonts w:ascii="Times New Roman" w:hAnsi="Times New Roman" w:cs="Times New Roman"/>
                <w:lang w:eastAsia="en-GB"/>
              </w:rPr>
              <w:t>the Equality and Human Rights Commission</w:t>
            </w:r>
            <w:r w:rsidRPr="00F87299">
              <w:rPr>
                <w:rFonts w:ascii="Times New Roman" w:hAnsi="Times New Roman" w:cs="Times New Roman"/>
                <w:b/>
                <w:bCs/>
                <w:lang w:eastAsia="en-GB"/>
              </w:rPr>
              <w:t> </w:t>
            </w:r>
            <w:r w:rsidRPr="00F87299">
              <w:rPr>
                <w:rFonts w:ascii="Times New Roman" w:hAnsi="Times New Roman" w:cs="Times New Roman"/>
                <w:u w:val="single"/>
                <w:lang w:eastAsia="en-GB"/>
              </w:rPr>
              <w:t>will be given specific powers to enforce the duty</w:t>
            </w:r>
            <w:r w:rsidRPr="00F87299">
              <w:rPr>
                <w:rFonts w:ascii="Times New Roman" w:hAnsi="Times New Roman" w:cs="Times New Roman"/>
                <w:lang w:eastAsia="en-GB"/>
              </w:rPr>
              <w:t>, including issuing compliance notices to public bodies that fail to meet their equality duties and specifying actions they must take.</w:t>
            </w:r>
          </w:p>
          <w:p w14:paraId="0D899F75" w14:textId="449BA243" w:rsidR="00F87299" w:rsidRDefault="00F87299" w:rsidP="00BA2D09">
            <w:pPr>
              <w:spacing w:after="160"/>
              <w:ind w:left="720"/>
              <w:rPr>
                <w:rFonts w:ascii="Times New Roman" w:hAnsi="Times New Roman" w:cs="Times New Roman"/>
                <w:lang w:eastAsia="en-GB"/>
              </w:rPr>
            </w:pPr>
            <w:r>
              <w:rPr>
                <w:rFonts w:ascii="Times New Roman" w:hAnsi="Times New Roman" w:cs="Times New Roman"/>
                <w:i/>
                <w:iCs/>
                <w:lang w:eastAsia="en-GB"/>
              </w:rPr>
              <w:t>[OR]</w:t>
            </w:r>
          </w:p>
          <w:p w14:paraId="5AE3FA93" w14:textId="5C7A2DEC" w:rsidR="00F87299" w:rsidRDefault="00F87299" w:rsidP="00BA2D09">
            <w:pPr>
              <w:numPr>
                <w:ilvl w:val="0"/>
                <w:numId w:val="34"/>
              </w:numPr>
              <w:spacing w:after="160"/>
              <w:rPr>
                <w:rFonts w:ascii="Times New Roman" w:hAnsi="Times New Roman" w:cs="Times New Roman"/>
                <w:lang w:eastAsia="en-GB"/>
              </w:rPr>
            </w:pPr>
            <w:r w:rsidRPr="00F87299">
              <w:rPr>
                <w:rFonts w:ascii="Times New Roman" w:hAnsi="Times New Roman" w:cs="Times New Roman"/>
                <w:i/>
                <w:iCs/>
                <w:lang w:eastAsia="en-GB"/>
              </w:rPr>
              <w:t>[</w:t>
            </w:r>
            <w:r>
              <w:rPr>
                <w:rFonts w:ascii="Times New Roman" w:hAnsi="Times New Roman" w:cs="Times New Roman"/>
                <w:i/>
                <w:iCs/>
                <w:lang w:eastAsia="en-GB"/>
              </w:rPr>
              <w:t>Enforcement</w:t>
            </w:r>
            <w:r w:rsidRPr="00F87299">
              <w:rPr>
                <w:rFonts w:ascii="Times New Roman" w:hAnsi="Times New Roman" w:cs="Times New Roman"/>
                <w:i/>
                <w:iCs/>
                <w:lang w:eastAsia="en-GB"/>
              </w:rPr>
              <w:t xml:space="preserve"> </w:t>
            </w:r>
            <w:r>
              <w:rPr>
                <w:rFonts w:ascii="Times New Roman" w:hAnsi="Times New Roman" w:cs="Times New Roman"/>
                <w:i/>
                <w:iCs/>
                <w:lang w:eastAsia="en-GB"/>
              </w:rPr>
              <w:t>absent</w:t>
            </w:r>
            <w:r w:rsidRPr="00F87299">
              <w:rPr>
                <w:rFonts w:ascii="Times New Roman" w:hAnsi="Times New Roman" w:cs="Times New Roman"/>
                <w:i/>
                <w:iCs/>
                <w:lang w:eastAsia="en-GB"/>
              </w:rPr>
              <w:t>]</w:t>
            </w:r>
            <w:r>
              <w:rPr>
                <w:rFonts w:ascii="Times New Roman" w:hAnsi="Times New Roman" w:cs="Times New Roman"/>
                <w:i/>
                <w:iCs/>
                <w:lang w:eastAsia="en-GB"/>
              </w:rPr>
              <w:t xml:space="preserve"> </w:t>
            </w:r>
            <w:r w:rsidRPr="00F87299">
              <w:rPr>
                <w:rFonts w:ascii="Times New Roman" w:hAnsi="Times New Roman" w:cs="Times New Roman"/>
                <w:b/>
                <w:bCs/>
                <w:lang w:eastAsia="en-GB"/>
              </w:rPr>
              <w:t>On enforcement</w:t>
            </w:r>
            <w:r w:rsidRPr="00BA2D09">
              <w:t>, </w:t>
            </w:r>
            <w:r w:rsidRPr="00F87299">
              <w:rPr>
                <w:rFonts w:ascii="Times New Roman" w:hAnsi="Times New Roman" w:cs="Times New Roman"/>
                <w:lang w:eastAsia="en-GB"/>
              </w:rPr>
              <w:t>the Equality and Human Rights Commission will provide guidance to public bodies, but </w:t>
            </w:r>
            <w:r w:rsidRPr="00F87299">
              <w:rPr>
                <w:rFonts w:ascii="Times New Roman" w:hAnsi="Times New Roman" w:cs="Times New Roman"/>
                <w:u w:val="single"/>
                <w:lang w:eastAsia="en-GB"/>
              </w:rPr>
              <w:t>will not have any specific powers to enforce the duty.</w:t>
            </w:r>
          </w:p>
        </w:tc>
      </w:tr>
    </w:tbl>
    <w:p w14:paraId="30D2E7E5" w14:textId="77777777" w:rsidR="006F00B2" w:rsidRDefault="006F00B2" w:rsidP="00BA2D09">
      <w:pPr>
        <w:rPr>
          <w:rFonts w:ascii="Times New Roman" w:hAnsi="Times New Roman" w:cs="Times New Roman"/>
          <w:lang w:eastAsia="en-GB"/>
        </w:rPr>
      </w:pPr>
    </w:p>
    <w:p w14:paraId="45896383" w14:textId="356896DB" w:rsidR="00705BB7" w:rsidRPr="007C7BB9" w:rsidRDefault="00F87299" w:rsidP="00BA2D09">
      <w:pPr>
        <w:rPr>
          <w:rFonts w:ascii="Times New Roman" w:hAnsi="Times New Roman" w:cs="Times New Roman"/>
          <w:lang w:eastAsia="en-GB"/>
        </w:rPr>
      </w:pPr>
      <w:r>
        <w:rPr>
          <w:rFonts w:ascii="Times New Roman" w:hAnsi="Times New Roman" w:cs="Times New Roman"/>
          <w:lang w:eastAsia="en-GB"/>
        </w:rPr>
        <w:t>This 2</w:t>
      </w:r>
      <w:r w:rsidR="0002070E">
        <w:rPr>
          <w:rFonts w:ascii="Times New Roman" w:hAnsi="Times New Roman" w:cs="Times New Roman"/>
          <w:lang w:eastAsia="en-GB"/>
        </w:rPr>
        <w:t>×</w:t>
      </w:r>
      <w:r>
        <w:rPr>
          <w:rFonts w:ascii="Times New Roman" w:hAnsi="Times New Roman" w:cs="Times New Roman"/>
          <w:lang w:eastAsia="en-GB"/>
        </w:rPr>
        <w:t>2 design therefore provides four possible scenarios: resources present with high enforcement</w:t>
      </w:r>
      <w:r w:rsidR="00332A07">
        <w:rPr>
          <w:rFonts w:ascii="Times New Roman" w:hAnsi="Times New Roman" w:cs="Times New Roman"/>
          <w:lang w:eastAsia="en-GB"/>
        </w:rPr>
        <w:t>;</w:t>
      </w:r>
      <w:r>
        <w:rPr>
          <w:rFonts w:ascii="Times New Roman" w:hAnsi="Times New Roman" w:cs="Times New Roman"/>
          <w:lang w:eastAsia="en-GB"/>
        </w:rPr>
        <w:t xml:space="preserve"> resources present with low enforcement</w:t>
      </w:r>
      <w:r w:rsidR="00332A07">
        <w:rPr>
          <w:rFonts w:ascii="Times New Roman" w:hAnsi="Times New Roman" w:cs="Times New Roman"/>
          <w:lang w:eastAsia="en-GB"/>
        </w:rPr>
        <w:t>;</w:t>
      </w:r>
      <w:r>
        <w:rPr>
          <w:rFonts w:ascii="Times New Roman" w:hAnsi="Times New Roman" w:cs="Times New Roman"/>
          <w:lang w:eastAsia="en-GB"/>
        </w:rPr>
        <w:t xml:space="preserve"> resources absent with high enforcement</w:t>
      </w:r>
      <w:r w:rsidR="00332A07">
        <w:rPr>
          <w:rFonts w:ascii="Times New Roman" w:hAnsi="Times New Roman" w:cs="Times New Roman"/>
          <w:lang w:eastAsia="en-GB"/>
        </w:rPr>
        <w:t>;</w:t>
      </w:r>
      <w:r>
        <w:rPr>
          <w:rFonts w:ascii="Times New Roman" w:hAnsi="Times New Roman" w:cs="Times New Roman"/>
          <w:lang w:eastAsia="en-GB"/>
        </w:rPr>
        <w:t xml:space="preserve"> and resources absent with low enforcement. Statistical analyses can then reveal whether these different scenarios have a significant impact on the dependent variables explored in the survey. These dependent variables included questions </w:t>
      </w:r>
      <w:r w:rsidR="00332A07">
        <w:rPr>
          <w:rFonts w:ascii="Times New Roman" w:hAnsi="Times New Roman" w:cs="Times New Roman"/>
          <w:lang w:eastAsia="en-GB"/>
        </w:rPr>
        <w:t xml:space="preserve">about </w:t>
      </w:r>
      <w:r w:rsidR="006671FE">
        <w:rPr>
          <w:rFonts w:ascii="Times New Roman" w:hAnsi="Times New Roman" w:cs="Times New Roman"/>
          <w:lang w:eastAsia="en-GB"/>
        </w:rPr>
        <w:t xml:space="preserve">the </w:t>
      </w:r>
      <w:r>
        <w:rPr>
          <w:rFonts w:ascii="Times New Roman" w:hAnsi="Times New Roman" w:cs="Times New Roman"/>
          <w:lang w:eastAsia="en-GB"/>
        </w:rPr>
        <w:t>extent</w:t>
      </w:r>
      <w:r w:rsidR="006671FE">
        <w:rPr>
          <w:rFonts w:ascii="Times New Roman" w:hAnsi="Times New Roman" w:cs="Times New Roman"/>
          <w:lang w:eastAsia="en-GB"/>
        </w:rPr>
        <w:t xml:space="preserve"> to which</w:t>
      </w:r>
      <w:r>
        <w:rPr>
          <w:rFonts w:ascii="Times New Roman" w:hAnsi="Times New Roman" w:cs="Times New Roman"/>
          <w:lang w:eastAsia="en-GB"/>
        </w:rPr>
        <w:t xml:space="preserve"> the participants thought the policy would be effective</w:t>
      </w:r>
      <w:r w:rsidR="00341402">
        <w:rPr>
          <w:rFonts w:ascii="Times New Roman" w:hAnsi="Times New Roman" w:cs="Times New Roman"/>
          <w:lang w:eastAsia="en-GB"/>
        </w:rPr>
        <w:t xml:space="preserve"> and</w:t>
      </w:r>
      <w:r>
        <w:rPr>
          <w:rFonts w:ascii="Times New Roman" w:hAnsi="Times New Roman" w:cs="Times New Roman"/>
          <w:lang w:eastAsia="en-GB"/>
        </w:rPr>
        <w:t xml:space="preserve"> to what extent it would be a </w:t>
      </w:r>
      <w:r w:rsidR="00BA4366">
        <w:rPr>
          <w:rFonts w:ascii="Times New Roman" w:hAnsi="Times New Roman" w:cs="Times New Roman"/>
          <w:lang w:eastAsia="en-GB"/>
        </w:rPr>
        <w:t>‘</w:t>
      </w:r>
      <w:r w:rsidR="00265B1B" w:rsidRPr="00BA2D09">
        <w:t>tick</w:t>
      </w:r>
      <w:r w:rsidR="00265B1B" w:rsidRPr="00332A07">
        <w:t>-</w:t>
      </w:r>
      <w:r w:rsidR="00265B1B" w:rsidRPr="00BA2D09">
        <w:t>box</w:t>
      </w:r>
      <w:r w:rsidR="00BA4366" w:rsidRPr="00BA2D09">
        <w:t>’</w:t>
      </w:r>
      <w:r w:rsidRPr="00BA2D09">
        <w:t xml:space="preserve"> </w:t>
      </w:r>
      <w:r>
        <w:rPr>
          <w:rFonts w:ascii="Times New Roman" w:hAnsi="Times New Roman" w:cs="Times New Roman"/>
          <w:lang w:eastAsia="en-GB"/>
        </w:rPr>
        <w:t>exercise.</w:t>
      </w:r>
      <w:r w:rsidR="00BB77DB">
        <w:rPr>
          <w:rFonts w:ascii="Times New Roman" w:hAnsi="Times New Roman" w:cs="Times New Roman"/>
          <w:lang w:eastAsia="en-GB"/>
        </w:rPr>
        <w:t xml:space="preserve"> </w:t>
      </w:r>
      <w:r w:rsidR="00BB77DB" w:rsidRPr="001272AA">
        <w:rPr>
          <w:rFonts w:ascii="Times New Roman" w:hAnsi="Times New Roman" w:cs="Times New Roman"/>
          <w:lang w:eastAsia="en-GB"/>
        </w:rPr>
        <w:t>The survey design is set out in the</w:t>
      </w:r>
      <w:r w:rsidR="001272AA">
        <w:rPr>
          <w:rFonts w:ascii="Times New Roman" w:hAnsi="Times New Roman" w:cs="Times New Roman"/>
          <w:lang w:eastAsia="en-GB"/>
        </w:rPr>
        <w:t xml:space="preserve"> Online</w:t>
      </w:r>
      <w:r w:rsidR="00BB77DB" w:rsidRPr="001272AA">
        <w:rPr>
          <w:rFonts w:ascii="Times New Roman" w:hAnsi="Times New Roman" w:cs="Times New Roman"/>
          <w:lang w:eastAsia="en-GB"/>
        </w:rPr>
        <w:t xml:space="preserve"> Appendix.</w:t>
      </w:r>
    </w:p>
    <w:p w14:paraId="42BB6DA2" w14:textId="79C5F8F4" w:rsidR="00705BB7" w:rsidRPr="007C7BB9" w:rsidRDefault="002D7E66" w:rsidP="00BA4366">
      <w:pPr>
        <w:pStyle w:val="Heading1"/>
        <w:numPr>
          <w:ilvl w:val="0"/>
          <w:numId w:val="38"/>
        </w:numPr>
        <w:rPr>
          <w:rFonts w:ascii="Times New Roman" w:hAnsi="Times New Roman" w:cs="Times New Roman"/>
          <w:lang w:eastAsia="en-GB"/>
        </w:rPr>
      </w:pPr>
      <w:r>
        <w:rPr>
          <w:rFonts w:ascii="Times New Roman" w:hAnsi="Times New Roman" w:cs="Times New Roman"/>
          <w:lang w:eastAsia="en-GB"/>
        </w:rPr>
        <w:lastRenderedPageBreak/>
        <w:t xml:space="preserve">Qualitative Findings: Resources, Tick-Boxes </w:t>
      </w:r>
      <w:r w:rsidR="00344401">
        <w:rPr>
          <w:rFonts w:ascii="Times New Roman" w:hAnsi="Times New Roman" w:cs="Times New Roman"/>
          <w:lang w:eastAsia="en-GB"/>
        </w:rPr>
        <w:t xml:space="preserve">and </w:t>
      </w:r>
      <w:r>
        <w:rPr>
          <w:rFonts w:ascii="Times New Roman" w:hAnsi="Times New Roman" w:cs="Times New Roman"/>
          <w:lang w:eastAsia="en-GB"/>
        </w:rPr>
        <w:t>Enforcement</w:t>
      </w:r>
    </w:p>
    <w:p w14:paraId="53F3F11E" w14:textId="78DF5E9D" w:rsidR="009D5CD0" w:rsidRDefault="004A26A2" w:rsidP="00BA2D09">
      <w:pPr>
        <w:rPr>
          <w:rFonts w:ascii="Times New Roman" w:hAnsi="Times New Roman" w:cs="Times New Roman"/>
          <w:szCs w:val="24"/>
          <w:lang w:eastAsia="en-GB"/>
        </w:rPr>
      </w:pPr>
      <w:r>
        <w:rPr>
          <w:rFonts w:ascii="Times New Roman" w:hAnsi="Times New Roman" w:cs="Times New Roman"/>
          <w:szCs w:val="24"/>
          <w:lang w:eastAsia="en-GB"/>
        </w:rPr>
        <w:t xml:space="preserve">Three key themes dominated the qualitative responses in the survey: the </w:t>
      </w:r>
      <w:r w:rsidR="000A3BAD" w:rsidRPr="00332A07">
        <w:t>socio-economic duty</w:t>
      </w:r>
      <w:r w:rsidR="009F3D5F">
        <w:rPr>
          <w:rFonts w:ascii="Times New Roman" w:hAnsi="Times New Roman" w:cs="Times New Roman"/>
          <w:szCs w:val="24"/>
          <w:lang w:eastAsia="en-GB"/>
        </w:rPr>
        <w:t xml:space="preserve"> </w:t>
      </w:r>
      <w:r>
        <w:rPr>
          <w:rFonts w:ascii="Times New Roman" w:hAnsi="Times New Roman" w:cs="Times New Roman"/>
          <w:szCs w:val="24"/>
          <w:lang w:eastAsia="en-GB"/>
        </w:rPr>
        <w:t xml:space="preserve">being introduced at a time of acute </w:t>
      </w:r>
      <w:r w:rsidR="00145222">
        <w:rPr>
          <w:rFonts w:ascii="Times New Roman" w:hAnsi="Times New Roman" w:cs="Times New Roman"/>
          <w:szCs w:val="24"/>
          <w:lang w:eastAsia="en-GB"/>
        </w:rPr>
        <w:t>financial</w:t>
      </w:r>
      <w:r>
        <w:rPr>
          <w:rFonts w:ascii="Times New Roman" w:hAnsi="Times New Roman" w:cs="Times New Roman"/>
          <w:szCs w:val="24"/>
          <w:lang w:eastAsia="en-GB"/>
        </w:rPr>
        <w:t xml:space="preserve"> pressures</w:t>
      </w:r>
      <w:r w:rsidR="00145222">
        <w:rPr>
          <w:rFonts w:ascii="Times New Roman" w:hAnsi="Times New Roman" w:cs="Times New Roman"/>
          <w:szCs w:val="24"/>
          <w:lang w:eastAsia="en-GB"/>
        </w:rPr>
        <w:t xml:space="preserve"> in the public sector</w:t>
      </w:r>
      <w:r>
        <w:rPr>
          <w:rFonts w:ascii="Times New Roman" w:hAnsi="Times New Roman" w:cs="Times New Roman"/>
          <w:szCs w:val="24"/>
          <w:lang w:eastAsia="en-GB"/>
        </w:rPr>
        <w:t xml:space="preserve"> and without additional resources of its own; concerns about </w:t>
      </w:r>
      <w:r w:rsidR="000E3583">
        <w:rPr>
          <w:rFonts w:ascii="Times New Roman" w:hAnsi="Times New Roman" w:cs="Times New Roman"/>
          <w:szCs w:val="24"/>
          <w:lang w:eastAsia="en-GB"/>
        </w:rPr>
        <w:t>it</w:t>
      </w:r>
      <w:r>
        <w:rPr>
          <w:rFonts w:ascii="Times New Roman" w:hAnsi="Times New Roman" w:cs="Times New Roman"/>
          <w:szCs w:val="24"/>
          <w:lang w:eastAsia="en-GB"/>
        </w:rPr>
        <w:t xml:space="preserve"> being treated by staff as a </w:t>
      </w:r>
      <w:r w:rsidR="00BA4366">
        <w:rPr>
          <w:rFonts w:ascii="Times New Roman" w:hAnsi="Times New Roman" w:cs="Times New Roman"/>
          <w:szCs w:val="24"/>
          <w:lang w:eastAsia="en-GB"/>
        </w:rPr>
        <w:t>‘</w:t>
      </w:r>
      <w:r w:rsidR="00265B1B" w:rsidRPr="00BA2D09">
        <w:t>tick</w:t>
      </w:r>
      <w:r w:rsidR="00265B1B" w:rsidRPr="00332A07">
        <w:t>-</w:t>
      </w:r>
      <w:r w:rsidR="00265B1B" w:rsidRPr="00BA2D09">
        <w:t>box</w:t>
      </w:r>
      <w:r>
        <w:rPr>
          <w:rFonts w:ascii="Times New Roman" w:hAnsi="Times New Roman" w:cs="Times New Roman"/>
          <w:szCs w:val="24"/>
          <w:lang w:eastAsia="en-GB"/>
        </w:rPr>
        <w:t xml:space="preserve"> exercise</w:t>
      </w:r>
      <w:r w:rsidR="00BA4366">
        <w:rPr>
          <w:rFonts w:ascii="Times New Roman" w:hAnsi="Times New Roman" w:cs="Times New Roman"/>
          <w:szCs w:val="24"/>
          <w:lang w:eastAsia="en-GB"/>
        </w:rPr>
        <w:t>’</w:t>
      </w:r>
      <w:r>
        <w:rPr>
          <w:rFonts w:ascii="Times New Roman" w:hAnsi="Times New Roman" w:cs="Times New Roman"/>
          <w:szCs w:val="24"/>
          <w:lang w:eastAsia="en-GB"/>
        </w:rPr>
        <w:t>; and the importance of such a duty being adequately enforced so decision</w:t>
      </w:r>
      <w:r w:rsidR="00130F23">
        <w:rPr>
          <w:rFonts w:ascii="Times New Roman" w:hAnsi="Times New Roman" w:cs="Times New Roman"/>
          <w:szCs w:val="24"/>
          <w:lang w:eastAsia="en-GB"/>
        </w:rPr>
        <w:t xml:space="preserve"> mak</w:t>
      </w:r>
      <w:r>
        <w:rPr>
          <w:rFonts w:ascii="Times New Roman" w:hAnsi="Times New Roman" w:cs="Times New Roman"/>
          <w:szCs w:val="24"/>
          <w:lang w:eastAsia="en-GB"/>
        </w:rPr>
        <w:t>ers can be held accountable.</w:t>
      </w:r>
      <w:r w:rsidR="006C771E">
        <w:rPr>
          <w:rFonts w:ascii="Times New Roman" w:hAnsi="Times New Roman" w:cs="Times New Roman"/>
          <w:szCs w:val="24"/>
          <w:lang w:eastAsia="en-GB"/>
        </w:rPr>
        <w:t xml:space="preserve"> </w:t>
      </w:r>
      <w:r w:rsidR="009D5CD0">
        <w:rPr>
          <w:rFonts w:ascii="Times New Roman" w:hAnsi="Times New Roman" w:cs="Times New Roman"/>
          <w:szCs w:val="24"/>
          <w:lang w:eastAsia="en-GB"/>
        </w:rPr>
        <w:t xml:space="preserve">These are perhaps unsurprising themes </w:t>
      </w:r>
      <w:r w:rsidR="00145222">
        <w:rPr>
          <w:rFonts w:ascii="Times New Roman" w:hAnsi="Times New Roman" w:cs="Times New Roman"/>
          <w:szCs w:val="24"/>
          <w:lang w:eastAsia="en-GB"/>
        </w:rPr>
        <w:t>to those familiar with the design and operation of these duties</w:t>
      </w:r>
      <w:r w:rsidR="009C5726">
        <w:rPr>
          <w:rFonts w:ascii="Times New Roman" w:hAnsi="Times New Roman" w:cs="Times New Roman"/>
          <w:szCs w:val="24"/>
          <w:lang w:eastAsia="en-GB"/>
        </w:rPr>
        <w:t xml:space="preserve">. </w:t>
      </w:r>
      <w:r w:rsidR="00145222">
        <w:rPr>
          <w:rFonts w:ascii="Times New Roman" w:hAnsi="Times New Roman" w:cs="Times New Roman"/>
          <w:szCs w:val="24"/>
          <w:lang w:eastAsia="en-GB"/>
        </w:rPr>
        <w:t xml:space="preserve">However, when viewed </w:t>
      </w:r>
      <w:r w:rsidR="0059240D">
        <w:rPr>
          <w:rFonts w:ascii="Times New Roman" w:hAnsi="Times New Roman" w:cs="Times New Roman"/>
          <w:szCs w:val="24"/>
          <w:lang w:eastAsia="en-GB"/>
        </w:rPr>
        <w:t xml:space="preserve">in light of the </w:t>
      </w:r>
      <w:r w:rsidR="00C32BD2">
        <w:rPr>
          <w:rFonts w:ascii="Times New Roman" w:hAnsi="Times New Roman" w:cs="Times New Roman"/>
          <w:szCs w:val="24"/>
          <w:lang w:eastAsia="en-GB"/>
        </w:rPr>
        <w:t>blame avoidance</w:t>
      </w:r>
      <w:r w:rsidR="0059240D">
        <w:rPr>
          <w:rFonts w:ascii="Times New Roman" w:hAnsi="Times New Roman" w:cs="Times New Roman"/>
          <w:szCs w:val="24"/>
          <w:lang w:eastAsia="en-GB"/>
        </w:rPr>
        <w:t xml:space="preserve"> literature</w:t>
      </w:r>
      <w:r w:rsidR="00145222">
        <w:rPr>
          <w:rFonts w:ascii="Times New Roman" w:hAnsi="Times New Roman" w:cs="Times New Roman"/>
          <w:szCs w:val="24"/>
          <w:lang w:eastAsia="en-GB"/>
        </w:rPr>
        <w:t xml:space="preserve">, they reveal </w:t>
      </w:r>
      <w:r w:rsidR="00333AC1">
        <w:rPr>
          <w:rFonts w:ascii="Times New Roman" w:hAnsi="Times New Roman" w:cs="Times New Roman"/>
          <w:szCs w:val="24"/>
          <w:lang w:eastAsia="en-GB"/>
        </w:rPr>
        <w:t>attitudes</w:t>
      </w:r>
      <w:r w:rsidR="00145222">
        <w:rPr>
          <w:rFonts w:ascii="Times New Roman" w:hAnsi="Times New Roman" w:cs="Times New Roman"/>
          <w:szCs w:val="24"/>
          <w:lang w:eastAsia="en-GB"/>
        </w:rPr>
        <w:t xml:space="preserve"> that cannot be understood solely through recourse to reflexive law</w:t>
      </w:r>
      <w:r w:rsidR="000A0449">
        <w:rPr>
          <w:rFonts w:ascii="Times New Roman" w:hAnsi="Times New Roman" w:cs="Times New Roman"/>
          <w:szCs w:val="24"/>
          <w:lang w:eastAsia="en-GB"/>
        </w:rPr>
        <w:t xml:space="preserve"> theory</w:t>
      </w:r>
      <w:r w:rsidR="00145222">
        <w:rPr>
          <w:rFonts w:ascii="Times New Roman" w:hAnsi="Times New Roman" w:cs="Times New Roman"/>
          <w:szCs w:val="24"/>
          <w:lang w:eastAsia="en-GB"/>
        </w:rPr>
        <w:t xml:space="preserve"> alone. </w:t>
      </w:r>
      <w:r w:rsidR="00382B29">
        <w:rPr>
          <w:rFonts w:ascii="Times New Roman" w:hAnsi="Times New Roman" w:cs="Times New Roman"/>
          <w:szCs w:val="24"/>
          <w:lang w:eastAsia="en-GB"/>
        </w:rPr>
        <w:t xml:space="preserve">Concerns over </w:t>
      </w:r>
      <w:r w:rsidR="000A632B">
        <w:rPr>
          <w:rFonts w:ascii="Times New Roman" w:hAnsi="Times New Roman" w:cs="Times New Roman"/>
          <w:szCs w:val="24"/>
          <w:lang w:eastAsia="en-GB"/>
        </w:rPr>
        <w:t>r</w:t>
      </w:r>
      <w:r w:rsidR="00145222">
        <w:rPr>
          <w:rFonts w:ascii="Times New Roman" w:hAnsi="Times New Roman" w:cs="Times New Roman"/>
          <w:szCs w:val="24"/>
          <w:lang w:eastAsia="en-GB"/>
        </w:rPr>
        <w:t xml:space="preserve">esources and enforcement </w:t>
      </w:r>
      <w:r w:rsidR="00382B29">
        <w:rPr>
          <w:rFonts w:ascii="Times New Roman" w:hAnsi="Times New Roman" w:cs="Times New Roman"/>
          <w:szCs w:val="24"/>
          <w:lang w:eastAsia="en-GB"/>
        </w:rPr>
        <w:t>are both rooted in concerns over the</w:t>
      </w:r>
      <w:r w:rsidR="00145222">
        <w:rPr>
          <w:rFonts w:ascii="Times New Roman" w:hAnsi="Times New Roman" w:cs="Times New Roman"/>
          <w:szCs w:val="24"/>
          <w:lang w:eastAsia="en-GB"/>
        </w:rPr>
        <w:t xml:space="preserve"> </w:t>
      </w:r>
      <w:r w:rsidR="00BA4366">
        <w:rPr>
          <w:rFonts w:ascii="Times New Roman" w:hAnsi="Times New Roman" w:cs="Times New Roman"/>
          <w:szCs w:val="24"/>
          <w:lang w:eastAsia="en-GB"/>
        </w:rPr>
        <w:t>‘</w:t>
      </w:r>
      <w:r w:rsidR="00145222">
        <w:rPr>
          <w:rFonts w:ascii="Times New Roman" w:hAnsi="Times New Roman" w:cs="Times New Roman"/>
          <w:szCs w:val="24"/>
          <w:lang w:eastAsia="en-GB"/>
        </w:rPr>
        <w:t>delegation of responsibility</w:t>
      </w:r>
      <w:r w:rsidR="00BA4366">
        <w:rPr>
          <w:rFonts w:ascii="Times New Roman" w:hAnsi="Times New Roman" w:cs="Times New Roman"/>
          <w:szCs w:val="24"/>
          <w:lang w:eastAsia="en-GB"/>
        </w:rPr>
        <w:t>’</w:t>
      </w:r>
      <w:r w:rsidR="00145222">
        <w:rPr>
          <w:rFonts w:ascii="Times New Roman" w:hAnsi="Times New Roman" w:cs="Times New Roman"/>
          <w:szCs w:val="24"/>
          <w:lang w:eastAsia="en-GB"/>
        </w:rPr>
        <w:t xml:space="preserve"> (the </w:t>
      </w:r>
      <w:r w:rsidR="00BA4366">
        <w:rPr>
          <w:rFonts w:ascii="Times New Roman" w:hAnsi="Times New Roman" w:cs="Times New Roman"/>
          <w:szCs w:val="24"/>
          <w:lang w:eastAsia="en-GB"/>
        </w:rPr>
        <w:t>‘</w:t>
      </w:r>
      <w:r w:rsidR="00145222">
        <w:rPr>
          <w:rFonts w:ascii="Times New Roman" w:hAnsi="Times New Roman" w:cs="Times New Roman"/>
          <w:szCs w:val="24"/>
          <w:lang w:eastAsia="en-GB"/>
        </w:rPr>
        <w:t>agency strategy</w:t>
      </w:r>
      <w:r w:rsidR="00BA4366">
        <w:rPr>
          <w:rFonts w:ascii="Times New Roman" w:hAnsi="Times New Roman" w:cs="Times New Roman"/>
          <w:szCs w:val="24"/>
          <w:lang w:eastAsia="en-GB"/>
        </w:rPr>
        <w:t>’</w:t>
      </w:r>
      <w:r w:rsidR="00963BDB">
        <w:rPr>
          <w:rFonts w:ascii="Times New Roman" w:hAnsi="Times New Roman" w:cs="Times New Roman"/>
          <w:szCs w:val="24"/>
          <w:lang w:eastAsia="en-GB"/>
        </w:rPr>
        <w:t xml:space="preserve"> within the </w:t>
      </w:r>
      <w:r w:rsidR="00C32BD2">
        <w:rPr>
          <w:rFonts w:ascii="Times New Roman" w:hAnsi="Times New Roman" w:cs="Times New Roman"/>
          <w:szCs w:val="24"/>
          <w:lang w:eastAsia="en-GB"/>
        </w:rPr>
        <w:t>blame avoidance</w:t>
      </w:r>
      <w:r w:rsidR="00963BDB">
        <w:rPr>
          <w:rFonts w:ascii="Times New Roman" w:hAnsi="Times New Roman" w:cs="Times New Roman"/>
          <w:szCs w:val="24"/>
          <w:lang w:eastAsia="en-GB"/>
        </w:rPr>
        <w:t xml:space="preserve"> literature</w:t>
      </w:r>
      <w:r w:rsidR="00145222">
        <w:rPr>
          <w:rFonts w:ascii="Times New Roman" w:hAnsi="Times New Roman" w:cs="Times New Roman"/>
          <w:szCs w:val="24"/>
          <w:lang w:eastAsia="en-GB"/>
        </w:rPr>
        <w:t xml:space="preserve"> set out in Table </w:t>
      </w:r>
      <w:r w:rsidR="00332A07">
        <w:rPr>
          <w:rFonts w:ascii="Times New Roman" w:hAnsi="Times New Roman" w:cs="Times New Roman"/>
          <w:szCs w:val="24"/>
          <w:lang w:eastAsia="en-GB"/>
        </w:rPr>
        <w:t>1</w:t>
      </w:r>
      <w:r w:rsidR="00145222">
        <w:rPr>
          <w:rFonts w:ascii="Times New Roman" w:hAnsi="Times New Roman" w:cs="Times New Roman"/>
          <w:szCs w:val="24"/>
          <w:lang w:eastAsia="en-GB"/>
        </w:rPr>
        <w:t xml:space="preserve">). </w:t>
      </w:r>
      <w:r w:rsidR="00963BDB">
        <w:rPr>
          <w:rFonts w:ascii="Times New Roman" w:hAnsi="Times New Roman" w:cs="Times New Roman"/>
          <w:szCs w:val="24"/>
          <w:lang w:eastAsia="en-GB"/>
        </w:rPr>
        <w:t>The</w:t>
      </w:r>
      <w:r w:rsidR="00963BDB" w:rsidRPr="00BA2D09">
        <w:t xml:space="preserve"> </w:t>
      </w:r>
      <w:r w:rsidR="00BA4366" w:rsidRPr="00BA2D09">
        <w:t>‘</w:t>
      </w:r>
      <w:r w:rsidR="00265B1B" w:rsidRPr="00BA2D09">
        <w:t>tick</w:t>
      </w:r>
      <w:r w:rsidR="00265B1B" w:rsidRPr="00332A07">
        <w:t>-</w:t>
      </w:r>
      <w:r w:rsidR="00265B1B" w:rsidRPr="00BA2D09">
        <w:t>box</w:t>
      </w:r>
      <w:r w:rsidR="00963BDB" w:rsidRPr="00BA2D09">
        <w:t xml:space="preserve"> me</w:t>
      </w:r>
      <w:r w:rsidR="00963BDB">
        <w:rPr>
          <w:rFonts w:ascii="Times New Roman" w:hAnsi="Times New Roman" w:cs="Times New Roman"/>
          <w:szCs w:val="24"/>
          <w:lang w:eastAsia="en-GB"/>
        </w:rPr>
        <w:t>ntality</w:t>
      </w:r>
      <w:r w:rsidR="00BA4366">
        <w:rPr>
          <w:rFonts w:ascii="Times New Roman" w:hAnsi="Times New Roman" w:cs="Times New Roman"/>
          <w:szCs w:val="24"/>
          <w:lang w:eastAsia="en-GB"/>
        </w:rPr>
        <w:t>’</w:t>
      </w:r>
      <w:r w:rsidR="00963BDB">
        <w:rPr>
          <w:rFonts w:ascii="Times New Roman" w:hAnsi="Times New Roman" w:cs="Times New Roman"/>
          <w:szCs w:val="24"/>
          <w:lang w:eastAsia="en-GB"/>
        </w:rPr>
        <w:t xml:space="preserve"> lamented by participants can be viewed </w:t>
      </w:r>
      <w:r w:rsidR="0059240D">
        <w:rPr>
          <w:rFonts w:ascii="Times New Roman" w:hAnsi="Times New Roman" w:cs="Times New Roman"/>
          <w:szCs w:val="24"/>
          <w:lang w:eastAsia="en-GB"/>
        </w:rPr>
        <w:t>as a concern with</w:t>
      </w:r>
      <w:r w:rsidR="00963BDB">
        <w:rPr>
          <w:rFonts w:ascii="Times New Roman" w:hAnsi="Times New Roman" w:cs="Times New Roman"/>
          <w:szCs w:val="24"/>
          <w:lang w:eastAsia="en-GB"/>
        </w:rPr>
        <w:t xml:space="preserve"> defensive </w:t>
      </w:r>
      <w:r w:rsidR="00BA4366">
        <w:rPr>
          <w:rFonts w:ascii="Times New Roman" w:hAnsi="Times New Roman" w:cs="Times New Roman"/>
          <w:szCs w:val="24"/>
          <w:lang w:eastAsia="en-GB"/>
        </w:rPr>
        <w:t>‘</w:t>
      </w:r>
      <w:r w:rsidR="00963BDB">
        <w:rPr>
          <w:rFonts w:ascii="Times New Roman" w:hAnsi="Times New Roman" w:cs="Times New Roman"/>
          <w:szCs w:val="24"/>
          <w:lang w:eastAsia="en-GB"/>
        </w:rPr>
        <w:t>protocolisation</w:t>
      </w:r>
      <w:r w:rsidR="00BA4366">
        <w:rPr>
          <w:rFonts w:ascii="Times New Roman" w:hAnsi="Times New Roman" w:cs="Times New Roman"/>
          <w:szCs w:val="24"/>
          <w:lang w:eastAsia="en-GB"/>
        </w:rPr>
        <w:t>’</w:t>
      </w:r>
      <w:r w:rsidR="00963BDB">
        <w:rPr>
          <w:rFonts w:ascii="Times New Roman" w:hAnsi="Times New Roman" w:cs="Times New Roman"/>
          <w:szCs w:val="24"/>
          <w:lang w:eastAsia="en-GB"/>
        </w:rPr>
        <w:t xml:space="preserve"> (the </w:t>
      </w:r>
      <w:r w:rsidR="00BA4366">
        <w:rPr>
          <w:rFonts w:ascii="Times New Roman" w:hAnsi="Times New Roman" w:cs="Times New Roman"/>
          <w:szCs w:val="24"/>
          <w:lang w:eastAsia="en-GB"/>
        </w:rPr>
        <w:t>‘</w:t>
      </w:r>
      <w:r w:rsidR="00963BDB">
        <w:rPr>
          <w:rFonts w:ascii="Times New Roman" w:hAnsi="Times New Roman" w:cs="Times New Roman"/>
          <w:szCs w:val="24"/>
          <w:lang w:eastAsia="en-GB"/>
        </w:rPr>
        <w:t>policy strategy</w:t>
      </w:r>
      <w:r w:rsidR="00BA4366">
        <w:rPr>
          <w:rFonts w:ascii="Times New Roman" w:hAnsi="Times New Roman" w:cs="Times New Roman"/>
          <w:szCs w:val="24"/>
          <w:lang w:eastAsia="en-GB"/>
        </w:rPr>
        <w:t>’</w:t>
      </w:r>
      <w:r w:rsidR="00963BDB">
        <w:rPr>
          <w:rFonts w:ascii="Times New Roman" w:hAnsi="Times New Roman" w:cs="Times New Roman"/>
          <w:szCs w:val="24"/>
          <w:lang w:eastAsia="en-GB"/>
        </w:rPr>
        <w:t xml:space="preserve"> in Table </w:t>
      </w:r>
      <w:r w:rsidR="00332A07">
        <w:rPr>
          <w:rFonts w:ascii="Times New Roman" w:hAnsi="Times New Roman" w:cs="Times New Roman"/>
          <w:szCs w:val="24"/>
          <w:lang w:eastAsia="en-GB"/>
        </w:rPr>
        <w:t>1</w:t>
      </w:r>
      <w:r w:rsidR="00963BDB">
        <w:rPr>
          <w:rFonts w:ascii="Times New Roman" w:hAnsi="Times New Roman" w:cs="Times New Roman"/>
          <w:szCs w:val="24"/>
          <w:lang w:eastAsia="en-GB"/>
        </w:rPr>
        <w:t xml:space="preserve">). </w:t>
      </w:r>
      <w:r w:rsidR="00F265D4">
        <w:rPr>
          <w:rFonts w:ascii="Times New Roman" w:hAnsi="Times New Roman" w:cs="Times New Roman"/>
          <w:szCs w:val="24"/>
          <w:lang w:eastAsia="en-GB"/>
        </w:rPr>
        <w:t xml:space="preserve">This </w:t>
      </w:r>
      <w:r w:rsidR="000A0449">
        <w:rPr>
          <w:rFonts w:ascii="Times New Roman" w:hAnsi="Times New Roman" w:cs="Times New Roman"/>
          <w:szCs w:val="24"/>
          <w:lang w:eastAsia="en-GB"/>
        </w:rPr>
        <w:t xml:space="preserve">section </w:t>
      </w:r>
      <w:r w:rsidR="0044747C">
        <w:rPr>
          <w:rFonts w:ascii="Times New Roman" w:hAnsi="Times New Roman" w:cs="Times New Roman"/>
          <w:szCs w:val="24"/>
          <w:lang w:eastAsia="en-GB"/>
        </w:rPr>
        <w:t>sets out</w:t>
      </w:r>
      <w:r w:rsidR="00F265D4">
        <w:rPr>
          <w:rFonts w:ascii="Times New Roman" w:hAnsi="Times New Roman" w:cs="Times New Roman"/>
          <w:szCs w:val="24"/>
          <w:lang w:eastAsia="en-GB"/>
        </w:rPr>
        <w:t xml:space="preserve"> each theme in turn.</w:t>
      </w:r>
    </w:p>
    <w:p w14:paraId="5F6F0BEF" w14:textId="2C3DA2D3" w:rsidR="00344401" w:rsidRDefault="00282659" w:rsidP="00BA2D09">
      <w:pPr>
        <w:pStyle w:val="Heading2"/>
        <w:numPr>
          <w:ilvl w:val="0"/>
          <w:numId w:val="40"/>
        </w:numPr>
        <w:rPr>
          <w:lang w:eastAsia="en-GB"/>
        </w:rPr>
      </w:pPr>
      <w:r>
        <w:rPr>
          <w:lang w:eastAsia="en-GB"/>
        </w:rPr>
        <w:t>Concerns over</w:t>
      </w:r>
      <w:r w:rsidR="00E17E35">
        <w:rPr>
          <w:lang w:eastAsia="en-GB"/>
        </w:rPr>
        <w:t xml:space="preserve"> </w:t>
      </w:r>
      <w:r w:rsidR="002D7E66">
        <w:rPr>
          <w:lang w:eastAsia="en-GB"/>
        </w:rPr>
        <w:t>Resources</w:t>
      </w:r>
    </w:p>
    <w:p w14:paraId="040152F3" w14:textId="5AA62698" w:rsidR="00705BB7" w:rsidRPr="007C7BB9" w:rsidRDefault="00705BB7" w:rsidP="00BA2D09">
      <w:pPr>
        <w:rPr>
          <w:rFonts w:ascii="Times New Roman" w:hAnsi="Times New Roman" w:cs="Times New Roman"/>
        </w:rPr>
      </w:pPr>
      <w:r w:rsidRPr="007C7BB9">
        <w:rPr>
          <w:rFonts w:ascii="Times New Roman" w:hAnsi="Times New Roman" w:cs="Times New Roman"/>
          <w:szCs w:val="24"/>
          <w:lang w:eastAsia="en-GB"/>
        </w:rPr>
        <w:t xml:space="preserve">Across the sample, participants were concerned about </w:t>
      </w:r>
      <w:r w:rsidR="001B1331">
        <w:rPr>
          <w:rFonts w:ascii="Times New Roman" w:hAnsi="Times New Roman" w:cs="Times New Roman"/>
          <w:szCs w:val="24"/>
          <w:lang w:eastAsia="en-GB"/>
        </w:rPr>
        <w:t>a</w:t>
      </w:r>
      <w:r w:rsidR="001B1331" w:rsidRPr="007C7BB9">
        <w:rPr>
          <w:rFonts w:ascii="Times New Roman" w:hAnsi="Times New Roman" w:cs="Times New Roman"/>
          <w:szCs w:val="24"/>
          <w:lang w:eastAsia="en-GB"/>
        </w:rPr>
        <w:t xml:space="preserve"> </w:t>
      </w:r>
      <w:r w:rsidRPr="007C7BB9">
        <w:rPr>
          <w:rFonts w:ascii="Times New Roman" w:hAnsi="Times New Roman" w:cs="Times New Roman"/>
          <w:szCs w:val="24"/>
          <w:lang w:eastAsia="en-GB"/>
        </w:rPr>
        <w:t>lack of resources. Participants suggested that</w:t>
      </w:r>
      <w:r w:rsidRPr="007C7BB9">
        <w:rPr>
          <w:rFonts w:ascii="Times New Roman" w:hAnsi="Times New Roman" w:cs="Times New Roman"/>
        </w:rPr>
        <w:t xml:space="preserve"> </w:t>
      </w:r>
      <w:r w:rsidR="00BA4366">
        <w:rPr>
          <w:rFonts w:ascii="Times New Roman" w:hAnsi="Times New Roman" w:cs="Times New Roman"/>
        </w:rPr>
        <w:t>‘</w:t>
      </w:r>
      <w:r w:rsidRPr="007C7BB9">
        <w:rPr>
          <w:rFonts w:ascii="Times New Roman" w:hAnsi="Times New Roman" w:cs="Times New Roman"/>
        </w:rPr>
        <w:t>there</w:t>
      </w:r>
      <w:r w:rsidR="00BA4366">
        <w:rPr>
          <w:rFonts w:ascii="Times New Roman" w:hAnsi="Times New Roman" w:cs="Times New Roman"/>
        </w:rPr>
        <w:t>’</w:t>
      </w:r>
      <w:r w:rsidRPr="007C7BB9">
        <w:rPr>
          <w:rFonts w:ascii="Times New Roman" w:hAnsi="Times New Roman" w:cs="Times New Roman"/>
        </w:rPr>
        <w:t xml:space="preserve">s no point giving a body extra duties without giving it the resources to carry it </w:t>
      </w:r>
      <w:r w:rsidR="005D13AE">
        <w:rPr>
          <w:rFonts w:ascii="Times New Roman" w:hAnsi="Times New Roman" w:cs="Times New Roman"/>
        </w:rPr>
        <w:t xml:space="preserve">[sic] </w:t>
      </w:r>
      <w:r w:rsidRPr="007C7BB9">
        <w:rPr>
          <w:rFonts w:ascii="Times New Roman" w:hAnsi="Times New Roman" w:cs="Times New Roman"/>
        </w:rPr>
        <w:t>out</w:t>
      </w:r>
      <w:r w:rsidR="00BA4366">
        <w:rPr>
          <w:rFonts w:ascii="Times New Roman" w:hAnsi="Times New Roman" w:cs="Times New Roman"/>
        </w:rPr>
        <w:t>’</w:t>
      </w:r>
      <w:r w:rsidRPr="007C7BB9">
        <w:rPr>
          <w:rStyle w:val="FootnoteReference"/>
          <w:rFonts w:ascii="Times New Roman" w:hAnsi="Times New Roman" w:cs="Times New Roman"/>
          <w:szCs w:val="24"/>
        </w:rPr>
        <w:footnoteReference w:id="103"/>
      </w:r>
      <w:r w:rsidRPr="007C7BB9">
        <w:rPr>
          <w:rFonts w:ascii="Times New Roman" w:hAnsi="Times New Roman" w:cs="Times New Roman"/>
        </w:rPr>
        <w:t xml:space="preserve"> and that </w:t>
      </w:r>
      <w:r w:rsidR="00BA4366">
        <w:rPr>
          <w:rFonts w:ascii="Times New Roman" w:hAnsi="Times New Roman" w:cs="Times New Roman"/>
        </w:rPr>
        <w:t>‘</w:t>
      </w:r>
      <w:r w:rsidRPr="007C7BB9">
        <w:rPr>
          <w:rFonts w:ascii="Times New Roman" w:hAnsi="Times New Roman" w:cs="Times New Roman"/>
        </w:rPr>
        <w:t>if teams already struggle without this duty, they will struggle more with it</w:t>
      </w:r>
      <w:r w:rsidR="00BA4366">
        <w:rPr>
          <w:rFonts w:ascii="Times New Roman" w:hAnsi="Times New Roman" w:cs="Times New Roman"/>
        </w:rPr>
        <w:t>’</w:t>
      </w:r>
      <w:r w:rsidR="00332A07">
        <w:rPr>
          <w:rFonts w:ascii="Times New Roman" w:hAnsi="Times New Roman" w:cs="Times New Roman"/>
        </w:rPr>
        <w:t>.</w:t>
      </w:r>
      <w:r w:rsidRPr="007C7BB9">
        <w:rPr>
          <w:rStyle w:val="FootnoteReference"/>
          <w:rFonts w:ascii="Times New Roman" w:hAnsi="Times New Roman" w:cs="Times New Roman"/>
        </w:rPr>
        <w:footnoteReference w:id="104"/>
      </w:r>
      <w:r w:rsidRPr="007C7BB9">
        <w:rPr>
          <w:rFonts w:ascii="Times New Roman" w:hAnsi="Times New Roman" w:cs="Times New Roman"/>
        </w:rPr>
        <w:t xml:space="preserve"> This was set alongside widespread concerns about an increasingly challenging working environment in the </w:t>
      </w:r>
      <w:r w:rsidR="00BA4366">
        <w:rPr>
          <w:rFonts w:ascii="Times New Roman" w:hAnsi="Times New Roman" w:cs="Times New Roman"/>
        </w:rPr>
        <w:t>‘</w:t>
      </w:r>
      <w:r w:rsidRPr="007C7BB9">
        <w:rPr>
          <w:rFonts w:ascii="Times New Roman" w:hAnsi="Times New Roman" w:cs="Times New Roman"/>
        </w:rPr>
        <w:t>middle of a funding crisis</w:t>
      </w:r>
      <w:r w:rsidR="00BA4366">
        <w:rPr>
          <w:rFonts w:ascii="Times New Roman" w:hAnsi="Times New Roman" w:cs="Times New Roman"/>
        </w:rPr>
        <w:t>’</w:t>
      </w:r>
      <w:r w:rsidR="00332A07">
        <w:rPr>
          <w:rFonts w:ascii="Times New Roman" w:hAnsi="Times New Roman" w:cs="Times New Roman"/>
        </w:rPr>
        <w:t>,</w:t>
      </w:r>
      <w:r w:rsidRPr="007C7BB9">
        <w:rPr>
          <w:rStyle w:val="FootnoteReference"/>
          <w:rFonts w:ascii="Times New Roman" w:hAnsi="Times New Roman" w:cs="Times New Roman"/>
        </w:rPr>
        <w:footnoteReference w:id="105"/>
      </w:r>
      <w:r w:rsidRPr="007C7BB9">
        <w:rPr>
          <w:rFonts w:ascii="Times New Roman" w:hAnsi="Times New Roman" w:cs="Times New Roman"/>
        </w:rPr>
        <w:t xml:space="preserve"> where </w:t>
      </w:r>
      <w:r w:rsidR="00BA4366">
        <w:rPr>
          <w:rFonts w:ascii="Times New Roman" w:hAnsi="Times New Roman" w:cs="Times New Roman"/>
        </w:rPr>
        <w:t>‘</w:t>
      </w:r>
      <w:r w:rsidRPr="007C7BB9">
        <w:rPr>
          <w:rFonts w:ascii="Times New Roman" w:hAnsi="Times New Roman" w:cs="Times New Roman"/>
        </w:rPr>
        <w:t xml:space="preserve">we </w:t>
      </w:r>
      <w:r w:rsidRPr="007C7BB9">
        <w:rPr>
          <w:rFonts w:ascii="Times New Roman" w:hAnsi="Times New Roman" w:cs="Times New Roman"/>
          <w:bCs/>
          <w:szCs w:val="24"/>
        </w:rPr>
        <w:t>are already being asked to do more with less and are losing staff due to flat budgets</w:t>
      </w:r>
      <w:r w:rsidR="00BA4366">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06"/>
      </w:r>
      <w:r w:rsidRPr="007C7BB9">
        <w:rPr>
          <w:rFonts w:ascii="Times New Roman" w:hAnsi="Times New Roman" w:cs="Times New Roman"/>
          <w:bCs/>
          <w:szCs w:val="24"/>
        </w:rPr>
        <w:t xml:space="preserve"> and where </w:t>
      </w:r>
      <w:r w:rsidR="00BA4366">
        <w:rPr>
          <w:rFonts w:ascii="Times New Roman" w:hAnsi="Times New Roman" w:cs="Times New Roman"/>
          <w:bCs/>
          <w:szCs w:val="24"/>
        </w:rPr>
        <w:t>‘</w:t>
      </w:r>
      <w:r w:rsidRPr="007C7BB9">
        <w:rPr>
          <w:rFonts w:ascii="Times New Roman" w:hAnsi="Times New Roman" w:cs="Times New Roman"/>
          <w:bCs/>
          <w:szCs w:val="24"/>
        </w:rPr>
        <w:t>public sector jobs have been cut to the bone so it can be very difficult for organisations to implement processes or policies such as this</w:t>
      </w:r>
      <w:r w:rsidR="00BA4366">
        <w:rPr>
          <w:rFonts w:ascii="Times New Roman" w:hAnsi="Times New Roman" w:cs="Times New Roman"/>
          <w:bCs/>
          <w:szCs w:val="24"/>
        </w:rPr>
        <w:t>’</w:t>
      </w:r>
      <w:r w:rsidRPr="007C7BB9">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07"/>
      </w:r>
      <w:r w:rsidRPr="007C7BB9">
        <w:rPr>
          <w:rFonts w:ascii="Times New Roman" w:hAnsi="Times New Roman" w:cs="Times New Roman"/>
          <w:bCs/>
          <w:szCs w:val="24"/>
        </w:rPr>
        <w:t xml:space="preserve"> </w:t>
      </w:r>
      <w:r w:rsidR="006411C0">
        <w:rPr>
          <w:rFonts w:ascii="Times New Roman" w:hAnsi="Times New Roman" w:cs="Times New Roman"/>
          <w:bCs/>
          <w:szCs w:val="24"/>
        </w:rPr>
        <w:t xml:space="preserve">In an echo of the literature on </w:t>
      </w:r>
      <w:r w:rsidR="00BA4366">
        <w:rPr>
          <w:rFonts w:ascii="Times New Roman" w:hAnsi="Times New Roman" w:cs="Times New Roman"/>
          <w:bCs/>
          <w:szCs w:val="24"/>
        </w:rPr>
        <w:t>‘</w:t>
      </w:r>
      <w:r w:rsidR="006411C0">
        <w:rPr>
          <w:rFonts w:ascii="Times New Roman" w:hAnsi="Times New Roman" w:cs="Times New Roman"/>
          <w:bCs/>
          <w:szCs w:val="24"/>
        </w:rPr>
        <w:t>austerity localism</w:t>
      </w:r>
      <w:r w:rsidR="00BA4366">
        <w:rPr>
          <w:rFonts w:ascii="Times New Roman" w:hAnsi="Times New Roman" w:cs="Times New Roman"/>
          <w:bCs/>
          <w:szCs w:val="24"/>
        </w:rPr>
        <w:t>’</w:t>
      </w:r>
      <w:r w:rsidR="006411C0">
        <w:rPr>
          <w:rFonts w:ascii="Times New Roman" w:hAnsi="Times New Roman" w:cs="Times New Roman"/>
          <w:bCs/>
          <w:szCs w:val="24"/>
        </w:rPr>
        <w:t>, p</w:t>
      </w:r>
      <w:r w:rsidR="000A0449">
        <w:rPr>
          <w:rFonts w:ascii="Times New Roman" w:hAnsi="Times New Roman" w:cs="Times New Roman"/>
          <w:bCs/>
          <w:szCs w:val="24"/>
        </w:rPr>
        <w:t>articipants</w:t>
      </w:r>
      <w:r w:rsidR="006411C0">
        <w:rPr>
          <w:rFonts w:ascii="Times New Roman" w:hAnsi="Times New Roman" w:cs="Times New Roman"/>
          <w:bCs/>
          <w:szCs w:val="24"/>
        </w:rPr>
        <w:t xml:space="preserve"> underscored that they and t</w:t>
      </w:r>
      <w:r w:rsidR="000A0449">
        <w:rPr>
          <w:rFonts w:ascii="Times New Roman" w:hAnsi="Times New Roman" w:cs="Times New Roman"/>
          <w:bCs/>
          <w:szCs w:val="24"/>
        </w:rPr>
        <w:t xml:space="preserve">heir colleagues already felt </w:t>
      </w:r>
      <w:r w:rsidR="00BA4366">
        <w:rPr>
          <w:rFonts w:ascii="Times New Roman" w:hAnsi="Times New Roman" w:cs="Times New Roman"/>
          <w:bCs/>
          <w:szCs w:val="24"/>
        </w:rPr>
        <w:t>‘</w:t>
      </w:r>
      <w:r w:rsidRPr="007C7BB9">
        <w:rPr>
          <w:rFonts w:ascii="Times New Roman" w:hAnsi="Times New Roman" w:cs="Times New Roman"/>
          <w:bCs/>
          <w:szCs w:val="24"/>
        </w:rPr>
        <w:t>under-resourced</w:t>
      </w:r>
      <w:r w:rsidR="00BA4366">
        <w:rPr>
          <w:rFonts w:ascii="Times New Roman" w:hAnsi="Times New Roman" w:cs="Times New Roman"/>
          <w:bCs/>
          <w:szCs w:val="24"/>
        </w:rPr>
        <w:t>’</w:t>
      </w:r>
      <w:r w:rsidR="00332A07">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08"/>
      </w:r>
      <w:r w:rsidRPr="007C7BB9">
        <w:rPr>
          <w:rFonts w:ascii="Times New Roman" w:hAnsi="Times New Roman" w:cs="Times New Roman"/>
          <w:bCs/>
          <w:szCs w:val="24"/>
        </w:rPr>
        <w:t xml:space="preserve"> </w:t>
      </w:r>
      <w:r w:rsidR="00BA4366">
        <w:rPr>
          <w:rFonts w:ascii="Times New Roman" w:hAnsi="Times New Roman" w:cs="Times New Roman"/>
          <w:bCs/>
          <w:szCs w:val="24"/>
        </w:rPr>
        <w:t>‘</w:t>
      </w:r>
      <w:r w:rsidRPr="007C7BB9">
        <w:rPr>
          <w:rFonts w:ascii="Times New Roman" w:hAnsi="Times New Roman" w:cs="Times New Roman"/>
          <w:bCs/>
          <w:szCs w:val="24"/>
        </w:rPr>
        <w:t>overworked</w:t>
      </w:r>
      <w:r w:rsidR="00BA4366">
        <w:rPr>
          <w:rFonts w:ascii="Times New Roman" w:hAnsi="Times New Roman" w:cs="Times New Roman"/>
          <w:bCs/>
          <w:szCs w:val="24"/>
        </w:rPr>
        <w:t>’</w:t>
      </w:r>
      <w:r w:rsidRPr="007C7BB9">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09"/>
      </w:r>
      <w:r w:rsidRPr="007C7BB9">
        <w:rPr>
          <w:rFonts w:ascii="Times New Roman" w:hAnsi="Times New Roman" w:cs="Times New Roman"/>
          <w:bCs/>
          <w:szCs w:val="24"/>
        </w:rPr>
        <w:t xml:space="preserve"> </w:t>
      </w:r>
      <w:r w:rsidR="00BA4366">
        <w:rPr>
          <w:rFonts w:ascii="Times New Roman" w:hAnsi="Times New Roman" w:cs="Times New Roman"/>
          <w:bCs/>
          <w:szCs w:val="24"/>
        </w:rPr>
        <w:t>‘</w:t>
      </w:r>
      <w:r w:rsidRPr="007C7BB9">
        <w:rPr>
          <w:rFonts w:ascii="Times New Roman" w:hAnsi="Times New Roman" w:cs="Times New Roman"/>
          <w:bCs/>
          <w:szCs w:val="24"/>
        </w:rPr>
        <w:t>under extra pressure</w:t>
      </w:r>
      <w:r w:rsidR="00BA4366">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10"/>
      </w:r>
      <w:r w:rsidRPr="007C7BB9">
        <w:rPr>
          <w:rFonts w:ascii="Times New Roman" w:hAnsi="Times New Roman" w:cs="Times New Roman"/>
          <w:bCs/>
          <w:szCs w:val="24"/>
        </w:rPr>
        <w:t xml:space="preserve"> and </w:t>
      </w:r>
      <w:r w:rsidR="00BA4366">
        <w:rPr>
          <w:rFonts w:ascii="Times New Roman" w:hAnsi="Times New Roman" w:cs="Times New Roman"/>
          <w:bCs/>
          <w:szCs w:val="24"/>
        </w:rPr>
        <w:t>‘</w:t>
      </w:r>
      <w:r w:rsidRPr="007C7BB9">
        <w:rPr>
          <w:rFonts w:ascii="Times New Roman" w:hAnsi="Times New Roman" w:cs="Times New Roman"/>
          <w:bCs/>
          <w:szCs w:val="24"/>
        </w:rPr>
        <w:t>extremely stretched</w:t>
      </w:r>
      <w:r w:rsidR="00BA4366">
        <w:rPr>
          <w:rFonts w:ascii="Times New Roman" w:hAnsi="Times New Roman" w:cs="Times New Roman"/>
          <w:bCs/>
          <w:szCs w:val="24"/>
        </w:rPr>
        <w:t>’</w:t>
      </w:r>
      <w:r w:rsidRPr="007C7BB9">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11"/>
      </w:r>
    </w:p>
    <w:p w14:paraId="41D7DA44" w14:textId="3BEEEFF9" w:rsidR="00705BB7" w:rsidRPr="007C7BB9" w:rsidRDefault="00705BB7" w:rsidP="00BA2D09">
      <w:pPr>
        <w:rPr>
          <w:rFonts w:ascii="Times New Roman" w:hAnsi="Times New Roman" w:cs="Times New Roman"/>
          <w:szCs w:val="24"/>
        </w:rPr>
      </w:pPr>
      <w:r w:rsidRPr="007C7BB9">
        <w:rPr>
          <w:rFonts w:ascii="Times New Roman" w:hAnsi="Times New Roman" w:cs="Times New Roman"/>
        </w:rPr>
        <w:lastRenderedPageBreak/>
        <w:t xml:space="preserve">Participant </w:t>
      </w:r>
      <w:r w:rsidR="007C4C60">
        <w:rPr>
          <w:rFonts w:ascii="Times New Roman" w:hAnsi="Times New Roman" w:cs="Times New Roman"/>
          <w:szCs w:val="24"/>
        </w:rPr>
        <w:t>1</w:t>
      </w:r>
      <w:r w:rsidR="00344401">
        <w:rPr>
          <w:rFonts w:ascii="Times New Roman" w:hAnsi="Times New Roman" w:cs="Times New Roman"/>
          <w:szCs w:val="24"/>
        </w:rPr>
        <w:t xml:space="preserve"> </w:t>
      </w:r>
      <w:r w:rsidRPr="007C7BB9">
        <w:rPr>
          <w:rFonts w:ascii="Times New Roman" w:hAnsi="Times New Roman" w:cs="Times New Roman"/>
          <w:szCs w:val="24"/>
        </w:rPr>
        <w:t>is currently working in a senior role in a</w:t>
      </w:r>
      <w:r w:rsidR="00332A07" w:rsidRPr="007C7BB9">
        <w:rPr>
          <w:rFonts w:ascii="Times New Roman" w:hAnsi="Times New Roman" w:cs="Times New Roman"/>
          <w:szCs w:val="24"/>
        </w:rPr>
        <w:t xml:space="preserve"> local authority</w:t>
      </w:r>
      <w:r w:rsidRPr="007C7BB9">
        <w:rPr>
          <w:rFonts w:ascii="Times New Roman" w:hAnsi="Times New Roman" w:cs="Times New Roman"/>
          <w:szCs w:val="24"/>
        </w:rPr>
        <w:t xml:space="preserve"> that is trying </w:t>
      </w:r>
      <w:r w:rsidR="00BA4366">
        <w:rPr>
          <w:rFonts w:ascii="Times New Roman" w:hAnsi="Times New Roman" w:cs="Times New Roman"/>
          <w:szCs w:val="24"/>
        </w:rPr>
        <w:t>‘</w:t>
      </w:r>
      <w:r w:rsidRPr="007C7BB9">
        <w:rPr>
          <w:rFonts w:ascii="Times New Roman" w:hAnsi="Times New Roman" w:cs="Times New Roman"/>
          <w:szCs w:val="24"/>
        </w:rPr>
        <w:t>to avoid s114</w:t>
      </w:r>
      <w:r w:rsidR="00BA4366">
        <w:rPr>
          <w:rFonts w:ascii="Times New Roman" w:hAnsi="Times New Roman" w:cs="Times New Roman"/>
          <w:szCs w:val="24"/>
        </w:rPr>
        <w:t>’</w:t>
      </w:r>
      <w:r w:rsidRPr="007C7BB9">
        <w:rPr>
          <w:rFonts w:ascii="Times New Roman" w:hAnsi="Times New Roman" w:cs="Times New Roman"/>
          <w:szCs w:val="24"/>
        </w:rPr>
        <w:t xml:space="preserve"> </w:t>
      </w:r>
      <w:r w:rsidR="0042294D">
        <w:rPr>
          <w:rFonts w:ascii="Times New Roman" w:hAnsi="Times New Roman" w:cs="Times New Roman"/>
          <w:szCs w:val="24"/>
        </w:rPr>
        <w:t>(</w:t>
      </w:r>
      <w:r w:rsidRPr="007C7BB9">
        <w:rPr>
          <w:rFonts w:ascii="Times New Roman" w:hAnsi="Times New Roman" w:cs="Times New Roman"/>
          <w:szCs w:val="24"/>
        </w:rPr>
        <w:t xml:space="preserve">a reference to a </w:t>
      </w:r>
      <w:r w:rsidR="00332A07" w:rsidRPr="007C7BB9">
        <w:rPr>
          <w:rFonts w:ascii="Times New Roman" w:hAnsi="Times New Roman" w:cs="Times New Roman"/>
          <w:szCs w:val="24"/>
        </w:rPr>
        <w:t xml:space="preserve">section </w:t>
      </w:r>
      <w:r w:rsidRPr="007C7BB9">
        <w:rPr>
          <w:rFonts w:ascii="Times New Roman" w:hAnsi="Times New Roman" w:cs="Times New Roman"/>
          <w:szCs w:val="24"/>
        </w:rPr>
        <w:t xml:space="preserve">114 notice issued under the Local Government Finance Act 1988 to </w:t>
      </w:r>
      <w:r w:rsidR="00CD290F">
        <w:rPr>
          <w:rFonts w:ascii="Times New Roman" w:hAnsi="Times New Roman" w:cs="Times New Roman"/>
          <w:szCs w:val="24"/>
        </w:rPr>
        <w:t>c</w:t>
      </w:r>
      <w:r w:rsidRPr="007C7BB9">
        <w:rPr>
          <w:rFonts w:ascii="Times New Roman" w:hAnsi="Times New Roman" w:cs="Times New Roman"/>
          <w:szCs w:val="24"/>
        </w:rPr>
        <w:t>ouncils who are unable to maintain a sustainable budget</w:t>
      </w:r>
      <w:r w:rsidR="0042294D">
        <w:rPr>
          <w:rFonts w:ascii="Times New Roman" w:hAnsi="Times New Roman" w:cs="Times New Roman"/>
          <w:szCs w:val="24"/>
        </w:rPr>
        <w:t>)</w:t>
      </w:r>
      <w:r w:rsidRPr="007C7BB9">
        <w:rPr>
          <w:rFonts w:ascii="Times New Roman" w:hAnsi="Times New Roman" w:cs="Times New Roman"/>
          <w:szCs w:val="24"/>
        </w:rPr>
        <w:t>.</w:t>
      </w:r>
      <w:r w:rsidRPr="007C7BB9">
        <w:rPr>
          <w:rStyle w:val="FootnoteReference"/>
          <w:rFonts w:ascii="Times New Roman" w:hAnsi="Times New Roman" w:cs="Times New Roman"/>
          <w:szCs w:val="24"/>
        </w:rPr>
        <w:footnoteReference w:id="112"/>
      </w:r>
      <w:r w:rsidRPr="007C7BB9">
        <w:rPr>
          <w:rFonts w:ascii="Times New Roman" w:hAnsi="Times New Roman" w:cs="Times New Roman"/>
          <w:szCs w:val="24"/>
        </w:rPr>
        <w:t xml:space="preserve"> In common with most of the sample, they support the idea of the policy, but raise concerns about how resource pressures caused by </w:t>
      </w:r>
      <w:r w:rsidR="00BA4366">
        <w:rPr>
          <w:rFonts w:ascii="Times New Roman" w:hAnsi="Times New Roman" w:cs="Times New Roman"/>
          <w:szCs w:val="24"/>
        </w:rPr>
        <w:t>‘</w:t>
      </w:r>
      <w:r w:rsidRPr="007C7BB9">
        <w:rPr>
          <w:rFonts w:ascii="Times New Roman" w:hAnsi="Times New Roman" w:cs="Times New Roman"/>
          <w:szCs w:val="24"/>
        </w:rPr>
        <w:t>relentless underfunding</w:t>
      </w:r>
      <w:r w:rsidR="00BA4366">
        <w:rPr>
          <w:rFonts w:ascii="Times New Roman" w:hAnsi="Times New Roman" w:cs="Times New Roman"/>
          <w:szCs w:val="24"/>
        </w:rPr>
        <w:t>’</w:t>
      </w:r>
      <w:r w:rsidRPr="007C7BB9">
        <w:rPr>
          <w:rFonts w:ascii="Times New Roman" w:hAnsi="Times New Roman" w:cs="Times New Roman"/>
          <w:szCs w:val="24"/>
        </w:rPr>
        <w:t xml:space="preserve"> in their </w:t>
      </w:r>
      <w:r w:rsidR="00332A07" w:rsidRPr="007C7BB9">
        <w:rPr>
          <w:rFonts w:ascii="Times New Roman" w:hAnsi="Times New Roman" w:cs="Times New Roman"/>
          <w:szCs w:val="24"/>
        </w:rPr>
        <w:t>local auth</w:t>
      </w:r>
      <w:r w:rsidRPr="007C7BB9">
        <w:rPr>
          <w:rFonts w:ascii="Times New Roman" w:hAnsi="Times New Roman" w:cs="Times New Roman"/>
          <w:szCs w:val="24"/>
        </w:rPr>
        <w:t xml:space="preserve">ority have had a </w:t>
      </w:r>
      <w:r w:rsidR="00BA4366">
        <w:rPr>
          <w:rFonts w:ascii="Times New Roman" w:hAnsi="Times New Roman" w:cs="Times New Roman"/>
          <w:szCs w:val="24"/>
        </w:rPr>
        <w:t>‘</w:t>
      </w:r>
      <w:r w:rsidRPr="007C7BB9">
        <w:rPr>
          <w:rFonts w:ascii="Times New Roman" w:hAnsi="Times New Roman" w:cs="Times New Roman"/>
          <w:szCs w:val="24"/>
        </w:rPr>
        <w:t>profound impact on LAs</w:t>
      </w:r>
      <w:r w:rsidR="00CD290F">
        <w:rPr>
          <w:rFonts w:ascii="Times New Roman" w:hAnsi="Times New Roman" w:cs="Times New Roman"/>
          <w:szCs w:val="24"/>
        </w:rPr>
        <w:t xml:space="preserve"> [</w:t>
      </w:r>
      <w:r w:rsidR="00332A07">
        <w:rPr>
          <w:rFonts w:ascii="Times New Roman" w:hAnsi="Times New Roman" w:cs="Times New Roman"/>
          <w:szCs w:val="24"/>
        </w:rPr>
        <w:t>local authoriti</w:t>
      </w:r>
      <w:r w:rsidR="00CD290F">
        <w:rPr>
          <w:rFonts w:ascii="Times New Roman" w:hAnsi="Times New Roman" w:cs="Times New Roman"/>
          <w:szCs w:val="24"/>
        </w:rPr>
        <w:t>es]</w:t>
      </w:r>
      <w:r w:rsidRPr="007C7BB9">
        <w:rPr>
          <w:rFonts w:ascii="Times New Roman" w:hAnsi="Times New Roman" w:cs="Times New Roman"/>
          <w:szCs w:val="24"/>
        </w:rPr>
        <w:t xml:space="preserve"> and their ability to consider anything over and above the bare minimum/statutory duties</w:t>
      </w:r>
      <w:r w:rsidR="00265B1B">
        <w:rPr>
          <w:rFonts w:ascii="Times New Roman" w:hAnsi="Times New Roman" w:cs="Times New Roman"/>
          <w:szCs w:val="24"/>
        </w:rPr>
        <w:t>—</w:t>
      </w:r>
      <w:r w:rsidRPr="007C7BB9">
        <w:rPr>
          <w:rFonts w:ascii="Times New Roman" w:hAnsi="Times New Roman" w:cs="Times New Roman"/>
          <w:szCs w:val="24"/>
        </w:rPr>
        <w:t>anything else feels largely like lip service</w:t>
      </w:r>
      <w:r w:rsidR="00BA4366">
        <w:rPr>
          <w:rFonts w:ascii="Times New Roman" w:hAnsi="Times New Roman" w:cs="Times New Roman"/>
          <w:szCs w:val="24"/>
        </w:rPr>
        <w:t>’</w:t>
      </w:r>
      <w:r w:rsidRPr="007C7BB9">
        <w:rPr>
          <w:rFonts w:ascii="Times New Roman" w:hAnsi="Times New Roman" w:cs="Times New Roman"/>
          <w:szCs w:val="24"/>
        </w:rPr>
        <w:t>.</w:t>
      </w:r>
      <w:r w:rsidRPr="007C7BB9">
        <w:rPr>
          <w:rStyle w:val="FootnoteReference"/>
          <w:rFonts w:ascii="Times New Roman" w:hAnsi="Times New Roman" w:cs="Times New Roman"/>
          <w:szCs w:val="24"/>
        </w:rPr>
        <w:footnoteReference w:id="113"/>
      </w:r>
      <w:r w:rsidR="00972559">
        <w:rPr>
          <w:rFonts w:ascii="Times New Roman" w:hAnsi="Times New Roman" w:cs="Times New Roman"/>
          <w:szCs w:val="24"/>
        </w:rPr>
        <w:t xml:space="preserve"> </w:t>
      </w:r>
      <w:r w:rsidR="00E30A30">
        <w:rPr>
          <w:rFonts w:ascii="Times New Roman" w:hAnsi="Times New Roman" w:cs="Times New Roman"/>
          <w:szCs w:val="24"/>
        </w:rPr>
        <w:t>C</w:t>
      </w:r>
      <w:r w:rsidR="00972559">
        <w:rPr>
          <w:rFonts w:ascii="Times New Roman" w:hAnsi="Times New Roman" w:cs="Times New Roman"/>
          <w:szCs w:val="24"/>
        </w:rPr>
        <w:t xml:space="preserve">ivil servants raising concerns about funding </w:t>
      </w:r>
      <w:r w:rsidR="00332A07">
        <w:rPr>
          <w:rFonts w:ascii="Times New Roman" w:hAnsi="Times New Roman" w:cs="Times New Roman"/>
          <w:szCs w:val="24"/>
        </w:rPr>
        <w:t>are</w:t>
      </w:r>
      <w:r w:rsidR="00972559">
        <w:rPr>
          <w:rFonts w:ascii="Times New Roman" w:hAnsi="Times New Roman" w:cs="Times New Roman"/>
          <w:szCs w:val="24"/>
        </w:rPr>
        <w:t xml:space="preserve"> hardly novel </w:t>
      </w:r>
      <w:r w:rsidR="00776B0F">
        <w:rPr>
          <w:rFonts w:ascii="Times New Roman" w:hAnsi="Times New Roman" w:cs="Times New Roman"/>
          <w:szCs w:val="24"/>
        </w:rPr>
        <w:t>given</w:t>
      </w:r>
      <w:r w:rsidR="00972559">
        <w:rPr>
          <w:rFonts w:ascii="Times New Roman" w:hAnsi="Times New Roman" w:cs="Times New Roman"/>
          <w:szCs w:val="24"/>
        </w:rPr>
        <w:t xml:space="preserve"> the funding challenges faced by the public sector</w:t>
      </w:r>
      <w:r w:rsidR="00776B0F">
        <w:rPr>
          <w:rFonts w:ascii="Times New Roman" w:hAnsi="Times New Roman" w:cs="Times New Roman"/>
          <w:szCs w:val="24"/>
        </w:rPr>
        <w:t>. H</w:t>
      </w:r>
      <w:r w:rsidR="00972559">
        <w:rPr>
          <w:rFonts w:ascii="Times New Roman" w:hAnsi="Times New Roman" w:cs="Times New Roman"/>
          <w:szCs w:val="24"/>
        </w:rPr>
        <w:t>owever, this participant draws out three specific reasons why this</w:t>
      </w:r>
      <w:r w:rsidR="00B83479">
        <w:rPr>
          <w:rFonts w:ascii="Times New Roman" w:hAnsi="Times New Roman" w:cs="Times New Roman"/>
          <w:szCs w:val="24"/>
        </w:rPr>
        <w:t xml:space="preserve"> is</w:t>
      </w:r>
      <w:r w:rsidR="00972559">
        <w:rPr>
          <w:rFonts w:ascii="Times New Roman" w:hAnsi="Times New Roman" w:cs="Times New Roman"/>
          <w:szCs w:val="24"/>
        </w:rPr>
        <w:t xml:space="preserve"> of particular concern for the </w:t>
      </w:r>
      <w:r w:rsidR="00EF1286">
        <w:rPr>
          <w:rFonts w:ascii="Times New Roman" w:hAnsi="Times New Roman" w:cs="Times New Roman"/>
          <w:szCs w:val="24"/>
        </w:rPr>
        <w:t>socio-economic duty</w:t>
      </w:r>
      <w:r w:rsidR="00972559">
        <w:rPr>
          <w:rFonts w:ascii="Times New Roman" w:hAnsi="Times New Roman" w:cs="Times New Roman"/>
          <w:szCs w:val="24"/>
        </w:rPr>
        <w:t xml:space="preserve"> commencement that are </w:t>
      </w:r>
      <w:r w:rsidRPr="007C7BB9">
        <w:rPr>
          <w:rFonts w:ascii="Times New Roman" w:hAnsi="Times New Roman" w:cs="Times New Roman"/>
          <w:szCs w:val="24"/>
        </w:rPr>
        <w:t>reflected across the sample. The first is how effective deliberation and engagement</w:t>
      </w:r>
      <w:r w:rsidR="00CD290F">
        <w:rPr>
          <w:rFonts w:ascii="Times New Roman" w:hAnsi="Times New Roman" w:cs="Times New Roman"/>
          <w:szCs w:val="24"/>
        </w:rPr>
        <w:t xml:space="preserve"> in equality duties</w:t>
      </w:r>
      <w:r w:rsidRPr="007C7BB9">
        <w:rPr>
          <w:rFonts w:ascii="Times New Roman" w:hAnsi="Times New Roman" w:cs="Times New Roman"/>
          <w:szCs w:val="24"/>
        </w:rPr>
        <w:t xml:space="preserve"> requires funding </w:t>
      </w:r>
      <w:r w:rsidR="00332A07">
        <w:rPr>
          <w:rFonts w:ascii="Times New Roman" w:hAnsi="Times New Roman" w:cs="Times New Roman"/>
          <w:szCs w:val="24"/>
        </w:rPr>
        <w:t xml:space="preserve">for it </w:t>
      </w:r>
      <w:r w:rsidRPr="007C7BB9">
        <w:rPr>
          <w:rFonts w:ascii="Times New Roman" w:hAnsi="Times New Roman" w:cs="Times New Roman"/>
          <w:szCs w:val="24"/>
        </w:rPr>
        <w:t xml:space="preserve">to </w:t>
      </w:r>
      <w:r w:rsidR="00332A07">
        <w:rPr>
          <w:rFonts w:ascii="Times New Roman" w:hAnsi="Times New Roman" w:cs="Times New Roman"/>
          <w:szCs w:val="24"/>
        </w:rPr>
        <w:t xml:space="preserve">be </w:t>
      </w:r>
      <w:r w:rsidRPr="007C7BB9">
        <w:rPr>
          <w:rFonts w:ascii="Times New Roman" w:hAnsi="Times New Roman" w:cs="Times New Roman"/>
          <w:szCs w:val="24"/>
        </w:rPr>
        <w:t>do</w:t>
      </w:r>
      <w:r w:rsidR="00332A07">
        <w:rPr>
          <w:rFonts w:ascii="Times New Roman" w:hAnsi="Times New Roman" w:cs="Times New Roman"/>
          <w:szCs w:val="24"/>
        </w:rPr>
        <w:t>ne</w:t>
      </w:r>
      <w:r w:rsidRPr="007C7BB9">
        <w:rPr>
          <w:rFonts w:ascii="Times New Roman" w:hAnsi="Times New Roman" w:cs="Times New Roman"/>
          <w:szCs w:val="24"/>
        </w:rPr>
        <w:t xml:space="preserve"> in a meaningful and non-tokenistic way:</w:t>
      </w:r>
    </w:p>
    <w:p w14:paraId="10DD4011" w14:textId="77E32574"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bCs/>
          <w:szCs w:val="24"/>
        </w:rPr>
        <w:t>I fail to see how Labour envisage LAs [</w:t>
      </w:r>
      <w:r w:rsidR="00332A07" w:rsidRPr="007C7BB9">
        <w:rPr>
          <w:rFonts w:ascii="Times New Roman" w:hAnsi="Times New Roman" w:cs="Times New Roman"/>
          <w:bCs/>
          <w:szCs w:val="24"/>
        </w:rPr>
        <w:t>local authoritie</w:t>
      </w:r>
      <w:r w:rsidRPr="007C7BB9">
        <w:rPr>
          <w:rFonts w:ascii="Times New Roman" w:hAnsi="Times New Roman" w:cs="Times New Roman"/>
          <w:bCs/>
          <w:szCs w:val="24"/>
        </w:rPr>
        <w:t>s] being able to do any of this without proper funding. The first things to go are the things which probably have most value to meaningful equalities work</w:t>
      </w:r>
      <w:r w:rsidR="00265B1B">
        <w:rPr>
          <w:rFonts w:ascii="Times New Roman" w:hAnsi="Times New Roman" w:cs="Times New Roman"/>
          <w:bCs/>
          <w:szCs w:val="24"/>
        </w:rPr>
        <w:t>—</w:t>
      </w:r>
      <w:r w:rsidRPr="007C7BB9">
        <w:rPr>
          <w:rFonts w:ascii="Times New Roman" w:hAnsi="Times New Roman" w:cs="Times New Roman"/>
          <w:bCs/>
          <w:szCs w:val="24"/>
        </w:rPr>
        <w:t>so for instance, whilst there is work been</w:t>
      </w:r>
      <w:r w:rsidR="00CD290F">
        <w:rPr>
          <w:rFonts w:ascii="Times New Roman" w:hAnsi="Times New Roman" w:cs="Times New Roman"/>
          <w:bCs/>
          <w:szCs w:val="24"/>
        </w:rPr>
        <w:t xml:space="preserve"> [sic]</w:t>
      </w:r>
      <w:r w:rsidRPr="007C7BB9">
        <w:rPr>
          <w:rFonts w:ascii="Times New Roman" w:hAnsi="Times New Roman" w:cs="Times New Roman"/>
          <w:bCs/>
          <w:szCs w:val="24"/>
        </w:rPr>
        <w:t xml:space="preserve"> done across my LA, in partnership with the community, VS [voluntary sector] and charitable organisations</w:t>
      </w:r>
      <w:r w:rsidR="00332A07">
        <w:rPr>
          <w:rFonts w:ascii="Times New Roman" w:hAnsi="Times New Roman" w:cs="Times New Roman"/>
          <w:bCs/>
          <w:szCs w:val="24"/>
        </w:rPr>
        <w:t xml:space="preserve"> </w:t>
      </w:r>
      <w:r w:rsidRPr="007C7BB9">
        <w:rPr>
          <w:rFonts w:ascii="Times New Roman" w:hAnsi="Times New Roman" w:cs="Times New Roman"/>
          <w:bCs/>
          <w:szCs w:val="24"/>
        </w:rPr>
        <w:t>… a lack of funding, and the current budget crisis means it</w:t>
      </w:r>
      <w:r w:rsidR="00BA4366">
        <w:rPr>
          <w:rFonts w:ascii="Times New Roman" w:hAnsi="Times New Roman" w:cs="Times New Roman"/>
          <w:bCs/>
          <w:szCs w:val="24"/>
        </w:rPr>
        <w:t>’</w:t>
      </w:r>
      <w:r w:rsidRPr="007C7BB9">
        <w:rPr>
          <w:rFonts w:ascii="Times New Roman" w:hAnsi="Times New Roman" w:cs="Times New Roman"/>
          <w:bCs/>
          <w:szCs w:val="24"/>
        </w:rPr>
        <w:t>s little more than reinventing stuff, or a firm favourite</w:t>
      </w:r>
      <w:r w:rsidR="00265B1B">
        <w:rPr>
          <w:rFonts w:ascii="Times New Roman" w:hAnsi="Times New Roman" w:cs="Times New Roman"/>
          <w:bCs/>
          <w:szCs w:val="24"/>
        </w:rPr>
        <w:t>—</w:t>
      </w:r>
      <w:r w:rsidRPr="007C7BB9">
        <w:rPr>
          <w:rFonts w:ascii="Times New Roman" w:hAnsi="Times New Roman" w:cs="Times New Roman"/>
          <w:bCs/>
          <w:szCs w:val="24"/>
        </w:rPr>
        <w:t>re-naming it, but that being the only change.</w:t>
      </w:r>
      <w:r w:rsidRPr="007C7BB9">
        <w:rPr>
          <w:rStyle w:val="FootnoteReference"/>
          <w:rFonts w:ascii="Times New Roman" w:hAnsi="Times New Roman" w:cs="Times New Roman"/>
          <w:szCs w:val="24"/>
        </w:rPr>
        <w:footnoteReference w:id="114"/>
      </w:r>
    </w:p>
    <w:p w14:paraId="12EF8C18" w14:textId="6663BECB" w:rsidR="00705BB7" w:rsidRPr="007C7BB9" w:rsidRDefault="00705BB7" w:rsidP="00BA2D09">
      <w:pPr>
        <w:rPr>
          <w:rFonts w:ascii="Times New Roman" w:hAnsi="Times New Roman" w:cs="Times New Roman"/>
          <w:bCs/>
          <w:szCs w:val="24"/>
        </w:rPr>
      </w:pPr>
      <w:r w:rsidRPr="007C7BB9">
        <w:rPr>
          <w:rFonts w:ascii="Times New Roman" w:hAnsi="Times New Roman" w:cs="Times New Roman"/>
        </w:rPr>
        <w:t xml:space="preserve">Deliberative processes with affected groups cost time and money. In the context of a highly pressured spending environment, this led to concerns that to be </w:t>
      </w:r>
      <w:r w:rsidR="00BA4366">
        <w:rPr>
          <w:rFonts w:ascii="Times New Roman" w:hAnsi="Times New Roman" w:cs="Times New Roman"/>
        </w:rPr>
        <w:t>‘</w:t>
      </w:r>
      <w:r w:rsidRPr="007C7BB9">
        <w:rPr>
          <w:rFonts w:ascii="Times New Roman" w:hAnsi="Times New Roman" w:cs="Times New Roman"/>
        </w:rPr>
        <w:t>valuable</w:t>
      </w:r>
      <w:r w:rsidR="00BA4366">
        <w:rPr>
          <w:rFonts w:ascii="Times New Roman" w:hAnsi="Times New Roman" w:cs="Times New Roman"/>
        </w:rPr>
        <w:t>’</w:t>
      </w:r>
      <w:r w:rsidRPr="007C7BB9">
        <w:rPr>
          <w:rFonts w:ascii="Times New Roman" w:hAnsi="Times New Roman" w:cs="Times New Roman"/>
        </w:rPr>
        <w:t xml:space="preserve">, instead of </w:t>
      </w:r>
      <w:r w:rsidR="00BA4366">
        <w:rPr>
          <w:rFonts w:ascii="Times New Roman" w:hAnsi="Times New Roman" w:cs="Times New Roman"/>
        </w:rPr>
        <w:t>‘</w:t>
      </w:r>
      <w:r w:rsidRPr="007C7BB9">
        <w:rPr>
          <w:rFonts w:ascii="Times New Roman" w:hAnsi="Times New Roman" w:cs="Times New Roman"/>
        </w:rPr>
        <w:t>tokenistic</w:t>
      </w:r>
      <w:r w:rsidR="00BA4366">
        <w:rPr>
          <w:rFonts w:ascii="Times New Roman" w:hAnsi="Times New Roman" w:cs="Times New Roman"/>
        </w:rPr>
        <w:t>’</w:t>
      </w:r>
      <w:r w:rsidRPr="007C7BB9">
        <w:rPr>
          <w:rFonts w:ascii="Times New Roman" w:hAnsi="Times New Roman" w:cs="Times New Roman"/>
        </w:rPr>
        <w:t xml:space="preserve">, </w:t>
      </w:r>
      <w:r w:rsidR="006401C4">
        <w:rPr>
          <w:rFonts w:ascii="Times New Roman" w:hAnsi="Times New Roman" w:cs="Times New Roman"/>
        </w:rPr>
        <w:t>resources are</w:t>
      </w:r>
      <w:r w:rsidRPr="007C7BB9">
        <w:rPr>
          <w:rFonts w:ascii="Times New Roman" w:hAnsi="Times New Roman" w:cs="Times New Roman"/>
        </w:rPr>
        <w:t xml:space="preserve"> required.</w:t>
      </w:r>
      <w:r w:rsidRPr="007C7BB9">
        <w:rPr>
          <w:rStyle w:val="FootnoteReference"/>
          <w:rFonts w:ascii="Times New Roman" w:hAnsi="Times New Roman" w:cs="Times New Roman"/>
        </w:rPr>
        <w:footnoteReference w:id="115"/>
      </w:r>
      <w:r w:rsidRPr="007C7BB9">
        <w:rPr>
          <w:rFonts w:ascii="Times New Roman" w:hAnsi="Times New Roman" w:cs="Times New Roman"/>
        </w:rPr>
        <w:t xml:space="preserve"> Participant </w:t>
      </w:r>
      <w:r w:rsidR="007C4C60">
        <w:rPr>
          <w:rFonts w:ascii="Times New Roman" w:hAnsi="Times New Roman" w:cs="Times New Roman"/>
          <w:bCs/>
          <w:szCs w:val="24"/>
        </w:rPr>
        <w:t>2</w:t>
      </w:r>
      <w:r w:rsidRPr="007C7BB9">
        <w:rPr>
          <w:rFonts w:ascii="Times New Roman" w:hAnsi="Times New Roman" w:cs="Times New Roman"/>
          <w:bCs/>
          <w:szCs w:val="24"/>
        </w:rPr>
        <w:t xml:space="preserve"> characterises this as providing space for </w:t>
      </w:r>
      <w:r w:rsidR="00BA4366">
        <w:rPr>
          <w:rFonts w:ascii="Times New Roman" w:hAnsi="Times New Roman" w:cs="Times New Roman"/>
          <w:bCs/>
          <w:szCs w:val="24"/>
        </w:rPr>
        <w:t>‘</w:t>
      </w:r>
      <w:r w:rsidRPr="007C7BB9">
        <w:rPr>
          <w:rFonts w:ascii="Times New Roman" w:hAnsi="Times New Roman" w:cs="Times New Roman"/>
          <w:bCs/>
          <w:szCs w:val="24"/>
        </w:rPr>
        <w:t>more than documentation</w:t>
      </w:r>
      <w:r w:rsidR="00BA4366">
        <w:rPr>
          <w:rFonts w:ascii="Times New Roman" w:hAnsi="Times New Roman" w:cs="Times New Roman"/>
          <w:bCs/>
          <w:szCs w:val="24"/>
        </w:rPr>
        <w:t>’</w:t>
      </w:r>
      <w:r w:rsidRPr="007C7BB9">
        <w:rPr>
          <w:rFonts w:ascii="Times New Roman" w:hAnsi="Times New Roman" w:cs="Times New Roman"/>
          <w:bCs/>
          <w:szCs w:val="24"/>
        </w:rPr>
        <w:t>:</w:t>
      </w:r>
    </w:p>
    <w:p w14:paraId="0ADE25E0" w14:textId="6020BD16"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bCs/>
          <w:szCs w:val="24"/>
        </w:rPr>
        <w:t>There is a lack of adequate funding for effective implementation and engagement with stakeholders, so it can be tokenistic whereby consultations do not result in any actual change. I support the socio-economic duty as it acknowledges the role of economic inequality alongside other factors like gender and ethnicity. However, for it to be effective, it needs more than just documentation. There must be … proper funding—otherwise, it risks becoming another symbolic policy with little real impact.</w:t>
      </w:r>
      <w:r w:rsidRPr="007C7BB9">
        <w:rPr>
          <w:rStyle w:val="FootnoteReference"/>
          <w:rFonts w:ascii="Times New Roman" w:hAnsi="Times New Roman" w:cs="Times New Roman"/>
          <w:bCs/>
          <w:szCs w:val="24"/>
        </w:rPr>
        <w:footnoteReference w:id="116"/>
      </w:r>
    </w:p>
    <w:p w14:paraId="075FBBD9" w14:textId="029D9C07" w:rsidR="00705BB7" w:rsidRPr="007C7BB9" w:rsidRDefault="00705BB7" w:rsidP="00BA2D09">
      <w:pPr>
        <w:ind w:right="95"/>
        <w:rPr>
          <w:rFonts w:ascii="Times New Roman" w:hAnsi="Times New Roman" w:cs="Times New Roman"/>
          <w:bCs/>
          <w:szCs w:val="24"/>
        </w:rPr>
      </w:pPr>
      <w:r w:rsidRPr="007C7BB9">
        <w:rPr>
          <w:rFonts w:ascii="Times New Roman" w:hAnsi="Times New Roman" w:cs="Times New Roman"/>
          <w:bCs/>
          <w:szCs w:val="24"/>
        </w:rPr>
        <w:t xml:space="preserve">Participants who had more experience of equality consultation exercises underscored the importance of resources for deeper work with affected groups, going beyond the well-worn </w:t>
      </w:r>
      <w:r w:rsidRPr="007C7BB9">
        <w:rPr>
          <w:rFonts w:ascii="Times New Roman" w:hAnsi="Times New Roman" w:cs="Times New Roman"/>
          <w:bCs/>
          <w:szCs w:val="24"/>
        </w:rPr>
        <w:lastRenderedPageBreak/>
        <w:t>consultations and surveys, such as by drawing on co-production techniques.</w:t>
      </w:r>
      <w:r w:rsidR="006160DC">
        <w:rPr>
          <w:rStyle w:val="FootnoteReference"/>
          <w:rFonts w:ascii="Times New Roman" w:hAnsi="Times New Roman" w:cs="Times New Roman"/>
          <w:bCs/>
          <w:szCs w:val="24"/>
        </w:rPr>
        <w:footnoteReference w:id="117"/>
      </w:r>
      <w:r w:rsidRPr="007C7BB9">
        <w:rPr>
          <w:rFonts w:ascii="Times New Roman" w:hAnsi="Times New Roman" w:cs="Times New Roman"/>
          <w:bCs/>
          <w:szCs w:val="24"/>
        </w:rPr>
        <w:t xml:space="preserve"> Although this deeper engagement is more in line with the ethos of reflexive law outlined above, it comes with greater pressures on resource</w:t>
      </w:r>
      <w:r w:rsidR="00C75EEA">
        <w:rPr>
          <w:rFonts w:ascii="Times New Roman" w:hAnsi="Times New Roman" w:cs="Times New Roman"/>
          <w:bCs/>
          <w:szCs w:val="24"/>
        </w:rPr>
        <w:t>s</w:t>
      </w:r>
      <w:r w:rsidRPr="007C7BB9">
        <w:rPr>
          <w:rFonts w:ascii="Times New Roman" w:hAnsi="Times New Roman" w:cs="Times New Roman"/>
          <w:bCs/>
          <w:szCs w:val="24"/>
        </w:rPr>
        <w:t>.</w:t>
      </w:r>
    </w:p>
    <w:p w14:paraId="7EB63385" w14:textId="6302EF0C"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bCs/>
          <w:szCs w:val="24"/>
        </w:rPr>
        <w:t xml:space="preserve">At present it does feel like a bit of a </w:t>
      </w:r>
      <w:proofErr w:type="spellStart"/>
      <w:r w:rsidR="00265B1B" w:rsidRPr="00BA2D09">
        <w:t>tickbox</w:t>
      </w:r>
      <w:proofErr w:type="spellEnd"/>
      <w:r w:rsidRPr="007C7BB9">
        <w:rPr>
          <w:rFonts w:ascii="Times New Roman" w:hAnsi="Times New Roman" w:cs="Times New Roman"/>
          <w:bCs/>
          <w:szCs w:val="24"/>
        </w:rPr>
        <w:t xml:space="preserve"> exercise</w:t>
      </w:r>
      <w:r w:rsidR="00265B1B">
        <w:rPr>
          <w:rFonts w:ascii="Times New Roman" w:hAnsi="Times New Roman" w:cs="Times New Roman"/>
          <w:bCs/>
          <w:szCs w:val="24"/>
        </w:rPr>
        <w:t>—</w:t>
      </w:r>
      <w:r w:rsidRPr="007C7BB9">
        <w:rPr>
          <w:rFonts w:ascii="Times New Roman" w:hAnsi="Times New Roman" w:cs="Times New Roman"/>
          <w:bCs/>
          <w:szCs w:val="24"/>
        </w:rPr>
        <w:t>this isn</w:t>
      </w:r>
      <w:r w:rsidR="00BA4366">
        <w:rPr>
          <w:rFonts w:ascii="Times New Roman" w:hAnsi="Times New Roman" w:cs="Times New Roman"/>
          <w:bCs/>
          <w:szCs w:val="24"/>
        </w:rPr>
        <w:t>’</w:t>
      </w:r>
      <w:r w:rsidRPr="007C7BB9">
        <w:rPr>
          <w:rFonts w:ascii="Times New Roman" w:hAnsi="Times New Roman" w:cs="Times New Roman"/>
          <w:bCs/>
          <w:szCs w:val="24"/>
        </w:rPr>
        <w:t>t due to not having the will to take these factors into account, it is due to the lack of resource. With adequate investment alongside the policy it could be so much better with true co-design and co-authorship with the affected groups, but at present lack of funding, time and preparation doesn</w:t>
      </w:r>
      <w:r w:rsidR="00BA4366">
        <w:rPr>
          <w:rFonts w:ascii="Times New Roman" w:hAnsi="Times New Roman" w:cs="Times New Roman"/>
          <w:bCs/>
          <w:szCs w:val="24"/>
        </w:rPr>
        <w:t>’</w:t>
      </w:r>
      <w:r w:rsidRPr="007C7BB9">
        <w:rPr>
          <w:rFonts w:ascii="Times New Roman" w:hAnsi="Times New Roman" w:cs="Times New Roman"/>
          <w:bCs/>
          <w:szCs w:val="24"/>
        </w:rPr>
        <w:t>t allow it to be used to its full potential. Feels like it is an after-thought.</w:t>
      </w:r>
      <w:r w:rsidRPr="007C7BB9">
        <w:rPr>
          <w:rStyle w:val="FootnoteReference"/>
          <w:rFonts w:ascii="Times New Roman" w:hAnsi="Times New Roman" w:cs="Times New Roman"/>
          <w:bCs/>
          <w:szCs w:val="24"/>
        </w:rPr>
        <w:footnoteReference w:id="118"/>
      </w:r>
    </w:p>
    <w:p w14:paraId="2EE35E4B" w14:textId="59ED1019" w:rsidR="00705BB7" w:rsidRPr="00BA2D09" w:rsidRDefault="00705BB7" w:rsidP="00BA2D09">
      <w:pPr>
        <w:rPr>
          <w:rFonts w:ascii="Times New Roman" w:hAnsi="Times New Roman"/>
        </w:rPr>
      </w:pPr>
      <w:r w:rsidRPr="007C7BB9">
        <w:rPr>
          <w:rFonts w:ascii="Times New Roman" w:hAnsi="Times New Roman" w:cs="Times New Roman"/>
          <w:bCs/>
          <w:szCs w:val="24"/>
        </w:rPr>
        <w:t xml:space="preserve">Even where participants were confident that some resources do exist for this kind of work, they underscored that additional support for expanding this would be hard to sustain in the face of pressures on front-line public services within their organisations. For example, Participant </w:t>
      </w:r>
      <w:r w:rsidR="007C4C60">
        <w:rPr>
          <w:rFonts w:ascii="Times New Roman" w:hAnsi="Times New Roman" w:cs="Times New Roman"/>
          <w:bCs/>
          <w:szCs w:val="24"/>
        </w:rPr>
        <w:t>3</w:t>
      </w:r>
      <w:r w:rsidRPr="007C7BB9">
        <w:rPr>
          <w:rFonts w:ascii="Times New Roman" w:hAnsi="Times New Roman" w:cs="Times New Roman"/>
          <w:bCs/>
          <w:szCs w:val="24"/>
        </w:rPr>
        <w:t xml:space="preserve"> works in the NHS and suggested that funding for deliberative processes will always be cut before the budget for primary care. A lack of such funding was, in their view, the fault of central </w:t>
      </w:r>
      <w:r w:rsidR="0093613D">
        <w:rPr>
          <w:rFonts w:ascii="Times New Roman" w:hAnsi="Times New Roman" w:cs="Times New Roman"/>
          <w:bCs/>
          <w:szCs w:val="24"/>
        </w:rPr>
        <w:t>government</w:t>
      </w:r>
      <w:r w:rsidRPr="007C7BB9">
        <w:rPr>
          <w:rFonts w:ascii="Times New Roman" w:hAnsi="Times New Roman" w:cs="Times New Roman"/>
          <w:bCs/>
          <w:szCs w:val="24"/>
        </w:rPr>
        <w:t xml:space="preserve">, rather than how </w:t>
      </w:r>
      <w:r w:rsidR="0093613D">
        <w:rPr>
          <w:rFonts w:ascii="Times New Roman" w:hAnsi="Times New Roman" w:cs="Times New Roman"/>
          <w:bCs/>
          <w:szCs w:val="24"/>
        </w:rPr>
        <w:t>local government</w:t>
      </w:r>
      <w:r w:rsidRPr="007C7BB9">
        <w:rPr>
          <w:rFonts w:ascii="Times New Roman" w:hAnsi="Times New Roman" w:cs="Times New Roman"/>
          <w:bCs/>
          <w:szCs w:val="24"/>
        </w:rPr>
        <w:t xml:space="preserve"> or the NHS were managing their own budgets.</w:t>
      </w:r>
    </w:p>
    <w:p w14:paraId="63A52927" w14:textId="77777777" w:rsidR="00705BB7" w:rsidRPr="007C7BB9" w:rsidRDefault="00705BB7" w:rsidP="00BA2D09">
      <w:pPr>
        <w:spacing w:line="240" w:lineRule="auto"/>
        <w:ind w:left="567" w:right="521"/>
        <w:rPr>
          <w:rFonts w:ascii="Times New Roman" w:hAnsi="Times New Roman" w:cs="Times New Roman"/>
        </w:rPr>
      </w:pPr>
      <w:r w:rsidRPr="007C7BB9">
        <w:rPr>
          <w:rFonts w:ascii="Times New Roman" w:hAnsi="Times New Roman" w:cs="Times New Roman"/>
          <w:bCs/>
          <w:szCs w:val="24"/>
        </w:rPr>
        <w:t>On resource I believe this does exist for supporting equality in decision-making. It is not as high as it should be, however I think this is the fault of national Government funding, not local government/NHS decisions. The whole way these bodies are funded needs to be revolutionised, as currently bodies are having to make cuts to areas that deserve more attention (e.g. in the NHS, funding for engaging the public would always be cut before funding for cancer services).</w:t>
      </w:r>
      <w:r w:rsidRPr="007C7BB9">
        <w:rPr>
          <w:rStyle w:val="FootnoteReference"/>
          <w:rFonts w:ascii="Times New Roman" w:hAnsi="Times New Roman" w:cs="Times New Roman"/>
          <w:bCs/>
          <w:szCs w:val="24"/>
        </w:rPr>
        <w:footnoteReference w:id="119"/>
      </w:r>
    </w:p>
    <w:p w14:paraId="5228A910" w14:textId="7620B543" w:rsidR="00705BB7" w:rsidRPr="007C7BB9" w:rsidRDefault="00705BB7" w:rsidP="00BA2D09">
      <w:pPr>
        <w:rPr>
          <w:rFonts w:ascii="Times New Roman" w:hAnsi="Times New Roman" w:cs="Times New Roman"/>
        </w:rPr>
      </w:pPr>
      <w:r w:rsidRPr="007C7BB9">
        <w:rPr>
          <w:rFonts w:ascii="Times New Roman" w:hAnsi="Times New Roman" w:cs="Times New Roman"/>
        </w:rPr>
        <w:t xml:space="preserve">In addition to support for this engagement, participants underscored pressures on their time. Returning to Participant </w:t>
      </w:r>
      <w:r w:rsidR="007C4C60">
        <w:rPr>
          <w:rFonts w:ascii="Times New Roman" w:hAnsi="Times New Roman" w:cs="Times New Roman"/>
        </w:rPr>
        <w:t>1</w:t>
      </w:r>
      <w:r w:rsidRPr="007C7BB9">
        <w:rPr>
          <w:rFonts w:ascii="Times New Roman" w:hAnsi="Times New Roman" w:cs="Times New Roman"/>
        </w:rPr>
        <w:t xml:space="preserve">, they </w:t>
      </w:r>
      <w:r w:rsidR="00A360BA">
        <w:rPr>
          <w:rFonts w:ascii="Times New Roman" w:hAnsi="Times New Roman" w:cs="Times New Roman"/>
        </w:rPr>
        <w:t>highlighted</w:t>
      </w:r>
      <w:r w:rsidR="00A360BA" w:rsidRPr="007C7BB9">
        <w:rPr>
          <w:rFonts w:ascii="Times New Roman" w:hAnsi="Times New Roman" w:cs="Times New Roman"/>
        </w:rPr>
        <w:t xml:space="preserve"> </w:t>
      </w:r>
      <w:r w:rsidRPr="007C7BB9">
        <w:rPr>
          <w:rFonts w:ascii="Times New Roman" w:hAnsi="Times New Roman" w:cs="Times New Roman"/>
        </w:rPr>
        <w:t>how staff</w:t>
      </w:r>
      <w:r w:rsidR="00265B1B">
        <w:rPr>
          <w:rFonts w:ascii="Times New Roman" w:hAnsi="Times New Roman" w:cs="Times New Roman"/>
        </w:rPr>
        <w:t>—</w:t>
      </w:r>
      <w:r w:rsidRPr="007C7BB9">
        <w:rPr>
          <w:rFonts w:ascii="Times New Roman" w:hAnsi="Times New Roman" w:cs="Times New Roman"/>
        </w:rPr>
        <w:t>even when they may be committed to and knowledgeable about equalities work</w:t>
      </w:r>
      <w:r w:rsidR="00265B1B">
        <w:rPr>
          <w:rFonts w:ascii="Times New Roman" w:hAnsi="Times New Roman" w:cs="Times New Roman"/>
        </w:rPr>
        <w:t>—</w:t>
      </w:r>
      <w:r w:rsidR="00A360BA">
        <w:rPr>
          <w:rFonts w:ascii="Times New Roman" w:hAnsi="Times New Roman" w:cs="Times New Roman"/>
        </w:rPr>
        <w:t>have little</w:t>
      </w:r>
      <w:r w:rsidRPr="007C7BB9">
        <w:rPr>
          <w:rFonts w:ascii="Times New Roman" w:hAnsi="Times New Roman" w:cs="Times New Roman"/>
        </w:rPr>
        <w:t xml:space="preserve"> time to allocate to this in the face of other competing demands.</w:t>
      </w:r>
    </w:p>
    <w:p w14:paraId="7CEABA3A" w14:textId="675A62EE" w:rsidR="00705BB7" w:rsidRPr="007C7BB9" w:rsidRDefault="00705BB7" w:rsidP="00BA2D09">
      <w:pPr>
        <w:spacing w:line="240" w:lineRule="auto"/>
        <w:ind w:left="567" w:right="521"/>
        <w:rPr>
          <w:rFonts w:ascii="Times New Roman" w:hAnsi="Times New Roman" w:cs="Times New Roman"/>
          <w:szCs w:val="24"/>
        </w:rPr>
      </w:pPr>
      <w:r w:rsidRPr="007C7BB9">
        <w:rPr>
          <w:rFonts w:ascii="Times New Roman" w:hAnsi="Times New Roman" w:cs="Times New Roman"/>
          <w:szCs w:val="24"/>
        </w:rPr>
        <w:t>Those of us who have the knowledge and expertise to contribute to this sort of work, however, are so beleaguered just trying to keep our heads above water in our day jobs, we</w:t>
      </w:r>
      <w:r w:rsidR="00BA4366">
        <w:rPr>
          <w:rFonts w:ascii="Times New Roman" w:hAnsi="Times New Roman" w:cs="Times New Roman"/>
          <w:szCs w:val="24"/>
        </w:rPr>
        <w:t>’</w:t>
      </w:r>
      <w:r w:rsidRPr="007C7BB9">
        <w:rPr>
          <w:rFonts w:ascii="Times New Roman" w:hAnsi="Times New Roman" w:cs="Times New Roman"/>
          <w:szCs w:val="24"/>
        </w:rPr>
        <w:t>re reluctant, or just don</w:t>
      </w:r>
      <w:r w:rsidR="00BA4366">
        <w:rPr>
          <w:rFonts w:ascii="Times New Roman" w:hAnsi="Times New Roman" w:cs="Times New Roman"/>
          <w:szCs w:val="24"/>
        </w:rPr>
        <w:t>’</w:t>
      </w:r>
      <w:r w:rsidRPr="007C7BB9">
        <w:rPr>
          <w:rFonts w:ascii="Times New Roman" w:hAnsi="Times New Roman" w:cs="Times New Roman"/>
          <w:szCs w:val="24"/>
        </w:rPr>
        <w:t>t have the space to take on anything else</w:t>
      </w:r>
      <w:r w:rsidR="00A55F59">
        <w:rPr>
          <w:rFonts w:ascii="Times New Roman" w:hAnsi="Times New Roman" w:cs="Times New Roman"/>
          <w:szCs w:val="24"/>
        </w:rPr>
        <w:t xml:space="preserve"> </w:t>
      </w:r>
      <w:r w:rsidRPr="007C7BB9">
        <w:rPr>
          <w:rFonts w:ascii="Times New Roman" w:hAnsi="Times New Roman" w:cs="Times New Roman"/>
          <w:szCs w:val="24"/>
        </w:rPr>
        <w:t>… If done well and properly, they [duties like the</w:t>
      </w:r>
      <w:r w:rsidRPr="00BA2D09">
        <w:t xml:space="preserve"> </w:t>
      </w:r>
      <w:r w:rsidR="000A3BAD" w:rsidRPr="00A55F59">
        <w:t>socio-economic duty</w:t>
      </w:r>
      <w:r w:rsidRPr="007C7BB9">
        <w:rPr>
          <w:rFonts w:ascii="Times New Roman" w:hAnsi="Times New Roman" w:cs="Times New Roman"/>
          <w:szCs w:val="24"/>
        </w:rPr>
        <w:t>] absolutely have the capacity to shape decisions, for the better, and to drive policy change</w:t>
      </w:r>
      <w:r w:rsidR="00265B1B">
        <w:rPr>
          <w:rFonts w:ascii="Times New Roman" w:hAnsi="Times New Roman" w:cs="Times New Roman"/>
          <w:szCs w:val="24"/>
        </w:rPr>
        <w:t>—</w:t>
      </w:r>
      <w:r w:rsidRPr="007C7BB9">
        <w:rPr>
          <w:rFonts w:ascii="Times New Roman" w:hAnsi="Times New Roman" w:cs="Times New Roman"/>
          <w:szCs w:val="24"/>
        </w:rPr>
        <w:t>currently that</w:t>
      </w:r>
      <w:r w:rsidR="00BA4366">
        <w:rPr>
          <w:rFonts w:ascii="Times New Roman" w:hAnsi="Times New Roman" w:cs="Times New Roman"/>
          <w:szCs w:val="24"/>
        </w:rPr>
        <w:t>’</w:t>
      </w:r>
      <w:r w:rsidRPr="007C7BB9">
        <w:rPr>
          <w:rFonts w:ascii="Times New Roman" w:hAnsi="Times New Roman" w:cs="Times New Roman"/>
          <w:szCs w:val="24"/>
        </w:rPr>
        <w:t>s not achievable, as we</w:t>
      </w:r>
      <w:r w:rsidR="00BA4366">
        <w:rPr>
          <w:rFonts w:ascii="Times New Roman" w:hAnsi="Times New Roman" w:cs="Times New Roman"/>
          <w:szCs w:val="24"/>
        </w:rPr>
        <w:t>’</w:t>
      </w:r>
      <w:r w:rsidRPr="007C7BB9">
        <w:rPr>
          <w:rFonts w:ascii="Times New Roman" w:hAnsi="Times New Roman" w:cs="Times New Roman"/>
          <w:szCs w:val="24"/>
        </w:rPr>
        <w:t>re all engaged in firefighting/defensive practice in order to survive.</w:t>
      </w:r>
      <w:r w:rsidRPr="007C7BB9">
        <w:rPr>
          <w:rStyle w:val="FootnoteReference"/>
          <w:rFonts w:ascii="Times New Roman" w:hAnsi="Times New Roman" w:cs="Times New Roman"/>
          <w:szCs w:val="24"/>
        </w:rPr>
        <w:footnoteReference w:id="120"/>
      </w:r>
    </w:p>
    <w:p w14:paraId="53F74718" w14:textId="3422D50A" w:rsidR="00705BB7" w:rsidRPr="007C7BB9" w:rsidRDefault="00705BB7" w:rsidP="00BA2D09">
      <w:pPr>
        <w:ind w:right="95"/>
        <w:rPr>
          <w:rFonts w:ascii="Times New Roman" w:hAnsi="Times New Roman" w:cs="Times New Roman"/>
          <w:bCs/>
          <w:szCs w:val="24"/>
        </w:rPr>
      </w:pPr>
      <w:r w:rsidRPr="007C7BB9">
        <w:rPr>
          <w:rFonts w:ascii="Times New Roman" w:hAnsi="Times New Roman" w:cs="Times New Roman"/>
          <w:bCs/>
          <w:szCs w:val="24"/>
        </w:rPr>
        <w:lastRenderedPageBreak/>
        <w:t xml:space="preserve">These problems of staff resourcing are not only about individual staff members having the time to meaningfully </w:t>
      </w:r>
      <w:r w:rsidR="00732455" w:rsidRPr="007C7BB9">
        <w:rPr>
          <w:rFonts w:ascii="Times New Roman" w:hAnsi="Times New Roman" w:cs="Times New Roman"/>
          <w:bCs/>
          <w:szCs w:val="24"/>
        </w:rPr>
        <w:t>discharg</w:t>
      </w:r>
      <w:r w:rsidR="00732455">
        <w:rPr>
          <w:rFonts w:ascii="Times New Roman" w:hAnsi="Times New Roman" w:cs="Times New Roman"/>
          <w:bCs/>
          <w:szCs w:val="24"/>
        </w:rPr>
        <w:t>e</w:t>
      </w:r>
      <w:r w:rsidR="00732455" w:rsidRPr="007C7BB9">
        <w:rPr>
          <w:rFonts w:ascii="Times New Roman" w:hAnsi="Times New Roman" w:cs="Times New Roman"/>
          <w:bCs/>
          <w:szCs w:val="24"/>
        </w:rPr>
        <w:t xml:space="preserve"> </w:t>
      </w:r>
      <w:r w:rsidRPr="007C7BB9">
        <w:rPr>
          <w:rFonts w:ascii="Times New Roman" w:hAnsi="Times New Roman" w:cs="Times New Roman"/>
          <w:bCs/>
          <w:szCs w:val="24"/>
        </w:rPr>
        <w:t xml:space="preserve">equality duties, but also about the impact of staffing reductions on the shape and size of the broader staffing picture. For instance, participants referred to cuts to dedicated equalities and </w:t>
      </w:r>
      <w:r w:rsidR="00A37EA2">
        <w:rPr>
          <w:rFonts w:ascii="Times New Roman" w:hAnsi="Times New Roman" w:cs="Times New Roman"/>
          <w:bCs/>
          <w:szCs w:val="24"/>
        </w:rPr>
        <w:t>community</w:t>
      </w:r>
      <w:r w:rsidR="00A37EA2" w:rsidRPr="007C7BB9">
        <w:rPr>
          <w:rFonts w:ascii="Times New Roman" w:hAnsi="Times New Roman" w:cs="Times New Roman"/>
          <w:bCs/>
          <w:szCs w:val="24"/>
        </w:rPr>
        <w:t xml:space="preserve"> </w:t>
      </w:r>
      <w:r w:rsidRPr="007C7BB9">
        <w:rPr>
          <w:rFonts w:ascii="Times New Roman" w:hAnsi="Times New Roman" w:cs="Times New Roman"/>
          <w:bCs/>
          <w:szCs w:val="24"/>
        </w:rPr>
        <w:t>teams leading to a lack of resource and organisational memory on effective inequalities work.</w:t>
      </w:r>
    </w:p>
    <w:p w14:paraId="506F3FA8" w14:textId="77777777"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szCs w:val="24"/>
        </w:rPr>
        <w:t>When EIA [Equality Impact Assessment] processes are adhered to they can be very useful … historically my Local Authority had a team who would guide other teams through the EIA process. As this was cut it is often left to other teams to figure things out for themselves, which causes issues with consistency.</w:t>
      </w:r>
      <w:r w:rsidRPr="007C7BB9">
        <w:rPr>
          <w:rStyle w:val="FootnoteReference"/>
          <w:rFonts w:ascii="Times New Roman" w:hAnsi="Times New Roman" w:cs="Times New Roman"/>
          <w:szCs w:val="24"/>
        </w:rPr>
        <w:footnoteReference w:id="121"/>
      </w:r>
    </w:p>
    <w:p w14:paraId="1DA6ED13" w14:textId="2E7502C7" w:rsidR="00705BB7" w:rsidRPr="007C7BB9" w:rsidRDefault="00705BB7" w:rsidP="00BA2D09">
      <w:pPr>
        <w:rPr>
          <w:rFonts w:ascii="Times New Roman" w:hAnsi="Times New Roman" w:cs="Times New Roman"/>
          <w:szCs w:val="24"/>
          <w:lang w:eastAsia="en-GB"/>
        </w:rPr>
      </w:pPr>
      <w:r w:rsidRPr="007C7BB9">
        <w:rPr>
          <w:rFonts w:ascii="Times New Roman" w:hAnsi="Times New Roman" w:cs="Times New Roman"/>
          <w:szCs w:val="24"/>
          <w:lang w:eastAsia="en-GB"/>
        </w:rPr>
        <w:t xml:space="preserve">Finally, resources were also raised in the context of being able to influence the actual policy decisions themselves. Returning to Participant </w:t>
      </w:r>
      <w:r w:rsidR="007C4C60">
        <w:rPr>
          <w:rFonts w:ascii="Times New Roman" w:hAnsi="Times New Roman" w:cs="Times New Roman"/>
          <w:szCs w:val="24"/>
        </w:rPr>
        <w:t>1</w:t>
      </w:r>
      <w:r w:rsidRPr="007C7BB9">
        <w:rPr>
          <w:rFonts w:ascii="Times New Roman" w:hAnsi="Times New Roman" w:cs="Times New Roman"/>
          <w:szCs w:val="24"/>
        </w:rPr>
        <w:t>, they underscore that the capacity for equalities work to influence change has become more limited</w:t>
      </w:r>
      <w:r w:rsidR="00B26754">
        <w:rPr>
          <w:rFonts w:ascii="Times New Roman" w:hAnsi="Times New Roman" w:cs="Times New Roman"/>
          <w:szCs w:val="24"/>
        </w:rPr>
        <w:t xml:space="preserve"> than it had been earlier in their career</w:t>
      </w:r>
      <w:r w:rsidRPr="007C7BB9">
        <w:rPr>
          <w:rFonts w:ascii="Times New Roman" w:hAnsi="Times New Roman" w:cs="Times New Roman"/>
          <w:szCs w:val="24"/>
        </w:rPr>
        <w:t>.</w:t>
      </w:r>
    </w:p>
    <w:p w14:paraId="27E1A7C7" w14:textId="3252CB96"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szCs w:val="24"/>
        </w:rPr>
        <w:t>Back in the day there was some scope for equality impact assessments to facilitate change</w:t>
      </w:r>
      <w:r w:rsidR="00265B1B">
        <w:rPr>
          <w:rFonts w:ascii="Times New Roman" w:hAnsi="Times New Roman" w:cs="Times New Roman"/>
          <w:szCs w:val="24"/>
        </w:rPr>
        <w:t>—</w:t>
      </w:r>
      <w:r w:rsidRPr="007C7BB9">
        <w:rPr>
          <w:rFonts w:ascii="Times New Roman" w:hAnsi="Times New Roman" w:cs="Times New Roman"/>
          <w:szCs w:val="24"/>
        </w:rPr>
        <w:t>people had a bit more time, to think about the work, and consult, plus there was money available to develop frameworks collaboratively with local communities which were actually implemented</w:t>
      </w:r>
      <w:r w:rsidR="00265B1B">
        <w:rPr>
          <w:rFonts w:ascii="Times New Roman" w:hAnsi="Times New Roman" w:cs="Times New Roman"/>
          <w:szCs w:val="24"/>
        </w:rPr>
        <w:t>—</w:t>
      </w:r>
      <w:r w:rsidRPr="007C7BB9">
        <w:rPr>
          <w:rFonts w:ascii="Times New Roman" w:hAnsi="Times New Roman" w:cs="Times New Roman"/>
          <w:szCs w:val="24"/>
        </w:rPr>
        <w:t>more than a form, they would have working groups, terms of reference, clear purpose and timescales, and had policy bods [people] driving them forward who had the skillset to bring the right people on board and drive the project.</w:t>
      </w:r>
      <w:r w:rsidRPr="007C7BB9">
        <w:rPr>
          <w:rStyle w:val="FootnoteReference"/>
          <w:rFonts w:ascii="Times New Roman" w:hAnsi="Times New Roman" w:cs="Times New Roman"/>
          <w:szCs w:val="24"/>
        </w:rPr>
        <w:footnoteReference w:id="122"/>
      </w:r>
    </w:p>
    <w:p w14:paraId="16EE47C6" w14:textId="59F8630F" w:rsidR="00705BB7" w:rsidRPr="007C7BB9" w:rsidRDefault="00705BB7" w:rsidP="00BA2D09">
      <w:pPr>
        <w:rPr>
          <w:rFonts w:ascii="Times New Roman" w:hAnsi="Times New Roman" w:cs="Times New Roman"/>
          <w:szCs w:val="24"/>
          <w:lang w:eastAsia="en-GB"/>
        </w:rPr>
      </w:pPr>
      <w:r w:rsidRPr="007C7BB9">
        <w:rPr>
          <w:rFonts w:ascii="Times New Roman" w:hAnsi="Times New Roman" w:cs="Times New Roman"/>
          <w:szCs w:val="24"/>
          <w:lang w:eastAsia="en-GB"/>
        </w:rPr>
        <w:t>More fundamentally, participants raised concerns that strategic decisions subject to this duty would (at least for now) largely concern those that would impact adversely on groups facing socio-economic disadvantage. There was a perceived lack of resource for making things better for these groups</w:t>
      </w:r>
      <w:r w:rsidR="00AE3750">
        <w:rPr>
          <w:rFonts w:ascii="Times New Roman" w:hAnsi="Times New Roman" w:cs="Times New Roman"/>
          <w:szCs w:val="24"/>
          <w:lang w:eastAsia="en-GB"/>
        </w:rPr>
        <w:t xml:space="preserve"> in terms of the design and delivery of policy itself.</w:t>
      </w:r>
    </w:p>
    <w:p w14:paraId="4E443F89" w14:textId="3D8FAECD"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szCs w:val="24"/>
        </w:rPr>
        <w:t>I think this is important</w:t>
      </w:r>
      <w:r w:rsidR="00265B1B">
        <w:rPr>
          <w:rFonts w:ascii="Times New Roman" w:hAnsi="Times New Roman" w:cs="Times New Roman"/>
          <w:szCs w:val="24"/>
        </w:rPr>
        <w:t>—</w:t>
      </w:r>
      <w:r w:rsidRPr="007C7BB9">
        <w:rPr>
          <w:rFonts w:ascii="Times New Roman" w:hAnsi="Times New Roman" w:cs="Times New Roman"/>
          <w:szCs w:val="24"/>
        </w:rPr>
        <w:t>it is something which should already be taken into account. However with reducing/stretched/under pressure budgets the government needs to be realistic about the fact that councils and health organisations will need to consider taking decisions which adversely affect lower socio-economic groups. For instance councils may need to consider reducing the number of libraries which is likely to adversely affect those in more deprived areas. In an ideal world the council would have sufficient funds to enact policies which support lower socioeconomic groups, however the funding is already falling short of what is needed.</w:t>
      </w:r>
      <w:r w:rsidRPr="007C7BB9">
        <w:rPr>
          <w:rStyle w:val="FootnoteReference"/>
          <w:rFonts w:ascii="Times New Roman" w:hAnsi="Times New Roman" w:cs="Times New Roman"/>
          <w:szCs w:val="24"/>
        </w:rPr>
        <w:footnoteReference w:id="123"/>
      </w:r>
    </w:p>
    <w:p w14:paraId="413DA94A" w14:textId="5B2DDAEE" w:rsidR="00727EB1" w:rsidRPr="00BA2D09" w:rsidRDefault="004D09B6" w:rsidP="00BA2D09">
      <w:r w:rsidRPr="00BA2D09">
        <w:t xml:space="preserve">What emerges, therefore, is a scepticism not about </w:t>
      </w:r>
      <w:r w:rsidR="000F6FEE" w:rsidRPr="00BA2D09">
        <w:t>this new duty itself</w:t>
      </w:r>
      <w:r w:rsidRPr="00BA2D09">
        <w:t xml:space="preserve">, but </w:t>
      </w:r>
      <w:r w:rsidR="00A55F59">
        <w:rPr>
          <w:lang w:eastAsia="en-GB"/>
        </w:rPr>
        <w:t xml:space="preserve">about </w:t>
      </w:r>
      <w:r w:rsidRPr="00BA2D09">
        <w:t xml:space="preserve">attempting to introduce </w:t>
      </w:r>
      <w:r w:rsidR="000F6FEE" w:rsidRPr="00BA2D09">
        <w:t>it</w:t>
      </w:r>
      <w:r w:rsidRPr="00BA2D09">
        <w:t xml:space="preserve"> at a time when public bodies are facing acute and sustained financial </w:t>
      </w:r>
      <w:r w:rsidRPr="00BA2D09">
        <w:lastRenderedPageBreak/>
        <w:t>pressures.</w:t>
      </w:r>
      <w:r w:rsidRPr="00BA2D09">
        <w:rPr>
          <w:rStyle w:val="FootnoteReference"/>
          <w:rFonts w:ascii="Times New Roman" w:hAnsi="Times New Roman"/>
        </w:rPr>
        <w:footnoteReference w:id="124"/>
      </w:r>
      <w:r w:rsidRPr="00BA2D09">
        <w:t xml:space="preserve"> </w:t>
      </w:r>
      <w:r w:rsidR="000F6FEE" w:rsidRPr="00BA2D09">
        <w:t>This is</w:t>
      </w:r>
      <w:r w:rsidR="00A0601C" w:rsidRPr="00BA2D09">
        <w:t xml:space="preserve"> a concern with the</w:t>
      </w:r>
      <w:r w:rsidR="000F6FEE" w:rsidRPr="00BA2D09">
        <w:t xml:space="preserve"> </w:t>
      </w:r>
      <w:r w:rsidR="00BA4366" w:rsidRPr="00BA2D09">
        <w:t>‘</w:t>
      </w:r>
      <w:r w:rsidR="000F6FEE" w:rsidRPr="00BA2D09">
        <w:t>delegation of responsibility</w:t>
      </w:r>
      <w:r w:rsidR="00BA4366" w:rsidRPr="00BA2D09">
        <w:t>’</w:t>
      </w:r>
      <w:r w:rsidR="000F6FEE" w:rsidRPr="00BA2D09">
        <w:t xml:space="preserve"> at a time </w:t>
      </w:r>
      <w:r w:rsidR="008B5FF1" w:rsidRPr="00BA2D09">
        <w:t xml:space="preserve">when </w:t>
      </w:r>
      <w:r w:rsidR="000F6FEE" w:rsidRPr="00BA2D09">
        <w:t>public authorities (particular in local government)</w:t>
      </w:r>
      <w:r w:rsidR="003E40D6" w:rsidRPr="00BA2D09">
        <w:t xml:space="preserve"> are operating in a heavily constrained financial environment. </w:t>
      </w:r>
      <w:r w:rsidR="00FD401B" w:rsidRPr="00BA2D09">
        <w:t xml:space="preserve">Participant </w:t>
      </w:r>
      <w:r w:rsidR="007C4C60" w:rsidRPr="00BA2D09">
        <w:t>1</w:t>
      </w:r>
      <w:r w:rsidR="00BA4366" w:rsidRPr="00BA2D09">
        <w:t>’</w:t>
      </w:r>
      <w:r w:rsidR="00FD401B" w:rsidRPr="00BA2D09">
        <w:t xml:space="preserve">s pessimism is indicative of </w:t>
      </w:r>
      <w:r w:rsidR="003E40D6" w:rsidRPr="00BA2D09">
        <w:t>the overwhelming importance of resources</w:t>
      </w:r>
      <w:r w:rsidR="00A0601C" w:rsidRPr="00BA2D09">
        <w:t xml:space="preserve"> as a theme</w:t>
      </w:r>
      <w:r w:rsidR="00FD401B" w:rsidRPr="00BA2D09">
        <w:t xml:space="preserve"> across the sample:</w:t>
      </w:r>
    </w:p>
    <w:p w14:paraId="541CE93C" w14:textId="2D994E54" w:rsidR="00727EB1" w:rsidRPr="007C7BB9" w:rsidRDefault="00727EB1" w:rsidP="00BA2D09">
      <w:pPr>
        <w:spacing w:line="240" w:lineRule="auto"/>
        <w:ind w:left="567" w:right="521"/>
        <w:rPr>
          <w:rFonts w:ascii="Times New Roman" w:hAnsi="Times New Roman" w:cs="Times New Roman"/>
          <w:szCs w:val="24"/>
          <w:lang w:eastAsia="en-GB"/>
        </w:rPr>
      </w:pPr>
      <w:r w:rsidRPr="00727EB1">
        <w:rPr>
          <w:rFonts w:ascii="Times New Roman" w:hAnsi="Times New Roman" w:cs="Times New Roman"/>
          <w:bCs/>
          <w:szCs w:val="24"/>
        </w:rPr>
        <w:t>Sorry, possibly overly pessimistic, however, given the spending controls in place currently, in order to avoid s114</w:t>
      </w:r>
      <w:r w:rsidR="00BD63C4">
        <w:rPr>
          <w:rFonts w:ascii="Times New Roman" w:hAnsi="Times New Roman" w:cs="Times New Roman"/>
          <w:bCs/>
          <w:szCs w:val="24"/>
        </w:rPr>
        <w:t xml:space="preserve"> [section 114 </w:t>
      </w:r>
      <w:r w:rsidR="008C1807">
        <w:rPr>
          <w:rFonts w:ascii="Times New Roman" w:hAnsi="Times New Roman" w:cs="Times New Roman"/>
          <w:bCs/>
          <w:szCs w:val="24"/>
        </w:rPr>
        <w:t xml:space="preserve">of the </w:t>
      </w:r>
      <w:r w:rsidR="00BD63C4">
        <w:rPr>
          <w:rFonts w:ascii="Times New Roman" w:hAnsi="Times New Roman" w:cs="Times New Roman"/>
          <w:bCs/>
          <w:szCs w:val="24"/>
        </w:rPr>
        <w:t>Local Government Finance Act 1988]</w:t>
      </w:r>
      <w:r w:rsidRPr="00727EB1">
        <w:rPr>
          <w:rFonts w:ascii="Times New Roman" w:hAnsi="Times New Roman" w:cs="Times New Roman"/>
          <w:bCs/>
          <w:szCs w:val="24"/>
        </w:rPr>
        <w:t>, the idea we</w:t>
      </w:r>
      <w:r w:rsidR="00BA4366">
        <w:rPr>
          <w:rFonts w:ascii="Times New Roman" w:hAnsi="Times New Roman" w:cs="Times New Roman"/>
          <w:bCs/>
          <w:szCs w:val="24"/>
        </w:rPr>
        <w:t>’</w:t>
      </w:r>
      <w:r w:rsidRPr="00727EB1">
        <w:rPr>
          <w:rFonts w:ascii="Times New Roman" w:hAnsi="Times New Roman" w:cs="Times New Roman"/>
          <w:bCs/>
          <w:szCs w:val="24"/>
        </w:rPr>
        <w:t>ll be doing more to improve equality strikes me as slightly perverse</w:t>
      </w:r>
      <w:r w:rsidR="00265B1B">
        <w:rPr>
          <w:rFonts w:ascii="Times New Roman" w:hAnsi="Times New Roman" w:cs="Times New Roman"/>
          <w:bCs/>
          <w:szCs w:val="24"/>
        </w:rPr>
        <w:t>—</w:t>
      </w:r>
      <w:r w:rsidRPr="00727EB1">
        <w:rPr>
          <w:rFonts w:ascii="Times New Roman" w:hAnsi="Times New Roman" w:cs="Times New Roman"/>
          <w:bCs/>
          <w:szCs w:val="24"/>
        </w:rPr>
        <w:t>like the way the Tories implement things</w:t>
      </w:r>
      <w:r w:rsidR="00265B1B">
        <w:rPr>
          <w:rFonts w:ascii="Times New Roman" w:hAnsi="Times New Roman" w:cs="Times New Roman"/>
          <w:bCs/>
          <w:szCs w:val="24"/>
        </w:rPr>
        <w:t>—</w:t>
      </w:r>
      <w:r w:rsidRPr="00727EB1">
        <w:rPr>
          <w:rFonts w:ascii="Times New Roman" w:hAnsi="Times New Roman" w:cs="Times New Roman"/>
          <w:bCs/>
          <w:szCs w:val="24"/>
        </w:rPr>
        <w:t>create a system in which people are forced to fail, then punish them for failing.</w:t>
      </w:r>
      <w:r w:rsidR="00B70F7A">
        <w:rPr>
          <w:rStyle w:val="FootnoteReference"/>
          <w:rFonts w:ascii="Times New Roman" w:hAnsi="Times New Roman" w:cs="Times New Roman"/>
          <w:bCs/>
          <w:szCs w:val="24"/>
        </w:rPr>
        <w:footnoteReference w:id="125"/>
      </w:r>
    </w:p>
    <w:p w14:paraId="6C77A557" w14:textId="67F50257" w:rsidR="00FD401B" w:rsidRPr="00BA2D09" w:rsidRDefault="00FD401B" w:rsidP="00BA2D09">
      <w:pPr>
        <w:rPr>
          <w:i/>
        </w:rPr>
      </w:pPr>
      <w:r w:rsidRPr="00BA2D09">
        <w:t xml:space="preserve">The next </w:t>
      </w:r>
      <w:r w:rsidR="008C1807">
        <w:rPr>
          <w:lang w:eastAsia="en-GB"/>
        </w:rPr>
        <w:t>sub</w:t>
      </w:r>
      <w:r>
        <w:rPr>
          <w:lang w:eastAsia="en-GB"/>
        </w:rPr>
        <w:t>section</w:t>
      </w:r>
      <w:r w:rsidRPr="00BA2D09">
        <w:t xml:space="preserve"> </w:t>
      </w:r>
      <w:r w:rsidR="00C801E1" w:rsidRPr="00BA2D09">
        <w:t xml:space="preserve">turns to a related theme that emerges in response to managing reflexive law duties in the context of limited resources: concerns about a </w:t>
      </w:r>
      <w:r w:rsidR="008C1807" w:rsidRPr="00BA2D09">
        <w:t>‘</w:t>
      </w:r>
      <w:r w:rsidR="00265B1B" w:rsidRPr="00BA2D09">
        <w:t>tick</w:t>
      </w:r>
      <w:r w:rsidR="00265B1B" w:rsidRPr="008C1807">
        <w:t>-</w:t>
      </w:r>
      <w:r w:rsidR="00265B1B" w:rsidRPr="00BA2D09">
        <w:t>box</w:t>
      </w:r>
      <w:r w:rsidR="00C801E1" w:rsidRPr="00BA2D09">
        <w:t xml:space="preserve"> mentality</w:t>
      </w:r>
      <w:r w:rsidR="008C1807" w:rsidRPr="00BA2D09">
        <w:t>’</w:t>
      </w:r>
      <w:r w:rsidR="00C801E1" w:rsidRPr="00BA2D09">
        <w:t>.</w:t>
      </w:r>
    </w:p>
    <w:p w14:paraId="59E247B7" w14:textId="3D67B712" w:rsidR="00705BB7" w:rsidRPr="007C7BB9" w:rsidRDefault="002A25A6" w:rsidP="00BA2D09">
      <w:pPr>
        <w:pStyle w:val="Heading2"/>
        <w:rPr>
          <w:lang w:eastAsia="en-GB"/>
        </w:rPr>
      </w:pPr>
      <w:r>
        <w:rPr>
          <w:lang w:eastAsia="en-GB"/>
        </w:rPr>
        <w:t>Concerns over a</w:t>
      </w:r>
      <w:r w:rsidR="00705BB7" w:rsidRPr="007C7BB9">
        <w:rPr>
          <w:lang w:eastAsia="en-GB"/>
        </w:rPr>
        <w:t xml:space="preserve"> </w:t>
      </w:r>
      <w:r w:rsidR="00BA4366">
        <w:rPr>
          <w:lang w:eastAsia="en-GB"/>
        </w:rPr>
        <w:t>‘</w:t>
      </w:r>
      <w:r w:rsidR="00265B1B" w:rsidRPr="008C1807">
        <w:rPr>
          <w:color w:val="auto"/>
          <w:lang w:eastAsia="en-GB"/>
        </w:rPr>
        <w:t>Tick-</w:t>
      </w:r>
      <w:r w:rsidR="008C1807" w:rsidRPr="008C1807">
        <w:rPr>
          <w:color w:val="auto"/>
          <w:lang w:eastAsia="en-GB"/>
        </w:rPr>
        <w:t xml:space="preserve">Box </w:t>
      </w:r>
      <w:r w:rsidR="002D7E66" w:rsidRPr="007C7BB9">
        <w:rPr>
          <w:lang w:eastAsia="en-GB"/>
        </w:rPr>
        <w:t>Mentality</w:t>
      </w:r>
      <w:r w:rsidR="002D7E66">
        <w:rPr>
          <w:lang w:eastAsia="en-GB"/>
        </w:rPr>
        <w:t>’</w:t>
      </w:r>
    </w:p>
    <w:p w14:paraId="0F4150CC" w14:textId="0F8BCBFE" w:rsidR="00705BB7" w:rsidRPr="007C7BB9" w:rsidRDefault="00705BB7" w:rsidP="00BA2D09">
      <w:pPr>
        <w:rPr>
          <w:rFonts w:ascii="Times New Roman" w:hAnsi="Times New Roman" w:cs="Times New Roman"/>
          <w:bCs/>
          <w:szCs w:val="24"/>
        </w:rPr>
      </w:pPr>
      <w:r w:rsidRPr="007C7BB9">
        <w:rPr>
          <w:rFonts w:ascii="Times New Roman" w:hAnsi="Times New Roman" w:cs="Times New Roman"/>
          <w:lang w:eastAsia="en-GB"/>
        </w:rPr>
        <w:t>Participants routinely referred to the materiality of the equality impact assessment process</w:t>
      </w:r>
      <w:r w:rsidR="00265B1B">
        <w:rPr>
          <w:rFonts w:ascii="Times New Roman" w:hAnsi="Times New Roman" w:cs="Times New Roman"/>
          <w:lang w:eastAsia="en-GB"/>
        </w:rPr>
        <w:t>—</w:t>
      </w:r>
      <w:r w:rsidRPr="007C7BB9">
        <w:rPr>
          <w:rFonts w:ascii="Times New Roman" w:hAnsi="Times New Roman" w:cs="Times New Roman"/>
          <w:lang w:eastAsia="en-GB"/>
        </w:rPr>
        <w:t xml:space="preserve">the Microsoft Word or Excel files, PDFs, online interfaces, staff intranets and other materials that constitute the steps taken as part of an impact assessment. These were rarely spoken of fondly. These are the </w:t>
      </w:r>
      <w:r w:rsidR="00BA4366">
        <w:rPr>
          <w:rFonts w:ascii="Times New Roman" w:hAnsi="Times New Roman" w:cs="Times New Roman"/>
          <w:lang w:eastAsia="en-GB"/>
        </w:rPr>
        <w:t>‘</w:t>
      </w:r>
      <w:r w:rsidRPr="007C7BB9">
        <w:rPr>
          <w:rFonts w:ascii="Times New Roman" w:hAnsi="Times New Roman" w:cs="Times New Roman"/>
          <w:lang w:eastAsia="en-GB"/>
        </w:rPr>
        <w:t>formulated templates</w:t>
      </w:r>
      <w:r w:rsidR="00BA4366">
        <w:rPr>
          <w:rFonts w:ascii="Times New Roman" w:hAnsi="Times New Roman" w:cs="Times New Roman"/>
          <w:lang w:eastAsia="en-GB"/>
        </w:rPr>
        <w:t>’</w:t>
      </w:r>
      <w:r w:rsidRPr="007C7BB9">
        <w:rPr>
          <w:rFonts w:ascii="Times New Roman" w:hAnsi="Times New Roman" w:cs="Times New Roman"/>
          <w:lang w:eastAsia="en-GB"/>
        </w:rPr>
        <w:t xml:space="preserve"> or the </w:t>
      </w:r>
      <w:r w:rsidR="00BA4366">
        <w:rPr>
          <w:rFonts w:ascii="Times New Roman" w:hAnsi="Times New Roman" w:cs="Times New Roman"/>
          <w:lang w:eastAsia="en-GB"/>
        </w:rPr>
        <w:t>‘</w:t>
      </w:r>
      <w:r w:rsidRPr="007C7BB9">
        <w:rPr>
          <w:rFonts w:ascii="Times New Roman" w:hAnsi="Times New Roman" w:cs="Times New Roman"/>
          <w:lang w:eastAsia="en-GB"/>
        </w:rPr>
        <w:t>formidable forms for one thing or another</w:t>
      </w:r>
      <w:r w:rsidR="00BA4366">
        <w:rPr>
          <w:rFonts w:ascii="Times New Roman" w:hAnsi="Times New Roman" w:cs="Times New Roman"/>
          <w:lang w:eastAsia="en-GB"/>
        </w:rPr>
        <w:t>’</w:t>
      </w:r>
      <w:r w:rsidRPr="007C7BB9">
        <w:rPr>
          <w:rStyle w:val="FootnoteReference"/>
          <w:rFonts w:ascii="Times New Roman" w:hAnsi="Times New Roman" w:cs="Times New Roman"/>
          <w:lang w:eastAsia="en-GB"/>
        </w:rPr>
        <w:footnoteReference w:id="126"/>
      </w:r>
      <w:r w:rsidRPr="007C7BB9">
        <w:rPr>
          <w:rFonts w:ascii="Times New Roman" w:hAnsi="Times New Roman" w:cs="Times New Roman"/>
          <w:lang w:eastAsia="en-GB"/>
        </w:rPr>
        <w:t xml:space="preserve"> characterised as the </w:t>
      </w:r>
      <w:r w:rsidR="00BA4366">
        <w:rPr>
          <w:rFonts w:ascii="Times New Roman" w:hAnsi="Times New Roman" w:cs="Times New Roman"/>
          <w:lang w:eastAsia="en-GB"/>
        </w:rPr>
        <w:t>‘</w:t>
      </w:r>
      <w:r w:rsidRPr="007C7BB9">
        <w:rPr>
          <w:rFonts w:ascii="Times New Roman" w:hAnsi="Times New Roman" w:cs="Times New Roman"/>
          <w:lang w:eastAsia="en-GB"/>
        </w:rPr>
        <w:t>kind of document you message a colleague for and see if they can find it in an old folder</w:t>
      </w:r>
      <w:r w:rsidR="00BA4366">
        <w:rPr>
          <w:rFonts w:ascii="Times New Roman" w:hAnsi="Times New Roman" w:cs="Times New Roman"/>
          <w:lang w:eastAsia="en-GB"/>
        </w:rPr>
        <w:t>’</w:t>
      </w:r>
      <w:r w:rsidR="008C1807">
        <w:rPr>
          <w:rFonts w:ascii="Times New Roman" w:hAnsi="Times New Roman" w:cs="Times New Roman"/>
          <w:lang w:eastAsia="en-GB"/>
        </w:rPr>
        <w:t>.</w:t>
      </w:r>
      <w:r w:rsidRPr="007C7BB9">
        <w:rPr>
          <w:rStyle w:val="FootnoteReference"/>
          <w:rFonts w:ascii="Times New Roman" w:hAnsi="Times New Roman" w:cs="Times New Roman"/>
          <w:lang w:eastAsia="en-GB"/>
        </w:rPr>
        <w:footnoteReference w:id="127"/>
      </w:r>
      <w:r w:rsidRPr="007C7BB9">
        <w:rPr>
          <w:rFonts w:ascii="Times New Roman" w:hAnsi="Times New Roman" w:cs="Times New Roman"/>
          <w:lang w:eastAsia="en-GB"/>
        </w:rPr>
        <w:t xml:space="preserve"> References to a </w:t>
      </w:r>
      <w:r w:rsidR="00BA4366">
        <w:rPr>
          <w:rFonts w:ascii="Times New Roman" w:hAnsi="Times New Roman" w:cs="Times New Roman"/>
          <w:lang w:eastAsia="en-GB"/>
        </w:rPr>
        <w:t>‘</w:t>
      </w:r>
      <w:r w:rsidR="00265B1B" w:rsidRPr="00BA2D09">
        <w:t>tick</w:t>
      </w:r>
      <w:r w:rsidR="008C1807" w:rsidRPr="00BA2D09">
        <w:t xml:space="preserve"> </w:t>
      </w:r>
      <w:r w:rsidR="00265B1B" w:rsidRPr="00BA2D09">
        <w:t>box</w:t>
      </w:r>
      <w:r w:rsidR="00BA4366" w:rsidRPr="00BA2D09">
        <w:t>’</w:t>
      </w:r>
      <w:r w:rsidRPr="007C7BB9">
        <w:rPr>
          <w:rFonts w:ascii="Times New Roman" w:hAnsi="Times New Roman" w:cs="Times New Roman"/>
          <w:lang w:eastAsia="en-GB"/>
        </w:rPr>
        <w:t xml:space="preserve">, </w:t>
      </w:r>
      <w:r w:rsidR="00BA4366">
        <w:rPr>
          <w:rFonts w:ascii="Times New Roman" w:hAnsi="Times New Roman" w:cs="Times New Roman"/>
          <w:lang w:eastAsia="en-GB"/>
        </w:rPr>
        <w:t>‘</w:t>
      </w:r>
      <w:r w:rsidRPr="007C7BB9">
        <w:rPr>
          <w:rFonts w:ascii="Times New Roman" w:hAnsi="Times New Roman" w:cs="Times New Roman"/>
          <w:lang w:eastAsia="en-GB"/>
        </w:rPr>
        <w:t>check box</w:t>
      </w:r>
      <w:r w:rsidR="00BA4366">
        <w:rPr>
          <w:rFonts w:ascii="Times New Roman" w:hAnsi="Times New Roman" w:cs="Times New Roman"/>
          <w:lang w:eastAsia="en-GB"/>
        </w:rPr>
        <w:t>’</w:t>
      </w:r>
      <w:r w:rsidRPr="007C7BB9">
        <w:rPr>
          <w:rFonts w:ascii="Times New Roman" w:hAnsi="Times New Roman" w:cs="Times New Roman"/>
          <w:lang w:eastAsia="en-GB"/>
        </w:rPr>
        <w:t xml:space="preserve">, </w:t>
      </w:r>
      <w:r w:rsidR="00BA4366">
        <w:rPr>
          <w:rFonts w:ascii="Times New Roman" w:hAnsi="Times New Roman" w:cs="Times New Roman"/>
          <w:lang w:eastAsia="en-GB"/>
        </w:rPr>
        <w:t>‘</w:t>
      </w:r>
      <w:r w:rsidR="00DC7CF3" w:rsidRPr="00BA2D09">
        <w:t>paper</w:t>
      </w:r>
      <w:r w:rsidRPr="007C7BB9">
        <w:rPr>
          <w:rFonts w:ascii="Times New Roman" w:hAnsi="Times New Roman" w:cs="Times New Roman"/>
          <w:lang w:eastAsia="en-GB"/>
        </w:rPr>
        <w:t xml:space="preserve"> exercise</w:t>
      </w:r>
      <w:r w:rsidR="00BA4366">
        <w:rPr>
          <w:rFonts w:ascii="Times New Roman" w:hAnsi="Times New Roman" w:cs="Times New Roman"/>
          <w:lang w:eastAsia="en-GB"/>
        </w:rPr>
        <w:t>’</w:t>
      </w:r>
      <w:r w:rsidRPr="007C7BB9">
        <w:rPr>
          <w:rFonts w:ascii="Times New Roman" w:hAnsi="Times New Roman" w:cs="Times New Roman"/>
          <w:lang w:eastAsia="en-GB"/>
        </w:rPr>
        <w:t xml:space="preserve"> and </w:t>
      </w:r>
      <w:r w:rsidR="00BA4366">
        <w:rPr>
          <w:rFonts w:ascii="Times New Roman" w:hAnsi="Times New Roman" w:cs="Times New Roman"/>
          <w:lang w:eastAsia="en-GB"/>
        </w:rPr>
        <w:t>‘</w:t>
      </w:r>
      <w:r w:rsidRPr="007C7BB9">
        <w:rPr>
          <w:rFonts w:ascii="Times New Roman" w:hAnsi="Times New Roman" w:cs="Times New Roman"/>
          <w:lang w:eastAsia="en-GB"/>
        </w:rPr>
        <w:t>lip service</w:t>
      </w:r>
      <w:r w:rsidR="00BA4366">
        <w:rPr>
          <w:rFonts w:ascii="Times New Roman" w:hAnsi="Times New Roman" w:cs="Times New Roman"/>
          <w:lang w:eastAsia="en-GB"/>
        </w:rPr>
        <w:t>’</w:t>
      </w:r>
      <w:r w:rsidRPr="007C7BB9">
        <w:rPr>
          <w:rFonts w:ascii="Times New Roman" w:hAnsi="Times New Roman" w:cs="Times New Roman"/>
          <w:lang w:eastAsia="en-GB"/>
        </w:rPr>
        <w:t xml:space="preserve"> process</w:t>
      </w:r>
      <w:r w:rsidR="00747865">
        <w:rPr>
          <w:rFonts w:ascii="Times New Roman" w:hAnsi="Times New Roman" w:cs="Times New Roman"/>
          <w:lang w:eastAsia="en-GB"/>
        </w:rPr>
        <w:t xml:space="preserve"> abounded in the sample</w:t>
      </w:r>
      <w:r w:rsidRPr="007C7BB9">
        <w:rPr>
          <w:rFonts w:ascii="Times New Roman" w:hAnsi="Times New Roman" w:cs="Times New Roman"/>
          <w:lang w:eastAsia="en-GB"/>
        </w:rPr>
        <w:t xml:space="preserve">. Participant </w:t>
      </w:r>
      <w:r w:rsidR="001C32E5">
        <w:rPr>
          <w:rFonts w:ascii="Times New Roman" w:hAnsi="Times New Roman" w:cs="Times New Roman"/>
          <w:lang w:eastAsia="en-GB"/>
        </w:rPr>
        <w:t>7</w:t>
      </w:r>
      <w:r w:rsidRPr="007C7BB9">
        <w:rPr>
          <w:rFonts w:ascii="Times New Roman" w:hAnsi="Times New Roman" w:cs="Times New Roman"/>
          <w:lang w:eastAsia="en-GB"/>
        </w:rPr>
        <w:t xml:space="preserve"> underscored the challenge of getting the balance right when designing a documentary process for an equality impact assessment. As they put it:</w:t>
      </w:r>
      <w:r w:rsidR="007B24EA">
        <w:rPr>
          <w:rFonts w:ascii="Times New Roman" w:hAnsi="Times New Roman" w:cs="Times New Roman"/>
          <w:lang w:eastAsia="en-GB"/>
        </w:rPr>
        <w:t xml:space="preserve"> ‘</w:t>
      </w:r>
      <w:r w:rsidRPr="007C7BB9">
        <w:rPr>
          <w:rFonts w:ascii="Times New Roman" w:hAnsi="Times New Roman" w:cs="Times New Roman"/>
          <w:lang w:eastAsia="en-GB"/>
        </w:rPr>
        <w:t>it</w:t>
      </w:r>
      <w:r w:rsidR="00BA4366">
        <w:rPr>
          <w:rFonts w:ascii="Times New Roman" w:hAnsi="Times New Roman" w:cs="Times New Roman"/>
          <w:lang w:eastAsia="en-GB"/>
        </w:rPr>
        <w:t>’</w:t>
      </w:r>
      <w:r w:rsidRPr="007C7BB9">
        <w:rPr>
          <w:rFonts w:ascii="Times New Roman" w:hAnsi="Times New Roman" w:cs="Times New Roman"/>
          <w:lang w:eastAsia="en-GB"/>
        </w:rPr>
        <w:t xml:space="preserve">s really hard to design </w:t>
      </w:r>
      <w:r w:rsidR="00DC7CF3">
        <w:t>paper</w:t>
      </w:r>
      <w:r w:rsidRPr="007C7BB9">
        <w:rPr>
          <w:rFonts w:ascii="Times New Roman" w:hAnsi="Times New Roman" w:cs="Times New Roman"/>
          <w:lang w:eastAsia="en-GB"/>
        </w:rPr>
        <w:t xml:space="preserve">work that is thorough, but not </w:t>
      </w:r>
      <w:r w:rsidRPr="007C7BB9">
        <w:rPr>
          <w:rFonts w:ascii="Times New Roman" w:hAnsi="Times New Roman" w:cs="Times New Roman"/>
          <w:bCs/>
          <w:szCs w:val="24"/>
        </w:rPr>
        <w:t>overwhelming and that doesn</w:t>
      </w:r>
      <w:r w:rsidR="00BA4366">
        <w:rPr>
          <w:rFonts w:ascii="Times New Roman" w:hAnsi="Times New Roman" w:cs="Times New Roman"/>
          <w:bCs/>
          <w:szCs w:val="24"/>
        </w:rPr>
        <w:t>’</w:t>
      </w:r>
      <w:r w:rsidRPr="007C7BB9">
        <w:rPr>
          <w:rFonts w:ascii="Times New Roman" w:hAnsi="Times New Roman" w:cs="Times New Roman"/>
          <w:bCs/>
          <w:szCs w:val="24"/>
        </w:rPr>
        <w:t xml:space="preserve">t encourage a </w:t>
      </w:r>
      <w:r w:rsidR="007B24EA">
        <w:rPr>
          <w:rFonts w:ascii="Times New Roman" w:hAnsi="Times New Roman" w:cs="Times New Roman"/>
          <w:bCs/>
          <w:szCs w:val="24"/>
        </w:rPr>
        <w:t>“</w:t>
      </w:r>
      <w:r w:rsidR="00265B1B" w:rsidRPr="008C1807">
        <w:t>tick</w:t>
      </w:r>
      <w:r w:rsidR="008C1807">
        <w:t xml:space="preserve"> </w:t>
      </w:r>
      <w:r w:rsidR="00265B1B" w:rsidRPr="008C1807">
        <w:t>box</w:t>
      </w:r>
      <w:r w:rsidRPr="008C1807">
        <w:t xml:space="preserve"> </w:t>
      </w:r>
      <w:r w:rsidRPr="007C7BB9">
        <w:rPr>
          <w:rFonts w:ascii="Times New Roman" w:hAnsi="Times New Roman" w:cs="Times New Roman"/>
          <w:bCs/>
          <w:szCs w:val="24"/>
        </w:rPr>
        <w:t>mentality</w:t>
      </w:r>
      <w:r w:rsidR="007B24EA">
        <w:rPr>
          <w:rFonts w:ascii="Times New Roman" w:hAnsi="Times New Roman" w:cs="Times New Roman"/>
          <w:bCs/>
          <w:szCs w:val="24"/>
        </w:rPr>
        <w:t>”</w:t>
      </w:r>
      <w:r w:rsidR="00BA4366">
        <w:rPr>
          <w:rFonts w:ascii="Times New Roman" w:hAnsi="Times New Roman" w:cs="Times New Roman"/>
          <w:bCs/>
          <w:szCs w:val="24"/>
        </w:rPr>
        <w:t>’</w:t>
      </w:r>
      <w:r w:rsidR="007B24EA">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28"/>
      </w:r>
    </w:p>
    <w:p w14:paraId="4A56F74F" w14:textId="53FB5A38" w:rsidR="00705BB7" w:rsidRPr="007C7BB9" w:rsidRDefault="00A5624E" w:rsidP="00BA2D09">
      <w:pPr>
        <w:rPr>
          <w:rFonts w:ascii="Times New Roman" w:hAnsi="Times New Roman" w:cs="Times New Roman"/>
          <w:bCs/>
          <w:szCs w:val="24"/>
        </w:rPr>
      </w:pPr>
      <w:r>
        <w:rPr>
          <w:rFonts w:ascii="Times New Roman" w:hAnsi="Times New Roman" w:cs="Times New Roman"/>
          <w:lang w:eastAsia="en-GB"/>
        </w:rPr>
        <w:t xml:space="preserve">In the </w:t>
      </w:r>
      <w:r w:rsidR="00C32BD2">
        <w:rPr>
          <w:rFonts w:ascii="Times New Roman" w:hAnsi="Times New Roman" w:cs="Times New Roman"/>
          <w:lang w:eastAsia="en-GB"/>
        </w:rPr>
        <w:t>blame avoidance</w:t>
      </w:r>
      <w:r>
        <w:rPr>
          <w:rFonts w:ascii="Times New Roman" w:hAnsi="Times New Roman" w:cs="Times New Roman"/>
          <w:lang w:eastAsia="en-GB"/>
        </w:rPr>
        <w:t xml:space="preserve"> literature</w:t>
      </w:r>
      <w:r w:rsidR="00805C18">
        <w:rPr>
          <w:rFonts w:ascii="Times New Roman" w:hAnsi="Times New Roman" w:cs="Times New Roman"/>
          <w:lang w:eastAsia="en-GB"/>
        </w:rPr>
        <w:t xml:space="preserve"> outline</w:t>
      </w:r>
      <w:r w:rsidR="008C1807">
        <w:rPr>
          <w:rFonts w:ascii="Times New Roman" w:hAnsi="Times New Roman" w:cs="Times New Roman"/>
          <w:lang w:eastAsia="en-GB"/>
        </w:rPr>
        <w:t>d</w:t>
      </w:r>
      <w:r w:rsidR="00805C18">
        <w:rPr>
          <w:rFonts w:ascii="Times New Roman" w:hAnsi="Times New Roman" w:cs="Times New Roman"/>
          <w:lang w:eastAsia="en-GB"/>
        </w:rPr>
        <w:t xml:space="preserve"> above</w:t>
      </w:r>
      <w:r>
        <w:rPr>
          <w:rFonts w:ascii="Times New Roman" w:hAnsi="Times New Roman" w:cs="Times New Roman"/>
          <w:lang w:eastAsia="en-GB"/>
        </w:rPr>
        <w:t>, this is</w:t>
      </w:r>
      <w:r w:rsidR="0012371B">
        <w:rPr>
          <w:rFonts w:ascii="Times New Roman" w:hAnsi="Times New Roman" w:cs="Times New Roman"/>
          <w:lang w:eastAsia="en-GB"/>
        </w:rPr>
        <w:t xml:space="preserve"> a concern with</w:t>
      </w:r>
      <w:r>
        <w:rPr>
          <w:rFonts w:ascii="Times New Roman" w:hAnsi="Times New Roman" w:cs="Times New Roman"/>
          <w:lang w:eastAsia="en-GB"/>
        </w:rPr>
        <w:t xml:space="preserve"> </w:t>
      </w:r>
      <w:r w:rsidR="00BA4366">
        <w:rPr>
          <w:rFonts w:ascii="Times New Roman" w:hAnsi="Times New Roman" w:cs="Times New Roman"/>
          <w:lang w:eastAsia="en-GB"/>
        </w:rPr>
        <w:t>‘</w:t>
      </w:r>
      <w:r>
        <w:rPr>
          <w:rFonts w:ascii="Times New Roman" w:hAnsi="Times New Roman" w:cs="Times New Roman"/>
          <w:lang w:eastAsia="en-GB"/>
        </w:rPr>
        <w:t>defen</w:t>
      </w:r>
      <w:r w:rsidR="00BE1029">
        <w:rPr>
          <w:rFonts w:ascii="Times New Roman" w:hAnsi="Times New Roman" w:cs="Times New Roman"/>
          <w:lang w:eastAsia="en-GB"/>
        </w:rPr>
        <w:t>sive</w:t>
      </w:r>
      <w:r>
        <w:rPr>
          <w:rFonts w:ascii="Times New Roman" w:hAnsi="Times New Roman" w:cs="Times New Roman"/>
          <w:lang w:eastAsia="en-GB"/>
        </w:rPr>
        <w:t xml:space="preserve"> protocolisation</w:t>
      </w:r>
      <w:r w:rsidR="00BA4366">
        <w:rPr>
          <w:rFonts w:ascii="Times New Roman" w:hAnsi="Times New Roman" w:cs="Times New Roman"/>
          <w:lang w:eastAsia="en-GB"/>
        </w:rPr>
        <w:t>’</w:t>
      </w:r>
      <w:r>
        <w:rPr>
          <w:rFonts w:ascii="Times New Roman" w:hAnsi="Times New Roman" w:cs="Times New Roman"/>
          <w:lang w:eastAsia="en-GB"/>
        </w:rPr>
        <w:t>: the use of standardised documents, protocols and processes to provide a substitute for the exercise of genuine discretion to absolve an organisation or individual from blame.</w:t>
      </w:r>
      <w:r w:rsidR="00160BC1">
        <w:rPr>
          <w:rStyle w:val="FootnoteReference"/>
          <w:rFonts w:ascii="Times New Roman" w:hAnsi="Times New Roman" w:cs="Times New Roman"/>
          <w:lang w:eastAsia="en-GB"/>
        </w:rPr>
        <w:footnoteReference w:id="129"/>
      </w:r>
      <w:r>
        <w:rPr>
          <w:rFonts w:ascii="Times New Roman" w:hAnsi="Times New Roman" w:cs="Times New Roman"/>
          <w:lang w:eastAsia="en-GB"/>
        </w:rPr>
        <w:t xml:space="preserve"> </w:t>
      </w:r>
      <w:r w:rsidR="00705BB7" w:rsidRPr="007C7BB9">
        <w:rPr>
          <w:rFonts w:ascii="Times New Roman" w:hAnsi="Times New Roman" w:cs="Times New Roman"/>
          <w:lang w:eastAsia="en-GB"/>
        </w:rPr>
        <w:t xml:space="preserve">This </w:t>
      </w:r>
      <w:r w:rsidR="00BA4366">
        <w:rPr>
          <w:rFonts w:ascii="Times New Roman" w:hAnsi="Times New Roman" w:cs="Times New Roman"/>
          <w:lang w:eastAsia="en-GB"/>
        </w:rPr>
        <w:t>‘</w:t>
      </w:r>
      <w:r w:rsidR="00265B1B" w:rsidRPr="00BA2D09">
        <w:t>tick</w:t>
      </w:r>
      <w:r w:rsidR="00265B1B" w:rsidRPr="008C1807">
        <w:t>-</w:t>
      </w:r>
      <w:r w:rsidR="00265B1B" w:rsidRPr="00BA2D09">
        <w:t>box</w:t>
      </w:r>
      <w:r w:rsidR="00705BB7" w:rsidRPr="00BA2D09">
        <w:t xml:space="preserve"> m</w:t>
      </w:r>
      <w:r w:rsidR="00705BB7" w:rsidRPr="007C7BB9">
        <w:rPr>
          <w:rFonts w:ascii="Times New Roman" w:hAnsi="Times New Roman" w:cs="Times New Roman"/>
          <w:lang w:eastAsia="en-GB"/>
        </w:rPr>
        <w:t>entality</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 took three forms across the sample. The first was what one participant described as </w:t>
      </w:r>
      <w:r w:rsidR="00BA4366">
        <w:rPr>
          <w:rFonts w:ascii="Times New Roman" w:hAnsi="Times New Roman" w:cs="Times New Roman"/>
          <w:lang w:eastAsia="en-GB"/>
        </w:rPr>
        <w:t>‘</w:t>
      </w:r>
      <w:r w:rsidR="00705BB7" w:rsidRPr="007C7BB9">
        <w:rPr>
          <w:rFonts w:ascii="Times New Roman" w:hAnsi="Times New Roman" w:cs="Times New Roman"/>
          <w:bCs/>
          <w:szCs w:val="24"/>
        </w:rPr>
        <w:t>reverse engineering</w:t>
      </w:r>
      <w:r w:rsidR="00BA4366">
        <w:rPr>
          <w:rFonts w:ascii="Times New Roman" w:hAnsi="Times New Roman" w:cs="Times New Roman"/>
          <w:bCs/>
          <w:szCs w:val="24"/>
        </w:rPr>
        <w:t>’</w:t>
      </w:r>
      <w:r w:rsidR="00705BB7" w:rsidRPr="007C7BB9">
        <w:rPr>
          <w:rFonts w:ascii="Times New Roman" w:hAnsi="Times New Roman" w:cs="Times New Roman"/>
          <w:bCs/>
          <w:szCs w:val="24"/>
        </w:rPr>
        <w:t xml:space="preserve"> of an </w:t>
      </w:r>
      <w:r w:rsidR="000056F0">
        <w:rPr>
          <w:rFonts w:ascii="Times New Roman" w:hAnsi="Times New Roman" w:cs="Times New Roman"/>
          <w:bCs/>
          <w:szCs w:val="24"/>
        </w:rPr>
        <w:t>EIA</w:t>
      </w:r>
      <w:r w:rsidR="00705BB7" w:rsidRPr="007C7BB9">
        <w:rPr>
          <w:rFonts w:ascii="Times New Roman" w:hAnsi="Times New Roman" w:cs="Times New Roman"/>
          <w:bCs/>
          <w:szCs w:val="24"/>
        </w:rPr>
        <w:t>, a problem they defined as:</w:t>
      </w:r>
      <w:r w:rsidR="007B24EA">
        <w:rPr>
          <w:rFonts w:ascii="Times New Roman" w:hAnsi="Times New Roman" w:cs="Times New Roman"/>
          <w:bCs/>
          <w:szCs w:val="24"/>
        </w:rPr>
        <w:t xml:space="preserve"> ‘</w:t>
      </w:r>
      <w:r w:rsidR="00705BB7" w:rsidRPr="007C7BB9">
        <w:rPr>
          <w:rFonts w:ascii="Times New Roman" w:hAnsi="Times New Roman" w:cs="Times New Roman"/>
          <w:bCs/>
          <w:szCs w:val="24"/>
        </w:rPr>
        <w:t xml:space="preserve">whereby desired policy outcomes are determined from the outset and only then are means </w:t>
      </w:r>
      <w:r w:rsidR="00705BB7" w:rsidRPr="007C7BB9">
        <w:rPr>
          <w:rFonts w:ascii="Times New Roman" w:hAnsi="Times New Roman" w:cs="Times New Roman"/>
          <w:bCs/>
          <w:szCs w:val="24"/>
        </w:rPr>
        <w:lastRenderedPageBreak/>
        <w:t>considered (often half-heartedly) to appear to satisfy equality obligations in terms of how those predetermined outcomes are delivered</w:t>
      </w:r>
      <w:r w:rsidR="007B24EA">
        <w:rPr>
          <w:rFonts w:ascii="Times New Roman" w:hAnsi="Times New Roman" w:cs="Times New Roman"/>
          <w:bCs/>
          <w:szCs w:val="24"/>
        </w:rPr>
        <w:t>’</w:t>
      </w:r>
      <w:r w:rsidR="00705BB7" w:rsidRPr="007C7BB9">
        <w:rPr>
          <w:rFonts w:ascii="Times New Roman" w:hAnsi="Times New Roman" w:cs="Times New Roman"/>
          <w:bCs/>
          <w:szCs w:val="24"/>
        </w:rPr>
        <w:t>.</w:t>
      </w:r>
      <w:r w:rsidR="00705BB7" w:rsidRPr="007C7BB9">
        <w:rPr>
          <w:rStyle w:val="FootnoteReference"/>
          <w:rFonts w:ascii="Times New Roman" w:hAnsi="Times New Roman" w:cs="Times New Roman"/>
          <w:bCs/>
          <w:szCs w:val="24"/>
        </w:rPr>
        <w:footnoteReference w:id="130"/>
      </w:r>
    </w:p>
    <w:p w14:paraId="055A652C" w14:textId="11B2931F" w:rsidR="00705BB7" w:rsidRPr="007C7BB9" w:rsidRDefault="00705BB7" w:rsidP="00BA2D09">
      <w:pPr>
        <w:ind w:right="95"/>
        <w:rPr>
          <w:rFonts w:ascii="Times New Roman" w:hAnsi="Times New Roman" w:cs="Times New Roman"/>
          <w:bCs/>
          <w:szCs w:val="24"/>
        </w:rPr>
      </w:pPr>
      <w:r w:rsidRPr="007C7BB9">
        <w:rPr>
          <w:rFonts w:ascii="Times New Roman" w:hAnsi="Times New Roman" w:cs="Times New Roman"/>
          <w:bCs/>
          <w:szCs w:val="24"/>
        </w:rPr>
        <w:t xml:space="preserve">This is the temporal dimension of an impact assessment process. Participants highlighted circumstances where the impact of a decision on groups may </w:t>
      </w:r>
      <w:r w:rsidRPr="007C7BB9">
        <w:rPr>
          <w:rFonts w:ascii="Times New Roman" w:hAnsi="Times New Roman" w:cs="Times New Roman"/>
          <w:bCs/>
          <w:i/>
          <w:iCs/>
          <w:szCs w:val="24"/>
        </w:rPr>
        <w:t xml:space="preserve">technically </w:t>
      </w:r>
      <w:r w:rsidRPr="007C7BB9">
        <w:rPr>
          <w:rFonts w:ascii="Times New Roman" w:hAnsi="Times New Roman" w:cs="Times New Roman"/>
          <w:bCs/>
          <w:szCs w:val="24"/>
        </w:rPr>
        <w:t xml:space="preserve">happen prior to a policy being introduced but, in reality, by then it was completed too late to make a meaningful impact on a decision. Participant </w:t>
      </w:r>
      <w:r w:rsidR="00752C42">
        <w:rPr>
          <w:rFonts w:ascii="Times New Roman" w:hAnsi="Times New Roman" w:cs="Times New Roman"/>
          <w:bCs/>
          <w:szCs w:val="24"/>
        </w:rPr>
        <w:t>19</w:t>
      </w:r>
      <w:r w:rsidRPr="007C7BB9">
        <w:rPr>
          <w:rFonts w:ascii="Times New Roman" w:hAnsi="Times New Roman" w:cs="Times New Roman"/>
          <w:bCs/>
          <w:szCs w:val="24"/>
        </w:rPr>
        <w:t>, a Senior Policy Manager in the Civil Service</w:t>
      </w:r>
      <w:r w:rsidR="008C1807">
        <w:rPr>
          <w:rFonts w:ascii="Times New Roman" w:hAnsi="Times New Roman" w:cs="Times New Roman"/>
          <w:bCs/>
          <w:szCs w:val="24"/>
        </w:rPr>
        <w:t>,</w:t>
      </w:r>
      <w:r w:rsidRPr="007C7BB9">
        <w:rPr>
          <w:rFonts w:ascii="Times New Roman" w:hAnsi="Times New Roman" w:cs="Times New Roman"/>
          <w:bCs/>
          <w:szCs w:val="24"/>
        </w:rPr>
        <w:t xml:space="preserve"> noted:</w:t>
      </w:r>
    </w:p>
    <w:p w14:paraId="77E809CB" w14:textId="77777777"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bCs/>
          <w:szCs w:val="24"/>
        </w:rPr>
        <w:t>The impact assessments are made prior to the final decision, yes, but often so late in the process that it is hard to make revisions to adapt to any findings. The policy has often already been formed and socialised with stakeholders. Impact assessments should consider actual quantifiable evidence of the effect on groups while policy options are still open, not while refining the final choice.</w:t>
      </w:r>
      <w:r w:rsidRPr="007C7BB9">
        <w:rPr>
          <w:rStyle w:val="FootnoteReference"/>
          <w:rFonts w:ascii="Times New Roman" w:hAnsi="Times New Roman" w:cs="Times New Roman"/>
          <w:bCs/>
          <w:szCs w:val="24"/>
        </w:rPr>
        <w:footnoteReference w:id="131"/>
      </w:r>
    </w:p>
    <w:p w14:paraId="1BCCB586" w14:textId="1022F632" w:rsidR="00705BB7" w:rsidRPr="007C7BB9" w:rsidRDefault="00705BB7" w:rsidP="00BA2D09">
      <w:pPr>
        <w:ind w:right="-46"/>
        <w:rPr>
          <w:rFonts w:ascii="Times New Roman" w:hAnsi="Times New Roman" w:cs="Times New Roman"/>
          <w:bCs/>
          <w:szCs w:val="24"/>
        </w:rPr>
      </w:pPr>
      <w:r w:rsidRPr="007C7BB9">
        <w:rPr>
          <w:rFonts w:ascii="Times New Roman" w:hAnsi="Times New Roman" w:cs="Times New Roman"/>
          <w:bCs/>
          <w:szCs w:val="24"/>
        </w:rPr>
        <w:t>Similar sentiments were echoed across the sample, with impact assessments being described as something</w:t>
      </w:r>
      <w:r w:rsidR="0084147A">
        <w:rPr>
          <w:rFonts w:ascii="Times New Roman" w:hAnsi="Times New Roman" w:cs="Times New Roman"/>
          <w:bCs/>
          <w:szCs w:val="24"/>
        </w:rPr>
        <w:t xml:space="preserve"> that is often</w:t>
      </w:r>
      <w:r w:rsidRPr="007C7BB9">
        <w:rPr>
          <w:rFonts w:ascii="Times New Roman" w:hAnsi="Times New Roman" w:cs="Times New Roman"/>
          <w:bCs/>
          <w:szCs w:val="24"/>
        </w:rPr>
        <w:t xml:space="preserve"> </w:t>
      </w:r>
      <w:r w:rsidR="00BA4366">
        <w:rPr>
          <w:rFonts w:ascii="Times New Roman" w:hAnsi="Times New Roman" w:cs="Times New Roman"/>
          <w:bCs/>
          <w:szCs w:val="24"/>
        </w:rPr>
        <w:t>‘</w:t>
      </w:r>
      <w:r w:rsidRPr="007C7BB9">
        <w:rPr>
          <w:rFonts w:ascii="Times New Roman" w:hAnsi="Times New Roman" w:cs="Times New Roman"/>
          <w:bCs/>
          <w:szCs w:val="24"/>
        </w:rPr>
        <w:t>filled in, in a rush at the end of a process and not at the start</w:t>
      </w:r>
      <w:r w:rsidR="00BA4366">
        <w:rPr>
          <w:rFonts w:ascii="Times New Roman" w:hAnsi="Times New Roman" w:cs="Times New Roman"/>
          <w:bCs/>
          <w:szCs w:val="24"/>
        </w:rPr>
        <w:t>’</w:t>
      </w:r>
      <w:r w:rsidR="008C1807">
        <w:rPr>
          <w:rFonts w:ascii="Times New Roman" w:hAnsi="Times New Roman" w:cs="Times New Roman"/>
          <w:bCs/>
          <w:szCs w:val="24"/>
        </w:rPr>
        <w:t>,</w:t>
      </w:r>
      <w:r w:rsidRPr="007C7BB9">
        <w:rPr>
          <w:rStyle w:val="FootnoteReference"/>
          <w:rFonts w:ascii="Times New Roman" w:hAnsi="Times New Roman" w:cs="Times New Roman"/>
          <w:bCs/>
          <w:szCs w:val="24"/>
        </w:rPr>
        <w:footnoteReference w:id="132"/>
      </w:r>
      <w:r w:rsidRPr="007C7BB9">
        <w:rPr>
          <w:rFonts w:ascii="Times New Roman" w:hAnsi="Times New Roman" w:cs="Times New Roman"/>
          <w:bCs/>
          <w:szCs w:val="24"/>
        </w:rPr>
        <w:t xml:space="preserve"> and </w:t>
      </w:r>
      <w:r w:rsidR="00BA4366">
        <w:rPr>
          <w:rFonts w:ascii="Times New Roman" w:hAnsi="Times New Roman" w:cs="Times New Roman"/>
          <w:bCs/>
          <w:szCs w:val="24"/>
        </w:rPr>
        <w:t>‘</w:t>
      </w:r>
      <w:r w:rsidRPr="007C7BB9">
        <w:rPr>
          <w:rFonts w:ascii="Times New Roman" w:hAnsi="Times New Roman" w:cs="Times New Roman"/>
          <w:szCs w:val="24"/>
        </w:rPr>
        <w:t>often the last step before a policy or service specification is approved where it would be more useful to do them as a first step</w:t>
      </w:r>
      <w:r w:rsidR="00BA4366">
        <w:rPr>
          <w:rFonts w:ascii="Times New Roman" w:hAnsi="Times New Roman" w:cs="Times New Roman"/>
          <w:szCs w:val="24"/>
        </w:rPr>
        <w:t>’</w:t>
      </w:r>
      <w:r w:rsidRPr="007C7BB9">
        <w:rPr>
          <w:rFonts w:ascii="Times New Roman" w:hAnsi="Times New Roman" w:cs="Times New Roman"/>
          <w:szCs w:val="24"/>
        </w:rPr>
        <w:t>.</w:t>
      </w:r>
      <w:r w:rsidRPr="007C7BB9">
        <w:rPr>
          <w:rStyle w:val="FootnoteReference"/>
          <w:rFonts w:ascii="Times New Roman" w:hAnsi="Times New Roman" w:cs="Times New Roman"/>
          <w:szCs w:val="24"/>
        </w:rPr>
        <w:footnoteReference w:id="133"/>
      </w:r>
      <w:r w:rsidRPr="007C7BB9">
        <w:rPr>
          <w:rFonts w:ascii="Times New Roman" w:hAnsi="Times New Roman" w:cs="Times New Roman"/>
          <w:szCs w:val="24"/>
        </w:rPr>
        <w:t xml:space="preserve"> This is what Participant </w:t>
      </w:r>
      <w:r w:rsidR="007A03C9">
        <w:rPr>
          <w:rFonts w:ascii="Times New Roman" w:hAnsi="Times New Roman" w:cs="Times New Roman"/>
        </w:rPr>
        <w:t>34</w:t>
      </w:r>
      <w:r w:rsidRPr="007C7BB9">
        <w:rPr>
          <w:rFonts w:ascii="Times New Roman" w:hAnsi="Times New Roman" w:cs="Times New Roman"/>
        </w:rPr>
        <w:t xml:space="preserve"> argued served a </w:t>
      </w:r>
      <w:r w:rsidR="00BA4366">
        <w:rPr>
          <w:rFonts w:ascii="Times New Roman" w:hAnsi="Times New Roman" w:cs="Times New Roman"/>
        </w:rPr>
        <w:t>‘</w:t>
      </w:r>
      <w:r w:rsidRPr="007C7BB9">
        <w:rPr>
          <w:rFonts w:ascii="Times New Roman" w:hAnsi="Times New Roman" w:cs="Times New Roman"/>
        </w:rPr>
        <w:t>performative version of equality</w:t>
      </w:r>
      <w:r w:rsidR="00BA4366">
        <w:rPr>
          <w:rFonts w:ascii="Times New Roman" w:hAnsi="Times New Roman" w:cs="Times New Roman"/>
        </w:rPr>
        <w:t>’</w:t>
      </w:r>
      <w:r w:rsidRPr="007C7BB9">
        <w:rPr>
          <w:rFonts w:ascii="Times New Roman" w:hAnsi="Times New Roman" w:cs="Times New Roman"/>
        </w:rPr>
        <w:t xml:space="preserve">, where senior staff can </w:t>
      </w:r>
      <w:r w:rsidR="00BA4366">
        <w:rPr>
          <w:rFonts w:ascii="Times New Roman" w:hAnsi="Times New Roman" w:cs="Times New Roman"/>
        </w:rPr>
        <w:t>‘</w:t>
      </w:r>
      <w:r w:rsidRPr="007C7BB9">
        <w:rPr>
          <w:rFonts w:ascii="Times New Roman" w:hAnsi="Times New Roman" w:cs="Times New Roman"/>
        </w:rPr>
        <w:t>look like they</w:t>
      </w:r>
      <w:r w:rsidR="00BA4366">
        <w:rPr>
          <w:rFonts w:ascii="Times New Roman" w:hAnsi="Times New Roman" w:cs="Times New Roman"/>
        </w:rPr>
        <w:t>’</w:t>
      </w:r>
      <w:r w:rsidRPr="007C7BB9">
        <w:rPr>
          <w:rFonts w:ascii="Times New Roman" w:hAnsi="Times New Roman" w:cs="Times New Roman"/>
        </w:rPr>
        <w:t>ve thought about it</w:t>
      </w:r>
      <w:r w:rsidR="00BA4366">
        <w:rPr>
          <w:rFonts w:ascii="Times New Roman" w:hAnsi="Times New Roman" w:cs="Times New Roman"/>
        </w:rPr>
        <w:t>’</w:t>
      </w:r>
      <w:r w:rsidRPr="007C7BB9">
        <w:rPr>
          <w:rFonts w:ascii="Times New Roman" w:hAnsi="Times New Roman" w:cs="Times New Roman"/>
        </w:rPr>
        <w:t>:</w:t>
      </w:r>
    </w:p>
    <w:p w14:paraId="175C8410" w14:textId="6D311C98"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bCs/>
          <w:szCs w:val="24"/>
        </w:rPr>
        <w:t>In my experience they</w:t>
      </w:r>
      <w:r w:rsidR="00BA4366">
        <w:rPr>
          <w:rFonts w:ascii="Times New Roman" w:hAnsi="Times New Roman" w:cs="Times New Roman"/>
          <w:bCs/>
          <w:szCs w:val="24"/>
        </w:rPr>
        <w:t>’</w:t>
      </w:r>
      <w:r w:rsidRPr="007C7BB9">
        <w:rPr>
          <w:rFonts w:ascii="Times New Roman" w:hAnsi="Times New Roman" w:cs="Times New Roman"/>
          <w:bCs/>
          <w:szCs w:val="24"/>
        </w:rPr>
        <w:t xml:space="preserve">ve been a </w:t>
      </w:r>
      <w:r w:rsidR="00265B1B" w:rsidRPr="00BA2D09">
        <w:t>tick</w:t>
      </w:r>
      <w:r w:rsidR="008C1807" w:rsidRPr="00BA2D09">
        <w:t xml:space="preserve"> </w:t>
      </w:r>
      <w:r w:rsidR="00265B1B" w:rsidRPr="00BA2D09">
        <w:t>box</w:t>
      </w:r>
      <w:r w:rsidRPr="00BA2D09">
        <w:t xml:space="preserve"> e</w:t>
      </w:r>
      <w:r w:rsidRPr="007C7BB9">
        <w:rPr>
          <w:rFonts w:ascii="Times New Roman" w:hAnsi="Times New Roman" w:cs="Times New Roman"/>
          <w:bCs/>
          <w:szCs w:val="24"/>
        </w:rPr>
        <w:t>xercise for a performative version of equality. The ones I</w:t>
      </w:r>
      <w:r w:rsidR="00BA4366">
        <w:rPr>
          <w:rFonts w:ascii="Times New Roman" w:hAnsi="Times New Roman" w:cs="Times New Roman"/>
          <w:bCs/>
          <w:szCs w:val="24"/>
        </w:rPr>
        <w:t>’</w:t>
      </w:r>
      <w:r w:rsidRPr="007C7BB9">
        <w:rPr>
          <w:rFonts w:ascii="Times New Roman" w:hAnsi="Times New Roman" w:cs="Times New Roman"/>
          <w:bCs/>
          <w:szCs w:val="24"/>
        </w:rPr>
        <w:t>ve been involved in have been done after changes have been made when in my opinion it should be one of the first parts of a change project. Maybe in other departments this is the case but not what I</w:t>
      </w:r>
      <w:r w:rsidR="00BA4366">
        <w:rPr>
          <w:rFonts w:ascii="Times New Roman" w:hAnsi="Times New Roman" w:cs="Times New Roman"/>
          <w:bCs/>
          <w:szCs w:val="24"/>
        </w:rPr>
        <w:t>’</w:t>
      </w:r>
      <w:r w:rsidRPr="007C7BB9">
        <w:rPr>
          <w:rFonts w:ascii="Times New Roman" w:hAnsi="Times New Roman" w:cs="Times New Roman"/>
          <w:bCs/>
          <w:szCs w:val="24"/>
        </w:rPr>
        <w:t>ve experienced, usually it is just for senior leaders to look like they</w:t>
      </w:r>
      <w:r w:rsidR="00BA4366">
        <w:rPr>
          <w:rFonts w:ascii="Times New Roman" w:hAnsi="Times New Roman" w:cs="Times New Roman"/>
          <w:bCs/>
          <w:szCs w:val="24"/>
        </w:rPr>
        <w:t>’</w:t>
      </w:r>
      <w:r w:rsidRPr="007C7BB9">
        <w:rPr>
          <w:rFonts w:ascii="Times New Roman" w:hAnsi="Times New Roman" w:cs="Times New Roman"/>
          <w:bCs/>
          <w:szCs w:val="24"/>
        </w:rPr>
        <w:t>ve thought about it yet it always comes as an afterthought.</w:t>
      </w:r>
      <w:r w:rsidRPr="007C7BB9">
        <w:rPr>
          <w:rStyle w:val="FootnoteReference"/>
          <w:rFonts w:ascii="Times New Roman" w:hAnsi="Times New Roman" w:cs="Times New Roman"/>
          <w:bCs/>
          <w:szCs w:val="24"/>
        </w:rPr>
        <w:footnoteReference w:id="134"/>
      </w:r>
    </w:p>
    <w:p w14:paraId="21D5DB98" w14:textId="6E393D58" w:rsidR="00705BB7" w:rsidRPr="007C7BB9" w:rsidRDefault="00EC4EAA" w:rsidP="00BA2D09">
      <w:pPr>
        <w:rPr>
          <w:rFonts w:ascii="Times New Roman" w:hAnsi="Times New Roman" w:cs="Times New Roman"/>
          <w:lang w:eastAsia="en-GB"/>
        </w:rPr>
      </w:pPr>
      <w:r>
        <w:rPr>
          <w:rFonts w:ascii="Times New Roman" w:hAnsi="Times New Roman" w:cs="Times New Roman"/>
          <w:lang w:eastAsia="en-GB"/>
        </w:rPr>
        <w:t>Alongside</w:t>
      </w:r>
      <w:r w:rsidR="00705BB7" w:rsidRPr="007C7BB9">
        <w:rPr>
          <w:rFonts w:ascii="Times New Roman" w:hAnsi="Times New Roman" w:cs="Times New Roman"/>
          <w:lang w:eastAsia="en-GB"/>
        </w:rPr>
        <w:t xml:space="preserve"> this problem of </w:t>
      </w:r>
      <w:r w:rsidR="00BA4366">
        <w:rPr>
          <w:rFonts w:ascii="Times New Roman" w:hAnsi="Times New Roman" w:cs="Times New Roman"/>
          <w:lang w:eastAsia="en-GB"/>
        </w:rPr>
        <w:t>‘</w:t>
      </w:r>
      <w:r w:rsidR="00705BB7" w:rsidRPr="007C7BB9">
        <w:rPr>
          <w:rFonts w:ascii="Times New Roman" w:hAnsi="Times New Roman" w:cs="Times New Roman"/>
          <w:lang w:eastAsia="en-GB"/>
        </w:rPr>
        <w:t>reverse engineering</w:t>
      </w:r>
      <w:r w:rsidR="00BA4366">
        <w:rPr>
          <w:rFonts w:ascii="Times New Roman" w:hAnsi="Times New Roman" w:cs="Times New Roman"/>
          <w:lang w:eastAsia="en-GB"/>
        </w:rPr>
        <w:t>’</w:t>
      </w:r>
      <w:r w:rsidR="00705BB7" w:rsidRPr="007C7BB9">
        <w:rPr>
          <w:rFonts w:ascii="Times New Roman" w:hAnsi="Times New Roman" w:cs="Times New Roman"/>
          <w:lang w:eastAsia="en-GB"/>
        </w:rPr>
        <w:t>, the second aspect to this</w:t>
      </w:r>
      <w:r w:rsidR="00705BB7" w:rsidRPr="00BA2D09">
        <w:t xml:space="preserve"> </w:t>
      </w:r>
      <w:r w:rsidR="00BA4366" w:rsidRPr="00BA2D09">
        <w:t>‘</w:t>
      </w:r>
      <w:r w:rsidR="00265B1B" w:rsidRPr="00BA2D09">
        <w:t>tick</w:t>
      </w:r>
      <w:r w:rsidR="00265B1B" w:rsidRPr="008509A9">
        <w:t>-</w:t>
      </w:r>
      <w:r w:rsidR="00265B1B" w:rsidRPr="00BA2D09">
        <w:t>box</w:t>
      </w:r>
      <w:r w:rsidR="00705BB7" w:rsidRPr="00BA2D09">
        <w:t xml:space="preserve"> </w:t>
      </w:r>
      <w:r w:rsidR="00705BB7" w:rsidRPr="007C7BB9">
        <w:rPr>
          <w:rFonts w:ascii="Times New Roman" w:hAnsi="Times New Roman" w:cs="Times New Roman"/>
          <w:lang w:eastAsia="en-GB"/>
        </w:rPr>
        <w:t>mentality</w:t>
      </w:r>
      <w:r w:rsidR="00BA4366">
        <w:rPr>
          <w:rFonts w:ascii="Times New Roman" w:hAnsi="Times New Roman" w:cs="Times New Roman"/>
          <w:lang w:eastAsia="en-GB"/>
        </w:rPr>
        <w:t>’</w:t>
      </w:r>
      <w:r w:rsidR="00705BB7" w:rsidRPr="007C7BB9">
        <w:rPr>
          <w:rFonts w:ascii="Times New Roman" w:hAnsi="Times New Roman" w:cs="Times New Roman"/>
          <w:lang w:eastAsia="en-GB"/>
        </w:rPr>
        <w:t xml:space="preserve"> were concerns about </w:t>
      </w:r>
      <w:r>
        <w:rPr>
          <w:rFonts w:ascii="Times New Roman" w:hAnsi="Times New Roman" w:cs="Times New Roman"/>
          <w:lang w:eastAsia="en-GB"/>
        </w:rPr>
        <w:t xml:space="preserve">a </w:t>
      </w:r>
      <w:r w:rsidR="00BA4366">
        <w:rPr>
          <w:rFonts w:ascii="Times New Roman" w:hAnsi="Times New Roman" w:cs="Times New Roman"/>
          <w:lang w:eastAsia="en-GB"/>
        </w:rPr>
        <w:t>‘</w:t>
      </w:r>
      <w:r>
        <w:rPr>
          <w:rFonts w:ascii="Times New Roman" w:hAnsi="Times New Roman" w:cs="Times New Roman"/>
          <w:lang w:eastAsia="en-GB"/>
        </w:rPr>
        <w:t>copy-and-paste</w:t>
      </w:r>
      <w:r w:rsidR="00BA4366">
        <w:rPr>
          <w:rFonts w:ascii="Times New Roman" w:hAnsi="Times New Roman" w:cs="Times New Roman"/>
          <w:lang w:eastAsia="en-GB"/>
        </w:rPr>
        <w:t>’</w:t>
      </w:r>
      <w:r>
        <w:rPr>
          <w:rFonts w:ascii="Times New Roman" w:hAnsi="Times New Roman" w:cs="Times New Roman"/>
          <w:lang w:eastAsia="en-GB"/>
        </w:rPr>
        <w:t xml:space="preserve"> approach: </w:t>
      </w:r>
      <w:r w:rsidR="00705BB7" w:rsidRPr="007C7BB9">
        <w:rPr>
          <w:rFonts w:ascii="Times New Roman" w:hAnsi="Times New Roman" w:cs="Times New Roman"/>
          <w:lang w:eastAsia="en-GB"/>
        </w:rPr>
        <w:t>forms being completed using responses from prior, often completely disconnected assessments for other policies and decisions. Here, content was simply rolled</w:t>
      </w:r>
      <w:r w:rsidR="008509A9">
        <w:rPr>
          <w:rFonts w:ascii="Times New Roman" w:hAnsi="Times New Roman" w:cs="Times New Roman"/>
          <w:lang w:eastAsia="en-GB"/>
        </w:rPr>
        <w:t xml:space="preserve"> </w:t>
      </w:r>
      <w:r w:rsidR="00705BB7" w:rsidRPr="007C7BB9">
        <w:rPr>
          <w:rFonts w:ascii="Times New Roman" w:hAnsi="Times New Roman" w:cs="Times New Roman"/>
          <w:lang w:eastAsia="en-GB"/>
        </w:rPr>
        <w:t xml:space="preserve">over or modestly repurposed from one completed form to fit another new policy. This was characterised as forms being </w:t>
      </w:r>
      <w:r w:rsidR="00BA4366">
        <w:rPr>
          <w:rFonts w:ascii="Times New Roman" w:hAnsi="Times New Roman" w:cs="Times New Roman"/>
          <w:lang w:eastAsia="en-GB"/>
        </w:rPr>
        <w:t>‘</w:t>
      </w:r>
      <w:r w:rsidR="00705BB7" w:rsidRPr="007C7BB9">
        <w:rPr>
          <w:rFonts w:ascii="Times New Roman" w:hAnsi="Times New Roman" w:cs="Times New Roman"/>
          <w:bCs/>
          <w:szCs w:val="24"/>
        </w:rPr>
        <w:t>a necessary admin task</w:t>
      </w:r>
      <w:r w:rsidR="008509A9">
        <w:rPr>
          <w:rFonts w:ascii="Times New Roman" w:hAnsi="Times New Roman" w:cs="Times New Roman"/>
          <w:bCs/>
          <w:szCs w:val="24"/>
        </w:rPr>
        <w:t xml:space="preserve"> </w:t>
      </w:r>
      <w:r w:rsidR="00705BB7" w:rsidRPr="007C7BB9">
        <w:rPr>
          <w:rFonts w:ascii="Times New Roman" w:hAnsi="Times New Roman" w:cs="Times New Roman"/>
          <w:bCs/>
          <w:szCs w:val="24"/>
        </w:rPr>
        <w:t>…</w:t>
      </w:r>
      <w:r w:rsidR="008509A9">
        <w:rPr>
          <w:rFonts w:ascii="Times New Roman" w:hAnsi="Times New Roman" w:cs="Times New Roman"/>
          <w:bCs/>
          <w:szCs w:val="24"/>
        </w:rPr>
        <w:t xml:space="preserve"> </w:t>
      </w:r>
      <w:r w:rsidR="00705BB7" w:rsidRPr="007C7BB9">
        <w:rPr>
          <w:rFonts w:ascii="Times New Roman" w:hAnsi="Times New Roman" w:cs="Times New Roman"/>
          <w:bCs/>
          <w:szCs w:val="24"/>
        </w:rPr>
        <w:t>copied and pasted from previous submissions</w:t>
      </w:r>
      <w:r w:rsidR="00BA4366">
        <w:rPr>
          <w:rFonts w:ascii="Times New Roman" w:hAnsi="Times New Roman" w:cs="Times New Roman"/>
          <w:bCs/>
          <w:szCs w:val="24"/>
        </w:rPr>
        <w:t>’</w:t>
      </w:r>
      <w:r w:rsidR="008509A9">
        <w:rPr>
          <w:rFonts w:ascii="Times New Roman" w:hAnsi="Times New Roman" w:cs="Times New Roman"/>
          <w:bCs/>
          <w:szCs w:val="24"/>
        </w:rPr>
        <w:t>.</w:t>
      </w:r>
      <w:r w:rsidR="00705BB7" w:rsidRPr="007C7BB9">
        <w:rPr>
          <w:rStyle w:val="FootnoteReference"/>
          <w:rFonts w:ascii="Times New Roman" w:hAnsi="Times New Roman" w:cs="Times New Roman"/>
          <w:bCs/>
          <w:szCs w:val="24"/>
        </w:rPr>
        <w:footnoteReference w:id="135"/>
      </w:r>
      <w:r w:rsidR="00705BB7" w:rsidRPr="007C7BB9">
        <w:rPr>
          <w:rFonts w:ascii="Times New Roman" w:hAnsi="Times New Roman" w:cs="Times New Roman"/>
          <w:bCs/>
          <w:szCs w:val="24"/>
        </w:rPr>
        <w:t xml:space="preserve"> Participant </w:t>
      </w:r>
      <w:r w:rsidR="007A03C9">
        <w:rPr>
          <w:rFonts w:ascii="Times New Roman" w:hAnsi="Times New Roman" w:cs="Times New Roman"/>
          <w:bCs/>
          <w:szCs w:val="24"/>
        </w:rPr>
        <w:t>35</w:t>
      </w:r>
      <w:r w:rsidR="008509A9">
        <w:rPr>
          <w:rFonts w:ascii="Times New Roman" w:hAnsi="Times New Roman" w:cs="Times New Roman"/>
        </w:rPr>
        <w:t xml:space="preserve">, </w:t>
      </w:r>
      <w:r w:rsidR="00705BB7" w:rsidRPr="007C7BB9">
        <w:rPr>
          <w:rFonts w:ascii="Times New Roman" w:hAnsi="Times New Roman" w:cs="Times New Roman"/>
        </w:rPr>
        <w:t xml:space="preserve">a civil servant in a central </w:t>
      </w:r>
      <w:r w:rsidR="0093613D">
        <w:rPr>
          <w:rFonts w:ascii="Times New Roman" w:hAnsi="Times New Roman" w:cs="Times New Roman"/>
        </w:rPr>
        <w:t>government</w:t>
      </w:r>
      <w:r w:rsidR="00705BB7" w:rsidRPr="007C7BB9">
        <w:rPr>
          <w:rFonts w:ascii="Times New Roman" w:hAnsi="Times New Roman" w:cs="Times New Roman"/>
        </w:rPr>
        <w:t xml:space="preserve"> department</w:t>
      </w:r>
      <w:r w:rsidR="008509A9">
        <w:rPr>
          <w:rFonts w:ascii="Times New Roman" w:hAnsi="Times New Roman" w:cs="Times New Roman"/>
        </w:rPr>
        <w:t xml:space="preserve">, </w:t>
      </w:r>
      <w:r w:rsidR="00705BB7" w:rsidRPr="007C7BB9">
        <w:rPr>
          <w:rFonts w:ascii="Times New Roman" w:hAnsi="Times New Roman" w:cs="Times New Roman"/>
        </w:rPr>
        <w:t>noted this process of copying over material from one submission, then tailoring it to the current proposal:</w:t>
      </w:r>
    </w:p>
    <w:p w14:paraId="24562B44" w14:textId="24F3507B" w:rsidR="00705BB7" w:rsidRPr="007C7BB9" w:rsidRDefault="00705BB7" w:rsidP="00BA2D09">
      <w:pPr>
        <w:spacing w:line="240" w:lineRule="auto"/>
        <w:ind w:left="567" w:right="521"/>
        <w:rPr>
          <w:rFonts w:ascii="Times New Roman" w:hAnsi="Times New Roman" w:cs="Times New Roman"/>
          <w:lang w:eastAsia="en-GB"/>
        </w:rPr>
      </w:pPr>
      <w:r w:rsidRPr="007C7BB9">
        <w:rPr>
          <w:rFonts w:ascii="Times New Roman" w:hAnsi="Times New Roman" w:cs="Times New Roman"/>
          <w:bCs/>
          <w:szCs w:val="24"/>
        </w:rPr>
        <w:lastRenderedPageBreak/>
        <w:t xml:space="preserve">Some colleagues/Departments see the Equality Impact Assessment as a </w:t>
      </w:r>
      <w:proofErr w:type="spellStart"/>
      <w:r w:rsidR="00265B1B" w:rsidRPr="00BA2D09">
        <w:t>tickbox</w:t>
      </w:r>
      <w:proofErr w:type="spellEnd"/>
      <w:r w:rsidRPr="00BA2D09">
        <w:t xml:space="preserve"> </w:t>
      </w:r>
      <w:r w:rsidRPr="007C7BB9">
        <w:rPr>
          <w:rFonts w:ascii="Times New Roman" w:hAnsi="Times New Roman" w:cs="Times New Roman"/>
          <w:bCs/>
          <w:szCs w:val="24"/>
        </w:rPr>
        <w:t>exercise in the policy making process, and don</w:t>
      </w:r>
      <w:r w:rsidR="00BA4366">
        <w:rPr>
          <w:rFonts w:ascii="Times New Roman" w:hAnsi="Times New Roman" w:cs="Times New Roman"/>
          <w:bCs/>
          <w:szCs w:val="24"/>
        </w:rPr>
        <w:t>’</w:t>
      </w:r>
      <w:r w:rsidRPr="007C7BB9">
        <w:rPr>
          <w:rFonts w:ascii="Times New Roman" w:hAnsi="Times New Roman" w:cs="Times New Roman"/>
          <w:bCs/>
          <w:szCs w:val="24"/>
        </w:rPr>
        <w:t xml:space="preserve">t put enough effort/time into it. They look at other previously completed assessments and copy over some of the ideas/general principles then tailor it to their policy proposal. I have attended boards where a decision is being discussed, and although the assessment is included in the </w:t>
      </w:r>
      <w:r w:rsidR="00DC7CF3" w:rsidRPr="00BA2D09">
        <w:t>paper</w:t>
      </w:r>
      <w:r w:rsidRPr="007C7BB9">
        <w:rPr>
          <w:rFonts w:ascii="Times New Roman" w:hAnsi="Times New Roman" w:cs="Times New Roman"/>
          <w:bCs/>
          <w:szCs w:val="24"/>
        </w:rPr>
        <w:t>s distributed to attendees, there is no way to check whether it has been read and understood by all involved in decision</w:t>
      </w:r>
      <w:r w:rsidR="00571010">
        <w:rPr>
          <w:rFonts w:ascii="Times New Roman" w:hAnsi="Times New Roman" w:cs="Times New Roman"/>
          <w:bCs/>
          <w:szCs w:val="24"/>
        </w:rPr>
        <w:t>-</w:t>
      </w:r>
      <w:r w:rsidRPr="007C7BB9">
        <w:rPr>
          <w:rFonts w:ascii="Times New Roman" w:hAnsi="Times New Roman" w:cs="Times New Roman"/>
          <w:bCs/>
          <w:szCs w:val="24"/>
        </w:rPr>
        <w:t>making.</w:t>
      </w:r>
      <w:r w:rsidRPr="007C7BB9">
        <w:rPr>
          <w:rStyle w:val="FootnoteReference"/>
          <w:rFonts w:ascii="Times New Roman" w:hAnsi="Times New Roman" w:cs="Times New Roman"/>
          <w:bCs/>
          <w:szCs w:val="24"/>
        </w:rPr>
        <w:footnoteReference w:id="136"/>
      </w:r>
    </w:p>
    <w:p w14:paraId="18C68967" w14:textId="2B8E6BD5" w:rsidR="00705BB7" w:rsidRPr="007C7BB9" w:rsidRDefault="00705BB7" w:rsidP="00BA2D09">
      <w:pPr>
        <w:rPr>
          <w:rFonts w:ascii="Times New Roman" w:hAnsi="Times New Roman" w:cs="Times New Roman"/>
          <w:lang w:eastAsia="en-GB"/>
        </w:rPr>
      </w:pPr>
      <w:r w:rsidRPr="007C7BB9">
        <w:rPr>
          <w:rFonts w:ascii="Times New Roman" w:hAnsi="Times New Roman" w:cs="Times New Roman"/>
          <w:lang w:eastAsia="en-GB"/>
        </w:rPr>
        <w:t>This was not only about copy</w:t>
      </w:r>
      <w:r w:rsidR="008509A9">
        <w:rPr>
          <w:rFonts w:ascii="Times New Roman" w:hAnsi="Times New Roman" w:cs="Times New Roman"/>
          <w:lang w:eastAsia="en-GB"/>
        </w:rPr>
        <w:t xml:space="preserve">ing </w:t>
      </w:r>
      <w:r w:rsidRPr="007C7BB9">
        <w:rPr>
          <w:rFonts w:ascii="Times New Roman" w:hAnsi="Times New Roman" w:cs="Times New Roman"/>
          <w:lang w:eastAsia="en-GB"/>
        </w:rPr>
        <w:t>and</w:t>
      </w:r>
      <w:r w:rsidR="008509A9">
        <w:rPr>
          <w:rFonts w:ascii="Times New Roman" w:hAnsi="Times New Roman" w:cs="Times New Roman"/>
          <w:lang w:eastAsia="en-GB"/>
        </w:rPr>
        <w:t xml:space="preserve"> </w:t>
      </w:r>
      <w:r w:rsidRPr="007C7BB9">
        <w:rPr>
          <w:rFonts w:ascii="Times New Roman" w:hAnsi="Times New Roman" w:cs="Times New Roman"/>
          <w:lang w:eastAsia="en-GB"/>
        </w:rPr>
        <w:t xml:space="preserve">pasting the content itself, but also replicating the process more broadly. Participants underscored how the </w:t>
      </w:r>
      <w:r w:rsidR="00BA4366">
        <w:rPr>
          <w:rFonts w:ascii="Times New Roman" w:hAnsi="Times New Roman" w:cs="Times New Roman"/>
          <w:lang w:eastAsia="en-GB"/>
        </w:rPr>
        <w:t>‘</w:t>
      </w:r>
      <w:r w:rsidRPr="007C7BB9">
        <w:rPr>
          <w:rFonts w:ascii="Times New Roman" w:hAnsi="Times New Roman" w:cs="Times New Roman"/>
          <w:lang w:eastAsia="en-GB"/>
        </w:rPr>
        <w:t>same process</w:t>
      </w:r>
      <w:r w:rsidR="00BA4366">
        <w:rPr>
          <w:rFonts w:ascii="Times New Roman" w:hAnsi="Times New Roman" w:cs="Times New Roman"/>
          <w:lang w:eastAsia="en-GB"/>
        </w:rPr>
        <w:t>’</w:t>
      </w:r>
      <w:r w:rsidRPr="007C7BB9">
        <w:rPr>
          <w:rFonts w:ascii="Times New Roman" w:hAnsi="Times New Roman" w:cs="Times New Roman"/>
          <w:lang w:eastAsia="en-GB"/>
        </w:rPr>
        <w:t xml:space="preserve"> is followed across all decision</w:t>
      </w:r>
      <w:r w:rsidR="008509A9">
        <w:rPr>
          <w:rFonts w:ascii="Times New Roman" w:hAnsi="Times New Roman" w:cs="Times New Roman"/>
          <w:lang w:eastAsia="en-GB"/>
        </w:rPr>
        <w:t xml:space="preserve"> </w:t>
      </w:r>
      <w:r w:rsidRPr="007C7BB9">
        <w:rPr>
          <w:rFonts w:ascii="Times New Roman" w:hAnsi="Times New Roman" w:cs="Times New Roman"/>
          <w:lang w:eastAsia="en-GB"/>
        </w:rPr>
        <w:t>types, particularly when engaging affected groups and other stakeholders:</w:t>
      </w:r>
    </w:p>
    <w:p w14:paraId="1391E2A7" w14:textId="0F54E6A5" w:rsidR="00705BB7" w:rsidRPr="007C7BB9" w:rsidRDefault="00705BB7" w:rsidP="00BA2D09">
      <w:pPr>
        <w:spacing w:line="240" w:lineRule="auto"/>
        <w:ind w:left="567" w:right="379"/>
        <w:rPr>
          <w:rFonts w:ascii="Times New Roman" w:hAnsi="Times New Roman" w:cs="Times New Roman"/>
          <w:bCs/>
          <w:szCs w:val="24"/>
        </w:rPr>
      </w:pPr>
      <w:r w:rsidRPr="007C7BB9">
        <w:rPr>
          <w:rFonts w:ascii="Times New Roman" w:hAnsi="Times New Roman" w:cs="Times New Roman"/>
          <w:bCs/>
          <w:szCs w:val="24"/>
        </w:rPr>
        <w:t>Often any issues raised are brushed under the carpet so to speak. The same process is followed regardless of the project, it</w:t>
      </w:r>
      <w:r w:rsidR="00BA4366">
        <w:rPr>
          <w:rFonts w:ascii="Times New Roman" w:hAnsi="Times New Roman" w:cs="Times New Roman"/>
          <w:bCs/>
          <w:szCs w:val="24"/>
        </w:rPr>
        <w:t>’</w:t>
      </w:r>
      <w:r w:rsidRPr="007C7BB9">
        <w:rPr>
          <w:rFonts w:ascii="Times New Roman" w:hAnsi="Times New Roman" w:cs="Times New Roman"/>
          <w:bCs/>
          <w:szCs w:val="24"/>
        </w:rPr>
        <w:t>s not innovative. It</w:t>
      </w:r>
      <w:r w:rsidR="00BA4366">
        <w:rPr>
          <w:rFonts w:ascii="Times New Roman" w:hAnsi="Times New Roman" w:cs="Times New Roman"/>
          <w:bCs/>
          <w:szCs w:val="24"/>
        </w:rPr>
        <w:t>’</w:t>
      </w:r>
      <w:r w:rsidRPr="007C7BB9">
        <w:rPr>
          <w:rFonts w:ascii="Times New Roman" w:hAnsi="Times New Roman" w:cs="Times New Roman"/>
          <w:bCs/>
          <w:szCs w:val="24"/>
        </w:rPr>
        <w:t>s not particularly a wide consultation. Many residents don</w:t>
      </w:r>
      <w:r w:rsidR="00BA4366">
        <w:rPr>
          <w:rFonts w:ascii="Times New Roman" w:hAnsi="Times New Roman" w:cs="Times New Roman"/>
          <w:bCs/>
          <w:szCs w:val="24"/>
        </w:rPr>
        <w:t>’</w:t>
      </w:r>
      <w:r w:rsidRPr="007C7BB9">
        <w:rPr>
          <w:rFonts w:ascii="Times New Roman" w:hAnsi="Times New Roman" w:cs="Times New Roman"/>
          <w:bCs/>
          <w:szCs w:val="24"/>
        </w:rPr>
        <w:t>t have a voice, those that attend and share their thoughts are those who have been chosen because they were in the right place at the right time or because they know the right people.</w:t>
      </w:r>
      <w:r w:rsidRPr="007C7BB9">
        <w:rPr>
          <w:rStyle w:val="FootnoteReference"/>
          <w:rFonts w:ascii="Times New Roman" w:hAnsi="Times New Roman" w:cs="Times New Roman"/>
          <w:bCs/>
          <w:szCs w:val="24"/>
        </w:rPr>
        <w:footnoteReference w:id="137"/>
      </w:r>
    </w:p>
    <w:p w14:paraId="23D208DD" w14:textId="17B1C74C" w:rsidR="005C0AB0" w:rsidRDefault="005C0AB0" w:rsidP="00BA2D09">
      <w:pPr>
        <w:rPr>
          <w:rFonts w:ascii="Times New Roman" w:hAnsi="Times New Roman" w:cs="Times New Roman"/>
          <w:lang w:eastAsia="en-GB"/>
        </w:rPr>
      </w:pPr>
      <w:r>
        <w:rPr>
          <w:rFonts w:ascii="Times New Roman" w:hAnsi="Times New Roman" w:cs="Times New Roman"/>
          <w:lang w:eastAsia="en-GB"/>
        </w:rPr>
        <w:t>It is worth underscoring that, taken together, these two themes sit at odds with the requirements of the PSED</w:t>
      </w:r>
      <w:r w:rsidR="008C74DC">
        <w:rPr>
          <w:rFonts w:ascii="Times New Roman" w:hAnsi="Times New Roman" w:cs="Times New Roman"/>
          <w:lang w:eastAsia="en-GB"/>
        </w:rPr>
        <w:t>,</w:t>
      </w:r>
      <w:r>
        <w:rPr>
          <w:rFonts w:ascii="Times New Roman" w:hAnsi="Times New Roman" w:cs="Times New Roman"/>
          <w:lang w:eastAsia="en-GB"/>
        </w:rPr>
        <w:t xml:space="preserve"> </w:t>
      </w:r>
      <w:r w:rsidR="008C74DC">
        <w:rPr>
          <w:rFonts w:ascii="Times New Roman" w:hAnsi="Times New Roman" w:cs="Times New Roman"/>
          <w:lang w:eastAsia="en-GB"/>
        </w:rPr>
        <w:t xml:space="preserve">which </w:t>
      </w:r>
      <w:r w:rsidR="00D77459">
        <w:rPr>
          <w:rFonts w:ascii="Times New Roman" w:hAnsi="Times New Roman" w:cs="Times New Roman"/>
          <w:lang w:eastAsia="en-GB"/>
        </w:rPr>
        <w:t>has already been reflected in English law for some time</w:t>
      </w:r>
      <w:r>
        <w:rPr>
          <w:rFonts w:ascii="Times New Roman" w:hAnsi="Times New Roman" w:cs="Times New Roman"/>
          <w:lang w:eastAsia="en-GB"/>
        </w:rPr>
        <w:t>.</w:t>
      </w:r>
      <w:r w:rsidR="00561104">
        <w:rPr>
          <w:rFonts w:ascii="Times New Roman" w:hAnsi="Times New Roman" w:cs="Times New Roman"/>
          <w:lang w:eastAsia="en-GB"/>
        </w:rPr>
        <w:t xml:space="preserve"> The c</w:t>
      </w:r>
      <w:r w:rsidR="00561104" w:rsidRPr="00561104">
        <w:rPr>
          <w:rFonts w:ascii="Times New Roman" w:hAnsi="Times New Roman" w:cs="Times New Roman"/>
          <w:lang w:eastAsia="en-GB"/>
        </w:rPr>
        <w:t>onsideration of the duty has to occur as an identifiable part of the decision-making process, not</w:t>
      </w:r>
      <w:r w:rsidR="00561104">
        <w:rPr>
          <w:rFonts w:ascii="Times New Roman" w:hAnsi="Times New Roman" w:cs="Times New Roman"/>
          <w:lang w:eastAsia="en-GB"/>
        </w:rPr>
        <w:t xml:space="preserve"> simply as a </w:t>
      </w:r>
      <w:r w:rsidR="00BA4366">
        <w:rPr>
          <w:rFonts w:ascii="Times New Roman" w:hAnsi="Times New Roman" w:cs="Times New Roman"/>
          <w:lang w:eastAsia="en-GB"/>
        </w:rPr>
        <w:t>‘</w:t>
      </w:r>
      <w:r w:rsidR="00561104" w:rsidRPr="00561104">
        <w:rPr>
          <w:rFonts w:ascii="Times New Roman" w:hAnsi="Times New Roman" w:cs="Times New Roman"/>
          <w:lang w:eastAsia="en-GB"/>
        </w:rPr>
        <w:t>rear-guard action</w:t>
      </w:r>
      <w:r w:rsidR="00BA4366">
        <w:rPr>
          <w:rFonts w:ascii="Times New Roman" w:hAnsi="Times New Roman" w:cs="Times New Roman"/>
          <w:lang w:eastAsia="en-GB"/>
        </w:rPr>
        <w:t>’</w:t>
      </w:r>
      <w:r w:rsidR="00561104">
        <w:rPr>
          <w:rFonts w:ascii="Times New Roman" w:hAnsi="Times New Roman" w:cs="Times New Roman"/>
          <w:lang w:eastAsia="en-GB"/>
        </w:rPr>
        <w:t xml:space="preserve"> after a policy has already been formulated, or even introduced.</w:t>
      </w:r>
      <w:r w:rsidR="00561104">
        <w:rPr>
          <w:rStyle w:val="FootnoteReference"/>
          <w:rFonts w:ascii="Times New Roman" w:hAnsi="Times New Roman" w:cs="Times New Roman"/>
          <w:lang w:eastAsia="en-GB"/>
        </w:rPr>
        <w:footnoteReference w:id="138"/>
      </w:r>
      <w:r w:rsidR="00D633F7">
        <w:rPr>
          <w:rFonts w:ascii="Times New Roman" w:hAnsi="Times New Roman" w:cs="Times New Roman"/>
          <w:lang w:eastAsia="en-GB"/>
        </w:rPr>
        <w:t xml:space="preserve"> The sentiments of participants</w:t>
      </w:r>
      <w:r w:rsidR="00265B1B">
        <w:rPr>
          <w:rFonts w:ascii="Times New Roman" w:hAnsi="Times New Roman" w:cs="Times New Roman"/>
          <w:lang w:eastAsia="en-GB"/>
        </w:rPr>
        <w:t>—</w:t>
      </w:r>
      <w:r w:rsidR="00D633F7">
        <w:rPr>
          <w:rFonts w:ascii="Times New Roman" w:hAnsi="Times New Roman" w:cs="Times New Roman"/>
          <w:lang w:eastAsia="en-GB"/>
        </w:rPr>
        <w:t xml:space="preserve">that many of these processes end up being </w:t>
      </w:r>
      <w:r w:rsidR="00BA4366">
        <w:rPr>
          <w:rFonts w:ascii="Times New Roman" w:hAnsi="Times New Roman" w:cs="Times New Roman"/>
          <w:lang w:eastAsia="en-GB"/>
        </w:rPr>
        <w:t>‘</w:t>
      </w:r>
      <w:r w:rsidR="00D633F7">
        <w:rPr>
          <w:rFonts w:ascii="Times New Roman" w:hAnsi="Times New Roman" w:cs="Times New Roman"/>
          <w:lang w:eastAsia="en-GB"/>
        </w:rPr>
        <w:t>reverse engineered</w:t>
      </w:r>
      <w:r w:rsidR="00BA4366">
        <w:rPr>
          <w:rFonts w:ascii="Times New Roman" w:hAnsi="Times New Roman" w:cs="Times New Roman"/>
          <w:lang w:eastAsia="en-GB"/>
        </w:rPr>
        <w:t>’</w:t>
      </w:r>
      <w:r w:rsidR="00265B1B">
        <w:rPr>
          <w:rFonts w:ascii="Times New Roman" w:hAnsi="Times New Roman" w:cs="Times New Roman"/>
          <w:lang w:eastAsia="en-GB"/>
        </w:rPr>
        <w:t>—</w:t>
      </w:r>
      <w:r w:rsidR="00D633F7">
        <w:rPr>
          <w:rFonts w:ascii="Times New Roman" w:hAnsi="Times New Roman" w:cs="Times New Roman"/>
          <w:lang w:eastAsia="en-GB"/>
        </w:rPr>
        <w:t>therefore points to widespread non-compliance with the principles underpinning the PSED, even where an EIA is produced.</w:t>
      </w:r>
    </w:p>
    <w:p w14:paraId="5EB0D6EA" w14:textId="43E3D9CD" w:rsidR="00705BB7" w:rsidRPr="007C7BB9" w:rsidRDefault="00705BB7" w:rsidP="00BA2D09">
      <w:pPr>
        <w:rPr>
          <w:rFonts w:ascii="Times New Roman" w:hAnsi="Times New Roman" w:cs="Times New Roman"/>
          <w:lang w:eastAsia="en-GB"/>
        </w:rPr>
      </w:pPr>
      <w:r w:rsidRPr="007C7BB9">
        <w:rPr>
          <w:rFonts w:ascii="Times New Roman" w:hAnsi="Times New Roman" w:cs="Times New Roman"/>
          <w:lang w:eastAsia="en-GB"/>
        </w:rPr>
        <w:t>However</w:t>
      </w:r>
      <w:r w:rsidR="00265B1B">
        <w:rPr>
          <w:rFonts w:ascii="Times New Roman" w:hAnsi="Times New Roman" w:cs="Times New Roman"/>
          <w:lang w:eastAsia="en-GB"/>
        </w:rPr>
        <w:t>—</w:t>
      </w:r>
      <w:r w:rsidRPr="007C7BB9">
        <w:rPr>
          <w:rFonts w:ascii="Times New Roman" w:hAnsi="Times New Roman" w:cs="Times New Roman"/>
          <w:lang w:eastAsia="en-GB"/>
        </w:rPr>
        <w:t xml:space="preserve">as the final theme </w:t>
      </w:r>
      <w:r w:rsidR="00E70615">
        <w:rPr>
          <w:rFonts w:ascii="Times New Roman" w:hAnsi="Times New Roman" w:cs="Times New Roman"/>
          <w:lang w:eastAsia="en-GB"/>
        </w:rPr>
        <w:t>in these concerns about a</w:t>
      </w:r>
      <w:r w:rsidRPr="007C7BB9">
        <w:rPr>
          <w:rFonts w:ascii="Times New Roman" w:hAnsi="Times New Roman" w:cs="Times New Roman"/>
          <w:lang w:eastAsia="en-GB"/>
        </w:rPr>
        <w:t xml:space="preserve"> </w:t>
      </w:r>
      <w:r w:rsidR="00BA4366" w:rsidRPr="00BA2D09">
        <w:t>‘</w:t>
      </w:r>
      <w:r w:rsidR="00265B1B" w:rsidRPr="00BA2D09">
        <w:t>tick</w:t>
      </w:r>
      <w:r w:rsidR="00265B1B" w:rsidRPr="008C74DC">
        <w:t>-</w:t>
      </w:r>
      <w:r w:rsidR="00265B1B" w:rsidRPr="00BA2D09">
        <w:t>box</w:t>
      </w:r>
      <w:r w:rsidRPr="00BA2D09">
        <w:t xml:space="preserve"> me</w:t>
      </w:r>
      <w:r w:rsidRPr="007C7BB9">
        <w:rPr>
          <w:rFonts w:ascii="Times New Roman" w:hAnsi="Times New Roman" w:cs="Times New Roman"/>
          <w:lang w:eastAsia="en-GB"/>
        </w:rPr>
        <w:t>ntality</w:t>
      </w:r>
      <w:r w:rsidR="00BA4366">
        <w:rPr>
          <w:rFonts w:ascii="Times New Roman" w:hAnsi="Times New Roman" w:cs="Times New Roman"/>
          <w:lang w:eastAsia="en-GB"/>
        </w:rPr>
        <w:t>’</w:t>
      </w:r>
      <w:r w:rsidR="00265B1B">
        <w:rPr>
          <w:rFonts w:ascii="Times New Roman" w:hAnsi="Times New Roman" w:cs="Times New Roman"/>
          <w:lang w:eastAsia="en-GB"/>
        </w:rPr>
        <w:t>—</w:t>
      </w:r>
      <w:r w:rsidRPr="007C7BB9">
        <w:rPr>
          <w:rFonts w:ascii="Times New Roman" w:hAnsi="Times New Roman" w:cs="Times New Roman"/>
          <w:lang w:eastAsia="en-GB"/>
        </w:rPr>
        <w:t xml:space="preserve">participants generally saw these documentary processes as part of structuring the thinking of the form-filler, rather than determinative of the process in their own right. </w:t>
      </w:r>
      <w:r w:rsidR="00507F86">
        <w:rPr>
          <w:rFonts w:ascii="Times New Roman" w:hAnsi="Times New Roman" w:cs="Times New Roman"/>
          <w:lang w:eastAsia="en-GB"/>
        </w:rPr>
        <w:t xml:space="preserve">This </w:t>
      </w:r>
      <w:r w:rsidR="00D77459">
        <w:rPr>
          <w:rFonts w:ascii="Times New Roman" w:hAnsi="Times New Roman" w:cs="Times New Roman"/>
          <w:lang w:eastAsia="en-GB"/>
        </w:rPr>
        <w:t>was tied to two issues</w:t>
      </w:r>
      <w:r w:rsidRPr="007C7BB9">
        <w:rPr>
          <w:rFonts w:ascii="Times New Roman" w:hAnsi="Times New Roman" w:cs="Times New Roman"/>
          <w:lang w:eastAsia="en-GB"/>
        </w:rPr>
        <w:t xml:space="preserve">. First, the physical format of these documents sometimes constrained or failed to reflect the reasoning adopted by the civil servant filling in the form. This is a problem Hood characterises as the </w:t>
      </w:r>
      <w:r w:rsidR="00BA4366">
        <w:rPr>
          <w:rFonts w:ascii="Times New Roman" w:hAnsi="Times New Roman" w:cs="Times New Roman"/>
          <w:lang w:eastAsia="en-GB"/>
        </w:rPr>
        <w:t>‘</w:t>
      </w:r>
      <w:r w:rsidRPr="007C7BB9">
        <w:rPr>
          <w:rFonts w:ascii="Times New Roman" w:hAnsi="Times New Roman" w:cs="Times New Roman"/>
          <w:lang w:eastAsia="en-GB"/>
        </w:rPr>
        <w:t>limitation of discretion</w:t>
      </w:r>
      <w:r w:rsidR="00BA4366">
        <w:rPr>
          <w:rFonts w:ascii="Times New Roman" w:hAnsi="Times New Roman" w:cs="Times New Roman"/>
          <w:lang w:eastAsia="en-GB"/>
        </w:rPr>
        <w:t>’</w:t>
      </w:r>
      <w:r w:rsidRPr="007C7BB9">
        <w:rPr>
          <w:rFonts w:ascii="Times New Roman" w:hAnsi="Times New Roman" w:cs="Times New Roman"/>
          <w:lang w:eastAsia="en-GB"/>
        </w:rPr>
        <w:t xml:space="preserve"> through </w:t>
      </w:r>
      <w:r w:rsidR="00BA4366">
        <w:rPr>
          <w:rFonts w:ascii="Times New Roman" w:hAnsi="Times New Roman" w:cs="Times New Roman"/>
          <w:lang w:eastAsia="en-GB"/>
        </w:rPr>
        <w:t>‘</w:t>
      </w:r>
      <w:r w:rsidRPr="007C7BB9">
        <w:rPr>
          <w:rFonts w:ascii="Times New Roman" w:hAnsi="Times New Roman" w:cs="Times New Roman"/>
          <w:lang w:eastAsia="en-GB"/>
        </w:rPr>
        <w:t>information architecture</w:t>
      </w:r>
      <w:r w:rsidR="00BA4366">
        <w:rPr>
          <w:rFonts w:ascii="Times New Roman" w:hAnsi="Times New Roman" w:cs="Times New Roman"/>
          <w:lang w:eastAsia="en-GB"/>
        </w:rPr>
        <w:t>’</w:t>
      </w:r>
      <w:r w:rsidRPr="007C7BB9">
        <w:rPr>
          <w:rFonts w:ascii="Times New Roman" w:hAnsi="Times New Roman" w:cs="Times New Roman"/>
          <w:lang w:eastAsia="en-GB"/>
        </w:rPr>
        <w:t xml:space="preserve">, such as software systems preventing users from </w:t>
      </w:r>
      <w:r w:rsidR="00BA4366">
        <w:rPr>
          <w:rFonts w:ascii="Times New Roman" w:hAnsi="Times New Roman" w:cs="Times New Roman"/>
          <w:lang w:eastAsia="en-GB"/>
        </w:rPr>
        <w:t>‘</w:t>
      </w:r>
      <w:r w:rsidRPr="007C7BB9">
        <w:rPr>
          <w:rFonts w:ascii="Times New Roman" w:hAnsi="Times New Roman" w:cs="Times New Roman"/>
          <w:lang w:eastAsia="en-GB"/>
        </w:rPr>
        <w:t>leaving blanks</w:t>
      </w:r>
      <w:r w:rsidR="00BA4366">
        <w:rPr>
          <w:rFonts w:ascii="Times New Roman" w:hAnsi="Times New Roman" w:cs="Times New Roman"/>
          <w:lang w:eastAsia="en-GB"/>
        </w:rPr>
        <w:t>’</w:t>
      </w:r>
      <w:r w:rsidRPr="007C7BB9">
        <w:rPr>
          <w:rFonts w:ascii="Times New Roman" w:hAnsi="Times New Roman" w:cs="Times New Roman"/>
          <w:lang w:eastAsia="en-GB"/>
        </w:rPr>
        <w:t xml:space="preserve"> in forms or accessing later tasks before finishing earlier ones.</w:t>
      </w:r>
      <w:r w:rsidRPr="007C7BB9">
        <w:rPr>
          <w:rStyle w:val="FootnoteReference"/>
          <w:rFonts w:ascii="Times New Roman" w:hAnsi="Times New Roman" w:cs="Times New Roman"/>
          <w:lang w:eastAsia="en-GB"/>
        </w:rPr>
        <w:footnoteReference w:id="139"/>
      </w:r>
      <w:r w:rsidRPr="007C7BB9">
        <w:rPr>
          <w:rFonts w:ascii="Times New Roman" w:hAnsi="Times New Roman" w:cs="Times New Roman"/>
          <w:lang w:eastAsia="en-GB"/>
        </w:rPr>
        <w:t xml:space="preserve"> For instance, Participant </w:t>
      </w:r>
      <w:r w:rsidR="001C32E5">
        <w:rPr>
          <w:rFonts w:ascii="Times New Roman" w:hAnsi="Times New Roman" w:cs="Times New Roman"/>
          <w:bCs/>
          <w:szCs w:val="24"/>
        </w:rPr>
        <w:t>9</w:t>
      </w:r>
      <w:r w:rsidRPr="00BA2D09">
        <w:rPr>
          <w:rFonts w:ascii="Times New Roman" w:hAnsi="Times New Roman"/>
        </w:rPr>
        <w:t xml:space="preserve"> </w:t>
      </w:r>
      <w:r w:rsidRPr="007C7BB9">
        <w:rPr>
          <w:rFonts w:ascii="Times New Roman" w:hAnsi="Times New Roman" w:cs="Times New Roman"/>
          <w:bCs/>
          <w:szCs w:val="24"/>
        </w:rPr>
        <w:t xml:space="preserve">works at a public sector organisation which uses an Excel file for their equality impact assessment. In common with critiques of form-based processes in the public sector elsewhere in socio-legal studies, the </w:t>
      </w:r>
      <w:r w:rsidRPr="007C7BB9">
        <w:rPr>
          <w:rFonts w:ascii="Times New Roman" w:hAnsi="Times New Roman" w:cs="Times New Roman"/>
          <w:bCs/>
          <w:szCs w:val="24"/>
        </w:rPr>
        <w:lastRenderedPageBreak/>
        <w:t>rigid categorisation mandated in drop-down menus led to problems reflecting nuance in the process:</w:t>
      </w:r>
    </w:p>
    <w:p w14:paraId="4131BC54" w14:textId="43A79FEC" w:rsidR="00705BB7" w:rsidRPr="007C7BB9" w:rsidRDefault="00705BB7" w:rsidP="00BA2D09">
      <w:pPr>
        <w:spacing w:line="240" w:lineRule="auto"/>
        <w:ind w:left="567" w:right="521"/>
        <w:rPr>
          <w:rFonts w:ascii="Times New Roman" w:hAnsi="Times New Roman" w:cs="Times New Roman"/>
          <w:bCs/>
          <w:szCs w:val="24"/>
        </w:rPr>
      </w:pPr>
      <w:r w:rsidRPr="007C7BB9">
        <w:rPr>
          <w:rFonts w:ascii="Times New Roman" w:hAnsi="Times New Roman" w:cs="Times New Roman"/>
          <w:szCs w:val="24"/>
        </w:rPr>
        <w:t>The documents are built in an Excel with drop</w:t>
      </w:r>
      <w:r w:rsidR="00E654A1">
        <w:rPr>
          <w:rFonts w:ascii="Times New Roman" w:hAnsi="Times New Roman" w:cs="Times New Roman"/>
          <w:szCs w:val="24"/>
        </w:rPr>
        <w:t>-</w:t>
      </w:r>
      <w:r w:rsidRPr="007C7BB9">
        <w:rPr>
          <w:rFonts w:ascii="Times New Roman" w:hAnsi="Times New Roman" w:cs="Times New Roman"/>
          <w:szCs w:val="24"/>
        </w:rPr>
        <w:t>down menus etc sometimes this means it lacks functionality. For example, if there</w:t>
      </w:r>
      <w:r w:rsidR="00BA4366">
        <w:rPr>
          <w:rFonts w:ascii="Times New Roman" w:hAnsi="Times New Roman" w:cs="Times New Roman"/>
          <w:szCs w:val="24"/>
        </w:rPr>
        <w:t>’</w:t>
      </w:r>
      <w:r w:rsidRPr="007C7BB9">
        <w:rPr>
          <w:rFonts w:ascii="Times New Roman" w:hAnsi="Times New Roman" w:cs="Times New Roman"/>
          <w:szCs w:val="24"/>
        </w:rPr>
        <w:t>s only yes and no answer to a question put your response really doesn</w:t>
      </w:r>
      <w:r w:rsidR="00BA4366">
        <w:rPr>
          <w:rFonts w:ascii="Times New Roman" w:hAnsi="Times New Roman" w:cs="Times New Roman"/>
          <w:szCs w:val="24"/>
        </w:rPr>
        <w:t>’</w:t>
      </w:r>
      <w:r w:rsidRPr="007C7BB9">
        <w:rPr>
          <w:rFonts w:ascii="Times New Roman" w:hAnsi="Times New Roman" w:cs="Times New Roman"/>
          <w:szCs w:val="24"/>
        </w:rPr>
        <w:t>t fit into either box because it</w:t>
      </w:r>
      <w:r w:rsidR="00BA4366">
        <w:rPr>
          <w:rFonts w:ascii="Times New Roman" w:hAnsi="Times New Roman" w:cs="Times New Roman"/>
          <w:szCs w:val="24"/>
        </w:rPr>
        <w:t>’</w:t>
      </w:r>
      <w:r w:rsidRPr="007C7BB9">
        <w:rPr>
          <w:rFonts w:ascii="Times New Roman" w:hAnsi="Times New Roman" w:cs="Times New Roman"/>
          <w:szCs w:val="24"/>
        </w:rPr>
        <w:t>s nuanced it comes quite difficult to use the template.</w:t>
      </w:r>
      <w:r w:rsidRPr="007C7BB9">
        <w:rPr>
          <w:rStyle w:val="FootnoteReference"/>
          <w:rFonts w:ascii="Times New Roman" w:hAnsi="Times New Roman" w:cs="Times New Roman"/>
          <w:szCs w:val="24"/>
        </w:rPr>
        <w:footnoteReference w:id="140"/>
      </w:r>
    </w:p>
    <w:p w14:paraId="2C12BCE1" w14:textId="3FE12E6A" w:rsidR="00705BB7" w:rsidRPr="007C7BB9" w:rsidRDefault="00705BB7" w:rsidP="00BA2D09">
      <w:pPr>
        <w:rPr>
          <w:rFonts w:ascii="Times New Roman" w:hAnsi="Times New Roman" w:cs="Times New Roman"/>
          <w:lang w:eastAsia="en-GB"/>
        </w:rPr>
      </w:pPr>
      <w:r w:rsidRPr="007C7BB9">
        <w:rPr>
          <w:rFonts w:ascii="Times New Roman" w:hAnsi="Times New Roman" w:cs="Times New Roman"/>
          <w:lang w:eastAsia="en-GB"/>
        </w:rPr>
        <w:t xml:space="preserve">Second, participants underscored that the mentality of the form-filler was as important as the physical shape and content of the form itself. Any process is </w:t>
      </w:r>
      <w:r w:rsidR="00BA4366">
        <w:rPr>
          <w:rFonts w:ascii="Times New Roman" w:hAnsi="Times New Roman" w:cs="Times New Roman"/>
          <w:lang w:eastAsia="en-GB"/>
        </w:rPr>
        <w:t>‘</w:t>
      </w:r>
      <w:r w:rsidRPr="007C7BB9">
        <w:rPr>
          <w:rFonts w:ascii="Times New Roman" w:hAnsi="Times New Roman" w:cs="Times New Roman"/>
          <w:lang w:eastAsia="en-GB"/>
        </w:rPr>
        <w:t>reliant on how committed the person filling in the assessment is and how seriously it</w:t>
      </w:r>
      <w:r w:rsidR="00BA4366">
        <w:rPr>
          <w:rFonts w:ascii="Times New Roman" w:hAnsi="Times New Roman" w:cs="Times New Roman"/>
          <w:lang w:eastAsia="en-GB"/>
        </w:rPr>
        <w:t>’</w:t>
      </w:r>
      <w:r w:rsidRPr="007C7BB9">
        <w:rPr>
          <w:rFonts w:ascii="Times New Roman" w:hAnsi="Times New Roman" w:cs="Times New Roman"/>
          <w:lang w:eastAsia="en-GB"/>
        </w:rPr>
        <w:t>s taken</w:t>
      </w:r>
      <w:r w:rsidR="00BA4366">
        <w:rPr>
          <w:rFonts w:ascii="Times New Roman" w:hAnsi="Times New Roman" w:cs="Times New Roman"/>
          <w:lang w:eastAsia="en-GB"/>
        </w:rPr>
        <w:t>’</w:t>
      </w:r>
      <w:r w:rsidR="008C74DC">
        <w:rPr>
          <w:rFonts w:ascii="Times New Roman" w:hAnsi="Times New Roman" w:cs="Times New Roman"/>
          <w:lang w:eastAsia="en-GB"/>
        </w:rPr>
        <w:t>.</w:t>
      </w:r>
      <w:r w:rsidRPr="007C7BB9">
        <w:rPr>
          <w:rStyle w:val="FootnoteReference"/>
          <w:rFonts w:ascii="Times New Roman" w:hAnsi="Times New Roman" w:cs="Times New Roman"/>
          <w:lang w:eastAsia="en-GB"/>
        </w:rPr>
        <w:footnoteReference w:id="141"/>
      </w:r>
      <w:r w:rsidRPr="007C7BB9">
        <w:rPr>
          <w:rFonts w:ascii="Times New Roman" w:hAnsi="Times New Roman" w:cs="Times New Roman"/>
          <w:lang w:eastAsia="en-GB"/>
        </w:rPr>
        <w:t xml:space="preserve"> </w:t>
      </w:r>
      <w:r w:rsidR="00683FC0">
        <w:rPr>
          <w:rFonts w:ascii="Times New Roman" w:hAnsi="Times New Roman" w:cs="Times New Roman"/>
          <w:lang w:eastAsia="en-GB"/>
        </w:rPr>
        <w:t>T</w:t>
      </w:r>
      <w:r w:rsidRPr="007C7BB9">
        <w:rPr>
          <w:rFonts w:ascii="Times New Roman" w:hAnsi="Times New Roman" w:cs="Times New Roman"/>
          <w:lang w:eastAsia="en-GB"/>
        </w:rPr>
        <w:t xml:space="preserve">hose who bring a </w:t>
      </w:r>
      <w:r w:rsidR="00BA4366">
        <w:rPr>
          <w:rFonts w:ascii="Times New Roman" w:hAnsi="Times New Roman" w:cs="Times New Roman"/>
          <w:lang w:eastAsia="en-GB"/>
        </w:rPr>
        <w:t>‘</w:t>
      </w:r>
      <w:r w:rsidRPr="007C7BB9">
        <w:rPr>
          <w:rFonts w:ascii="Times New Roman" w:hAnsi="Times New Roman" w:cs="Times New Roman"/>
          <w:lang w:eastAsia="en-GB"/>
        </w:rPr>
        <w:t>restrictive</w:t>
      </w:r>
      <w:r w:rsidR="00BA4366">
        <w:rPr>
          <w:rFonts w:ascii="Times New Roman" w:hAnsi="Times New Roman" w:cs="Times New Roman"/>
          <w:lang w:eastAsia="en-GB"/>
        </w:rPr>
        <w:t>’</w:t>
      </w:r>
      <w:r w:rsidRPr="007C7BB9">
        <w:rPr>
          <w:rFonts w:ascii="Times New Roman" w:hAnsi="Times New Roman" w:cs="Times New Roman"/>
          <w:lang w:eastAsia="en-GB"/>
        </w:rPr>
        <w:t xml:space="preserve"> approach to a documentary process in turn limit the extent to which it can inform their thinking:</w:t>
      </w:r>
    </w:p>
    <w:p w14:paraId="186B848F" w14:textId="64484A97" w:rsidR="00705BB7" w:rsidRPr="007C7BB9" w:rsidRDefault="00705BB7" w:rsidP="00BA2D09">
      <w:pPr>
        <w:spacing w:line="240" w:lineRule="auto"/>
        <w:ind w:left="567" w:right="521"/>
        <w:rPr>
          <w:rFonts w:ascii="Times New Roman" w:hAnsi="Times New Roman" w:cs="Times New Roman"/>
          <w:lang w:eastAsia="en-GB"/>
        </w:rPr>
      </w:pPr>
      <w:r w:rsidRPr="007C7BB9">
        <w:rPr>
          <w:rFonts w:ascii="Times New Roman" w:hAnsi="Times New Roman" w:cs="Times New Roman"/>
          <w:bCs/>
          <w:szCs w:val="24"/>
        </w:rPr>
        <w:t xml:space="preserve">The danger is sometimes that the forms themselves are followed too restrictively and become almost </w:t>
      </w:r>
      <w:r w:rsidR="00265B1B" w:rsidRPr="00BA2D09">
        <w:t>tick</w:t>
      </w:r>
      <w:r w:rsidR="008C74DC" w:rsidRPr="00BA2D09">
        <w:t xml:space="preserve"> </w:t>
      </w:r>
      <w:r w:rsidR="00265B1B" w:rsidRPr="00BA2D09">
        <w:t>box</w:t>
      </w:r>
      <w:r w:rsidRPr="00BA2D09">
        <w:t xml:space="preserve"> </w:t>
      </w:r>
      <w:r w:rsidRPr="007C7BB9">
        <w:rPr>
          <w:rFonts w:ascii="Times New Roman" w:hAnsi="Times New Roman" w:cs="Times New Roman"/>
          <w:bCs/>
          <w:szCs w:val="24"/>
        </w:rPr>
        <w:t>exercises. They can limit open thinking if followed too strictly. They can sometimes be misunderstood and this then can prevent better solutions or options being considered. They require open and very honest thought to make them more effective when used.</w:t>
      </w:r>
      <w:r w:rsidRPr="007C7BB9">
        <w:rPr>
          <w:rStyle w:val="FootnoteReference"/>
          <w:rFonts w:ascii="Times New Roman" w:hAnsi="Times New Roman" w:cs="Times New Roman"/>
          <w:bCs/>
          <w:szCs w:val="24"/>
        </w:rPr>
        <w:footnoteReference w:id="142"/>
      </w:r>
    </w:p>
    <w:p w14:paraId="6FC932CB" w14:textId="77777777" w:rsidR="00705BB7" w:rsidRPr="007C7BB9" w:rsidRDefault="00705BB7" w:rsidP="00BA2D09">
      <w:pPr>
        <w:rPr>
          <w:rFonts w:ascii="Times New Roman" w:hAnsi="Times New Roman" w:cs="Times New Roman"/>
          <w:lang w:eastAsia="en-GB"/>
        </w:rPr>
      </w:pPr>
      <w:r w:rsidRPr="007C7BB9">
        <w:rPr>
          <w:rFonts w:ascii="Times New Roman" w:hAnsi="Times New Roman" w:cs="Times New Roman"/>
          <w:lang w:eastAsia="en-GB"/>
        </w:rPr>
        <w:t>The role of senior management was seen as particularly important for shaping the approach of form-fillers, both in terms of providing support and in shaping broader organisational culture:</w:t>
      </w:r>
    </w:p>
    <w:p w14:paraId="6ED7260C" w14:textId="02588653" w:rsidR="004060D8" w:rsidRDefault="00705BB7" w:rsidP="00BA2D09">
      <w:pPr>
        <w:spacing w:line="240" w:lineRule="auto"/>
        <w:ind w:left="567" w:right="521"/>
        <w:rPr>
          <w:rFonts w:ascii="Times New Roman" w:hAnsi="Times New Roman" w:cs="Times New Roman"/>
          <w:szCs w:val="24"/>
        </w:rPr>
      </w:pPr>
      <w:r w:rsidRPr="007C7BB9">
        <w:rPr>
          <w:rFonts w:ascii="Times New Roman" w:hAnsi="Times New Roman" w:cs="Times New Roman"/>
          <w:szCs w:val="24"/>
        </w:rPr>
        <w:t>I</w:t>
      </w:r>
      <w:r w:rsidR="00BA4366">
        <w:rPr>
          <w:rFonts w:ascii="Times New Roman" w:hAnsi="Times New Roman" w:cs="Times New Roman"/>
          <w:szCs w:val="24"/>
        </w:rPr>
        <w:t>’</w:t>
      </w:r>
      <w:r w:rsidRPr="007C7BB9">
        <w:rPr>
          <w:rFonts w:ascii="Times New Roman" w:hAnsi="Times New Roman" w:cs="Times New Roman"/>
          <w:szCs w:val="24"/>
        </w:rPr>
        <w:t>ve seen some good and some terrible EIA documents. I think much depends on the management structure and support offered. An EIA can often be perceived as a box ticking exercise and delivered without any real thought</w:t>
      </w:r>
      <w:r w:rsidR="00265B1B">
        <w:rPr>
          <w:rFonts w:ascii="Times New Roman" w:hAnsi="Times New Roman" w:cs="Times New Roman"/>
          <w:szCs w:val="24"/>
        </w:rPr>
        <w:t>—</w:t>
      </w:r>
      <w:r w:rsidRPr="007C7BB9">
        <w:rPr>
          <w:rFonts w:ascii="Times New Roman" w:hAnsi="Times New Roman" w:cs="Times New Roman"/>
          <w:szCs w:val="24"/>
        </w:rPr>
        <w:t>especially where teams are under resourced and where there is little support from higher levels of management</w:t>
      </w:r>
      <w:r w:rsidR="00DC7CF3">
        <w:rPr>
          <w:rFonts w:ascii="Times New Roman" w:hAnsi="Times New Roman" w:cs="Times New Roman"/>
          <w:szCs w:val="24"/>
        </w:rPr>
        <w:t xml:space="preserve"> …</w:t>
      </w:r>
      <w:r w:rsidRPr="007C7BB9">
        <w:rPr>
          <w:rFonts w:ascii="Times New Roman" w:hAnsi="Times New Roman" w:cs="Times New Roman"/>
          <w:szCs w:val="24"/>
        </w:rPr>
        <w:t xml:space="preserve"> However in an organisation in which senior leadership recognise and value EIAs</w:t>
      </w:r>
      <w:r w:rsidR="00265B1B">
        <w:rPr>
          <w:rFonts w:ascii="Times New Roman" w:hAnsi="Times New Roman" w:cs="Times New Roman"/>
          <w:szCs w:val="24"/>
        </w:rPr>
        <w:t>—</w:t>
      </w:r>
      <w:r w:rsidRPr="007C7BB9">
        <w:rPr>
          <w:rFonts w:ascii="Times New Roman" w:hAnsi="Times New Roman" w:cs="Times New Roman"/>
          <w:szCs w:val="24"/>
        </w:rPr>
        <w:t>and support their delivery it can be a powerful tool for service improvement and delivery.</w:t>
      </w:r>
      <w:r w:rsidRPr="007C7BB9">
        <w:rPr>
          <w:rStyle w:val="FootnoteReference"/>
          <w:rFonts w:ascii="Times New Roman" w:hAnsi="Times New Roman" w:cs="Times New Roman"/>
          <w:szCs w:val="24"/>
        </w:rPr>
        <w:footnoteReference w:id="143"/>
      </w:r>
    </w:p>
    <w:p w14:paraId="18E0CE97" w14:textId="51D330E4" w:rsidR="001252AD" w:rsidRPr="004060D8" w:rsidRDefault="00CC620A" w:rsidP="00BA2D09">
      <w:pPr>
        <w:ind w:right="-46"/>
        <w:rPr>
          <w:i/>
          <w:iCs/>
          <w:lang w:eastAsia="en-GB"/>
        </w:rPr>
      </w:pPr>
      <w:r>
        <w:rPr>
          <w:iCs/>
          <w:lang w:eastAsia="en-GB"/>
        </w:rPr>
        <w:t xml:space="preserve">Concerns about this </w:t>
      </w:r>
      <w:r w:rsidR="00BA4366" w:rsidRPr="008C74DC">
        <w:t>‘</w:t>
      </w:r>
      <w:r w:rsidR="00265B1B" w:rsidRPr="008C74DC">
        <w:t>tick-box</w:t>
      </w:r>
      <w:r w:rsidR="004060D8" w:rsidRPr="008C74DC">
        <w:t xml:space="preserve"> mental</w:t>
      </w:r>
      <w:r w:rsidR="004060D8" w:rsidRPr="004060D8">
        <w:rPr>
          <w:iCs/>
          <w:lang w:eastAsia="en-GB"/>
        </w:rPr>
        <w:t>ity</w:t>
      </w:r>
      <w:r w:rsidR="00BA4366">
        <w:rPr>
          <w:iCs/>
          <w:lang w:eastAsia="en-GB"/>
        </w:rPr>
        <w:t>’</w:t>
      </w:r>
      <w:r w:rsidR="004060D8" w:rsidRPr="004060D8">
        <w:rPr>
          <w:iCs/>
          <w:lang w:eastAsia="en-GB"/>
        </w:rPr>
        <w:t xml:space="preserve"> described by participants </w:t>
      </w:r>
      <w:r w:rsidR="006D7DAF">
        <w:rPr>
          <w:iCs/>
          <w:lang w:eastAsia="en-GB"/>
        </w:rPr>
        <w:t>is an echo of the</w:t>
      </w:r>
      <w:r w:rsidR="004060D8" w:rsidRPr="004060D8">
        <w:rPr>
          <w:iCs/>
          <w:lang w:eastAsia="en-GB"/>
        </w:rPr>
        <w:t xml:space="preserve"> </w:t>
      </w:r>
      <w:r w:rsidR="00BA4366">
        <w:rPr>
          <w:iCs/>
          <w:lang w:eastAsia="en-GB"/>
        </w:rPr>
        <w:t>‘</w:t>
      </w:r>
      <w:r w:rsidR="004060D8" w:rsidRPr="004060D8">
        <w:rPr>
          <w:iCs/>
          <w:lang w:eastAsia="en-GB"/>
        </w:rPr>
        <w:t>defensive protocolisation</w:t>
      </w:r>
      <w:r w:rsidR="00BA4366">
        <w:rPr>
          <w:iCs/>
          <w:lang w:eastAsia="en-GB"/>
        </w:rPr>
        <w:t>’</w:t>
      </w:r>
      <w:r w:rsidR="006D7DAF">
        <w:rPr>
          <w:iCs/>
          <w:lang w:eastAsia="en-GB"/>
        </w:rPr>
        <w:t xml:space="preserve"> argument in the </w:t>
      </w:r>
      <w:r w:rsidR="00C32BD2">
        <w:rPr>
          <w:iCs/>
          <w:lang w:eastAsia="en-GB"/>
        </w:rPr>
        <w:t>blame avoidance</w:t>
      </w:r>
      <w:r w:rsidR="006D7DAF">
        <w:rPr>
          <w:iCs/>
          <w:lang w:eastAsia="en-GB"/>
        </w:rPr>
        <w:t xml:space="preserve"> literature</w:t>
      </w:r>
      <w:r w:rsidR="004060D8" w:rsidRPr="004060D8">
        <w:rPr>
          <w:iCs/>
          <w:lang w:eastAsia="en-GB"/>
        </w:rPr>
        <w:t xml:space="preserve">. </w:t>
      </w:r>
      <w:r w:rsidR="006D7DAF">
        <w:rPr>
          <w:iCs/>
          <w:lang w:eastAsia="en-GB"/>
        </w:rPr>
        <w:t xml:space="preserve">Participants were concerned about </w:t>
      </w:r>
      <w:r w:rsidR="00BA4366">
        <w:rPr>
          <w:iCs/>
          <w:lang w:eastAsia="en-GB"/>
        </w:rPr>
        <w:t>‘</w:t>
      </w:r>
      <w:r w:rsidR="004060D8" w:rsidRPr="004060D8">
        <w:rPr>
          <w:iCs/>
          <w:lang w:eastAsia="en-GB"/>
        </w:rPr>
        <w:t>reverse engineering</w:t>
      </w:r>
      <w:r w:rsidR="00BA4366">
        <w:rPr>
          <w:iCs/>
          <w:lang w:eastAsia="en-GB"/>
        </w:rPr>
        <w:t>’</w:t>
      </w:r>
      <w:r w:rsidR="004060D8" w:rsidRPr="004060D8">
        <w:rPr>
          <w:iCs/>
          <w:lang w:eastAsia="en-GB"/>
        </w:rPr>
        <w:t xml:space="preserve"> assessments after decisions </w:t>
      </w:r>
      <w:r w:rsidR="00DD6496">
        <w:rPr>
          <w:iCs/>
          <w:lang w:eastAsia="en-GB"/>
        </w:rPr>
        <w:t>have</w:t>
      </w:r>
      <w:r w:rsidR="00DD6496" w:rsidRPr="004060D8">
        <w:rPr>
          <w:iCs/>
          <w:lang w:eastAsia="en-GB"/>
        </w:rPr>
        <w:t xml:space="preserve"> </w:t>
      </w:r>
      <w:r w:rsidR="004060D8" w:rsidRPr="004060D8">
        <w:rPr>
          <w:iCs/>
          <w:lang w:eastAsia="en-GB"/>
        </w:rPr>
        <w:t xml:space="preserve">effectively </w:t>
      </w:r>
      <w:r w:rsidR="00DD6496">
        <w:rPr>
          <w:iCs/>
          <w:lang w:eastAsia="en-GB"/>
        </w:rPr>
        <w:t xml:space="preserve">already been </w:t>
      </w:r>
      <w:r w:rsidR="004060D8" w:rsidRPr="004060D8">
        <w:rPr>
          <w:iCs/>
          <w:lang w:eastAsia="en-GB"/>
        </w:rPr>
        <w:t>made</w:t>
      </w:r>
      <w:r w:rsidR="008C74DC">
        <w:rPr>
          <w:iCs/>
          <w:lang w:eastAsia="en-GB"/>
        </w:rPr>
        <w:t>;</w:t>
      </w:r>
      <w:r w:rsidR="004060D8" w:rsidRPr="004060D8">
        <w:rPr>
          <w:iCs/>
          <w:lang w:eastAsia="en-GB"/>
        </w:rPr>
        <w:t xml:space="preserve"> </w:t>
      </w:r>
      <w:r w:rsidR="00BA4366">
        <w:rPr>
          <w:iCs/>
          <w:lang w:eastAsia="en-GB"/>
        </w:rPr>
        <w:t>‘</w:t>
      </w:r>
      <w:r w:rsidR="004060D8" w:rsidRPr="004060D8">
        <w:rPr>
          <w:iCs/>
          <w:lang w:eastAsia="en-GB"/>
        </w:rPr>
        <w:t>copy-and-paste</w:t>
      </w:r>
      <w:r w:rsidR="00BA4366">
        <w:rPr>
          <w:iCs/>
          <w:lang w:eastAsia="en-GB"/>
        </w:rPr>
        <w:t>’</w:t>
      </w:r>
      <w:r w:rsidR="004060D8" w:rsidRPr="004060D8">
        <w:rPr>
          <w:iCs/>
          <w:lang w:eastAsia="en-GB"/>
        </w:rPr>
        <w:t xml:space="preserve"> approaches that recycle content across different policies</w:t>
      </w:r>
      <w:r w:rsidR="008C74DC">
        <w:rPr>
          <w:iCs/>
          <w:lang w:eastAsia="en-GB"/>
        </w:rPr>
        <w:t>;</w:t>
      </w:r>
      <w:r w:rsidR="004060D8" w:rsidRPr="004060D8">
        <w:rPr>
          <w:iCs/>
          <w:lang w:eastAsia="en-GB"/>
        </w:rPr>
        <w:t xml:space="preserve"> and constraints imposed by the physical format of assessment documents themselves. While participants widely critici</w:t>
      </w:r>
      <w:r w:rsidR="004060D8">
        <w:rPr>
          <w:iCs/>
          <w:lang w:eastAsia="en-GB"/>
        </w:rPr>
        <w:t>s</w:t>
      </w:r>
      <w:r w:rsidR="004060D8" w:rsidRPr="004060D8">
        <w:rPr>
          <w:iCs/>
          <w:lang w:eastAsia="en-GB"/>
        </w:rPr>
        <w:t>ed these tendencies, they also recogni</w:t>
      </w:r>
      <w:r w:rsidR="00347C70">
        <w:rPr>
          <w:iCs/>
          <w:lang w:eastAsia="en-GB"/>
        </w:rPr>
        <w:t>s</w:t>
      </w:r>
      <w:r w:rsidR="004060D8" w:rsidRPr="004060D8">
        <w:rPr>
          <w:iCs/>
          <w:lang w:eastAsia="en-GB"/>
        </w:rPr>
        <w:t xml:space="preserve">ed that the effectiveness of </w:t>
      </w:r>
      <w:r w:rsidR="009C7738">
        <w:rPr>
          <w:iCs/>
          <w:lang w:eastAsia="en-GB"/>
        </w:rPr>
        <w:t>EIAs</w:t>
      </w:r>
      <w:r w:rsidR="004060D8" w:rsidRPr="004060D8">
        <w:rPr>
          <w:iCs/>
          <w:lang w:eastAsia="en-GB"/>
        </w:rPr>
        <w:t xml:space="preserve"> ultimately </w:t>
      </w:r>
      <w:r w:rsidR="00A56832">
        <w:rPr>
          <w:iCs/>
          <w:lang w:eastAsia="en-GB"/>
        </w:rPr>
        <w:t xml:space="preserve">will </w:t>
      </w:r>
      <w:r w:rsidR="004060D8" w:rsidRPr="004060D8">
        <w:rPr>
          <w:iCs/>
          <w:lang w:eastAsia="en-GB"/>
        </w:rPr>
        <w:t>depend less on the forms themselves than on organi</w:t>
      </w:r>
      <w:r w:rsidR="0028176F">
        <w:rPr>
          <w:iCs/>
          <w:lang w:eastAsia="en-GB"/>
        </w:rPr>
        <w:t>s</w:t>
      </w:r>
      <w:r w:rsidR="004060D8" w:rsidRPr="004060D8">
        <w:rPr>
          <w:iCs/>
          <w:lang w:eastAsia="en-GB"/>
        </w:rPr>
        <w:t>ational culture, senior leadership commitment and the mindset of those completing them</w:t>
      </w:r>
      <w:r w:rsidR="0035151D">
        <w:rPr>
          <w:iCs/>
          <w:lang w:eastAsia="en-GB"/>
        </w:rPr>
        <w:t>.</w:t>
      </w:r>
    </w:p>
    <w:p w14:paraId="6A14441D" w14:textId="420B3E9A" w:rsidR="00705BB7" w:rsidRPr="007C7BB9" w:rsidRDefault="00B41571" w:rsidP="00BA2D09">
      <w:pPr>
        <w:pStyle w:val="Heading2"/>
        <w:rPr>
          <w:lang w:eastAsia="en-GB"/>
        </w:rPr>
      </w:pPr>
      <w:r>
        <w:rPr>
          <w:lang w:eastAsia="en-GB"/>
        </w:rPr>
        <w:lastRenderedPageBreak/>
        <w:t xml:space="preserve">Concerns over </w:t>
      </w:r>
      <w:r w:rsidR="00DC7CF3">
        <w:rPr>
          <w:lang w:eastAsia="en-GB"/>
        </w:rPr>
        <w:t>E</w:t>
      </w:r>
      <w:r w:rsidR="00DC7CF3" w:rsidRPr="007C7BB9">
        <w:rPr>
          <w:lang w:eastAsia="en-GB"/>
        </w:rPr>
        <w:t xml:space="preserve">nforcement </w:t>
      </w:r>
      <w:r w:rsidR="00705BB7" w:rsidRPr="007C7BB9">
        <w:rPr>
          <w:lang w:eastAsia="en-GB"/>
        </w:rPr>
        <w:t xml:space="preserve">and </w:t>
      </w:r>
      <w:r w:rsidR="00DC7CF3" w:rsidRPr="007C7BB9">
        <w:rPr>
          <w:lang w:eastAsia="en-GB"/>
        </w:rPr>
        <w:t>Accountability</w:t>
      </w:r>
    </w:p>
    <w:p w14:paraId="1ED5019A" w14:textId="5BED9337"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The </w:t>
      </w:r>
      <w:r w:rsidR="007453B0">
        <w:rPr>
          <w:rFonts w:ascii="Times New Roman" w:hAnsi="Times New Roman" w:cs="Times New Roman"/>
          <w:lang w:eastAsia="en-GB"/>
        </w:rPr>
        <w:t>final</w:t>
      </w:r>
      <w:r w:rsidR="007453B0" w:rsidRPr="00866F8B">
        <w:rPr>
          <w:rFonts w:ascii="Times New Roman" w:hAnsi="Times New Roman" w:cs="Times New Roman"/>
          <w:lang w:eastAsia="en-GB"/>
        </w:rPr>
        <w:t xml:space="preserve"> </w:t>
      </w:r>
      <w:r w:rsidRPr="00866F8B">
        <w:rPr>
          <w:rFonts w:ascii="Times New Roman" w:hAnsi="Times New Roman" w:cs="Times New Roman"/>
          <w:lang w:eastAsia="en-GB"/>
        </w:rPr>
        <w:t>key theme that emerged from responses speaks</w:t>
      </w:r>
      <w:r w:rsidR="00B05BE0">
        <w:rPr>
          <w:rFonts w:ascii="Times New Roman" w:hAnsi="Times New Roman" w:cs="Times New Roman"/>
          <w:lang w:eastAsia="en-GB"/>
        </w:rPr>
        <w:t xml:space="preserve"> directly</w:t>
      </w:r>
      <w:r w:rsidRPr="00866F8B">
        <w:rPr>
          <w:rFonts w:ascii="Times New Roman" w:hAnsi="Times New Roman" w:cs="Times New Roman"/>
          <w:lang w:eastAsia="en-GB"/>
        </w:rPr>
        <w:t xml:space="preserve"> to </w:t>
      </w:r>
      <w:r w:rsidR="00107476">
        <w:rPr>
          <w:rFonts w:ascii="Times New Roman" w:hAnsi="Times New Roman" w:cs="Times New Roman"/>
          <w:lang w:eastAsia="en-GB"/>
        </w:rPr>
        <w:t>long-standing</w:t>
      </w:r>
      <w:r w:rsidRPr="00866F8B">
        <w:rPr>
          <w:rFonts w:ascii="Times New Roman" w:hAnsi="Times New Roman" w:cs="Times New Roman"/>
          <w:lang w:eastAsia="en-GB"/>
        </w:rPr>
        <w:t xml:space="preserve"> debates about the enforceability of equality duties. Fredman and Spencer have </w:t>
      </w:r>
      <w:r>
        <w:rPr>
          <w:rFonts w:ascii="Times New Roman" w:hAnsi="Times New Roman" w:cs="Times New Roman"/>
          <w:lang w:eastAsia="en-GB"/>
        </w:rPr>
        <w:t xml:space="preserve">long </w:t>
      </w:r>
      <w:r w:rsidRPr="00866F8B">
        <w:rPr>
          <w:rFonts w:ascii="Times New Roman" w:hAnsi="Times New Roman" w:cs="Times New Roman"/>
          <w:lang w:eastAsia="en-GB"/>
        </w:rPr>
        <w:t xml:space="preserve">argued that </w:t>
      </w:r>
      <w:r w:rsidR="00BA4366">
        <w:rPr>
          <w:rFonts w:ascii="Times New Roman" w:hAnsi="Times New Roman" w:cs="Times New Roman"/>
          <w:lang w:eastAsia="en-GB"/>
        </w:rPr>
        <w:t>‘</w:t>
      </w:r>
      <w:r w:rsidRPr="00866F8B">
        <w:rPr>
          <w:rFonts w:ascii="Times New Roman" w:hAnsi="Times New Roman" w:cs="Times New Roman"/>
          <w:lang w:eastAsia="en-GB"/>
        </w:rPr>
        <w:t>due regard</w:t>
      </w:r>
      <w:r w:rsidR="00BA4366">
        <w:rPr>
          <w:rFonts w:ascii="Times New Roman" w:hAnsi="Times New Roman" w:cs="Times New Roman"/>
          <w:lang w:eastAsia="en-GB"/>
        </w:rPr>
        <w:t>’</w:t>
      </w:r>
      <w:r w:rsidRPr="00866F8B">
        <w:rPr>
          <w:rFonts w:ascii="Times New Roman" w:hAnsi="Times New Roman" w:cs="Times New Roman"/>
          <w:lang w:eastAsia="en-GB"/>
        </w:rPr>
        <w:t xml:space="preserve"> formulations can end up </w:t>
      </w:r>
      <w:r w:rsidR="00BA4366">
        <w:rPr>
          <w:rFonts w:ascii="Times New Roman" w:hAnsi="Times New Roman" w:cs="Times New Roman"/>
          <w:lang w:eastAsia="en-GB"/>
        </w:rPr>
        <w:t>‘</w:t>
      </w:r>
      <w:r w:rsidRPr="00866F8B">
        <w:rPr>
          <w:rFonts w:ascii="Times New Roman" w:hAnsi="Times New Roman" w:cs="Times New Roman"/>
          <w:lang w:eastAsia="en-GB"/>
        </w:rPr>
        <w:t>merely requiring a body to consider the need to promote equality, not to take any action</w:t>
      </w:r>
      <w:r w:rsidR="00BA4366">
        <w:rPr>
          <w:rFonts w:ascii="Times New Roman" w:hAnsi="Times New Roman" w:cs="Times New Roman"/>
          <w:lang w:eastAsia="en-GB"/>
        </w:rPr>
        <w:t>’</w:t>
      </w:r>
      <w:r w:rsidRPr="00866F8B">
        <w:rPr>
          <w:rFonts w:ascii="Times New Roman" w:hAnsi="Times New Roman" w:cs="Times New Roman"/>
          <w:lang w:eastAsia="en-GB"/>
        </w:rPr>
        <w:t xml:space="preserve">, warning that authorities can discharge their duty if they pay </w:t>
      </w:r>
      <w:r w:rsidR="00BA4366">
        <w:rPr>
          <w:rFonts w:ascii="Times New Roman" w:hAnsi="Times New Roman" w:cs="Times New Roman"/>
          <w:lang w:eastAsia="en-GB"/>
        </w:rPr>
        <w:t>‘</w:t>
      </w:r>
      <w:r w:rsidRPr="00866F8B">
        <w:rPr>
          <w:rFonts w:ascii="Times New Roman" w:hAnsi="Times New Roman" w:cs="Times New Roman"/>
          <w:lang w:eastAsia="en-GB"/>
        </w:rPr>
        <w:t>due regard</w:t>
      </w:r>
      <w:r w:rsidR="00BA4366">
        <w:rPr>
          <w:rFonts w:ascii="Times New Roman" w:hAnsi="Times New Roman" w:cs="Times New Roman"/>
          <w:lang w:eastAsia="en-GB"/>
        </w:rPr>
        <w:t>’</w:t>
      </w:r>
      <w:r w:rsidRPr="00866F8B">
        <w:rPr>
          <w:rFonts w:ascii="Times New Roman" w:hAnsi="Times New Roman" w:cs="Times New Roman"/>
          <w:lang w:eastAsia="en-GB"/>
        </w:rPr>
        <w:t xml:space="preserve"> but decide to do nothing, as </w:t>
      </w:r>
      <w:r w:rsidR="00BA4366">
        <w:rPr>
          <w:rFonts w:ascii="Times New Roman" w:hAnsi="Times New Roman" w:cs="Times New Roman"/>
          <w:lang w:eastAsia="en-GB"/>
        </w:rPr>
        <w:t>‘</w:t>
      </w:r>
      <w:r w:rsidRPr="00866F8B">
        <w:rPr>
          <w:rFonts w:ascii="Times New Roman" w:hAnsi="Times New Roman" w:cs="Times New Roman"/>
          <w:lang w:eastAsia="en-GB"/>
        </w:rPr>
        <w:t>the law specifies no end result</w:t>
      </w:r>
      <w:r w:rsidR="00BA4366">
        <w:rPr>
          <w:rFonts w:ascii="Times New Roman" w:hAnsi="Times New Roman" w:cs="Times New Roman"/>
          <w:lang w:eastAsia="en-GB"/>
        </w:rPr>
        <w:t>’</w:t>
      </w:r>
      <w:r w:rsidRPr="00866F8B">
        <w:rPr>
          <w:rFonts w:ascii="Times New Roman" w:hAnsi="Times New Roman" w:cs="Times New Roman"/>
          <w:lang w:eastAsia="en-GB"/>
        </w:rPr>
        <w:t>.</w:t>
      </w:r>
      <w:r>
        <w:rPr>
          <w:rStyle w:val="FootnoteReference"/>
          <w:rFonts w:ascii="Times New Roman" w:hAnsi="Times New Roman" w:cs="Times New Roman"/>
          <w:lang w:eastAsia="en-GB"/>
        </w:rPr>
        <w:footnoteReference w:id="144"/>
      </w:r>
      <w:r w:rsidRPr="00866F8B">
        <w:rPr>
          <w:rFonts w:ascii="Times New Roman" w:hAnsi="Times New Roman" w:cs="Times New Roman"/>
          <w:lang w:eastAsia="en-GB"/>
        </w:rPr>
        <w:t xml:space="preserve"> </w:t>
      </w:r>
      <w:r w:rsidR="00A31F37">
        <w:rPr>
          <w:rFonts w:ascii="Times New Roman" w:hAnsi="Times New Roman" w:cs="Times New Roman"/>
          <w:lang w:eastAsia="en-GB"/>
        </w:rPr>
        <w:t>The</w:t>
      </w:r>
      <w:r w:rsidRPr="00866F8B">
        <w:rPr>
          <w:rFonts w:ascii="Times New Roman" w:hAnsi="Times New Roman" w:cs="Times New Roman"/>
          <w:lang w:eastAsia="en-GB"/>
        </w:rPr>
        <w:t xml:space="preserve"> participants</w:t>
      </w:r>
      <w:r w:rsidR="00BA4366">
        <w:rPr>
          <w:rFonts w:ascii="Times New Roman" w:hAnsi="Times New Roman" w:cs="Times New Roman"/>
          <w:lang w:eastAsia="en-GB"/>
        </w:rPr>
        <w:t>’</w:t>
      </w:r>
      <w:r w:rsidRPr="00866F8B">
        <w:rPr>
          <w:rFonts w:ascii="Times New Roman" w:hAnsi="Times New Roman" w:cs="Times New Roman"/>
          <w:lang w:eastAsia="en-GB"/>
        </w:rPr>
        <w:t xml:space="preserve"> calls for effective enforcement and accountability mechanisms </w:t>
      </w:r>
      <w:r>
        <w:rPr>
          <w:rFonts w:ascii="Times New Roman" w:hAnsi="Times New Roman" w:cs="Times New Roman"/>
          <w:lang w:eastAsia="en-GB"/>
        </w:rPr>
        <w:t>echo their 2006 wish</w:t>
      </w:r>
      <w:r w:rsidR="008C74DC">
        <w:rPr>
          <w:rFonts w:ascii="Times New Roman" w:hAnsi="Times New Roman" w:cs="Times New Roman"/>
          <w:lang w:eastAsia="en-GB"/>
        </w:rPr>
        <w:t xml:space="preserve"> </w:t>
      </w:r>
      <w:r>
        <w:rPr>
          <w:rFonts w:ascii="Times New Roman" w:hAnsi="Times New Roman" w:cs="Times New Roman"/>
          <w:lang w:eastAsia="en-GB"/>
        </w:rPr>
        <w:t xml:space="preserve">list submitted to the UK </w:t>
      </w:r>
      <w:r w:rsidR="008C74DC">
        <w:rPr>
          <w:rFonts w:ascii="Times New Roman" w:hAnsi="Times New Roman" w:cs="Times New Roman"/>
          <w:lang w:eastAsia="en-GB"/>
        </w:rPr>
        <w:t xml:space="preserve">government’s </w:t>
      </w:r>
      <w:r>
        <w:rPr>
          <w:rFonts w:ascii="Times New Roman" w:hAnsi="Times New Roman" w:cs="Times New Roman"/>
          <w:lang w:eastAsia="en-GB"/>
        </w:rPr>
        <w:t>Discrimination Law Review</w:t>
      </w:r>
      <w:r w:rsidR="008C74DC">
        <w:rPr>
          <w:rFonts w:ascii="Times New Roman" w:hAnsi="Times New Roman" w:cs="Times New Roman"/>
          <w:lang w:eastAsia="en-GB"/>
        </w:rPr>
        <w:t>,</w:t>
      </w:r>
      <w:r>
        <w:rPr>
          <w:rFonts w:ascii="Times New Roman" w:hAnsi="Times New Roman" w:cs="Times New Roman"/>
          <w:lang w:eastAsia="en-GB"/>
        </w:rPr>
        <w:t xml:space="preserve"> which underscores (among other things) the importance of an </w:t>
      </w:r>
      <w:r w:rsidR="00BA4366">
        <w:rPr>
          <w:rFonts w:ascii="Times New Roman" w:hAnsi="Times New Roman" w:cs="Times New Roman"/>
          <w:lang w:eastAsia="en-GB"/>
        </w:rPr>
        <w:t>‘</w:t>
      </w:r>
      <w:r>
        <w:rPr>
          <w:rFonts w:ascii="Times New Roman" w:hAnsi="Times New Roman" w:cs="Times New Roman"/>
          <w:lang w:eastAsia="en-GB"/>
        </w:rPr>
        <w:t>action-based</w:t>
      </w:r>
      <w:r w:rsidR="00BA4366">
        <w:rPr>
          <w:rFonts w:ascii="Times New Roman" w:hAnsi="Times New Roman" w:cs="Times New Roman"/>
          <w:lang w:eastAsia="en-GB"/>
        </w:rPr>
        <w:t>’</w:t>
      </w:r>
      <w:r>
        <w:rPr>
          <w:rFonts w:ascii="Times New Roman" w:hAnsi="Times New Roman" w:cs="Times New Roman"/>
          <w:lang w:eastAsia="en-GB"/>
        </w:rPr>
        <w:t xml:space="preserve">, </w:t>
      </w:r>
      <w:r w:rsidR="00BA4366">
        <w:rPr>
          <w:rFonts w:ascii="Times New Roman" w:hAnsi="Times New Roman" w:cs="Times New Roman"/>
          <w:lang w:eastAsia="en-GB"/>
        </w:rPr>
        <w:t>‘</w:t>
      </w:r>
      <w:r>
        <w:rPr>
          <w:rFonts w:ascii="Times New Roman" w:hAnsi="Times New Roman" w:cs="Times New Roman"/>
          <w:lang w:eastAsia="en-GB"/>
        </w:rPr>
        <w:t>goal-oriented</w:t>
      </w:r>
      <w:r w:rsidR="00BA4366">
        <w:rPr>
          <w:rFonts w:ascii="Times New Roman" w:hAnsi="Times New Roman" w:cs="Times New Roman"/>
          <w:lang w:eastAsia="en-GB"/>
        </w:rPr>
        <w:t>’</w:t>
      </w:r>
      <w:r>
        <w:rPr>
          <w:rFonts w:ascii="Times New Roman" w:hAnsi="Times New Roman" w:cs="Times New Roman"/>
          <w:lang w:eastAsia="en-GB"/>
        </w:rPr>
        <w:t xml:space="preserve"> and </w:t>
      </w:r>
      <w:r w:rsidR="00BA4366">
        <w:rPr>
          <w:rFonts w:ascii="Times New Roman" w:hAnsi="Times New Roman" w:cs="Times New Roman"/>
          <w:lang w:eastAsia="en-GB"/>
        </w:rPr>
        <w:t>‘</w:t>
      </w:r>
      <w:r>
        <w:rPr>
          <w:rFonts w:ascii="Times New Roman" w:hAnsi="Times New Roman" w:cs="Times New Roman"/>
          <w:lang w:eastAsia="en-GB"/>
        </w:rPr>
        <w:t>progressive</w:t>
      </w:r>
      <w:r w:rsidR="00BA4366">
        <w:rPr>
          <w:rFonts w:ascii="Times New Roman" w:hAnsi="Times New Roman" w:cs="Times New Roman"/>
          <w:lang w:eastAsia="en-GB"/>
        </w:rPr>
        <w:t>’</w:t>
      </w:r>
      <w:r>
        <w:rPr>
          <w:rFonts w:ascii="Times New Roman" w:hAnsi="Times New Roman" w:cs="Times New Roman"/>
          <w:lang w:eastAsia="en-GB"/>
        </w:rPr>
        <w:t xml:space="preserve"> approach.</w:t>
      </w:r>
      <w:r>
        <w:rPr>
          <w:rStyle w:val="FootnoteReference"/>
          <w:rFonts w:ascii="Times New Roman" w:hAnsi="Times New Roman" w:cs="Times New Roman"/>
          <w:lang w:eastAsia="en-GB"/>
        </w:rPr>
        <w:footnoteReference w:id="145"/>
      </w:r>
      <w:r>
        <w:rPr>
          <w:rFonts w:ascii="Times New Roman" w:hAnsi="Times New Roman" w:cs="Times New Roman"/>
          <w:lang w:eastAsia="en-GB"/>
        </w:rPr>
        <w:t xml:space="preserve"> </w:t>
      </w:r>
      <w:r w:rsidRPr="007C7BB9">
        <w:rPr>
          <w:rFonts w:ascii="Times New Roman" w:hAnsi="Times New Roman" w:cs="Times New Roman"/>
          <w:lang w:eastAsia="en-GB"/>
        </w:rPr>
        <w:t>This may initially appear to be at odds with the concerns abo</w:t>
      </w:r>
      <w:r w:rsidRPr="00BA2D09">
        <w:t xml:space="preserve">ut resources and a </w:t>
      </w:r>
      <w:r w:rsidR="008C74DC" w:rsidRPr="00BA2D09">
        <w:t>‘tick</w:t>
      </w:r>
      <w:r w:rsidR="008C74DC">
        <w:t>-box mentality’</w:t>
      </w:r>
      <w:r w:rsidRPr="00BA2D09">
        <w:t xml:space="preserve"> outlined above, but calls for effective enforcement of</w:t>
      </w:r>
      <w:r w:rsidRPr="007C7BB9">
        <w:rPr>
          <w:rFonts w:ascii="Times New Roman" w:hAnsi="Times New Roman" w:cs="Times New Roman"/>
          <w:lang w:eastAsia="en-GB"/>
        </w:rPr>
        <w:t xml:space="preserve">ten sat alongside participants </w:t>
      </w:r>
      <w:r w:rsidR="0021291E">
        <w:rPr>
          <w:rFonts w:ascii="Times New Roman" w:hAnsi="Times New Roman" w:cs="Times New Roman"/>
          <w:lang w:eastAsia="en-GB"/>
        </w:rPr>
        <w:t>speaking to these other two themes.</w:t>
      </w:r>
    </w:p>
    <w:p w14:paraId="6CAB23F8" w14:textId="5AB4CC77"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The data reveal widespread anxiety that without proper enforcemen</w:t>
      </w:r>
      <w:r w:rsidRPr="00BA2D09">
        <w:t xml:space="preserve">t, the </w:t>
      </w:r>
      <w:r w:rsidR="000A3BAD" w:rsidRPr="008C74DC">
        <w:t>socio-economic duty</w:t>
      </w:r>
      <w:r w:rsidRPr="008C74DC">
        <w:t xml:space="preserve"> </w:t>
      </w:r>
      <w:r w:rsidRPr="00BA2D09">
        <w:t xml:space="preserve">risks becoming </w:t>
      </w:r>
      <w:r w:rsidR="00BA4366" w:rsidRPr="008C74DC">
        <w:t>‘</w:t>
      </w:r>
      <w:r w:rsidRPr="008C74DC">
        <w:t>another</w:t>
      </w:r>
      <w:r w:rsidRPr="00BA2D09">
        <w:t xml:space="preserve"> symbolic policy with little</w:t>
      </w:r>
      <w:r w:rsidRPr="00866F8B">
        <w:rPr>
          <w:rFonts w:ascii="Times New Roman" w:hAnsi="Times New Roman" w:cs="Times New Roman"/>
          <w:lang w:eastAsia="en-GB"/>
        </w:rPr>
        <w:t xml:space="preserve"> real impact</w:t>
      </w:r>
      <w:r w:rsidR="00BA4366">
        <w:rPr>
          <w:rFonts w:ascii="Times New Roman" w:hAnsi="Times New Roman" w:cs="Times New Roman"/>
          <w:lang w:eastAsia="en-GB"/>
        </w:rPr>
        <w:t>’</w:t>
      </w:r>
      <w:r w:rsidRPr="00866F8B">
        <w:rPr>
          <w:rFonts w:ascii="Times New Roman" w:hAnsi="Times New Roman" w:cs="Times New Roman"/>
          <w:lang w:eastAsia="en-GB"/>
        </w:rPr>
        <w:t>.</w:t>
      </w:r>
      <w:r w:rsidRPr="007C7BB9">
        <w:rPr>
          <w:rStyle w:val="FootnoteReference"/>
          <w:rFonts w:ascii="Times New Roman" w:hAnsi="Times New Roman" w:cs="Times New Roman"/>
          <w:bCs/>
          <w:szCs w:val="24"/>
        </w:rPr>
        <w:footnoteReference w:id="146"/>
      </w:r>
      <w:r w:rsidRPr="00866F8B">
        <w:rPr>
          <w:rFonts w:ascii="Times New Roman" w:hAnsi="Times New Roman" w:cs="Times New Roman"/>
          <w:lang w:eastAsia="en-GB"/>
        </w:rPr>
        <w:t xml:space="preserve"> This aligns with Fredman and Spencer</w:t>
      </w:r>
      <w:r w:rsidR="00BA4366">
        <w:rPr>
          <w:rFonts w:ascii="Times New Roman" w:hAnsi="Times New Roman" w:cs="Times New Roman"/>
          <w:lang w:eastAsia="en-GB"/>
        </w:rPr>
        <w:t>’</w:t>
      </w:r>
      <w:r w:rsidRPr="00866F8B">
        <w:rPr>
          <w:rFonts w:ascii="Times New Roman" w:hAnsi="Times New Roman" w:cs="Times New Roman"/>
          <w:lang w:eastAsia="en-GB"/>
        </w:rPr>
        <w:t xml:space="preserve">s argument for an action-based duty that requires public bodies to act, not merely to have </w:t>
      </w:r>
      <w:r w:rsidR="00BA4366">
        <w:rPr>
          <w:rFonts w:ascii="Times New Roman" w:hAnsi="Times New Roman" w:cs="Times New Roman"/>
          <w:lang w:eastAsia="en-GB"/>
        </w:rPr>
        <w:t>‘</w:t>
      </w:r>
      <w:r w:rsidRPr="00866F8B">
        <w:rPr>
          <w:rFonts w:ascii="Times New Roman" w:hAnsi="Times New Roman" w:cs="Times New Roman"/>
          <w:lang w:eastAsia="en-GB"/>
        </w:rPr>
        <w:t>due regard</w:t>
      </w:r>
      <w:r w:rsidR="00BA4366">
        <w:rPr>
          <w:rFonts w:ascii="Times New Roman" w:hAnsi="Times New Roman" w:cs="Times New Roman"/>
          <w:lang w:eastAsia="en-GB"/>
        </w:rPr>
        <w:t>’</w:t>
      </w:r>
      <w:r w:rsidRPr="00866F8B">
        <w:rPr>
          <w:rFonts w:ascii="Times New Roman" w:hAnsi="Times New Roman" w:cs="Times New Roman"/>
          <w:lang w:eastAsia="en-GB"/>
        </w:rPr>
        <w:t xml:space="preserve"> to the need to do so. As Participant 24 explains:</w:t>
      </w:r>
    </w:p>
    <w:p w14:paraId="7C8FD5AE" w14:textId="77777777"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I support the socio-economic duty as it acknowledges the role of economic inequality alongside other factors like gender and ethnicity. However, for it to be effective, it needs more than just documentation. There must be clear accountability, proper funding, and real enforcement—otherwise, it risks becoming another symbolic policy with little real impact.</w:t>
      </w:r>
      <w:r w:rsidRPr="007C7BB9">
        <w:rPr>
          <w:rStyle w:val="FootnoteReference"/>
          <w:rFonts w:ascii="Times New Roman" w:hAnsi="Times New Roman" w:cs="Times New Roman"/>
          <w:bCs/>
          <w:szCs w:val="24"/>
        </w:rPr>
        <w:footnoteReference w:id="147"/>
      </w:r>
    </w:p>
    <w:p w14:paraId="35056654" w14:textId="00D16D34"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Without such mechanisms, this participant notes, policies feel like a </w:t>
      </w:r>
      <w:r w:rsidR="00BA4366">
        <w:rPr>
          <w:rFonts w:ascii="Times New Roman" w:hAnsi="Times New Roman" w:cs="Times New Roman"/>
          <w:lang w:eastAsia="en-GB"/>
        </w:rPr>
        <w:t>‘</w:t>
      </w:r>
      <w:r w:rsidRPr="00866F8B">
        <w:rPr>
          <w:rFonts w:ascii="Times New Roman" w:hAnsi="Times New Roman" w:cs="Times New Roman"/>
          <w:lang w:eastAsia="en-GB"/>
        </w:rPr>
        <w:t>mere formality</w:t>
      </w:r>
      <w:r w:rsidR="00BA4366">
        <w:rPr>
          <w:rFonts w:ascii="Times New Roman" w:hAnsi="Times New Roman" w:cs="Times New Roman"/>
          <w:lang w:eastAsia="en-GB"/>
        </w:rPr>
        <w:t>’</w:t>
      </w:r>
      <w:r w:rsidRPr="00866F8B">
        <w:rPr>
          <w:rFonts w:ascii="Times New Roman" w:hAnsi="Times New Roman" w:cs="Times New Roman"/>
          <w:lang w:eastAsia="en-GB"/>
        </w:rPr>
        <w:t xml:space="preserve"> rather than a </w:t>
      </w:r>
      <w:r w:rsidR="00BA4366">
        <w:rPr>
          <w:rFonts w:ascii="Times New Roman" w:hAnsi="Times New Roman" w:cs="Times New Roman"/>
          <w:lang w:eastAsia="en-GB"/>
        </w:rPr>
        <w:t>‘</w:t>
      </w:r>
      <w:r w:rsidRPr="00866F8B">
        <w:rPr>
          <w:rFonts w:ascii="Times New Roman" w:hAnsi="Times New Roman" w:cs="Times New Roman"/>
          <w:lang w:eastAsia="en-GB"/>
        </w:rPr>
        <w:t>tool for change</w:t>
      </w:r>
      <w:r w:rsidR="00BA4366">
        <w:rPr>
          <w:rFonts w:ascii="Times New Roman" w:hAnsi="Times New Roman" w:cs="Times New Roman"/>
          <w:lang w:eastAsia="en-GB"/>
        </w:rPr>
        <w:t>’</w:t>
      </w:r>
      <w:r w:rsidRPr="00866F8B">
        <w:rPr>
          <w:rFonts w:ascii="Times New Roman" w:hAnsi="Times New Roman" w:cs="Times New Roman"/>
          <w:lang w:eastAsia="en-GB"/>
        </w:rPr>
        <w:t>:</w:t>
      </w:r>
    </w:p>
    <w:p w14:paraId="2B337092" w14:textId="7D5725E6"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Policies are not always enforced which makes their enforcement seem like a mere formality rather than something important. Improving these issues requires increased funding, real representation, and more accountability for actual results</w:t>
      </w:r>
      <w:r w:rsidR="008C74DC">
        <w:rPr>
          <w:rFonts w:ascii="Times New Roman" w:hAnsi="Times New Roman" w:cs="Times New Roman"/>
          <w:lang w:eastAsia="en-GB"/>
        </w:rPr>
        <w:t xml:space="preserve"> </w:t>
      </w:r>
      <w:r w:rsidRPr="00866F8B">
        <w:rPr>
          <w:rFonts w:ascii="Times New Roman" w:hAnsi="Times New Roman" w:cs="Times New Roman"/>
          <w:lang w:eastAsia="en-GB"/>
        </w:rPr>
        <w:t>… In my experience, Equality Impact Assessments often feel like a formality rather than a real tool for change</w:t>
      </w:r>
      <w:r w:rsidR="008C74DC">
        <w:rPr>
          <w:rFonts w:ascii="Times New Roman" w:hAnsi="Times New Roman" w:cs="Times New Roman"/>
          <w:lang w:eastAsia="en-GB"/>
        </w:rPr>
        <w:t xml:space="preserve"> </w:t>
      </w:r>
      <w:r w:rsidRPr="00866F8B">
        <w:rPr>
          <w:rFonts w:ascii="Times New Roman" w:hAnsi="Times New Roman" w:cs="Times New Roman"/>
          <w:lang w:eastAsia="en-GB"/>
        </w:rPr>
        <w:t>… There</w:t>
      </w:r>
      <w:r w:rsidR="00BA4366">
        <w:rPr>
          <w:rFonts w:ascii="Times New Roman" w:hAnsi="Times New Roman" w:cs="Times New Roman"/>
          <w:lang w:eastAsia="en-GB"/>
        </w:rPr>
        <w:t>’</w:t>
      </w:r>
      <w:r w:rsidRPr="00866F8B">
        <w:rPr>
          <w:rFonts w:ascii="Times New Roman" w:hAnsi="Times New Roman" w:cs="Times New Roman"/>
          <w:lang w:eastAsia="en-GB"/>
        </w:rPr>
        <w:t>s rarely follow-up or accountability.</w:t>
      </w:r>
      <w:r w:rsidRPr="007C7BB9">
        <w:rPr>
          <w:rStyle w:val="FootnoteReference"/>
          <w:rFonts w:ascii="Times New Roman" w:hAnsi="Times New Roman" w:cs="Times New Roman"/>
          <w:bCs/>
          <w:szCs w:val="24"/>
        </w:rPr>
        <w:footnoteReference w:id="148"/>
      </w:r>
    </w:p>
    <w:p w14:paraId="6F725286" w14:textId="46357F0F"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lastRenderedPageBreak/>
        <w:t>Participants</w:t>
      </w:r>
      <w:r w:rsidR="00BA4366">
        <w:rPr>
          <w:rFonts w:ascii="Times New Roman" w:hAnsi="Times New Roman" w:cs="Times New Roman"/>
          <w:lang w:eastAsia="en-GB"/>
        </w:rPr>
        <w:t>’</w:t>
      </w:r>
      <w:r w:rsidRPr="00866F8B">
        <w:rPr>
          <w:rFonts w:ascii="Times New Roman" w:hAnsi="Times New Roman" w:cs="Times New Roman"/>
          <w:lang w:eastAsia="en-GB"/>
        </w:rPr>
        <w:t xml:space="preserve"> emphasis on </w:t>
      </w:r>
      <w:r w:rsidR="00BA4366">
        <w:rPr>
          <w:rFonts w:ascii="Times New Roman" w:hAnsi="Times New Roman" w:cs="Times New Roman"/>
          <w:lang w:eastAsia="en-GB"/>
        </w:rPr>
        <w:t>‘</w:t>
      </w:r>
      <w:r w:rsidRPr="00866F8B">
        <w:rPr>
          <w:rFonts w:ascii="Times New Roman" w:hAnsi="Times New Roman" w:cs="Times New Roman"/>
          <w:lang w:eastAsia="en-GB"/>
        </w:rPr>
        <w:t>measurable outcomes</w:t>
      </w:r>
      <w:r w:rsidR="00BA4366">
        <w:rPr>
          <w:rFonts w:ascii="Times New Roman" w:hAnsi="Times New Roman" w:cs="Times New Roman"/>
          <w:lang w:eastAsia="en-GB"/>
        </w:rPr>
        <w:t>’</w:t>
      </w:r>
      <w:r>
        <w:rPr>
          <w:rStyle w:val="FootnoteReference"/>
          <w:rFonts w:ascii="Times New Roman" w:hAnsi="Times New Roman" w:cs="Times New Roman"/>
          <w:lang w:eastAsia="en-GB"/>
        </w:rPr>
        <w:footnoteReference w:id="149"/>
      </w:r>
      <w:r w:rsidRPr="00866F8B">
        <w:rPr>
          <w:rFonts w:ascii="Times New Roman" w:hAnsi="Times New Roman" w:cs="Times New Roman"/>
          <w:lang w:eastAsia="en-GB"/>
        </w:rPr>
        <w:t xml:space="preserve"> and </w:t>
      </w:r>
      <w:r w:rsidR="00BA4366">
        <w:rPr>
          <w:rFonts w:ascii="Times New Roman" w:hAnsi="Times New Roman" w:cs="Times New Roman"/>
          <w:lang w:eastAsia="en-GB"/>
        </w:rPr>
        <w:t>‘</w:t>
      </w:r>
      <w:r w:rsidRPr="00866F8B">
        <w:rPr>
          <w:rFonts w:ascii="Times New Roman" w:hAnsi="Times New Roman" w:cs="Times New Roman"/>
          <w:lang w:eastAsia="en-GB"/>
        </w:rPr>
        <w:t>intended outcomes</w:t>
      </w:r>
      <w:r w:rsidR="00BA4366">
        <w:rPr>
          <w:rFonts w:ascii="Times New Roman" w:hAnsi="Times New Roman" w:cs="Times New Roman"/>
          <w:lang w:eastAsia="en-GB"/>
        </w:rPr>
        <w:t>’</w:t>
      </w:r>
      <w:r>
        <w:rPr>
          <w:rStyle w:val="FootnoteReference"/>
          <w:rFonts w:ascii="Times New Roman" w:hAnsi="Times New Roman" w:cs="Times New Roman"/>
          <w:lang w:eastAsia="en-GB"/>
        </w:rPr>
        <w:footnoteReference w:id="150"/>
      </w:r>
      <w:r w:rsidRPr="00866F8B">
        <w:rPr>
          <w:rFonts w:ascii="Times New Roman" w:hAnsi="Times New Roman" w:cs="Times New Roman"/>
          <w:lang w:eastAsia="en-GB"/>
        </w:rPr>
        <w:t xml:space="preserve"> reflects Fredman and Spencer</w:t>
      </w:r>
      <w:r w:rsidR="00BA4366">
        <w:rPr>
          <w:rFonts w:ascii="Times New Roman" w:hAnsi="Times New Roman" w:cs="Times New Roman"/>
          <w:lang w:eastAsia="en-GB"/>
        </w:rPr>
        <w:t>’</w:t>
      </w:r>
      <w:r w:rsidRPr="00866F8B">
        <w:rPr>
          <w:rFonts w:ascii="Times New Roman" w:hAnsi="Times New Roman" w:cs="Times New Roman"/>
          <w:lang w:eastAsia="en-GB"/>
        </w:rPr>
        <w:t xml:space="preserve">s goal-oriented approach, which specifies that public bodies should achieve equality rather than just pay due regard to the need to do so. This concern about </w:t>
      </w:r>
      <w:r w:rsidR="00BA4366">
        <w:rPr>
          <w:rFonts w:ascii="Times New Roman" w:hAnsi="Times New Roman" w:cs="Times New Roman"/>
          <w:lang w:eastAsia="en-GB"/>
        </w:rPr>
        <w:t>‘</w:t>
      </w:r>
      <w:r w:rsidRPr="00866F8B">
        <w:rPr>
          <w:rFonts w:ascii="Times New Roman" w:hAnsi="Times New Roman" w:cs="Times New Roman"/>
          <w:lang w:eastAsia="en-GB"/>
        </w:rPr>
        <w:t>weak</w:t>
      </w:r>
      <w:r w:rsidR="00BA4366">
        <w:rPr>
          <w:rFonts w:ascii="Times New Roman" w:hAnsi="Times New Roman" w:cs="Times New Roman"/>
          <w:lang w:eastAsia="en-GB"/>
        </w:rPr>
        <w:t>’</w:t>
      </w:r>
      <w:r w:rsidRPr="00866F8B">
        <w:rPr>
          <w:rFonts w:ascii="Times New Roman" w:hAnsi="Times New Roman" w:cs="Times New Roman"/>
          <w:lang w:eastAsia="en-GB"/>
        </w:rPr>
        <w:t xml:space="preserve"> forms of </w:t>
      </w:r>
      <w:r w:rsidR="00BA4366">
        <w:rPr>
          <w:rFonts w:ascii="Times New Roman" w:hAnsi="Times New Roman" w:cs="Times New Roman"/>
          <w:lang w:eastAsia="en-GB"/>
        </w:rPr>
        <w:t>‘</w:t>
      </w:r>
      <w:r w:rsidRPr="00866F8B">
        <w:rPr>
          <w:rFonts w:ascii="Times New Roman" w:hAnsi="Times New Roman" w:cs="Times New Roman"/>
          <w:lang w:eastAsia="en-GB"/>
        </w:rPr>
        <w:t>enforcement and evaluation</w:t>
      </w:r>
      <w:r w:rsidR="00BA4366">
        <w:rPr>
          <w:rFonts w:ascii="Times New Roman" w:hAnsi="Times New Roman" w:cs="Times New Roman"/>
          <w:lang w:eastAsia="en-GB"/>
        </w:rPr>
        <w:t>’</w:t>
      </w:r>
      <w:r w:rsidRPr="00866F8B">
        <w:rPr>
          <w:rFonts w:ascii="Times New Roman" w:hAnsi="Times New Roman" w:cs="Times New Roman"/>
          <w:lang w:eastAsia="en-GB"/>
        </w:rPr>
        <w:t xml:space="preserve"> led participants to suggest that clear outcomes were required to ensure that the duty would live up to </w:t>
      </w:r>
      <w:r w:rsidR="00BA4366">
        <w:rPr>
          <w:rFonts w:ascii="Times New Roman" w:hAnsi="Times New Roman" w:cs="Times New Roman"/>
          <w:lang w:eastAsia="en-GB"/>
        </w:rPr>
        <w:t>‘</w:t>
      </w:r>
      <w:r w:rsidRPr="00866F8B">
        <w:rPr>
          <w:rFonts w:ascii="Times New Roman" w:hAnsi="Times New Roman" w:cs="Times New Roman"/>
          <w:lang w:eastAsia="en-GB"/>
        </w:rPr>
        <w:t xml:space="preserve">its full potential and not just [be] a </w:t>
      </w:r>
      <w:r w:rsidR="00DC7CF3" w:rsidRPr="00BA2D09">
        <w:t>paper</w:t>
      </w:r>
      <w:r w:rsidRPr="00866F8B">
        <w:rPr>
          <w:rFonts w:ascii="Times New Roman" w:hAnsi="Times New Roman" w:cs="Times New Roman"/>
          <w:lang w:eastAsia="en-GB"/>
        </w:rPr>
        <w:t xml:space="preserve"> exercise</w:t>
      </w:r>
      <w:r w:rsidR="00BA4366">
        <w:rPr>
          <w:rFonts w:ascii="Times New Roman" w:hAnsi="Times New Roman" w:cs="Times New Roman"/>
          <w:lang w:eastAsia="en-GB"/>
        </w:rPr>
        <w:t>’</w:t>
      </w:r>
      <w:r w:rsidRPr="00866F8B">
        <w:rPr>
          <w:rFonts w:ascii="Times New Roman" w:hAnsi="Times New Roman" w:cs="Times New Roman"/>
          <w:lang w:eastAsia="en-GB"/>
        </w:rPr>
        <w:t>.</w:t>
      </w:r>
      <w:r>
        <w:rPr>
          <w:rStyle w:val="FootnoteReference"/>
          <w:rFonts w:ascii="Times New Roman" w:hAnsi="Times New Roman" w:cs="Times New Roman"/>
          <w:lang w:eastAsia="en-GB"/>
        </w:rPr>
        <w:footnoteReference w:id="151"/>
      </w:r>
      <w:r w:rsidRPr="00866F8B">
        <w:rPr>
          <w:rFonts w:ascii="Times New Roman" w:hAnsi="Times New Roman" w:cs="Times New Roman"/>
          <w:lang w:eastAsia="en-GB"/>
        </w:rPr>
        <w:t xml:space="preserve"> Participant 15</w:t>
      </w:r>
      <w:r w:rsidR="00BA4366">
        <w:rPr>
          <w:rFonts w:ascii="Times New Roman" w:hAnsi="Times New Roman" w:cs="Times New Roman"/>
          <w:lang w:eastAsia="en-GB"/>
        </w:rPr>
        <w:t>’</w:t>
      </w:r>
      <w:r w:rsidRPr="00866F8B">
        <w:rPr>
          <w:rFonts w:ascii="Times New Roman" w:hAnsi="Times New Roman" w:cs="Times New Roman"/>
          <w:lang w:eastAsia="en-GB"/>
        </w:rPr>
        <w:t>s observations directly mirror Fredman and Spencer</w:t>
      </w:r>
      <w:r w:rsidR="00BA4366">
        <w:rPr>
          <w:rFonts w:ascii="Times New Roman" w:hAnsi="Times New Roman" w:cs="Times New Roman"/>
          <w:lang w:eastAsia="en-GB"/>
        </w:rPr>
        <w:t>’</w:t>
      </w:r>
      <w:r w:rsidRPr="00866F8B">
        <w:rPr>
          <w:rFonts w:ascii="Times New Roman" w:hAnsi="Times New Roman" w:cs="Times New Roman"/>
          <w:lang w:eastAsia="en-GB"/>
        </w:rPr>
        <w:t xml:space="preserve">s warning about authorities discharging their duty </w:t>
      </w:r>
      <w:r w:rsidR="00993299">
        <w:rPr>
          <w:rFonts w:ascii="Times New Roman" w:hAnsi="Times New Roman" w:cs="Times New Roman"/>
          <w:lang w:eastAsia="en-GB"/>
        </w:rPr>
        <w:t>without adequate monitoring</w:t>
      </w:r>
      <w:r w:rsidRPr="00866F8B">
        <w:rPr>
          <w:rFonts w:ascii="Times New Roman" w:hAnsi="Times New Roman" w:cs="Times New Roman"/>
          <w:lang w:eastAsia="en-GB"/>
        </w:rPr>
        <w:t>:</w:t>
      </w:r>
    </w:p>
    <w:p w14:paraId="0FD4D572" w14:textId="0D582DC1"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I think it is a great idea, as long as it is genuinely implemented. Thought needs to go into to monitoring how such processes are audited; simply having the impact assessments completed isn</w:t>
      </w:r>
      <w:r w:rsidR="00BA4366">
        <w:rPr>
          <w:rFonts w:ascii="Times New Roman" w:hAnsi="Times New Roman" w:cs="Times New Roman"/>
          <w:lang w:eastAsia="en-GB"/>
        </w:rPr>
        <w:t>’</w:t>
      </w:r>
      <w:r w:rsidRPr="00866F8B">
        <w:rPr>
          <w:rFonts w:ascii="Times New Roman" w:hAnsi="Times New Roman" w:cs="Times New Roman"/>
          <w:lang w:eastAsia="en-GB"/>
        </w:rPr>
        <w:t>t enough in my view. How are public bodies going to prove that they have taken the results into account? Will it just be a question of paying lip service to it and carrying on regardless, or will there be genuine consideration into how different socio-economic groups are affected? I remain unconvinced that public bodies will properly engage with this.</w:t>
      </w:r>
      <w:r w:rsidRPr="007C7BB9">
        <w:rPr>
          <w:rStyle w:val="FootnoteReference"/>
          <w:rFonts w:ascii="Times New Roman" w:hAnsi="Times New Roman" w:cs="Times New Roman"/>
          <w:lang w:eastAsia="en-GB"/>
        </w:rPr>
        <w:footnoteReference w:id="152"/>
      </w:r>
    </w:p>
    <w:p w14:paraId="730D2624" w14:textId="041D1FDE"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The call for independent forms of </w:t>
      </w:r>
      <w:r w:rsidR="00BA4366">
        <w:rPr>
          <w:rFonts w:ascii="Times New Roman" w:hAnsi="Times New Roman" w:cs="Times New Roman"/>
          <w:lang w:eastAsia="en-GB"/>
        </w:rPr>
        <w:t>‘</w:t>
      </w:r>
      <w:r w:rsidRPr="00866F8B">
        <w:rPr>
          <w:rFonts w:ascii="Times New Roman" w:hAnsi="Times New Roman" w:cs="Times New Roman"/>
          <w:lang w:eastAsia="en-GB"/>
        </w:rPr>
        <w:t>auditing</w:t>
      </w:r>
      <w:r w:rsidR="00BA4366">
        <w:rPr>
          <w:rFonts w:ascii="Times New Roman" w:hAnsi="Times New Roman" w:cs="Times New Roman"/>
          <w:lang w:eastAsia="en-GB"/>
        </w:rPr>
        <w:t>’</w:t>
      </w:r>
      <w:r w:rsidRPr="00866F8B">
        <w:rPr>
          <w:rFonts w:ascii="Times New Roman" w:hAnsi="Times New Roman" w:cs="Times New Roman"/>
          <w:lang w:eastAsia="en-GB"/>
        </w:rPr>
        <w:t xml:space="preserve"> and </w:t>
      </w:r>
      <w:r w:rsidR="00BA4366">
        <w:rPr>
          <w:rFonts w:ascii="Times New Roman" w:hAnsi="Times New Roman" w:cs="Times New Roman"/>
          <w:lang w:eastAsia="en-GB"/>
        </w:rPr>
        <w:t>‘</w:t>
      </w:r>
      <w:r w:rsidRPr="00866F8B">
        <w:rPr>
          <w:rFonts w:ascii="Times New Roman" w:hAnsi="Times New Roman" w:cs="Times New Roman"/>
          <w:lang w:eastAsia="en-GB"/>
        </w:rPr>
        <w:t>oversight</w:t>
      </w:r>
      <w:r w:rsidR="00BA4366">
        <w:rPr>
          <w:rFonts w:ascii="Times New Roman" w:hAnsi="Times New Roman" w:cs="Times New Roman"/>
          <w:lang w:eastAsia="en-GB"/>
        </w:rPr>
        <w:t>’</w:t>
      </w:r>
      <w:r w:rsidRPr="00866F8B">
        <w:rPr>
          <w:rFonts w:ascii="Times New Roman" w:hAnsi="Times New Roman" w:cs="Times New Roman"/>
          <w:lang w:eastAsia="en-GB"/>
        </w:rPr>
        <w:t xml:space="preserve"> aligns with Fredman and Spencer</w:t>
      </w:r>
      <w:r w:rsidR="00BA4366">
        <w:rPr>
          <w:rFonts w:ascii="Times New Roman" w:hAnsi="Times New Roman" w:cs="Times New Roman"/>
          <w:lang w:eastAsia="en-GB"/>
        </w:rPr>
        <w:t>’</w:t>
      </w:r>
      <w:r w:rsidRPr="00866F8B">
        <w:rPr>
          <w:rFonts w:ascii="Times New Roman" w:hAnsi="Times New Roman" w:cs="Times New Roman"/>
          <w:lang w:eastAsia="en-GB"/>
        </w:rPr>
        <w:t xml:space="preserve">s </w:t>
      </w:r>
      <w:r w:rsidR="00BA4366">
        <w:rPr>
          <w:rFonts w:ascii="Times New Roman" w:hAnsi="Times New Roman" w:cs="Times New Roman"/>
          <w:lang w:eastAsia="en-GB"/>
        </w:rPr>
        <w:t>‘</w:t>
      </w:r>
      <w:r w:rsidRPr="00866F8B">
        <w:rPr>
          <w:rFonts w:ascii="Times New Roman" w:hAnsi="Times New Roman" w:cs="Times New Roman"/>
          <w:lang w:eastAsia="en-GB"/>
        </w:rPr>
        <w:t>review</w:t>
      </w:r>
      <w:r w:rsidR="008C74DC">
        <w:rPr>
          <w:rFonts w:ascii="Times New Roman" w:hAnsi="Times New Roman" w:cs="Times New Roman"/>
          <w:lang w:eastAsia="en-GB"/>
        </w:rPr>
        <w:t>–</w:t>
      </w:r>
      <w:r w:rsidRPr="00866F8B">
        <w:rPr>
          <w:rFonts w:ascii="Times New Roman" w:hAnsi="Times New Roman" w:cs="Times New Roman"/>
          <w:lang w:eastAsia="en-GB"/>
        </w:rPr>
        <w:t>diagnosis</w:t>
      </w:r>
      <w:r w:rsidR="008C74DC">
        <w:rPr>
          <w:rFonts w:ascii="Times New Roman" w:hAnsi="Times New Roman" w:cs="Times New Roman"/>
          <w:lang w:eastAsia="en-GB"/>
        </w:rPr>
        <w:t>–</w:t>
      </w:r>
      <w:r w:rsidRPr="00866F8B">
        <w:rPr>
          <w:rFonts w:ascii="Times New Roman" w:hAnsi="Times New Roman" w:cs="Times New Roman"/>
          <w:lang w:eastAsia="en-GB"/>
        </w:rPr>
        <w:t>consult</w:t>
      </w:r>
      <w:r w:rsidR="008C74DC">
        <w:rPr>
          <w:rFonts w:ascii="Times New Roman" w:hAnsi="Times New Roman" w:cs="Times New Roman"/>
          <w:lang w:eastAsia="en-GB"/>
        </w:rPr>
        <w:t>–</w:t>
      </w:r>
      <w:r w:rsidRPr="00866F8B">
        <w:rPr>
          <w:rFonts w:ascii="Times New Roman" w:hAnsi="Times New Roman" w:cs="Times New Roman"/>
          <w:lang w:eastAsia="en-GB"/>
        </w:rPr>
        <w:t>action</w:t>
      </w:r>
      <w:r w:rsidR="008C74DC">
        <w:rPr>
          <w:rFonts w:ascii="Times New Roman" w:hAnsi="Times New Roman" w:cs="Times New Roman"/>
          <w:lang w:eastAsia="en-GB"/>
        </w:rPr>
        <w:t>–</w:t>
      </w:r>
      <w:r w:rsidRPr="00866F8B">
        <w:rPr>
          <w:rFonts w:ascii="Times New Roman" w:hAnsi="Times New Roman" w:cs="Times New Roman"/>
          <w:lang w:eastAsia="en-GB"/>
        </w:rPr>
        <w:t>monitor</w:t>
      </w:r>
      <w:r w:rsidR="00BA4366">
        <w:rPr>
          <w:rFonts w:ascii="Times New Roman" w:hAnsi="Times New Roman" w:cs="Times New Roman"/>
          <w:lang w:eastAsia="en-GB"/>
        </w:rPr>
        <w:t>’</w:t>
      </w:r>
      <w:r w:rsidRPr="00866F8B">
        <w:rPr>
          <w:rFonts w:ascii="Times New Roman" w:hAnsi="Times New Roman" w:cs="Times New Roman"/>
          <w:lang w:eastAsia="en-GB"/>
        </w:rPr>
        <w:t xml:space="preserve"> approach and their specific recommendation to </w:t>
      </w:r>
      <w:r w:rsidR="00BA4366">
        <w:rPr>
          <w:rFonts w:ascii="Times New Roman" w:hAnsi="Times New Roman" w:cs="Times New Roman"/>
          <w:lang w:eastAsia="en-GB"/>
        </w:rPr>
        <w:t>‘</w:t>
      </w:r>
      <w:r w:rsidRPr="00866F8B">
        <w:rPr>
          <w:rFonts w:ascii="Times New Roman" w:hAnsi="Times New Roman" w:cs="Times New Roman"/>
          <w:lang w:eastAsia="en-GB"/>
        </w:rPr>
        <w:t>monitor and make public the baseline assessment and annual progress in the authority</w:t>
      </w:r>
      <w:r w:rsidR="00BA4366">
        <w:rPr>
          <w:rFonts w:ascii="Times New Roman" w:hAnsi="Times New Roman" w:cs="Times New Roman"/>
          <w:lang w:eastAsia="en-GB"/>
        </w:rPr>
        <w:t>’</w:t>
      </w:r>
      <w:r w:rsidRPr="00866F8B">
        <w:rPr>
          <w:rFonts w:ascii="Times New Roman" w:hAnsi="Times New Roman" w:cs="Times New Roman"/>
          <w:lang w:eastAsia="en-GB"/>
        </w:rPr>
        <w:t>s progressive realisation of equality</w:t>
      </w:r>
      <w:r w:rsidR="00BA4366">
        <w:rPr>
          <w:rFonts w:ascii="Times New Roman" w:hAnsi="Times New Roman" w:cs="Times New Roman"/>
          <w:lang w:eastAsia="en-GB"/>
        </w:rPr>
        <w:t>’</w:t>
      </w:r>
      <w:r w:rsidRPr="00866F8B">
        <w:rPr>
          <w:rFonts w:ascii="Times New Roman" w:hAnsi="Times New Roman" w:cs="Times New Roman"/>
          <w:lang w:eastAsia="en-GB"/>
        </w:rPr>
        <w:t xml:space="preserve">. As Participant 16 puts it, this is part of the accountability measures that need to be in place to ensure that the duty is not </w:t>
      </w:r>
      <w:r w:rsidR="00BA4366">
        <w:rPr>
          <w:rFonts w:ascii="Times New Roman" w:hAnsi="Times New Roman" w:cs="Times New Roman"/>
          <w:lang w:eastAsia="en-GB"/>
        </w:rPr>
        <w:t>‘</w:t>
      </w:r>
      <w:r w:rsidRPr="00866F8B">
        <w:rPr>
          <w:rFonts w:ascii="Times New Roman" w:hAnsi="Times New Roman" w:cs="Times New Roman"/>
          <w:lang w:eastAsia="en-GB"/>
        </w:rPr>
        <w:t>all about</w:t>
      </w:r>
      <w:r w:rsidRPr="00BA2D09">
        <w:t xml:space="preserve"> </w:t>
      </w:r>
      <w:r w:rsidR="00265B1B" w:rsidRPr="00BA2D09">
        <w:t>tick</w:t>
      </w:r>
      <w:r w:rsidR="008C74DC" w:rsidRPr="00BA2D09">
        <w:t xml:space="preserve"> </w:t>
      </w:r>
      <w:r w:rsidR="00265B1B" w:rsidRPr="00BA2D09">
        <w:t>box</w:t>
      </w:r>
      <w:r w:rsidRPr="00BA2D09">
        <w:t>es and being s</w:t>
      </w:r>
      <w:r w:rsidRPr="00866F8B">
        <w:rPr>
          <w:rFonts w:ascii="Times New Roman" w:hAnsi="Times New Roman" w:cs="Times New Roman"/>
          <w:lang w:eastAsia="en-GB"/>
        </w:rPr>
        <w:t>een to do the right thing</w:t>
      </w:r>
      <w:r w:rsidR="00BA4366">
        <w:rPr>
          <w:rFonts w:ascii="Times New Roman" w:hAnsi="Times New Roman" w:cs="Times New Roman"/>
          <w:lang w:eastAsia="en-GB"/>
        </w:rPr>
        <w:t>’</w:t>
      </w:r>
      <w:r w:rsidRPr="00866F8B">
        <w:rPr>
          <w:rFonts w:ascii="Times New Roman" w:hAnsi="Times New Roman" w:cs="Times New Roman"/>
          <w:lang w:eastAsia="en-GB"/>
        </w:rPr>
        <w:t>:</w:t>
      </w:r>
    </w:p>
    <w:p w14:paraId="5A7D27F7" w14:textId="6C5C4B3B"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I think public organisations need to be audited independently. At the moment it</w:t>
      </w:r>
      <w:r w:rsidR="00BA4366">
        <w:rPr>
          <w:rFonts w:ascii="Times New Roman" w:hAnsi="Times New Roman" w:cs="Times New Roman"/>
          <w:lang w:eastAsia="en-GB"/>
        </w:rPr>
        <w:t>’</w:t>
      </w:r>
      <w:r w:rsidRPr="00866F8B">
        <w:rPr>
          <w:rFonts w:ascii="Times New Roman" w:hAnsi="Times New Roman" w:cs="Times New Roman"/>
          <w:lang w:eastAsia="en-GB"/>
        </w:rPr>
        <w:t xml:space="preserve">s all about </w:t>
      </w:r>
      <w:r w:rsidR="00265B1B" w:rsidRPr="00BA2D09">
        <w:t>tick</w:t>
      </w:r>
      <w:r w:rsidR="008C74DC" w:rsidRPr="00BA2D09">
        <w:t xml:space="preserve"> </w:t>
      </w:r>
      <w:r w:rsidR="00265B1B" w:rsidRPr="00BA2D09">
        <w:t>box</w:t>
      </w:r>
      <w:r w:rsidRPr="00BA2D09">
        <w:t>es</w:t>
      </w:r>
      <w:r w:rsidRPr="00866F8B">
        <w:rPr>
          <w:rFonts w:ascii="Times New Roman" w:hAnsi="Times New Roman" w:cs="Times New Roman"/>
          <w:lang w:eastAsia="en-GB"/>
        </w:rPr>
        <w:t xml:space="preserve"> and being seen to do the right thing. I think equality and its impact should be advanced by senior personnel and they need to accountable and when scrutinised should be able to demonstrate the actions and measures they have taken. This poses the question were the measures correct and needed and what if any impact they have had.</w:t>
      </w:r>
      <w:r w:rsidRPr="007C7BB9">
        <w:rPr>
          <w:rStyle w:val="FootnoteReference"/>
          <w:rFonts w:ascii="Times New Roman" w:hAnsi="Times New Roman" w:cs="Times New Roman"/>
          <w:lang w:eastAsia="en-GB"/>
        </w:rPr>
        <w:footnoteReference w:id="153"/>
      </w:r>
    </w:p>
    <w:p w14:paraId="0E73165C" w14:textId="26C5BE0D"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This same point is echoed by Participant 17, whose observation about equality impact assessments being </w:t>
      </w:r>
      <w:r w:rsidR="00BA4366">
        <w:rPr>
          <w:rFonts w:ascii="Times New Roman" w:hAnsi="Times New Roman" w:cs="Times New Roman"/>
          <w:lang w:eastAsia="en-GB"/>
        </w:rPr>
        <w:t>‘</w:t>
      </w:r>
      <w:r w:rsidRPr="00866F8B">
        <w:rPr>
          <w:rFonts w:ascii="Times New Roman" w:hAnsi="Times New Roman" w:cs="Times New Roman"/>
          <w:lang w:eastAsia="en-GB"/>
        </w:rPr>
        <w:t>filled in to get things through, not to holistically solve a problem</w:t>
      </w:r>
      <w:r w:rsidR="00BA4366">
        <w:rPr>
          <w:rFonts w:ascii="Times New Roman" w:hAnsi="Times New Roman" w:cs="Times New Roman"/>
          <w:lang w:eastAsia="en-GB"/>
        </w:rPr>
        <w:t>’</w:t>
      </w:r>
      <w:r w:rsidR="005C3E07">
        <w:rPr>
          <w:rFonts w:ascii="Times New Roman" w:hAnsi="Times New Roman" w:cs="Times New Roman"/>
          <w:lang w:eastAsia="en-GB"/>
        </w:rPr>
        <w:t>,</w:t>
      </w:r>
      <w:r w:rsidRPr="00866F8B">
        <w:rPr>
          <w:rFonts w:ascii="Times New Roman" w:hAnsi="Times New Roman" w:cs="Times New Roman"/>
          <w:lang w:eastAsia="en-GB"/>
        </w:rPr>
        <w:t xml:space="preserve"> illustrates how the absence of external accountability undermines the progressive nature of the duty</w:t>
      </w:r>
      <w:r w:rsidR="00265B1B">
        <w:rPr>
          <w:rFonts w:ascii="Times New Roman" w:hAnsi="Times New Roman" w:cs="Times New Roman"/>
          <w:lang w:eastAsia="en-GB"/>
        </w:rPr>
        <w:t>—</w:t>
      </w:r>
      <w:r w:rsidRPr="00866F8B">
        <w:rPr>
          <w:rFonts w:ascii="Times New Roman" w:hAnsi="Times New Roman" w:cs="Times New Roman"/>
          <w:lang w:eastAsia="en-GB"/>
        </w:rPr>
        <w:t xml:space="preserve">what Fredman and Spencer describe as requiring </w:t>
      </w:r>
      <w:r w:rsidR="00BA4366">
        <w:rPr>
          <w:rFonts w:ascii="Times New Roman" w:hAnsi="Times New Roman" w:cs="Times New Roman"/>
          <w:lang w:eastAsia="en-GB"/>
        </w:rPr>
        <w:t>‘</w:t>
      </w:r>
      <w:r w:rsidRPr="00866F8B">
        <w:rPr>
          <w:rFonts w:ascii="Times New Roman" w:hAnsi="Times New Roman" w:cs="Times New Roman"/>
          <w:lang w:eastAsia="en-GB"/>
        </w:rPr>
        <w:t>ongoing action</w:t>
      </w:r>
      <w:r w:rsidR="00BA4366">
        <w:rPr>
          <w:rFonts w:ascii="Times New Roman" w:hAnsi="Times New Roman" w:cs="Times New Roman"/>
          <w:lang w:eastAsia="en-GB"/>
        </w:rPr>
        <w:t>’</w:t>
      </w:r>
      <w:r w:rsidRPr="00866F8B">
        <w:rPr>
          <w:rFonts w:ascii="Times New Roman" w:hAnsi="Times New Roman" w:cs="Times New Roman"/>
          <w:lang w:eastAsia="en-GB"/>
        </w:rPr>
        <w:t xml:space="preserve"> toward equality goals:</w:t>
      </w:r>
    </w:p>
    <w:p w14:paraId="702D82EA" w14:textId="4D8D1DF3"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There is a lack of external oversight and accountability for equality. Working in a public sector body, whilst we do EQIA assessments, you aren</w:t>
      </w:r>
      <w:r w:rsidR="00BA4366">
        <w:rPr>
          <w:rFonts w:ascii="Times New Roman" w:hAnsi="Times New Roman" w:cs="Times New Roman"/>
          <w:lang w:eastAsia="en-GB"/>
        </w:rPr>
        <w:t>’</w:t>
      </w:r>
      <w:r w:rsidRPr="00866F8B">
        <w:rPr>
          <w:rFonts w:ascii="Times New Roman" w:hAnsi="Times New Roman" w:cs="Times New Roman"/>
          <w:lang w:eastAsia="en-GB"/>
        </w:rPr>
        <w:t>t encouraged to be honest, it</w:t>
      </w:r>
      <w:r w:rsidR="00BA4366">
        <w:rPr>
          <w:rFonts w:ascii="Times New Roman" w:hAnsi="Times New Roman" w:cs="Times New Roman"/>
          <w:lang w:eastAsia="en-GB"/>
        </w:rPr>
        <w:t>’</w:t>
      </w:r>
      <w:r w:rsidRPr="00866F8B">
        <w:rPr>
          <w:rFonts w:ascii="Times New Roman" w:hAnsi="Times New Roman" w:cs="Times New Roman"/>
          <w:lang w:eastAsia="en-GB"/>
        </w:rPr>
        <w:t>s more that you are encouraged to say you have thought about it</w:t>
      </w:r>
      <w:r w:rsidR="005C3E07">
        <w:rPr>
          <w:rFonts w:ascii="Times New Roman" w:hAnsi="Times New Roman" w:cs="Times New Roman"/>
          <w:lang w:eastAsia="en-GB"/>
        </w:rPr>
        <w:t xml:space="preserve"> </w:t>
      </w:r>
      <w:r w:rsidRPr="00866F8B">
        <w:rPr>
          <w:rFonts w:ascii="Times New Roman" w:hAnsi="Times New Roman" w:cs="Times New Roman"/>
          <w:lang w:eastAsia="en-GB"/>
        </w:rPr>
        <w:t xml:space="preserve">… </w:t>
      </w:r>
      <w:r w:rsidRPr="00866F8B">
        <w:rPr>
          <w:rFonts w:ascii="Times New Roman" w:hAnsi="Times New Roman" w:cs="Times New Roman"/>
          <w:lang w:eastAsia="en-GB"/>
        </w:rPr>
        <w:lastRenderedPageBreak/>
        <w:t>Honestly, they are complex and tokenistic. They are filled in, in a rush at the end of a process and not at the start. They are filled in to get things through, not to holistically solve a problem and are very rarely challenged or monitored.</w:t>
      </w:r>
      <w:r w:rsidRPr="007C7BB9">
        <w:rPr>
          <w:rStyle w:val="FootnoteReference"/>
          <w:rFonts w:ascii="Times New Roman" w:hAnsi="Times New Roman" w:cs="Times New Roman"/>
          <w:lang w:eastAsia="en-GB"/>
        </w:rPr>
        <w:footnoteReference w:id="154"/>
      </w:r>
    </w:p>
    <w:p w14:paraId="1D042D64" w14:textId="40D03E51"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Contrary to traditional </w:t>
      </w:r>
      <w:r w:rsidR="00C32BD2">
        <w:rPr>
          <w:rFonts w:ascii="Times New Roman" w:hAnsi="Times New Roman" w:cs="Times New Roman"/>
          <w:lang w:eastAsia="en-GB"/>
        </w:rPr>
        <w:t>blame avoidance</w:t>
      </w:r>
      <w:r w:rsidRPr="00866F8B">
        <w:rPr>
          <w:rFonts w:ascii="Times New Roman" w:hAnsi="Times New Roman" w:cs="Times New Roman"/>
          <w:lang w:eastAsia="en-GB"/>
        </w:rPr>
        <w:t xml:space="preserve"> theory, which suggests policy actors prefer less accountability, participants actively welcomed enforcement mechanisms as institutional protection. Civil servants appear to value enforcement not simply as a tool to ensure compliance, but as a mechanism that elevates equality considerations within an organisation where competing priorities abound. Participants referred to having a </w:t>
      </w:r>
      <w:r w:rsidR="00BA4366">
        <w:rPr>
          <w:rFonts w:ascii="Times New Roman" w:hAnsi="Times New Roman" w:cs="Times New Roman"/>
          <w:lang w:eastAsia="en-GB"/>
        </w:rPr>
        <w:t>‘</w:t>
      </w:r>
      <w:r w:rsidRPr="00866F8B">
        <w:rPr>
          <w:rFonts w:ascii="Times New Roman" w:hAnsi="Times New Roman" w:cs="Times New Roman"/>
          <w:lang w:eastAsia="en-GB"/>
        </w:rPr>
        <w:t>stick</w:t>
      </w:r>
      <w:r w:rsidR="00BA4366">
        <w:rPr>
          <w:rFonts w:ascii="Times New Roman" w:hAnsi="Times New Roman" w:cs="Times New Roman"/>
          <w:lang w:eastAsia="en-GB"/>
        </w:rPr>
        <w:t>’</w:t>
      </w:r>
      <w:r w:rsidRPr="00866F8B">
        <w:rPr>
          <w:rFonts w:ascii="Times New Roman" w:hAnsi="Times New Roman" w:cs="Times New Roman"/>
          <w:lang w:eastAsia="en-GB"/>
        </w:rPr>
        <w:t xml:space="preserve">, </w:t>
      </w:r>
      <w:r w:rsidR="005C3E07">
        <w:rPr>
          <w:rFonts w:ascii="Times New Roman" w:hAnsi="Times New Roman" w:cs="Times New Roman"/>
          <w:lang w:eastAsia="en-GB"/>
        </w:rPr>
        <w:t>which</w:t>
      </w:r>
      <w:r w:rsidRPr="00866F8B">
        <w:rPr>
          <w:rFonts w:ascii="Times New Roman" w:hAnsi="Times New Roman" w:cs="Times New Roman"/>
          <w:lang w:eastAsia="en-GB"/>
        </w:rPr>
        <w:t xml:space="preserve"> is </w:t>
      </w:r>
      <w:r w:rsidR="00BA4366">
        <w:rPr>
          <w:rFonts w:ascii="Times New Roman" w:hAnsi="Times New Roman" w:cs="Times New Roman"/>
          <w:lang w:eastAsia="en-GB"/>
        </w:rPr>
        <w:t>‘</w:t>
      </w:r>
      <w:r w:rsidRPr="00866F8B">
        <w:rPr>
          <w:rFonts w:ascii="Times New Roman" w:hAnsi="Times New Roman" w:cs="Times New Roman"/>
          <w:lang w:eastAsia="en-GB"/>
        </w:rPr>
        <w:t>more effective than the hearts and minds</w:t>
      </w:r>
      <w:r w:rsidR="00BA4366">
        <w:rPr>
          <w:rFonts w:ascii="Times New Roman" w:hAnsi="Times New Roman" w:cs="Times New Roman"/>
          <w:lang w:eastAsia="en-GB"/>
        </w:rPr>
        <w:t>’</w:t>
      </w:r>
      <w:r w:rsidR="00265B1B">
        <w:rPr>
          <w:rFonts w:ascii="Times New Roman" w:hAnsi="Times New Roman" w:cs="Times New Roman"/>
          <w:lang w:eastAsia="en-GB"/>
        </w:rPr>
        <w:t>—</w:t>
      </w:r>
      <w:r w:rsidRPr="00866F8B">
        <w:rPr>
          <w:rFonts w:ascii="Times New Roman" w:hAnsi="Times New Roman" w:cs="Times New Roman"/>
          <w:lang w:eastAsia="en-GB"/>
        </w:rPr>
        <w:t xml:space="preserve">even if they </w:t>
      </w:r>
      <w:r w:rsidR="00BA4366">
        <w:rPr>
          <w:rFonts w:ascii="Times New Roman" w:hAnsi="Times New Roman" w:cs="Times New Roman"/>
          <w:lang w:eastAsia="en-GB"/>
        </w:rPr>
        <w:t>‘</w:t>
      </w:r>
      <w:r w:rsidRPr="00866F8B">
        <w:rPr>
          <w:rFonts w:ascii="Times New Roman" w:hAnsi="Times New Roman" w:cs="Times New Roman"/>
          <w:lang w:eastAsia="en-GB"/>
        </w:rPr>
        <w:t>don</w:t>
      </w:r>
      <w:r w:rsidR="00BA4366">
        <w:rPr>
          <w:rFonts w:ascii="Times New Roman" w:hAnsi="Times New Roman" w:cs="Times New Roman"/>
          <w:lang w:eastAsia="en-GB"/>
        </w:rPr>
        <w:t>’</w:t>
      </w:r>
      <w:r w:rsidRPr="00866F8B">
        <w:rPr>
          <w:rFonts w:ascii="Times New Roman" w:hAnsi="Times New Roman" w:cs="Times New Roman"/>
          <w:lang w:eastAsia="en-GB"/>
        </w:rPr>
        <w:t>t want it to be about compliance</w:t>
      </w:r>
      <w:r w:rsidR="005C3E07">
        <w:rPr>
          <w:rFonts w:ascii="Times New Roman" w:hAnsi="Times New Roman" w:cs="Times New Roman"/>
          <w:lang w:eastAsia="en-GB"/>
        </w:rPr>
        <w:t xml:space="preserve"> </w:t>
      </w:r>
      <w:r w:rsidRPr="00866F8B">
        <w:rPr>
          <w:rFonts w:ascii="Times New Roman" w:hAnsi="Times New Roman" w:cs="Times New Roman"/>
          <w:lang w:eastAsia="en-GB"/>
        </w:rPr>
        <w:t>…</w:t>
      </w:r>
      <w:r w:rsidR="005C3E07">
        <w:rPr>
          <w:rFonts w:ascii="Times New Roman" w:hAnsi="Times New Roman" w:cs="Times New Roman"/>
          <w:lang w:eastAsia="en-GB"/>
        </w:rPr>
        <w:t xml:space="preserve"> </w:t>
      </w:r>
      <w:r w:rsidRPr="00866F8B">
        <w:rPr>
          <w:rFonts w:ascii="Times New Roman" w:hAnsi="Times New Roman" w:cs="Times New Roman"/>
          <w:lang w:eastAsia="en-GB"/>
        </w:rPr>
        <w:t>that</w:t>
      </w:r>
      <w:r w:rsidR="00BA4366">
        <w:rPr>
          <w:rFonts w:ascii="Times New Roman" w:hAnsi="Times New Roman" w:cs="Times New Roman"/>
          <w:lang w:eastAsia="en-GB"/>
        </w:rPr>
        <w:t>’</w:t>
      </w:r>
      <w:r w:rsidRPr="00866F8B">
        <w:rPr>
          <w:rFonts w:ascii="Times New Roman" w:hAnsi="Times New Roman" w:cs="Times New Roman"/>
          <w:lang w:eastAsia="en-GB"/>
        </w:rPr>
        <w:t>s actually when our senior people listen</w:t>
      </w:r>
      <w:r w:rsidR="00BA4366">
        <w:rPr>
          <w:rFonts w:ascii="Times New Roman" w:hAnsi="Times New Roman" w:cs="Times New Roman"/>
          <w:lang w:eastAsia="en-GB"/>
        </w:rPr>
        <w:t>’</w:t>
      </w:r>
      <w:r w:rsidR="005C3E07">
        <w:rPr>
          <w:rFonts w:ascii="Times New Roman" w:hAnsi="Times New Roman" w:cs="Times New Roman"/>
          <w:lang w:eastAsia="en-GB"/>
        </w:rPr>
        <w:t>.</w:t>
      </w:r>
      <w:r>
        <w:rPr>
          <w:rStyle w:val="FootnoteReference"/>
          <w:rFonts w:ascii="Times New Roman" w:hAnsi="Times New Roman" w:cs="Times New Roman"/>
          <w:lang w:eastAsia="en-GB"/>
        </w:rPr>
        <w:footnoteReference w:id="155"/>
      </w:r>
      <w:r w:rsidRPr="00866F8B">
        <w:rPr>
          <w:rFonts w:ascii="Times New Roman" w:hAnsi="Times New Roman" w:cs="Times New Roman"/>
          <w:lang w:eastAsia="en-GB"/>
        </w:rPr>
        <w:t xml:space="preserve"> As one participant put it:</w:t>
      </w:r>
    </w:p>
    <w:p w14:paraId="444E1BD6" w14:textId="5B87CA3D"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I think we do need this one. Because I think it is so important, and I think having the stick lets you do like it</w:t>
      </w:r>
      <w:r w:rsidR="00BA4366">
        <w:rPr>
          <w:rFonts w:ascii="Times New Roman" w:hAnsi="Times New Roman" w:cs="Times New Roman"/>
          <w:lang w:eastAsia="en-GB"/>
        </w:rPr>
        <w:t>’</w:t>
      </w:r>
      <w:r w:rsidRPr="00866F8B">
        <w:rPr>
          <w:rFonts w:ascii="Times New Roman" w:hAnsi="Times New Roman" w:cs="Times New Roman"/>
          <w:lang w:eastAsia="en-GB"/>
        </w:rPr>
        <w:t>s the thing that opens the door that says, okay, everyone</w:t>
      </w:r>
      <w:r w:rsidR="00BA4366">
        <w:rPr>
          <w:rFonts w:ascii="Times New Roman" w:hAnsi="Times New Roman" w:cs="Times New Roman"/>
          <w:lang w:eastAsia="en-GB"/>
        </w:rPr>
        <w:t>’</w:t>
      </w:r>
      <w:r w:rsidRPr="00866F8B">
        <w:rPr>
          <w:rFonts w:ascii="Times New Roman" w:hAnsi="Times New Roman" w:cs="Times New Roman"/>
          <w:lang w:eastAsia="en-GB"/>
        </w:rPr>
        <w:t>s got to go in the training. Yes, you do need to include it in the impact assessment. It kind of it gets that senior management buy in because you go, well we have to do this. You know it</w:t>
      </w:r>
      <w:r w:rsidR="00BA4366">
        <w:rPr>
          <w:rFonts w:ascii="Times New Roman" w:hAnsi="Times New Roman" w:cs="Times New Roman"/>
          <w:lang w:eastAsia="en-GB"/>
        </w:rPr>
        <w:t>’</w:t>
      </w:r>
      <w:r w:rsidRPr="00866F8B">
        <w:rPr>
          <w:rFonts w:ascii="Times New Roman" w:hAnsi="Times New Roman" w:cs="Times New Roman"/>
          <w:lang w:eastAsia="en-GB"/>
        </w:rPr>
        <w:t>s not just the right thing to do. We actually have to do this legally. So I think the stick needs to be there.</w:t>
      </w:r>
      <w:r>
        <w:rPr>
          <w:rStyle w:val="FootnoteReference"/>
          <w:rFonts w:ascii="Times New Roman" w:hAnsi="Times New Roman" w:cs="Times New Roman"/>
          <w:lang w:eastAsia="en-GB"/>
        </w:rPr>
        <w:footnoteReference w:id="156"/>
      </w:r>
    </w:p>
    <w:p w14:paraId="038EB7AA" w14:textId="27EBE4AE"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In the context of a public sector that has </w:t>
      </w:r>
      <w:r w:rsidR="00BA4366">
        <w:rPr>
          <w:rFonts w:ascii="Times New Roman" w:hAnsi="Times New Roman" w:cs="Times New Roman"/>
          <w:lang w:eastAsia="en-GB"/>
        </w:rPr>
        <w:t>‘</w:t>
      </w:r>
      <w:r w:rsidRPr="00866F8B">
        <w:rPr>
          <w:rFonts w:ascii="Times New Roman" w:hAnsi="Times New Roman" w:cs="Times New Roman"/>
          <w:lang w:eastAsia="en-GB"/>
        </w:rPr>
        <w:t>got too many sticks</w:t>
      </w:r>
      <w:r w:rsidR="00BA4366">
        <w:rPr>
          <w:rFonts w:ascii="Times New Roman" w:hAnsi="Times New Roman" w:cs="Times New Roman"/>
          <w:lang w:eastAsia="en-GB"/>
        </w:rPr>
        <w:t>’</w:t>
      </w:r>
      <w:r w:rsidRPr="00866F8B">
        <w:rPr>
          <w:rFonts w:ascii="Times New Roman" w:hAnsi="Times New Roman" w:cs="Times New Roman"/>
          <w:lang w:eastAsia="en-GB"/>
        </w:rPr>
        <w:t xml:space="preserve">, having a duty of this kind on a statutory footing was seen as an important way of ensuring </w:t>
      </w:r>
      <w:r w:rsidR="00BA4366">
        <w:rPr>
          <w:rFonts w:ascii="Times New Roman" w:hAnsi="Times New Roman" w:cs="Times New Roman"/>
          <w:lang w:eastAsia="en-GB"/>
        </w:rPr>
        <w:t>‘</w:t>
      </w:r>
      <w:r w:rsidRPr="00866F8B">
        <w:rPr>
          <w:rFonts w:ascii="Times New Roman" w:hAnsi="Times New Roman" w:cs="Times New Roman"/>
          <w:lang w:eastAsia="en-GB"/>
        </w:rPr>
        <w:t>buy in</w:t>
      </w:r>
      <w:r w:rsidR="00BA4366">
        <w:rPr>
          <w:rFonts w:ascii="Times New Roman" w:hAnsi="Times New Roman" w:cs="Times New Roman"/>
          <w:lang w:eastAsia="en-GB"/>
        </w:rPr>
        <w:t>’</w:t>
      </w:r>
      <w:r w:rsidRPr="00866F8B">
        <w:rPr>
          <w:rFonts w:ascii="Times New Roman" w:hAnsi="Times New Roman" w:cs="Times New Roman"/>
          <w:lang w:eastAsia="en-GB"/>
        </w:rPr>
        <w:t xml:space="preserve"> across the organisation:</w:t>
      </w:r>
    </w:p>
    <w:p w14:paraId="15289CD9" w14:textId="2846C79A" w:rsidR="00B94AA3" w:rsidRPr="00866F8B" w:rsidRDefault="00B94AA3" w:rsidP="00BA2D09">
      <w:pPr>
        <w:spacing w:line="240" w:lineRule="auto"/>
        <w:ind w:left="567" w:right="521"/>
        <w:rPr>
          <w:rFonts w:ascii="Times New Roman" w:hAnsi="Times New Roman" w:cs="Times New Roman"/>
          <w:lang w:eastAsia="en-GB"/>
        </w:rPr>
      </w:pPr>
      <w:r w:rsidRPr="00866F8B">
        <w:rPr>
          <w:rFonts w:ascii="Times New Roman" w:hAnsi="Times New Roman" w:cs="Times New Roman"/>
          <w:lang w:eastAsia="en-GB"/>
        </w:rPr>
        <w:t>So from our perspective, anything that</w:t>
      </w:r>
      <w:r w:rsidR="00BA4366">
        <w:rPr>
          <w:rFonts w:ascii="Times New Roman" w:hAnsi="Times New Roman" w:cs="Times New Roman"/>
          <w:lang w:eastAsia="en-GB"/>
        </w:rPr>
        <w:t>’</w:t>
      </w:r>
      <w:r w:rsidRPr="00866F8B">
        <w:rPr>
          <w:rFonts w:ascii="Times New Roman" w:hAnsi="Times New Roman" w:cs="Times New Roman"/>
          <w:lang w:eastAsia="en-GB"/>
        </w:rPr>
        <w:t>s statutory, anything that</w:t>
      </w:r>
      <w:r w:rsidR="00BA4366">
        <w:rPr>
          <w:rFonts w:ascii="Times New Roman" w:hAnsi="Times New Roman" w:cs="Times New Roman"/>
          <w:lang w:eastAsia="en-GB"/>
        </w:rPr>
        <w:t>’</w:t>
      </w:r>
      <w:r w:rsidRPr="00866F8B">
        <w:rPr>
          <w:rFonts w:ascii="Times New Roman" w:hAnsi="Times New Roman" w:cs="Times New Roman"/>
          <w:lang w:eastAsia="en-GB"/>
        </w:rPr>
        <w:t>s got legal requirements will get a much better buy in right across the board … in terms of regulatory bodies, in terms of local authorities and services, those legal duties and requirements are certainly in the senior leadership team is headed it</w:t>
      </w:r>
      <w:r w:rsidR="00BA4366">
        <w:rPr>
          <w:rFonts w:ascii="Times New Roman" w:hAnsi="Times New Roman" w:cs="Times New Roman"/>
          <w:lang w:eastAsia="en-GB"/>
        </w:rPr>
        <w:t>’</w:t>
      </w:r>
      <w:r w:rsidRPr="00866F8B">
        <w:rPr>
          <w:rFonts w:ascii="Times New Roman" w:hAnsi="Times New Roman" w:cs="Times New Roman"/>
          <w:lang w:eastAsia="en-GB"/>
        </w:rPr>
        <w:t>s on that agenda.</w:t>
      </w:r>
      <w:r>
        <w:rPr>
          <w:rStyle w:val="FootnoteReference"/>
          <w:rFonts w:ascii="Times New Roman" w:hAnsi="Times New Roman" w:cs="Times New Roman"/>
          <w:lang w:eastAsia="en-GB"/>
        </w:rPr>
        <w:footnoteReference w:id="157"/>
      </w:r>
    </w:p>
    <w:p w14:paraId="5215EB20" w14:textId="1418EEC2" w:rsidR="00B94AA3" w:rsidRPr="00866F8B" w:rsidRDefault="00B94AA3" w:rsidP="00BA2D09">
      <w:pPr>
        <w:rPr>
          <w:rFonts w:ascii="Times New Roman" w:hAnsi="Times New Roman" w:cs="Times New Roman"/>
          <w:lang w:eastAsia="en-GB"/>
        </w:rPr>
      </w:pPr>
      <w:r w:rsidRPr="00866F8B">
        <w:rPr>
          <w:rFonts w:ascii="Times New Roman" w:hAnsi="Times New Roman" w:cs="Times New Roman"/>
          <w:lang w:eastAsia="en-GB"/>
        </w:rPr>
        <w:t xml:space="preserve">This finding that statutory requirements generate </w:t>
      </w:r>
      <w:r w:rsidR="00BA4366">
        <w:rPr>
          <w:rFonts w:ascii="Times New Roman" w:hAnsi="Times New Roman" w:cs="Times New Roman"/>
          <w:lang w:eastAsia="en-GB"/>
        </w:rPr>
        <w:t>‘</w:t>
      </w:r>
      <w:r w:rsidRPr="00866F8B">
        <w:rPr>
          <w:rFonts w:ascii="Times New Roman" w:hAnsi="Times New Roman" w:cs="Times New Roman"/>
          <w:lang w:eastAsia="en-GB"/>
        </w:rPr>
        <w:t>much better buy in right across the board</w:t>
      </w:r>
      <w:r w:rsidR="00BA4366">
        <w:rPr>
          <w:rFonts w:ascii="Times New Roman" w:hAnsi="Times New Roman" w:cs="Times New Roman"/>
          <w:lang w:eastAsia="en-GB"/>
        </w:rPr>
        <w:t>’</w:t>
      </w:r>
      <w:r w:rsidRPr="00866F8B">
        <w:rPr>
          <w:rFonts w:ascii="Times New Roman" w:hAnsi="Times New Roman" w:cs="Times New Roman"/>
          <w:lang w:eastAsia="en-GB"/>
        </w:rPr>
        <w:t xml:space="preserve"> supports Fredman and Spencer</w:t>
      </w:r>
      <w:r w:rsidR="00BA4366">
        <w:rPr>
          <w:rFonts w:ascii="Times New Roman" w:hAnsi="Times New Roman" w:cs="Times New Roman"/>
          <w:lang w:eastAsia="en-GB"/>
        </w:rPr>
        <w:t>’</w:t>
      </w:r>
      <w:r w:rsidRPr="00866F8B">
        <w:rPr>
          <w:rFonts w:ascii="Times New Roman" w:hAnsi="Times New Roman" w:cs="Times New Roman"/>
          <w:lang w:eastAsia="en-GB"/>
        </w:rPr>
        <w:t xml:space="preserve">s argument for moving </w:t>
      </w:r>
      <w:r w:rsidR="00993299">
        <w:rPr>
          <w:rFonts w:ascii="Times New Roman" w:hAnsi="Times New Roman" w:cs="Times New Roman"/>
          <w:lang w:eastAsia="en-GB"/>
        </w:rPr>
        <w:t>to a broader conception of enforcement.</w:t>
      </w:r>
      <w:r w:rsidRPr="00866F8B">
        <w:rPr>
          <w:rFonts w:ascii="Times New Roman" w:hAnsi="Times New Roman" w:cs="Times New Roman"/>
          <w:lang w:eastAsia="en-GB"/>
        </w:rPr>
        <w:t xml:space="preserve"> </w:t>
      </w:r>
      <w:r w:rsidR="00993299">
        <w:rPr>
          <w:rFonts w:ascii="Times New Roman" w:hAnsi="Times New Roman" w:cs="Times New Roman"/>
          <w:lang w:eastAsia="en-GB"/>
        </w:rPr>
        <w:t>S</w:t>
      </w:r>
      <w:r w:rsidRPr="00866F8B">
        <w:rPr>
          <w:rFonts w:ascii="Times New Roman" w:hAnsi="Times New Roman" w:cs="Times New Roman"/>
          <w:lang w:eastAsia="en-GB"/>
        </w:rPr>
        <w:t xml:space="preserve">tronger enforcement would not only </w:t>
      </w:r>
      <w:r w:rsidR="00BA4366">
        <w:rPr>
          <w:rFonts w:ascii="Times New Roman" w:hAnsi="Times New Roman" w:cs="Times New Roman"/>
          <w:lang w:eastAsia="en-GB"/>
        </w:rPr>
        <w:t>‘</w:t>
      </w:r>
      <w:r w:rsidRPr="00866F8B">
        <w:rPr>
          <w:rFonts w:ascii="Times New Roman" w:hAnsi="Times New Roman" w:cs="Times New Roman"/>
          <w:lang w:eastAsia="en-GB"/>
        </w:rPr>
        <w:t xml:space="preserve">reduce the danger that [authorities] adopt a </w:t>
      </w:r>
      <w:r w:rsidR="00265B1B" w:rsidRPr="00BA2D09">
        <w:t>tick</w:t>
      </w:r>
      <w:r w:rsidR="005C3E07" w:rsidRPr="00BA2D09">
        <w:t xml:space="preserve"> </w:t>
      </w:r>
      <w:r w:rsidR="00265B1B" w:rsidRPr="00BA2D09">
        <w:t>box</w:t>
      </w:r>
      <w:r w:rsidRPr="00866F8B">
        <w:rPr>
          <w:rFonts w:ascii="Times New Roman" w:hAnsi="Times New Roman" w:cs="Times New Roman"/>
          <w:lang w:eastAsia="en-GB"/>
        </w:rPr>
        <w:t xml:space="preserve"> approach</w:t>
      </w:r>
      <w:r w:rsidR="00BA4366">
        <w:rPr>
          <w:rFonts w:ascii="Times New Roman" w:hAnsi="Times New Roman" w:cs="Times New Roman"/>
          <w:lang w:eastAsia="en-GB"/>
        </w:rPr>
        <w:t>’</w:t>
      </w:r>
      <w:r w:rsidR="005C3E07">
        <w:rPr>
          <w:rFonts w:ascii="Times New Roman" w:hAnsi="Times New Roman" w:cs="Times New Roman"/>
          <w:lang w:eastAsia="en-GB"/>
        </w:rPr>
        <w:t>,</w:t>
      </w:r>
      <w:r w:rsidRPr="00866F8B">
        <w:rPr>
          <w:rFonts w:ascii="Times New Roman" w:hAnsi="Times New Roman" w:cs="Times New Roman"/>
          <w:lang w:eastAsia="en-GB"/>
        </w:rPr>
        <w:t xml:space="preserve"> but would also empower civil servants to elevate equality considerations within organisations. Rather than viewing enforcement as an impediment that blame-avoiding actors would resist, this analysis suggests that</w:t>
      </w:r>
      <w:r w:rsidR="000938D4">
        <w:rPr>
          <w:rFonts w:ascii="Times New Roman" w:hAnsi="Times New Roman" w:cs="Times New Roman"/>
          <w:lang w:eastAsia="en-GB"/>
        </w:rPr>
        <w:t xml:space="preserve"> the stick of</w:t>
      </w:r>
      <w:r w:rsidRPr="00866F8B">
        <w:rPr>
          <w:rFonts w:ascii="Times New Roman" w:hAnsi="Times New Roman" w:cs="Times New Roman"/>
          <w:lang w:eastAsia="en-GB"/>
        </w:rPr>
        <w:t xml:space="preserve"> enforcement mechanisms may function as a form of institutional protection, providing leverage in resource allocation discussions and decision-making processes.</w:t>
      </w:r>
    </w:p>
    <w:p w14:paraId="5292FF0F" w14:textId="0DF9AB34" w:rsidR="00705BB7" w:rsidRPr="007C7BB9" w:rsidRDefault="00DC7CF3" w:rsidP="00BA4366">
      <w:pPr>
        <w:pStyle w:val="Heading1"/>
        <w:numPr>
          <w:ilvl w:val="0"/>
          <w:numId w:val="38"/>
        </w:numPr>
        <w:rPr>
          <w:rFonts w:ascii="Times New Roman" w:hAnsi="Times New Roman" w:cs="Times New Roman"/>
          <w:lang w:eastAsia="en-GB"/>
        </w:rPr>
      </w:pPr>
      <w:r>
        <w:rPr>
          <w:rFonts w:ascii="Times New Roman" w:hAnsi="Times New Roman" w:cs="Times New Roman"/>
          <w:lang w:eastAsia="en-GB"/>
        </w:rPr>
        <w:lastRenderedPageBreak/>
        <w:t xml:space="preserve">Quantitative Findings: An </w:t>
      </w:r>
      <w:r w:rsidRPr="007C7BB9">
        <w:rPr>
          <w:rFonts w:ascii="Times New Roman" w:hAnsi="Times New Roman" w:cs="Times New Roman"/>
          <w:lang w:eastAsia="en-GB"/>
        </w:rPr>
        <w:t xml:space="preserve">Experiment </w:t>
      </w:r>
      <w:r w:rsidR="00705BB7" w:rsidRPr="007C7BB9">
        <w:rPr>
          <w:rFonts w:ascii="Times New Roman" w:hAnsi="Times New Roman" w:cs="Times New Roman"/>
          <w:lang w:eastAsia="en-GB"/>
        </w:rPr>
        <w:t xml:space="preserve">with </w:t>
      </w:r>
      <w:r w:rsidRPr="007C7BB9">
        <w:rPr>
          <w:rFonts w:ascii="Times New Roman" w:hAnsi="Times New Roman" w:cs="Times New Roman"/>
          <w:lang w:eastAsia="en-GB"/>
        </w:rPr>
        <w:t>Civil Servants</w:t>
      </w:r>
    </w:p>
    <w:p w14:paraId="37AA0B97" w14:textId="0AB3273E" w:rsidR="00BA4366" w:rsidRDefault="00720944" w:rsidP="00BA2D09">
      <w:pPr>
        <w:spacing w:after="0"/>
        <w:rPr>
          <w:rFonts w:ascii="Times New Roman" w:hAnsi="Times New Roman" w:cs="Times New Roman"/>
          <w:lang w:eastAsia="en-GB"/>
        </w:rPr>
      </w:pPr>
      <w:r w:rsidRPr="00720944">
        <w:rPr>
          <w:rFonts w:ascii="Times New Roman" w:hAnsi="Times New Roman" w:cs="Times New Roman"/>
          <w:lang w:eastAsia="en-GB"/>
        </w:rPr>
        <w:t xml:space="preserve">The qualitative findings presented above reveal a complex picture: civil servants generally support the socio-economic duty in principle but express concerns about its implementation in practice. </w:t>
      </w:r>
      <w:r w:rsidR="00F2494C">
        <w:rPr>
          <w:rFonts w:ascii="Times New Roman" w:hAnsi="Times New Roman" w:cs="Times New Roman"/>
          <w:lang w:eastAsia="en-GB"/>
        </w:rPr>
        <w:t>These</w:t>
      </w:r>
      <w:r w:rsidR="00320E45" w:rsidRPr="00320E45">
        <w:rPr>
          <w:rFonts w:ascii="Times New Roman" w:hAnsi="Times New Roman" w:cs="Times New Roman"/>
          <w:lang w:eastAsia="en-GB"/>
        </w:rPr>
        <w:t xml:space="preserve"> coalesce around three interrelated themes</w:t>
      </w:r>
      <w:r w:rsidR="00E15E0D">
        <w:rPr>
          <w:rFonts w:ascii="Times New Roman" w:hAnsi="Times New Roman" w:cs="Times New Roman"/>
          <w:lang w:eastAsia="en-GB"/>
        </w:rPr>
        <w:t xml:space="preserve"> that echo arguments made in the </w:t>
      </w:r>
      <w:r w:rsidR="00C32BD2">
        <w:rPr>
          <w:rFonts w:ascii="Times New Roman" w:hAnsi="Times New Roman" w:cs="Times New Roman"/>
          <w:lang w:eastAsia="en-GB"/>
        </w:rPr>
        <w:t>blame avoidance</w:t>
      </w:r>
      <w:r w:rsidR="00E15E0D">
        <w:rPr>
          <w:rFonts w:ascii="Times New Roman" w:hAnsi="Times New Roman" w:cs="Times New Roman"/>
          <w:lang w:eastAsia="en-GB"/>
        </w:rPr>
        <w:t xml:space="preserve"> literature</w:t>
      </w:r>
      <w:r w:rsidR="00BA6689">
        <w:rPr>
          <w:rFonts w:ascii="Times New Roman" w:hAnsi="Times New Roman" w:cs="Times New Roman"/>
          <w:lang w:eastAsia="en-GB"/>
        </w:rPr>
        <w:t>:</w:t>
      </w:r>
      <w:r w:rsidR="00E15E0D">
        <w:rPr>
          <w:rFonts w:ascii="Times New Roman" w:hAnsi="Times New Roman" w:cs="Times New Roman"/>
          <w:lang w:eastAsia="en-GB"/>
        </w:rPr>
        <w:t xml:space="preserve"> </w:t>
      </w:r>
      <w:r w:rsidR="00320E45" w:rsidRPr="00320E45">
        <w:rPr>
          <w:rFonts w:ascii="Times New Roman" w:hAnsi="Times New Roman" w:cs="Times New Roman"/>
          <w:lang w:eastAsia="en-GB"/>
        </w:rPr>
        <w:t>resource constraints</w:t>
      </w:r>
      <w:r w:rsidR="00814B2B">
        <w:rPr>
          <w:rFonts w:ascii="Times New Roman" w:hAnsi="Times New Roman" w:cs="Times New Roman"/>
          <w:lang w:eastAsia="en-GB"/>
        </w:rPr>
        <w:t>,</w:t>
      </w:r>
      <w:r w:rsidR="00320E45" w:rsidRPr="00320E45">
        <w:rPr>
          <w:rFonts w:ascii="Times New Roman" w:hAnsi="Times New Roman" w:cs="Times New Roman"/>
          <w:lang w:eastAsia="en-GB"/>
        </w:rPr>
        <w:t xml:space="preserve"> the risk of</w:t>
      </w:r>
      <w:r w:rsidR="00320E45">
        <w:rPr>
          <w:rFonts w:ascii="Times New Roman" w:hAnsi="Times New Roman" w:cs="Times New Roman"/>
          <w:lang w:eastAsia="en-GB"/>
        </w:rPr>
        <w:t xml:space="preserve"> a</w:t>
      </w:r>
      <w:r w:rsidR="00320E45" w:rsidRPr="00320E45">
        <w:rPr>
          <w:rFonts w:ascii="Times New Roman" w:hAnsi="Times New Roman" w:cs="Times New Roman"/>
          <w:lang w:eastAsia="en-GB"/>
        </w:rPr>
        <w:t xml:space="preserve"> </w:t>
      </w:r>
      <w:r w:rsidR="008C74DC">
        <w:rPr>
          <w:rFonts w:ascii="Times New Roman" w:hAnsi="Times New Roman" w:cs="Times New Roman"/>
          <w:lang w:eastAsia="en-GB"/>
        </w:rPr>
        <w:t>‘tick-box mentality’</w:t>
      </w:r>
      <w:r w:rsidR="00320E45" w:rsidRPr="00320E45">
        <w:rPr>
          <w:rFonts w:ascii="Times New Roman" w:hAnsi="Times New Roman" w:cs="Times New Roman"/>
          <w:lang w:eastAsia="en-GB"/>
        </w:rPr>
        <w:t xml:space="preserve"> and </w:t>
      </w:r>
      <w:r w:rsidR="00D4562B">
        <w:rPr>
          <w:rFonts w:ascii="Times New Roman" w:hAnsi="Times New Roman" w:cs="Times New Roman"/>
          <w:lang w:eastAsia="en-GB"/>
        </w:rPr>
        <w:t>a view that robust enforcement is needed</w:t>
      </w:r>
      <w:r w:rsidR="00320E45" w:rsidRPr="00320E45">
        <w:rPr>
          <w:rFonts w:ascii="Times New Roman" w:hAnsi="Times New Roman" w:cs="Times New Roman"/>
          <w:lang w:eastAsia="en-GB"/>
        </w:rPr>
        <w:t xml:space="preserve">. These themes suggest that </w:t>
      </w:r>
      <w:r w:rsidR="0046186C">
        <w:rPr>
          <w:rFonts w:ascii="Times New Roman" w:hAnsi="Times New Roman" w:cs="Times New Roman"/>
          <w:lang w:eastAsia="en-GB"/>
        </w:rPr>
        <w:t xml:space="preserve">civil servant attitudes on the </w:t>
      </w:r>
      <w:r w:rsidR="00320E45" w:rsidRPr="00320E45">
        <w:rPr>
          <w:rFonts w:ascii="Times New Roman" w:hAnsi="Times New Roman" w:cs="Times New Roman"/>
          <w:lang w:eastAsia="en-GB"/>
        </w:rPr>
        <w:t xml:space="preserve">implementation of reflexive discrimination law </w:t>
      </w:r>
      <w:r w:rsidR="00814B2B">
        <w:rPr>
          <w:rFonts w:ascii="Times New Roman" w:hAnsi="Times New Roman" w:cs="Times New Roman"/>
          <w:lang w:eastAsia="en-GB"/>
        </w:rPr>
        <w:t>are</w:t>
      </w:r>
      <w:r w:rsidR="00320E45" w:rsidRPr="00320E45">
        <w:rPr>
          <w:rFonts w:ascii="Times New Roman" w:hAnsi="Times New Roman" w:cs="Times New Roman"/>
          <w:lang w:eastAsia="en-GB"/>
        </w:rPr>
        <w:t xml:space="preserve"> shaped by resources and enforcement, with important implications for how the duty may function in practice</w:t>
      </w:r>
      <w:r w:rsidR="00A35676">
        <w:rPr>
          <w:rFonts w:ascii="Times New Roman" w:hAnsi="Times New Roman" w:cs="Times New Roman"/>
          <w:lang w:eastAsia="en-GB"/>
        </w:rPr>
        <w:t xml:space="preserve"> and its support among the civil service</w:t>
      </w:r>
      <w:r w:rsidR="00320E45" w:rsidRPr="00320E45">
        <w:rPr>
          <w:rFonts w:ascii="Times New Roman" w:hAnsi="Times New Roman" w:cs="Times New Roman"/>
          <w:lang w:eastAsia="en-GB"/>
        </w:rPr>
        <w:t xml:space="preserve">. </w:t>
      </w:r>
      <w:r w:rsidRPr="00720944">
        <w:rPr>
          <w:rFonts w:ascii="Times New Roman" w:hAnsi="Times New Roman" w:cs="Times New Roman"/>
          <w:lang w:eastAsia="en-GB"/>
        </w:rPr>
        <w:t>This section details an experiment with civil servants that test</w:t>
      </w:r>
      <w:r w:rsidR="00A35676">
        <w:rPr>
          <w:rFonts w:ascii="Times New Roman" w:hAnsi="Times New Roman" w:cs="Times New Roman"/>
          <w:lang w:eastAsia="en-GB"/>
        </w:rPr>
        <w:t>s</w:t>
      </w:r>
      <w:r w:rsidRPr="00720944">
        <w:rPr>
          <w:rFonts w:ascii="Times New Roman" w:hAnsi="Times New Roman" w:cs="Times New Roman"/>
          <w:lang w:eastAsia="en-GB"/>
        </w:rPr>
        <w:t xml:space="preserve"> the interactions between </w:t>
      </w:r>
      <w:r w:rsidR="00192EE6">
        <w:rPr>
          <w:rFonts w:ascii="Times New Roman" w:hAnsi="Times New Roman" w:cs="Times New Roman"/>
          <w:lang w:eastAsia="en-GB"/>
        </w:rPr>
        <w:t>these</w:t>
      </w:r>
      <w:r w:rsidRPr="00720944">
        <w:rPr>
          <w:rFonts w:ascii="Times New Roman" w:hAnsi="Times New Roman" w:cs="Times New Roman"/>
          <w:lang w:eastAsia="en-GB"/>
        </w:rPr>
        <w:t xml:space="preserve"> key themes identified from the qualitative data: resources</w:t>
      </w:r>
      <w:r w:rsidR="00814B2B">
        <w:rPr>
          <w:rFonts w:ascii="Times New Roman" w:hAnsi="Times New Roman" w:cs="Times New Roman"/>
          <w:lang w:eastAsia="en-GB"/>
        </w:rPr>
        <w:t>,</w:t>
      </w:r>
      <w:r w:rsidRPr="00720944">
        <w:rPr>
          <w:rFonts w:ascii="Times New Roman" w:hAnsi="Times New Roman" w:cs="Times New Roman"/>
          <w:lang w:eastAsia="en-GB"/>
        </w:rPr>
        <w:t xml:space="preserve"> enforcement</w:t>
      </w:r>
      <w:r w:rsidR="00814B2B">
        <w:rPr>
          <w:rFonts w:ascii="Times New Roman" w:hAnsi="Times New Roman" w:cs="Times New Roman"/>
          <w:lang w:eastAsia="en-GB"/>
        </w:rPr>
        <w:t xml:space="preserve"> </w:t>
      </w:r>
      <w:r w:rsidRPr="00720944">
        <w:rPr>
          <w:rFonts w:ascii="Times New Roman" w:hAnsi="Times New Roman" w:cs="Times New Roman"/>
          <w:lang w:eastAsia="en-GB"/>
        </w:rPr>
        <w:t xml:space="preserve">and perceptions of the policy being a </w:t>
      </w:r>
      <w:r w:rsidR="00BA4366" w:rsidRPr="00814B2B">
        <w:t>‘</w:t>
      </w:r>
      <w:r w:rsidR="00265B1B" w:rsidRPr="00814B2B">
        <w:t>tick-box</w:t>
      </w:r>
      <w:r w:rsidR="00BA4366" w:rsidRPr="00814B2B">
        <w:t>’</w:t>
      </w:r>
      <w:r w:rsidRPr="00BA2D09">
        <w:t xml:space="preserve"> exercise.</w:t>
      </w:r>
    </w:p>
    <w:p w14:paraId="2E191B3A" w14:textId="318CC2F6" w:rsidR="00BA4366" w:rsidRDefault="00720944" w:rsidP="00BA2D09">
      <w:pPr>
        <w:spacing w:after="0"/>
        <w:rPr>
          <w:rFonts w:ascii="Times New Roman" w:hAnsi="Times New Roman" w:cs="Times New Roman"/>
          <w:lang w:eastAsia="en-GB"/>
        </w:rPr>
      </w:pPr>
      <w:r w:rsidRPr="00720944">
        <w:rPr>
          <w:rFonts w:ascii="Times New Roman" w:hAnsi="Times New Roman" w:cs="Times New Roman"/>
          <w:lang w:eastAsia="en-GB"/>
        </w:rPr>
        <w:t xml:space="preserve">In the existing literature, enforcement is often tied to a corresponding increase in </w:t>
      </w:r>
      <w:r w:rsidR="00C32BD2">
        <w:rPr>
          <w:rFonts w:ascii="Times New Roman" w:hAnsi="Times New Roman" w:cs="Times New Roman"/>
          <w:lang w:eastAsia="en-GB"/>
        </w:rPr>
        <w:t>blame avoidance</w:t>
      </w:r>
      <w:r w:rsidRPr="00720944">
        <w:rPr>
          <w:rFonts w:ascii="Times New Roman" w:hAnsi="Times New Roman" w:cs="Times New Roman"/>
          <w:lang w:eastAsia="en-GB"/>
        </w:rPr>
        <w:t xml:space="preserve"> behaviour.</w:t>
      </w:r>
      <w:r w:rsidR="004640A2">
        <w:rPr>
          <w:rStyle w:val="FootnoteReference"/>
          <w:rFonts w:ascii="Times New Roman" w:hAnsi="Times New Roman" w:cs="Times New Roman"/>
          <w:lang w:eastAsia="en-GB"/>
        </w:rPr>
        <w:footnoteReference w:id="158"/>
      </w:r>
      <w:r w:rsidRPr="00720944">
        <w:rPr>
          <w:rFonts w:ascii="Times New Roman" w:hAnsi="Times New Roman" w:cs="Times New Roman"/>
          <w:lang w:eastAsia="en-GB"/>
        </w:rPr>
        <w:t xml:space="preserve"> The argument goes that greater enforcement of a particular regulation can in turn lead to the regulated bodies relying more heavily on defensive forms of protocolisation (the kind o</w:t>
      </w:r>
      <w:r w:rsidRPr="00BA2D09">
        <w:t xml:space="preserve">f </w:t>
      </w:r>
      <w:r w:rsidR="00BA4366" w:rsidRPr="00814B2B">
        <w:t>‘</w:t>
      </w:r>
      <w:r w:rsidR="00265B1B" w:rsidRPr="00814B2B">
        <w:t>tick-box</w:t>
      </w:r>
      <w:r w:rsidR="00BA4366" w:rsidRPr="00814B2B">
        <w:t>’</w:t>
      </w:r>
      <w:r w:rsidRPr="00BA2D09">
        <w:t xml:space="preserve"> </w:t>
      </w:r>
      <w:r w:rsidR="00861EA5" w:rsidRPr="00BA2D09">
        <w:t>percept</w:t>
      </w:r>
      <w:r w:rsidR="00861EA5">
        <w:rPr>
          <w:rFonts w:ascii="Times New Roman" w:hAnsi="Times New Roman" w:cs="Times New Roman"/>
          <w:lang w:eastAsia="en-GB"/>
        </w:rPr>
        <w:t>ion explored in the qualitative data</w:t>
      </w:r>
      <w:r w:rsidRPr="00720944">
        <w:rPr>
          <w:rFonts w:ascii="Times New Roman" w:hAnsi="Times New Roman" w:cs="Times New Roman"/>
          <w:lang w:eastAsia="en-GB"/>
        </w:rPr>
        <w:t xml:space="preserve">). However, the </w:t>
      </w:r>
      <w:r w:rsidR="00BE7880">
        <w:rPr>
          <w:rFonts w:ascii="Times New Roman" w:hAnsi="Times New Roman" w:cs="Times New Roman"/>
          <w:lang w:eastAsia="en-GB"/>
        </w:rPr>
        <w:t>findings</w:t>
      </w:r>
      <w:r w:rsidRPr="00720944">
        <w:rPr>
          <w:rFonts w:ascii="Times New Roman" w:hAnsi="Times New Roman" w:cs="Times New Roman"/>
          <w:lang w:eastAsia="en-GB"/>
        </w:rPr>
        <w:t xml:space="preserve"> above suggest </w:t>
      </w:r>
      <w:r w:rsidR="00D4562B">
        <w:rPr>
          <w:rFonts w:ascii="Times New Roman" w:hAnsi="Times New Roman" w:cs="Times New Roman"/>
          <w:lang w:eastAsia="en-GB"/>
        </w:rPr>
        <w:t>that</w:t>
      </w:r>
      <w:r w:rsidRPr="00720944">
        <w:rPr>
          <w:rFonts w:ascii="Times New Roman" w:hAnsi="Times New Roman" w:cs="Times New Roman"/>
          <w:lang w:eastAsia="en-GB"/>
        </w:rPr>
        <w:t xml:space="preserve"> civil servants may consider that greater enforcement and accountability leads to a </w:t>
      </w:r>
      <w:r w:rsidRPr="00FE2A99">
        <w:rPr>
          <w:rFonts w:ascii="Times New Roman" w:hAnsi="Times New Roman" w:cs="Times New Roman"/>
          <w:i/>
          <w:iCs/>
          <w:lang w:eastAsia="en-GB"/>
        </w:rPr>
        <w:t>more</w:t>
      </w:r>
      <w:r w:rsidRPr="00720944">
        <w:rPr>
          <w:rFonts w:ascii="Times New Roman" w:hAnsi="Times New Roman" w:cs="Times New Roman"/>
          <w:lang w:eastAsia="en-GB"/>
        </w:rPr>
        <w:t xml:space="preserve"> effective policy </w:t>
      </w:r>
      <w:r w:rsidR="00D4562B">
        <w:rPr>
          <w:rFonts w:ascii="Times New Roman" w:hAnsi="Times New Roman" w:cs="Times New Roman"/>
          <w:lang w:eastAsia="en-GB"/>
        </w:rPr>
        <w:t>that is less likely to be</w:t>
      </w:r>
      <w:r w:rsidR="00D4562B" w:rsidRPr="00BA2D09">
        <w:t xml:space="preserve"> a </w:t>
      </w:r>
      <w:r w:rsidR="00BA4366" w:rsidRPr="00BA2D09">
        <w:t>‘</w:t>
      </w:r>
      <w:r w:rsidR="00265B1B" w:rsidRPr="00BA2D09">
        <w:t>tick</w:t>
      </w:r>
      <w:r w:rsidR="00265B1B" w:rsidRPr="00814B2B">
        <w:t>-</w:t>
      </w:r>
      <w:r w:rsidR="00265B1B" w:rsidRPr="00BA2D09">
        <w:t>box</w:t>
      </w:r>
      <w:r w:rsidR="00BA4366" w:rsidRPr="00BA2D09">
        <w:t>’</w:t>
      </w:r>
      <w:r w:rsidR="00D4562B" w:rsidRPr="00BA2D09">
        <w:t xml:space="preserve"> exerc</w:t>
      </w:r>
      <w:r w:rsidR="00D4562B">
        <w:rPr>
          <w:rFonts w:ascii="Times New Roman" w:hAnsi="Times New Roman" w:cs="Times New Roman"/>
          <w:lang w:eastAsia="en-GB"/>
        </w:rPr>
        <w:t>ise</w:t>
      </w:r>
      <w:r w:rsidRPr="00720944">
        <w:rPr>
          <w:rFonts w:ascii="Times New Roman" w:hAnsi="Times New Roman" w:cs="Times New Roman"/>
          <w:lang w:eastAsia="en-GB"/>
        </w:rPr>
        <w:t xml:space="preserve">. The presence of resources, on the other hand, is rarely explored in experimental studies, even if they are regularly interrogated in the broader literature on blame avoidance and </w:t>
      </w:r>
      <w:r w:rsidR="00BA4366">
        <w:rPr>
          <w:rFonts w:ascii="Times New Roman" w:hAnsi="Times New Roman" w:cs="Times New Roman"/>
          <w:lang w:eastAsia="en-GB"/>
        </w:rPr>
        <w:t>‘</w:t>
      </w:r>
      <w:r w:rsidRPr="00720944">
        <w:rPr>
          <w:rFonts w:ascii="Times New Roman" w:hAnsi="Times New Roman" w:cs="Times New Roman"/>
          <w:lang w:eastAsia="en-GB"/>
        </w:rPr>
        <w:t>passing the buck</w:t>
      </w:r>
      <w:r w:rsidR="00BA4366">
        <w:rPr>
          <w:rFonts w:ascii="Times New Roman" w:hAnsi="Times New Roman" w:cs="Times New Roman"/>
          <w:lang w:eastAsia="en-GB"/>
        </w:rPr>
        <w:t>’</w:t>
      </w:r>
      <w:r w:rsidRPr="00720944">
        <w:rPr>
          <w:rFonts w:ascii="Times New Roman" w:hAnsi="Times New Roman" w:cs="Times New Roman"/>
          <w:lang w:eastAsia="en-GB"/>
        </w:rPr>
        <w:t xml:space="preserve"> in policy design.</w:t>
      </w:r>
      <w:r w:rsidR="004640A2">
        <w:rPr>
          <w:rStyle w:val="FootnoteReference"/>
          <w:rFonts w:ascii="Times New Roman" w:hAnsi="Times New Roman" w:cs="Times New Roman"/>
          <w:lang w:eastAsia="en-GB"/>
        </w:rPr>
        <w:footnoteReference w:id="159"/>
      </w:r>
    </w:p>
    <w:p w14:paraId="01808FB6" w14:textId="77777777" w:rsidR="00BA4366" w:rsidRDefault="00720944" w:rsidP="00BA2D09">
      <w:pPr>
        <w:spacing w:after="0"/>
        <w:rPr>
          <w:rFonts w:ascii="Times New Roman" w:hAnsi="Times New Roman" w:cs="Times New Roman"/>
          <w:lang w:eastAsia="en-GB"/>
        </w:rPr>
      </w:pPr>
      <w:r w:rsidRPr="00720944">
        <w:rPr>
          <w:rFonts w:ascii="Times New Roman" w:hAnsi="Times New Roman" w:cs="Times New Roman"/>
          <w:lang w:eastAsia="en-GB"/>
        </w:rPr>
        <w:t xml:space="preserve">Drawing on these insights, </w:t>
      </w:r>
      <w:r>
        <w:rPr>
          <w:rFonts w:ascii="Times New Roman" w:hAnsi="Times New Roman" w:cs="Times New Roman"/>
          <w:lang w:eastAsia="en-GB"/>
        </w:rPr>
        <w:t>this section test</w:t>
      </w:r>
      <w:r w:rsidR="003B00B7">
        <w:rPr>
          <w:rFonts w:ascii="Times New Roman" w:hAnsi="Times New Roman" w:cs="Times New Roman"/>
          <w:lang w:eastAsia="en-GB"/>
        </w:rPr>
        <w:t>s</w:t>
      </w:r>
      <w:r>
        <w:rPr>
          <w:rFonts w:ascii="Times New Roman" w:hAnsi="Times New Roman" w:cs="Times New Roman"/>
          <w:lang w:eastAsia="en-GB"/>
        </w:rPr>
        <w:t xml:space="preserve"> </w:t>
      </w:r>
      <w:r w:rsidRPr="00720944">
        <w:rPr>
          <w:rFonts w:ascii="Times New Roman" w:hAnsi="Times New Roman" w:cs="Times New Roman"/>
          <w:lang w:eastAsia="en-GB"/>
        </w:rPr>
        <w:t>two hypotheses. First, given the consistent emphasis participants placed on both resources and enforcement as preconditions for effective implementation, I hypothesise that the absence of both factors would produce the most negative perceptions of the policy:</w:t>
      </w:r>
    </w:p>
    <w:p w14:paraId="31786581" w14:textId="654CBCB8" w:rsidR="00BA4366" w:rsidRDefault="00720944" w:rsidP="00BA2D09">
      <w:pPr>
        <w:spacing w:after="0"/>
        <w:ind w:left="567" w:right="521"/>
        <w:rPr>
          <w:rFonts w:ascii="Times New Roman" w:hAnsi="Times New Roman" w:cs="Times New Roman"/>
          <w:lang w:eastAsia="en-GB"/>
        </w:rPr>
      </w:pPr>
      <w:r w:rsidRPr="00720944">
        <w:rPr>
          <w:rFonts w:ascii="Times New Roman" w:hAnsi="Times New Roman" w:cs="Times New Roman"/>
          <w:i/>
          <w:iCs/>
          <w:lang w:eastAsia="en-GB"/>
        </w:rPr>
        <w:t>H1</w:t>
      </w:r>
      <w:r w:rsidRPr="00BA2D09">
        <w:t xml:space="preserve">: </w:t>
      </w:r>
      <w:r w:rsidRPr="00720944">
        <w:rPr>
          <w:rFonts w:ascii="Times New Roman" w:hAnsi="Times New Roman" w:cs="Times New Roman"/>
          <w:lang w:eastAsia="en-GB"/>
        </w:rPr>
        <w:t xml:space="preserve">The </w:t>
      </w:r>
      <w:r w:rsidR="00BA4366">
        <w:rPr>
          <w:rFonts w:ascii="Times New Roman" w:hAnsi="Times New Roman" w:cs="Times New Roman"/>
          <w:lang w:eastAsia="en-GB"/>
        </w:rPr>
        <w:t>‘</w:t>
      </w:r>
      <w:r w:rsidRPr="00720944">
        <w:rPr>
          <w:rFonts w:ascii="Times New Roman" w:hAnsi="Times New Roman" w:cs="Times New Roman"/>
          <w:lang w:eastAsia="en-GB"/>
        </w:rPr>
        <w:t>No Resources + No Enforcement</w:t>
      </w:r>
      <w:r w:rsidR="00BA4366">
        <w:rPr>
          <w:rFonts w:ascii="Times New Roman" w:hAnsi="Times New Roman" w:cs="Times New Roman"/>
          <w:lang w:eastAsia="en-GB"/>
        </w:rPr>
        <w:t>’</w:t>
      </w:r>
      <w:r w:rsidRPr="00720944">
        <w:rPr>
          <w:rFonts w:ascii="Times New Roman" w:hAnsi="Times New Roman" w:cs="Times New Roman"/>
          <w:lang w:eastAsia="en-GB"/>
        </w:rPr>
        <w:t xml:space="preserve"> condition will produce the highest levels of </w:t>
      </w:r>
      <w:r w:rsidR="00BA4366" w:rsidRPr="00814B2B">
        <w:t>‘</w:t>
      </w:r>
      <w:r w:rsidR="00265B1B" w:rsidRPr="00814B2B">
        <w:t>tick-box</w:t>
      </w:r>
      <w:r w:rsidR="00BA4366" w:rsidRPr="00814B2B">
        <w:t>’</w:t>
      </w:r>
      <w:r w:rsidRPr="00BA2D09">
        <w:t xml:space="preserve"> p</w:t>
      </w:r>
      <w:r w:rsidRPr="00720944">
        <w:rPr>
          <w:rFonts w:ascii="Times New Roman" w:hAnsi="Times New Roman" w:cs="Times New Roman"/>
          <w:lang w:eastAsia="en-GB"/>
        </w:rPr>
        <w:t>erceptions and the most negative attitudes of policy effectiveness.</w:t>
      </w:r>
    </w:p>
    <w:p w14:paraId="4EEAAEE9" w14:textId="77777777" w:rsidR="00BA4366" w:rsidRDefault="00720944" w:rsidP="00BA2D09">
      <w:pPr>
        <w:spacing w:after="0"/>
        <w:rPr>
          <w:rFonts w:ascii="Times New Roman" w:hAnsi="Times New Roman" w:cs="Times New Roman"/>
          <w:lang w:eastAsia="en-GB"/>
        </w:rPr>
      </w:pPr>
      <w:r w:rsidRPr="00720944">
        <w:rPr>
          <w:rFonts w:ascii="Times New Roman" w:hAnsi="Times New Roman" w:cs="Times New Roman"/>
          <w:lang w:eastAsia="en-GB"/>
        </w:rPr>
        <w:t xml:space="preserve">Second, while both resources and enforcement emerged as important factors in the qualitative data, </w:t>
      </w:r>
      <w:r w:rsidR="004607F4">
        <w:rPr>
          <w:rFonts w:ascii="Times New Roman" w:hAnsi="Times New Roman" w:cs="Times New Roman"/>
          <w:lang w:eastAsia="en-GB"/>
        </w:rPr>
        <w:t>the resource constraints</w:t>
      </w:r>
      <w:r w:rsidRPr="00720944">
        <w:rPr>
          <w:rFonts w:ascii="Times New Roman" w:hAnsi="Times New Roman" w:cs="Times New Roman"/>
          <w:lang w:eastAsia="en-GB"/>
        </w:rPr>
        <w:t xml:space="preserve"> </w:t>
      </w:r>
      <w:r w:rsidR="004607F4">
        <w:rPr>
          <w:rFonts w:ascii="Times New Roman" w:hAnsi="Times New Roman" w:cs="Times New Roman"/>
          <w:lang w:eastAsia="en-GB"/>
        </w:rPr>
        <w:t>were</w:t>
      </w:r>
      <w:r w:rsidRPr="00720944">
        <w:rPr>
          <w:rFonts w:ascii="Times New Roman" w:hAnsi="Times New Roman" w:cs="Times New Roman"/>
          <w:lang w:eastAsia="en-GB"/>
        </w:rPr>
        <w:t xml:space="preserve"> frequently </w:t>
      </w:r>
      <w:r w:rsidR="005A50CA">
        <w:rPr>
          <w:rFonts w:ascii="Times New Roman" w:hAnsi="Times New Roman" w:cs="Times New Roman"/>
          <w:lang w:eastAsia="en-GB"/>
        </w:rPr>
        <w:t>lamented</w:t>
      </w:r>
      <w:r w:rsidRPr="00720944">
        <w:rPr>
          <w:rFonts w:ascii="Times New Roman" w:hAnsi="Times New Roman" w:cs="Times New Roman"/>
          <w:lang w:eastAsia="en-GB"/>
        </w:rPr>
        <w:t xml:space="preserve"> as the fundamental barrier to meaningful implementation. Even with robust enforcement mechanisms, participants </w:t>
      </w:r>
      <w:r w:rsidRPr="00720944">
        <w:rPr>
          <w:rFonts w:ascii="Times New Roman" w:hAnsi="Times New Roman" w:cs="Times New Roman"/>
          <w:lang w:eastAsia="en-GB"/>
        </w:rPr>
        <w:lastRenderedPageBreak/>
        <w:t>suggested that without adequate resources, public bodies would struggle to do more than superficial compliance. This suggests that:</w:t>
      </w:r>
    </w:p>
    <w:p w14:paraId="1EDCA69E" w14:textId="6FE0C11A" w:rsidR="00BA4366" w:rsidRDefault="00720944" w:rsidP="00BA2D09">
      <w:pPr>
        <w:spacing w:after="0"/>
        <w:ind w:left="567" w:right="521"/>
        <w:rPr>
          <w:rFonts w:ascii="Times New Roman" w:hAnsi="Times New Roman" w:cs="Times New Roman"/>
          <w:lang w:eastAsia="en-GB"/>
        </w:rPr>
      </w:pPr>
      <w:r w:rsidRPr="00720944">
        <w:rPr>
          <w:rFonts w:ascii="Times New Roman" w:hAnsi="Times New Roman" w:cs="Times New Roman"/>
          <w:i/>
          <w:iCs/>
          <w:lang w:eastAsia="en-GB"/>
        </w:rPr>
        <w:t>H2</w:t>
      </w:r>
      <w:r w:rsidRPr="00BA2D09">
        <w:t xml:space="preserve">: Resources will have a stronger positive effect on perceived effectiveness and </w:t>
      </w:r>
      <w:r w:rsidR="00BA4366" w:rsidRPr="00814B2B">
        <w:t>‘</w:t>
      </w:r>
      <w:r w:rsidR="00265B1B" w:rsidRPr="00814B2B">
        <w:t>tick-</w:t>
      </w:r>
      <w:r w:rsidR="00265B1B" w:rsidRPr="00BA2D09">
        <w:t>box</w:t>
      </w:r>
      <w:r w:rsidRPr="00BA2D09">
        <w:t xml:space="preserve"> </w:t>
      </w:r>
      <w:r w:rsidRPr="00720944">
        <w:rPr>
          <w:rFonts w:ascii="Times New Roman" w:hAnsi="Times New Roman" w:cs="Times New Roman"/>
          <w:lang w:eastAsia="en-GB"/>
        </w:rPr>
        <w:t>perceptions</w:t>
      </w:r>
      <w:r w:rsidR="00BA4366">
        <w:rPr>
          <w:rFonts w:ascii="Times New Roman" w:hAnsi="Times New Roman" w:cs="Times New Roman"/>
          <w:lang w:eastAsia="en-GB"/>
        </w:rPr>
        <w:t>’</w:t>
      </w:r>
      <w:r w:rsidRPr="00720944">
        <w:rPr>
          <w:rFonts w:ascii="Times New Roman" w:hAnsi="Times New Roman" w:cs="Times New Roman"/>
          <w:lang w:eastAsia="en-GB"/>
        </w:rPr>
        <w:t xml:space="preserve"> than enforcement will.</w:t>
      </w:r>
    </w:p>
    <w:p w14:paraId="5926DC68" w14:textId="0084DC36" w:rsidR="00BA4366" w:rsidRPr="00BA2D09" w:rsidRDefault="00DF16B5" w:rsidP="00BA2D09">
      <w:pPr>
        <w:spacing w:after="0"/>
        <w:rPr>
          <w:rFonts w:ascii="Times New Roman" w:hAnsi="Times New Roman"/>
        </w:rPr>
      </w:pPr>
      <w:r>
        <w:rPr>
          <w:rFonts w:ascii="Times New Roman" w:eastAsia="Times New Roman" w:hAnsi="Times New Roman" w:cs="Times New Roman"/>
          <w:szCs w:val="24"/>
          <w:lang w:eastAsia="en-GB"/>
        </w:rPr>
        <w:t xml:space="preserve">The survey experiment results show clear support for </w:t>
      </w:r>
      <w:r w:rsidRPr="00DF16B5">
        <w:rPr>
          <w:rFonts w:ascii="Times New Roman" w:eastAsia="Times New Roman" w:hAnsi="Times New Roman" w:cs="Times New Roman"/>
          <w:i/>
          <w:iCs/>
          <w:szCs w:val="24"/>
          <w:lang w:eastAsia="en-GB"/>
        </w:rPr>
        <w:t>H1</w:t>
      </w:r>
      <w:r>
        <w:rPr>
          <w:rFonts w:ascii="Times New Roman" w:eastAsia="Times New Roman" w:hAnsi="Times New Roman" w:cs="Times New Roman"/>
          <w:szCs w:val="24"/>
          <w:lang w:eastAsia="en-GB"/>
        </w:rPr>
        <w:t xml:space="preserve"> and </w:t>
      </w:r>
      <w:r w:rsidRPr="00DF16B5">
        <w:rPr>
          <w:rFonts w:ascii="Times New Roman" w:eastAsia="Times New Roman" w:hAnsi="Times New Roman" w:cs="Times New Roman"/>
          <w:i/>
          <w:iCs/>
          <w:szCs w:val="24"/>
          <w:lang w:eastAsia="en-GB"/>
        </w:rPr>
        <w:t>H2</w:t>
      </w:r>
      <w:r>
        <w:rPr>
          <w:rFonts w:ascii="Times New Roman" w:eastAsia="Times New Roman" w:hAnsi="Times New Roman" w:cs="Times New Roman"/>
          <w:szCs w:val="24"/>
          <w:lang w:eastAsia="en-GB"/>
        </w:rPr>
        <w:t>: varying levels of resources and enforcement had a significant impact on perceptions of the effectiveness of the policy and whether it was a</w:t>
      </w:r>
      <w:r w:rsidRPr="00BA2D09">
        <w:t xml:space="preserve"> </w:t>
      </w:r>
      <w:r w:rsidR="00BA4366" w:rsidRPr="00BA2D09">
        <w:t>‘</w:t>
      </w:r>
      <w:r w:rsidR="00265B1B" w:rsidRPr="00BA2D09">
        <w:t>tick</w:t>
      </w:r>
      <w:r w:rsidR="00265B1B" w:rsidRPr="00814B2B">
        <w:t>-</w:t>
      </w:r>
      <w:r w:rsidR="00265B1B" w:rsidRPr="00BA2D09">
        <w:t>box</w:t>
      </w:r>
      <w:r w:rsidR="00BA4366" w:rsidRPr="00BA2D09">
        <w:t>’</w:t>
      </w:r>
      <w:r w:rsidRPr="00BA2D09">
        <w:t xml:space="preserve"> e</w:t>
      </w:r>
      <w:r>
        <w:rPr>
          <w:rFonts w:ascii="Times New Roman" w:eastAsia="Times New Roman" w:hAnsi="Times New Roman" w:cs="Times New Roman"/>
          <w:szCs w:val="24"/>
          <w:lang w:eastAsia="en-GB"/>
        </w:rPr>
        <w:t xml:space="preserve">xercise. </w:t>
      </w:r>
      <w:r w:rsidR="001D0A5D">
        <w:rPr>
          <w:rFonts w:ascii="Times New Roman" w:eastAsia="Times New Roman" w:hAnsi="Times New Roman" w:cs="Times New Roman"/>
          <w:szCs w:val="24"/>
          <w:lang w:eastAsia="en-GB"/>
        </w:rPr>
        <w:t xml:space="preserve">Responses to each question are </w:t>
      </w:r>
      <w:r w:rsidR="001D0A5D" w:rsidRPr="0093275C">
        <w:rPr>
          <w:rFonts w:ascii="Times New Roman" w:eastAsia="Times New Roman" w:hAnsi="Times New Roman" w:cs="Times New Roman"/>
          <w:szCs w:val="24"/>
          <w:lang w:eastAsia="en-GB"/>
        </w:rPr>
        <w:t xml:space="preserve">shown in Figures </w:t>
      </w:r>
      <w:r w:rsidR="00814B2B">
        <w:rPr>
          <w:rFonts w:ascii="Times New Roman" w:eastAsia="Times New Roman" w:hAnsi="Times New Roman" w:cs="Times New Roman"/>
          <w:szCs w:val="24"/>
          <w:lang w:eastAsia="en-GB"/>
        </w:rPr>
        <w:t>3</w:t>
      </w:r>
      <w:r w:rsidR="001D0A5D" w:rsidRPr="0093275C">
        <w:rPr>
          <w:rFonts w:ascii="Times New Roman" w:eastAsia="Times New Roman" w:hAnsi="Times New Roman" w:cs="Times New Roman"/>
          <w:szCs w:val="24"/>
          <w:lang w:eastAsia="en-GB"/>
        </w:rPr>
        <w:t xml:space="preserve"> and</w:t>
      </w:r>
      <w:r w:rsidR="0093275C" w:rsidRPr="0093275C">
        <w:rPr>
          <w:rFonts w:ascii="Times New Roman" w:eastAsia="Times New Roman" w:hAnsi="Times New Roman" w:cs="Times New Roman"/>
          <w:szCs w:val="24"/>
          <w:lang w:eastAsia="en-GB"/>
        </w:rPr>
        <w:t xml:space="preserve"> </w:t>
      </w:r>
      <w:r w:rsidR="00814B2B">
        <w:rPr>
          <w:rFonts w:ascii="Times New Roman" w:eastAsia="Times New Roman" w:hAnsi="Times New Roman" w:cs="Times New Roman"/>
          <w:szCs w:val="24"/>
          <w:lang w:eastAsia="en-GB"/>
        </w:rPr>
        <w:t>4 respectively</w:t>
      </w:r>
      <w:r w:rsidR="00A1650C" w:rsidRPr="0093275C">
        <w:rPr>
          <w:rFonts w:ascii="Times New Roman" w:eastAsia="Times New Roman" w:hAnsi="Times New Roman" w:cs="Times New Roman"/>
          <w:szCs w:val="24"/>
          <w:lang w:eastAsia="en-GB"/>
        </w:rPr>
        <w:t>.</w:t>
      </w:r>
    </w:p>
    <w:p w14:paraId="102FFF34" w14:textId="11F0ACEE" w:rsidR="00EE62A2" w:rsidRDefault="00EE62A2" w:rsidP="00BA2D09">
      <w:pPr>
        <w:rPr>
          <w:rFonts w:ascii="Times New Roman" w:hAnsi="Times New Roman" w:cs="Times New Roman"/>
          <w:b/>
          <w:bCs/>
          <w:lang w:eastAsia="en-GB"/>
        </w:rPr>
      </w:pPr>
      <w:r>
        <w:rPr>
          <w:rFonts w:ascii="Times New Roman" w:hAnsi="Times New Roman" w:cs="Times New Roman"/>
          <w:b/>
          <w:bCs/>
          <w:lang w:eastAsia="en-GB"/>
        </w:rPr>
        <w:br w:type="page"/>
      </w:r>
    </w:p>
    <w:p w14:paraId="24C7921C" w14:textId="19D11C61" w:rsidR="00B4078A" w:rsidRDefault="00B4078A" w:rsidP="00BA2D09">
      <w:pPr>
        <w:pStyle w:val="Caption"/>
        <w:rPr>
          <w:rFonts w:ascii="Times New Roman" w:hAnsi="Times New Roman" w:cs="Times New Roman"/>
          <w:lang w:eastAsia="en-GB"/>
        </w:rPr>
      </w:pPr>
      <w:r>
        <w:rPr>
          <w:rFonts w:ascii="Times New Roman" w:hAnsi="Times New Roman" w:cs="Times New Roman"/>
          <w:b/>
          <w:bCs/>
          <w:lang w:eastAsia="en-GB"/>
        </w:rPr>
        <w:lastRenderedPageBreak/>
        <w:t xml:space="preserve">Figure </w:t>
      </w:r>
      <w:r w:rsidR="00814B2B">
        <w:rPr>
          <w:rFonts w:ascii="Times New Roman" w:hAnsi="Times New Roman" w:cs="Times New Roman"/>
          <w:b/>
          <w:bCs/>
          <w:lang w:eastAsia="en-GB"/>
        </w:rPr>
        <w:t>3.</w:t>
      </w:r>
      <w:r>
        <w:rPr>
          <w:rFonts w:ascii="Times New Roman" w:hAnsi="Times New Roman" w:cs="Times New Roman"/>
          <w:b/>
          <w:bCs/>
          <w:lang w:eastAsia="en-GB"/>
        </w:rPr>
        <w:t xml:space="preserve"> </w:t>
      </w:r>
      <w:r w:rsidRPr="00BA2D09">
        <w:t xml:space="preserve">Stacked bar chart on perceptions of the duty being a </w:t>
      </w:r>
      <w:r w:rsidR="00BA4366" w:rsidRPr="00BA2D09">
        <w:t>‘</w:t>
      </w:r>
      <w:r w:rsidR="00265B1B" w:rsidRPr="00BA2D09">
        <w:t>tick</w:t>
      </w:r>
      <w:r w:rsidR="00265B1B" w:rsidRPr="00814B2B">
        <w:t>-box</w:t>
      </w:r>
      <w:r w:rsidR="00BA4366" w:rsidRPr="00814B2B">
        <w:t>’</w:t>
      </w:r>
      <w:r w:rsidRPr="00BA2D09">
        <w:t xml:space="preserve"> policy by </w:t>
      </w:r>
      <w:r>
        <w:rPr>
          <w:rFonts w:ascii="Times New Roman" w:hAnsi="Times New Roman" w:cs="Times New Roman"/>
          <w:lang w:eastAsia="en-GB"/>
        </w:rPr>
        <w:t>e</w:t>
      </w:r>
      <w:r w:rsidRPr="00B4078A">
        <w:rPr>
          <w:rFonts w:ascii="Times New Roman" w:hAnsi="Times New Roman" w:cs="Times New Roman"/>
          <w:lang w:eastAsia="en-GB"/>
        </w:rPr>
        <w:t xml:space="preserve">xperimental </w:t>
      </w:r>
      <w:r>
        <w:rPr>
          <w:rFonts w:ascii="Times New Roman" w:hAnsi="Times New Roman" w:cs="Times New Roman"/>
          <w:lang w:eastAsia="en-GB"/>
        </w:rPr>
        <w:t>c</w:t>
      </w:r>
      <w:r w:rsidRPr="00B4078A">
        <w:rPr>
          <w:rFonts w:ascii="Times New Roman" w:hAnsi="Times New Roman" w:cs="Times New Roman"/>
          <w:lang w:eastAsia="en-GB"/>
        </w:rPr>
        <w:t>ondition</w:t>
      </w:r>
    </w:p>
    <w:p w14:paraId="34502272" w14:textId="6F48C12D" w:rsidR="00557BA0" w:rsidRPr="001B304D" w:rsidRDefault="00557BA0" w:rsidP="001B304D">
      <w:pPr>
        <w:rPr>
          <w:lang w:eastAsia="en-GB"/>
        </w:rPr>
      </w:pPr>
      <w:r>
        <w:rPr>
          <w:noProof/>
          <w:lang w:eastAsia="en-GB"/>
        </w:rPr>
        <w:drawing>
          <wp:inline distT="0" distB="0" distL="0" distR="0" wp14:anchorId="5527BFC0" wp14:editId="2E5D1960">
            <wp:extent cx="5731510" cy="1916430"/>
            <wp:effectExtent l="0" t="0" r="2540" b="7620"/>
            <wp:docPr id="227109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09643" name="Picture 2271096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916430"/>
                    </a:xfrm>
                    <a:prstGeom prst="rect">
                      <a:avLst/>
                    </a:prstGeom>
                  </pic:spPr>
                </pic:pic>
              </a:graphicData>
            </a:graphic>
          </wp:inline>
        </w:drawing>
      </w:r>
    </w:p>
    <w:p w14:paraId="6B1EC7C6" w14:textId="693539C4" w:rsidR="00DF0852" w:rsidRDefault="00DF0852" w:rsidP="00BA2D09">
      <w:pPr>
        <w:pStyle w:val="Caption"/>
        <w:rPr>
          <w:rFonts w:ascii="Times New Roman" w:hAnsi="Times New Roman" w:cs="Times New Roman"/>
          <w:lang w:eastAsia="en-GB"/>
        </w:rPr>
      </w:pPr>
      <w:r>
        <w:rPr>
          <w:rFonts w:ascii="Times New Roman" w:hAnsi="Times New Roman" w:cs="Times New Roman"/>
          <w:b/>
          <w:bCs/>
          <w:lang w:eastAsia="en-GB"/>
        </w:rPr>
        <w:t xml:space="preserve">Figure </w:t>
      </w:r>
      <w:r w:rsidR="00814B2B">
        <w:rPr>
          <w:rFonts w:ascii="Times New Roman" w:hAnsi="Times New Roman" w:cs="Times New Roman"/>
          <w:b/>
          <w:bCs/>
          <w:lang w:eastAsia="en-GB"/>
        </w:rPr>
        <w:t>4.</w:t>
      </w:r>
      <w:r>
        <w:rPr>
          <w:rFonts w:ascii="Times New Roman" w:hAnsi="Times New Roman" w:cs="Times New Roman"/>
          <w:lang w:eastAsia="en-GB"/>
        </w:rPr>
        <w:t xml:space="preserve"> </w:t>
      </w:r>
      <w:r w:rsidRPr="00DF0852">
        <w:rPr>
          <w:rFonts w:ascii="Times New Roman" w:hAnsi="Times New Roman" w:cs="Times New Roman"/>
          <w:lang w:eastAsia="en-GB"/>
        </w:rPr>
        <w:t xml:space="preserve">Stacked </w:t>
      </w:r>
      <w:r>
        <w:rPr>
          <w:rFonts w:ascii="Times New Roman" w:hAnsi="Times New Roman" w:cs="Times New Roman"/>
          <w:lang w:eastAsia="en-GB"/>
        </w:rPr>
        <w:t>b</w:t>
      </w:r>
      <w:r w:rsidRPr="00DF0852">
        <w:rPr>
          <w:rFonts w:ascii="Times New Roman" w:hAnsi="Times New Roman" w:cs="Times New Roman"/>
          <w:lang w:eastAsia="en-GB"/>
        </w:rPr>
        <w:t xml:space="preserve">ar </w:t>
      </w:r>
      <w:r>
        <w:rPr>
          <w:rFonts w:ascii="Times New Roman" w:hAnsi="Times New Roman" w:cs="Times New Roman"/>
          <w:lang w:eastAsia="en-GB"/>
        </w:rPr>
        <w:t>c</w:t>
      </w:r>
      <w:r w:rsidRPr="00DF0852">
        <w:rPr>
          <w:rFonts w:ascii="Times New Roman" w:hAnsi="Times New Roman" w:cs="Times New Roman"/>
          <w:lang w:eastAsia="en-GB"/>
        </w:rPr>
        <w:t xml:space="preserve">hart on </w:t>
      </w:r>
      <w:r>
        <w:rPr>
          <w:rFonts w:ascii="Times New Roman" w:hAnsi="Times New Roman" w:cs="Times New Roman"/>
          <w:lang w:eastAsia="en-GB"/>
        </w:rPr>
        <w:t>perceptions of the duty</w:t>
      </w:r>
      <w:r w:rsidR="00BA4366">
        <w:rPr>
          <w:rFonts w:ascii="Times New Roman" w:hAnsi="Times New Roman" w:cs="Times New Roman"/>
          <w:lang w:eastAsia="en-GB"/>
        </w:rPr>
        <w:t>’</w:t>
      </w:r>
      <w:r>
        <w:rPr>
          <w:rFonts w:ascii="Times New Roman" w:hAnsi="Times New Roman" w:cs="Times New Roman"/>
          <w:lang w:eastAsia="en-GB"/>
        </w:rPr>
        <w:t>s e</w:t>
      </w:r>
      <w:r w:rsidRPr="00DF0852">
        <w:rPr>
          <w:rFonts w:ascii="Times New Roman" w:hAnsi="Times New Roman" w:cs="Times New Roman"/>
          <w:lang w:eastAsia="en-GB"/>
        </w:rPr>
        <w:t xml:space="preserve">ffectiveness by </w:t>
      </w:r>
      <w:r>
        <w:rPr>
          <w:rFonts w:ascii="Times New Roman" w:hAnsi="Times New Roman" w:cs="Times New Roman"/>
          <w:lang w:eastAsia="en-GB"/>
        </w:rPr>
        <w:t>e</w:t>
      </w:r>
      <w:r w:rsidRPr="00DF0852">
        <w:rPr>
          <w:rFonts w:ascii="Times New Roman" w:hAnsi="Times New Roman" w:cs="Times New Roman"/>
          <w:lang w:eastAsia="en-GB"/>
        </w:rPr>
        <w:t xml:space="preserve">xperimental </w:t>
      </w:r>
      <w:r>
        <w:rPr>
          <w:rFonts w:ascii="Times New Roman" w:hAnsi="Times New Roman" w:cs="Times New Roman"/>
          <w:lang w:eastAsia="en-GB"/>
        </w:rPr>
        <w:t>c</w:t>
      </w:r>
      <w:r w:rsidRPr="00DF0852">
        <w:rPr>
          <w:rFonts w:ascii="Times New Roman" w:hAnsi="Times New Roman" w:cs="Times New Roman"/>
          <w:lang w:eastAsia="en-GB"/>
        </w:rPr>
        <w:t>ondition</w:t>
      </w:r>
    </w:p>
    <w:p w14:paraId="617CC2BC" w14:textId="54F5F229" w:rsidR="00557BA0" w:rsidRPr="001B304D" w:rsidRDefault="00557BA0" w:rsidP="001B304D">
      <w:pPr>
        <w:rPr>
          <w:lang w:eastAsia="en-GB"/>
        </w:rPr>
      </w:pPr>
      <w:r>
        <w:rPr>
          <w:noProof/>
          <w:lang w:eastAsia="en-GB"/>
        </w:rPr>
        <w:drawing>
          <wp:inline distT="0" distB="0" distL="0" distR="0" wp14:anchorId="7A5800C8" wp14:editId="6A35D5EF">
            <wp:extent cx="5731510" cy="1916430"/>
            <wp:effectExtent l="0" t="0" r="2540" b="7620"/>
            <wp:docPr id="1046808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08523" name="Picture 10468085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916430"/>
                    </a:xfrm>
                    <a:prstGeom prst="rect">
                      <a:avLst/>
                    </a:prstGeom>
                  </pic:spPr>
                </pic:pic>
              </a:graphicData>
            </a:graphic>
          </wp:inline>
        </w:drawing>
      </w:r>
    </w:p>
    <w:p w14:paraId="4E442901" w14:textId="402E85A7" w:rsidR="00960F99" w:rsidRPr="00960F99" w:rsidRDefault="00960F99" w:rsidP="00BA2D09">
      <w:pPr>
        <w:rPr>
          <w:rFonts w:ascii="Times New Roman" w:hAnsi="Times New Roman" w:cs="Times New Roman"/>
          <w:lang w:eastAsia="en-GB"/>
        </w:rPr>
      </w:pPr>
      <w:r>
        <w:rPr>
          <w:rFonts w:ascii="Times New Roman" w:hAnsi="Times New Roman" w:cs="Times New Roman"/>
          <w:lang w:eastAsia="en-GB"/>
        </w:rPr>
        <w:t xml:space="preserve">The effects were large. For participants who saw the </w:t>
      </w:r>
      <w:r>
        <w:rPr>
          <w:rFonts w:ascii="Times New Roman" w:hAnsi="Times New Roman" w:cs="Times New Roman"/>
          <w:i/>
          <w:iCs/>
          <w:lang w:eastAsia="en-GB"/>
        </w:rPr>
        <w:t>resources present + high enforcement</w:t>
      </w:r>
      <w:r>
        <w:rPr>
          <w:rFonts w:ascii="Times New Roman" w:hAnsi="Times New Roman" w:cs="Times New Roman"/>
          <w:lang w:eastAsia="en-GB"/>
        </w:rPr>
        <w:t xml:space="preserve"> scenario, 20% disagreed </w:t>
      </w:r>
      <w:r w:rsidR="00D1001F">
        <w:rPr>
          <w:rFonts w:ascii="Times New Roman" w:hAnsi="Times New Roman" w:cs="Times New Roman"/>
          <w:lang w:eastAsia="en-GB"/>
        </w:rPr>
        <w:t xml:space="preserve">that </w:t>
      </w:r>
      <w:r>
        <w:rPr>
          <w:rFonts w:ascii="Times New Roman" w:hAnsi="Times New Roman" w:cs="Times New Roman"/>
          <w:lang w:eastAsia="en-GB"/>
        </w:rPr>
        <w:t xml:space="preserve">the policy would be </w:t>
      </w:r>
      <w:r w:rsidRPr="00BA2D09">
        <w:t xml:space="preserve">a </w:t>
      </w:r>
      <w:r w:rsidR="00BA4366" w:rsidRPr="00BA2D09">
        <w:t>‘</w:t>
      </w:r>
      <w:r w:rsidR="00265B1B" w:rsidRPr="00BA2D09">
        <w:t>tick</w:t>
      </w:r>
      <w:r w:rsidR="00265B1B" w:rsidRPr="00814B2B">
        <w:t>-</w:t>
      </w:r>
      <w:r w:rsidR="00265B1B" w:rsidRPr="00BA2D09">
        <w:t>box</w:t>
      </w:r>
      <w:r w:rsidR="00BA4366" w:rsidRPr="00BA2D09">
        <w:t>’</w:t>
      </w:r>
      <w:r w:rsidRPr="00BA2D09">
        <w:t xml:space="preserve"> ex</w:t>
      </w:r>
      <w:r>
        <w:rPr>
          <w:rFonts w:ascii="Times New Roman" w:hAnsi="Times New Roman" w:cs="Times New Roman"/>
          <w:lang w:eastAsia="en-GB"/>
        </w:rPr>
        <w:t xml:space="preserve">ercise, compared to 6% of those who saw the </w:t>
      </w:r>
      <w:r>
        <w:rPr>
          <w:rFonts w:ascii="Times New Roman" w:hAnsi="Times New Roman" w:cs="Times New Roman"/>
          <w:i/>
          <w:iCs/>
          <w:lang w:eastAsia="en-GB"/>
        </w:rPr>
        <w:t xml:space="preserve">resources absent + low enforcement </w:t>
      </w:r>
      <w:r>
        <w:rPr>
          <w:rFonts w:ascii="Times New Roman" w:hAnsi="Times New Roman" w:cs="Times New Roman"/>
          <w:lang w:eastAsia="en-GB"/>
        </w:rPr>
        <w:t xml:space="preserve">scenario. Likewise, 18% of those who saw the former thought the policy would be </w:t>
      </w:r>
      <w:r w:rsidR="00BA4366">
        <w:rPr>
          <w:rFonts w:ascii="Times New Roman" w:hAnsi="Times New Roman" w:cs="Times New Roman"/>
          <w:lang w:eastAsia="en-GB"/>
        </w:rPr>
        <w:t>‘</w:t>
      </w:r>
      <w:r>
        <w:rPr>
          <w:rFonts w:ascii="Times New Roman" w:hAnsi="Times New Roman" w:cs="Times New Roman"/>
          <w:lang w:eastAsia="en-GB"/>
        </w:rPr>
        <w:t>not at all effective</w:t>
      </w:r>
      <w:r w:rsidR="00BA4366">
        <w:rPr>
          <w:rFonts w:ascii="Times New Roman" w:hAnsi="Times New Roman" w:cs="Times New Roman"/>
          <w:lang w:eastAsia="en-GB"/>
        </w:rPr>
        <w:t>’</w:t>
      </w:r>
      <w:r>
        <w:rPr>
          <w:rFonts w:ascii="Times New Roman" w:hAnsi="Times New Roman" w:cs="Times New Roman"/>
          <w:lang w:eastAsia="en-GB"/>
        </w:rPr>
        <w:t xml:space="preserve"> compared to 38% who saw the latter. The combination of other factors sat in the middle of the two, with negative attitudes being marginally higher for the </w:t>
      </w:r>
      <w:r>
        <w:rPr>
          <w:rFonts w:ascii="Times New Roman" w:hAnsi="Times New Roman" w:cs="Times New Roman"/>
          <w:i/>
          <w:iCs/>
          <w:lang w:eastAsia="en-GB"/>
        </w:rPr>
        <w:t xml:space="preserve">resources absent + high enforcement </w:t>
      </w:r>
      <w:r>
        <w:rPr>
          <w:rFonts w:ascii="Times New Roman" w:hAnsi="Times New Roman" w:cs="Times New Roman"/>
          <w:lang w:eastAsia="en-GB"/>
        </w:rPr>
        <w:t xml:space="preserve">scenario than </w:t>
      </w:r>
      <w:r w:rsidR="00814B2B">
        <w:rPr>
          <w:rFonts w:ascii="Times New Roman" w:hAnsi="Times New Roman" w:cs="Times New Roman"/>
          <w:lang w:eastAsia="en-GB"/>
        </w:rPr>
        <w:t xml:space="preserve">for </w:t>
      </w:r>
      <w:r>
        <w:rPr>
          <w:rFonts w:ascii="Times New Roman" w:hAnsi="Times New Roman" w:cs="Times New Roman"/>
          <w:lang w:eastAsia="en-GB"/>
        </w:rPr>
        <w:t xml:space="preserve">the </w:t>
      </w:r>
      <w:r>
        <w:rPr>
          <w:rFonts w:ascii="Times New Roman" w:hAnsi="Times New Roman" w:cs="Times New Roman"/>
          <w:i/>
          <w:iCs/>
          <w:lang w:eastAsia="en-GB"/>
        </w:rPr>
        <w:t xml:space="preserve">resources present + low enforcement </w:t>
      </w:r>
      <w:r>
        <w:rPr>
          <w:rFonts w:ascii="Times New Roman" w:hAnsi="Times New Roman" w:cs="Times New Roman"/>
          <w:lang w:eastAsia="en-GB"/>
        </w:rPr>
        <w:t>scenario.</w:t>
      </w:r>
    </w:p>
    <w:p w14:paraId="68159972" w14:textId="2D56FC1C" w:rsidR="00945BE9" w:rsidRDefault="00960F99" w:rsidP="00BA2D09">
      <w:pPr>
        <w:rPr>
          <w:rFonts w:ascii="Times New Roman" w:hAnsi="Times New Roman" w:cs="Times New Roman"/>
          <w:lang w:eastAsia="en-GB"/>
        </w:rPr>
      </w:pPr>
      <w:r>
        <w:rPr>
          <w:rFonts w:ascii="Times New Roman" w:hAnsi="Times New Roman" w:cs="Times New Roman"/>
          <w:lang w:eastAsia="en-GB"/>
        </w:rPr>
        <w:t xml:space="preserve">To explore the significance and interaction of these factors further, Table </w:t>
      </w:r>
      <w:r w:rsidR="00814B2B">
        <w:rPr>
          <w:rFonts w:ascii="Times New Roman" w:hAnsi="Times New Roman" w:cs="Times New Roman"/>
          <w:lang w:eastAsia="en-GB"/>
        </w:rPr>
        <w:t>2</w:t>
      </w:r>
      <w:r>
        <w:rPr>
          <w:rFonts w:ascii="Times New Roman" w:hAnsi="Times New Roman" w:cs="Times New Roman"/>
          <w:lang w:eastAsia="en-GB"/>
        </w:rPr>
        <w:t xml:space="preserve"> details the results of a two-way </w:t>
      </w:r>
      <w:r w:rsidR="00814B2B">
        <w:rPr>
          <w:rFonts w:ascii="Times New Roman" w:hAnsi="Times New Roman" w:cs="Times New Roman"/>
          <w:lang w:eastAsia="en-GB"/>
        </w:rPr>
        <w:t>analysis of variance (</w:t>
      </w:r>
      <w:r>
        <w:rPr>
          <w:rFonts w:ascii="Times New Roman" w:hAnsi="Times New Roman" w:cs="Times New Roman"/>
          <w:lang w:eastAsia="en-GB"/>
        </w:rPr>
        <w:t>ANOVA</w:t>
      </w:r>
      <w:r w:rsidR="00814B2B">
        <w:rPr>
          <w:rFonts w:ascii="Times New Roman" w:hAnsi="Times New Roman" w:cs="Times New Roman"/>
          <w:lang w:eastAsia="en-GB"/>
        </w:rPr>
        <w:t>)</w:t>
      </w:r>
      <w:r>
        <w:rPr>
          <w:rFonts w:ascii="Times New Roman" w:hAnsi="Times New Roman" w:cs="Times New Roman"/>
          <w:lang w:eastAsia="en-GB"/>
        </w:rPr>
        <w:t xml:space="preserve"> statistical test. This </w:t>
      </w:r>
      <w:r w:rsidRPr="00960F99">
        <w:rPr>
          <w:rFonts w:ascii="Times New Roman" w:hAnsi="Times New Roman" w:cs="Times New Roman"/>
          <w:lang w:eastAsia="en-GB"/>
        </w:rPr>
        <w:t xml:space="preserve">test examines the effects of </w:t>
      </w:r>
      <w:r>
        <w:rPr>
          <w:rFonts w:ascii="Times New Roman" w:hAnsi="Times New Roman" w:cs="Times New Roman"/>
          <w:lang w:eastAsia="en-GB"/>
        </w:rPr>
        <w:t xml:space="preserve">resources and enforcement on </w:t>
      </w:r>
      <w:r w:rsidR="00814B2B">
        <w:rPr>
          <w:rFonts w:ascii="Times New Roman" w:hAnsi="Times New Roman" w:cs="Times New Roman"/>
          <w:lang w:eastAsia="en-GB"/>
        </w:rPr>
        <w:t>‘</w:t>
      </w:r>
      <w:r>
        <w:rPr>
          <w:rFonts w:ascii="Times New Roman" w:hAnsi="Times New Roman" w:cs="Times New Roman"/>
          <w:lang w:eastAsia="en-GB"/>
        </w:rPr>
        <w:t>tick-box</w:t>
      </w:r>
      <w:r w:rsidR="00814B2B">
        <w:rPr>
          <w:rFonts w:ascii="Times New Roman" w:hAnsi="Times New Roman" w:cs="Times New Roman"/>
          <w:lang w:eastAsia="en-GB"/>
        </w:rPr>
        <w:t>’</w:t>
      </w:r>
      <w:r>
        <w:rPr>
          <w:rFonts w:ascii="Times New Roman" w:hAnsi="Times New Roman" w:cs="Times New Roman"/>
          <w:lang w:eastAsia="en-GB"/>
        </w:rPr>
        <w:t xml:space="preserve"> perceptions</w:t>
      </w:r>
      <w:r w:rsidR="00367FF5">
        <w:rPr>
          <w:rFonts w:ascii="Times New Roman" w:hAnsi="Times New Roman" w:cs="Times New Roman"/>
          <w:lang w:eastAsia="en-GB"/>
        </w:rPr>
        <w:t xml:space="preserve"> and policy effectiveness</w:t>
      </w:r>
      <w:r w:rsidRPr="00960F99">
        <w:rPr>
          <w:rFonts w:ascii="Times New Roman" w:hAnsi="Times New Roman" w:cs="Times New Roman"/>
          <w:lang w:eastAsia="en-GB"/>
        </w:rPr>
        <w:t>.</w:t>
      </w:r>
      <w:r>
        <w:rPr>
          <w:rFonts w:ascii="Times New Roman" w:hAnsi="Times New Roman" w:cs="Times New Roman"/>
          <w:lang w:eastAsia="en-GB"/>
        </w:rPr>
        <w:t xml:space="preserve"> It does so by assessing whether the differences in means between these variables are statistically significant or could be due to random chance.</w:t>
      </w:r>
    </w:p>
    <w:p w14:paraId="5E3BD4AC" w14:textId="65451310" w:rsidR="004607F4" w:rsidRPr="007C7BB9" w:rsidRDefault="004607F4" w:rsidP="00BA2D09">
      <w:pPr>
        <w:rPr>
          <w:rFonts w:ascii="Times New Roman" w:hAnsi="Times New Roman" w:cs="Times New Roman"/>
          <w:b/>
          <w:bCs/>
          <w:szCs w:val="24"/>
        </w:rPr>
      </w:pPr>
      <w:bookmarkStart w:id="17" w:name="_Hlk206840752"/>
      <w:r w:rsidRPr="007C7BB9">
        <w:rPr>
          <w:rFonts w:ascii="Times New Roman" w:hAnsi="Times New Roman" w:cs="Times New Roman"/>
          <w:b/>
          <w:bCs/>
          <w:szCs w:val="24"/>
        </w:rPr>
        <w:t xml:space="preserve">Table </w:t>
      </w:r>
      <w:r w:rsidR="00814B2B">
        <w:rPr>
          <w:rFonts w:ascii="Times New Roman" w:hAnsi="Times New Roman" w:cs="Times New Roman"/>
          <w:b/>
          <w:bCs/>
          <w:szCs w:val="24"/>
        </w:rPr>
        <w:t>2.</w:t>
      </w:r>
      <w:r w:rsidRPr="007C7BB9">
        <w:rPr>
          <w:rFonts w:ascii="Times New Roman" w:hAnsi="Times New Roman" w:cs="Times New Roman"/>
          <w:b/>
          <w:bCs/>
          <w:szCs w:val="24"/>
        </w:rPr>
        <w:t xml:space="preserve"> Effects of </w:t>
      </w:r>
      <w:r>
        <w:rPr>
          <w:rFonts w:ascii="Times New Roman" w:hAnsi="Times New Roman" w:cs="Times New Roman"/>
          <w:b/>
          <w:bCs/>
          <w:szCs w:val="24"/>
        </w:rPr>
        <w:t>r</w:t>
      </w:r>
      <w:r w:rsidRPr="007C7BB9">
        <w:rPr>
          <w:rFonts w:ascii="Times New Roman" w:hAnsi="Times New Roman" w:cs="Times New Roman"/>
          <w:b/>
          <w:bCs/>
          <w:szCs w:val="24"/>
        </w:rPr>
        <w:t xml:space="preserve">esources and </w:t>
      </w:r>
      <w:r>
        <w:rPr>
          <w:rFonts w:ascii="Times New Roman" w:hAnsi="Times New Roman" w:cs="Times New Roman"/>
          <w:b/>
          <w:bCs/>
          <w:szCs w:val="24"/>
        </w:rPr>
        <w:t>e</w:t>
      </w:r>
      <w:r w:rsidRPr="007C7BB9">
        <w:rPr>
          <w:rFonts w:ascii="Times New Roman" w:hAnsi="Times New Roman" w:cs="Times New Roman"/>
          <w:b/>
          <w:bCs/>
          <w:szCs w:val="24"/>
        </w:rPr>
        <w:t xml:space="preserve">nforcement on </w:t>
      </w:r>
      <w:r>
        <w:rPr>
          <w:rFonts w:ascii="Times New Roman" w:hAnsi="Times New Roman" w:cs="Times New Roman"/>
          <w:b/>
          <w:bCs/>
          <w:szCs w:val="24"/>
        </w:rPr>
        <w:t>p</w:t>
      </w:r>
      <w:r w:rsidRPr="007C7BB9">
        <w:rPr>
          <w:rFonts w:ascii="Times New Roman" w:hAnsi="Times New Roman" w:cs="Times New Roman"/>
          <w:b/>
          <w:bCs/>
          <w:szCs w:val="24"/>
        </w:rPr>
        <w:t xml:space="preserve">olicy </w:t>
      </w:r>
      <w:r>
        <w:rPr>
          <w:rFonts w:ascii="Times New Roman" w:hAnsi="Times New Roman" w:cs="Times New Roman"/>
          <w:b/>
          <w:bCs/>
          <w:szCs w:val="24"/>
        </w:rPr>
        <w:t>e</w:t>
      </w:r>
      <w:r w:rsidRPr="007C7BB9">
        <w:rPr>
          <w:rFonts w:ascii="Times New Roman" w:hAnsi="Times New Roman" w:cs="Times New Roman"/>
          <w:b/>
          <w:bCs/>
          <w:szCs w:val="24"/>
        </w:rPr>
        <w:t xml:space="preserve">ffectiveness and </w:t>
      </w:r>
      <w:r w:rsidR="00BA4366">
        <w:rPr>
          <w:rFonts w:ascii="Times New Roman" w:hAnsi="Times New Roman" w:cs="Times New Roman"/>
          <w:b/>
          <w:bCs/>
          <w:szCs w:val="24"/>
        </w:rPr>
        <w:t>‘</w:t>
      </w:r>
      <w:r w:rsidR="00265B1B" w:rsidRPr="00814B2B">
        <w:rPr>
          <w:rFonts w:ascii="Times New Roman" w:hAnsi="Times New Roman" w:cs="Times New Roman"/>
          <w:b/>
          <w:bCs/>
          <w:szCs w:val="24"/>
        </w:rPr>
        <w:t>tick-box</w:t>
      </w:r>
      <w:r w:rsidR="00BA4366">
        <w:rPr>
          <w:rFonts w:ascii="Times New Roman" w:hAnsi="Times New Roman" w:cs="Times New Roman"/>
          <w:b/>
          <w:bCs/>
          <w:szCs w:val="24"/>
        </w:rPr>
        <w:t>’</w:t>
      </w:r>
      <w:r w:rsidRPr="007C7BB9">
        <w:rPr>
          <w:rFonts w:ascii="Times New Roman" w:hAnsi="Times New Roman" w:cs="Times New Roman"/>
          <w:b/>
          <w:bCs/>
          <w:szCs w:val="24"/>
        </w:rPr>
        <w:t xml:space="preserve"> </w:t>
      </w:r>
      <w:r>
        <w:rPr>
          <w:rFonts w:ascii="Times New Roman" w:hAnsi="Times New Roman" w:cs="Times New Roman"/>
          <w:b/>
          <w:bCs/>
          <w:szCs w:val="24"/>
        </w:rPr>
        <w:t>p</w:t>
      </w:r>
      <w:r w:rsidRPr="007C7BB9">
        <w:rPr>
          <w:rFonts w:ascii="Times New Roman" w:hAnsi="Times New Roman" w:cs="Times New Roman"/>
          <w:b/>
          <w:bCs/>
          <w:szCs w:val="24"/>
        </w:rPr>
        <w:t xml:space="preserve">erceptions: </w:t>
      </w:r>
      <w:r w:rsidR="00814B2B" w:rsidRPr="007C7BB9">
        <w:rPr>
          <w:rFonts w:ascii="Times New Roman" w:hAnsi="Times New Roman" w:cs="Times New Roman"/>
          <w:b/>
          <w:bCs/>
          <w:szCs w:val="24"/>
        </w:rPr>
        <w:t>two</w:t>
      </w:r>
      <w:r w:rsidRPr="007C7BB9">
        <w:rPr>
          <w:rFonts w:ascii="Times New Roman" w:hAnsi="Times New Roman" w:cs="Times New Roman"/>
          <w:b/>
          <w:bCs/>
          <w:szCs w:val="24"/>
        </w:rPr>
        <w:t>-</w:t>
      </w:r>
      <w:r>
        <w:rPr>
          <w:rFonts w:ascii="Times New Roman" w:hAnsi="Times New Roman" w:cs="Times New Roman"/>
          <w:b/>
          <w:bCs/>
          <w:szCs w:val="24"/>
        </w:rPr>
        <w:t>w</w:t>
      </w:r>
      <w:r w:rsidRPr="007C7BB9">
        <w:rPr>
          <w:rFonts w:ascii="Times New Roman" w:hAnsi="Times New Roman" w:cs="Times New Roman"/>
          <w:b/>
          <w:bCs/>
          <w:szCs w:val="24"/>
        </w:rPr>
        <w:t xml:space="preserve">ay ANOVA </w:t>
      </w:r>
      <w:r>
        <w:rPr>
          <w:rFonts w:ascii="Times New Roman" w:hAnsi="Times New Roman" w:cs="Times New Roman"/>
          <w:b/>
          <w:bCs/>
          <w:szCs w:val="24"/>
        </w:rPr>
        <w:t>r</w:t>
      </w:r>
      <w:r w:rsidRPr="007C7BB9">
        <w:rPr>
          <w:rFonts w:ascii="Times New Roman" w:hAnsi="Times New Roman" w:cs="Times New Roman"/>
          <w:b/>
          <w:bCs/>
          <w:szCs w:val="24"/>
        </w:rPr>
        <w:t>esults</w:t>
      </w:r>
    </w:p>
    <w:p w14:paraId="385AA12D" w14:textId="31ACE6C4" w:rsidR="004607F4" w:rsidRPr="007C7BB9" w:rsidRDefault="004607F4" w:rsidP="00BA4366">
      <w:pPr>
        <w:rPr>
          <w:rFonts w:ascii="Times New Roman" w:hAnsi="Times New Roman" w:cs="Times New Roman"/>
          <w:b/>
          <w:bCs/>
          <w:szCs w:val="24"/>
        </w:rPr>
      </w:pPr>
    </w:p>
    <w:tbl>
      <w:tblPr>
        <w:tblStyle w:val="TableGrid"/>
        <w:tblW w:w="9072" w:type="dxa"/>
        <w:tblLayout w:type="fixed"/>
        <w:tblLook w:val="04A0" w:firstRow="1" w:lastRow="0" w:firstColumn="1" w:lastColumn="0" w:noHBand="0" w:noVBand="1"/>
      </w:tblPr>
      <w:tblGrid>
        <w:gridCol w:w="2121"/>
        <w:gridCol w:w="1848"/>
        <w:gridCol w:w="1698"/>
        <w:gridCol w:w="1704"/>
        <w:gridCol w:w="1701"/>
      </w:tblGrid>
      <w:tr w:rsidR="00814B2B" w:rsidRPr="007C7BB9" w14:paraId="40EF1895" w14:textId="77777777" w:rsidTr="003364CF">
        <w:trPr>
          <w:trHeight w:val="70"/>
        </w:trPr>
        <w:tc>
          <w:tcPr>
            <w:tcW w:w="9072" w:type="dxa"/>
            <w:gridSpan w:val="5"/>
          </w:tcPr>
          <w:p w14:paraId="06031FFE" w14:textId="2AB516CB" w:rsidR="00814B2B" w:rsidRPr="00814B2B" w:rsidRDefault="00814B2B" w:rsidP="00BA4366">
            <w:pPr>
              <w:jc w:val="center"/>
            </w:pPr>
            <w:r w:rsidRPr="00814B2B">
              <w:lastRenderedPageBreak/>
              <w:t>Descriptive statistics by experimental condition</w:t>
            </w:r>
          </w:p>
        </w:tc>
      </w:tr>
      <w:tr w:rsidR="003364CF" w:rsidRPr="007C7BB9" w14:paraId="7FEE85F5" w14:textId="77777777" w:rsidTr="00BA2D09">
        <w:trPr>
          <w:trHeight w:val="70"/>
        </w:trPr>
        <w:tc>
          <w:tcPr>
            <w:tcW w:w="2121" w:type="dxa"/>
            <w:vMerge w:val="restart"/>
            <w:shd w:val="clear" w:color="auto" w:fill="DBDBDB" w:themeFill="accent3" w:themeFillTint="66"/>
          </w:tcPr>
          <w:p w14:paraId="07E61B42" w14:textId="6C9935EE" w:rsidR="003364CF" w:rsidRPr="007C7BB9" w:rsidRDefault="003364CF" w:rsidP="00BA2D09">
            <w:pPr>
              <w:rPr>
                <w:rFonts w:ascii="Times New Roman" w:hAnsi="Times New Roman" w:cs="Times New Roman"/>
                <w:szCs w:val="24"/>
              </w:rPr>
            </w:pPr>
            <w:r w:rsidRPr="007C7BB9">
              <w:rPr>
                <w:rFonts w:ascii="Times New Roman" w:hAnsi="Times New Roman" w:cs="Times New Roman"/>
                <w:szCs w:val="24"/>
              </w:rPr>
              <w:t>Experimental condition</w:t>
            </w:r>
          </w:p>
        </w:tc>
        <w:tc>
          <w:tcPr>
            <w:tcW w:w="3546" w:type="dxa"/>
            <w:gridSpan w:val="2"/>
            <w:shd w:val="clear" w:color="auto" w:fill="D9D9D9" w:themeFill="background1" w:themeFillShade="D9"/>
            <w:vAlign w:val="center"/>
          </w:tcPr>
          <w:p w14:paraId="21B079A3" w14:textId="64942C16" w:rsidR="003364CF" w:rsidRPr="007C7BB9" w:rsidRDefault="003364CF" w:rsidP="00BA2D09">
            <w:pPr>
              <w:jc w:val="center"/>
              <w:rPr>
                <w:rFonts w:ascii="Times New Roman" w:hAnsi="Times New Roman" w:cs="Times New Roman"/>
                <w:szCs w:val="24"/>
              </w:rPr>
            </w:pPr>
            <w:r w:rsidRPr="007C7BB9">
              <w:rPr>
                <w:rFonts w:ascii="Times New Roman" w:hAnsi="Times New Roman" w:cs="Times New Roman"/>
                <w:szCs w:val="24"/>
              </w:rPr>
              <w:t>Policy effectiveness</w:t>
            </w:r>
          </w:p>
        </w:tc>
        <w:tc>
          <w:tcPr>
            <w:tcW w:w="3405" w:type="dxa"/>
            <w:gridSpan w:val="2"/>
            <w:shd w:val="clear" w:color="auto" w:fill="D9D9D9" w:themeFill="background1" w:themeFillShade="D9"/>
            <w:vAlign w:val="center"/>
          </w:tcPr>
          <w:p w14:paraId="0A3720B5" w14:textId="236C28CD" w:rsidR="003364CF" w:rsidRPr="00BA2D09" w:rsidRDefault="003364CF" w:rsidP="00BA2D09">
            <w:pPr>
              <w:jc w:val="center"/>
            </w:pPr>
            <w:r>
              <w:t>‘</w:t>
            </w:r>
            <w:r w:rsidRPr="00BA2D09">
              <w:t>Tick</w:t>
            </w:r>
            <w:r w:rsidRPr="00814B2B">
              <w:t>-box</w:t>
            </w:r>
            <w:r>
              <w:t>’</w:t>
            </w:r>
            <w:r w:rsidRPr="00814B2B">
              <w:t xml:space="preserve"> perception</w:t>
            </w:r>
          </w:p>
        </w:tc>
      </w:tr>
      <w:tr w:rsidR="00C93CF8" w:rsidRPr="007C7BB9" w14:paraId="7EF32FD2" w14:textId="77777777" w:rsidTr="003364CF">
        <w:trPr>
          <w:trHeight w:val="70"/>
        </w:trPr>
        <w:tc>
          <w:tcPr>
            <w:tcW w:w="2121" w:type="dxa"/>
            <w:vMerge/>
            <w:shd w:val="clear" w:color="auto" w:fill="DBDBDB" w:themeFill="accent3" w:themeFillTint="66"/>
            <w:vAlign w:val="center"/>
          </w:tcPr>
          <w:p w14:paraId="7C960FC5" w14:textId="07660E07" w:rsidR="003364CF" w:rsidRPr="007C7BB9" w:rsidRDefault="003364CF" w:rsidP="00BA2D09">
            <w:pPr>
              <w:jc w:val="center"/>
              <w:rPr>
                <w:rFonts w:ascii="Times New Roman" w:hAnsi="Times New Roman" w:cs="Times New Roman"/>
                <w:szCs w:val="24"/>
              </w:rPr>
            </w:pPr>
          </w:p>
        </w:tc>
        <w:tc>
          <w:tcPr>
            <w:tcW w:w="1848" w:type="dxa"/>
            <w:shd w:val="clear" w:color="auto" w:fill="F2F2F2" w:themeFill="background1" w:themeFillShade="F2"/>
            <w:vAlign w:val="center"/>
          </w:tcPr>
          <w:p w14:paraId="23E7FDDE" w14:textId="7134D5F1" w:rsidR="003364CF" w:rsidRPr="007C7BB9" w:rsidRDefault="003364CF" w:rsidP="00BA2D09">
            <w:pPr>
              <w:jc w:val="center"/>
              <w:rPr>
                <w:rFonts w:ascii="Times New Roman" w:hAnsi="Times New Roman" w:cs="Times New Roman"/>
                <w:szCs w:val="24"/>
              </w:rPr>
            </w:pPr>
            <w:r>
              <w:rPr>
                <w:rFonts w:ascii="Times New Roman" w:hAnsi="Times New Roman" w:cs="Times New Roman"/>
                <w:szCs w:val="24"/>
              </w:rPr>
              <w:t>Mean score</w:t>
            </w:r>
          </w:p>
        </w:tc>
        <w:tc>
          <w:tcPr>
            <w:tcW w:w="1698" w:type="dxa"/>
            <w:shd w:val="clear" w:color="auto" w:fill="F2F2F2" w:themeFill="background1" w:themeFillShade="F2"/>
            <w:vAlign w:val="center"/>
          </w:tcPr>
          <w:p w14:paraId="1602E686" w14:textId="77777777" w:rsidR="003364CF" w:rsidRPr="007C7BB9" w:rsidRDefault="003364CF" w:rsidP="00BA2D09">
            <w:pPr>
              <w:jc w:val="center"/>
              <w:rPr>
                <w:rFonts w:ascii="Times New Roman" w:hAnsi="Times New Roman" w:cs="Times New Roman"/>
                <w:szCs w:val="24"/>
              </w:rPr>
            </w:pPr>
            <w:r>
              <w:rPr>
                <w:rFonts w:ascii="Times New Roman" w:hAnsi="Times New Roman" w:cs="Times New Roman"/>
                <w:szCs w:val="24"/>
              </w:rPr>
              <w:t>Number</w:t>
            </w:r>
          </w:p>
        </w:tc>
        <w:tc>
          <w:tcPr>
            <w:tcW w:w="1704" w:type="dxa"/>
            <w:shd w:val="clear" w:color="auto" w:fill="F2F2F2" w:themeFill="background1" w:themeFillShade="F2"/>
            <w:vAlign w:val="center"/>
          </w:tcPr>
          <w:p w14:paraId="085250FD" w14:textId="13006F9F" w:rsidR="003364CF" w:rsidRPr="007C7BB9" w:rsidRDefault="003364CF" w:rsidP="00BA2D09">
            <w:pPr>
              <w:jc w:val="center"/>
              <w:rPr>
                <w:rFonts w:ascii="Times New Roman" w:hAnsi="Times New Roman" w:cs="Times New Roman"/>
                <w:szCs w:val="24"/>
              </w:rPr>
            </w:pPr>
            <w:r>
              <w:rPr>
                <w:rFonts w:ascii="Times New Roman" w:hAnsi="Times New Roman" w:cs="Times New Roman"/>
                <w:szCs w:val="24"/>
              </w:rPr>
              <w:t>Mean score</w:t>
            </w:r>
          </w:p>
        </w:tc>
        <w:tc>
          <w:tcPr>
            <w:tcW w:w="1701" w:type="dxa"/>
            <w:shd w:val="clear" w:color="auto" w:fill="F2F2F2" w:themeFill="background1" w:themeFillShade="F2"/>
            <w:vAlign w:val="center"/>
          </w:tcPr>
          <w:p w14:paraId="58F9B720" w14:textId="77777777" w:rsidR="003364CF" w:rsidRPr="007C7BB9" w:rsidRDefault="003364CF" w:rsidP="00BA2D09">
            <w:pPr>
              <w:jc w:val="center"/>
              <w:rPr>
                <w:rFonts w:ascii="Times New Roman" w:hAnsi="Times New Roman" w:cs="Times New Roman"/>
                <w:szCs w:val="24"/>
              </w:rPr>
            </w:pPr>
            <w:r>
              <w:rPr>
                <w:rFonts w:ascii="Times New Roman" w:hAnsi="Times New Roman" w:cs="Times New Roman"/>
                <w:szCs w:val="24"/>
              </w:rPr>
              <w:t>Number</w:t>
            </w:r>
          </w:p>
        </w:tc>
      </w:tr>
      <w:tr w:rsidR="004607F4" w:rsidRPr="007C7BB9" w14:paraId="795A4C4F" w14:textId="77777777" w:rsidTr="00DA4F1F">
        <w:trPr>
          <w:trHeight w:val="70"/>
        </w:trPr>
        <w:tc>
          <w:tcPr>
            <w:tcW w:w="2121" w:type="dxa"/>
            <w:shd w:val="clear" w:color="auto" w:fill="F2F2F2" w:themeFill="background1" w:themeFillShade="F2"/>
            <w:vAlign w:val="center"/>
          </w:tcPr>
          <w:p w14:paraId="5BDCB0F8" w14:textId="71589E4D" w:rsidR="004607F4" w:rsidRPr="007C7BB9" w:rsidRDefault="004607F4" w:rsidP="00BA2D09">
            <w:pPr>
              <w:spacing w:after="0"/>
              <w:jc w:val="center"/>
              <w:rPr>
                <w:rFonts w:ascii="Times New Roman" w:hAnsi="Times New Roman" w:cs="Times New Roman"/>
                <w:szCs w:val="24"/>
              </w:rPr>
            </w:pPr>
            <w:r w:rsidRPr="007C7BB9">
              <w:rPr>
                <w:rFonts w:ascii="Times New Roman" w:hAnsi="Times New Roman" w:cs="Times New Roman"/>
                <w:szCs w:val="24"/>
              </w:rPr>
              <w:t xml:space="preserve">Resources </w:t>
            </w:r>
            <w:r w:rsidR="00814B2B" w:rsidRPr="007C7BB9">
              <w:rPr>
                <w:rFonts w:ascii="Times New Roman" w:hAnsi="Times New Roman" w:cs="Times New Roman"/>
                <w:szCs w:val="24"/>
              </w:rPr>
              <w:t>absent +</w:t>
            </w:r>
            <w:r w:rsidR="003364CF">
              <w:rPr>
                <w:rFonts w:ascii="Times New Roman" w:hAnsi="Times New Roman" w:cs="Times New Roman"/>
                <w:szCs w:val="24"/>
              </w:rPr>
              <w:t xml:space="preserve"> </w:t>
            </w:r>
            <w:r w:rsidR="00814B2B" w:rsidRPr="007C7BB9">
              <w:rPr>
                <w:rFonts w:ascii="Times New Roman" w:hAnsi="Times New Roman" w:cs="Times New Roman"/>
                <w:szCs w:val="24"/>
              </w:rPr>
              <w:t>low enforce</w:t>
            </w:r>
            <w:r w:rsidRPr="007C7BB9">
              <w:rPr>
                <w:rFonts w:ascii="Times New Roman" w:hAnsi="Times New Roman" w:cs="Times New Roman"/>
                <w:szCs w:val="24"/>
              </w:rPr>
              <w:t>ment</w:t>
            </w:r>
          </w:p>
        </w:tc>
        <w:tc>
          <w:tcPr>
            <w:tcW w:w="1848" w:type="dxa"/>
            <w:vAlign w:val="center"/>
          </w:tcPr>
          <w:p w14:paraId="3C7DEF5D"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1.75</w:t>
            </w:r>
          </w:p>
        </w:tc>
        <w:tc>
          <w:tcPr>
            <w:tcW w:w="1698" w:type="dxa"/>
            <w:vAlign w:val="center"/>
          </w:tcPr>
          <w:p w14:paraId="46549163"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110</w:t>
            </w:r>
          </w:p>
        </w:tc>
        <w:tc>
          <w:tcPr>
            <w:tcW w:w="1704" w:type="dxa"/>
            <w:vAlign w:val="center"/>
          </w:tcPr>
          <w:p w14:paraId="355A4B32"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4.31</w:t>
            </w:r>
          </w:p>
        </w:tc>
        <w:tc>
          <w:tcPr>
            <w:tcW w:w="1701" w:type="dxa"/>
            <w:vAlign w:val="center"/>
          </w:tcPr>
          <w:p w14:paraId="64039AE6"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112</w:t>
            </w:r>
          </w:p>
        </w:tc>
      </w:tr>
      <w:tr w:rsidR="004607F4" w:rsidRPr="007C7BB9" w14:paraId="35538473" w14:textId="77777777" w:rsidTr="00DA4F1F">
        <w:trPr>
          <w:trHeight w:val="70"/>
        </w:trPr>
        <w:tc>
          <w:tcPr>
            <w:tcW w:w="2121" w:type="dxa"/>
            <w:shd w:val="clear" w:color="auto" w:fill="F2F2F2" w:themeFill="background1" w:themeFillShade="F2"/>
            <w:vAlign w:val="center"/>
          </w:tcPr>
          <w:p w14:paraId="458B413D" w14:textId="2C7126A3" w:rsidR="004607F4" w:rsidRPr="007C7BB9" w:rsidRDefault="004607F4" w:rsidP="00BA2D09">
            <w:pPr>
              <w:spacing w:after="0"/>
              <w:jc w:val="center"/>
              <w:rPr>
                <w:rFonts w:ascii="Times New Roman" w:hAnsi="Times New Roman" w:cs="Times New Roman"/>
                <w:szCs w:val="24"/>
              </w:rPr>
            </w:pPr>
            <w:r w:rsidRPr="007C7BB9">
              <w:rPr>
                <w:rFonts w:ascii="Times New Roman" w:hAnsi="Times New Roman" w:cs="Times New Roman"/>
                <w:szCs w:val="24"/>
              </w:rPr>
              <w:t xml:space="preserve">Resources </w:t>
            </w:r>
            <w:r w:rsidR="00814B2B" w:rsidRPr="007C7BB9">
              <w:rPr>
                <w:rFonts w:ascii="Times New Roman" w:hAnsi="Times New Roman" w:cs="Times New Roman"/>
                <w:szCs w:val="24"/>
              </w:rPr>
              <w:t>absent +</w:t>
            </w:r>
            <w:r w:rsidR="003364CF">
              <w:rPr>
                <w:rFonts w:ascii="Times New Roman" w:hAnsi="Times New Roman" w:cs="Times New Roman"/>
                <w:szCs w:val="24"/>
              </w:rPr>
              <w:t xml:space="preserve"> </w:t>
            </w:r>
            <w:r w:rsidR="00814B2B" w:rsidRPr="007C7BB9">
              <w:rPr>
                <w:rFonts w:ascii="Times New Roman" w:hAnsi="Times New Roman" w:cs="Times New Roman"/>
                <w:szCs w:val="24"/>
              </w:rPr>
              <w:t>high enf</w:t>
            </w:r>
            <w:r w:rsidRPr="007C7BB9">
              <w:rPr>
                <w:rFonts w:ascii="Times New Roman" w:hAnsi="Times New Roman" w:cs="Times New Roman"/>
                <w:szCs w:val="24"/>
              </w:rPr>
              <w:t>orcement</w:t>
            </w:r>
          </w:p>
        </w:tc>
        <w:tc>
          <w:tcPr>
            <w:tcW w:w="1848" w:type="dxa"/>
            <w:vAlign w:val="center"/>
          </w:tcPr>
          <w:p w14:paraId="0A529C94"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2.02</w:t>
            </w:r>
          </w:p>
        </w:tc>
        <w:tc>
          <w:tcPr>
            <w:tcW w:w="1698" w:type="dxa"/>
            <w:vAlign w:val="center"/>
          </w:tcPr>
          <w:p w14:paraId="1E4D7DF5"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123</w:t>
            </w:r>
          </w:p>
        </w:tc>
        <w:tc>
          <w:tcPr>
            <w:tcW w:w="1704" w:type="dxa"/>
            <w:vAlign w:val="center"/>
          </w:tcPr>
          <w:p w14:paraId="1DE5EF95"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3.88</w:t>
            </w:r>
          </w:p>
        </w:tc>
        <w:tc>
          <w:tcPr>
            <w:tcW w:w="1701" w:type="dxa"/>
            <w:vAlign w:val="center"/>
          </w:tcPr>
          <w:p w14:paraId="1924D6DC"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129</w:t>
            </w:r>
          </w:p>
        </w:tc>
      </w:tr>
      <w:tr w:rsidR="004607F4" w:rsidRPr="007C7BB9" w14:paraId="5CB581B7" w14:textId="77777777" w:rsidTr="00DA4F1F">
        <w:trPr>
          <w:trHeight w:val="70"/>
        </w:trPr>
        <w:tc>
          <w:tcPr>
            <w:tcW w:w="2121" w:type="dxa"/>
            <w:shd w:val="clear" w:color="auto" w:fill="F2F2F2" w:themeFill="background1" w:themeFillShade="F2"/>
            <w:vAlign w:val="center"/>
          </w:tcPr>
          <w:p w14:paraId="6B87EE7D" w14:textId="5BEAC928" w:rsidR="004607F4" w:rsidRPr="007C7BB9" w:rsidRDefault="004607F4" w:rsidP="00BA2D09">
            <w:pPr>
              <w:spacing w:after="0"/>
              <w:jc w:val="center"/>
              <w:rPr>
                <w:rFonts w:ascii="Times New Roman" w:hAnsi="Times New Roman" w:cs="Times New Roman"/>
                <w:szCs w:val="24"/>
              </w:rPr>
            </w:pPr>
            <w:r w:rsidRPr="007C7BB9">
              <w:rPr>
                <w:rFonts w:ascii="Times New Roman" w:hAnsi="Times New Roman" w:cs="Times New Roman"/>
                <w:szCs w:val="24"/>
              </w:rPr>
              <w:t xml:space="preserve">Resources </w:t>
            </w:r>
            <w:r w:rsidR="00814B2B" w:rsidRPr="007C7BB9">
              <w:rPr>
                <w:rFonts w:ascii="Times New Roman" w:hAnsi="Times New Roman" w:cs="Times New Roman"/>
                <w:szCs w:val="24"/>
              </w:rPr>
              <w:t>present +</w:t>
            </w:r>
            <w:r w:rsidR="003364CF">
              <w:rPr>
                <w:rFonts w:ascii="Times New Roman" w:hAnsi="Times New Roman" w:cs="Times New Roman"/>
                <w:szCs w:val="24"/>
              </w:rPr>
              <w:t xml:space="preserve"> </w:t>
            </w:r>
            <w:r w:rsidR="00814B2B" w:rsidRPr="007C7BB9">
              <w:rPr>
                <w:rFonts w:ascii="Times New Roman" w:hAnsi="Times New Roman" w:cs="Times New Roman"/>
                <w:szCs w:val="24"/>
              </w:rPr>
              <w:t>low enfor</w:t>
            </w:r>
            <w:r w:rsidRPr="007C7BB9">
              <w:rPr>
                <w:rFonts w:ascii="Times New Roman" w:hAnsi="Times New Roman" w:cs="Times New Roman"/>
                <w:szCs w:val="24"/>
              </w:rPr>
              <w:t>cement</w:t>
            </w:r>
          </w:p>
        </w:tc>
        <w:tc>
          <w:tcPr>
            <w:tcW w:w="1848" w:type="dxa"/>
            <w:vAlign w:val="center"/>
          </w:tcPr>
          <w:p w14:paraId="58D513CA"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2.15</w:t>
            </w:r>
          </w:p>
        </w:tc>
        <w:tc>
          <w:tcPr>
            <w:tcW w:w="1698" w:type="dxa"/>
            <w:vAlign w:val="center"/>
          </w:tcPr>
          <w:p w14:paraId="01651942"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82</w:t>
            </w:r>
          </w:p>
        </w:tc>
        <w:tc>
          <w:tcPr>
            <w:tcW w:w="1704" w:type="dxa"/>
            <w:vAlign w:val="center"/>
          </w:tcPr>
          <w:p w14:paraId="1E86A988"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4.01</w:t>
            </w:r>
          </w:p>
        </w:tc>
        <w:tc>
          <w:tcPr>
            <w:tcW w:w="1701" w:type="dxa"/>
            <w:vAlign w:val="center"/>
          </w:tcPr>
          <w:p w14:paraId="2F2294DC"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83</w:t>
            </w:r>
          </w:p>
        </w:tc>
      </w:tr>
      <w:tr w:rsidR="004607F4" w:rsidRPr="007C7BB9" w14:paraId="77F3DD45" w14:textId="77777777" w:rsidTr="00DA4F1F">
        <w:trPr>
          <w:trHeight w:val="70"/>
        </w:trPr>
        <w:tc>
          <w:tcPr>
            <w:tcW w:w="2121" w:type="dxa"/>
            <w:shd w:val="clear" w:color="auto" w:fill="F2F2F2" w:themeFill="background1" w:themeFillShade="F2"/>
            <w:vAlign w:val="center"/>
          </w:tcPr>
          <w:p w14:paraId="00E17445" w14:textId="18F8C9E9" w:rsidR="004607F4" w:rsidRPr="007C7BB9" w:rsidRDefault="004607F4" w:rsidP="00BA2D09">
            <w:pPr>
              <w:spacing w:after="0"/>
              <w:jc w:val="center"/>
              <w:rPr>
                <w:rFonts w:ascii="Times New Roman" w:hAnsi="Times New Roman" w:cs="Times New Roman"/>
                <w:szCs w:val="24"/>
              </w:rPr>
            </w:pPr>
            <w:r w:rsidRPr="007C7BB9">
              <w:rPr>
                <w:rFonts w:ascii="Times New Roman" w:hAnsi="Times New Roman" w:cs="Times New Roman"/>
                <w:szCs w:val="24"/>
              </w:rPr>
              <w:t>Resources</w:t>
            </w:r>
            <w:r w:rsidR="00814B2B" w:rsidRPr="007C7BB9">
              <w:rPr>
                <w:rFonts w:ascii="Times New Roman" w:hAnsi="Times New Roman" w:cs="Times New Roman"/>
                <w:szCs w:val="24"/>
              </w:rPr>
              <w:t xml:space="preserve"> present +</w:t>
            </w:r>
            <w:r w:rsidR="003364CF">
              <w:rPr>
                <w:rFonts w:ascii="Times New Roman" w:hAnsi="Times New Roman" w:cs="Times New Roman"/>
                <w:szCs w:val="24"/>
              </w:rPr>
              <w:t xml:space="preserve"> </w:t>
            </w:r>
            <w:r w:rsidR="00814B2B" w:rsidRPr="007C7BB9">
              <w:rPr>
                <w:rFonts w:ascii="Times New Roman" w:hAnsi="Times New Roman" w:cs="Times New Roman"/>
                <w:szCs w:val="24"/>
              </w:rPr>
              <w:t>high enfo</w:t>
            </w:r>
            <w:r w:rsidRPr="007C7BB9">
              <w:rPr>
                <w:rFonts w:ascii="Times New Roman" w:hAnsi="Times New Roman" w:cs="Times New Roman"/>
                <w:szCs w:val="24"/>
              </w:rPr>
              <w:t>rcement</w:t>
            </w:r>
          </w:p>
        </w:tc>
        <w:tc>
          <w:tcPr>
            <w:tcW w:w="1848" w:type="dxa"/>
            <w:vAlign w:val="center"/>
          </w:tcPr>
          <w:p w14:paraId="6436221A"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2.18</w:t>
            </w:r>
          </w:p>
        </w:tc>
        <w:tc>
          <w:tcPr>
            <w:tcW w:w="1698" w:type="dxa"/>
            <w:vAlign w:val="center"/>
          </w:tcPr>
          <w:p w14:paraId="0BC731A4"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103</w:t>
            </w:r>
          </w:p>
        </w:tc>
        <w:tc>
          <w:tcPr>
            <w:tcW w:w="1704" w:type="dxa"/>
            <w:vAlign w:val="center"/>
          </w:tcPr>
          <w:p w14:paraId="73C8189F"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3.74</w:t>
            </w:r>
          </w:p>
        </w:tc>
        <w:tc>
          <w:tcPr>
            <w:tcW w:w="1701" w:type="dxa"/>
            <w:vAlign w:val="center"/>
          </w:tcPr>
          <w:p w14:paraId="5E6586DE" w14:textId="77777777" w:rsidR="004607F4" w:rsidRPr="007C7BB9" w:rsidRDefault="004607F4" w:rsidP="00BA2D09">
            <w:pPr>
              <w:jc w:val="center"/>
              <w:rPr>
                <w:rFonts w:ascii="Times New Roman" w:hAnsi="Times New Roman" w:cs="Times New Roman"/>
                <w:szCs w:val="24"/>
              </w:rPr>
            </w:pPr>
            <w:r w:rsidRPr="007C7BB9">
              <w:rPr>
                <w:rFonts w:ascii="Times New Roman" w:hAnsi="Times New Roman" w:cs="Times New Roman"/>
                <w:szCs w:val="24"/>
              </w:rPr>
              <w:t>106</w:t>
            </w:r>
          </w:p>
        </w:tc>
      </w:tr>
    </w:tbl>
    <w:tbl>
      <w:tblPr>
        <w:tblStyle w:val="TableGrid"/>
        <w:tblW w:w="9067" w:type="dxa"/>
        <w:tblLook w:val="04A0" w:firstRow="1" w:lastRow="0" w:firstColumn="1" w:lastColumn="0" w:noHBand="0" w:noVBand="1"/>
      </w:tblPr>
      <w:tblGrid>
        <w:gridCol w:w="1510"/>
        <w:gridCol w:w="1887"/>
        <w:gridCol w:w="1862"/>
        <w:gridCol w:w="1966"/>
        <w:gridCol w:w="1842"/>
      </w:tblGrid>
      <w:tr w:rsidR="00814B2B" w:rsidRPr="007C7BB9" w14:paraId="24FAA303" w14:textId="77777777" w:rsidTr="003364CF">
        <w:trPr>
          <w:trHeight w:val="70"/>
        </w:trPr>
        <w:tc>
          <w:tcPr>
            <w:tcW w:w="9067" w:type="dxa"/>
            <w:gridSpan w:val="5"/>
            <w:vAlign w:val="center"/>
          </w:tcPr>
          <w:p w14:paraId="7B2DBEB8" w14:textId="76EB0AE3" w:rsidR="00814B2B" w:rsidRPr="00814B2B" w:rsidRDefault="00814B2B" w:rsidP="00BA4366">
            <w:pPr>
              <w:jc w:val="center"/>
            </w:pPr>
            <w:r w:rsidRPr="00814B2B">
              <w:t>Main effects and interaction</w:t>
            </w:r>
          </w:p>
        </w:tc>
      </w:tr>
      <w:tr w:rsidR="00C93CF8" w:rsidRPr="007C7BB9" w14:paraId="1494DA17" w14:textId="77777777" w:rsidTr="003364CF">
        <w:trPr>
          <w:trHeight w:val="70"/>
        </w:trPr>
        <w:tc>
          <w:tcPr>
            <w:tcW w:w="1510" w:type="dxa"/>
            <w:shd w:val="clear" w:color="auto" w:fill="DBDBDB" w:themeFill="accent3" w:themeFillTint="66"/>
            <w:vAlign w:val="center"/>
          </w:tcPr>
          <w:p w14:paraId="6F84CF33" w14:textId="27908FCE"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Experimental condition</w:t>
            </w:r>
          </w:p>
        </w:tc>
        <w:tc>
          <w:tcPr>
            <w:tcW w:w="3749" w:type="dxa"/>
            <w:gridSpan w:val="2"/>
            <w:shd w:val="clear" w:color="auto" w:fill="D9D9D9" w:themeFill="background1" w:themeFillShade="D9"/>
            <w:vAlign w:val="center"/>
          </w:tcPr>
          <w:p w14:paraId="550DD230" w14:textId="4B059403"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Policy effectiveness</w:t>
            </w:r>
          </w:p>
        </w:tc>
        <w:tc>
          <w:tcPr>
            <w:tcW w:w="3808" w:type="dxa"/>
            <w:gridSpan w:val="2"/>
            <w:shd w:val="clear" w:color="auto" w:fill="D9D9D9" w:themeFill="background1" w:themeFillShade="D9"/>
            <w:vAlign w:val="center"/>
          </w:tcPr>
          <w:p w14:paraId="0E45532F" w14:textId="300C125B" w:rsidR="00814B2B" w:rsidRPr="00BA2D09" w:rsidRDefault="003364CF" w:rsidP="00BA2D09">
            <w:pPr>
              <w:jc w:val="center"/>
            </w:pPr>
            <w:r>
              <w:t>‘</w:t>
            </w:r>
            <w:r w:rsidR="00814B2B" w:rsidRPr="00BA2D09">
              <w:t>Tick</w:t>
            </w:r>
            <w:r w:rsidR="00814B2B" w:rsidRPr="00814B2B">
              <w:t>-box</w:t>
            </w:r>
            <w:r>
              <w:t>’</w:t>
            </w:r>
            <w:r w:rsidR="00814B2B" w:rsidRPr="00814B2B">
              <w:t xml:space="preserve"> perception</w:t>
            </w:r>
          </w:p>
        </w:tc>
      </w:tr>
      <w:tr w:rsidR="003364CF" w:rsidRPr="007C7BB9" w14:paraId="37BA2B62" w14:textId="77777777" w:rsidTr="00DA4F1F">
        <w:trPr>
          <w:trHeight w:val="70"/>
        </w:trPr>
        <w:tc>
          <w:tcPr>
            <w:tcW w:w="1510" w:type="dxa"/>
            <w:shd w:val="clear" w:color="auto" w:fill="D9D9D9" w:themeFill="background1" w:themeFillShade="D9"/>
            <w:vAlign w:val="center"/>
          </w:tcPr>
          <w:p w14:paraId="2D7F57AF" w14:textId="5A28E9AD" w:rsidR="003364CF" w:rsidRPr="007C7BB9" w:rsidRDefault="003364CF" w:rsidP="00BA2D09">
            <w:pPr>
              <w:jc w:val="center"/>
              <w:rPr>
                <w:rFonts w:ascii="Times New Roman" w:hAnsi="Times New Roman" w:cs="Times New Roman"/>
                <w:szCs w:val="24"/>
              </w:rPr>
            </w:pPr>
          </w:p>
        </w:tc>
        <w:tc>
          <w:tcPr>
            <w:tcW w:w="1887" w:type="dxa"/>
            <w:shd w:val="clear" w:color="auto" w:fill="F2F2F2" w:themeFill="background1" w:themeFillShade="F2"/>
            <w:vAlign w:val="center"/>
          </w:tcPr>
          <w:p w14:paraId="09539850" w14:textId="6E9969A9" w:rsidR="003364CF" w:rsidRPr="007C7BB9" w:rsidRDefault="003364CF" w:rsidP="00BA2D09">
            <w:pPr>
              <w:jc w:val="center"/>
              <w:rPr>
                <w:rFonts w:ascii="Times New Roman" w:hAnsi="Times New Roman" w:cs="Times New Roman"/>
                <w:szCs w:val="24"/>
              </w:rPr>
            </w:pPr>
            <w:r w:rsidRPr="00BA2D09">
              <w:rPr>
                <w:rFonts w:ascii="Times New Roman" w:hAnsi="Times New Roman"/>
                <w:i/>
              </w:rPr>
              <w:t>F</w:t>
            </w:r>
            <w:r>
              <w:rPr>
                <w:rFonts w:ascii="Times New Roman" w:hAnsi="Times New Roman" w:cs="Times New Roman"/>
                <w:szCs w:val="24"/>
              </w:rPr>
              <w:t>-ratio</w:t>
            </w:r>
          </w:p>
        </w:tc>
        <w:tc>
          <w:tcPr>
            <w:tcW w:w="1862" w:type="dxa"/>
            <w:shd w:val="clear" w:color="auto" w:fill="F2F2F2" w:themeFill="background1" w:themeFillShade="F2"/>
            <w:vAlign w:val="center"/>
          </w:tcPr>
          <w:p w14:paraId="6706F054" w14:textId="77777777" w:rsidR="003364CF" w:rsidRPr="007C7BB9" w:rsidRDefault="003364CF" w:rsidP="00BA2D09">
            <w:pPr>
              <w:jc w:val="center"/>
              <w:rPr>
                <w:rFonts w:ascii="Times New Roman" w:hAnsi="Times New Roman" w:cs="Times New Roman"/>
                <w:szCs w:val="24"/>
              </w:rPr>
            </w:pPr>
            <w:r>
              <w:rPr>
                <w:rFonts w:ascii="Times New Roman" w:hAnsi="Times New Roman" w:cs="Times New Roman"/>
                <w:szCs w:val="24"/>
              </w:rPr>
              <w:t>Significance</w:t>
            </w:r>
          </w:p>
        </w:tc>
        <w:tc>
          <w:tcPr>
            <w:tcW w:w="1966" w:type="dxa"/>
            <w:shd w:val="clear" w:color="auto" w:fill="F2F2F2" w:themeFill="background1" w:themeFillShade="F2"/>
            <w:vAlign w:val="center"/>
          </w:tcPr>
          <w:p w14:paraId="103EBA5C" w14:textId="0E77741B" w:rsidR="003364CF" w:rsidRPr="007C7BB9" w:rsidRDefault="003364CF" w:rsidP="00BA2D09">
            <w:pPr>
              <w:jc w:val="center"/>
              <w:rPr>
                <w:rFonts w:ascii="Times New Roman" w:hAnsi="Times New Roman" w:cs="Times New Roman"/>
                <w:szCs w:val="24"/>
              </w:rPr>
            </w:pPr>
            <w:r w:rsidRPr="00BA2D09">
              <w:rPr>
                <w:rFonts w:ascii="Times New Roman" w:hAnsi="Times New Roman"/>
                <w:i/>
              </w:rPr>
              <w:t>F</w:t>
            </w:r>
            <w:r>
              <w:rPr>
                <w:rFonts w:ascii="Times New Roman" w:hAnsi="Times New Roman" w:cs="Times New Roman"/>
                <w:szCs w:val="24"/>
              </w:rPr>
              <w:t>-ratio</w:t>
            </w:r>
          </w:p>
        </w:tc>
        <w:tc>
          <w:tcPr>
            <w:tcW w:w="1842" w:type="dxa"/>
            <w:shd w:val="clear" w:color="auto" w:fill="F2F2F2" w:themeFill="background1" w:themeFillShade="F2"/>
            <w:vAlign w:val="center"/>
          </w:tcPr>
          <w:p w14:paraId="518007DB" w14:textId="77777777" w:rsidR="003364CF" w:rsidRPr="00BA2D09" w:rsidRDefault="003364CF" w:rsidP="00BA2D09">
            <w:pPr>
              <w:jc w:val="center"/>
              <w:rPr>
                <w:rFonts w:ascii="Times New Roman" w:hAnsi="Times New Roman"/>
                <w:i/>
              </w:rPr>
            </w:pPr>
            <w:r w:rsidRPr="00BA2D09">
              <w:rPr>
                <w:rFonts w:ascii="Times New Roman" w:hAnsi="Times New Roman"/>
                <w:i/>
              </w:rPr>
              <w:t>p</w:t>
            </w:r>
          </w:p>
        </w:tc>
      </w:tr>
      <w:tr w:rsidR="00814B2B" w:rsidRPr="007C7BB9" w14:paraId="4DE181E8" w14:textId="77777777" w:rsidTr="00DA4F1F">
        <w:trPr>
          <w:trHeight w:val="589"/>
        </w:trPr>
        <w:tc>
          <w:tcPr>
            <w:tcW w:w="1510" w:type="dxa"/>
            <w:shd w:val="clear" w:color="auto" w:fill="F2F2F2" w:themeFill="background1" w:themeFillShade="F2"/>
            <w:vAlign w:val="center"/>
          </w:tcPr>
          <w:p w14:paraId="7C1F2BBC"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Resources</w:t>
            </w:r>
          </w:p>
        </w:tc>
        <w:tc>
          <w:tcPr>
            <w:tcW w:w="1887" w:type="dxa"/>
            <w:vAlign w:val="center"/>
          </w:tcPr>
          <w:p w14:paraId="52DDC308"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13.82</w:t>
            </w:r>
          </w:p>
        </w:tc>
        <w:tc>
          <w:tcPr>
            <w:tcW w:w="1862" w:type="dxa"/>
            <w:vAlign w:val="center"/>
          </w:tcPr>
          <w:p w14:paraId="208FEDF0" w14:textId="17ADDF1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&lt;</w:t>
            </w:r>
            <w:r w:rsidR="003364CF">
              <w:rPr>
                <w:rFonts w:ascii="Times New Roman" w:hAnsi="Times New Roman" w:cs="Times New Roman"/>
                <w:szCs w:val="24"/>
              </w:rPr>
              <w:t>0</w:t>
            </w:r>
            <w:r w:rsidRPr="007C7BB9">
              <w:rPr>
                <w:rFonts w:ascii="Times New Roman" w:hAnsi="Times New Roman" w:cs="Times New Roman"/>
                <w:szCs w:val="24"/>
              </w:rPr>
              <w:t>.001***</w:t>
            </w:r>
          </w:p>
        </w:tc>
        <w:tc>
          <w:tcPr>
            <w:tcW w:w="1966" w:type="dxa"/>
            <w:vAlign w:val="center"/>
          </w:tcPr>
          <w:p w14:paraId="4CA7D678"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5.80</w:t>
            </w:r>
          </w:p>
        </w:tc>
        <w:tc>
          <w:tcPr>
            <w:tcW w:w="1842" w:type="dxa"/>
            <w:vAlign w:val="center"/>
          </w:tcPr>
          <w:p w14:paraId="5DDBA1F8" w14:textId="443D886F" w:rsidR="00814B2B" w:rsidRPr="007C7BB9" w:rsidRDefault="003364CF" w:rsidP="00BA2D09">
            <w:pPr>
              <w:jc w:val="center"/>
              <w:rPr>
                <w:rFonts w:ascii="Times New Roman" w:hAnsi="Times New Roman" w:cs="Times New Roman"/>
                <w:szCs w:val="24"/>
              </w:rPr>
            </w:pPr>
            <w:r>
              <w:rPr>
                <w:rFonts w:ascii="Times New Roman" w:hAnsi="Times New Roman" w:cs="Times New Roman"/>
                <w:szCs w:val="24"/>
              </w:rPr>
              <w:t>0</w:t>
            </w:r>
            <w:r w:rsidR="00814B2B" w:rsidRPr="007C7BB9">
              <w:rPr>
                <w:rFonts w:ascii="Times New Roman" w:hAnsi="Times New Roman" w:cs="Times New Roman"/>
                <w:szCs w:val="24"/>
              </w:rPr>
              <w:t>.016*</w:t>
            </w:r>
          </w:p>
        </w:tc>
      </w:tr>
      <w:tr w:rsidR="00814B2B" w:rsidRPr="007C7BB9" w14:paraId="1E19FB7D" w14:textId="77777777" w:rsidTr="00DA4F1F">
        <w:trPr>
          <w:trHeight w:val="566"/>
        </w:trPr>
        <w:tc>
          <w:tcPr>
            <w:tcW w:w="1510" w:type="dxa"/>
            <w:shd w:val="clear" w:color="auto" w:fill="F2F2F2" w:themeFill="background1" w:themeFillShade="F2"/>
            <w:vAlign w:val="center"/>
          </w:tcPr>
          <w:p w14:paraId="5F4180D0"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Enforcement</w:t>
            </w:r>
          </w:p>
        </w:tc>
        <w:tc>
          <w:tcPr>
            <w:tcW w:w="1887" w:type="dxa"/>
            <w:vAlign w:val="center"/>
          </w:tcPr>
          <w:p w14:paraId="6EF79C1A"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3.96</w:t>
            </w:r>
          </w:p>
        </w:tc>
        <w:tc>
          <w:tcPr>
            <w:tcW w:w="1862" w:type="dxa"/>
            <w:vAlign w:val="center"/>
          </w:tcPr>
          <w:p w14:paraId="2C2C8AE8" w14:textId="1DE0E51A" w:rsidR="00814B2B" w:rsidRPr="007C7BB9" w:rsidRDefault="003364CF" w:rsidP="00BA2D09">
            <w:pPr>
              <w:jc w:val="center"/>
              <w:rPr>
                <w:rFonts w:ascii="Times New Roman" w:hAnsi="Times New Roman" w:cs="Times New Roman"/>
                <w:szCs w:val="24"/>
              </w:rPr>
            </w:pPr>
            <w:r>
              <w:rPr>
                <w:rFonts w:ascii="Times New Roman" w:hAnsi="Times New Roman" w:cs="Times New Roman"/>
                <w:szCs w:val="24"/>
              </w:rPr>
              <w:t>0</w:t>
            </w:r>
            <w:r w:rsidR="00814B2B" w:rsidRPr="007C7BB9">
              <w:rPr>
                <w:rFonts w:ascii="Times New Roman" w:hAnsi="Times New Roman" w:cs="Times New Roman"/>
                <w:szCs w:val="24"/>
              </w:rPr>
              <w:t>.047*</w:t>
            </w:r>
          </w:p>
        </w:tc>
        <w:tc>
          <w:tcPr>
            <w:tcW w:w="1966" w:type="dxa"/>
            <w:vAlign w:val="center"/>
          </w:tcPr>
          <w:p w14:paraId="43D9AAB1"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15.18</w:t>
            </w:r>
          </w:p>
        </w:tc>
        <w:tc>
          <w:tcPr>
            <w:tcW w:w="1842" w:type="dxa"/>
            <w:vAlign w:val="center"/>
          </w:tcPr>
          <w:p w14:paraId="10761BED" w14:textId="04544070"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&lt;</w:t>
            </w:r>
            <w:r w:rsidR="003364CF">
              <w:rPr>
                <w:rFonts w:ascii="Times New Roman" w:hAnsi="Times New Roman" w:cs="Times New Roman"/>
                <w:szCs w:val="24"/>
              </w:rPr>
              <w:t>0</w:t>
            </w:r>
            <w:r w:rsidRPr="007C7BB9">
              <w:rPr>
                <w:rFonts w:ascii="Times New Roman" w:hAnsi="Times New Roman" w:cs="Times New Roman"/>
                <w:szCs w:val="24"/>
              </w:rPr>
              <w:t>.001***</w:t>
            </w:r>
          </w:p>
        </w:tc>
      </w:tr>
      <w:tr w:rsidR="00814B2B" w:rsidRPr="007C7BB9" w14:paraId="281505BE" w14:textId="77777777" w:rsidTr="00DA4F1F">
        <w:trPr>
          <w:trHeight w:val="844"/>
        </w:trPr>
        <w:tc>
          <w:tcPr>
            <w:tcW w:w="1510" w:type="dxa"/>
            <w:shd w:val="clear" w:color="auto" w:fill="F2F2F2" w:themeFill="background1" w:themeFillShade="F2"/>
            <w:vAlign w:val="center"/>
          </w:tcPr>
          <w:p w14:paraId="65D19A36" w14:textId="2F38BC50"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 xml:space="preserve">Resources </w:t>
            </w:r>
            <w:r w:rsidR="003364CF">
              <w:rPr>
                <w:rFonts w:ascii="Times New Roman" w:hAnsi="Times New Roman" w:cs="Times New Roman"/>
                <w:szCs w:val="24"/>
              </w:rPr>
              <w:t>×</w:t>
            </w:r>
            <w:r w:rsidRPr="007C7BB9">
              <w:rPr>
                <w:rFonts w:ascii="Times New Roman" w:hAnsi="Times New Roman" w:cs="Times New Roman"/>
                <w:szCs w:val="24"/>
              </w:rPr>
              <w:t xml:space="preserve"> </w:t>
            </w:r>
            <w:r w:rsidR="003364CF" w:rsidRPr="007C7BB9">
              <w:rPr>
                <w:rFonts w:ascii="Times New Roman" w:hAnsi="Times New Roman" w:cs="Times New Roman"/>
                <w:szCs w:val="24"/>
              </w:rPr>
              <w:t>enforcement</w:t>
            </w:r>
          </w:p>
        </w:tc>
        <w:tc>
          <w:tcPr>
            <w:tcW w:w="1887" w:type="dxa"/>
            <w:vAlign w:val="center"/>
          </w:tcPr>
          <w:p w14:paraId="3516057A"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2.20</w:t>
            </w:r>
          </w:p>
        </w:tc>
        <w:tc>
          <w:tcPr>
            <w:tcW w:w="1862" w:type="dxa"/>
            <w:vAlign w:val="center"/>
          </w:tcPr>
          <w:p w14:paraId="28DCD677" w14:textId="57C1E365" w:rsidR="00814B2B" w:rsidRPr="007C7BB9" w:rsidRDefault="003364CF" w:rsidP="00BA2D09">
            <w:pPr>
              <w:jc w:val="center"/>
              <w:rPr>
                <w:rFonts w:ascii="Times New Roman" w:hAnsi="Times New Roman" w:cs="Times New Roman"/>
                <w:szCs w:val="24"/>
              </w:rPr>
            </w:pPr>
            <w:r>
              <w:rPr>
                <w:rFonts w:ascii="Times New Roman" w:hAnsi="Times New Roman" w:cs="Times New Roman"/>
                <w:szCs w:val="24"/>
              </w:rPr>
              <w:t>0</w:t>
            </w:r>
            <w:r w:rsidR="00814B2B" w:rsidRPr="007C7BB9">
              <w:rPr>
                <w:rFonts w:ascii="Times New Roman" w:hAnsi="Times New Roman" w:cs="Times New Roman"/>
                <w:szCs w:val="24"/>
              </w:rPr>
              <w:t>.138</w:t>
            </w:r>
          </w:p>
        </w:tc>
        <w:tc>
          <w:tcPr>
            <w:tcW w:w="1966" w:type="dxa"/>
            <w:vAlign w:val="center"/>
          </w:tcPr>
          <w:p w14:paraId="3B1C4F19" w14:textId="77777777" w:rsidR="00814B2B" w:rsidRPr="007C7BB9" w:rsidRDefault="00814B2B" w:rsidP="00BA2D09">
            <w:pPr>
              <w:jc w:val="center"/>
              <w:rPr>
                <w:rFonts w:ascii="Times New Roman" w:hAnsi="Times New Roman" w:cs="Times New Roman"/>
                <w:szCs w:val="24"/>
              </w:rPr>
            </w:pPr>
            <w:r w:rsidRPr="007C7BB9">
              <w:rPr>
                <w:rFonts w:ascii="Times New Roman" w:hAnsi="Times New Roman" w:cs="Times New Roman"/>
                <w:szCs w:val="24"/>
              </w:rPr>
              <w:t>0.77</w:t>
            </w:r>
          </w:p>
        </w:tc>
        <w:tc>
          <w:tcPr>
            <w:tcW w:w="1842" w:type="dxa"/>
            <w:vAlign w:val="center"/>
          </w:tcPr>
          <w:p w14:paraId="481350F1" w14:textId="51951226" w:rsidR="00814B2B" w:rsidRPr="007C7BB9" w:rsidRDefault="003364CF" w:rsidP="00BA2D09">
            <w:pPr>
              <w:jc w:val="center"/>
              <w:rPr>
                <w:rFonts w:ascii="Times New Roman" w:hAnsi="Times New Roman" w:cs="Times New Roman"/>
                <w:szCs w:val="24"/>
              </w:rPr>
            </w:pPr>
            <w:r>
              <w:rPr>
                <w:rFonts w:ascii="Times New Roman" w:hAnsi="Times New Roman" w:cs="Times New Roman"/>
                <w:szCs w:val="24"/>
              </w:rPr>
              <w:t>0</w:t>
            </w:r>
            <w:r w:rsidR="00814B2B" w:rsidRPr="007C7BB9">
              <w:rPr>
                <w:rFonts w:ascii="Times New Roman" w:hAnsi="Times New Roman" w:cs="Times New Roman"/>
                <w:szCs w:val="24"/>
              </w:rPr>
              <w:t>.381</w:t>
            </w:r>
          </w:p>
        </w:tc>
      </w:tr>
    </w:tbl>
    <w:p w14:paraId="055F80B5" w14:textId="22DB0814" w:rsidR="00BA4366" w:rsidRPr="00BA2D09" w:rsidRDefault="004607F4" w:rsidP="00BA2D09">
      <w:pPr>
        <w:pStyle w:val="FootnoteText"/>
      </w:pPr>
      <w:r w:rsidRPr="00BA2D09">
        <w:rPr>
          <w:rFonts w:asciiTheme="majorBidi" w:hAnsiTheme="majorBidi"/>
        </w:rPr>
        <w:t xml:space="preserve">Policy </w:t>
      </w:r>
      <w:r w:rsidR="003364CF" w:rsidRPr="007C7BB9">
        <w:t>effectiveness</w:t>
      </w:r>
      <w:r w:rsidR="003364CF" w:rsidRPr="00BA2D09">
        <w:rPr>
          <w:rFonts w:asciiTheme="majorBidi" w:hAnsiTheme="majorBidi"/>
        </w:rPr>
        <w:t xml:space="preserve"> </w:t>
      </w:r>
      <w:r w:rsidRPr="00BA2D09">
        <w:rPr>
          <w:rFonts w:asciiTheme="majorBidi" w:hAnsiTheme="majorBidi"/>
        </w:rPr>
        <w:t xml:space="preserve">was measured on a 5-point scale (1 = </w:t>
      </w:r>
      <w:r w:rsidR="003364CF" w:rsidRPr="007C7BB9">
        <w:t>not</w:t>
      </w:r>
      <w:r w:rsidR="003364CF" w:rsidRPr="00BA2D09">
        <w:rPr>
          <w:rFonts w:asciiTheme="majorBidi" w:hAnsiTheme="majorBidi"/>
        </w:rPr>
        <w:t xml:space="preserve"> </w:t>
      </w:r>
      <w:r w:rsidRPr="00BA2D09">
        <w:rPr>
          <w:rFonts w:asciiTheme="majorBidi" w:hAnsiTheme="majorBidi"/>
        </w:rPr>
        <w:t xml:space="preserve">at all effective to 5 = </w:t>
      </w:r>
      <w:r w:rsidR="003364CF" w:rsidRPr="007C7BB9">
        <w:t>very</w:t>
      </w:r>
      <w:r w:rsidR="003364CF" w:rsidRPr="00BA2D09">
        <w:rPr>
          <w:rFonts w:asciiTheme="majorBidi" w:hAnsiTheme="majorBidi"/>
        </w:rPr>
        <w:t xml:space="preserve"> </w:t>
      </w:r>
      <w:r w:rsidRPr="00BA2D09">
        <w:rPr>
          <w:rFonts w:asciiTheme="majorBidi" w:hAnsiTheme="majorBidi"/>
        </w:rPr>
        <w:t>effective).</w:t>
      </w:r>
      <w:r w:rsidR="003364CF" w:rsidRPr="00BA2D09">
        <w:rPr>
          <w:rFonts w:asciiTheme="majorBidi" w:hAnsiTheme="majorBidi"/>
        </w:rPr>
        <w:t xml:space="preserve"> </w:t>
      </w:r>
      <w:r w:rsidR="003364CF">
        <w:t>‘</w:t>
      </w:r>
      <w:r w:rsidR="00265B1B" w:rsidRPr="00BA2D09">
        <w:t>Tick</w:t>
      </w:r>
      <w:r w:rsidR="00265B1B" w:rsidRPr="003364CF">
        <w:t>-box</w:t>
      </w:r>
      <w:r w:rsidR="003364CF">
        <w:t>’</w:t>
      </w:r>
      <w:r w:rsidRPr="007C7BB9">
        <w:t xml:space="preserve"> </w:t>
      </w:r>
      <w:r w:rsidR="003364CF" w:rsidRPr="007C7BB9">
        <w:t>perception</w:t>
      </w:r>
      <w:r w:rsidR="003364CF" w:rsidRPr="00BA2D09">
        <w:t xml:space="preserve"> </w:t>
      </w:r>
      <w:r w:rsidRPr="00BA2D09">
        <w:t xml:space="preserve">was measured on a 5-point scale (1 = </w:t>
      </w:r>
      <w:r w:rsidR="003364CF" w:rsidRPr="007C7BB9">
        <w:t>strongly</w:t>
      </w:r>
      <w:r w:rsidR="003364CF" w:rsidRPr="00BA2D09">
        <w:t xml:space="preserve"> </w:t>
      </w:r>
      <w:r w:rsidRPr="00BA2D09">
        <w:t xml:space="preserve">disagree to 5 = </w:t>
      </w:r>
      <w:r w:rsidR="003364CF" w:rsidRPr="007C7BB9">
        <w:t>strongly</w:t>
      </w:r>
      <w:r w:rsidR="003364CF" w:rsidRPr="00BA2D09">
        <w:t xml:space="preserve"> </w:t>
      </w:r>
      <w:r w:rsidRPr="00BA2D09">
        <w:t xml:space="preserve">agree that the policy is likely to be a </w:t>
      </w:r>
      <w:r w:rsidR="00BA4366" w:rsidRPr="003364CF">
        <w:t>‘</w:t>
      </w:r>
      <w:r w:rsidR="00265B1B" w:rsidRPr="003364CF">
        <w:t>tick-box</w:t>
      </w:r>
      <w:r w:rsidR="00BA4366" w:rsidRPr="003364CF">
        <w:t>’</w:t>
      </w:r>
      <w:r w:rsidRPr="00BA2D09">
        <w:t xml:space="preserve"> exercise). *</w:t>
      </w:r>
      <w:r w:rsidRPr="00BA2D09">
        <w:rPr>
          <w:i/>
        </w:rPr>
        <w:t>p</w:t>
      </w:r>
      <w:r w:rsidRPr="00BA2D09">
        <w:t xml:space="preserve"> &lt; </w:t>
      </w:r>
      <w:r w:rsidR="003364CF">
        <w:t>0</w:t>
      </w:r>
      <w:r w:rsidRPr="00BA2D09">
        <w:t>.05, ***</w:t>
      </w:r>
      <w:r w:rsidRPr="00BA2D09">
        <w:rPr>
          <w:i/>
        </w:rPr>
        <w:t>p</w:t>
      </w:r>
      <w:r w:rsidRPr="00BA2D09">
        <w:t xml:space="preserve"> &lt; </w:t>
      </w:r>
      <w:r w:rsidR="003364CF">
        <w:t>0</w:t>
      </w:r>
      <w:r w:rsidRPr="00BA2D09">
        <w:t>.001.</w:t>
      </w:r>
      <w:bookmarkEnd w:id="17"/>
    </w:p>
    <w:p w14:paraId="11EF5EEB" w14:textId="1AB9D47D" w:rsidR="00941559" w:rsidRDefault="007B4310" w:rsidP="00BA2D09">
      <w:pPr>
        <w:rPr>
          <w:rFonts w:ascii="Times New Roman" w:hAnsi="Times New Roman" w:cs="Times New Roman"/>
          <w:szCs w:val="24"/>
        </w:rPr>
      </w:pPr>
      <w:r>
        <w:rPr>
          <w:rFonts w:ascii="Times New Roman" w:hAnsi="Times New Roman" w:cs="Times New Roman"/>
          <w:szCs w:val="24"/>
        </w:rPr>
        <w:t xml:space="preserve">The analysis in </w:t>
      </w:r>
      <w:r w:rsidRPr="00367FF5">
        <w:rPr>
          <w:rFonts w:ascii="Times New Roman" w:hAnsi="Times New Roman" w:cs="Times New Roman"/>
          <w:szCs w:val="24"/>
        </w:rPr>
        <w:t xml:space="preserve">Table </w:t>
      </w:r>
      <w:r w:rsidR="003364CF">
        <w:rPr>
          <w:rFonts w:ascii="Times New Roman" w:hAnsi="Times New Roman" w:cs="Times New Roman"/>
          <w:szCs w:val="24"/>
        </w:rPr>
        <w:t>2</w:t>
      </w:r>
      <w:r w:rsidR="00BF3869" w:rsidRPr="00BF3869">
        <w:rPr>
          <w:rFonts w:ascii="Times New Roman" w:hAnsi="Times New Roman" w:cs="Times New Roman"/>
          <w:szCs w:val="24"/>
        </w:rPr>
        <w:t xml:space="preserve"> supports both </w:t>
      </w:r>
      <w:r>
        <w:rPr>
          <w:rFonts w:ascii="Times New Roman" w:hAnsi="Times New Roman" w:cs="Times New Roman"/>
          <w:i/>
          <w:iCs/>
          <w:szCs w:val="24"/>
        </w:rPr>
        <w:t xml:space="preserve">H1 </w:t>
      </w:r>
      <w:r>
        <w:rPr>
          <w:rFonts w:ascii="Times New Roman" w:hAnsi="Times New Roman" w:cs="Times New Roman"/>
          <w:szCs w:val="24"/>
        </w:rPr>
        <w:t xml:space="preserve">and </w:t>
      </w:r>
      <w:r>
        <w:rPr>
          <w:rFonts w:ascii="Times New Roman" w:hAnsi="Times New Roman" w:cs="Times New Roman"/>
          <w:i/>
          <w:iCs/>
          <w:szCs w:val="24"/>
        </w:rPr>
        <w:t>H2</w:t>
      </w:r>
      <w:r w:rsidR="00BF3869" w:rsidRPr="00BF3869">
        <w:rPr>
          <w:rFonts w:ascii="Times New Roman" w:hAnsi="Times New Roman" w:cs="Times New Roman"/>
          <w:szCs w:val="24"/>
        </w:rPr>
        <w:t xml:space="preserve">. </w:t>
      </w:r>
      <w:r w:rsidR="00367FF5">
        <w:rPr>
          <w:rFonts w:ascii="Times New Roman" w:hAnsi="Times New Roman" w:cs="Times New Roman"/>
          <w:szCs w:val="24"/>
        </w:rPr>
        <w:t>P</w:t>
      </w:r>
      <w:r w:rsidR="00BF3869" w:rsidRPr="00BF3869">
        <w:rPr>
          <w:rFonts w:ascii="Times New Roman" w:hAnsi="Times New Roman" w:cs="Times New Roman"/>
          <w:szCs w:val="24"/>
        </w:rPr>
        <w:t>articipants in the condition with neither resources nor strong enforcement (</w:t>
      </w:r>
      <w:r w:rsidR="003364CF" w:rsidRPr="00BF3869">
        <w:rPr>
          <w:rFonts w:ascii="Times New Roman" w:hAnsi="Times New Roman" w:cs="Times New Roman"/>
          <w:i/>
          <w:iCs/>
          <w:szCs w:val="24"/>
        </w:rPr>
        <w:t>resources absent + low enforcement</w:t>
      </w:r>
      <w:r w:rsidR="00BF3869" w:rsidRPr="00BF3869">
        <w:rPr>
          <w:rFonts w:ascii="Times New Roman" w:hAnsi="Times New Roman" w:cs="Times New Roman"/>
          <w:szCs w:val="24"/>
        </w:rPr>
        <w:t xml:space="preserve">) reported the highest levels of </w:t>
      </w:r>
      <w:r w:rsidR="00BA4366" w:rsidRPr="00BA2D09">
        <w:t>‘</w:t>
      </w:r>
      <w:r w:rsidR="00265B1B" w:rsidRPr="00BA2D09">
        <w:t>tick</w:t>
      </w:r>
      <w:r w:rsidR="00265B1B" w:rsidRPr="003364CF">
        <w:t>-</w:t>
      </w:r>
      <w:r w:rsidR="00265B1B" w:rsidRPr="00BA2D09">
        <w:t>box</w:t>
      </w:r>
      <w:r w:rsidR="00BA4366" w:rsidRPr="00BA2D09">
        <w:t>’</w:t>
      </w:r>
      <w:r w:rsidR="00BF3869" w:rsidRPr="00BA2D09">
        <w:t xml:space="preserve"> </w:t>
      </w:r>
      <w:r w:rsidR="00BF3869" w:rsidRPr="00BF3869">
        <w:rPr>
          <w:rFonts w:ascii="Times New Roman" w:hAnsi="Times New Roman" w:cs="Times New Roman"/>
          <w:szCs w:val="24"/>
        </w:rPr>
        <w:t>perceptions (</w:t>
      </w:r>
      <w:r w:rsidR="004607F4">
        <w:rPr>
          <w:rFonts w:ascii="Times New Roman" w:hAnsi="Times New Roman" w:cs="Times New Roman"/>
          <w:szCs w:val="24"/>
        </w:rPr>
        <w:t xml:space="preserve">a mean of </w:t>
      </w:r>
      <w:r w:rsidR="00BF3869" w:rsidRPr="00BF3869">
        <w:rPr>
          <w:rFonts w:ascii="Times New Roman" w:hAnsi="Times New Roman" w:cs="Times New Roman"/>
          <w:szCs w:val="24"/>
        </w:rPr>
        <w:t xml:space="preserve">4.31 on </w:t>
      </w:r>
      <w:r w:rsidR="003364CF">
        <w:rPr>
          <w:rFonts w:ascii="Times New Roman" w:hAnsi="Times New Roman" w:cs="Times New Roman"/>
          <w:szCs w:val="24"/>
        </w:rPr>
        <w:t>a</w:t>
      </w:r>
      <w:r w:rsidR="00BF3869" w:rsidRPr="00BF3869">
        <w:rPr>
          <w:rFonts w:ascii="Times New Roman" w:hAnsi="Times New Roman" w:cs="Times New Roman"/>
          <w:szCs w:val="24"/>
        </w:rPr>
        <w:t xml:space="preserve"> 5-point scale). This same condition also produced the most negative effectiveness ratings (</w:t>
      </w:r>
      <w:r w:rsidR="004607F4">
        <w:rPr>
          <w:rFonts w:ascii="Times New Roman" w:hAnsi="Times New Roman" w:cs="Times New Roman"/>
          <w:szCs w:val="24"/>
        </w:rPr>
        <w:t>a mean of 1.75</w:t>
      </w:r>
      <w:r w:rsidR="00BF3869" w:rsidRPr="00BF3869">
        <w:rPr>
          <w:rFonts w:ascii="Times New Roman" w:hAnsi="Times New Roman" w:cs="Times New Roman"/>
          <w:szCs w:val="24"/>
        </w:rPr>
        <w:t>)</w:t>
      </w:r>
      <w:r w:rsidR="00E354EC">
        <w:rPr>
          <w:rFonts w:ascii="Times New Roman" w:hAnsi="Times New Roman" w:cs="Times New Roman"/>
          <w:szCs w:val="24"/>
        </w:rPr>
        <w:t xml:space="preserve">. </w:t>
      </w:r>
      <w:r w:rsidR="00BF3869" w:rsidRPr="00BF3869">
        <w:rPr>
          <w:rFonts w:ascii="Times New Roman" w:hAnsi="Times New Roman" w:cs="Times New Roman"/>
          <w:szCs w:val="24"/>
        </w:rPr>
        <w:t xml:space="preserve">Resources </w:t>
      </w:r>
      <w:r w:rsidR="0063667A">
        <w:rPr>
          <w:rFonts w:ascii="Times New Roman" w:hAnsi="Times New Roman" w:cs="Times New Roman"/>
          <w:szCs w:val="24"/>
        </w:rPr>
        <w:t>had</w:t>
      </w:r>
      <w:r w:rsidR="0063667A" w:rsidRPr="00BF3869">
        <w:rPr>
          <w:rFonts w:ascii="Times New Roman" w:hAnsi="Times New Roman" w:cs="Times New Roman"/>
          <w:szCs w:val="24"/>
        </w:rPr>
        <w:t xml:space="preserve"> </w:t>
      </w:r>
      <w:r w:rsidR="00BF3869" w:rsidRPr="00BF3869">
        <w:rPr>
          <w:rFonts w:ascii="Times New Roman" w:hAnsi="Times New Roman" w:cs="Times New Roman"/>
          <w:szCs w:val="24"/>
        </w:rPr>
        <w:t>a stronger positive effect on perceived policy effectiveness than enforcement did. The presence of resources increased effectiveness ratings substantially</w:t>
      </w:r>
      <w:r w:rsidR="005F40CC">
        <w:rPr>
          <w:rFonts w:ascii="Times New Roman" w:hAnsi="Times New Roman" w:cs="Times New Roman"/>
          <w:szCs w:val="24"/>
        </w:rPr>
        <w:t>,</w:t>
      </w:r>
      <w:r w:rsidR="00BF3869" w:rsidRPr="00BF3869">
        <w:rPr>
          <w:rFonts w:ascii="Times New Roman" w:hAnsi="Times New Roman" w:cs="Times New Roman"/>
          <w:szCs w:val="24"/>
        </w:rPr>
        <w:t xml:space="preserve"> while enforcement had a more modest impact</w:t>
      </w:r>
      <w:r w:rsidR="00BF3869">
        <w:rPr>
          <w:rFonts w:ascii="Times New Roman" w:hAnsi="Times New Roman" w:cs="Times New Roman"/>
          <w:szCs w:val="24"/>
        </w:rPr>
        <w:t xml:space="preserve">. </w:t>
      </w:r>
      <w:r w:rsidR="002E78E2">
        <w:rPr>
          <w:rFonts w:ascii="Times New Roman" w:hAnsi="Times New Roman" w:cs="Times New Roman"/>
          <w:szCs w:val="24"/>
        </w:rPr>
        <w:t>W</w:t>
      </w:r>
      <w:r w:rsidR="00BF3869" w:rsidRPr="00BF3869">
        <w:rPr>
          <w:rFonts w:ascii="Times New Roman" w:hAnsi="Times New Roman" w:cs="Times New Roman"/>
          <w:szCs w:val="24"/>
        </w:rPr>
        <w:t>hen examining</w:t>
      </w:r>
      <w:r w:rsidR="00BF3869" w:rsidRPr="00BA2D09">
        <w:t xml:space="preserve"> </w:t>
      </w:r>
      <w:r w:rsidR="00BA4366" w:rsidRPr="00BA2D09">
        <w:t>‘</w:t>
      </w:r>
      <w:r w:rsidR="00265B1B" w:rsidRPr="00BA2D09">
        <w:t>tick</w:t>
      </w:r>
      <w:r w:rsidR="00265B1B" w:rsidRPr="003364CF">
        <w:t>-</w:t>
      </w:r>
      <w:r w:rsidR="00265B1B" w:rsidRPr="00BA2D09">
        <w:t>box</w:t>
      </w:r>
      <w:r w:rsidR="00BA4366" w:rsidRPr="00BA2D09">
        <w:t>’</w:t>
      </w:r>
      <w:r w:rsidR="00BF3869" w:rsidRPr="00BA2D09">
        <w:t xml:space="preserve"> pe</w:t>
      </w:r>
      <w:r w:rsidR="00BF3869" w:rsidRPr="00BF3869">
        <w:rPr>
          <w:rFonts w:ascii="Times New Roman" w:hAnsi="Times New Roman" w:cs="Times New Roman"/>
          <w:szCs w:val="24"/>
        </w:rPr>
        <w:t xml:space="preserve">rceptions, this pattern </w:t>
      </w:r>
      <w:r w:rsidR="003364CF">
        <w:rPr>
          <w:rFonts w:ascii="Times New Roman" w:hAnsi="Times New Roman" w:cs="Times New Roman"/>
          <w:szCs w:val="24"/>
        </w:rPr>
        <w:t xml:space="preserve">was </w:t>
      </w:r>
      <w:r w:rsidR="00BF3869" w:rsidRPr="00BF3869">
        <w:rPr>
          <w:rFonts w:ascii="Times New Roman" w:hAnsi="Times New Roman" w:cs="Times New Roman"/>
          <w:szCs w:val="24"/>
        </w:rPr>
        <w:t>reversed</w:t>
      </w:r>
      <w:r w:rsidR="00265B1B">
        <w:rPr>
          <w:rFonts w:ascii="Times New Roman" w:hAnsi="Times New Roman" w:cs="Times New Roman"/>
          <w:szCs w:val="24"/>
        </w:rPr>
        <w:t>—</w:t>
      </w:r>
      <w:r w:rsidR="00BF3869" w:rsidRPr="00BF3869">
        <w:rPr>
          <w:rFonts w:ascii="Times New Roman" w:hAnsi="Times New Roman" w:cs="Times New Roman"/>
          <w:szCs w:val="24"/>
        </w:rPr>
        <w:t>enforcement had a stronger effect than resources did.</w:t>
      </w:r>
      <w:r w:rsidR="002C468C">
        <w:rPr>
          <w:rFonts w:ascii="Times New Roman" w:hAnsi="Times New Roman" w:cs="Times New Roman"/>
          <w:szCs w:val="24"/>
        </w:rPr>
        <w:t xml:space="preserve"> The interaction between resources and enforcement was not significant, suggesting that they each independently have an effect.</w:t>
      </w:r>
    </w:p>
    <w:p w14:paraId="1881B80D" w14:textId="7BFCC1BE" w:rsidR="00B862AF" w:rsidRPr="00B862AF" w:rsidRDefault="00C649A2" w:rsidP="00BA2D09">
      <w:pPr>
        <w:rPr>
          <w:rFonts w:ascii="Times New Roman" w:hAnsi="Times New Roman" w:cs="Times New Roman"/>
          <w:szCs w:val="24"/>
        </w:rPr>
      </w:pPr>
      <w:r w:rsidRPr="00C649A2">
        <w:lastRenderedPageBreak/>
        <w:t xml:space="preserve">These findings reveal </w:t>
      </w:r>
      <w:r>
        <w:t>that</w:t>
      </w:r>
      <w:r w:rsidRPr="00C649A2">
        <w:t xml:space="preserve"> resources and enforcement </w:t>
      </w:r>
      <w:r w:rsidR="001B5604">
        <w:t xml:space="preserve">each </w:t>
      </w:r>
      <w:r w:rsidRPr="00C649A2">
        <w:t>shap</w:t>
      </w:r>
      <w:r>
        <w:t>e</w:t>
      </w:r>
      <w:r w:rsidRPr="00C649A2">
        <w:t xml:space="preserve"> civil servants</w:t>
      </w:r>
      <w:r w:rsidR="00BA4366">
        <w:t>’</w:t>
      </w:r>
      <w:r w:rsidRPr="00C649A2">
        <w:t xml:space="preserve"> perceptions of reflexive discrimination law. </w:t>
      </w:r>
      <w:r w:rsidR="001B5604">
        <w:t xml:space="preserve">Rather than higher levels of enforcement seemingly triggering </w:t>
      </w:r>
      <w:r w:rsidR="00BA4366">
        <w:t>‘</w:t>
      </w:r>
      <w:r w:rsidR="001B5604">
        <w:t>defensive protocolisation</w:t>
      </w:r>
      <w:r w:rsidR="00BA4366">
        <w:t>’</w:t>
      </w:r>
      <w:r w:rsidR="001B5604">
        <w:t xml:space="preserve"> sentiments, civil servants saw higher enforcement as reducing the likelihood of the policy being a </w:t>
      </w:r>
      <w:r w:rsidR="00BA4366" w:rsidRPr="003364CF">
        <w:t>‘</w:t>
      </w:r>
      <w:r w:rsidR="00265B1B" w:rsidRPr="003364CF">
        <w:t>tick-box</w:t>
      </w:r>
      <w:r w:rsidR="00BA4366" w:rsidRPr="003364CF">
        <w:t>’</w:t>
      </w:r>
      <w:r w:rsidR="001B5604" w:rsidRPr="003364CF">
        <w:t xml:space="preserve"> ex</w:t>
      </w:r>
      <w:r w:rsidR="001B5604">
        <w:t>ercise. Likewise, the centrality of resources to shaping perceptions of overall policy effectiveness is consistent with the qualitative findings. Civil servants working in a difficult financial environment saw a policy with</w:t>
      </w:r>
      <w:r w:rsidR="00A61CB3">
        <w:t>out</w:t>
      </w:r>
      <w:r w:rsidR="001B5604">
        <w:t xml:space="preserve"> resources as likely to be significantly less effective</w:t>
      </w:r>
      <w:r w:rsidR="00A61CB3">
        <w:t xml:space="preserve"> at achieving its aims.</w:t>
      </w:r>
    </w:p>
    <w:p w14:paraId="22B6E263" w14:textId="5DF9EBA5" w:rsidR="00703A90" w:rsidRDefault="00DC7CF3" w:rsidP="00BA4366">
      <w:pPr>
        <w:pStyle w:val="Heading1"/>
        <w:numPr>
          <w:ilvl w:val="0"/>
          <w:numId w:val="38"/>
        </w:numPr>
        <w:rPr>
          <w:lang w:eastAsia="en-GB"/>
        </w:rPr>
      </w:pPr>
      <w:r>
        <w:rPr>
          <w:lang w:eastAsia="en-GB"/>
        </w:rPr>
        <w:t>Conclusion</w:t>
      </w:r>
    </w:p>
    <w:p w14:paraId="712639F7" w14:textId="4273702C" w:rsidR="00BA4366" w:rsidRPr="00BA2D09" w:rsidRDefault="00FC1F53" w:rsidP="00BA2D09">
      <w:r>
        <w:rPr>
          <w:lang w:eastAsia="en-GB"/>
        </w:rPr>
        <w:t xml:space="preserve">The </w:t>
      </w:r>
      <w:r w:rsidRPr="00FC1F53">
        <w:rPr>
          <w:lang w:eastAsia="en-GB"/>
        </w:rPr>
        <w:t>Office for Equality and Opportunity</w:t>
      </w:r>
      <w:r w:rsidR="00BA4366">
        <w:rPr>
          <w:lang w:eastAsia="en-GB"/>
        </w:rPr>
        <w:t>’</w:t>
      </w:r>
      <w:r>
        <w:rPr>
          <w:lang w:eastAsia="en-GB"/>
        </w:rPr>
        <w:t xml:space="preserve">s consultation on equality law contains a section on </w:t>
      </w:r>
      <w:r w:rsidR="00BA4366">
        <w:rPr>
          <w:lang w:eastAsia="en-GB"/>
        </w:rPr>
        <w:t>‘</w:t>
      </w:r>
      <w:r w:rsidR="00845BF1">
        <w:rPr>
          <w:lang w:eastAsia="en-GB"/>
        </w:rPr>
        <w:t>implementing the socio-economic duty</w:t>
      </w:r>
      <w:r w:rsidR="00BA4366">
        <w:rPr>
          <w:lang w:eastAsia="en-GB"/>
        </w:rPr>
        <w:t>’</w:t>
      </w:r>
      <w:r w:rsidR="00845BF1">
        <w:rPr>
          <w:lang w:eastAsia="en-GB"/>
        </w:rPr>
        <w:t>.</w:t>
      </w:r>
      <w:r w:rsidR="00095185">
        <w:rPr>
          <w:rStyle w:val="FootnoteReference"/>
          <w:lang w:eastAsia="en-GB"/>
        </w:rPr>
        <w:footnoteReference w:id="160"/>
      </w:r>
      <w:r w:rsidR="004A4B2A">
        <w:rPr>
          <w:lang w:eastAsia="en-GB"/>
        </w:rPr>
        <w:t xml:space="preserve"> It</w:t>
      </w:r>
      <w:r w:rsidR="00DA0717">
        <w:rPr>
          <w:lang w:eastAsia="en-GB"/>
        </w:rPr>
        <w:t xml:space="preserve"> starts by setting </w:t>
      </w:r>
      <w:r w:rsidR="004A4B2A">
        <w:rPr>
          <w:lang w:eastAsia="en-GB"/>
        </w:rPr>
        <w:t>out the scale of the challenge, with 1</w:t>
      </w:r>
      <w:r w:rsidR="001941EB">
        <w:rPr>
          <w:lang w:eastAsia="en-GB"/>
        </w:rPr>
        <w:t>8</w:t>
      </w:r>
      <w:r w:rsidR="004A4B2A">
        <w:rPr>
          <w:lang w:eastAsia="en-GB"/>
        </w:rPr>
        <w:t>% of people in the UK living in absolute poverty</w:t>
      </w:r>
      <w:r w:rsidR="001941EB">
        <w:rPr>
          <w:lang w:eastAsia="en-GB"/>
        </w:rPr>
        <w:t xml:space="preserve"> after housing costs</w:t>
      </w:r>
      <w:r w:rsidR="003364CF">
        <w:rPr>
          <w:lang w:eastAsia="en-GB"/>
        </w:rPr>
        <w:t>,</w:t>
      </w:r>
      <w:r w:rsidR="00DA0717">
        <w:rPr>
          <w:lang w:eastAsia="en-GB"/>
        </w:rPr>
        <w:t xml:space="preserve"> </w:t>
      </w:r>
      <w:r w:rsidR="001941EB">
        <w:rPr>
          <w:lang w:eastAsia="en-GB"/>
        </w:rPr>
        <w:t>including 3.6 million children</w:t>
      </w:r>
      <w:r w:rsidR="00DA0717">
        <w:rPr>
          <w:lang w:eastAsia="en-GB"/>
        </w:rPr>
        <w:t>, before suggesting t</w:t>
      </w:r>
      <w:r w:rsidR="00DA0717" w:rsidRPr="003364CF">
        <w:t>hat as</w:t>
      </w:r>
      <w:r w:rsidR="006843BC" w:rsidRPr="003364CF">
        <w:t xml:space="preserve"> </w:t>
      </w:r>
      <w:r w:rsidR="00BA4366" w:rsidRPr="003364CF">
        <w:t>‘</w:t>
      </w:r>
      <w:r w:rsidR="006843BC" w:rsidRPr="003364CF">
        <w:t>part of our work to address this</w:t>
      </w:r>
      <w:r w:rsidR="00BA4366" w:rsidRPr="003364CF">
        <w:t>’</w:t>
      </w:r>
      <w:r w:rsidR="003364CF" w:rsidRPr="003364CF">
        <w:t>,</w:t>
      </w:r>
      <w:r w:rsidR="006843BC" w:rsidRPr="003364CF">
        <w:t xml:space="preserve"> the </w:t>
      </w:r>
      <w:r w:rsidR="000A3BAD" w:rsidRPr="003364CF">
        <w:t>socio-economic duty</w:t>
      </w:r>
      <w:r w:rsidR="006843BC" w:rsidRPr="003364CF">
        <w:t xml:space="preserve"> </w:t>
      </w:r>
      <w:r w:rsidR="00B91F40" w:rsidRPr="003364CF">
        <w:t>will require public au</w:t>
      </w:r>
      <w:r w:rsidR="00B91F40">
        <w:rPr>
          <w:lang w:eastAsia="en-GB"/>
        </w:rPr>
        <w:t xml:space="preserve">thorities to </w:t>
      </w:r>
      <w:r w:rsidR="00BA4366">
        <w:rPr>
          <w:lang w:eastAsia="en-GB"/>
        </w:rPr>
        <w:t>‘</w:t>
      </w:r>
      <w:r w:rsidR="00B91F40" w:rsidRPr="00B91F40">
        <w:rPr>
          <w:lang w:eastAsia="en-GB"/>
        </w:rPr>
        <w:t>determine whether they might be able to reduce any socio-economic inequalities through their decision</w:t>
      </w:r>
      <w:r w:rsidR="00571010">
        <w:rPr>
          <w:lang w:eastAsia="en-GB"/>
        </w:rPr>
        <w:t>-</w:t>
      </w:r>
      <w:r w:rsidR="00B91F40" w:rsidRPr="00B91F40">
        <w:rPr>
          <w:lang w:eastAsia="en-GB"/>
        </w:rPr>
        <w:t>makin</w:t>
      </w:r>
      <w:r w:rsidR="00B91F40">
        <w:rPr>
          <w:lang w:eastAsia="en-GB"/>
        </w:rPr>
        <w:t>g</w:t>
      </w:r>
      <w:r w:rsidR="00BA4366">
        <w:rPr>
          <w:lang w:eastAsia="en-GB"/>
        </w:rPr>
        <w:t>’</w:t>
      </w:r>
      <w:r w:rsidR="00B91F40">
        <w:rPr>
          <w:lang w:eastAsia="en-GB"/>
        </w:rPr>
        <w:t xml:space="preserve">, whether it be </w:t>
      </w:r>
      <w:r w:rsidR="00A96500">
        <w:rPr>
          <w:lang w:eastAsia="en-GB"/>
        </w:rPr>
        <w:t xml:space="preserve">education, health, housing </w:t>
      </w:r>
      <w:r w:rsidR="004F534F">
        <w:rPr>
          <w:lang w:eastAsia="en-GB"/>
        </w:rPr>
        <w:t>and so on.</w:t>
      </w:r>
      <w:r w:rsidR="00043834">
        <w:rPr>
          <w:rStyle w:val="FootnoteReference"/>
          <w:lang w:eastAsia="en-GB"/>
        </w:rPr>
        <w:footnoteReference w:id="161"/>
      </w:r>
      <w:r w:rsidR="00EF6093">
        <w:rPr>
          <w:lang w:eastAsia="en-GB"/>
        </w:rPr>
        <w:t xml:space="preserve"> </w:t>
      </w:r>
      <w:r w:rsidR="005156E7">
        <w:rPr>
          <w:lang w:eastAsia="en-GB"/>
        </w:rPr>
        <w:t xml:space="preserve">The socio-economic duty has the potential to catalyse change in response to this overarching aim. </w:t>
      </w:r>
      <w:r w:rsidR="00455061">
        <w:rPr>
          <w:lang w:eastAsia="en-GB"/>
        </w:rPr>
        <w:t>The</w:t>
      </w:r>
      <w:r w:rsidR="00556F7D">
        <w:rPr>
          <w:lang w:eastAsia="en-GB"/>
        </w:rPr>
        <w:t xml:space="preserve"> analysi</w:t>
      </w:r>
      <w:r w:rsidR="00556F7D" w:rsidRPr="003364CF">
        <w:t>s in t</w:t>
      </w:r>
      <w:r w:rsidR="00BA4366" w:rsidRPr="003364CF">
        <w:t>his article</w:t>
      </w:r>
      <w:r w:rsidR="00556F7D" w:rsidRPr="003364CF">
        <w:t xml:space="preserve"> points to a </w:t>
      </w:r>
      <w:r w:rsidR="00556F7D">
        <w:rPr>
          <w:lang w:eastAsia="en-GB"/>
        </w:rPr>
        <w:t>civil service that is broadly welcoming of the policy and commends it</w:t>
      </w:r>
      <w:r w:rsidR="003B4594">
        <w:rPr>
          <w:lang w:eastAsia="en-GB"/>
        </w:rPr>
        <w:t>s</w:t>
      </w:r>
      <w:r w:rsidR="00556F7D">
        <w:rPr>
          <w:lang w:eastAsia="en-GB"/>
        </w:rPr>
        <w:t xml:space="preserve"> aims, but nevertheless </w:t>
      </w:r>
      <w:r w:rsidR="005D2449">
        <w:rPr>
          <w:lang w:eastAsia="en-GB"/>
        </w:rPr>
        <w:t>raises concerns over</w:t>
      </w:r>
      <w:r w:rsidR="00556F7D">
        <w:rPr>
          <w:lang w:eastAsia="en-GB"/>
        </w:rPr>
        <w:t xml:space="preserve"> what it can achieve </w:t>
      </w:r>
      <w:r w:rsidR="000576CD">
        <w:rPr>
          <w:lang w:eastAsia="en-GB"/>
        </w:rPr>
        <w:t>in practice</w:t>
      </w:r>
      <w:r w:rsidR="00455061">
        <w:rPr>
          <w:lang w:eastAsia="en-GB"/>
        </w:rPr>
        <w:t xml:space="preserve"> without adequate enforcement and resources</w:t>
      </w:r>
      <w:r w:rsidR="00EF11C5">
        <w:rPr>
          <w:lang w:eastAsia="en-GB"/>
        </w:rPr>
        <w:t>.</w:t>
      </w:r>
    </w:p>
    <w:p w14:paraId="31095704" w14:textId="20B3D954" w:rsidR="00B915E4" w:rsidRDefault="00ED5D62" w:rsidP="00BA2D09">
      <w:pPr>
        <w:rPr>
          <w:lang w:eastAsia="en-GB"/>
        </w:rPr>
      </w:pPr>
      <w:r>
        <w:rPr>
          <w:lang w:eastAsia="en-GB"/>
        </w:rPr>
        <w:t>The overarching argument i</w:t>
      </w:r>
      <w:r w:rsidRPr="003364CF">
        <w:t>n t</w:t>
      </w:r>
      <w:r w:rsidR="00BA4366" w:rsidRPr="003364CF">
        <w:t>his article</w:t>
      </w:r>
      <w:r w:rsidRPr="003364CF">
        <w:t xml:space="preserve"> is th</w:t>
      </w:r>
      <w:r>
        <w:rPr>
          <w:lang w:eastAsia="en-GB"/>
        </w:rPr>
        <w:t xml:space="preserve">at understanding </w:t>
      </w:r>
      <w:r w:rsidR="00B915E4">
        <w:rPr>
          <w:lang w:eastAsia="en-GB"/>
        </w:rPr>
        <w:t xml:space="preserve">criticisms of the </w:t>
      </w:r>
      <w:r>
        <w:rPr>
          <w:lang w:eastAsia="en-GB"/>
        </w:rPr>
        <w:t>desig</w:t>
      </w:r>
      <w:r w:rsidR="00EF6093">
        <w:rPr>
          <w:lang w:eastAsia="en-GB"/>
        </w:rPr>
        <w:t>n,</w:t>
      </w:r>
      <w:r>
        <w:rPr>
          <w:lang w:eastAsia="en-GB"/>
        </w:rPr>
        <w:t xml:space="preserve"> implementation</w:t>
      </w:r>
      <w:r w:rsidR="00EF6093">
        <w:rPr>
          <w:lang w:eastAsia="en-GB"/>
        </w:rPr>
        <w:t xml:space="preserve"> and potential</w:t>
      </w:r>
      <w:r>
        <w:rPr>
          <w:lang w:eastAsia="en-GB"/>
        </w:rPr>
        <w:t xml:space="preserve"> of this textbook </w:t>
      </w:r>
      <w:r w:rsidR="000576CD">
        <w:rPr>
          <w:lang w:eastAsia="en-GB"/>
        </w:rPr>
        <w:t xml:space="preserve">example of a </w:t>
      </w:r>
      <w:r w:rsidR="00BA4366">
        <w:rPr>
          <w:lang w:eastAsia="en-GB"/>
        </w:rPr>
        <w:t>‘</w:t>
      </w:r>
      <w:r>
        <w:rPr>
          <w:lang w:eastAsia="en-GB"/>
        </w:rPr>
        <w:t>reflexive law</w:t>
      </w:r>
      <w:r w:rsidR="00BA4366">
        <w:rPr>
          <w:lang w:eastAsia="en-GB"/>
        </w:rPr>
        <w:t>’</w:t>
      </w:r>
      <w:r>
        <w:rPr>
          <w:lang w:eastAsia="en-GB"/>
        </w:rPr>
        <w:t xml:space="preserve"> </w:t>
      </w:r>
      <w:r w:rsidR="00396C6B">
        <w:rPr>
          <w:lang w:eastAsia="en-GB"/>
        </w:rPr>
        <w:t xml:space="preserve">tool </w:t>
      </w:r>
      <w:r w:rsidR="00D2349F">
        <w:rPr>
          <w:lang w:eastAsia="en-GB"/>
        </w:rPr>
        <w:t xml:space="preserve">can be enriched </w:t>
      </w:r>
      <w:r w:rsidR="00FA777E">
        <w:rPr>
          <w:lang w:eastAsia="en-GB"/>
        </w:rPr>
        <w:t>by</w:t>
      </w:r>
      <w:r w:rsidR="00D2349F">
        <w:rPr>
          <w:lang w:eastAsia="en-GB"/>
        </w:rPr>
        <w:t xml:space="preserve"> engagement with the literature on blame avoidance.</w:t>
      </w:r>
      <w:r w:rsidR="00455061">
        <w:rPr>
          <w:lang w:eastAsia="en-GB"/>
        </w:rPr>
        <w:t xml:space="preserve"> </w:t>
      </w:r>
      <w:r w:rsidR="00C21205">
        <w:rPr>
          <w:lang w:eastAsia="en-GB"/>
        </w:rPr>
        <w:t xml:space="preserve">Key features of the </w:t>
      </w:r>
      <w:r w:rsidR="00BA4366">
        <w:rPr>
          <w:lang w:eastAsia="en-GB"/>
        </w:rPr>
        <w:t>‘</w:t>
      </w:r>
      <w:r w:rsidR="00C21205">
        <w:rPr>
          <w:lang w:eastAsia="en-GB"/>
        </w:rPr>
        <w:t>socio-economic duty</w:t>
      </w:r>
      <w:r w:rsidR="00BA4366">
        <w:rPr>
          <w:lang w:eastAsia="en-GB"/>
        </w:rPr>
        <w:t>’</w:t>
      </w:r>
      <w:r w:rsidR="00C21205">
        <w:rPr>
          <w:lang w:eastAsia="en-GB"/>
        </w:rPr>
        <w:t xml:space="preserve"> (shared in similar reflexive law tools</w:t>
      </w:r>
      <w:r w:rsidR="003364CF">
        <w:rPr>
          <w:lang w:eastAsia="en-GB"/>
        </w:rPr>
        <w:t>,</w:t>
      </w:r>
      <w:r w:rsidR="00C21205">
        <w:rPr>
          <w:lang w:eastAsia="en-GB"/>
        </w:rPr>
        <w:t xml:space="preserve"> like the PSED)</w:t>
      </w:r>
      <w:r w:rsidR="00265B1B">
        <w:rPr>
          <w:lang w:eastAsia="en-GB"/>
        </w:rPr>
        <w:t>—</w:t>
      </w:r>
      <w:r w:rsidR="00C21205">
        <w:rPr>
          <w:lang w:eastAsia="en-GB"/>
        </w:rPr>
        <w:t>its use of the due regard formulation, reliance in practice on impact assessments and emphasis on stakeholder engagement</w:t>
      </w:r>
      <w:r w:rsidR="00265B1B">
        <w:rPr>
          <w:lang w:eastAsia="en-GB"/>
        </w:rPr>
        <w:t>—</w:t>
      </w:r>
      <w:r w:rsidR="001A42F4">
        <w:rPr>
          <w:lang w:eastAsia="en-GB"/>
        </w:rPr>
        <w:t xml:space="preserve">all chime with strategies analysed in the </w:t>
      </w:r>
      <w:r w:rsidR="00C32BD2">
        <w:rPr>
          <w:lang w:eastAsia="en-GB"/>
        </w:rPr>
        <w:t>blame avoidance</w:t>
      </w:r>
      <w:r w:rsidR="001A42F4">
        <w:rPr>
          <w:lang w:eastAsia="en-GB"/>
        </w:rPr>
        <w:t xml:space="preserve"> literature</w:t>
      </w:r>
      <w:r w:rsidR="00265B1B">
        <w:rPr>
          <w:lang w:eastAsia="en-GB"/>
        </w:rPr>
        <w:t>—</w:t>
      </w:r>
      <w:r w:rsidR="00B915E4">
        <w:rPr>
          <w:lang w:eastAsia="en-GB"/>
        </w:rPr>
        <w:t>delegation of responsibility, defensive protocolisation and diffusion by engagement</w:t>
      </w:r>
      <w:r w:rsidR="00E63DDE">
        <w:rPr>
          <w:lang w:eastAsia="en-GB"/>
        </w:rPr>
        <w:t>.</w:t>
      </w:r>
      <w:r w:rsidR="0046479A">
        <w:rPr>
          <w:lang w:eastAsia="en-GB"/>
        </w:rPr>
        <w:t xml:space="preserve"> </w:t>
      </w:r>
      <w:r w:rsidR="00B915E4">
        <w:rPr>
          <w:lang w:eastAsia="en-GB"/>
        </w:rPr>
        <w:t>Indeed, participants</w:t>
      </w:r>
      <w:r w:rsidR="00B915E4" w:rsidRPr="007C7BB9">
        <w:rPr>
          <w:rFonts w:ascii="Times New Roman" w:eastAsia="Times New Roman" w:hAnsi="Times New Roman" w:cs="Times New Roman"/>
          <w:bCs/>
          <w:szCs w:val="24"/>
          <w:lang w:eastAsia="en-GB"/>
        </w:rPr>
        <w:t xml:space="preserve"> </w:t>
      </w:r>
      <w:r w:rsidR="00B915E4">
        <w:rPr>
          <w:rFonts w:ascii="Times New Roman" w:eastAsia="Times New Roman" w:hAnsi="Times New Roman" w:cs="Times New Roman"/>
          <w:bCs/>
          <w:szCs w:val="24"/>
          <w:lang w:eastAsia="en-GB"/>
        </w:rPr>
        <w:t xml:space="preserve">echoed </w:t>
      </w:r>
      <w:r w:rsidR="00C32BD2">
        <w:rPr>
          <w:rFonts w:ascii="Times New Roman" w:eastAsia="Times New Roman" w:hAnsi="Times New Roman" w:cs="Times New Roman"/>
          <w:bCs/>
          <w:szCs w:val="24"/>
          <w:lang w:eastAsia="en-GB"/>
        </w:rPr>
        <w:t>blame avoidance</w:t>
      </w:r>
      <w:r w:rsidR="00B915E4">
        <w:rPr>
          <w:rFonts w:ascii="Times New Roman" w:eastAsia="Times New Roman" w:hAnsi="Times New Roman" w:cs="Times New Roman"/>
          <w:bCs/>
          <w:szCs w:val="24"/>
          <w:lang w:eastAsia="en-GB"/>
        </w:rPr>
        <w:t xml:space="preserve"> frames in their responses, raising concerns that the policy could end up being </w:t>
      </w:r>
      <w:r w:rsidR="00BA4366">
        <w:rPr>
          <w:rFonts w:ascii="Times New Roman" w:eastAsia="Times New Roman" w:hAnsi="Times New Roman" w:cs="Times New Roman"/>
          <w:bCs/>
          <w:szCs w:val="24"/>
          <w:lang w:eastAsia="en-GB"/>
        </w:rPr>
        <w:t>‘</w:t>
      </w:r>
      <w:r w:rsidR="00B915E4" w:rsidRPr="007C7BB9">
        <w:rPr>
          <w:rFonts w:ascii="Times New Roman" w:eastAsia="Times New Roman" w:hAnsi="Times New Roman" w:cs="Times New Roman"/>
          <w:bCs/>
          <w:szCs w:val="24"/>
          <w:lang w:eastAsia="en-GB"/>
        </w:rPr>
        <w:t>like a gesture by the government to look like it</w:t>
      </w:r>
      <w:r w:rsidR="00BA4366">
        <w:rPr>
          <w:rFonts w:ascii="Times New Roman" w:eastAsia="Times New Roman" w:hAnsi="Times New Roman" w:cs="Times New Roman"/>
          <w:bCs/>
          <w:szCs w:val="24"/>
          <w:lang w:eastAsia="en-GB"/>
        </w:rPr>
        <w:t>’</w:t>
      </w:r>
      <w:r w:rsidR="00B915E4" w:rsidRPr="007C7BB9">
        <w:rPr>
          <w:rFonts w:ascii="Times New Roman" w:eastAsia="Times New Roman" w:hAnsi="Times New Roman" w:cs="Times New Roman"/>
          <w:bCs/>
          <w:szCs w:val="24"/>
          <w:lang w:eastAsia="en-GB"/>
        </w:rPr>
        <w:t>s doing something without having to expend much money or effort</w:t>
      </w:r>
      <w:r w:rsidR="00BA4366">
        <w:rPr>
          <w:rFonts w:ascii="Times New Roman" w:eastAsia="Times New Roman" w:hAnsi="Times New Roman" w:cs="Times New Roman"/>
          <w:bCs/>
          <w:szCs w:val="24"/>
          <w:lang w:eastAsia="en-GB"/>
        </w:rPr>
        <w:t>’</w:t>
      </w:r>
      <w:r w:rsidR="00B915E4" w:rsidRPr="007C7BB9">
        <w:rPr>
          <w:rStyle w:val="FootnoteReference"/>
          <w:rFonts w:ascii="Times New Roman" w:eastAsia="Times New Roman" w:hAnsi="Times New Roman" w:cs="Times New Roman"/>
          <w:bCs/>
          <w:szCs w:val="24"/>
          <w:lang w:eastAsia="en-GB"/>
        </w:rPr>
        <w:footnoteReference w:id="162"/>
      </w:r>
      <w:r w:rsidR="00B915E4" w:rsidRPr="007C7BB9">
        <w:rPr>
          <w:rFonts w:ascii="Times New Roman" w:eastAsia="Times New Roman" w:hAnsi="Times New Roman" w:cs="Times New Roman"/>
          <w:bCs/>
          <w:szCs w:val="24"/>
          <w:lang w:eastAsia="en-GB"/>
        </w:rPr>
        <w:t xml:space="preserve"> or </w:t>
      </w:r>
      <w:r w:rsidR="00BA4366">
        <w:rPr>
          <w:rFonts w:ascii="Times New Roman" w:eastAsia="Times New Roman" w:hAnsi="Times New Roman" w:cs="Times New Roman"/>
          <w:bCs/>
          <w:szCs w:val="24"/>
          <w:lang w:eastAsia="en-GB"/>
        </w:rPr>
        <w:t>‘</w:t>
      </w:r>
      <w:r w:rsidR="00B915E4" w:rsidRPr="007C7BB9">
        <w:rPr>
          <w:rFonts w:ascii="Times New Roman" w:eastAsia="Times New Roman" w:hAnsi="Times New Roman" w:cs="Times New Roman"/>
          <w:bCs/>
          <w:szCs w:val="24"/>
          <w:lang w:eastAsia="en-GB"/>
        </w:rPr>
        <w:t xml:space="preserve">a good political move to look good </w:t>
      </w:r>
      <w:r w:rsidR="00B915E4" w:rsidRPr="007C7BB9">
        <w:rPr>
          <w:rFonts w:ascii="Times New Roman" w:eastAsia="Times New Roman" w:hAnsi="Times New Roman" w:cs="Times New Roman"/>
          <w:bCs/>
          <w:szCs w:val="24"/>
          <w:lang w:eastAsia="en-GB"/>
        </w:rPr>
        <w:lastRenderedPageBreak/>
        <w:t>and that they</w:t>
      </w:r>
      <w:r w:rsidR="00BA4366">
        <w:rPr>
          <w:rFonts w:ascii="Times New Roman" w:eastAsia="Times New Roman" w:hAnsi="Times New Roman" w:cs="Times New Roman"/>
          <w:bCs/>
          <w:szCs w:val="24"/>
          <w:lang w:eastAsia="en-GB"/>
        </w:rPr>
        <w:t>’</w:t>
      </w:r>
      <w:r w:rsidR="00B915E4" w:rsidRPr="007C7BB9">
        <w:rPr>
          <w:rFonts w:ascii="Times New Roman" w:eastAsia="Times New Roman" w:hAnsi="Times New Roman" w:cs="Times New Roman"/>
          <w:bCs/>
          <w:szCs w:val="24"/>
          <w:lang w:eastAsia="en-GB"/>
        </w:rPr>
        <w:t>re for equality, without having to do anything at all</w:t>
      </w:r>
      <w:r w:rsidR="00BA4366">
        <w:rPr>
          <w:rFonts w:ascii="Times New Roman" w:eastAsia="Times New Roman" w:hAnsi="Times New Roman" w:cs="Times New Roman"/>
          <w:bCs/>
          <w:szCs w:val="24"/>
          <w:lang w:eastAsia="en-GB"/>
        </w:rPr>
        <w:t>’</w:t>
      </w:r>
      <w:r w:rsidR="00B915E4" w:rsidRPr="007C7BB9">
        <w:rPr>
          <w:rFonts w:ascii="Times New Roman" w:eastAsia="Times New Roman" w:hAnsi="Times New Roman" w:cs="Times New Roman"/>
          <w:bCs/>
          <w:szCs w:val="24"/>
          <w:lang w:eastAsia="en-GB"/>
        </w:rPr>
        <w:t>.</w:t>
      </w:r>
      <w:r w:rsidR="00B915E4" w:rsidRPr="007C7BB9">
        <w:rPr>
          <w:rStyle w:val="FootnoteReference"/>
          <w:rFonts w:ascii="Times New Roman" w:eastAsia="Times New Roman" w:hAnsi="Times New Roman" w:cs="Times New Roman"/>
          <w:bCs/>
          <w:szCs w:val="24"/>
          <w:lang w:eastAsia="en-GB"/>
        </w:rPr>
        <w:footnoteReference w:id="163"/>
      </w:r>
      <w:r w:rsidR="003B0548">
        <w:rPr>
          <w:rFonts w:ascii="Times New Roman" w:eastAsia="Times New Roman" w:hAnsi="Times New Roman" w:cs="Times New Roman"/>
          <w:bCs/>
          <w:szCs w:val="24"/>
          <w:lang w:eastAsia="en-GB"/>
        </w:rPr>
        <w:t xml:space="preserve"> </w:t>
      </w:r>
      <w:r w:rsidR="003A4D7F">
        <w:rPr>
          <w:rFonts w:ascii="Times New Roman" w:eastAsia="Times New Roman" w:hAnsi="Times New Roman" w:cs="Times New Roman"/>
          <w:bCs/>
          <w:szCs w:val="24"/>
          <w:lang w:eastAsia="en-GB"/>
        </w:rPr>
        <w:t xml:space="preserve">When these attitudes are understood as concerns about </w:t>
      </w:r>
      <w:r w:rsidR="00C32BD2">
        <w:rPr>
          <w:rFonts w:ascii="Times New Roman" w:eastAsia="Times New Roman" w:hAnsi="Times New Roman" w:cs="Times New Roman"/>
          <w:bCs/>
          <w:szCs w:val="24"/>
          <w:lang w:eastAsia="en-GB"/>
        </w:rPr>
        <w:t>blame avoidance</w:t>
      </w:r>
      <w:r w:rsidR="003A4D7F">
        <w:rPr>
          <w:rFonts w:ascii="Times New Roman" w:eastAsia="Times New Roman" w:hAnsi="Times New Roman" w:cs="Times New Roman"/>
          <w:bCs/>
          <w:szCs w:val="24"/>
          <w:lang w:eastAsia="en-GB"/>
        </w:rPr>
        <w:t xml:space="preserve"> behaviour, </w:t>
      </w:r>
      <w:r w:rsidR="00707295">
        <w:rPr>
          <w:rFonts w:ascii="Times New Roman" w:eastAsia="Times New Roman" w:hAnsi="Times New Roman" w:cs="Times New Roman"/>
          <w:bCs/>
          <w:szCs w:val="24"/>
          <w:lang w:eastAsia="en-GB"/>
        </w:rPr>
        <w:t>research can draw on this literature to begin to address them</w:t>
      </w:r>
      <w:r w:rsidR="00265B1B">
        <w:rPr>
          <w:rFonts w:ascii="Times New Roman" w:eastAsia="Times New Roman" w:hAnsi="Times New Roman" w:cs="Times New Roman"/>
          <w:bCs/>
          <w:szCs w:val="24"/>
          <w:lang w:eastAsia="en-GB"/>
        </w:rPr>
        <w:t>—</w:t>
      </w:r>
      <w:r w:rsidR="00707295">
        <w:rPr>
          <w:rFonts w:ascii="Times New Roman" w:eastAsia="Times New Roman" w:hAnsi="Times New Roman" w:cs="Times New Roman"/>
          <w:bCs/>
          <w:szCs w:val="24"/>
          <w:lang w:eastAsia="en-GB"/>
        </w:rPr>
        <w:t xml:space="preserve">in this case, the levels of enforcement and resources significantly predicted whether civil servants would see the </w:t>
      </w:r>
      <w:r w:rsidR="000A3BAD" w:rsidRPr="003364CF">
        <w:t>socio-economic duty</w:t>
      </w:r>
      <w:r w:rsidR="00707295" w:rsidRPr="00BA2D09">
        <w:t xml:space="preserve"> as a </w:t>
      </w:r>
      <w:r w:rsidR="00BA4366" w:rsidRPr="00BA2D09">
        <w:t>‘</w:t>
      </w:r>
      <w:r w:rsidR="00265B1B" w:rsidRPr="00BA2D09">
        <w:t>tick</w:t>
      </w:r>
      <w:r w:rsidR="00265B1B" w:rsidRPr="003364CF">
        <w:t>-</w:t>
      </w:r>
      <w:r w:rsidR="00265B1B" w:rsidRPr="00BA2D09">
        <w:t>box</w:t>
      </w:r>
      <w:r w:rsidR="00BA4366" w:rsidRPr="00BA2D09">
        <w:t>’</w:t>
      </w:r>
      <w:r w:rsidR="00707295" w:rsidRPr="00BA2D09">
        <w:t xml:space="preserve"> exercise or as othe</w:t>
      </w:r>
      <w:r w:rsidR="00707295">
        <w:rPr>
          <w:rFonts w:ascii="Times New Roman" w:eastAsia="Times New Roman" w:hAnsi="Times New Roman" w:cs="Times New Roman"/>
          <w:bCs/>
          <w:szCs w:val="24"/>
          <w:lang w:eastAsia="en-GB"/>
        </w:rPr>
        <w:t>rwise ineffective.</w:t>
      </w:r>
    </w:p>
    <w:p w14:paraId="37CE1687" w14:textId="1237EA34" w:rsidR="00F04C86" w:rsidRDefault="00342E7F" w:rsidP="00BA2D09">
      <w:pPr>
        <w:rPr>
          <w:lang w:eastAsia="en-GB"/>
        </w:rPr>
      </w:pPr>
      <w:r>
        <w:rPr>
          <w:lang w:eastAsia="en-GB"/>
        </w:rPr>
        <w:t xml:space="preserve">This argument raises a number of questions. </w:t>
      </w:r>
      <w:r w:rsidR="00F04C86">
        <w:rPr>
          <w:lang w:eastAsia="en-GB"/>
        </w:rPr>
        <w:t>First</w:t>
      </w:r>
      <w:r w:rsidR="00DF4A49">
        <w:rPr>
          <w:lang w:eastAsia="en-GB"/>
        </w:rPr>
        <w:t xml:space="preserve">, why do civil servants support greater enforcement and accountability? This was a clear theme in the </w:t>
      </w:r>
      <w:r w:rsidR="00D1700E">
        <w:rPr>
          <w:lang w:eastAsia="en-GB"/>
        </w:rPr>
        <w:t>qualitative</w:t>
      </w:r>
      <w:r w:rsidR="00DF4A49">
        <w:rPr>
          <w:lang w:eastAsia="en-GB"/>
        </w:rPr>
        <w:t xml:space="preserve"> data and </w:t>
      </w:r>
      <w:r w:rsidR="00D1700E">
        <w:rPr>
          <w:lang w:eastAsia="en-GB"/>
        </w:rPr>
        <w:t>was significant in shaping attitudes in the survey experiment.</w:t>
      </w:r>
      <w:r w:rsidR="00F87983">
        <w:rPr>
          <w:lang w:eastAsia="en-GB"/>
        </w:rPr>
        <w:t xml:space="preserve"> </w:t>
      </w:r>
      <w:r w:rsidR="001D402E">
        <w:rPr>
          <w:lang w:eastAsia="en-GB"/>
        </w:rPr>
        <w:t xml:space="preserve">The qualitative data suggests that enforcement is </w:t>
      </w:r>
      <w:r w:rsidR="000A3BAD">
        <w:rPr>
          <w:lang w:eastAsia="en-GB"/>
        </w:rPr>
        <w:t>part and parcel</w:t>
      </w:r>
      <w:r w:rsidR="001D402E">
        <w:rPr>
          <w:lang w:eastAsia="en-GB"/>
        </w:rPr>
        <w:t xml:space="preserve"> of a policy achieving salience in a sector facing multiple competing demands with (again) limited resources</w:t>
      </w:r>
      <w:r w:rsidR="00F169D2">
        <w:rPr>
          <w:lang w:eastAsia="en-GB"/>
        </w:rPr>
        <w:t>.</w:t>
      </w:r>
      <w:r w:rsidR="00BA4FDB">
        <w:rPr>
          <w:lang w:eastAsia="en-GB"/>
        </w:rPr>
        <w:t xml:space="preserve"> </w:t>
      </w:r>
      <w:r w:rsidR="002E78E2" w:rsidRPr="002E78E2">
        <w:rPr>
          <w:lang w:eastAsia="en-GB"/>
        </w:rPr>
        <w:t xml:space="preserve">In the context of a public sector that has </w:t>
      </w:r>
      <w:r w:rsidR="00BA4366">
        <w:rPr>
          <w:lang w:eastAsia="en-GB"/>
        </w:rPr>
        <w:t>‘</w:t>
      </w:r>
      <w:r w:rsidR="002E78E2" w:rsidRPr="002E78E2">
        <w:rPr>
          <w:lang w:eastAsia="en-GB"/>
        </w:rPr>
        <w:t>got too many sticks</w:t>
      </w:r>
      <w:r w:rsidR="00BA4366">
        <w:rPr>
          <w:lang w:eastAsia="en-GB"/>
        </w:rPr>
        <w:t>’</w:t>
      </w:r>
      <w:r w:rsidR="002E78E2" w:rsidRPr="002E78E2">
        <w:rPr>
          <w:lang w:eastAsia="en-GB"/>
        </w:rPr>
        <w:t xml:space="preserve">, having a duty of this kind on a statutory footing </w:t>
      </w:r>
      <w:r w:rsidR="00D44AA0">
        <w:rPr>
          <w:lang w:eastAsia="en-GB"/>
        </w:rPr>
        <w:t xml:space="preserve">and with adequate enforcement </w:t>
      </w:r>
      <w:r w:rsidR="002E78E2" w:rsidRPr="002E78E2">
        <w:rPr>
          <w:lang w:eastAsia="en-GB"/>
        </w:rPr>
        <w:t xml:space="preserve">was seen as an important way of ensuring </w:t>
      </w:r>
      <w:r w:rsidR="00BA4366">
        <w:rPr>
          <w:lang w:eastAsia="en-GB"/>
        </w:rPr>
        <w:t>‘</w:t>
      </w:r>
      <w:r w:rsidR="002E78E2" w:rsidRPr="002E78E2">
        <w:rPr>
          <w:lang w:eastAsia="en-GB"/>
        </w:rPr>
        <w:t>buy</w:t>
      </w:r>
      <w:r w:rsidR="00240BAB">
        <w:rPr>
          <w:lang w:eastAsia="en-GB"/>
        </w:rPr>
        <w:t>-</w:t>
      </w:r>
      <w:r w:rsidR="002E78E2" w:rsidRPr="002E78E2">
        <w:rPr>
          <w:lang w:eastAsia="en-GB"/>
        </w:rPr>
        <w:t>in</w:t>
      </w:r>
      <w:r w:rsidR="00BA4366">
        <w:rPr>
          <w:lang w:eastAsia="en-GB"/>
        </w:rPr>
        <w:t>’</w:t>
      </w:r>
      <w:r w:rsidR="002E78E2" w:rsidRPr="002E78E2">
        <w:rPr>
          <w:lang w:eastAsia="en-GB"/>
        </w:rPr>
        <w:t xml:space="preserve"> across </w:t>
      </w:r>
      <w:r w:rsidR="002E78E2">
        <w:rPr>
          <w:lang w:eastAsia="en-GB"/>
        </w:rPr>
        <w:t>an organisation.</w:t>
      </w:r>
    </w:p>
    <w:p w14:paraId="51C18F88" w14:textId="47DC4CEF" w:rsidR="00EE4063" w:rsidRDefault="00A00160" w:rsidP="00BA2D09">
      <w:pPr>
        <w:rPr>
          <w:rFonts w:ascii="Times New Roman" w:hAnsi="Times New Roman" w:cs="Times New Roman"/>
          <w:szCs w:val="24"/>
        </w:rPr>
      </w:pPr>
      <w:r>
        <w:rPr>
          <w:lang w:eastAsia="en-GB"/>
        </w:rPr>
        <w:t xml:space="preserve">This is not necessarily just about judicial enforcement. Indeed, no respondents referred specifically to judicial review or </w:t>
      </w:r>
      <w:r w:rsidR="00BA4366">
        <w:rPr>
          <w:lang w:eastAsia="en-GB"/>
        </w:rPr>
        <w:t>‘</w:t>
      </w:r>
      <w:r>
        <w:rPr>
          <w:lang w:eastAsia="en-GB"/>
        </w:rPr>
        <w:t>court</w:t>
      </w:r>
      <w:r w:rsidR="00BA4366">
        <w:rPr>
          <w:lang w:eastAsia="en-GB"/>
        </w:rPr>
        <w:t>’</w:t>
      </w:r>
      <w:r>
        <w:rPr>
          <w:lang w:eastAsia="en-GB"/>
        </w:rPr>
        <w:t xml:space="preserve"> oversight. As Hepple has long argued, effective enforcement of equality duties should focus on developing </w:t>
      </w:r>
      <w:r w:rsidR="00BA4366">
        <w:rPr>
          <w:lang w:eastAsia="en-GB"/>
        </w:rPr>
        <w:t>‘</w:t>
      </w:r>
      <w:r w:rsidRPr="00707602">
        <w:rPr>
          <w:rFonts w:ascii="Times New Roman" w:hAnsi="Times New Roman" w:cs="Times New Roman"/>
          <w:szCs w:val="24"/>
        </w:rPr>
        <w:t>the capabilities of those who are regulated</w:t>
      </w:r>
      <w:r w:rsidR="00BA4366">
        <w:rPr>
          <w:rFonts w:ascii="Times New Roman" w:hAnsi="Times New Roman" w:cs="Times New Roman"/>
          <w:szCs w:val="24"/>
        </w:rPr>
        <w:t>’</w:t>
      </w:r>
      <w:r w:rsidR="003C7A58">
        <w:rPr>
          <w:rFonts w:ascii="Times New Roman" w:hAnsi="Times New Roman" w:cs="Times New Roman"/>
          <w:szCs w:val="24"/>
        </w:rPr>
        <w:t>.</w:t>
      </w:r>
      <w:r>
        <w:rPr>
          <w:rStyle w:val="FootnoteReference"/>
          <w:rFonts w:ascii="Times New Roman" w:hAnsi="Times New Roman" w:cs="Times New Roman"/>
          <w:szCs w:val="24"/>
        </w:rPr>
        <w:footnoteReference w:id="164"/>
      </w:r>
      <w:r>
        <w:rPr>
          <w:rFonts w:ascii="Times New Roman" w:hAnsi="Times New Roman" w:cs="Times New Roman"/>
          <w:szCs w:val="24"/>
        </w:rPr>
        <w:t xml:space="preserve"> </w:t>
      </w:r>
      <w:r w:rsidR="00752923">
        <w:rPr>
          <w:rFonts w:ascii="Times New Roman" w:hAnsi="Times New Roman" w:cs="Times New Roman"/>
          <w:szCs w:val="24"/>
        </w:rPr>
        <w:t xml:space="preserve">This can and should be more deliberative in approach, with the enforcement agency (here the EHRC) </w:t>
      </w:r>
      <w:r w:rsidR="00C94E9E">
        <w:rPr>
          <w:rFonts w:ascii="Times New Roman" w:hAnsi="Times New Roman" w:cs="Times New Roman"/>
          <w:szCs w:val="24"/>
        </w:rPr>
        <w:t>seeking</w:t>
      </w:r>
      <w:r w:rsidR="00752923">
        <w:rPr>
          <w:rFonts w:ascii="Times New Roman" w:hAnsi="Times New Roman" w:cs="Times New Roman"/>
          <w:szCs w:val="24"/>
        </w:rPr>
        <w:t xml:space="preserve"> to </w:t>
      </w:r>
      <w:r w:rsidR="00BA4366">
        <w:rPr>
          <w:rFonts w:ascii="Times New Roman" w:hAnsi="Times New Roman" w:cs="Times New Roman"/>
          <w:szCs w:val="24"/>
        </w:rPr>
        <w:t>‘</w:t>
      </w:r>
      <w:r w:rsidR="00752923">
        <w:rPr>
          <w:rFonts w:ascii="Times New Roman" w:hAnsi="Times New Roman" w:cs="Times New Roman"/>
          <w:szCs w:val="24"/>
        </w:rPr>
        <w:t>inform and persuade</w:t>
      </w:r>
      <w:r w:rsidR="00BA4366">
        <w:rPr>
          <w:rFonts w:ascii="Times New Roman" w:hAnsi="Times New Roman" w:cs="Times New Roman"/>
          <w:szCs w:val="24"/>
        </w:rPr>
        <w:t>’</w:t>
      </w:r>
      <w:r w:rsidR="00752923">
        <w:rPr>
          <w:rFonts w:ascii="Times New Roman" w:hAnsi="Times New Roman" w:cs="Times New Roman"/>
          <w:szCs w:val="24"/>
        </w:rPr>
        <w:t xml:space="preserve"> by working with stakeholders to set </w:t>
      </w:r>
      <w:r w:rsidR="00BA4366">
        <w:rPr>
          <w:rFonts w:ascii="Times New Roman" w:hAnsi="Times New Roman" w:cs="Times New Roman"/>
          <w:szCs w:val="24"/>
        </w:rPr>
        <w:t>‘</w:t>
      </w:r>
      <w:r w:rsidR="00752923" w:rsidRPr="00707602">
        <w:rPr>
          <w:rFonts w:ascii="Times New Roman" w:hAnsi="Times New Roman" w:cs="Times New Roman"/>
          <w:szCs w:val="24"/>
        </w:rPr>
        <w:t xml:space="preserve">objectives and </w:t>
      </w:r>
      <w:proofErr w:type="spellStart"/>
      <w:r w:rsidR="00752923" w:rsidRPr="00707602">
        <w:rPr>
          <w:rFonts w:ascii="Times New Roman" w:hAnsi="Times New Roman" w:cs="Times New Roman"/>
          <w:szCs w:val="24"/>
        </w:rPr>
        <w:t>measur</w:t>
      </w:r>
      <w:proofErr w:type="spellEnd"/>
      <w:r w:rsidR="00752923">
        <w:rPr>
          <w:rFonts w:ascii="Times New Roman" w:hAnsi="Times New Roman" w:cs="Times New Roman"/>
          <w:szCs w:val="24"/>
        </w:rPr>
        <w:t>[e]</w:t>
      </w:r>
      <w:r w:rsidR="00752923" w:rsidRPr="00707602">
        <w:rPr>
          <w:rFonts w:ascii="Times New Roman" w:hAnsi="Times New Roman" w:cs="Times New Roman"/>
          <w:szCs w:val="24"/>
        </w:rPr>
        <w:t xml:space="preserve"> progress</w:t>
      </w:r>
      <w:r w:rsidR="00BA4366">
        <w:rPr>
          <w:rFonts w:ascii="Times New Roman" w:hAnsi="Times New Roman" w:cs="Times New Roman"/>
          <w:szCs w:val="24"/>
        </w:rPr>
        <w:t>’</w:t>
      </w:r>
      <w:r w:rsidR="00265B1B">
        <w:rPr>
          <w:rFonts w:ascii="Times New Roman" w:hAnsi="Times New Roman" w:cs="Times New Roman"/>
          <w:szCs w:val="24"/>
        </w:rPr>
        <w:t>—</w:t>
      </w:r>
      <w:r w:rsidR="00752923">
        <w:rPr>
          <w:rFonts w:ascii="Times New Roman" w:hAnsi="Times New Roman" w:cs="Times New Roman"/>
          <w:szCs w:val="24"/>
        </w:rPr>
        <w:t xml:space="preserve">with the threat of compliance notices and sanctions to follow as a </w:t>
      </w:r>
      <w:r w:rsidR="00BA4366">
        <w:rPr>
          <w:rFonts w:ascii="Times New Roman" w:hAnsi="Times New Roman" w:cs="Times New Roman"/>
          <w:szCs w:val="24"/>
        </w:rPr>
        <w:t>‘</w:t>
      </w:r>
      <w:r w:rsidR="00752923">
        <w:rPr>
          <w:rFonts w:ascii="Times New Roman" w:hAnsi="Times New Roman" w:cs="Times New Roman"/>
          <w:szCs w:val="24"/>
        </w:rPr>
        <w:t>last resort</w:t>
      </w:r>
      <w:r w:rsidR="00BA4366">
        <w:rPr>
          <w:rFonts w:ascii="Times New Roman" w:hAnsi="Times New Roman" w:cs="Times New Roman"/>
          <w:szCs w:val="24"/>
        </w:rPr>
        <w:t>’</w:t>
      </w:r>
      <w:r w:rsidR="00752923">
        <w:rPr>
          <w:rFonts w:ascii="Times New Roman" w:hAnsi="Times New Roman" w:cs="Times New Roman"/>
          <w:szCs w:val="24"/>
        </w:rPr>
        <w:t>.</w:t>
      </w:r>
      <w:r w:rsidR="00017565" w:rsidRPr="00017565">
        <w:rPr>
          <w:rStyle w:val="FootnoteReference"/>
          <w:rFonts w:ascii="Times New Roman" w:hAnsi="Times New Roman" w:cs="Times New Roman"/>
          <w:szCs w:val="24"/>
        </w:rPr>
        <w:t xml:space="preserve"> </w:t>
      </w:r>
      <w:r w:rsidR="00017565">
        <w:rPr>
          <w:rStyle w:val="FootnoteReference"/>
          <w:rFonts w:ascii="Times New Roman" w:hAnsi="Times New Roman" w:cs="Times New Roman"/>
          <w:szCs w:val="24"/>
        </w:rPr>
        <w:footnoteReference w:id="165"/>
      </w:r>
      <w:r w:rsidR="00A67EAD">
        <w:rPr>
          <w:rFonts w:ascii="Times New Roman" w:hAnsi="Times New Roman" w:cs="Times New Roman"/>
          <w:szCs w:val="24"/>
        </w:rPr>
        <w:t xml:space="preserve"> </w:t>
      </w:r>
      <w:r w:rsidR="00D45F75">
        <w:rPr>
          <w:rFonts w:ascii="Times New Roman" w:hAnsi="Times New Roman" w:cs="Times New Roman"/>
          <w:szCs w:val="24"/>
        </w:rPr>
        <w:t>In this same spirit, t</w:t>
      </w:r>
      <w:r w:rsidR="003D62E1">
        <w:rPr>
          <w:rFonts w:ascii="Times New Roman" w:hAnsi="Times New Roman" w:cs="Times New Roman"/>
          <w:szCs w:val="24"/>
        </w:rPr>
        <w:t xml:space="preserve">he most recent EHRC evaluation sees public bodies call explicitly for the EHRC to have a greater role in </w:t>
      </w:r>
      <w:r w:rsidR="00BA4366">
        <w:rPr>
          <w:rFonts w:ascii="Times New Roman" w:hAnsi="Times New Roman" w:cs="Times New Roman"/>
          <w:szCs w:val="24"/>
        </w:rPr>
        <w:t>‘</w:t>
      </w:r>
      <w:r w:rsidR="003D62E1" w:rsidRPr="003D62E1">
        <w:rPr>
          <w:rFonts w:ascii="Times New Roman" w:hAnsi="Times New Roman" w:cs="Times New Roman"/>
          <w:szCs w:val="24"/>
        </w:rPr>
        <w:t>supporting duty bearers</w:t>
      </w:r>
      <w:r w:rsidR="00BA4366">
        <w:rPr>
          <w:rFonts w:ascii="Times New Roman" w:hAnsi="Times New Roman" w:cs="Times New Roman"/>
          <w:szCs w:val="24"/>
        </w:rPr>
        <w:t>’</w:t>
      </w:r>
      <w:r w:rsidR="003D62E1">
        <w:rPr>
          <w:rFonts w:ascii="Times New Roman" w:hAnsi="Times New Roman" w:cs="Times New Roman"/>
          <w:szCs w:val="24"/>
        </w:rPr>
        <w:t xml:space="preserve"> </w:t>
      </w:r>
      <w:r w:rsidR="00E9346F">
        <w:rPr>
          <w:rFonts w:ascii="Times New Roman" w:hAnsi="Times New Roman" w:cs="Times New Roman"/>
          <w:szCs w:val="24"/>
        </w:rPr>
        <w:t>throughout their implementation of the duty</w:t>
      </w:r>
      <w:r w:rsidR="00567D0C">
        <w:rPr>
          <w:rFonts w:ascii="Times New Roman" w:hAnsi="Times New Roman" w:cs="Times New Roman"/>
          <w:szCs w:val="24"/>
        </w:rPr>
        <w:t>.</w:t>
      </w:r>
      <w:r w:rsidR="00182AC2">
        <w:rPr>
          <w:rStyle w:val="FootnoteReference"/>
          <w:rFonts w:ascii="Times New Roman" w:hAnsi="Times New Roman" w:cs="Times New Roman"/>
          <w:szCs w:val="24"/>
        </w:rPr>
        <w:footnoteReference w:id="166"/>
      </w:r>
    </w:p>
    <w:p w14:paraId="36F376FC" w14:textId="01CE07AC" w:rsidR="00342E7F" w:rsidRDefault="00342E7F" w:rsidP="00BA2D09">
      <w:pPr>
        <w:rPr>
          <w:lang w:eastAsia="en-GB"/>
        </w:rPr>
      </w:pPr>
      <w:r>
        <w:rPr>
          <w:lang w:eastAsia="en-GB"/>
        </w:rPr>
        <w:t xml:space="preserve">Second, are there prior conditions for reflexive discrimination law to be effective? The data </w:t>
      </w:r>
      <w:r w:rsidRPr="004E4431">
        <w:t>explored in t</w:t>
      </w:r>
      <w:r w:rsidR="00BA4366" w:rsidRPr="004E4431">
        <w:t>his article</w:t>
      </w:r>
      <w:r w:rsidRPr="004E4431">
        <w:t xml:space="preserve"> suggests that the attitudes of civil servants are shaped by their </w:t>
      </w:r>
      <w:r>
        <w:rPr>
          <w:lang w:eastAsia="en-GB"/>
        </w:rPr>
        <w:t xml:space="preserve">experiences of the acute resource constraints that currently abound in the public sector. Much like in the </w:t>
      </w:r>
      <w:r w:rsidR="00BA4366">
        <w:rPr>
          <w:lang w:eastAsia="en-GB"/>
        </w:rPr>
        <w:t>‘</w:t>
      </w:r>
      <w:r>
        <w:rPr>
          <w:lang w:eastAsia="en-GB"/>
        </w:rPr>
        <w:t>austerity localism</w:t>
      </w:r>
      <w:r w:rsidR="00BA4366">
        <w:rPr>
          <w:lang w:eastAsia="en-GB"/>
        </w:rPr>
        <w:t>’</w:t>
      </w:r>
      <w:r>
        <w:rPr>
          <w:lang w:eastAsia="en-GB"/>
        </w:rPr>
        <w:t xml:space="preserve"> literature, more responsibility without more resources can be seen as an effort to </w:t>
      </w:r>
      <w:r w:rsidR="00BA4366">
        <w:rPr>
          <w:lang w:eastAsia="en-GB"/>
        </w:rPr>
        <w:t>‘</w:t>
      </w:r>
      <w:r>
        <w:rPr>
          <w:lang w:eastAsia="en-GB"/>
        </w:rPr>
        <w:t>pass the buck</w:t>
      </w:r>
      <w:r w:rsidR="00BA4366">
        <w:rPr>
          <w:lang w:eastAsia="en-GB"/>
        </w:rPr>
        <w:t>’</w:t>
      </w:r>
      <w:r>
        <w:rPr>
          <w:lang w:eastAsia="en-GB"/>
        </w:rPr>
        <w:t xml:space="preserve"> rather than one to empower.</w:t>
      </w:r>
      <w:r w:rsidR="00D83335">
        <w:rPr>
          <w:lang w:eastAsia="en-GB"/>
        </w:rPr>
        <w:t xml:space="preserve"> </w:t>
      </w:r>
      <w:r>
        <w:rPr>
          <w:lang w:eastAsia="en-GB"/>
        </w:rPr>
        <w:t xml:space="preserve">Concerns about resources are not just boilerplate pleas that could come from any civil servant across the UK public sector. They were tied to specific concerns about </w:t>
      </w:r>
      <w:r w:rsidR="00BA4366">
        <w:rPr>
          <w:lang w:eastAsia="en-GB"/>
        </w:rPr>
        <w:t>‘</w:t>
      </w:r>
      <w:r>
        <w:rPr>
          <w:lang w:eastAsia="en-GB"/>
        </w:rPr>
        <w:t>tokenistic</w:t>
      </w:r>
      <w:r w:rsidR="00BA4366">
        <w:rPr>
          <w:lang w:eastAsia="en-GB"/>
        </w:rPr>
        <w:t>’</w:t>
      </w:r>
      <w:r>
        <w:rPr>
          <w:lang w:eastAsia="en-GB"/>
        </w:rPr>
        <w:t xml:space="preserve"> (or non-existent) consultation with affected communities</w:t>
      </w:r>
      <w:r w:rsidR="004E4431">
        <w:rPr>
          <w:lang w:eastAsia="en-GB"/>
        </w:rPr>
        <w:t>;</w:t>
      </w:r>
      <w:r>
        <w:rPr>
          <w:lang w:eastAsia="en-GB"/>
        </w:rPr>
        <w:t xml:space="preserve"> staff time to undertake any meaningful assessment in the context of </w:t>
      </w:r>
      <w:r>
        <w:rPr>
          <w:lang w:eastAsia="en-GB"/>
        </w:rPr>
        <w:lastRenderedPageBreak/>
        <w:t>increasing competing demands</w:t>
      </w:r>
      <w:r w:rsidR="004E4431">
        <w:rPr>
          <w:lang w:eastAsia="en-GB"/>
        </w:rPr>
        <w:t>;</w:t>
      </w:r>
      <w:r>
        <w:rPr>
          <w:lang w:eastAsia="en-GB"/>
        </w:rPr>
        <w:t xml:space="preserve"> and the hollowing out of internal capacity within public sector organisations, particularly local government, to support staff discharging this duty in the way they would want to.</w:t>
      </w:r>
      <w:r w:rsidR="008657DD">
        <w:rPr>
          <w:lang w:eastAsia="en-GB"/>
        </w:rPr>
        <w:t xml:space="preserve"> This suggests that views about reflexive law are </w:t>
      </w:r>
      <w:r w:rsidR="003105FF">
        <w:rPr>
          <w:lang w:eastAsia="en-GB"/>
        </w:rPr>
        <w:t>context specific</w:t>
      </w:r>
      <w:r w:rsidR="008657DD">
        <w:rPr>
          <w:lang w:eastAsia="en-GB"/>
        </w:rPr>
        <w:t>.</w:t>
      </w:r>
    </w:p>
    <w:p w14:paraId="3A397E06" w14:textId="6BBA126E" w:rsidR="00E63519" w:rsidRDefault="00524A48" w:rsidP="00BA2D09">
      <w:pPr>
        <w:rPr>
          <w:lang w:eastAsia="en-GB"/>
        </w:rPr>
      </w:pPr>
      <w:r>
        <w:rPr>
          <w:lang w:eastAsia="en-GB"/>
        </w:rPr>
        <w:t>Third, and relatedly</w:t>
      </w:r>
      <w:r w:rsidR="00122FF9">
        <w:rPr>
          <w:lang w:eastAsia="en-GB"/>
        </w:rPr>
        <w:t>, how do these dynamics differ for other applications of reflexive discrimination law? As outlined above, most analyses of these kinds of dut</w:t>
      </w:r>
      <w:r w:rsidR="001E60C4">
        <w:rPr>
          <w:lang w:eastAsia="en-GB"/>
        </w:rPr>
        <w:t>ies focus on the private sector,</w:t>
      </w:r>
      <w:r w:rsidR="002A16A2">
        <w:rPr>
          <w:lang w:eastAsia="en-GB"/>
        </w:rPr>
        <w:t xml:space="preserve"> particularly </w:t>
      </w:r>
      <w:r w:rsidR="002E78E2">
        <w:rPr>
          <w:lang w:eastAsia="en-GB"/>
        </w:rPr>
        <w:t xml:space="preserve">in respect of </w:t>
      </w:r>
      <w:r w:rsidR="001E60C4">
        <w:rPr>
          <w:lang w:eastAsia="en-GB"/>
        </w:rPr>
        <w:t>labour market</w:t>
      </w:r>
      <w:r w:rsidR="002A16A2">
        <w:rPr>
          <w:lang w:eastAsia="en-GB"/>
        </w:rPr>
        <w:t xml:space="preserve"> regulation. The socio-economic duty (and the PSED) is </w:t>
      </w:r>
      <w:r>
        <w:rPr>
          <w:lang w:eastAsia="en-GB"/>
        </w:rPr>
        <w:t>an</w:t>
      </w:r>
      <w:r w:rsidR="002A16A2">
        <w:rPr>
          <w:lang w:eastAsia="en-GB"/>
        </w:rPr>
        <w:t xml:space="preserve"> example of </w:t>
      </w:r>
      <w:r w:rsidR="00994355">
        <w:rPr>
          <w:lang w:eastAsia="en-GB"/>
        </w:rPr>
        <w:t>the public sector using reflexive discrimination law against itself. However, blame avoidance strategies</w:t>
      </w:r>
      <w:r w:rsidR="00265B1B">
        <w:rPr>
          <w:lang w:eastAsia="en-GB"/>
        </w:rPr>
        <w:t>—</w:t>
      </w:r>
      <w:r w:rsidR="00994355">
        <w:rPr>
          <w:lang w:eastAsia="en-GB"/>
        </w:rPr>
        <w:t>much like the tenets of reflexive law</w:t>
      </w:r>
      <w:r w:rsidR="00265B1B">
        <w:rPr>
          <w:lang w:eastAsia="en-GB"/>
        </w:rPr>
        <w:t>—</w:t>
      </w:r>
      <w:r w:rsidR="00994355">
        <w:rPr>
          <w:lang w:eastAsia="en-GB"/>
        </w:rPr>
        <w:t xml:space="preserve">are not confined to the </w:t>
      </w:r>
      <w:r w:rsidR="00B731AC">
        <w:rPr>
          <w:lang w:eastAsia="en-GB"/>
        </w:rPr>
        <w:t xml:space="preserve">public sector; they bite equally for how the </w:t>
      </w:r>
      <w:r w:rsidR="00C07C45">
        <w:rPr>
          <w:lang w:eastAsia="en-GB"/>
        </w:rPr>
        <w:t>g</w:t>
      </w:r>
      <w:r w:rsidR="00B731AC">
        <w:rPr>
          <w:lang w:eastAsia="en-GB"/>
        </w:rPr>
        <w:t xml:space="preserve">overnment approaches its </w:t>
      </w:r>
      <w:r w:rsidR="00CB2BCE">
        <w:rPr>
          <w:lang w:eastAsia="en-GB"/>
        </w:rPr>
        <w:t>regulation of private companies and other actors.</w:t>
      </w:r>
    </w:p>
    <w:p w14:paraId="7C84CDEA" w14:textId="5C61EE09" w:rsidR="00571477" w:rsidRDefault="00B61847" w:rsidP="00BA2D09">
      <w:pPr>
        <w:rPr>
          <w:lang w:eastAsia="en-GB"/>
        </w:rPr>
      </w:pPr>
      <w:r>
        <w:rPr>
          <w:lang w:eastAsia="en-GB"/>
        </w:rPr>
        <w:t xml:space="preserve">Finally, how </w:t>
      </w:r>
      <w:r w:rsidR="00A913FA">
        <w:rPr>
          <w:lang w:eastAsia="en-GB"/>
        </w:rPr>
        <w:t>d</w:t>
      </w:r>
      <w:r>
        <w:rPr>
          <w:lang w:eastAsia="en-GB"/>
        </w:rPr>
        <w:t>o these dynamics differ in the application of reflexive law more generally? Outside of the confines of discrimination law</w:t>
      </w:r>
      <w:r w:rsidR="00F34E10">
        <w:rPr>
          <w:lang w:eastAsia="en-GB"/>
        </w:rPr>
        <w:t xml:space="preserve">, reflexive law </w:t>
      </w:r>
      <w:r w:rsidR="00AD0869">
        <w:rPr>
          <w:lang w:eastAsia="en-GB"/>
        </w:rPr>
        <w:t xml:space="preserve">tools </w:t>
      </w:r>
      <w:r w:rsidR="00876C4F">
        <w:rPr>
          <w:lang w:eastAsia="en-GB"/>
        </w:rPr>
        <w:t xml:space="preserve">have been influential </w:t>
      </w:r>
      <w:r w:rsidR="00AD0869">
        <w:rPr>
          <w:lang w:eastAsia="en-GB"/>
        </w:rPr>
        <w:t>in financial services</w:t>
      </w:r>
      <w:r w:rsidR="004E4431">
        <w:rPr>
          <w:lang w:eastAsia="en-GB"/>
        </w:rPr>
        <w:t>,</w:t>
      </w:r>
      <w:r w:rsidR="00AD0869">
        <w:rPr>
          <w:lang w:eastAsia="en-GB"/>
        </w:rPr>
        <w:t xml:space="preserve"> and environmental regulation </w:t>
      </w:r>
      <w:r w:rsidR="00876C4F">
        <w:rPr>
          <w:lang w:eastAsia="en-GB"/>
        </w:rPr>
        <w:t>in particular, alongside a cornucopia of other fields.</w:t>
      </w:r>
      <w:r w:rsidR="00922A5A">
        <w:rPr>
          <w:lang w:eastAsia="en-GB"/>
        </w:rPr>
        <w:t xml:space="preserve"> Again, these are not immune from</w:t>
      </w:r>
      <w:r w:rsidR="00A42BDB">
        <w:rPr>
          <w:lang w:eastAsia="en-GB"/>
        </w:rPr>
        <w:t xml:space="preserve"> criticisms rooted in</w:t>
      </w:r>
      <w:r w:rsidR="00922A5A">
        <w:rPr>
          <w:lang w:eastAsia="en-GB"/>
        </w:rPr>
        <w:t xml:space="preserve"> blame avoidance dynamics</w:t>
      </w:r>
      <w:r w:rsidR="00265B1B">
        <w:rPr>
          <w:lang w:eastAsia="en-GB"/>
        </w:rPr>
        <w:t>—</w:t>
      </w:r>
      <w:r w:rsidR="00922A5A">
        <w:rPr>
          <w:lang w:eastAsia="en-GB"/>
        </w:rPr>
        <w:t>indeed, environmental regulation is a pressing example of their</w:t>
      </w:r>
      <w:r w:rsidR="00900631">
        <w:rPr>
          <w:lang w:eastAsia="en-GB"/>
        </w:rPr>
        <w:t xml:space="preserve"> potential</w:t>
      </w:r>
      <w:r w:rsidR="00922A5A">
        <w:rPr>
          <w:lang w:eastAsia="en-GB"/>
        </w:rPr>
        <w:t xml:space="preserve"> application.</w:t>
      </w:r>
      <w:r w:rsidR="003B6538">
        <w:rPr>
          <w:rStyle w:val="FootnoteReference"/>
          <w:lang w:eastAsia="en-GB"/>
        </w:rPr>
        <w:footnoteReference w:id="167"/>
      </w:r>
      <w:r w:rsidR="00B01884">
        <w:rPr>
          <w:lang w:eastAsia="en-GB"/>
        </w:rPr>
        <w:t xml:space="preserve"> The arguments that apply to reflexive discrimination</w:t>
      </w:r>
      <w:r w:rsidR="00B15E62">
        <w:rPr>
          <w:lang w:eastAsia="en-GB"/>
        </w:rPr>
        <w:t xml:space="preserve"> law</w:t>
      </w:r>
      <w:r w:rsidR="002E78E2">
        <w:rPr>
          <w:lang w:eastAsia="en-GB"/>
        </w:rPr>
        <w:t xml:space="preserve"> here</w:t>
      </w:r>
      <w:r w:rsidR="00B15E62">
        <w:rPr>
          <w:lang w:eastAsia="en-GB"/>
        </w:rPr>
        <w:t xml:space="preserve"> also </w:t>
      </w:r>
      <w:r w:rsidR="002E78E2">
        <w:rPr>
          <w:lang w:eastAsia="en-GB"/>
        </w:rPr>
        <w:t xml:space="preserve">bite on </w:t>
      </w:r>
      <w:r w:rsidR="00B15E62">
        <w:rPr>
          <w:lang w:eastAsia="en-GB"/>
        </w:rPr>
        <w:t>reflexive law in other contexts.</w:t>
      </w:r>
    </w:p>
    <w:sectPr w:rsidR="0057147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1E8C" w14:textId="77777777" w:rsidR="001F0272" w:rsidRDefault="001F0272" w:rsidP="00AB1CFE">
      <w:pPr>
        <w:spacing w:after="0" w:line="240" w:lineRule="auto"/>
      </w:pPr>
      <w:r>
        <w:separator/>
      </w:r>
    </w:p>
  </w:endnote>
  <w:endnote w:type="continuationSeparator" w:id="0">
    <w:p w14:paraId="541894F6" w14:textId="77777777" w:rsidR="001F0272" w:rsidRDefault="001F0272" w:rsidP="00AB1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Cs w:val="24"/>
      </w:rPr>
      <w:id w:val="160370447"/>
      <w:docPartObj>
        <w:docPartGallery w:val="Page Numbers (Bottom of Page)"/>
        <w:docPartUnique/>
      </w:docPartObj>
    </w:sdtPr>
    <w:sdtEndPr>
      <w:rPr>
        <w:noProof/>
      </w:rPr>
    </w:sdtEndPr>
    <w:sdtContent>
      <w:p w14:paraId="0C2DEF28" w14:textId="65D165C8" w:rsidR="002735AF" w:rsidRPr="003E3A35" w:rsidRDefault="002735AF">
        <w:pPr>
          <w:pStyle w:val="Footer"/>
          <w:jc w:val="center"/>
          <w:rPr>
            <w:rFonts w:ascii="Times New Roman" w:hAnsi="Times New Roman" w:cs="Times New Roman"/>
            <w:szCs w:val="24"/>
          </w:rPr>
        </w:pPr>
        <w:r w:rsidRPr="003E3A35">
          <w:rPr>
            <w:rFonts w:ascii="Times New Roman" w:hAnsi="Times New Roman" w:cs="Times New Roman"/>
            <w:szCs w:val="24"/>
          </w:rPr>
          <w:fldChar w:fldCharType="begin"/>
        </w:r>
        <w:r w:rsidRPr="003E3A35">
          <w:rPr>
            <w:rFonts w:ascii="Times New Roman" w:hAnsi="Times New Roman" w:cs="Times New Roman"/>
            <w:szCs w:val="24"/>
          </w:rPr>
          <w:instrText xml:space="preserve"> PAGE   \* MERGEFORMAT </w:instrText>
        </w:r>
        <w:r w:rsidRPr="003E3A35">
          <w:rPr>
            <w:rFonts w:ascii="Times New Roman" w:hAnsi="Times New Roman" w:cs="Times New Roman"/>
            <w:szCs w:val="24"/>
          </w:rPr>
          <w:fldChar w:fldCharType="separate"/>
        </w:r>
        <w:r w:rsidR="00944E73">
          <w:rPr>
            <w:rFonts w:ascii="Times New Roman" w:hAnsi="Times New Roman" w:cs="Times New Roman"/>
            <w:noProof/>
            <w:szCs w:val="24"/>
          </w:rPr>
          <w:t>3</w:t>
        </w:r>
        <w:r w:rsidRPr="003E3A35">
          <w:rPr>
            <w:rFonts w:ascii="Times New Roman" w:hAnsi="Times New Roman" w:cs="Times New Roman"/>
            <w:noProof/>
            <w:szCs w:val="24"/>
          </w:rPr>
          <w:fldChar w:fldCharType="end"/>
        </w:r>
      </w:p>
    </w:sdtContent>
  </w:sdt>
  <w:p w14:paraId="321EFCC2" w14:textId="77777777" w:rsidR="002735AF" w:rsidRPr="003E3A35" w:rsidRDefault="002735AF">
    <w:pPr>
      <w:pStyle w:val="Footer"/>
      <w:rPr>
        <w:rFonts w:ascii="Times New Roman" w:hAnsi="Times New Roman"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2438" w14:textId="77777777" w:rsidR="001F0272" w:rsidRDefault="001F0272" w:rsidP="00AB1CFE">
      <w:pPr>
        <w:spacing w:after="0" w:line="240" w:lineRule="auto"/>
      </w:pPr>
      <w:r>
        <w:separator/>
      </w:r>
    </w:p>
  </w:footnote>
  <w:footnote w:type="continuationSeparator" w:id="0">
    <w:p w14:paraId="2193C2D0" w14:textId="77777777" w:rsidR="001F0272" w:rsidRDefault="001F0272" w:rsidP="00AB1CFE">
      <w:pPr>
        <w:spacing w:after="0" w:line="240" w:lineRule="auto"/>
      </w:pPr>
      <w:r>
        <w:continuationSeparator/>
      </w:r>
    </w:p>
  </w:footnote>
  <w:footnote w:id="1">
    <w:p w14:paraId="7FFCD141" w14:textId="3F452116" w:rsidR="007B4BE8" w:rsidRPr="009B31E7" w:rsidRDefault="007B4BE8" w:rsidP="00BA2D09">
      <w:pPr>
        <w:pStyle w:val="FootnoteText"/>
        <w:rPr>
          <w:lang w:val="fr-FR"/>
        </w:rPr>
      </w:pPr>
      <w:r>
        <w:t xml:space="preserve">*Senior Lecturer in Law, York Law School, University of York. </w:t>
      </w:r>
      <w:r w:rsidRPr="009B31E7">
        <w:rPr>
          <w:lang w:val="fr-FR"/>
        </w:rPr>
        <w:t>Email: jed.meers@york.ac.uk</w:t>
      </w:r>
      <w:r w:rsidR="005329F4" w:rsidRPr="009B31E7">
        <w:rPr>
          <w:lang w:val="fr-FR"/>
        </w:rPr>
        <w:t>.</w:t>
      </w:r>
    </w:p>
    <w:p w14:paraId="70628E3A" w14:textId="7984AE33" w:rsidR="00C636F0" w:rsidRDefault="00C636F0" w:rsidP="00BA2D09">
      <w:pPr>
        <w:pStyle w:val="FootnoteText"/>
      </w:pPr>
      <w:r>
        <w:rPr>
          <w:rStyle w:val="FootnoteReference"/>
        </w:rPr>
        <w:footnoteRef/>
      </w:r>
      <w:r>
        <w:t xml:space="preserve"> </w:t>
      </w:r>
      <w:r w:rsidR="004521F1" w:rsidRPr="004521F1">
        <w:rPr>
          <w:bCs/>
          <w:szCs w:val="24"/>
        </w:rPr>
        <w:t xml:space="preserve">Labour Party, </w:t>
      </w:r>
      <w:r w:rsidR="00BA4366">
        <w:rPr>
          <w:bCs/>
          <w:szCs w:val="24"/>
        </w:rPr>
        <w:t>‘</w:t>
      </w:r>
      <w:r w:rsidR="004521F1" w:rsidRPr="004521F1">
        <w:rPr>
          <w:bCs/>
          <w:szCs w:val="24"/>
        </w:rPr>
        <w:t>Change: Labour Party Manifesto 2024</w:t>
      </w:r>
      <w:r w:rsidR="00BA4366">
        <w:rPr>
          <w:bCs/>
          <w:szCs w:val="24"/>
        </w:rPr>
        <w:t>’</w:t>
      </w:r>
      <w:r w:rsidR="004521F1" w:rsidRPr="004521F1">
        <w:rPr>
          <w:bCs/>
          <w:szCs w:val="24"/>
        </w:rPr>
        <w:t xml:space="preserve"> (2024)</w:t>
      </w:r>
      <w:r w:rsidR="005329F4" w:rsidRPr="005329F4">
        <w:rPr>
          <w:bCs/>
          <w:szCs w:val="24"/>
        </w:rPr>
        <w:t xml:space="preserve"> </w:t>
      </w:r>
      <w:r w:rsidR="005329F4">
        <w:rPr>
          <w:bCs/>
          <w:szCs w:val="24"/>
        </w:rPr>
        <w:t>90</w:t>
      </w:r>
      <w:r w:rsidR="004521F1" w:rsidRPr="004521F1">
        <w:rPr>
          <w:bCs/>
          <w:szCs w:val="24"/>
        </w:rPr>
        <w:t xml:space="preserve"> </w:t>
      </w:r>
      <w:r w:rsidR="005329F4">
        <w:rPr>
          <w:bCs/>
          <w:szCs w:val="24"/>
        </w:rPr>
        <w:t>&lt;https</w:t>
      </w:r>
      <w:r w:rsidR="004521F1" w:rsidRPr="004521F1">
        <w:rPr>
          <w:bCs/>
          <w:szCs w:val="24"/>
        </w:rPr>
        <w:t>://labour.org.uk/wp-content/uploads/2024/06/Change-Labour-Party-Manifesto-2024-large-print.pdf</w:t>
      </w:r>
      <w:r w:rsidR="005329F4">
        <w:rPr>
          <w:bCs/>
          <w:szCs w:val="24"/>
        </w:rPr>
        <w:t>&gt; accessed</w:t>
      </w:r>
      <w:r w:rsidR="004521F1" w:rsidRPr="004521F1">
        <w:rPr>
          <w:bCs/>
          <w:szCs w:val="24"/>
        </w:rPr>
        <w:t xml:space="preserve"> 5 April 2025</w:t>
      </w:r>
      <w:r w:rsidR="004521F1">
        <w:rPr>
          <w:bCs/>
          <w:szCs w:val="24"/>
        </w:rPr>
        <w:t>.</w:t>
      </w:r>
      <w:r w:rsidR="00F77CB7">
        <w:rPr>
          <w:bCs/>
          <w:szCs w:val="24"/>
        </w:rPr>
        <w:t xml:space="preserve"> See also the consultation on its commencement: </w:t>
      </w:r>
      <w:r w:rsidR="00EF4260" w:rsidRPr="00EF4260">
        <w:rPr>
          <w:bCs/>
          <w:szCs w:val="24"/>
        </w:rPr>
        <w:t xml:space="preserve">Office for Equality and Opportunity and others, </w:t>
      </w:r>
      <w:r w:rsidR="00BA4366">
        <w:rPr>
          <w:bCs/>
          <w:szCs w:val="24"/>
        </w:rPr>
        <w:t>‘</w:t>
      </w:r>
      <w:r w:rsidR="00EF4260" w:rsidRPr="00EF4260">
        <w:rPr>
          <w:bCs/>
          <w:szCs w:val="24"/>
        </w:rPr>
        <w:t>Equality Law Call for Evidence</w:t>
      </w:r>
      <w:r w:rsidR="00BA4366">
        <w:rPr>
          <w:bCs/>
          <w:szCs w:val="24"/>
        </w:rPr>
        <w:t>’</w:t>
      </w:r>
      <w:r w:rsidR="00EF4260" w:rsidRPr="00EF4260">
        <w:rPr>
          <w:bCs/>
          <w:szCs w:val="24"/>
        </w:rPr>
        <w:t xml:space="preserve"> (GOV.UK, 7 April 2025) </w:t>
      </w:r>
      <w:r w:rsidR="005329F4">
        <w:rPr>
          <w:bCs/>
          <w:szCs w:val="24"/>
        </w:rPr>
        <w:t>&lt;www</w:t>
      </w:r>
      <w:r w:rsidR="00EF4260" w:rsidRPr="00EF4260">
        <w:rPr>
          <w:bCs/>
          <w:szCs w:val="24"/>
        </w:rPr>
        <w:t>.gov.uk/government/calls-for-evidence/equality-law-call-for-evidence</w:t>
      </w:r>
      <w:r w:rsidR="005329F4">
        <w:rPr>
          <w:bCs/>
          <w:szCs w:val="24"/>
        </w:rPr>
        <w:t>&gt; accessed</w:t>
      </w:r>
      <w:r w:rsidR="00EF4260" w:rsidRPr="00EF4260">
        <w:rPr>
          <w:bCs/>
          <w:szCs w:val="24"/>
        </w:rPr>
        <w:t xml:space="preserve"> 20 April 2025</w:t>
      </w:r>
      <w:r w:rsidR="00866B82">
        <w:rPr>
          <w:bCs/>
          <w:szCs w:val="24"/>
        </w:rPr>
        <w:t>.</w:t>
      </w:r>
    </w:p>
  </w:footnote>
  <w:footnote w:id="2">
    <w:p w14:paraId="5A1DE871" w14:textId="3FF650AA" w:rsidR="00C636F0" w:rsidRDefault="00C636F0" w:rsidP="00BA2D09">
      <w:pPr>
        <w:pStyle w:val="FootnoteText"/>
      </w:pPr>
      <w:r>
        <w:rPr>
          <w:rStyle w:val="FootnoteReference"/>
        </w:rPr>
        <w:footnoteRef/>
      </w:r>
      <w:r>
        <w:t xml:space="preserve"> </w:t>
      </w:r>
      <w:r w:rsidR="00C93F7B" w:rsidRPr="00C93F7B">
        <w:t xml:space="preserve">George Eaton, </w:t>
      </w:r>
      <w:r w:rsidR="00BA4366">
        <w:t>‘</w:t>
      </w:r>
      <w:r w:rsidR="00C93F7B" w:rsidRPr="00C93F7B">
        <w:t>Labour</w:t>
      </w:r>
      <w:r w:rsidR="00BA4366">
        <w:t>’</w:t>
      </w:r>
      <w:r w:rsidR="00C93F7B" w:rsidRPr="00C93F7B">
        <w:t xml:space="preserve">s </w:t>
      </w:r>
      <w:r w:rsidR="005329F4" w:rsidRPr="00C93F7B">
        <w:t>Manifesto Is Quietly Radi</w:t>
      </w:r>
      <w:r w:rsidR="00C93F7B" w:rsidRPr="00C93F7B">
        <w:t>cal</w:t>
      </w:r>
      <w:r w:rsidR="00BA4366">
        <w:t>’</w:t>
      </w:r>
      <w:r w:rsidR="00C93F7B" w:rsidRPr="00C93F7B">
        <w:t xml:space="preserve"> </w:t>
      </w:r>
      <w:r w:rsidR="00C93F7B" w:rsidRPr="00BA2D09">
        <w:rPr>
          <w:i/>
        </w:rPr>
        <w:t>New Statesman</w:t>
      </w:r>
      <w:r w:rsidR="005329F4">
        <w:t xml:space="preserve"> (</w:t>
      </w:r>
      <w:r w:rsidR="00C93F7B" w:rsidRPr="00C93F7B">
        <w:t xml:space="preserve">14 June 2024) </w:t>
      </w:r>
      <w:r w:rsidR="005329F4">
        <w:t>&lt;www</w:t>
      </w:r>
      <w:r w:rsidR="00C93F7B" w:rsidRPr="00C93F7B">
        <w:t>.newstatesman.com/politics/2024/06/labours-manifesto-is-quietly-radical</w:t>
      </w:r>
      <w:r w:rsidR="005329F4">
        <w:t>&gt; accessed</w:t>
      </w:r>
      <w:r w:rsidR="00C93F7B" w:rsidRPr="00C93F7B">
        <w:t xml:space="preserve"> 5 April 2025</w:t>
      </w:r>
      <w:r w:rsidR="005329F4">
        <w:t>;</w:t>
      </w:r>
      <w:r w:rsidR="00C93F7B">
        <w:t xml:space="preserve"> </w:t>
      </w:r>
      <w:r w:rsidR="00C93F7B" w:rsidRPr="00C93F7B">
        <w:t xml:space="preserve">Alex Massie, </w:t>
      </w:r>
      <w:r w:rsidR="00BA4366">
        <w:t>‘</w:t>
      </w:r>
      <w:r w:rsidR="00C93F7B" w:rsidRPr="00C93F7B">
        <w:t xml:space="preserve">SNP </w:t>
      </w:r>
      <w:r w:rsidR="005329F4" w:rsidRPr="00C93F7B">
        <w:t xml:space="preserve">Attempts </w:t>
      </w:r>
      <w:r w:rsidR="00C93F7B" w:rsidRPr="00C93F7B">
        <w:t xml:space="preserve">to </w:t>
      </w:r>
      <w:r w:rsidR="005329F4" w:rsidRPr="00C93F7B">
        <w:t xml:space="preserve">Legislate </w:t>
      </w:r>
      <w:r w:rsidR="00C93F7B" w:rsidRPr="00C93F7B">
        <w:t xml:space="preserve">against </w:t>
      </w:r>
      <w:r w:rsidR="005329F4" w:rsidRPr="00C93F7B">
        <w:t>Inequality Failed</w:t>
      </w:r>
      <w:r w:rsidR="00265B1B">
        <w:t>—</w:t>
      </w:r>
      <w:r w:rsidR="00C93F7B" w:rsidRPr="00C93F7B">
        <w:t>Labour</w:t>
      </w:r>
      <w:r w:rsidR="00BA4366">
        <w:t>’</w:t>
      </w:r>
      <w:r w:rsidR="00C93F7B" w:rsidRPr="00C93F7B">
        <w:t xml:space="preserve">s </w:t>
      </w:r>
      <w:r w:rsidR="005329F4" w:rsidRPr="00C93F7B">
        <w:t>Will Too</w:t>
      </w:r>
      <w:r w:rsidR="005329F4">
        <w:t>’</w:t>
      </w:r>
      <w:r w:rsidR="005329F4" w:rsidRPr="00C93F7B">
        <w:t xml:space="preserve"> </w:t>
      </w:r>
      <w:r w:rsidR="00C93F7B" w:rsidRPr="00BA2D09">
        <w:rPr>
          <w:i/>
        </w:rPr>
        <w:t>The Spectator</w:t>
      </w:r>
      <w:r w:rsidR="005329F4">
        <w:t xml:space="preserve"> (</w:t>
      </w:r>
      <w:r w:rsidR="00C93F7B" w:rsidRPr="00C93F7B">
        <w:t xml:space="preserve">14 June 2024) </w:t>
      </w:r>
      <w:r w:rsidR="005329F4">
        <w:t>&lt;www</w:t>
      </w:r>
      <w:r w:rsidR="00C93F7B" w:rsidRPr="00C93F7B">
        <w:t>.spectator.co.uk/article/snp-attempts-to-legislate-against-inequality-failed-labours-will-too/</w:t>
      </w:r>
      <w:r w:rsidR="005329F4">
        <w:t>&gt; accessed</w:t>
      </w:r>
      <w:r w:rsidR="00C93F7B" w:rsidRPr="00C93F7B">
        <w:t xml:space="preserve"> 5 April 2025</w:t>
      </w:r>
      <w:r w:rsidR="00C93F7B">
        <w:t>.</w:t>
      </w:r>
    </w:p>
  </w:footnote>
  <w:footnote w:id="3">
    <w:p w14:paraId="4673C385" w14:textId="67B48ED3" w:rsidR="00BC0646" w:rsidRPr="003D42DF" w:rsidRDefault="00BC0646"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3D42DF">
        <w:rPr>
          <w:rFonts w:asciiTheme="majorBidi" w:hAnsiTheme="majorBidi" w:cstheme="majorBidi"/>
        </w:rPr>
        <w:t xml:space="preserve"> </w:t>
      </w:r>
      <w:r w:rsidR="00C93F7B">
        <w:t xml:space="preserve">Massie (n </w:t>
      </w:r>
      <w:r w:rsidR="00576A7D">
        <w:t>2</w:t>
      </w:r>
      <w:r w:rsidR="00C93F7B">
        <w:t>).</w:t>
      </w:r>
    </w:p>
  </w:footnote>
  <w:footnote w:id="4">
    <w:p w14:paraId="1E8FE509" w14:textId="5D273891" w:rsidR="00BC0646" w:rsidRDefault="00BC0646" w:rsidP="00BA2D09">
      <w:pPr>
        <w:pStyle w:val="FootnoteText"/>
      </w:pPr>
      <w:r>
        <w:rPr>
          <w:rStyle w:val="FootnoteReference"/>
        </w:rPr>
        <w:footnoteRef/>
      </w:r>
      <w:r>
        <w:t xml:space="preserve"> </w:t>
      </w:r>
      <w:r w:rsidR="00681545">
        <w:t xml:space="preserve">See </w:t>
      </w:r>
      <w:r w:rsidR="00681545" w:rsidRPr="00681545">
        <w:t xml:space="preserve">David Barrett, </w:t>
      </w:r>
      <w:r w:rsidR="00BA4366">
        <w:t>‘</w:t>
      </w:r>
      <w:r w:rsidR="00681545" w:rsidRPr="00681545">
        <w:t xml:space="preserve">The </w:t>
      </w:r>
      <w:r w:rsidR="005329F4" w:rsidRPr="00681545">
        <w:t>Effective Design, Implementa</w:t>
      </w:r>
      <w:r w:rsidR="00681545" w:rsidRPr="00681545">
        <w:t xml:space="preserve">tion and </w:t>
      </w:r>
      <w:r w:rsidR="005329F4" w:rsidRPr="00681545">
        <w:t xml:space="preserve">Enforcement </w:t>
      </w:r>
      <w:r w:rsidR="00681545" w:rsidRPr="00681545">
        <w:t xml:space="preserve">of </w:t>
      </w:r>
      <w:r w:rsidR="005329F4" w:rsidRPr="00681545">
        <w:t>Socio</w:t>
      </w:r>
      <w:r w:rsidR="00681545" w:rsidRPr="00681545">
        <w:t xml:space="preserve">-economic </w:t>
      </w:r>
      <w:r w:rsidR="005329F4" w:rsidRPr="00681545">
        <w:t xml:space="preserve">Equality Duties: Lessons </w:t>
      </w:r>
      <w:r w:rsidR="00681545" w:rsidRPr="00681545">
        <w:t xml:space="preserve">from the </w:t>
      </w:r>
      <w:r w:rsidR="005329F4" w:rsidRPr="00681545">
        <w:t>Pupil Premium</w:t>
      </w:r>
      <w:r w:rsidR="005329F4">
        <w:t>’</w:t>
      </w:r>
      <w:r w:rsidR="005329F4" w:rsidRPr="00681545">
        <w:t xml:space="preserve"> </w:t>
      </w:r>
      <w:r w:rsidR="00681545" w:rsidRPr="00681545">
        <w:t xml:space="preserve">(2018) 40(1) </w:t>
      </w:r>
      <w:r w:rsidR="00681545" w:rsidRPr="00BA2D09">
        <w:t>Journal of Social Welfare and Family Law</w:t>
      </w:r>
      <w:r w:rsidR="00681545" w:rsidRPr="00681545">
        <w:t xml:space="preserve"> 57</w:t>
      </w:r>
      <w:r w:rsidR="00681545">
        <w:t>.</w:t>
      </w:r>
      <w:r w:rsidR="00BB659E">
        <w:t xml:space="preserve"> See the Public Sector Equality Duty under Equality Act 2010</w:t>
      </w:r>
      <w:r w:rsidR="00892AA0">
        <w:t>,</w:t>
      </w:r>
      <w:r w:rsidR="00892AA0" w:rsidRPr="00892AA0">
        <w:t xml:space="preserve"> </w:t>
      </w:r>
      <w:r w:rsidR="00892AA0">
        <w:t>s 149</w:t>
      </w:r>
      <w:r w:rsidR="00BB659E">
        <w:t>.</w:t>
      </w:r>
    </w:p>
  </w:footnote>
  <w:footnote w:id="5">
    <w:p w14:paraId="4DF09779" w14:textId="44B1F20F" w:rsidR="0074401D" w:rsidRDefault="0074401D" w:rsidP="00BA2D09">
      <w:pPr>
        <w:pStyle w:val="FootnoteText"/>
      </w:pPr>
      <w:r>
        <w:rPr>
          <w:rStyle w:val="FootnoteReference"/>
        </w:rPr>
        <w:footnoteRef/>
      </w:r>
      <w:r>
        <w:t xml:space="preserve"> Equality Act 2010</w:t>
      </w:r>
      <w:r w:rsidR="00892AA0">
        <w:t>, s 1</w:t>
      </w:r>
      <w:r>
        <w:t>.</w:t>
      </w:r>
    </w:p>
  </w:footnote>
  <w:footnote w:id="6">
    <w:p w14:paraId="58FDFDD4" w14:textId="41529C2D" w:rsidR="00C75E37" w:rsidRDefault="00C75E37" w:rsidP="00BA2D09">
      <w:pPr>
        <w:pStyle w:val="FootnoteText"/>
      </w:pPr>
      <w:r>
        <w:rPr>
          <w:rStyle w:val="FootnoteReference"/>
        </w:rPr>
        <w:footnoteRef/>
      </w:r>
      <w:r>
        <w:t xml:space="preserve"> </w:t>
      </w:r>
      <w:r w:rsidR="00123551">
        <w:t>See</w:t>
      </w:r>
      <w:r w:rsidR="00892AA0">
        <w:t xml:space="preserve"> </w:t>
      </w:r>
      <w:proofErr w:type="spellStart"/>
      <w:r w:rsidR="00892AA0">
        <w:t>eg</w:t>
      </w:r>
      <w:proofErr w:type="spellEnd"/>
      <w:r w:rsidR="00123551">
        <w:t xml:space="preserve"> </w:t>
      </w:r>
      <w:r w:rsidR="00123551" w:rsidRPr="00A771F5">
        <w:t xml:space="preserve">Simonetta Manfredi, Lucy Vickers and Kate Clayton-Hathway, </w:t>
      </w:r>
      <w:r w:rsidR="00BA4366">
        <w:t>‘</w:t>
      </w:r>
      <w:r w:rsidR="00123551" w:rsidRPr="00A771F5">
        <w:t xml:space="preserve">The Public Sector Equality Duty: Enforcing Equality Rights </w:t>
      </w:r>
      <w:r w:rsidR="00E0239B" w:rsidRPr="00A771F5">
        <w:t xml:space="preserve">through </w:t>
      </w:r>
      <w:r w:rsidR="00123551" w:rsidRPr="00A771F5">
        <w:t>Second-Generation Regulation</w:t>
      </w:r>
      <w:r w:rsidR="00BA4366">
        <w:t>’</w:t>
      </w:r>
      <w:r w:rsidR="00123551" w:rsidRPr="00A771F5">
        <w:t xml:space="preserve"> (2018) 47(3) </w:t>
      </w:r>
      <w:r w:rsidR="00892AA0" w:rsidRPr="00892AA0">
        <w:t>ILJ</w:t>
      </w:r>
      <w:r w:rsidR="00123551" w:rsidRPr="00A771F5">
        <w:t xml:space="preserve"> 365</w:t>
      </w:r>
      <w:r w:rsidR="00123551">
        <w:t>.</w:t>
      </w:r>
    </w:p>
  </w:footnote>
  <w:footnote w:id="7">
    <w:p w14:paraId="0CBAC3EB" w14:textId="5766005B" w:rsidR="0090786B" w:rsidRDefault="0090786B" w:rsidP="00BA2D09">
      <w:pPr>
        <w:pStyle w:val="FootnoteText"/>
      </w:pPr>
      <w:r>
        <w:rPr>
          <w:rStyle w:val="FootnoteReference"/>
        </w:rPr>
        <w:footnoteRef/>
      </w:r>
      <w:r>
        <w:t xml:space="preserve"> </w:t>
      </w:r>
      <w:r>
        <w:rPr>
          <w:rFonts w:eastAsia="Source Sans Pro"/>
          <w:bCs/>
          <w:color w:val="000000" w:themeColor="text1"/>
          <w:szCs w:val="24"/>
        </w:rPr>
        <w:t>F</w:t>
      </w:r>
      <w:r w:rsidRPr="001C4778">
        <w:rPr>
          <w:rFonts w:eastAsia="Source Sans Pro"/>
          <w:bCs/>
          <w:color w:val="000000" w:themeColor="text1"/>
          <w:szCs w:val="24"/>
        </w:rPr>
        <w:t xml:space="preserve">or an argument in favour of this bolder move, which would have far broader implications for both public and private bodies, see </w:t>
      </w:r>
      <w:r w:rsidR="002E43FE">
        <w:rPr>
          <w:rFonts w:eastAsia="Source Sans Pro"/>
          <w:bCs/>
          <w:color w:val="000000" w:themeColor="text1"/>
          <w:szCs w:val="24"/>
        </w:rPr>
        <w:t xml:space="preserve">Alex </w:t>
      </w:r>
      <w:r w:rsidR="002E43FE" w:rsidRPr="002E43FE">
        <w:rPr>
          <w:rFonts w:eastAsia="Source Sans Pro"/>
          <w:bCs/>
          <w:color w:val="000000" w:themeColor="text1"/>
          <w:szCs w:val="24"/>
        </w:rPr>
        <w:t>Benn</w:t>
      </w:r>
      <w:r w:rsidR="00892AA0">
        <w:rPr>
          <w:rFonts w:eastAsia="Source Sans Pro"/>
          <w:bCs/>
          <w:color w:val="000000" w:themeColor="text1"/>
          <w:szCs w:val="24"/>
        </w:rPr>
        <w:t>,</w:t>
      </w:r>
      <w:r w:rsidR="002E43FE" w:rsidRPr="002E43FE">
        <w:rPr>
          <w:rFonts w:eastAsia="Source Sans Pro"/>
          <w:bCs/>
          <w:color w:val="000000" w:themeColor="text1"/>
          <w:szCs w:val="24"/>
        </w:rPr>
        <w:t xml:space="preserve"> </w:t>
      </w:r>
      <w:r w:rsidR="00892AA0">
        <w:rPr>
          <w:rFonts w:eastAsia="Source Sans Pro"/>
          <w:bCs/>
          <w:color w:val="000000" w:themeColor="text1"/>
          <w:szCs w:val="24"/>
        </w:rPr>
        <w:t>‘</w:t>
      </w:r>
      <w:r w:rsidR="002E43FE" w:rsidRPr="002E43FE">
        <w:rPr>
          <w:rFonts w:eastAsia="Source Sans Pro"/>
          <w:bCs/>
          <w:color w:val="000000" w:themeColor="text1"/>
          <w:szCs w:val="24"/>
        </w:rPr>
        <w:t xml:space="preserve">The </w:t>
      </w:r>
      <w:r w:rsidR="00892AA0" w:rsidRPr="002E43FE">
        <w:rPr>
          <w:rFonts w:eastAsia="Source Sans Pro"/>
          <w:bCs/>
          <w:color w:val="000000" w:themeColor="text1"/>
          <w:szCs w:val="24"/>
        </w:rPr>
        <w:t xml:space="preserve">Big Gap </w:t>
      </w:r>
      <w:r w:rsidR="002E43FE" w:rsidRPr="002E43FE">
        <w:rPr>
          <w:rFonts w:eastAsia="Source Sans Pro"/>
          <w:bCs/>
          <w:color w:val="000000" w:themeColor="text1"/>
          <w:szCs w:val="24"/>
        </w:rPr>
        <w:t xml:space="preserve">in </w:t>
      </w:r>
      <w:r w:rsidR="00892AA0" w:rsidRPr="002E43FE">
        <w:rPr>
          <w:rFonts w:eastAsia="Source Sans Pro"/>
          <w:bCs/>
          <w:color w:val="000000" w:themeColor="text1"/>
          <w:szCs w:val="24"/>
        </w:rPr>
        <w:t xml:space="preserve">Discrimination Law: Class </w:t>
      </w:r>
      <w:r w:rsidR="002E43FE" w:rsidRPr="002E43FE">
        <w:rPr>
          <w:rFonts w:eastAsia="Source Sans Pro"/>
          <w:bCs/>
          <w:color w:val="000000" w:themeColor="text1"/>
          <w:szCs w:val="24"/>
        </w:rPr>
        <w:t>and the Equality Act 2010</w:t>
      </w:r>
      <w:r w:rsidR="00892AA0">
        <w:rPr>
          <w:rFonts w:eastAsia="Source Sans Pro"/>
          <w:bCs/>
          <w:color w:val="000000" w:themeColor="text1"/>
          <w:szCs w:val="24"/>
        </w:rPr>
        <w:t>’</w:t>
      </w:r>
      <w:r w:rsidR="002E43FE" w:rsidRPr="002E43FE">
        <w:rPr>
          <w:rFonts w:eastAsia="Source Sans Pro"/>
          <w:bCs/>
          <w:color w:val="000000" w:themeColor="text1"/>
          <w:szCs w:val="24"/>
        </w:rPr>
        <w:t xml:space="preserve"> </w:t>
      </w:r>
      <w:r w:rsidR="00892AA0" w:rsidRPr="002E43FE">
        <w:rPr>
          <w:rFonts w:eastAsia="Source Sans Pro"/>
          <w:bCs/>
          <w:color w:val="000000" w:themeColor="text1"/>
          <w:szCs w:val="24"/>
        </w:rPr>
        <w:t>(2020)</w:t>
      </w:r>
      <w:r w:rsidR="00892AA0" w:rsidRPr="00892AA0">
        <w:rPr>
          <w:rFonts w:eastAsia="Source Sans Pro"/>
          <w:bCs/>
          <w:color w:val="000000" w:themeColor="text1"/>
          <w:szCs w:val="24"/>
        </w:rPr>
        <w:t xml:space="preserve"> </w:t>
      </w:r>
      <w:r w:rsidR="00892AA0" w:rsidRPr="002E43FE">
        <w:rPr>
          <w:rFonts w:eastAsia="Source Sans Pro"/>
          <w:bCs/>
          <w:color w:val="000000" w:themeColor="text1"/>
          <w:szCs w:val="24"/>
        </w:rPr>
        <w:t>3(1)</w:t>
      </w:r>
      <w:r w:rsidR="00892AA0">
        <w:rPr>
          <w:rFonts w:eastAsia="Source Sans Pro"/>
          <w:bCs/>
          <w:color w:val="000000" w:themeColor="text1"/>
          <w:szCs w:val="24"/>
        </w:rPr>
        <w:t xml:space="preserve"> </w:t>
      </w:r>
      <w:r w:rsidR="002E43FE" w:rsidRPr="00BA2D09">
        <w:rPr>
          <w:rFonts w:eastAsia="Source Sans Pro"/>
        </w:rPr>
        <w:t>Oxford Human Rights Hub Journal</w:t>
      </w:r>
      <w:r w:rsidR="002E43FE" w:rsidRPr="002E43FE">
        <w:rPr>
          <w:rFonts w:eastAsia="Source Sans Pro"/>
          <w:bCs/>
          <w:color w:val="000000" w:themeColor="text1"/>
          <w:szCs w:val="24"/>
        </w:rPr>
        <w:t xml:space="preserve"> 30.</w:t>
      </w:r>
    </w:p>
  </w:footnote>
  <w:footnote w:id="8">
    <w:p w14:paraId="67DE85F3" w14:textId="707F48A0" w:rsidR="00FA0E31" w:rsidRDefault="00FA0E31">
      <w:pPr>
        <w:pStyle w:val="FootnoteText"/>
      </w:pPr>
      <w:r>
        <w:rPr>
          <w:rStyle w:val="FootnoteReference"/>
        </w:rPr>
        <w:footnoteRef/>
      </w:r>
      <w:r>
        <w:t xml:space="preserve"> For a full review for where socio-economic status is dealt with in discrimination law across the UK, see </w:t>
      </w:r>
      <w:r w:rsidRPr="00681545">
        <w:t>Barrett</w:t>
      </w:r>
      <w:r>
        <w:t xml:space="preserve"> (n </w:t>
      </w:r>
      <w:r w:rsidR="00576A7D">
        <w:t>4</w:t>
      </w:r>
      <w:r w:rsidR="00A31C5B">
        <w:t>)</w:t>
      </w:r>
      <w:r>
        <w:t>.</w:t>
      </w:r>
    </w:p>
  </w:footnote>
  <w:footnote w:id="9">
    <w:p w14:paraId="78539CBC" w14:textId="364F84C3" w:rsidR="00504649" w:rsidRDefault="00504649" w:rsidP="00BA2D09">
      <w:pPr>
        <w:pStyle w:val="FootnoteText"/>
      </w:pPr>
      <w:r>
        <w:rPr>
          <w:rStyle w:val="FootnoteReference"/>
        </w:rPr>
        <w:footnoteRef/>
      </w:r>
      <w:r>
        <w:t xml:space="preserve"> </w:t>
      </w:r>
      <w:r w:rsidR="00091BF5" w:rsidRPr="00091BF5">
        <w:t xml:space="preserve">Christopher McCrudden, </w:t>
      </w:r>
      <w:r w:rsidR="00BA4366">
        <w:t>‘</w:t>
      </w:r>
      <w:r w:rsidR="00091BF5" w:rsidRPr="00091BF5">
        <w:t xml:space="preserve">Equality Legislation and Reflexive Regulation: </w:t>
      </w:r>
      <w:r w:rsidR="00892AA0" w:rsidRPr="00091BF5">
        <w:t xml:space="preserve">A </w:t>
      </w:r>
      <w:r w:rsidR="00091BF5" w:rsidRPr="00091BF5">
        <w:t>Response to the Discrimination Law Review</w:t>
      </w:r>
      <w:r w:rsidR="00BA4366">
        <w:t>’</w:t>
      </w:r>
      <w:r w:rsidR="00091BF5" w:rsidRPr="00091BF5">
        <w:t xml:space="preserve">s Consultative </w:t>
      </w:r>
      <w:r w:rsidR="00892AA0">
        <w:t>Paper</w:t>
      </w:r>
      <w:r w:rsidR="00BA4366">
        <w:t>’</w:t>
      </w:r>
      <w:r w:rsidR="00091BF5" w:rsidRPr="00091BF5">
        <w:t xml:space="preserve"> (2007) 36(3) </w:t>
      </w:r>
      <w:r w:rsidR="00892AA0" w:rsidRPr="00892AA0">
        <w:t>ILJ</w:t>
      </w:r>
      <w:r w:rsidR="00091BF5" w:rsidRPr="00091BF5">
        <w:t xml:space="preserve"> 255</w:t>
      </w:r>
      <w:r w:rsidR="00091BF5">
        <w:t>, 264.</w:t>
      </w:r>
    </w:p>
  </w:footnote>
  <w:footnote w:id="10">
    <w:p w14:paraId="73813365" w14:textId="5CA866C9" w:rsidR="002E7463" w:rsidRDefault="002E7463" w:rsidP="00BA2D09">
      <w:pPr>
        <w:pStyle w:val="FootnoteText"/>
      </w:pPr>
      <w:r>
        <w:rPr>
          <w:rStyle w:val="FootnoteReference"/>
        </w:rPr>
        <w:footnoteRef/>
      </w:r>
      <w:r>
        <w:t xml:space="preserve"> </w:t>
      </w:r>
      <w:r w:rsidR="00170E7B">
        <w:t xml:space="preserve">For </w:t>
      </w:r>
      <w:r w:rsidR="00134B70">
        <w:t xml:space="preserve">but a few examples of many, see </w:t>
      </w:r>
      <w:r w:rsidR="00134B70" w:rsidRPr="00134B70">
        <w:t xml:space="preserve">Ralf Rogowski, </w:t>
      </w:r>
      <w:r w:rsidR="00134B70" w:rsidRPr="00134B70">
        <w:rPr>
          <w:i/>
          <w:iCs/>
        </w:rPr>
        <w:t>Reflexive Labour Law in the World Society</w:t>
      </w:r>
      <w:r w:rsidR="00134B70" w:rsidRPr="00134B70">
        <w:t xml:space="preserve"> (Edward Elgar 2013)</w:t>
      </w:r>
      <w:r w:rsidR="00892AA0">
        <w:t>;</w:t>
      </w:r>
      <w:r w:rsidR="00134B70">
        <w:t xml:space="preserve"> </w:t>
      </w:r>
      <w:r w:rsidR="00134B70" w:rsidRPr="00134B70">
        <w:t xml:space="preserve">Peter H Feindt and Sabine Weiland, </w:t>
      </w:r>
      <w:r w:rsidR="00BA4366">
        <w:t>‘</w:t>
      </w:r>
      <w:r w:rsidR="00134B70" w:rsidRPr="00134B70">
        <w:t>Reflexive Governance: Exploring the Concept and Assessing Its Critical Potential for Sustainable Development. Introduction to the Special Issue</w:t>
      </w:r>
      <w:r w:rsidR="00BA4366">
        <w:t>’</w:t>
      </w:r>
      <w:r w:rsidR="00134B70" w:rsidRPr="00134B70">
        <w:t xml:space="preserve"> (2018) 20(6) </w:t>
      </w:r>
      <w:r w:rsidR="00134B70" w:rsidRPr="00BA2D09">
        <w:t>Journal of Environmental Policy &amp; Planning</w:t>
      </w:r>
      <w:r w:rsidR="00134B70" w:rsidRPr="00134B70">
        <w:t xml:space="preserve"> 661</w:t>
      </w:r>
      <w:r w:rsidR="00134B70">
        <w:t xml:space="preserve">; </w:t>
      </w:r>
      <w:r w:rsidR="00740438" w:rsidRPr="00740438">
        <w:t xml:space="preserve">Christine Parker, </w:t>
      </w:r>
      <w:r w:rsidR="00740438" w:rsidRPr="00740438">
        <w:rPr>
          <w:i/>
          <w:iCs/>
        </w:rPr>
        <w:t>The Open Corporation</w:t>
      </w:r>
      <w:r w:rsidR="00740438">
        <w:rPr>
          <w:i/>
          <w:iCs/>
        </w:rPr>
        <w:t xml:space="preserve">: </w:t>
      </w:r>
      <w:r w:rsidR="00740438" w:rsidRPr="00740438">
        <w:rPr>
          <w:i/>
          <w:iCs/>
        </w:rPr>
        <w:t>Effective Self-</w:t>
      </w:r>
      <w:r w:rsidR="00892AA0" w:rsidRPr="00740438">
        <w:rPr>
          <w:i/>
          <w:iCs/>
        </w:rPr>
        <w:t xml:space="preserve">Regulation </w:t>
      </w:r>
      <w:r w:rsidR="00740438" w:rsidRPr="00740438">
        <w:rPr>
          <w:i/>
          <w:iCs/>
        </w:rPr>
        <w:t>and Democracy</w:t>
      </w:r>
      <w:r w:rsidR="00740438" w:rsidRPr="00740438">
        <w:t xml:space="preserve"> (</w:t>
      </w:r>
      <w:r w:rsidR="00892AA0">
        <w:t>CUP</w:t>
      </w:r>
      <w:r w:rsidR="00740438" w:rsidRPr="00740438">
        <w:t xml:space="preserve"> 2002)</w:t>
      </w:r>
      <w:r w:rsidR="00740438">
        <w:t>.</w:t>
      </w:r>
    </w:p>
  </w:footnote>
  <w:footnote w:id="11">
    <w:p w14:paraId="2F031E5F" w14:textId="153BCE29" w:rsidR="00BA0011" w:rsidRDefault="00BA0011" w:rsidP="00BA2D09">
      <w:pPr>
        <w:pStyle w:val="FootnoteText"/>
      </w:pPr>
      <w:r>
        <w:rPr>
          <w:rStyle w:val="FootnoteReference"/>
        </w:rPr>
        <w:footnoteRef/>
      </w:r>
      <w:r>
        <w:t xml:space="preserve"> For a brief overview of the literature, see Markus </w:t>
      </w:r>
      <w:r w:rsidRPr="00815B52">
        <w:t xml:space="preserve">Hinterleitner and </w:t>
      </w:r>
      <w:r>
        <w:t xml:space="preserve">Fritz </w:t>
      </w:r>
      <w:r w:rsidRPr="00815B52">
        <w:t>Sager</w:t>
      </w:r>
      <w:r>
        <w:t>,</w:t>
      </w:r>
      <w:r w:rsidRPr="00815B52">
        <w:t xml:space="preserve"> </w:t>
      </w:r>
      <w:r w:rsidR="00BA4366">
        <w:t>‘</w:t>
      </w:r>
      <w:r w:rsidRPr="00815B52">
        <w:t xml:space="preserve">Anticipatory and Reactive </w:t>
      </w:r>
      <w:r w:rsidR="009167C9" w:rsidRPr="00815B52">
        <w:t xml:space="preserve">Forms </w:t>
      </w:r>
      <w:r w:rsidRPr="00815B52">
        <w:t>of Blame Avoidance: Of Foxes and Lions</w:t>
      </w:r>
      <w:r w:rsidR="00BA4366">
        <w:t>’</w:t>
      </w:r>
      <w:r w:rsidRPr="00815B52">
        <w:t xml:space="preserve"> (2017) 9(4)</w:t>
      </w:r>
      <w:r w:rsidR="009167C9" w:rsidRPr="009167C9">
        <w:t xml:space="preserve"> </w:t>
      </w:r>
      <w:r w:rsidR="009167C9" w:rsidRPr="00BA2D09">
        <w:t>European Political Science Review</w:t>
      </w:r>
      <w:r w:rsidRPr="00815B52">
        <w:t xml:space="preserve"> 587</w:t>
      </w:r>
      <w:r>
        <w:t>, 590.</w:t>
      </w:r>
    </w:p>
  </w:footnote>
  <w:footnote w:id="12">
    <w:p w14:paraId="04614387" w14:textId="5055AC93" w:rsidR="00CE16D4" w:rsidRDefault="00CE16D4" w:rsidP="00BA2D09">
      <w:pPr>
        <w:pStyle w:val="FootnoteText"/>
      </w:pPr>
      <w:r>
        <w:rPr>
          <w:rStyle w:val="FootnoteReference"/>
          <w:rFonts w:eastAsiaTheme="majorEastAsia"/>
        </w:rPr>
        <w:footnoteRef/>
      </w:r>
      <w:r>
        <w:t xml:space="preserve"> Researchers in this space have been talking of a </w:t>
      </w:r>
      <w:r w:rsidR="00BA4366">
        <w:t>‘</w:t>
      </w:r>
      <w:r>
        <w:t>reflexive turn</w:t>
      </w:r>
      <w:r w:rsidR="00BA4366">
        <w:t>’</w:t>
      </w:r>
      <w:r>
        <w:t xml:space="preserve"> in discrimination for over a decade now. For an early reference, see Simon Deakin and Colm McLaughlin, </w:t>
      </w:r>
      <w:r w:rsidR="00BA4366">
        <w:t>‘</w:t>
      </w:r>
      <w:r>
        <w:t xml:space="preserve">The </w:t>
      </w:r>
      <w:r w:rsidR="009167C9">
        <w:t xml:space="preserve">Regulation </w:t>
      </w:r>
      <w:r>
        <w:t xml:space="preserve">of </w:t>
      </w:r>
      <w:r w:rsidR="009167C9">
        <w:t xml:space="preserve">Women’s Pay: From Individual Rights </w:t>
      </w:r>
      <w:r>
        <w:t xml:space="preserve">to </w:t>
      </w:r>
      <w:r w:rsidR="009167C9">
        <w:t>Reflexive Law</w:t>
      </w:r>
      <w:r>
        <w:t>?</w:t>
      </w:r>
      <w:r w:rsidR="00BA4366">
        <w:t>’</w:t>
      </w:r>
      <w:r>
        <w:t xml:space="preserve"> in, J</w:t>
      </w:r>
      <w:r w:rsidR="009167C9" w:rsidRPr="009167C9">
        <w:t xml:space="preserve"> </w:t>
      </w:r>
      <w:r w:rsidR="009167C9">
        <w:t>Scott</w:t>
      </w:r>
      <w:r>
        <w:t>, S</w:t>
      </w:r>
      <w:r w:rsidR="009167C9" w:rsidRPr="009167C9">
        <w:t xml:space="preserve"> </w:t>
      </w:r>
      <w:r w:rsidR="009167C9">
        <w:t>Dex and</w:t>
      </w:r>
      <w:r>
        <w:t xml:space="preserve"> H</w:t>
      </w:r>
      <w:r w:rsidR="009167C9" w:rsidRPr="009167C9">
        <w:t xml:space="preserve"> </w:t>
      </w:r>
      <w:r w:rsidR="009167C9">
        <w:t>Joshi</w:t>
      </w:r>
      <w:r>
        <w:t xml:space="preserve"> (eds)</w:t>
      </w:r>
      <w:r w:rsidR="009167C9">
        <w:t>,</w:t>
      </w:r>
      <w:r>
        <w:t xml:space="preserve"> </w:t>
      </w:r>
      <w:r w:rsidRPr="00386AFE">
        <w:rPr>
          <w:i/>
          <w:iCs/>
        </w:rPr>
        <w:t>Women and Employment</w:t>
      </w:r>
      <w:r>
        <w:rPr>
          <w:i/>
          <w:iCs/>
        </w:rPr>
        <w:t>:</w:t>
      </w:r>
      <w:r w:rsidRPr="00386AFE">
        <w:rPr>
          <w:i/>
          <w:iCs/>
        </w:rPr>
        <w:t xml:space="preserve"> Changing Lives and New Challenges</w:t>
      </w:r>
      <w:r>
        <w:t xml:space="preserve"> (Edward Elgar 2008) 326. The term becomes more widespread after the passing of the Equality Act 2010, see </w:t>
      </w:r>
      <w:r w:rsidRPr="00A771F5">
        <w:t>Manfredi, Vickers and Clayton-Hathway (</w:t>
      </w:r>
      <w:r w:rsidR="00892AA0">
        <w:t>n 6</w:t>
      </w:r>
      <w:r w:rsidRPr="00A771F5">
        <w:t>)</w:t>
      </w:r>
      <w:r>
        <w:t>.</w:t>
      </w:r>
    </w:p>
  </w:footnote>
  <w:footnote w:id="13">
    <w:p w14:paraId="2268503C" w14:textId="272192BE" w:rsidR="00CE16D4" w:rsidRDefault="00CE16D4" w:rsidP="00CE16D4">
      <w:pPr>
        <w:pStyle w:val="FootnoteText"/>
      </w:pPr>
      <w:r>
        <w:rPr>
          <w:rStyle w:val="FootnoteReference"/>
        </w:rPr>
        <w:footnoteRef/>
      </w:r>
      <w:r>
        <w:t xml:space="preserve"> Bob Hepple, </w:t>
      </w:r>
      <w:r w:rsidR="00BA4366">
        <w:t>‘</w:t>
      </w:r>
      <w:r>
        <w:t>The New Single Equality Act in Britain</w:t>
      </w:r>
      <w:r w:rsidR="00BA4366">
        <w:t>’</w:t>
      </w:r>
      <w:r>
        <w:t xml:space="preserve"> (2010) 5 </w:t>
      </w:r>
      <w:r w:rsidRPr="00BA2D09">
        <w:t>The Equal Rights Review</w:t>
      </w:r>
      <w:r>
        <w:rPr>
          <w:i/>
          <w:iCs/>
        </w:rPr>
        <w:t xml:space="preserve"> </w:t>
      </w:r>
      <w:r>
        <w:t>11.</w:t>
      </w:r>
    </w:p>
  </w:footnote>
  <w:footnote w:id="14">
    <w:p w14:paraId="16DADE7F" w14:textId="01CA56BA" w:rsidR="00CE16D4" w:rsidRDefault="00CE16D4" w:rsidP="00CE16D4">
      <w:pPr>
        <w:pStyle w:val="FootnoteText"/>
      </w:pPr>
      <w:r>
        <w:rPr>
          <w:rStyle w:val="FootnoteReference"/>
        </w:rPr>
        <w:footnoteRef/>
      </w:r>
      <w:r>
        <w:t xml:space="preserve"> </w:t>
      </w:r>
      <w:r w:rsidRPr="003C6A88">
        <w:t xml:space="preserve">Christopher McCrudden, </w:t>
      </w:r>
      <w:r w:rsidR="00BA4366">
        <w:t>‘</w:t>
      </w:r>
      <w:r w:rsidRPr="003C6A88">
        <w:t>Mainstreaming Equality in the Governance of Northern Ireland</w:t>
      </w:r>
      <w:r w:rsidR="00BA4366">
        <w:t>’</w:t>
      </w:r>
      <w:r>
        <w:t xml:space="preserve"> (1999) </w:t>
      </w:r>
      <w:r w:rsidRPr="003C6A88">
        <w:t>22 Fordham Int</w:t>
      </w:r>
      <w:r w:rsidR="00BA4366">
        <w:t>’</w:t>
      </w:r>
      <w:r w:rsidRPr="003C6A88">
        <w:t>l LJ 1696</w:t>
      </w:r>
      <w:r>
        <w:t>, 1698.</w:t>
      </w:r>
    </w:p>
  </w:footnote>
  <w:footnote w:id="15">
    <w:p w14:paraId="659679AA" w14:textId="6FDE7776" w:rsidR="00CE16D4" w:rsidRDefault="00CE16D4" w:rsidP="00CE16D4">
      <w:pPr>
        <w:pStyle w:val="FootnoteText"/>
      </w:pPr>
      <w:r>
        <w:rPr>
          <w:rStyle w:val="FootnoteReference"/>
        </w:rPr>
        <w:footnoteRef/>
      </w:r>
      <w:r>
        <w:t xml:space="preserve"> Such as its application to work spearheaded by McCrudden on the integration of equality considerations into procurement decision</w:t>
      </w:r>
      <w:r w:rsidR="009167C9">
        <w:t xml:space="preserve"> </w:t>
      </w:r>
      <w:r>
        <w:t xml:space="preserve">making. See </w:t>
      </w:r>
      <w:r w:rsidRPr="009167C9">
        <w:t>Equality and Human Rights Commission</w:t>
      </w:r>
      <w:r w:rsidR="009167C9" w:rsidRPr="009167C9">
        <w:t>,</w:t>
      </w:r>
      <w:r w:rsidRPr="009167C9">
        <w:t xml:space="preserve"> </w:t>
      </w:r>
      <w:r w:rsidR="009167C9">
        <w:t>‘</w:t>
      </w:r>
      <w:r w:rsidRPr="00BA2D09">
        <w:t xml:space="preserve">Buying </w:t>
      </w:r>
      <w:r w:rsidR="009167C9" w:rsidRPr="009167C9">
        <w:t>Better Outcomes</w:t>
      </w:r>
      <w:r w:rsidR="009167C9" w:rsidRPr="00BA2D09">
        <w:t xml:space="preserve">: </w:t>
      </w:r>
      <w:r w:rsidRPr="00BA2D09">
        <w:t xml:space="preserve">Mainstreaming </w:t>
      </w:r>
      <w:r w:rsidR="009167C9" w:rsidRPr="009167C9">
        <w:t>Equality Considerations</w:t>
      </w:r>
      <w:r w:rsidR="009167C9" w:rsidRPr="00BA2D09">
        <w:t xml:space="preserve"> </w:t>
      </w:r>
      <w:r w:rsidRPr="00BA2D09">
        <w:t xml:space="preserve">in </w:t>
      </w:r>
      <w:r w:rsidR="009167C9" w:rsidRPr="009167C9">
        <w:t>Procurement</w:t>
      </w:r>
      <w:r w:rsidR="009167C9">
        <w:t>’ (</w:t>
      </w:r>
      <w:r>
        <w:t>EHRC</w:t>
      </w:r>
      <w:r w:rsidR="009167C9">
        <w:t xml:space="preserve"> 2013)</w:t>
      </w:r>
      <w:r>
        <w:t>.</w:t>
      </w:r>
    </w:p>
  </w:footnote>
  <w:footnote w:id="16">
    <w:p w14:paraId="58C64C31" w14:textId="46E2ABDE" w:rsidR="00CE16D4" w:rsidRPr="00C862BC" w:rsidRDefault="00CE16D4" w:rsidP="00CE16D4">
      <w:pPr>
        <w:pStyle w:val="FootnoteText"/>
      </w:pPr>
      <w:r>
        <w:rPr>
          <w:rStyle w:val="FootnoteReference"/>
        </w:rPr>
        <w:footnoteRef/>
      </w:r>
      <w:r>
        <w:t xml:space="preserve"> See </w:t>
      </w:r>
      <w:r w:rsidRPr="003C6A88">
        <w:t>McCrudden</w:t>
      </w:r>
      <w:r>
        <w:t xml:space="preserve"> (</w:t>
      </w:r>
      <w:r w:rsidR="00892AA0">
        <w:t>n 9</w:t>
      </w:r>
      <w:r>
        <w:t xml:space="preserve">) 264, characterising elements of the </w:t>
      </w:r>
      <w:r w:rsidR="00BA4366">
        <w:t>‘</w:t>
      </w:r>
      <w:r>
        <w:t>mainstreaming equality</w:t>
      </w:r>
      <w:r w:rsidR="00BA4366">
        <w:t>’</w:t>
      </w:r>
      <w:r>
        <w:t xml:space="preserve"> agenda in Northern Ireland as examples. See also Sandra Fredman, </w:t>
      </w:r>
      <w:r w:rsidR="00BA4366">
        <w:t>‘</w:t>
      </w:r>
      <w:r w:rsidRPr="008F4DB6">
        <w:t>Breaking the Mold: Equality as a Proactive Duty</w:t>
      </w:r>
      <w:r w:rsidR="00BA4366">
        <w:t>’</w:t>
      </w:r>
      <w:r>
        <w:t xml:space="preserve"> (2012) 60(1) </w:t>
      </w:r>
      <w:r w:rsidRPr="009167C9">
        <w:t>Am</w:t>
      </w:r>
      <w:r w:rsidR="009167C9">
        <w:t xml:space="preserve"> </w:t>
      </w:r>
      <w:r w:rsidRPr="009167C9">
        <w:t>J</w:t>
      </w:r>
      <w:r w:rsidR="009167C9">
        <w:t xml:space="preserve"> </w:t>
      </w:r>
      <w:r w:rsidRPr="009167C9">
        <w:t>Comp</w:t>
      </w:r>
      <w:r w:rsidR="009167C9">
        <w:t xml:space="preserve"> </w:t>
      </w:r>
      <w:r w:rsidRPr="009167C9">
        <w:t>L</w:t>
      </w:r>
      <w:r w:rsidR="009167C9">
        <w:t xml:space="preserve"> </w:t>
      </w:r>
      <w:r>
        <w:t>265, 267, 272 and 276.</w:t>
      </w:r>
    </w:p>
  </w:footnote>
  <w:footnote w:id="17">
    <w:p w14:paraId="4A65E10C" w14:textId="7EBD433F" w:rsidR="00CE16D4" w:rsidRDefault="00CE16D4" w:rsidP="00CE16D4">
      <w:pPr>
        <w:pStyle w:val="FootnoteText"/>
      </w:pPr>
      <w:r>
        <w:rPr>
          <w:rStyle w:val="FootnoteReference"/>
        </w:rPr>
        <w:footnoteRef/>
      </w:r>
      <w:r>
        <w:t xml:space="preserve"> For </w:t>
      </w:r>
      <w:r w:rsidRPr="008A6164">
        <w:t xml:space="preserve">examples, </w:t>
      </w:r>
      <w:r w:rsidRPr="006D3C5B">
        <w:t xml:space="preserve">see Feindt and Weiland (n </w:t>
      </w:r>
      <w:r w:rsidR="00576A7D">
        <w:t>10</w:t>
      </w:r>
      <w:r w:rsidR="00A31C5B" w:rsidRPr="006D3C5B">
        <w:t>)</w:t>
      </w:r>
      <w:r w:rsidR="009167C9">
        <w:t>;</w:t>
      </w:r>
      <w:r w:rsidRPr="006D3C5B">
        <w:t xml:space="preserve"> Rogowski (n </w:t>
      </w:r>
      <w:r w:rsidR="00576A7D">
        <w:t>10</w:t>
      </w:r>
      <w:r w:rsidR="00A31C5B" w:rsidRPr="006D3C5B">
        <w:t>)</w:t>
      </w:r>
      <w:r w:rsidR="009167C9">
        <w:t>;</w:t>
      </w:r>
      <w:r w:rsidRPr="006D3C5B">
        <w:t xml:space="preserve"> Tristan Cummings, </w:t>
      </w:r>
      <w:r w:rsidR="00BA4366">
        <w:t>‘</w:t>
      </w:r>
      <w:r w:rsidRPr="006D3C5B">
        <w:t xml:space="preserve">Utilizing Systems Theory Insights and Reflexive Law to Negotiate the </w:t>
      </w:r>
      <w:r w:rsidR="009167C9">
        <w:t>“</w:t>
      </w:r>
      <w:r w:rsidRPr="006D3C5B">
        <w:t>Collision between</w:t>
      </w:r>
      <w:r w:rsidR="009167C9">
        <w:t xml:space="preserve"> …</w:t>
      </w:r>
      <w:r w:rsidRPr="006D3C5B">
        <w:t xml:space="preserve"> Un-connecting Worlds</w:t>
      </w:r>
      <w:r w:rsidR="009167C9">
        <w:t>”</w:t>
      </w:r>
      <w:r w:rsidRPr="006D3C5B">
        <w:t xml:space="preserve"> in Family Law</w:t>
      </w:r>
      <w:r w:rsidR="00BA4366">
        <w:t>’</w:t>
      </w:r>
      <w:r w:rsidRPr="006D3C5B">
        <w:t xml:space="preserve"> (2021) 9 </w:t>
      </w:r>
      <w:r w:rsidRPr="00BA2D09">
        <w:t>Journal of Law, Religion and State</w:t>
      </w:r>
      <w:r w:rsidRPr="006D3C5B">
        <w:t xml:space="preserve"> 212</w:t>
      </w:r>
      <w:r w:rsidR="009167C9">
        <w:t>;</w:t>
      </w:r>
      <w:r w:rsidRPr="006D3C5B">
        <w:t xml:space="preserve"> </w:t>
      </w:r>
      <w:r w:rsidRPr="006D3C5B">
        <w:rPr>
          <w:rFonts w:asciiTheme="majorBidi" w:hAnsiTheme="majorBidi" w:cstheme="majorBidi"/>
        </w:rPr>
        <w:t xml:space="preserve">Parker </w:t>
      </w:r>
      <w:r w:rsidRPr="006D3C5B">
        <w:t xml:space="preserve">(n </w:t>
      </w:r>
      <w:r w:rsidR="00576A7D">
        <w:t>10</w:t>
      </w:r>
      <w:r w:rsidR="00A31C5B" w:rsidRPr="006D3C5B">
        <w:t>)</w:t>
      </w:r>
      <w:r w:rsidRPr="006D3C5B">
        <w:t>.</w:t>
      </w:r>
    </w:p>
  </w:footnote>
  <w:footnote w:id="18">
    <w:p w14:paraId="41775CC1" w14:textId="6CF5E38D" w:rsidR="00CE16D4" w:rsidRPr="009B31E7"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9B31E7">
        <w:rPr>
          <w:rFonts w:asciiTheme="majorBidi" w:hAnsiTheme="majorBidi" w:cstheme="majorBidi"/>
        </w:rPr>
        <w:t xml:space="preserve"> </w:t>
      </w:r>
      <w:r w:rsidR="009B31E7">
        <w:rPr>
          <w:rFonts w:asciiTheme="majorBidi" w:hAnsiTheme="majorBidi" w:cstheme="majorBidi"/>
        </w:rPr>
        <w:t xml:space="preserve">See Paterson’s discussion of Teubner’s formative work in this area in </w:t>
      </w:r>
      <w:r w:rsidR="0093021E" w:rsidRPr="009B31E7">
        <w:rPr>
          <w:rFonts w:asciiTheme="majorBidi" w:hAnsiTheme="majorBidi" w:cstheme="majorBidi"/>
        </w:rPr>
        <w:t xml:space="preserve">John Beattie Paterson, </w:t>
      </w:r>
      <w:r w:rsidR="00BA4366" w:rsidRPr="009B31E7">
        <w:rPr>
          <w:rFonts w:asciiTheme="majorBidi" w:hAnsiTheme="majorBidi" w:cstheme="majorBidi"/>
        </w:rPr>
        <w:t>‘</w:t>
      </w:r>
      <w:r w:rsidR="0093021E" w:rsidRPr="009B31E7">
        <w:rPr>
          <w:rFonts w:asciiTheme="majorBidi" w:hAnsiTheme="majorBidi" w:cstheme="majorBidi"/>
        </w:rPr>
        <w:t>Reflecting on Reflexive Law</w:t>
      </w:r>
      <w:r w:rsidR="00BA4366" w:rsidRPr="009B31E7">
        <w:rPr>
          <w:rFonts w:asciiTheme="majorBidi" w:hAnsiTheme="majorBidi" w:cstheme="majorBidi"/>
        </w:rPr>
        <w:t>’</w:t>
      </w:r>
      <w:r w:rsidR="0093021E" w:rsidRPr="009B31E7">
        <w:rPr>
          <w:rFonts w:asciiTheme="majorBidi" w:hAnsiTheme="majorBidi" w:cstheme="majorBidi"/>
        </w:rPr>
        <w:t xml:space="preserve"> in Michael King and Chris Thornhill (eds), </w:t>
      </w:r>
      <w:r w:rsidR="0093021E" w:rsidRPr="009B31E7">
        <w:rPr>
          <w:rFonts w:asciiTheme="majorBidi" w:hAnsiTheme="majorBidi"/>
          <w:i/>
        </w:rPr>
        <w:t>Luhmann on Politics and Law: Critical Appraisals and Applications</w:t>
      </w:r>
      <w:r w:rsidR="0093021E" w:rsidRPr="009B31E7">
        <w:rPr>
          <w:rFonts w:asciiTheme="majorBidi" w:hAnsiTheme="majorBidi" w:cstheme="majorBidi"/>
        </w:rPr>
        <w:t xml:space="preserve"> (Hart Publishing 2006) </w:t>
      </w:r>
      <w:r w:rsidRPr="009B31E7">
        <w:rPr>
          <w:rFonts w:asciiTheme="majorBidi" w:hAnsiTheme="majorBidi" w:cstheme="majorBidi"/>
        </w:rPr>
        <w:t>23.</w:t>
      </w:r>
    </w:p>
  </w:footnote>
  <w:footnote w:id="19">
    <w:p w14:paraId="1B2E3853" w14:textId="24EB735A" w:rsidR="00CE16D4" w:rsidRPr="009B31E7"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9B31E7">
        <w:rPr>
          <w:rFonts w:asciiTheme="majorBidi" w:hAnsiTheme="majorBidi" w:cstheme="majorBidi"/>
        </w:rPr>
        <w:t xml:space="preserve"> </w:t>
      </w:r>
      <w:r w:rsidR="009167C9" w:rsidRPr="00BA2D09">
        <w:t>Manfredi</w:t>
      </w:r>
      <w:r w:rsidR="009167C9" w:rsidRPr="00A771F5">
        <w:t>, Vickers and Clayton-Hathway</w:t>
      </w:r>
      <w:r w:rsidR="009167C9" w:rsidRPr="00BA2D09">
        <w:t xml:space="preserve"> (n </w:t>
      </w:r>
      <w:r w:rsidR="009167C9">
        <w:t>6</w:t>
      </w:r>
      <w:r w:rsidR="009167C9" w:rsidRPr="00A771F5">
        <w:t>)</w:t>
      </w:r>
      <w:r w:rsidRPr="009B31E7">
        <w:rPr>
          <w:rFonts w:asciiTheme="majorBidi" w:hAnsiTheme="majorBidi" w:cstheme="majorBidi"/>
        </w:rPr>
        <w:t xml:space="preserve"> 371.</w:t>
      </w:r>
    </w:p>
  </w:footnote>
  <w:footnote w:id="20">
    <w:p w14:paraId="57338452" w14:textId="03E12165"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Pr>
          <w:rFonts w:asciiTheme="majorBidi" w:hAnsiTheme="majorBidi" w:cstheme="majorBidi"/>
        </w:rPr>
        <w:t>Patterson (</w:t>
      </w:r>
      <w:r w:rsidR="00070648">
        <w:rPr>
          <w:rFonts w:asciiTheme="majorBidi" w:hAnsiTheme="majorBidi" w:cstheme="majorBidi"/>
        </w:rPr>
        <w:t xml:space="preserve">n </w:t>
      </w:r>
      <w:r w:rsidR="00576A7D">
        <w:rPr>
          <w:rFonts w:asciiTheme="majorBidi" w:hAnsiTheme="majorBidi" w:cstheme="majorBidi"/>
        </w:rPr>
        <w:t>18</w:t>
      </w:r>
      <w:r w:rsidR="00A31C5B">
        <w:rPr>
          <w:rFonts w:asciiTheme="majorBidi" w:hAnsiTheme="majorBidi" w:cstheme="majorBidi"/>
        </w:rPr>
        <w:t>)</w:t>
      </w:r>
      <w:r w:rsidRPr="003D42DF">
        <w:rPr>
          <w:rFonts w:asciiTheme="majorBidi" w:hAnsiTheme="majorBidi" w:cstheme="majorBidi"/>
        </w:rPr>
        <w:t xml:space="preserve"> 30</w:t>
      </w:r>
      <w:r w:rsidR="009167C9">
        <w:rPr>
          <w:rFonts w:asciiTheme="majorBidi" w:hAnsiTheme="majorBidi" w:cstheme="majorBidi"/>
        </w:rPr>
        <w:t>–</w:t>
      </w:r>
      <w:r w:rsidRPr="003D42DF">
        <w:rPr>
          <w:rFonts w:asciiTheme="majorBidi" w:hAnsiTheme="majorBidi" w:cstheme="majorBidi"/>
        </w:rPr>
        <w:t>1.</w:t>
      </w:r>
    </w:p>
  </w:footnote>
  <w:footnote w:id="21">
    <w:p w14:paraId="6E681228" w14:textId="6ECAD8DC"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960C61">
        <w:rPr>
          <w:rFonts w:asciiTheme="majorBidi" w:hAnsiTheme="majorBidi" w:cstheme="majorBidi"/>
        </w:rPr>
        <w:t xml:space="preserve">Sandra Fredman, </w:t>
      </w:r>
      <w:r w:rsidRPr="00960C61">
        <w:rPr>
          <w:rFonts w:asciiTheme="majorBidi" w:hAnsiTheme="majorBidi" w:cstheme="majorBidi"/>
          <w:i/>
          <w:iCs/>
        </w:rPr>
        <w:t>Human Rights Transformed: Positive Rights and Positive Duties</w:t>
      </w:r>
      <w:r w:rsidRPr="00960C61">
        <w:rPr>
          <w:rFonts w:asciiTheme="majorBidi" w:hAnsiTheme="majorBidi" w:cstheme="majorBidi"/>
        </w:rPr>
        <w:t xml:space="preserve"> (</w:t>
      </w:r>
      <w:r w:rsidR="009C1C22">
        <w:rPr>
          <w:rFonts w:asciiTheme="majorBidi" w:hAnsiTheme="majorBidi" w:cstheme="majorBidi"/>
        </w:rPr>
        <w:t>OUP</w:t>
      </w:r>
      <w:r w:rsidRPr="00960C61">
        <w:rPr>
          <w:rFonts w:asciiTheme="majorBidi" w:hAnsiTheme="majorBidi" w:cstheme="majorBidi"/>
        </w:rPr>
        <w:t xml:space="preserve"> 2008) </w:t>
      </w:r>
      <w:r>
        <w:rPr>
          <w:rFonts w:asciiTheme="majorBidi" w:hAnsiTheme="majorBidi" w:cstheme="majorBidi"/>
        </w:rPr>
        <w:t>152</w:t>
      </w:r>
      <w:r w:rsidRPr="003D42DF">
        <w:rPr>
          <w:rFonts w:asciiTheme="majorBidi" w:hAnsiTheme="majorBidi" w:cstheme="majorBidi"/>
        </w:rPr>
        <w:t>.</w:t>
      </w:r>
    </w:p>
  </w:footnote>
  <w:footnote w:id="22">
    <w:p w14:paraId="298D769A" w14:textId="76EE6076"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009C1C22">
        <w:rPr>
          <w:rFonts w:asciiTheme="majorBidi" w:hAnsiTheme="majorBidi" w:cstheme="majorBidi"/>
        </w:rPr>
        <w:t>ibid</w:t>
      </w:r>
      <w:r>
        <w:rPr>
          <w:rFonts w:asciiTheme="majorBidi" w:hAnsiTheme="majorBidi" w:cstheme="majorBidi"/>
        </w:rPr>
        <w:t>.</w:t>
      </w:r>
    </w:p>
  </w:footnote>
  <w:footnote w:id="23">
    <w:p w14:paraId="330BC557" w14:textId="51ADD9A0"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1A17C7">
        <w:rPr>
          <w:rFonts w:asciiTheme="majorBidi" w:hAnsiTheme="majorBidi" w:cstheme="majorBidi"/>
        </w:rPr>
        <w:t xml:space="preserve">Neil Gunningham, </w:t>
      </w:r>
      <w:r w:rsidR="00BA4366">
        <w:rPr>
          <w:rFonts w:asciiTheme="majorBidi" w:hAnsiTheme="majorBidi" w:cstheme="majorBidi"/>
        </w:rPr>
        <w:t>‘</w:t>
      </w:r>
      <w:r w:rsidRPr="001A17C7">
        <w:rPr>
          <w:rFonts w:asciiTheme="majorBidi" w:hAnsiTheme="majorBidi" w:cstheme="majorBidi"/>
        </w:rPr>
        <w:t>Regulatory Reform and Reflexive Regulation: Beyond Command and Control</w:t>
      </w:r>
      <w:r w:rsidR="00BA4366">
        <w:rPr>
          <w:rFonts w:asciiTheme="majorBidi" w:hAnsiTheme="majorBidi" w:cstheme="majorBidi"/>
        </w:rPr>
        <w:t>’</w:t>
      </w:r>
      <w:r w:rsidRPr="001A17C7">
        <w:rPr>
          <w:rFonts w:asciiTheme="majorBidi" w:hAnsiTheme="majorBidi" w:cstheme="majorBidi"/>
        </w:rPr>
        <w:t xml:space="preserve"> in Eric Brousseau, Tom Dedeurwaerdere and Bernd </w:t>
      </w:r>
      <w:proofErr w:type="spellStart"/>
      <w:r w:rsidRPr="001A17C7">
        <w:rPr>
          <w:rFonts w:asciiTheme="majorBidi" w:hAnsiTheme="majorBidi" w:cstheme="majorBidi"/>
        </w:rPr>
        <w:t>Siebenhüner</w:t>
      </w:r>
      <w:proofErr w:type="spellEnd"/>
      <w:r w:rsidRPr="001A17C7">
        <w:rPr>
          <w:rFonts w:asciiTheme="majorBidi" w:hAnsiTheme="majorBidi" w:cstheme="majorBidi"/>
        </w:rPr>
        <w:t xml:space="preserve"> (eds), </w:t>
      </w:r>
      <w:r w:rsidRPr="001A17C7">
        <w:rPr>
          <w:rFonts w:asciiTheme="majorBidi" w:hAnsiTheme="majorBidi" w:cstheme="majorBidi"/>
          <w:i/>
          <w:iCs/>
        </w:rPr>
        <w:t>Reflexive Governance for Global Public Goods</w:t>
      </w:r>
      <w:r w:rsidRPr="001A17C7">
        <w:rPr>
          <w:rFonts w:asciiTheme="majorBidi" w:hAnsiTheme="majorBidi" w:cstheme="majorBidi"/>
        </w:rPr>
        <w:t xml:space="preserve"> (MIT Press </w:t>
      </w:r>
      <w:r>
        <w:rPr>
          <w:rFonts w:asciiTheme="majorBidi" w:hAnsiTheme="majorBidi" w:cstheme="majorBidi"/>
        </w:rPr>
        <w:t>2012</w:t>
      </w:r>
      <w:r w:rsidRPr="001A17C7">
        <w:rPr>
          <w:rFonts w:asciiTheme="majorBidi" w:hAnsiTheme="majorBidi" w:cstheme="majorBidi"/>
        </w:rPr>
        <w:t xml:space="preserve">) </w:t>
      </w:r>
      <w:r w:rsidRPr="003D42DF">
        <w:rPr>
          <w:rFonts w:asciiTheme="majorBidi" w:hAnsiTheme="majorBidi" w:cstheme="majorBidi"/>
        </w:rPr>
        <w:t>87</w:t>
      </w:r>
      <w:r w:rsidR="009C1C22">
        <w:rPr>
          <w:rFonts w:asciiTheme="majorBidi" w:hAnsiTheme="majorBidi" w:cstheme="majorBidi"/>
        </w:rPr>
        <w:t>–</w:t>
      </w:r>
      <w:r w:rsidRPr="003D42DF">
        <w:rPr>
          <w:rFonts w:asciiTheme="majorBidi" w:hAnsiTheme="majorBidi" w:cstheme="majorBidi"/>
        </w:rPr>
        <w:t>8.</w:t>
      </w:r>
    </w:p>
  </w:footnote>
  <w:footnote w:id="24">
    <w:p w14:paraId="659E7AD0" w14:textId="59BD58B6"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B82593">
        <w:rPr>
          <w:rFonts w:asciiTheme="majorBidi" w:hAnsiTheme="majorBidi" w:cstheme="majorBidi"/>
        </w:rPr>
        <w:t xml:space="preserve">Michael Dorf, </w:t>
      </w:r>
      <w:r w:rsidR="00BA4366">
        <w:rPr>
          <w:rFonts w:asciiTheme="majorBidi" w:hAnsiTheme="majorBidi" w:cstheme="majorBidi"/>
        </w:rPr>
        <w:t>‘</w:t>
      </w:r>
      <w:r w:rsidRPr="00B82593">
        <w:rPr>
          <w:rFonts w:asciiTheme="majorBidi" w:hAnsiTheme="majorBidi" w:cstheme="majorBidi"/>
        </w:rPr>
        <w:t>The Domain of Reflexive Law</w:t>
      </w:r>
      <w:r w:rsidR="00BA4366">
        <w:rPr>
          <w:rFonts w:asciiTheme="majorBidi" w:hAnsiTheme="majorBidi" w:cstheme="majorBidi"/>
        </w:rPr>
        <w:t>’</w:t>
      </w:r>
      <w:r w:rsidRPr="00B82593">
        <w:rPr>
          <w:rFonts w:asciiTheme="majorBidi" w:hAnsiTheme="majorBidi" w:cstheme="majorBidi"/>
        </w:rPr>
        <w:t xml:space="preserve"> (2003) 103 </w:t>
      </w:r>
      <w:r w:rsidRPr="009C1C22">
        <w:t>Colum</w:t>
      </w:r>
      <w:r w:rsidR="009C1C22">
        <w:t xml:space="preserve"> </w:t>
      </w:r>
      <w:r w:rsidRPr="009C1C22">
        <w:t>L</w:t>
      </w:r>
      <w:r w:rsidR="009C1C22">
        <w:t xml:space="preserve"> </w:t>
      </w:r>
      <w:r w:rsidRPr="009C1C22">
        <w:t>Rev</w:t>
      </w:r>
      <w:r w:rsidR="009C1C22" w:rsidRPr="00BA2D09">
        <w:t xml:space="preserve"> </w:t>
      </w:r>
      <w:r w:rsidRPr="00B82593">
        <w:rPr>
          <w:rFonts w:asciiTheme="majorBidi" w:hAnsiTheme="majorBidi" w:cstheme="majorBidi"/>
        </w:rPr>
        <w:t>384</w:t>
      </w:r>
      <w:r>
        <w:rPr>
          <w:rFonts w:asciiTheme="majorBidi" w:hAnsiTheme="majorBidi" w:cstheme="majorBidi"/>
        </w:rPr>
        <w:t>.</w:t>
      </w:r>
    </w:p>
  </w:footnote>
  <w:footnote w:id="25">
    <w:p w14:paraId="0BDA6019" w14:textId="50011183"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009C1C22">
        <w:rPr>
          <w:rFonts w:asciiTheme="majorBidi" w:hAnsiTheme="majorBidi" w:cstheme="majorBidi"/>
        </w:rPr>
        <w:t>ibid</w:t>
      </w:r>
      <w:r>
        <w:rPr>
          <w:rFonts w:asciiTheme="majorBidi" w:hAnsiTheme="majorBidi" w:cstheme="majorBidi"/>
        </w:rPr>
        <w:t>.</w:t>
      </w:r>
    </w:p>
  </w:footnote>
  <w:footnote w:id="26">
    <w:p w14:paraId="53A54D16" w14:textId="672294DD"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For an accessible overview </w:t>
      </w:r>
      <w:r>
        <w:rPr>
          <w:rFonts w:asciiTheme="majorBidi" w:hAnsiTheme="majorBidi" w:cstheme="majorBidi"/>
        </w:rPr>
        <w:t xml:space="preserve">of features of reflexive law </w:t>
      </w:r>
      <w:r w:rsidRPr="003D42DF">
        <w:rPr>
          <w:rFonts w:asciiTheme="majorBidi" w:hAnsiTheme="majorBidi" w:cstheme="majorBidi"/>
        </w:rPr>
        <w:t>from a protagonist in the debate, see</w:t>
      </w:r>
      <w:r>
        <w:rPr>
          <w:rFonts w:asciiTheme="majorBidi" w:hAnsiTheme="majorBidi" w:cstheme="majorBidi"/>
        </w:rPr>
        <w:t xml:space="preserve"> Patterson (n </w:t>
      </w:r>
      <w:r w:rsidR="00576A7D">
        <w:rPr>
          <w:rFonts w:asciiTheme="majorBidi" w:hAnsiTheme="majorBidi" w:cstheme="majorBidi"/>
        </w:rPr>
        <w:t>18</w:t>
      </w:r>
      <w:r w:rsidR="00A31C5B">
        <w:rPr>
          <w:rFonts w:asciiTheme="majorBidi" w:hAnsiTheme="majorBidi" w:cstheme="majorBidi"/>
        </w:rPr>
        <w:t>)</w:t>
      </w:r>
      <w:r>
        <w:rPr>
          <w:rFonts w:asciiTheme="majorBidi" w:hAnsiTheme="majorBidi" w:cstheme="majorBidi"/>
        </w:rPr>
        <w:t>.</w:t>
      </w:r>
    </w:p>
  </w:footnote>
  <w:footnote w:id="27">
    <w:p w14:paraId="078B3311" w14:textId="40A7A81E"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McCrudden</w:t>
      </w:r>
      <w:r>
        <w:rPr>
          <w:rFonts w:asciiTheme="majorBidi" w:hAnsiTheme="majorBidi" w:cstheme="majorBidi"/>
        </w:rPr>
        <w:t xml:space="preserve"> (n </w:t>
      </w:r>
      <w:r w:rsidR="00576A7D">
        <w:rPr>
          <w:rFonts w:asciiTheme="majorBidi" w:hAnsiTheme="majorBidi" w:cstheme="majorBidi"/>
        </w:rPr>
        <w:t>9</w:t>
      </w:r>
      <w:r w:rsidR="00A31C5B">
        <w:rPr>
          <w:rFonts w:asciiTheme="majorBidi" w:hAnsiTheme="majorBidi" w:cstheme="majorBidi"/>
        </w:rPr>
        <w:t>)</w:t>
      </w:r>
      <w:r>
        <w:rPr>
          <w:rFonts w:asciiTheme="majorBidi" w:hAnsiTheme="majorBidi" w:cstheme="majorBidi"/>
        </w:rPr>
        <w:t xml:space="preserve"> 259</w:t>
      </w:r>
      <w:r w:rsidRPr="003D42DF">
        <w:rPr>
          <w:rFonts w:asciiTheme="majorBidi" w:hAnsiTheme="majorBidi" w:cstheme="majorBidi"/>
        </w:rPr>
        <w:t>.</w:t>
      </w:r>
    </w:p>
  </w:footnote>
  <w:footnote w:id="28">
    <w:p w14:paraId="0232C023" w14:textId="07E6B538"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063152">
        <w:t xml:space="preserve">Catherine Barnard and Simon Deakin, </w:t>
      </w:r>
      <w:r w:rsidR="00BA4366">
        <w:t>‘</w:t>
      </w:r>
      <w:r w:rsidRPr="00063152">
        <w:t>Market Access and Regulatory Competition</w:t>
      </w:r>
      <w:r w:rsidR="00BA4366">
        <w:t>’</w:t>
      </w:r>
      <w:r w:rsidRPr="00063152">
        <w:t xml:space="preserve"> (</w:t>
      </w:r>
      <w:r w:rsidR="009C1C22" w:rsidRPr="00063152">
        <w:t xml:space="preserve">Jean Monnet Centre for International and Regional Economic Law &amp; Justice </w:t>
      </w:r>
      <w:r w:rsidRPr="00063152">
        <w:t xml:space="preserve">2001) </w:t>
      </w:r>
      <w:r w:rsidR="005329F4">
        <w:rPr>
          <w:rFonts w:eastAsiaTheme="majorEastAsia"/>
        </w:rPr>
        <w:t>&lt;https</w:t>
      </w:r>
      <w:r w:rsidRPr="00130F23">
        <w:rPr>
          <w:rFonts w:eastAsiaTheme="majorEastAsia"/>
        </w:rPr>
        <w:t>://jeanmonnetprogram.org/archive/</w:t>
      </w:r>
      <w:r w:rsidR="00BA4366" w:rsidRPr="00130F23">
        <w:rPr>
          <w:rFonts w:eastAsiaTheme="majorEastAsia"/>
        </w:rPr>
        <w:t>article</w:t>
      </w:r>
      <w:r w:rsidRPr="00130F23">
        <w:rPr>
          <w:rFonts w:eastAsiaTheme="majorEastAsia"/>
        </w:rPr>
        <w:t>s/01/012701.html</w:t>
      </w:r>
      <w:r w:rsidR="005329F4">
        <w:t>&gt; accessed</w:t>
      </w:r>
      <w:r w:rsidRPr="00063152">
        <w:t xml:space="preserve"> 5 April 2025</w:t>
      </w:r>
      <w:r>
        <w:t>.</w:t>
      </w:r>
    </w:p>
  </w:footnote>
  <w:footnote w:id="29">
    <w:p w14:paraId="7001B197" w14:textId="453FBEEC"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1A7F61">
        <w:rPr>
          <w:rFonts w:asciiTheme="majorBidi" w:hAnsiTheme="majorBidi" w:cstheme="majorBidi"/>
        </w:rPr>
        <w:t xml:space="preserve">Diamond </w:t>
      </w:r>
      <w:proofErr w:type="spellStart"/>
      <w:r w:rsidRPr="001A7F61">
        <w:rPr>
          <w:rFonts w:asciiTheme="majorBidi" w:hAnsiTheme="majorBidi" w:cstheme="majorBidi"/>
        </w:rPr>
        <w:t>Ashiagbor</w:t>
      </w:r>
      <w:proofErr w:type="spellEnd"/>
      <w:r w:rsidRPr="001A7F61">
        <w:rPr>
          <w:rFonts w:asciiTheme="majorBidi" w:hAnsiTheme="majorBidi" w:cstheme="majorBidi"/>
        </w:rPr>
        <w:t xml:space="preserve">, </w:t>
      </w:r>
      <w:r w:rsidR="00BA4366">
        <w:rPr>
          <w:rFonts w:asciiTheme="majorBidi" w:hAnsiTheme="majorBidi" w:cstheme="majorBidi"/>
        </w:rPr>
        <w:t>‘</w:t>
      </w:r>
      <w:r w:rsidRPr="001A7F61">
        <w:rPr>
          <w:rFonts w:asciiTheme="majorBidi" w:hAnsiTheme="majorBidi" w:cstheme="majorBidi"/>
        </w:rPr>
        <w:t>Evaluating the Reflexive Turn in Labour Law</w:t>
      </w:r>
      <w:r w:rsidR="00BA4366">
        <w:rPr>
          <w:rFonts w:asciiTheme="majorBidi" w:hAnsiTheme="majorBidi" w:cstheme="majorBidi"/>
        </w:rPr>
        <w:t>’</w:t>
      </w:r>
      <w:r w:rsidRPr="001A7F61">
        <w:rPr>
          <w:rFonts w:asciiTheme="majorBidi" w:hAnsiTheme="majorBidi" w:cstheme="majorBidi"/>
        </w:rPr>
        <w:t xml:space="preserve"> in Alan Bogg</w:t>
      </w:r>
      <w:r w:rsidR="009C1C22">
        <w:rPr>
          <w:rFonts w:asciiTheme="majorBidi" w:hAnsiTheme="majorBidi" w:cstheme="majorBidi"/>
        </w:rPr>
        <w:t xml:space="preserve"> and others</w:t>
      </w:r>
      <w:r w:rsidRPr="001A7F61">
        <w:rPr>
          <w:rFonts w:asciiTheme="majorBidi" w:hAnsiTheme="majorBidi" w:cstheme="majorBidi"/>
        </w:rPr>
        <w:t xml:space="preserve"> (eds), </w:t>
      </w:r>
      <w:r w:rsidRPr="00D821A3">
        <w:rPr>
          <w:rFonts w:asciiTheme="majorBidi" w:hAnsiTheme="majorBidi" w:cstheme="majorBidi"/>
          <w:i/>
          <w:iCs/>
        </w:rPr>
        <w:t>The Autonomy of Labour Law</w:t>
      </w:r>
      <w:r w:rsidRPr="001A7F61">
        <w:rPr>
          <w:rFonts w:asciiTheme="majorBidi" w:hAnsiTheme="majorBidi" w:cstheme="majorBidi"/>
        </w:rPr>
        <w:t xml:space="preserve"> (Hart Publishing 2015) 123</w:t>
      </w:r>
      <w:r w:rsidR="009C1C22">
        <w:rPr>
          <w:rFonts w:asciiTheme="majorBidi" w:hAnsiTheme="majorBidi" w:cstheme="majorBidi"/>
        </w:rPr>
        <w:t>–</w:t>
      </w:r>
      <w:r w:rsidRPr="001A7F61">
        <w:rPr>
          <w:rFonts w:asciiTheme="majorBidi" w:hAnsiTheme="majorBidi" w:cstheme="majorBidi"/>
        </w:rPr>
        <w:t>48</w:t>
      </w:r>
      <w:r>
        <w:rPr>
          <w:rFonts w:asciiTheme="majorBidi" w:hAnsiTheme="majorBidi" w:cstheme="majorBidi"/>
        </w:rPr>
        <w:t>.</w:t>
      </w:r>
    </w:p>
  </w:footnote>
  <w:footnote w:id="30">
    <w:p w14:paraId="0C06D483" w14:textId="03E9F102"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Paterson</w:t>
      </w:r>
      <w:r>
        <w:rPr>
          <w:rFonts w:asciiTheme="majorBidi" w:hAnsiTheme="majorBidi" w:cstheme="majorBidi"/>
        </w:rPr>
        <w:t xml:space="preserve"> (</w:t>
      </w:r>
      <w:r w:rsidR="00C53372">
        <w:rPr>
          <w:rFonts w:asciiTheme="majorBidi" w:hAnsiTheme="majorBidi" w:cstheme="majorBidi"/>
        </w:rPr>
        <w:t xml:space="preserve">n </w:t>
      </w:r>
      <w:r w:rsidR="00576A7D">
        <w:rPr>
          <w:rFonts w:asciiTheme="majorBidi" w:hAnsiTheme="majorBidi" w:cstheme="majorBidi"/>
        </w:rPr>
        <w:t>1</w:t>
      </w:r>
      <w:r w:rsidR="009167C9">
        <w:rPr>
          <w:rFonts w:asciiTheme="majorBidi" w:hAnsiTheme="majorBidi" w:cstheme="majorBidi"/>
        </w:rPr>
        <w:t>8</w:t>
      </w:r>
      <w:r w:rsidR="00A31C5B">
        <w:rPr>
          <w:rFonts w:asciiTheme="majorBidi" w:hAnsiTheme="majorBidi" w:cstheme="majorBidi"/>
        </w:rPr>
        <w:t>)</w:t>
      </w:r>
      <w:r w:rsidR="00C53372">
        <w:rPr>
          <w:rFonts w:asciiTheme="majorBidi" w:hAnsiTheme="majorBidi" w:cstheme="majorBidi"/>
        </w:rPr>
        <w:t xml:space="preserve"> </w:t>
      </w:r>
      <w:r w:rsidRPr="003D42DF">
        <w:rPr>
          <w:rFonts w:asciiTheme="majorBidi" w:hAnsiTheme="majorBidi" w:cstheme="majorBidi"/>
        </w:rPr>
        <w:t>29.</w:t>
      </w:r>
    </w:p>
  </w:footnote>
  <w:footnote w:id="31">
    <w:p w14:paraId="7D136A4C" w14:textId="6A1AEED7"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See Fredman</w:t>
      </w:r>
      <w:r w:rsidR="00BA4366">
        <w:rPr>
          <w:rFonts w:asciiTheme="majorBidi" w:hAnsiTheme="majorBidi" w:cstheme="majorBidi"/>
        </w:rPr>
        <w:t>’</w:t>
      </w:r>
      <w:r w:rsidRPr="003D42DF">
        <w:rPr>
          <w:rFonts w:asciiTheme="majorBidi" w:hAnsiTheme="majorBidi" w:cstheme="majorBidi"/>
        </w:rPr>
        <w:t xml:space="preserve">s introduction to the concept of reflexive law in </w:t>
      </w:r>
      <w:r w:rsidRPr="00B273EB">
        <w:t xml:space="preserve">Sandra Fredman, </w:t>
      </w:r>
      <w:r w:rsidRPr="00BA2D09">
        <w:rPr>
          <w:i/>
        </w:rPr>
        <w:t>Discrimination Law</w:t>
      </w:r>
      <w:r w:rsidRPr="00B273EB">
        <w:t xml:space="preserve"> (3rd </w:t>
      </w:r>
      <w:proofErr w:type="spellStart"/>
      <w:r w:rsidRPr="00B273EB">
        <w:t>edn</w:t>
      </w:r>
      <w:proofErr w:type="spellEnd"/>
      <w:r w:rsidRPr="00B273EB">
        <w:t xml:space="preserve">, </w:t>
      </w:r>
      <w:r w:rsidR="009C1C22">
        <w:t>OUP</w:t>
      </w:r>
      <w:r w:rsidRPr="00B273EB">
        <w:t xml:space="preserve"> 2022)</w:t>
      </w:r>
      <w:r>
        <w:t xml:space="preserve"> </w:t>
      </w:r>
      <w:r w:rsidRPr="003D42DF">
        <w:rPr>
          <w:rFonts w:asciiTheme="majorBidi" w:hAnsiTheme="majorBidi" w:cstheme="majorBidi"/>
        </w:rPr>
        <w:t>472</w:t>
      </w:r>
      <w:r w:rsidR="009C1C22">
        <w:rPr>
          <w:rFonts w:asciiTheme="majorBidi" w:hAnsiTheme="majorBidi" w:cstheme="majorBidi"/>
        </w:rPr>
        <w:t>–</w:t>
      </w:r>
      <w:r w:rsidRPr="003D42DF">
        <w:rPr>
          <w:rFonts w:asciiTheme="majorBidi" w:hAnsiTheme="majorBidi" w:cstheme="majorBidi"/>
        </w:rPr>
        <w:t>3.</w:t>
      </w:r>
      <w:r w:rsidR="005329F4">
        <w:rPr>
          <w:rFonts w:asciiTheme="majorBidi" w:hAnsiTheme="majorBidi" w:cstheme="majorBidi"/>
        </w:rPr>
        <w:t xml:space="preserve"> </w:t>
      </w:r>
    </w:p>
  </w:footnote>
  <w:footnote w:id="32">
    <w:p w14:paraId="6CE1D51A" w14:textId="07B10044" w:rsidR="00CE16D4" w:rsidRPr="00A05F6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9B31E7">
        <w:rPr>
          <w:rFonts w:asciiTheme="majorBidi" w:hAnsiTheme="majorBidi" w:cstheme="majorBidi"/>
        </w:rPr>
        <w:t xml:space="preserve"> </w:t>
      </w:r>
      <w:r w:rsidR="009167C9" w:rsidRPr="00BA2D09">
        <w:t>Manfredi</w:t>
      </w:r>
      <w:r w:rsidR="009167C9" w:rsidRPr="00A771F5">
        <w:t>, Vickers and Clayton-Hathway</w:t>
      </w:r>
      <w:r w:rsidR="009167C9" w:rsidRPr="00BA2D09">
        <w:t xml:space="preserve"> (n </w:t>
      </w:r>
      <w:r w:rsidR="009167C9">
        <w:t>6</w:t>
      </w:r>
      <w:r w:rsidR="009167C9" w:rsidRPr="00A771F5">
        <w:t>)</w:t>
      </w:r>
      <w:r w:rsidRPr="009B31E7">
        <w:rPr>
          <w:rFonts w:asciiTheme="majorBidi" w:hAnsiTheme="majorBidi" w:cstheme="majorBidi"/>
        </w:rPr>
        <w:t xml:space="preserve"> 374. </w:t>
      </w:r>
      <w:r w:rsidRPr="00A05F6F">
        <w:rPr>
          <w:rFonts w:asciiTheme="majorBidi" w:hAnsiTheme="majorBidi" w:cstheme="majorBidi"/>
        </w:rPr>
        <w:t xml:space="preserve">See also David Barrett, </w:t>
      </w:r>
      <w:r w:rsidR="00BA4366">
        <w:t>‘</w:t>
      </w:r>
      <w:r w:rsidRPr="00A05F6F">
        <w:rPr>
          <w:rFonts w:asciiTheme="majorBidi" w:hAnsiTheme="majorBidi" w:cstheme="majorBidi"/>
        </w:rPr>
        <w:t>Implementation Behaviours and a Strength</w:t>
      </w:r>
      <w:r w:rsidR="009C1C22">
        <w:rPr>
          <w:rFonts w:asciiTheme="majorBidi" w:hAnsiTheme="majorBidi" w:cstheme="majorBidi"/>
        </w:rPr>
        <w:t>-</w:t>
      </w:r>
      <w:r w:rsidRPr="00A05F6F">
        <w:rPr>
          <w:rFonts w:asciiTheme="majorBidi" w:hAnsiTheme="majorBidi" w:cstheme="majorBidi"/>
        </w:rPr>
        <w:t>Based Approach to Equality and Human Rights Implementation</w:t>
      </w:r>
      <w:r w:rsidR="00BA4366">
        <w:rPr>
          <w:rFonts w:asciiTheme="majorBidi" w:hAnsiTheme="majorBidi" w:cstheme="majorBidi"/>
        </w:rPr>
        <w:t>’</w:t>
      </w:r>
      <w:r w:rsidRPr="00A05F6F">
        <w:rPr>
          <w:rFonts w:asciiTheme="majorBidi" w:hAnsiTheme="majorBidi" w:cstheme="majorBidi"/>
        </w:rPr>
        <w:t xml:space="preserve"> (2024) 53(3) </w:t>
      </w:r>
      <w:r w:rsidR="00892AA0" w:rsidRPr="00892AA0">
        <w:rPr>
          <w:rFonts w:asciiTheme="majorBidi" w:hAnsiTheme="majorBidi" w:cstheme="majorBidi"/>
        </w:rPr>
        <w:t>ILJ</w:t>
      </w:r>
      <w:r w:rsidRPr="00A05F6F">
        <w:rPr>
          <w:rFonts w:asciiTheme="majorBidi" w:hAnsiTheme="majorBidi" w:cstheme="majorBidi"/>
          <w:i/>
          <w:iCs/>
        </w:rPr>
        <w:t xml:space="preserve"> </w:t>
      </w:r>
      <w:r w:rsidRPr="00A05F6F">
        <w:rPr>
          <w:rFonts w:asciiTheme="majorBidi" w:hAnsiTheme="majorBidi" w:cstheme="majorBidi"/>
        </w:rPr>
        <w:t>370, 373.</w:t>
      </w:r>
    </w:p>
  </w:footnote>
  <w:footnote w:id="33">
    <w:p w14:paraId="2EB92B13" w14:textId="7C3B289B" w:rsidR="00CE16D4" w:rsidRDefault="00CE16D4" w:rsidP="00CE16D4">
      <w:pPr>
        <w:pStyle w:val="FootnoteText"/>
      </w:pPr>
      <w:r>
        <w:rPr>
          <w:rStyle w:val="FootnoteReference"/>
          <w:rFonts w:eastAsiaTheme="majorEastAsia"/>
        </w:rPr>
        <w:footnoteRef/>
      </w:r>
      <w:r>
        <w:t xml:space="preserve"> </w:t>
      </w:r>
      <w:r w:rsidR="00127FED" w:rsidRPr="00D54B01">
        <w:t>Emma Lees and Ole P</w:t>
      </w:r>
      <w:r w:rsidR="00127FED" w:rsidRPr="00FE2A99">
        <w:t>eder</w:t>
      </w:r>
      <w:r w:rsidR="00127FED">
        <w:t>sen, ‘Performative Environmental Law’ (2025) 88(1) MLR 124,</w:t>
      </w:r>
      <w:r>
        <w:t xml:space="preserve"> 145.</w:t>
      </w:r>
    </w:p>
  </w:footnote>
  <w:footnote w:id="34">
    <w:p w14:paraId="10B64FA6" w14:textId="59324D78" w:rsidR="00CE16D4" w:rsidRDefault="00CE16D4" w:rsidP="00CE16D4">
      <w:pPr>
        <w:pStyle w:val="FootnoteText"/>
      </w:pPr>
      <w:r>
        <w:rPr>
          <w:rStyle w:val="FootnoteReference"/>
          <w:rFonts w:eastAsiaTheme="majorEastAsia"/>
        </w:rPr>
        <w:footnoteRef/>
      </w:r>
      <w:r>
        <w:t xml:space="preserve"> See </w:t>
      </w:r>
      <w:r w:rsidRPr="004D75A0">
        <w:rPr>
          <w:i/>
          <w:iCs/>
          <w:color w:val="000000"/>
        </w:rPr>
        <w:t xml:space="preserve">R (on the application of </w:t>
      </w:r>
      <w:proofErr w:type="spellStart"/>
      <w:r w:rsidRPr="004D75A0">
        <w:rPr>
          <w:i/>
          <w:iCs/>
          <w:color w:val="000000"/>
        </w:rPr>
        <w:t>Bracking</w:t>
      </w:r>
      <w:proofErr w:type="spellEnd"/>
      <w:r w:rsidRPr="004D75A0">
        <w:rPr>
          <w:i/>
          <w:iCs/>
          <w:color w:val="000000"/>
        </w:rPr>
        <w:t>) v Secretary of State for Work and Pensions</w:t>
      </w:r>
      <w:r>
        <w:rPr>
          <w:i/>
          <w:iCs/>
          <w:color w:val="000000"/>
        </w:rPr>
        <w:t xml:space="preserve"> </w:t>
      </w:r>
      <w:r w:rsidRPr="004D75A0">
        <w:rPr>
          <w:color w:val="000000"/>
        </w:rPr>
        <w:t xml:space="preserve">[2013] EWCA </w:t>
      </w:r>
      <w:proofErr w:type="spellStart"/>
      <w:r w:rsidRPr="004D75A0">
        <w:rPr>
          <w:color w:val="000000"/>
        </w:rPr>
        <w:t>Civ</w:t>
      </w:r>
      <w:proofErr w:type="spellEnd"/>
      <w:r w:rsidRPr="004D75A0">
        <w:rPr>
          <w:color w:val="000000"/>
        </w:rPr>
        <w:t xml:space="preserve"> 1345</w:t>
      </w:r>
      <w:r>
        <w:rPr>
          <w:color w:val="000000"/>
        </w:rPr>
        <w:t xml:space="preserve"> [25]; </w:t>
      </w:r>
      <w:r w:rsidRPr="004D75A0">
        <w:rPr>
          <w:i/>
          <w:iCs/>
          <w:color w:val="000000"/>
        </w:rPr>
        <w:t>R (on the application of Rowley) v Minister for the Cabinet Office</w:t>
      </w:r>
      <w:r>
        <w:rPr>
          <w:color w:val="000000"/>
        </w:rPr>
        <w:t xml:space="preserve"> </w:t>
      </w:r>
      <w:r w:rsidRPr="005E3826">
        <w:rPr>
          <w:color w:val="000000"/>
        </w:rPr>
        <w:t>[2021] EWHC 2108 (Admin)</w:t>
      </w:r>
      <w:r>
        <w:rPr>
          <w:color w:val="000000"/>
        </w:rPr>
        <w:t xml:space="preserve"> [38].</w:t>
      </w:r>
    </w:p>
  </w:footnote>
  <w:footnote w:id="35">
    <w:p w14:paraId="3D1A3B51" w14:textId="28EFB6DC" w:rsidR="00CE16D4" w:rsidRDefault="00CE16D4" w:rsidP="00CE16D4">
      <w:pPr>
        <w:pStyle w:val="FootnoteText"/>
      </w:pPr>
      <w:r>
        <w:rPr>
          <w:rStyle w:val="FootnoteReference"/>
          <w:rFonts w:eastAsiaTheme="majorEastAsia"/>
        </w:rPr>
        <w:footnoteRef/>
      </w:r>
      <w:r>
        <w:t xml:space="preserve"> </w:t>
      </w:r>
      <w:proofErr w:type="spellStart"/>
      <w:r w:rsidRPr="00901DB8">
        <w:rPr>
          <w:i/>
          <w:iCs/>
        </w:rPr>
        <w:t>Bracking</w:t>
      </w:r>
      <w:proofErr w:type="spellEnd"/>
      <w:r>
        <w:t xml:space="preserve"> (n </w:t>
      </w:r>
      <w:r w:rsidR="00576A7D">
        <w:t>34</w:t>
      </w:r>
      <w:r>
        <w:t>) [25].</w:t>
      </w:r>
    </w:p>
  </w:footnote>
  <w:footnote w:id="36">
    <w:p w14:paraId="32626C1E" w14:textId="497F5621" w:rsidR="00CE16D4" w:rsidRDefault="00CE16D4" w:rsidP="00CE16D4">
      <w:pPr>
        <w:pStyle w:val="FootnoteText"/>
      </w:pPr>
      <w:r>
        <w:rPr>
          <w:rStyle w:val="FootnoteReference"/>
          <w:rFonts w:eastAsiaTheme="majorEastAsia"/>
        </w:rPr>
        <w:footnoteRef/>
      </w:r>
      <w:r>
        <w:t xml:space="preserve"> </w:t>
      </w:r>
      <w:r w:rsidR="009C1C22">
        <w:t>ibid</w:t>
      </w:r>
      <w:r>
        <w:t xml:space="preserve"> [26]; </w:t>
      </w:r>
      <w:r w:rsidRPr="00FE2A99">
        <w:rPr>
          <w:i/>
          <w:iCs/>
        </w:rPr>
        <w:t>R (on the application of Aspinall, Pepper and others) v Secretary of State for Work and Pensions</w:t>
      </w:r>
      <w:r w:rsidRPr="00C50EC0">
        <w:t xml:space="preserve"> [2014] EWHC 4134 (Admin)</w:t>
      </w:r>
      <w:r>
        <w:t>.</w:t>
      </w:r>
    </w:p>
  </w:footnote>
  <w:footnote w:id="37">
    <w:p w14:paraId="04DA7EA3" w14:textId="02A4C847" w:rsidR="00CE16D4" w:rsidRDefault="00CE16D4" w:rsidP="00CE16D4">
      <w:pPr>
        <w:pStyle w:val="FootnoteText"/>
      </w:pPr>
      <w:r>
        <w:rPr>
          <w:rStyle w:val="FootnoteReference"/>
          <w:rFonts w:eastAsiaTheme="majorEastAsia"/>
        </w:rPr>
        <w:footnoteRef/>
      </w:r>
      <w:r>
        <w:t xml:space="preserve"> For a more detailed assessment of these issues, see Tom </w:t>
      </w:r>
      <w:r w:rsidRPr="003E6A66">
        <w:t xml:space="preserve">Hickman, </w:t>
      </w:r>
      <w:r w:rsidR="00BA4366">
        <w:t>‘</w:t>
      </w:r>
      <w:r w:rsidRPr="003E6A66">
        <w:t>Too Hot, Too Cold or Just Right?: The Development of the Public Sector Equality Duties in Administrative Law</w:t>
      </w:r>
      <w:r w:rsidR="00BA4366">
        <w:t>’</w:t>
      </w:r>
      <w:r>
        <w:t xml:space="preserve"> (</w:t>
      </w:r>
      <w:r w:rsidRPr="003E6A66">
        <w:t>2013</w:t>
      </w:r>
      <w:r>
        <w:t>) 2</w:t>
      </w:r>
      <w:r w:rsidRPr="003E6A66">
        <w:t xml:space="preserve"> </w:t>
      </w:r>
      <w:r w:rsidR="009C1C22">
        <w:t>PL</w:t>
      </w:r>
      <w:r w:rsidRPr="003E6A66">
        <w:t xml:space="preserve"> 325.</w:t>
      </w:r>
    </w:p>
  </w:footnote>
  <w:footnote w:id="38">
    <w:p w14:paraId="776DA4B8" w14:textId="2E37D51C" w:rsidR="0093613D" w:rsidRPr="009C1C22" w:rsidRDefault="0093613D">
      <w:pPr>
        <w:pStyle w:val="FootnoteText"/>
      </w:pPr>
      <w:r>
        <w:rPr>
          <w:rStyle w:val="FootnoteReference"/>
        </w:rPr>
        <w:footnoteRef/>
      </w:r>
      <w:r w:rsidR="005329F4">
        <w:t xml:space="preserve"> </w:t>
      </w:r>
      <w:r w:rsidRPr="000D3161">
        <w:rPr>
          <w:rFonts w:cstheme="majorBidi"/>
          <w:szCs w:val="24"/>
        </w:rPr>
        <w:t>Equality Act 2010</w:t>
      </w:r>
      <w:r w:rsidR="009C1C22">
        <w:rPr>
          <w:rFonts w:cstheme="majorBidi"/>
          <w:szCs w:val="24"/>
        </w:rPr>
        <w:t>, s 1</w:t>
      </w:r>
      <w:r w:rsidRPr="009C1C22">
        <w:t xml:space="preserve"> (emphasis added)</w:t>
      </w:r>
      <w:r w:rsidR="009C1C22">
        <w:t>.</w:t>
      </w:r>
    </w:p>
  </w:footnote>
  <w:footnote w:id="39">
    <w:p w14:paraId="4D38EE7C" w14:textId="5414BE93" w:rsidR="00CE16D4" w:rsidRDefault="00CE16D4" w:rsidP="00CE16D4">
      <w:pPr>
        <w:pStyle w:val="FootnoteText"/>
      </w:pPr>
      <w:r>
        <w:rPr>
          <w:rStyle w:val="FootnoteReference"/>
          <w:rFonts w:eastAsiaTheme="majorEastAsia"/>
        </w:rPr>
        <w:footnoteRef/>
      </w:r>
      <w:r>
        <w:t xml:space="preserve"> </w:t>
      </w:r>
      <w:r w:rsidRPr="006369BB">
        <w:rPr>
          <w:rFonts w:asciiTheme="majorBidi" w:eastAsia="Source Sans Pro" w:hAnsiTheme="majorBidi" w:cstheme="majorBidi"/>
          <w:color w:val="000000" w:themeColor="text1"/>
        </w:rPr>
        <w:t xml:space="preserve">Sandra Fredman, </w:t>
      </w:r>
      <w:r w:rsidR="00BA4366">
        <w:rPr>
          <w:rFonts w:asciiTheme="majorBidi" w:eastAsia="Source Sans Pro" w:hAnsiTheme="majorBidi" w:cstheme="majorBidi"/>
          <w:color w:val="000000" w:themeColor="text1"/>
        </w:rPr>
        <w:t>‘</w:t>
      </w:r>
      <w:r w:rsidRPr="006369BB">
        <w:rPr>
          <w:rFonts w:asciiTheme="majorBidi" w:eastAsia="Source Sans Pro" w:hAnsiTheme="majorBidi" w:cstheme="majorBidi"/>
          <w:color w:val="000000" w:themeColor="text1"/>
        </w:rPr>
        <w:t>Positive Duties and Socio-economic Disadvantage: Bringing Disadvantage onto the Equality Agenda</w:t>
      </w:r>
      <w:r w:rsidR="00BA4366">
        <w:rPr>
          <w:rFonts w:asciiTheme="majorBidi" w:eastAsia="Source Sans Pro" w:hAnsiTheme="majorBidi" w:cstheme="majorBidi"/>
          <w:color w:val="000000" w:themeColor="text1"/>
        </w:rPr>
        <w:t>’</w:t>
      </w:r>
      <w:r w:rsidRPr="006369BB">
        <w:rPr>
          <w:rFonts w:asciiTheme="majorBidi" w:eastAsia="Source Sans Pro" w:hAnsiTheme="majorBidi" w:cstheme="majorBidi"/>
          <w:color w:val="000000" w:themeColor="text1"/>
        </w:rPr>
        <w:t xml:space="preserve"> [2010] </w:t>
      </w:r>
      <w:r w:rsidR="009C1C22">
        <w:rPr>
          <w:rFonts w:eastAsia="Source Sans Pro"/>
        </w:rPr>
        <w:t>EHRLR</w:t>
      </w:r>
      <w:r w:rsidRPr="006369BB">
        <w:rPr>
          <w:rFonts w:asciiTheme="majorBidi" w:eastAsia="Source Sans Pro" w:hAnsiTheme="majorBidi" w:cstheme="majorBidi"/>
          <w:color w:val="000000" w:themeColor="text1"/>
        </w:rPr>
        <w:t xml:space="preserve"> 290</w:t>
      </w:r>
      <w:r>
        <w:rPr>
          <w:rFonts w:asciiTheme="majorBidi" w:eastAsia="Source Sans Pro" w:hAnsiTheme="majorBidi" w:cstheme="majorBidi"/>
          <w:color w:val="000000" w:themeColor="text1"/>
        </w:rPr>
        <w:t>.</w:t>
      </w:r>
    </w:p>
  </w:footnote>
  <w:footnote w:id="40">
    <w:p w14:paraId="1C21D886" w14:textId="778924D7" w:rsidR="00CE16D4" w:rsidRDefault="00CE16D4" w:rsidP="00CE16D4">
      <w:pPr>
        <w:pStyle w:val="FootnoteText"/>
      </w:pPr>
      <w:r>
        <w:rPr>
          <w:rStyle w:val="FootnoteReference"/>
          <w:rFonts w:eastAsiaTheme="majorEastAsia"/>
        </w:rPr>
        <w:footnoteRef/>
      </w:r>
      <w:r>
        <w:t xml:space="preserve"> </w:t>
      </w:r>
      <w:r w:rsidRPr="00B23456">
        <w:rPr>
          <w:rFonts w:asciiTheme="majorBidi" w:hAnsiTheme="majorBidi" w:cstheme="majorBidi"/>
        </w:rPr>
        <w:t xml:space="preserve">Scottish </w:t>
      </w:r>
      <w:r w:rsidR="0093613D">
        <w:rPr>
          <w:rFonts w:asciiTheme="majorBidi" w:hAnsiTheme="majorBidi" w:cstheme="majorBidi"/>
        </w:rPr>
        <w:t>government</w:t>
      </w:r>
      <w:r w:rsidRPr="00B23456">
        <w:rPr>
          <w:rFonts w:asciiTheme="majorBidi" w:hAnsiTheme="majorBidi" w:cstheme="majorBidi"/>
        </w:rPr>
        <w:t xml:space="preserve">, </w:t>
      </w:r>
      <w:r w:rsidR="00BA4366">
        <w:rPr>
          <w:rFonts w:asciiTheme="majorBidi" w:hAnsiTheme="majorBidi" w:cstheme="majorBidi"/>
        </w:rPr>
        <w:t>‘</w:t>
      </w:r>
      <w:r w:rsidRPr="00B23456">
        <w:rPr>
          <w:rFonts w:asciiTheme="majorBidi" w:hAnsiTheme="majorBidi" w:cstheme="majorBidi"/>
        </w:rPr>
        <w:t xml:space="preserve">The </w:t>
      </w:r>
      <w:r w:rsidR="009C1C22" w:rsidRPr="00B23456">
        <w:rPr>
          <w:rFonts w:asciiTheme="majorBidi" w:hAnsiTheme="majorBidi" w:cstheme="majorBidi"/>
        </w:rPr>
        <w:t xml:space="preserve">Fairer Scotland Duty: Guidance </w:t>
      </w:r>
      <w:r w:rsidRPr="00B23456">
        <w:rPr>
          <w:rFonts w:asciiTheme="majorBidi" w:hAnsiTheme="majorBidi" w:cstheme="majorBidi"/>
        </w:rPr>
        <w:t xml:space="preserve">for </w:t>
      </w:r>
      <w:r w:rsidR="009C1C22" w:rsidRPr="00B23456">
        <w:rPr>
          <w:rFonts w:asciiTheme="majorBidi" w:hAnsiTheme="majorBidi" w:cstheme="majorBidi"/>
        </w:rPr>
        <w:t>Public Bodies</w:t>
      </w:r>
      <w:r w:rsidR="009C1C22">
        <w:rPr>
          <w:rFonts w:asciiTheme="majorBidi" w:hAnsiTheme="majorBidi" w:cstheme="majorBidi"/>
        </w:rPr>
        <w:t>’</w:t>
      </w:r>
      <w:r w:rsidR="009C1C22" w:rsidRPr="00B23456">
        <w:rPr>
          <w:rFonts w:asciiTheme="majorBidi" w:hAnsiTheme="majorBidi" w:cstheme="majorBidi"/>
        </w:rPr>
        <w:t xml:space="preserve"> </w:t>
      </w:r>
      <w:r w:rsidRPr="00B23456">
        <w:rPr>
          <w:rFonts w:asciiTheme="majorBidi" w:hAnsiTheme="majorBidi" w:cstheme="majorBidi"/>
        </w:rPr>
        <w:t xml:space="preserve">(2022) </w:t>
      </w:r>
      <w:r w:rsidR="005329F4">
        <w:rPr>
          <w:rFonts w:asciiTheme="majorBidi" w:eastAsiaTheme="majorEastAsia" w:hAnsiTheme="majorBidi"/>
        </w:rPr>
        <w:t>&lt;www</w:t>
      </w:r>
      <w:r w:rsidRPr="00130F23">
        <w:rPr>
          <w:rFonts w:asciiTheme="majorBidi" w:eastAsiaTheme="majorEastAsia" w:hAnsiTheme="majorBidi"/>
        </w:rPr>
        <w:t>.gov.scot/publications/fairer-scotland-duty-guidance-public-bodies/pages/2/</w:t>
      </w:r>
      <w:r w:rsidR="005329F4">
        <w:rPr>
          <w:rFonts w:asciiTheme="majorBidi" w:hAnsiTheme="majorBidi" w:cstheme="majorBidi"/>
        </w:rPr>
        <w:t>&gt; accessed</w:t>
      </w:r>
      <w:r w:rsidRPr="00B23456">
        <w:rPr>
          <w:rFonts w:asciiTheme="majorBidi" w:hAnsiTheme="majorBidi" w:cstheme="majorBidi"/>
        </w:rPr>
        <w:t xml:space="preserve"> 5 April 2025</w:t>
      </w:r>
      <w:r>
        <w:rPr>
          <w:rFonts w:asciiTheme="majorBidi" w:hAnsiTheme="majorBidi" w:cstheme="majorBidi"/>
        </w:rPr>
        <w:t>.</w:t>
      </w:r>
    </w:p>
  </w:footnote>
  <w:footnote w:id="41">
    <w:p w14:paraId="597C5F79" w14:textId="66B587A7" w:rsidR="00CE16D4" w:rsidRDefault="00CE16D4" w:rsidP="00CE16D4">
      <w:pPr>
        <w:pStyle w:val="FootnoteText"/>
      </w:pPr>
      <w:r>
        <w:rPr>
          <w:rStyle w:val="FootnoteReference"/>
          <w:rFonts w:eastAsiaTheme="majorEastAsia"/>
        </w:rPr>
        <w:footnoteRef/>
      </w:r>
      <w:r>
        <w:t xml:space="preserve"> See </w:t>
      </w:r>
      <w:r w:rsidRPr="00D30B51">
        <w:t xml:space="preserve">Aileen McColgan, </w:t>
      </w:r>
      <w:r w:rsidR="00BA4366">
        <w:t>‘</w:t>
      </w:r>
      <w:r w:rsidRPr="00D30B51">
        <w:t>Litigating the</w:t>
      </w:r>
      <w:r w:rsidR="009C1C22" w:rsidRPr="00D30B51">
        <w:t xml:space="preserve"> Public Sector Equality Duty: The Story </w:t>
      </w:r>
      <w:r w:rsidR="00E0239B" w:rsidRPr="00D30B51">
        <w:t xml:space="preserve">So </w:t>
      </w:r>
      <w:r w:rsidR="009C1C22" w:rsidRPr="00D30B51">
        <w:t>Far</w:t>
      </w:r>
      <w:r w:rsidR="009C1C22">
        <w:t>’</w:t>
      </w:r>
      <w:r w:rsidR="009C1C22" w:rsidRPr="00D30B51">
        <w:t xml:space="preserve"> </w:t>
      </w:r>
      <w:r w:rsidRPr="00D30B51">
        <w:t xml:space="preserve">(2015) 35 </w:t>
      </w:r>
      <w:r w:rsidR="009C1C22">
        <w:t>OJLS</w:t>
      </w:r>
      <w:r w:rsidRPr="00D30B51">
        <w:t xml:space="preserve"> 453</w:t>
      </w:r>
      <w:r>
        <w:t>.</w:t>
      </w:r>
    </w:p>
  </w:footnote>
  <w:footnote w:id="42">
    <w:p w14:paraId="13679A26" w14:textId="634A27BC"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E940CB">
        <w:t xml:space="preserve">Gunther Teubner, </w:t>
      </w:r>
      <w:r w:rsidR="00BA4366">
        <w:t>‘</w:t>
      </w:r>
      <w:r w:rsidRPr="00E940CB">
        <w:t>Substantive and Reflexive Elements in Modern Law</w:t>
      </w:r>
      <w:r w:rsidR="00BA4366">
        <w:t>’</w:t>
      </w:r>
      <w:r w:rsidRPr="00E940CB">
        <w:t xml:space="preserve"> (1983) 17(2) </w:t>
      </w:r>
      <w:r w:rsidRPr="009C1C22">
        <w:t>L</w:t>
      </w:r>
      <w:r w:rsidR="009C1C22">
        <w:t xml:space="preserve"> </w:t>
      </w:r>
      <w:r w:rsidRPr="009C1C22">
        <w:t>&amp; Soc</w:t>
      </w:r>
      <w:r w:rsidR="009C1C22">
        <w:t>’</w:t>
      </w:r>
      <w:r w:rsidRPr="009C1C22">
        <w:t>y Rev</w:t>
      </w:r>
      <w:r w:rsidR="009C1C22">
        <w:t xml:space="preserve"> </w:t>
      </w:r>
      <w:r w:rsidRPr="00E940CB">
        <w:t>239</w:t>
      </w:r>
      <w:r>
        <w:t>.</w:t>
      </w:r>
    </w:p>
  </w:footnote>
  <w:footnote w:id="43">
    <w:p w14:paraId="08915A95" w14:textId="134D6BEE"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Pr>
          <w:rFonts w:asciiTheme="majorBidi" w:hAnsiTheme="majorBidi" w:cstheme="majorBidi"/>
        </w:rPr>
        <w:t xml:space="preserve">Dorf (n </w:t>
      </w:r>
      <w:r w:rsidR="00576A7D">
        <w:rPr>
          <w:rFonts w:asciiTheme="majorBidi" w:hAnsiTheme="majorBidi" w:cstheme="majorBidi"/>
        </w:rPr>
        <w:t>24</w:t>
      </w:r>
      <w:r w:rsidR="00A31C5B">
        <w:rPr>
          <w:rFonts w:asciiTheme="majorBidi" w:hAnsiTheme="majorBidi" w:cstheme="majorBidi"/>
        </w:rPr>
        <w:t>)</w:t>
      </w:r>
      <w:r w:rsidR="009C1C22">
        <w:rPr>
          <w:rFonts w:asciiTheme="majorBidi" w:hAnsiTheme="majorBidi" w:cstheme="majorBidi"/>
        </w:rPr>
        <w:t xml:space="preserve"> </w:t>
      </w:r>
      <w:r w:rsidRPr="003D42DF">
        <w:rPr>
          <w:rFonts w:asciiTheme="majorBidi" w:hAnsiTheme="majorBidi" w:cstheme="majorBidi"/>
        </w:rPr>
        <w:t xml:space="preserve">397, citing </w:t>
      </w:r>
      <w:r w:rsidRPr="00202FCD">
        <w:rPr>
          <w:rFonts w:asciiTheme="majorBidi" w:hAnsiTheme="majorBidi" w:cstheme="majorBidi"/>
        </w:rPr>
        <w:t xml:space="preserve">Jean L Cohen, </w:t>
      </w:r>
      <w:r w:rsidRPr="00202FCD">
        <w:rPr>
          <w:rFonts w:asciiTheme="majorBidi" w:hAnsiTheme="majorBidi" w:cstheme="majorBidi"/>
          <w:i/>
          <w:iCs/>
        </w:rPr>
        <w:t>Regulating Intimacy: A New Legal Paradigm</w:t>
      </w:r>
      <w:r w:rsidRPr="00202FCD">
        <w:rPr>
          <w:rFonts w:asciiTheme="majorBidi" w:hAnsiTheme="majorBidi" w:cstheme="majorBidi"/>
        </w:rPr>
        <w:t xml:space="preserve"> (Princeton </w:t>
      </w:r>
      <w:r w:rsidR="009C1C22">
        <w:rPr>
          <w:rFonts w:asciiTheme="majorBidi" w:hAnsiTheme="majorBidi" w:cstheme="majorBidi"/>
        </w:rPr>
        <w:t>UP</w:t>
      </w:r>
      <w:r w:rsidRPr="00202FCD">
        <w:rPr>
          <w:rFonts w:asciiTheme="majorBidi" w:hAnsiTheme="majorBidi" w:cstheme="majorBidi"/>
        </w:rPr>
        <w:t xml:space="preserve"> 2002)</w:t>
      </w:r>
      <w:r>
        <w:rPr>
          <w:rFonts w:asciiTheme="majorBidi" w:hAnsiTheme="majorBidi" w:cstheme="majorBidi"/>
        </w:rPr>
        <w:t>.</w:t>
      </w:r>
    </w:p>
  </w:footnote>
  <w:footnote w:id="44">
    <w:p w14:paraId="4B4CB123" w14:textId="1731BCCC" w:rsidR="00CE16D4" w:rsidRDefault="00CE16D4" w:rsidP="00CE16D4">
      <w:pPr>
        <w:pStyle w:val="FootnoteText"/>
      </w:pPr>
      <w:r>
        <w:rPr>
          <w:rStyle w:val="FootnoteReference"/>
          <w:rFonts w:eastAsiaTheme="majorEastAsia"/>
        </w:rPr>
        <w:footnoteRef/>
      </w:r>
      <w:r>
        <w:t xml:space="preserve"> </w:t>
      </w:r>
      <w:r w:rsidRPr="008B7998">
        <w:t xml:space="preserve">Welsh </w:t>
      </w:r>
      <w:r w:rsidR="0093613D">
        <w:t>government</w:t>
      </w:r>
      <w:r w:rsidRPr="008B7998">
        <w:t xml:space="preserve">, </w:t>
      </w:r>
      <w:r w:rsidR="00BA4366">
        <w:t>‘</w:t>
      </w:r>
      <w:r w:rsidRPr="008B7998">
        <w:t>A</w:t>
      </w:r>
      <w:r w:rsidR="009C1C22" w:rsidRPr="008B7998">
        <w:t xml:space="preserve"> More Equal Wales: The So</w:t>
      </w:r>
      <w:r w:rsidRPr="008B7998">
        <w:t xml:space="preserve">cio-economic </w:t>
      </w:r>
      <w:r w:rsidR="009C1C22" w:rsidRPr="008B7998">
        <w:t>Duty</w:t>
      </w:r>
      <w:r w:rsidR="009C1C22">
        <w:t>’</w:t>
      </w:r>
      <w:r w:rsidR="009C1C22" w:rsidRPr="008B7998">
        <w:t xml:space="preserve"> </w:t>
      </w:r>
      <w:r w:rsidRPr="008B7998">
        <w:t xml:space="preserve">(2021) </w:t>
      </w:r>
      <w:r w:rsidR="005329F4">
        <w:t>&lt;www</w:t>
      </w:r>
      <w:r w:rsidRPr="008B7998">
        <w:t>.gov.wales/sites/default/files/publications/2021</w:t>
      </w:r>
      <w:r w:rsidR="009C1C22">
        <w:t>-</w:t>
      </w:r>
      <w:r w:rsidRPr="008B7998">
        <w:t>03/a-more-equal-wales.pdf</w:t>
      </w:r>
      <w:r w:rsidR="005329F4">
        <w:t>&gt; accessed</w:t>
      </w:r>
      <w:r w:rsidRPr="008B7998">
        <w:t xml:space="preserve"> 5 April 2025</w:t>
      </w:r>
      <w:r>
        <w:t>.</w:t>
      </w:r>
    </w:p>
  </w:footnote>
  <w:footnote w:id="45">
    <w:p w14:paraId="58346F98" w14:textId="3C00AF46" w:rsidR="00CE16D4" w:rsidRDefault="00CE16D4" w:rsidP="00CE16D4">
      <w:pPr>
        <w:pStyle w:val="FootnoteText"/>
      </w:pPr>
      <w:r>
        <w:rPr>
          <w:rStyle w:val="FootnoteReference"/>
          <w:rFonts w:eastAsiaTheme="majorEastAsia"/>
        </w:rPr>
        <w:footnoteRef/>
      </w:r>
      <w:r>
        <w:t xml:space="preserve"> </w:t>
      </w:r>
      <w:r w:rsidR="009C1C22">
        <w:t>ibid</w:t>
      </w:r>
      <w:r>
        <w:t xml:space="preserve"> </w:t>
      </w:r>
      <w:r>
        <w:rPr>
          <w:rFonts w:asciiTheme="majorBidi" w:hAnsiTheme="majorBidi" w:cstheme="majorBidi"/>
        </w:rPr>
        <w:t>9.</w:t>
      </w:r>
    </w:p>
  </w:footnote>
  <w:footnote w:id="46">
    <w:p w14:paraId="6EA9F8ED" w14:textId="3FA62C67" w:rsidR="00CE16D4" w:rsidRDefault="00CE16D4" w:rsidP="00CE16D4">
      <w:pPr>
        <w:pStyle w:val="FootnoteText"/>
      </w:pPr>
      <w:r>
        <w:rPr>
          <w:rStyle w:val="FootnoteReference"/>
          <w:rFonts w:eastAsiaTheme="majorEastAsia"/>
        </w:rPr>
        <w:footnoteRef/>
      </w:r>
      <w:r>
        <w:t xml:space="preserve"> </w:t>
      </w:r>
      <w:r w:rsidRPr="00EF707A">
        <w:rPr>
          <w:rFonts w:asciiTheme="majorBidi" w:eastAsia="Source Sans Pro" w:hAnsiTheme="majorBidi" w:cstheme="majorBidi"/>
          <w:color w:val="000000" w:themeColor="text1"/>
        </w:rPr>
        <w:t xml:space="preserve">Equality and Human Rights Commission, </w:t>
      </w:r>
      <w:r w:rsidR="00BA4366">
        <w:rPr>
          <w:rFonts w:asciiTheme="majorBidi" w:eastAsia="Source Sans Pro" w:hAnsiTheme="majorBidi" w:cstheme="majorBidi"/>
          <w:color w:val="000000" w:themeColor="text1"/>
        </w:rPr>
        <w:t>‘</w:t>
      </w:r>
      <w:r w:rsidRPr="00EF707A">
        <w:rPr>
          <w:rFonts w:asciiTheme="majorBidi" w:eastAsia="Source Sans Pro" w:hAnsiTheme="majorBidi" w:cstheme="majorBidi"/>
          <w:color w:val="000000" w:themeColor="text1"/>
        </w:rPr>
        <w:t xml:space="preserve">Evaluating the Socio-economic Duty in Scotland and </w:t>
      </w:r>
      <w:proofErr w:type="spellStart"/>
      <w:r w:rsidRPr="00EF707A">
        <w:rPr>
          <w:rFonts w:asciiTheme="majorBidi" w:eastAsia="Source Sans Pro" w:hAnsiTheme="majorBidi" w:cstheme="majorBidi"/>
          <w:color w:val="000000" w:themeColor="text1"/>
        </w:rPr>
        <w:t>Wales</w:t>
      </w:r>
      <w:r w:rsidR="00BA4366">
        <w:rPr>
          <w:rFonts w:asciiTheme="majorBidi" w:eastAsia="Source Sans Pro" w:hAnsiTheme="majorBidi" w:cstheme="majorBidi"/>
          <w:color w:val="000000" w:themeColor="text1"/>
        </w:rPr>
        <w:t>’</w:t>
      </w:r>
      <w:proofErr w:type="spellEnd"/>
      <w:r w:rsidRPr="00EF707A">
        <w:rPr>
          <w:rFonts w:asciiTheme="majorBidi" w:eastAsia="Source Sans Pro" w:hAnsiTheme="majorBidi" w:cstheme="majorBidi"/>
          <w:color w:val="000000" w:themeColor="text1"/>
        </w:rPr>
        <w:t xml:space="preserve"> (2021) </w:t>
      </w:r>
      <w:r w:rsidR="005329F4">
        <w:rPr>
          <w:rFonts w:asciiTheme="majorBidi" w:eastAsia="Source Sans Pro" w:hAnsiTheme="majorBidi"/>
        </w:rPr>
        <w:t>&lt;www</w:t>
      </w:r>
      <w:r w:rsidRPr="00130F23">
        <w:rPr>
          <w:rFonts w:asciiTheme="majorBidi" w:eastAsia="Source Sans Pro" w:hAnsiTheme="majorBidi"/>
        </w:rPr>
        <w:t>.equalityhumanrights.com/our-work/our-research/evaluating-socio-economic-duty-scotland-and-wales</w:t>
      </w:r>
      <w:r w:rsidR="005329F4">
        <w:rPr>
          <w:rFonts w:asciiTheme="majorBidi" w:eastAsia="Source Sans Pro" w:hAnsiTheme="majorBidi"/>
        </w:rPr>
        <w:t>&gt; accessed</w:t>
      </w:r>
      <w:r w:rsidRPr="00130F23">
        <w:rPr>
          <w:rFonts w:asciiTheme="majorBidi" w:eastAsia="Source Sans Pro" w:hAnsiTheme="majorBidi"/>
        </w:rPr>
        <w:t xml:space="preserve"> 5 April 2025</w:t>
      </w:r>
      <w:r>
        <w:rPr>
          <w:rFonts w:asciiTheme="majorBidi" w:eastAsia="Source Sans Pro" w:hAnsiTheme="majorBidi" w:cstheme="majorBidi"/>
          <w:color w:val="000000" w:themeColor="text1"/>
        </w:rPr>
        <w:t xml:space="preserve">. See also similar sentiments persisting in </w:t>
      </w:r>
      <w:r w:rsidRPr="00EF707A">
        <w:rPr>
          <w:rFonts w:asciiTheme="majorBidi" w:eastAsia="Source Sans Pro" w:hAnsiTheme="majorBidi" w:cstheme="majorBidi"/>
          <w:color w:val="000000" w:themeColor="text1"/>
        </w:rPr>
        <w:t>Equality and Human Rights Commission</w:t>
      </w:r>
      <w:r>
        <w:rPr>
          <w:rFonts w:asciiTheme="majorBidi" w:eastAsia="Source Sans Pro" w:hAnsiTheme="majorBidi" w:cstheme="majorBidi"/>
          <w:color w:val="000000" w:themeColor="text1"/>
        </w:rPr>
        <w:t xml:space="preserve">, </w:t>
      </w:r>
      <w:r w:rsidR="00BA4366">
        <w:rPr>
          <w:rFonts w:asciiTheme="majorBidi" w:eastAsia="Source Sans Pro" w:hAnsiTheme="majorBidi" w:cstheme="majorBidi"/>
          <w:color w:val="000000" w:themeColor="text1"/>
        </w:rPr>
        <w:t>‘</w:t>
      </w:r>
      <w:r w:rsidRPr="00C9056B">
        <w:rPr>
          <w:rFonts w:asciiTheme="majorBidi" w:eastAsia="Source Sans Pro" w:hAnsiTheme="majorBidi" w:cstheme="majorBidi"/>
          <w:color w:val="000000" w:themeColor="text1"/>
        </w:rPr>
        <w:t xml:space="preserve">The </w:t>
      </w:r>
      <w:r w:rsidR="009C1C22" w:rsidRPr="00C9056B">
        <w:rPr>
          <w:rFonts w:asciiTheme="majorBidi" w:eastAsia="Source Sans Pro" w:hAnsiTheme="majorBidi" w:cstheme="majorBidi"/>
          <w:color w:val="000000" w:themeColor="text1"/>
        </w:rPr>
        <w:t>Socio</w:t>
      </w:r>
      <w:r w:rsidRPr="00C9056B">
        <w:rPr>
          <w:rFonts w:asciiTheme="majorBidi" w:eastAsia="Source Sans Pro" w:hAnsiTheme="majorBidi" w:cstheme="majorBidi"/>
          <w:color w:val="000000" w:themeColor="text1"/>
        </w:rPr>
        <w:t xml:space="preserve">-economic </w:t>
      </w:r>
      <w:r w:rsidR="009C1C22" w:rsidRPr="00C9056B">
        <w:rPr>
          <w:rFonts w:asciiTheme="majorBidi" w:eastAsia="Source Sans Pro" w:hAnsiTheme="majorBidi" w:cstheme="majorBidi"/>
          <w:color w:val="000000" w:themeColor="text1"/>
        </w:rPr>
        <w:t xml:space="preserve">Duty </w:t>
      </w:r>
      <w:r w:rsidRPr="00C9056B">
        <w:rPr>
          <w:rFonts w:asciiTheme="majorBidi" w:eastAsia="Source Sans Pro" w:hAnsiTheme="majorBidi" w:cstheme="majorBidi"/>
          <w:color w:val="000000" w:themeColor="text1"/>
        </w:rPr>
        <w:t xml:space="preserve">in Scotland and </w:t>
      </w:r>
      <w:proofErr w:type="spellStart"/>
      <w:r w:rsidRPr="00C9056B">
        <w:rPr>
          <w:rFonts w:asciiTheme="majorBidi" w:eastAsia="Source Sans Pro" w:hAnsiTheme="majorBidi" w:cstheme="majorBidi"/>
          <w:color w:val="000000" w:themeColor="text1"/>
        </w:rPr>
        <w:t>Wales</w:t>
      </w:r>
      <w:r w:rsidR="00BA4366">
        <w:rPr>
          <w:rFonts w:asciiTheme="majorBidi" w:eastAsia="Source Sans Pro" w:hAnsiTheme="majorBidi" w:cstheme="majorBidi"/>
          <w:color w:val="000000" w:themeColor="text1"/>
        </w:rPr>
        <w:t>’</w:t>
      </w:r>
      <w:proofErr w:type="spellEnd"/>
      <w:r>
        <w:rPr>
          <w:rFonts w:asciiTheme="majorBidi" w:eastAsia="Source Sans Pro" w:hAnsiTheme="majorBidi" w:cstheme="majorBidi"/>
          <w:color w:val="000000" w:themeColor="text1"/>
        </w:rPr>
        <w:t xml:space="preserve"> (2025) </w:t>
      </w:r>
      <w:r w:rsidR="005329F4">
        <w:rPr>
          <w:rFonts w:asciiTheme="majorBidi" w:eastAsia="Source Sans Pro" w:hAnsiTheme="majorBidi"/>
        </w:rPr>
        <w:t>&lt;www</w:t>
      </w:r>
      <w:r w:rsidRPr="00130F23">
        <w:rPr>
          <w:rFonts w:asciiTheme="majorBidi" w:eastAsia="Source Sans Pro" w:hAnsiTheme="majorBidi"/>
        </w:rPr>
        <w:t>.equalityhumanrights.com/evaluating-socio-economic-duty-wales-and-scotland-2025#document-download</w:t>
      </w:r>
      <w:r w:rsidR="005329F4">
        <w:rPr>
          <w:rFonts w:asciiTheme="majorBidi" w:eastAsia="Source Sans Pro" w:hAnsiTheme="majorBidi" w:cstheme="majorBidi"/>
          <w:color w:val="000000" w:themeColor="text1"/>
        </w:rPr>
        <w:t>&gt; accessed</w:t>
      </w:r>
      <w:r>
        <w:rPr>
          <w:rFonts w:asciiTheme="majorBidi" w:eastAsia="Source Sans Pro" w:hAnsiTheme="majorBidi" w:cstheme="majorBidi"/>
          <w:color w:val="000000" w:themeColor="text1"/>
        </w:rPr>
        <w:t xml:space="preserve"> 21 August 2025.</w:t>
      </w:r>
    </w:p>
  </w:footnote>
  <w:footnote w:id="47">
    <w:p w14:paraId="09BF8CB8" w14:textId="2BA3E5F5" w:rsidR="00CE16D4" w:rsidRPr="009B31E7" w:rsidRDefault="00CE16D4" w:rsidP="00CE16D4">
      <w:pPr>
        <w:pStyle w:val="FootnoteText"/>
        <w:rPr>
          <w:lang w:val="pt-PT"/>
        </w:rPr>
      </w:pPr>
      <w:r>
        <w:rPr>
          <w:rStyle w:val="FootnoteReference"/>
          <w:rFonts w:eastAsiaTheme="majorEastAsia"/>
        </w:rPr>
        <w:footnoteRef/>
      </w:r>
      <w:r w:rsidRPr="009B31E7">
        <w:rPr>
          <w:lang w:val="pt-PT"/>
        </w:rPr>
        <w:t xml:space="preserve"> </w:t>
      </w:r>
      <w:proofErr w:type="spellStart"/>
      <w:r w:rsidRPr="009B31E7">
        <w:rPr>
          <w:rFonts w:asciiTheme="majorBidi" w:eastAsia="Source Sans Pro" w:hAnsiTheme="majorBidi" w:cstheme="majorBidi"/>
          <w:color w:val="000000" w:themeColor="text1"/>
          <w:lang w:val="pt-PT"/>
        </w:rPr>
        <w:t>Fredman</w:t>
      </w:r>
      <w:proofErr w:type="spellEnd"/>
      <w:r w:rsidRPr="009B31E7">
        <w:rPr>
          <w:rFonts w:asciiTheme="majorBidi" w:eastAsia="Source Sans Pro" w:hAnsiTheme="majorBidi" w:cstheme="majorBidi"/>
          <w:color w:val="000000" w:themeColor="text1"/>
          <w:lang w:val="pt-PT"/>
        </w:rPr>
        <w:t xml:space="preserve">, </w:t>
      </w:r>
      <w:r w:rsidR="00BA4366" w:rsidRPr="009B31E7">
        <w:rPr>
          <w:rFonts w:asciiTheme="majorBidi" w:eastAsia="Source Sans Pro" w:hAnsiTheme="majorBidi" w:cstheme="majorBidi"/>
          <w:color w:val="000000" w:themeColor="text1"/>
          <w:lang w:val="pt-PT"/>
        </w:rPr>
        <w:t>‘</w:t>
      </w:r>
      <w:r w:rsidRPr="009B31E7">
        <w:rPr>
          <w:rFonts w:asciiTheme="majorBidi" w:eastAsia="Source Sans Pro" w:hAnsiTheme="majorBidi" w:cstheme="majorBidi"/>
          <w:color w:val="000000" w:themeColor="text1"/>
          <w:lang w:val="pt-PT"/>
        </w:rPr>
        <w:t xml:space="preserve">Positive </w:t>
      </w:r>
      <w:proofErr w:type="spellStart"/>
      <w:r w:rsidRPr="009B31E7">
        <w:rPr>
          <w:rFonts w:asciiTheme="majorBidi" w:eastAsia="Source Sans Pro" w:hAnsiTheme="majorBidi" w:cstheme="majorBidi"/>
          <w:color w:val="000000" w:themeColor="text1"/>
          <w:lang w:val="pt-PT"/>
        </w:rPr>
        <w:t>Duties</w:t>
      </w:r>
      <w:proofErr w:type="spellEnd"/>
      <w:r w:rsidR="009167C9" w:rsidRPr="009B31E7">
        <w:rPr>
          <w:rFonts w:asciiTheme="majorBidi" w:eastAsia="Source Sans Pro" w:hAnsiTheme="majorBidi" w:cstheme="majorBidi"/>
          <w:color w:val="000000" w:themeColor="text1"/>
          <w:lang w:val="pt-PT"/>
        </w:rPr>
        <w:t>’ (n 39)</w:t>
      </w:r>
      <w:r w:rsidRPr="009B31E7">
        <w:rPr>
          <w:rFonts w:asciiTheme="majorBidi" w:eastAsia="Source Sans Pro" w:hAnsiTheme="majorBidi" w:cstheme="majorBidi"/>
          <w:color w:val="000000" w:themeColor="text1"/>
          <w:lang w:val="pt-PT"/>
        </w:rPr>
        <w:t>.</w:t>
      </w:r>
    </w:p>
  </w:footnote>
  <w:footnote w:id="48">
    <w:p w14:paraId="1486229F" w14:textId="56975DE8" w:rsidR="00CE16D4" w:rsidRPr="009B31E7" w:rsidRDefault="00CE16D4" w:rsidP="00CE16D4">
      <w:pPr>
        <w:pStyle w:val="FootnoteText"/>
        <w:rPr>
          <w:lang w:val="pt-PT"/>
        </w:rPr>
      </w:pPr>
      <w:r>
        <w:rPr>
          <w:rStyle w:val="FootnoteReference"/>
          <w:rFonts w:eastAsiaTheme="majorEastAsia"/>
        </w:rPr>
        <w:footnoteRef/>
      </w:r>
      <w:r w:rsidRPr="009B31E7">
        <w:rPr>
          <w:lang w:val="pt-PT"/>
        </w:rPr>
        <w:t xml:space="preserve"> </w:t>
      </w:r>
      <w:proofErr w:type="spellStart"/>
      <w:r w:rsidRPr="009B31E7">
        <w:rPr>
          <w:lang w:val="pt-PT"/>
        </w:rPr>
        <w:t>McColgan</w:t>
      </w:r>
      <w:proofErr w:type="spellEnd"/>
      <w:r w:rsidRPr="009B31E7">
        <w:rPr>
          <w:lang w:val="pt-PT"/>
        </w:rPr>
        <w:t xml:space="preserve"> (n </w:t>
      </w:r>
      <w:r w:rsidR="00576A7D" w:rsidRPr="009B31E7">
        <w:rPr>
          <w:lang w:val="pt-PT"/>
        </w:rPr>
        <w:t>4</w:t>
      </w:r>
      <w:r w:rsidR="00692742" w:rsidRPr="009B31E7">
        <w:rPr>
          <w:lang w:val="pt-PT"/>
        </w:rPr>
        <w:t>1</w:t>
      </w:r>
      <w:r w:rsidR="00A31C5B" w:rsidRPr="009B31E7">
        <w:rPr>
          <w:lang w:val="pt-PT"/>
        </w:rPr>
        <w:t>)</w:t>
      </w:r>
      <w:r w:rsidRPr="009B31E7">
        <w:rPr>
          <w:lang w:val="pt-PT"/>
        </w:rPr>
        <w:t xml:space="preserve"> 478.</w:t>
      </w:r>
    </w:p>
  </w:footnote>
  <w:footnote w:id="49">
    <w:p w14:paraId="78EAF4F1" w14:textId="1F698ABD"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BA2D09">
        <w:rPr>
          <w:rFonts w:asciiTheme="majorBidi" w:hAnsiTheme="majorBidi"/>
        </w:rPr>
        <w:t xml:space="preserve"> </w:t>
      </w:r>
      <w:r w:rsidRPr="00213807">
        <w:rPr>
          <w:rFonts w:asciiTheme="majorBidi" w:eastAsia="Source Sans Pro" w:hAnsiTheme="majorBidi" w:cstheme="majorBidi"/>
          <w:color w:val="000000" w:themeColor="text1"/>
        </w:rPr>
        <w:t xml:space="preserve">Fredman, </w:t>
      </w:r>
      <w:r w:rsidR="00BA4366">
        <w:rPr>
          <w:rFonts w:asciiTheme="majorBidi" w:eastAsia="Source Sans Pro" w:hAnsiTheme="majorBidi" w:cstheme="majorBidi"/>
          <w:color w:val="000000" w:themeColor="text1"/>
        </w:rPr>
        <w:t>‘</w:t>
      </w:r>
      <w:r w:rsidRPr="00213807">
        <w:rPr>
          <w:rFonts w:asciiTheme="majorBidi" w:eastAsia="Source Sans Pro" w:hAnsiTheme="majorBidi" w:cstheme="majorBidi"/>
          <w:color w:val="000000" w:themeColor="text1"/>
        </w:rPr>
        <w:t xml:space="preserve">Breaking the </w:t>
      </w:r>
      <w:r w:rsidR="009167C9" w:rsidRPr="00213807">
        <w:rPr>
          <w:rFonts w:asciiTheme="majorBidi" w:eastAsia="Source Sans Pro" w:hAnsiTheme="majorBidi" w:cstheme="majorBidi"/>
          <w:color w:val="000000" w:themeColor="text1"/>
        </w:rPr>
        <w:t>Mold</w:t>
      </w:r>
      <w:r w:rsidR="00BA4366">
        <w:rPr>
          <w:rFonts w:asciiTheme="majorBidi" w:eastAsia="Source Sans Pro" w:hAnsiTheme="majorBidi" w:cstheme="majorBidi"/>
          <w:color w:val="000000" w:themeColor="text1"/>
        </w:rPr>
        <w:t>’</w:t>
      </w:r>
      <w:r w:rsidRPr="00213807">
        <w:rPr>
          <w:rFonts w:asciiTheme="majorBidi" w:eastAsia="Source Sans Pro" w:hAnsiTheme="majorBidi" w:cstheme="majorBidi"/>
          <w:color w:val="000000" w:themeColor="text1"/>
        </w:rPr>
        <w:t xml:space="preserve"> (</w:t>
      </w:r>
      <w:r w:rsidR="009167C9">
        <w:rPr>
          <w:rFonts w:asciiTheme="majorBidi" w:eastAsia="Source Sans Pro" w:hAnsiTheme="majorBidi" w:cstheme="majorBidi"/>
          <w:color w:val="000000" w:themeColor="text1"/>
        </w:rPr>
        <w:t>n 16</w:t>
      </w:r>
      <w:r w:rsidRPr="00213807">
        <w:rPr>
          <w:rFonts w:asciiTheme="majorBidi" w:eastAsia="Source Sans Pro" w:hAnsiTheme="majorBidi" w:cstheme="majorBidi"/>
          <w:color w:val="000000" w:themeColor="text1"/>
        </w:rPr>
        <w:t>)</w:t>
      </w:r>
      <w:r w:rsidRPr="003D42DF">
        <w:rPr>
          <w:rFonts w:asciiTheme="majorBidi" w:eastAsia="Source Sans Pro" w:hAnsiTheme="majorBidi" w:cstheme="majorBidi"/>
          <w:color w:val="000000" w:themeColor="text1"/>
        </w:rPr>
        <w:t xml:space="preserve"> 277.</w:t>
      </w:r>
    </w:p>
  </w:footnote>
  <w:footnote w:id="50">
    <w:p w14:paraId="68C3B0D1" w14:textId="3A07CBC9" w:rsidR="00CE16D4" w:rsidRDefault="00CE16D4" w:rsidP="00CE16D4">
      <w:pPr>
        <w:pStyle w:val="FootnoteText"/>
      </w:pPr>
      <w:r>
        <w:rPr>
          <w:rStyle w:val="FootnoteReference"/>
          <w:rFonts w:eastAsiaTheme="majorEastAsia"/>
        </w:rPr>
        <w:footnoteRef/>
      </w:r>
      <w:r>
        <w:t xml:space="preserve"> </w:t>
      </w:r>
      <w:r w:rsidRPr="00C464AC">
        <w:t xml:space="preserve">Koldo Casla, </w:t>
      </w:r>
      <w:r w:rsidR="00BA4366">
        <w:t>‘</w:t>
      </w:r>
      <w:r w:rsidRPr="00C464AC">
        <w:t xml:space="preserve">#1forEquality: </w:t>
      </w:r>
      <w:r w:rsidR="00692742" w:rsidRPr="00C464AC">
        <w:t>The Sto</w:t>
      </w:r>
      <w:r w:rsidRPr="00C464AC">
        <w:t xml:space="preserve">ry of an </w:t>
      </w:r>
      <w:r w:rsidR="00692742" w:rsidRPr="00C464AC">
        <w:t xml:space="preserve">Unlikely Victorious Campaign </w:t>
      </w:r>
      <w:r w:rsidRPr="00C464AC">
        <w:t xml:space="preserve">in the </w:t>
      </w:r>
      <w:r w:rsidR="00692742" w:rsidRPr="00C464AC">
        <w:t>Making</w:t>
      </w:r>
      <w:r w:rsidR="00692742">
        <w:t>’</w:t>
      </w:r>
      <w:r w:rsidR="00692742" w:rsidRPr="00C464AC">
        <w:t xml:space="preserve"> </w:t>
      </w:r>
      <w:r w:rsidRPr="00C464AC">
        <w:t>(2019) 11(3) Journal of Human Rights Practice 554</w:t>
      </w:r>
      <w:r>
        <w:t>, 556.</w:t>
      </w:r>
    </w:p>
  </w:footnote>
  <w:footnote w:id="51">
    <w:p w14:paraId="36633817" w14:textId="68B1CA34"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3D42DF">
        <w:rPr>
          <w:rFonts w:asciiTheme="majorBidi" w:eastAsia="Source Sans Pro" w:hAnsiTheme="majorBidi" w:cstheme="majorBidi"/>
          <w:color w:val="000000" w:themeColor="text1"/>
        </w:rPr>
        <w:t>Paterson</w:t>
      </w:r>
      <w:r>
        <w:rPr>
          <w:rFonts w:asciiTheme="majorBidi" w:eastAsia="Source Sans Pro" w:hAnsiTheme="majorBidi" w:cstheme="majorBidi"/>
          <w:color w:val="000000" w:themeColor="text1"/>
        </w:rPr>
        <w:t xml:space="preserve"> (n </w:t>
      </w:r>
      <w:r w:rsidR="00576A7D">
        <w:rPr>
          <w:rFonts w:asciiTheme="majorBidi" w:eastAsia="Source Sans Pro" w:hAnsiTheme="majorBidi" w:cstheme="majorBidi"/>
          <w:color w:val="000000" w:themeColor="text1"/>
        </w:rPr>
        <w:t>18</w:t>
      </w:r>
      <w:r w:rsidR="00A31C5B">
        <w:rPr>
          <w:rFonts w:asciiTheme="majorBidi" w:eastAsia="Source Sans Pro" w:hAnsiTheme="majorBidi" w:cstheme="majorBidi"/>
          <w:color w:val="000000" w:themeColor="text1"/>
        </w:rPr>
        <w:t>)</w:t>
      </w:r>
      <w:r>
        <w:rPr>
          <w:rFonts w:asciiTheme="majorBidi" w:eastAsia="Source Sans Pro" w:hAnsiTheme="majorBidi" w:cstheme="majorBidi"/>
          <w:color w:val="000000" w:themeColor="text1"/>
        </w:rPr>
        <w:t xml:space="preserve"> </w:t>
      </w:r>
      <w:r w:rsidRPr="003D42DF">
        <w:rPr>
          <w:rFonts w:asciiTheme="majorBidi" w:eastAsia="Source Sans Pro" w:hAnsiTheme="majorBidi" w:cstheme="majorBidi"/>
          <w:color w:val="000000" w:themeColor="text1"/>
        </w:rPr>
        <w:t>30.</w:t>
      </w:r>
    </w:p>
  </w:footnote>
  <w:footnote w:id="52">
    <w:p w14:paraId="176B8EFE" w14:textId="07A7284D"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009C1C22">
        <w:rPr>
          <w:rFonts w:asciiTheme="majorBidi" w:eastAsia="Source Sans Pro" w:hAnsiTheme="majorBidi" w:cstheme="majorBidi"/>
          <w:color w:val="000000" w:themeColor="text1"/>
        </w:rPr>
        <w:t>ibid</w:t>
      </w:r>
      <w:r w:rsidRPr="003D42DF">
        <w:rPr>
          <w:rFonts w:asciiTheme="majorBidi" w:eastAsia="Source Sans Pro" w:hAnsiTheme="majorBidi" w:cstheme="majorBidi"/>
          <w:color w:val="000000" w:themeColor="text1"/>
        </w:rPr>
        <w:t>.</w:t>
      </w:r>
    </w:p>
  </w:footnote>
  <w:footnote w:id="53">
    <w:p w14:paraId="14596870" w14:textId="32C1CBAB"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009C1C22">
        <w:rPr>
          <w:rFonts w:asciiTheme="majorBidi" w:eastAsia="Source Sans Pro" w:hAnsiTheme="majorBidi" w:cstheme="majorBidi"/>
          <w:color w:val="000000" w:themeColor="text1"/>
        </w:rPr>
        <w:t>ibid</w:t>
      </w:r>
      <w:r>
        <w:rPr>
          <w:rFonts w:asciiTheme="majorBidi" w:eastAsia="Source Sans Pro" w:hAnsiTheme="majorBidi" w:cstheme="majorBidi"/>
          <w:color w:val="000000" w:themeColor="text1"/>
        </w:rPr>
        <w:t xml:space="preserve"> </w:t>
      </w:r>
      <w:r w:rsidRPr="003D42DF">
        <w:rPr>
          <w:rFonts w:asciiTheme="majorBidi" w:eastAsia="Source Sans Pro" w:hAnsiTheme="majorBidi" w:cstheme="majorBidi"/>
          <w:color w:val="000000" w:themeColor="text1"/>
        </w:rPr>
        <w:t>29.</w:t>
      </w:r>
    </w:p>
  </w:footnote>
  <w:footnote w:id="54">
    <w:p w14:paraId="45085313" w14:textId="31A60D4C" w:rsidR="00CE16D4" w:rsidRDefault="00CE16D4" w:rsidP="00CE16D4">
      <w:pPr>
        <w:pStyle w:val="FootnoteText"/>
      </w:pPr>
      <w:r>
        <w:rPr>
          <w:rStyle w:val="FootnoteReference"/>
          <w:rFonts w:eastAsiaTheme="majorEastAsia"/>
        </w:rPr>
        <w:footnoteRef/>
      </w:r>
      <w:r>
        <w:t xml:space="preserve"> </w:t>
      </w:r>
      <w:r w:rsidR="00692742" w:rsidRPr="00BA2D09">
        <w:rPr>
          <w:rFonts w:asciiTheme="majorBidi" w:eastAsia="Source Sans Pro" w:hAnsiTheme="majorBidi"/>
          <w:color w:val="000000" w:themeColor="text1"/>
        </w:rPr>
        <w:t>Equality and Human Rights Commission</w:t>
      </w:r>
      <w:r w:rsidR="00692742">
        <w:rPr>
          <w:rFonts w:asciiTheme="majorBidi" w:eastAsia="Source Sans Pro" w:hAnsiTheme="majorBidi" w:cstheme="majorBidi"/>
          <w:color w:val="000000" w:themeColor="text1"/>
        </w:rPr>
        <w:t>, ‘</w:t>
      </w:r>
      <w:r w:rsidR="00692742" w:rsidRPr="00C9056B">
        <w:rPr>
          <w:rFonts w:asciiTheme="majorBidi" w:eastAsia="Source Sans Pro" w:hAnsiTheme="majorBidi" w:cstheme="majorBidi"/>
          <w:color w:val="000000" w:themeColor="text1"/>
        </w:rPr>
        <w:t>The Socio-economic Duty</w:t>
      </w:r>
      <w:r w:rsidR="00692742">
        <w:rPr>
          <w:rFonts w:asciiTheme="majorBidi" w:eastAsia="Source Sans Pro" w:hAnsiTheme="majorBidi" w:cstheme="majorBidi"/>
          <w:color w:val="000000" w:themeColor="text1"/>
        </w:rPr>
        <w:t>’</w:t>
      </w:r>
      <w:r>
        <w:t xml:space="preserve"> (n </w:t>
      </w:r>
      <w:r w:rsidR="00576A7D">
        <w:t>4</w:t>
      </w:r>
      <w:r w:rsidR="00692742">
        <w:t>6</w:t>
      </w:r>
      <w:r w:rsidR="00A31C5B">
        <w:t>)</w:t>
      </w:r>
      <w:r>
        <w:t xml:space="preserve"> 19</w:t>
      </w:r>
      <w:r w:rsidR="009C1C22">
        <w:t>–</w:t>
      </w:r>
      <w:r>
        <w:t>23.</w:t>
      </w:r>
    </w:p>
  </w:footnote>
  <w:footnote w:id="55">
    <w:p w14:paraId="6B67D731" w14:textId="5298D34E" w:rsidR="00CE16D4" w:rsidRDefault="00CE16D4" w:rsidP="00CE16D4">
      <w:pPr>
        <w:pStyle w:val="FootnoteText"/>
      </w:pPr>
      <w:r>
        <w:rPr>
          <w:rStyle w:val="FootnoteReference"/>
          <w:rFonts w:eastAsiaTheme="majorEastAsia"/>
        </w:rPr>
        <w:footnoteRef/>
      </w:r>
      <w:r>
        <w:t xml:space="preserve"> </w:t>
      </w:r>
      <w:r w:rsidR="009C1C22" w:rsidRPr="00BA2D09">
        <w:rPr>
          <w:rFonts w:asciiTheme="majorBidi" w:eastAsia="Source Sans Pro" w:hAnsiTheme="majorBidi"/>
          <w:color w:val="000000" w:themeColor="text1"/>
        </w:rPr>
        <w:t>Equality and Human Rights Commission</w:t>
      </w:r>
      <w:r w:rsidR="009C1C22" w:rsidRPr="00EF707A">
        <w:rPr>
          <w:rFonts w:asciiTheme="majorBidi" w:eastAsia="Source Sans Pro" w:hAnsiTheme="majorBidi" w:cstheme="majorBidi"/>
          <w:color w:val="000000" w:themeColor="text1"/>
        </w:rPr>
        <w:t xml:space="preserve">, </w:t>
      </w:r>
      <w:r w:rsidR="009C1C22">
        <w:rPr>
          <w:rFonts w:asciiTheme="majorBidi" w:eastAsia="Source Sans Pro" w:hAnsiTheme="majorBidi" w:cstheme="majorBidi"/>
          <w:color w:val="000000" w:themeColor="text1"/>
        </w:rPr>
        <w:t>‘</w:t>
      </w:r>
      <w:r w:rsidR="009C1C22" w:rsidRPr="00EF707A">
        <w:rPr>
          <w:rFonts w:asciiTheme="majorBidi" w:eastAsia="Source Sans Pro" w:hAnsiTheme="majorBidi" w:cstheme="majorBidi"/>
          <w:color w:val="000000" w:themeColor="text1"/>
        </w:rPr>
        <w:t>Evaluating the Socio-economic Duty</w:t>
      </w:r>
      <w:r w:rsidR="009C1C22">
        <w:rPr>
          <w:rFonts w:asciiTheme="majorBidi" w:eastAsia="Source Sans Pro" w:hAnsiTheme="majorBidi" w:cstheme="majorBidi"/>
          <w:color w:val="000000" w:themeColor="text1"/>
        </w:rPr>
        <w:t>’</w:t>
      </w:r>
      <w:r>
        <w:t xml:space="preserve"> (n </w:t>
      </w:r>
      <w:r w:rsidR="00576A7D">
        <w:t>4</w:t>
      </w:r>
      <w:r w:rsidR="009C1C22">
        <w:t>6</w:t>
      </w:r>
      <w:r w:rsidR="00A31C5B">
        <w:t>)</w:t>
      </w:r>
      <w:r>
        <w:t xml:space="preserve"> 7.</w:t>
      </w:r>
    </w:p>
  </w:footnote>
  <w:footnote w:id="56">
    <w:p w14:paraId="09B76419" w14:textId="7645D044"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005329F4">
        <w:rPr>
          <w:rFonts w:asciiTheme="majorBidi" w:hAnsiTheme="majorBidi" w:cstheme="majorBidi"/>
        </w:rPr>
        <w:t xml:space="preserve"> </w:t>
      </w:r>
      <w:r w:rsidR="009167C9" w:rsidRPr="006369BB">
        <w:rPr>
          <w:rFonts w:asciiTheme="majorBidi" w:eastAsia="Source Sans Pro" w:hAnsiTheme="majorBidi" w:cstheme="majorBidi"/>
          <w:color w:val="000000" w:themeColor="text1"/>
        </w:rPr>
        <w:t xml:space="preserve">Fredman, </w:t>
      </w:r>
      <w:r w:rsidR="009167C9">
        <w:rPr>
          <w:rFonts w:asciiTheme="majorBidi" w:eastAsia="Source Sans Pro" w:hAnsiTheme="majorBidi" w:cstheme="majorBidi"/>
          <w:color w:val="000000" w:themeColor="text1"/>
        </w:rPr>
        <w:t>‘</w:t>
      </w:r>
      <w:r w:rsidR="009167C9" w:rsidRPr="006369BB">
        <w:rPr>
          <w:rFonts w:asciiTheme="majorBidi" w:eastAsia="Source Sans Pro" w:hAnsiTheme="majorBidi" w:cstheme="majorBidi"/>
          <w:color w:val="000000" w:themeColor="text1"/>
        </w:rPr>
        <w:t>Positive Duties</w:t>
      </w:r>
      <w:r w:rsidR="009167C9">
        <w:rPr>
          <w:rFonts w:asciiTheme="majorBidi" w:eastAsia="Source Sans Pro" w:hAnsiTheme="majorBidi" w:cstheme="majorBidi"/>
          <w:color w:val="000000" w:themeColor="text1"/>
        </w:rPr>
        <w:t>’ (n 39)</w:t>
      </w:r>
      <w:r>
        <w:rPr>
          <w:rFonts w:asciiTheme="majorBidi" w:eastAsia="Source Sans Pro" w:hAnsiTheme="majorBidi" w:cstheme="majorBidi"/>
          <w:color w:val="000000" w:themeColor="text1"/>
        </w:rPr>
        <w:t>.</w:t>
      </w:r>
    </w:p>
  </w:footnote>
  <w:footnote w:id="57">
    <w:p w14:paraId="5B87B8C5" w14:textId="642ADDDC"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005329F4" w:rsidRPr="00BA2D09">
        <w:rPr>
          <w:rFonts w:asciiTheme="majorBidi" w:hAnsiTheme="majorBidi"/>
        </w:rPr>
        <w:t xml:space="preserve"> </w:t>
      </w:r>
      <w:r w:rsidR="009C1C22" w:rsidRPr="00EF707A">
        <w:rPr>
          <w:rFonts w:asciiTheme="majorBidi" w:eastAsia="Source Sans Pro" w:hAnsiTheme="majorBidi" w:cstheme="majorBidi"/>
          <w:color w:val="000000" w:themeColor="text1"/>
        </w:rPr>
        <w:t xml:space="preserve">Equality and Human Rights Commission, </w:t>
      </w:r>
      <w:r w:rsidR="009C1C22">
        <w:rPr>
          <w:rFonts w:asciiTheme="majorBidi" w:eastAsia="Source Sans Pro" w:hAnsiTheme="majorBidi" w:cstheme="majorBidi"/>
          <w:color w:val="000000" w:themeColor="text1"/>
        </w:rPr>
        <w:t>‘</w:t>
      </w:r>
      <w:r w:rsidR="009C1C22" w:rsidRPr="00EF707A">
        <w:rPr>
          <w:rFonts w:asciiTheme="majorBidi" w:eastAsia="Source Sans Pro" w:hAnsiTheme="majorBidi" w:cstheme="majorBidi"/>
          <w:color w:val="000000" w:themeColor="text1"/>
        </w:rPr>
        <w:t>Evaluating the Socio-economic Duty</w:t>
      </w:r>
      <w:r w:rsidR="009C1C22">
        <w:rPr>
          <w:rFonts w:asciiTheme="majorBidi" w:eastAsia="Source Sans Pro" w:hAnsiTheme="majorBidi" w:cstheme="majorBidi"/>
          <w:color w:val="000000" w:themeColor="text1"/>
        </w:rPr>
        <w:t>’</w:t>
      </w:r>
      <w:r w:rsidR="009C1C22">
        <w:t xml:space="preserve"> (n 46).</w:t>
      </w:r>
    </w:p>
  </w:footnote>
  <w:footnote w:id="58">
    <w:p w14:paraId="00C8456C" w14:textId="446B701A" w:rsidR="00CE16D4" w:rsidRPr="001B304D"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1B304D">
        <w:rPr>
          <w:rFonts w:asciiTheme="majorBidi" w:hAnsiTheme="majorBidi" w:cstheme="majorBidi"/>
        </w:rPr>
        <w:t xml:space="preserve"> McCrudden (n </w:t>
      </w:r>
      <w:r w:rsidR="00576A7D" w:rsidRPr="001B304D">
        <w:rPr>
          <w:rFonts w:asciiTheme="majorBidi" w:hAnsiTheme="majorBidi" w:cstheme="majorBidi"/>
        </w:rPr>
        <w:t>9</w:t>
      </w:r>
      <w:r w:rsidR="00A31C5B" w:rsidRPr="001B304D">
        <w:rPr>
          <w:rFonts w:asciiTheme="majorBidi" w:hAnsiTheme="majorBidi" w:cstheme="majorBidi"/>
        </w:rPr>
        <w:t>)</w:t>
      </w:r>
      <w:r w:rsidRPr="001B304D">
        <w:rPr>
          <w:rFonts w:asciiTheme="majorBidi" w:hAnsiTheme="majorBidi" w:cstheme="majorBidi"/>
        </w:rPr>
        <w:t xml:space="preserve"> 259.</w:t>
      </w:r>
    </w:p>
  </w:footnote>
  <w:footnote w:id="59">
    <w:p w14:paraId="1E1BEA46" w14:textId="2F40FA37" w:rsidR="00CE16D4" w:rsidRPr="001B304D"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1B304D">
        <w:rPr>
          <w:rFonts w:asciiTheme="majorBidi" w:hAnsiTheme="majorBidi" w:cstheme="majorBidi"/>
        </w:rPr>
        <w:t xml:space="preserve"> </w:t>
      </w:r>
      <w:r w:rsidR="009167C9" w:rsidRPr="001B304D">
        <w:rPr>
          <w:rFonts w:asciiTheme="majorBidi" w:eastAsia="Source Sans Pro" w:hAnsiTheme="majorBidi"/>
          <w:color w:val="000000" w:themeColor="text1"/>
        </w:rPr>
        <w:t>Fredman</w:t>
      </w:r>
      <w:r w:rsidR="009167C9" w:rsidRPr="001B304D">
        <w:rPr>
          <w:rFonts w:asciiTheme="majorBidi" w:eastAsia="Source Sans Pro" w:hAnsiTheme="majorBidi" w:cstheme="majorBidi"/>
          <w:color w:val="000000" w:themeColor="text1"/>
        </w:rPr>
        <w:t>, ‘</w:t>
      </w:r>
      <w:r w:rsidR="00017EAA">
        <w:rPr>
          <w:rFonts w:asciiTheme="majorBidi" w:eastAsia="Source Sans Pro" w:hAnsiTheme="majorBidi" w:cstheme="majorBidi"/>
          <w:color w:val="000000" w:themeColor="text1"/>
        </w:rPr>
        <w:t>‘</w:t>
      </w:r>
      <w:r w:rsidR="00017EAA" w:rsidRPr="00213807">
        <w:rPr>
          <w:rFonts w:asciiTheme="majorBidi" w:eastAsia="Source Sans Pro" w:hAnsiTheme="majorBidi" w:cstheme="majorBidi"/>
          <w:color w:val="000000" w:themeColor="text1"/>
        </w:rPr>
        <w:t>Breaking the Mold</w:t>
      </w:r>
      <w:r w:rsidR="00017EAA">
        <w:rPr>
          <w:rFonts w:asciiTheme="majorBidi" w:eastAsia="Source Sans Pro" w:hAnsiTheme="majorBidi" w:cstheme="majorBidi"/>
          <w:color w:val="000000" w:themeColor="text1"/>
        </w:rPr>
        <w:t>’</w:t>
      </w:r>
      <w:r w:rsidR="00017EAA" w:rsidRPr="00213807">
        <w:rPr>
          <w:rFonts w:asciiTheme="majorBidi" w:eastAsia="Source Sans Pro" w:hAnsiTheme="majorBidi" w:cstheme="majorBidi"/>
          <w:color w:val="000000" w:themeColor="text1"/>
        </w:rPr>
        <w:t xml:space="preserve"> </w:t>
      </w:r>
      <w:r w:rsidR="00017EAA">
        <w:rPr>
          <w:rFonts w:asciiTheme="majorBidi" w:eastAsia="Source Sans Pro" w:hAnsiTheme="majorBidi" w:cstheme="majorBidi"/>
          <w:color w:val="000000" w:themeColor="text1"/>
        </w:rPr>
        <w:t>(n 16)</w:t>
      </w:r>
      <w:r w:rsidRPr="001B304D">
        <w:rPr>
          <w:rFonts w:asciiTheme="majorBidi" w:hAnsiTheme="majorBidi" w:cstheme="majorBidi"/>
          <w:color w:val="000000" w:themeColor="text1"/>
        </w:rPr>
        <w:t>274.</w:t>
      </w:r>
    </w:p>
  </w:footnote>
  <w:footnote w:id="60">
    <w:p w14:paraId="2FF72F16" w14:textId="2D9FBD4E" w:rsidR="00CE16D4" w:rsidRPr="001B304D"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1B304D">
        <w:rPr>
          <w:rFonts w:asciiTheme="majorBidi" w:hAnsiTheme="majorBidi" w:cstheme="majorBidi"/>
        </w:rPr>
        <w:t xml:space="preserve"> McCrudden (n </w:t>
      </w:r>
      <w:r w:rsidR="00576A7D" w:rsidRPr="001B304D">
        <w:rPr>
          <w:rFonts w:asciiTheme="majorBidi" w:hAnsiTheme="majorBidi" w:cstheme="majorBidi"/>
        </w:rPr>
        <w:t>9</w:t>
      </w:r>
      <w:r w:rsidR="00A31C5B" w:rsidRPr="001B304D">
        <w:rPr>
          <w:rFonts w:asciiTheme="majorBidi" w:hAnsiTheme="majorBidi" w:cstheme="majorBidi"/>
        </w:rPr>
        <w:t>)</w:t>
      </w:r>
      <w:r w:rsidRPr="001B304D">
        <w:rPr>
          <w:rFonts w:asciiTheme="majorBidi" w:hAnsiTheme="majorBidi" w:cstheme="majorBidi"/>
        </w:rPr>
        <w:t xml:space="preserve"> 262.</w:t>
      </w:r>
    </w:p>
  </w:footnote>
  <w:footnote w:id="61">
    <w:p w14:paraId="38D6320D" w14:textId="22CC73A1" w:rsidR="00CE16D4" w:rsidRPr="00FA0E31"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FA0E31">
        <w:rPr>
          <w:rFonts w:asciiTheme="majorBidi" w:hAnsiTheme="majorBidi" w:cstheme="majorBidi"/>
        </w:rPr>
        <w:t xml:space="preserve"> </w:t>
      </w:r>
      <w:r w:rsidRPr="008B7998">
        <w:t xml:space="preserve">Welsh </w:t>
      </w:r>
      <w:r w:rsidR="0093613D">
        <w:t>government</w:t>
      </w:r>
      <w:r w:rsidRPr="008B7998">
        <w:t xml:space="preserve"> (</w:t>
      </w:r>
      <w:r w:rsidR="00692742">
        <w:t>n 44</w:t>
      </w:r>
      <w:r w:rsidRPr="008B7998">
        <w:t>)</w:t>
      </w:r>
      <w:r w:rsidR="00692742">
        <w:t xml:space="preserve"> </w:t>
      </w:r>
      <w:r w:rsidRPr="00FA0E31">
        <w:rPr>
          <w:rFonts w:asciiTheme="majorBidi" w:hAnsiTheme="majorBidi" w:cstheme="majorBidi"/>
        </w:rPr>
        <w:t>13.</w:t>
      </w:r>
    </w:p>
  </w:footnote>
  <w:footnote w:id="62">
    <w:p w14:paraId="0C4AF0C2" w14:textId="7AE3AF55"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Pr>
          <w:rFonts w:asciiTheme="majorBidi" w:hAnsiTheme="majorBidi" w:cstheme="majorBidi"/>
        </w:rPr>
        <w:t>For an overview of these arguments in the context of policy</w:t>
      </w:r>
      <w:r w:rsidR="00692742">
        <w:rPr>
          <w:rFonts w:asciiTheme="majorBidi" w:hAnsiTheme="majorBidi" w:cstheme="majorBidi"/>
        </w:rPr>
        <w:t xml:space="preserve"> </w:t>
      </w:r>
      <w:r>
        <w:rPr>
          <w:rFonts w:asciiTheme="majorBidi" w:hAnsiTheme="majorBidi" w:cstheme="majorBidi"/>
        </w:rPr>
        <w:t xml:space="preserve">making, </w:t>
      </w:r>
      <w:r w:rsidR="00692742">
        <w:rPr>
          <w:rFonts w:asciiTheme="majorBidi" w:hAnsiTheme="majorBidi" w:cstheme="majorBidi"/>
        </w:rPr>
        <w:t>see</w:t>
      </w:r>
      <w:r>
        <w:rPr>
          <w:rFonts w:asciiTheme="majorBidi" w:hAnsiTheme="majorBidi" w:cstheme="majorBidi"/>
        </w:rPr>
        <w:t xml:space="preserve"> </w:t>
      </w:r>
      <w:r>
        <w:t xml:space="preserve">Denisha </w:t>
      </w:r>
      <w:proofErr w:type="spellStart"/>
      <w:r>
        <w:t>Killoh</w:t>
      </w:r>
      <w:proofErr w:type="spellEnd"/>
      <w:r>
        <w:t xml:space="preserve">, Gemma Bone Dodds and Sarah Deas, </w:t>
      </w:r>
      <w:r w:rsidR="00BA4366">
        <w:t>‘</w:t>
      </w:r>
      <w:r>
        <w:t xml:space="preserve">Nothing </w:t>
      </w:r>
      <w:r w:rsidR="00E0239B">
        <w:t xml:space="preserve">About </w:t>
      </w:r>
      <w:r w:rsidR="00692742">
        <w:t xml:space="preserve">Us </w:t>
      </w:r>
      <w:r w:rsidR="00E0239B">
        <w:t xml:space="preserve">Without </w:t>
      </w:r>
      <w:r w:rsidR="00692742">
        <w:t>Us</w:t>
      </w:r>
      <w:r w:rsidR="00BA4366">
        <w:t>’</w:t>
      </w:r>
      <w:r>
        <w:t xml:space="preserve"> (2020) 27(3) </w:t>
      </w:r>
      <w:r w:rsidRPr="00BA2D09">
        <w:t>IPPR Progressive Review</w:t>
      </w:r>
      <w:r>
        <w:t xml:space="preserve"> 265.</w:t>
      </w:r>
    </w:p>
  </w:footnote>
  <w:footnote w:id="63">
    <w:p w14:paraId="3202FDF9" w14:textId="33041141" w:rsidR="00CE16D4" w:rsidRPr="00BA2D09" w:rsidRDefault="00CE16D4" w:rsidP="00BA2D09">
      <w:pPr>
        <w:pStyle w:val="FootnoteText"/>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Pr="00B23456">
        <w:rPr>
          <w:rFonts w:asciiTheme="majorBidi" w:hAnsiTheme="majorBidi" w:cstheme="majorBidi"/>
        </w:rPr>
        <w:t xml:space="preserve">Scottish </w:t>
      </w:r>
      <w:r w:rsidR="0093613D">
        <w:rPr>
          <w:rFonts w:asciiTheme="majorBidi" w:hAnsiTheme="majorBidi" w:cstheme="majorBidi"/>
        </w:rPr>
        <w:t>government</w:t>
      </w:r>
      <w:r w:rsidRPr="00B23456">
        <w:rPr>
          <w:rFonts w:asciiTheme="majorBidi" w:hAnsiTheme="majorBidi" w:cstheme="majorBidi"/>
        </w:rPr>
        <w:t xml:space="preserve"> (</w:t>
      </w:r>
      <w:r w:rsidR="00692742">
        <w:rPr>
          <w:rFonts w:asciiTheme="majorBidi" w:hAnsiTheme="majorBidi" w:cstheme="majorBidi"/>
        </w:rPr>
        <w:t>n 40</w:t>
      </w:r>
      <w:r w:rsidRPr="00B23456">
        <w:rPr>
          <w:rFonts w:asciiTheme="majorBidi" w:hAnsiTheme="majorBidi" w:cstheme="majorBidi"/>
        </w:rPr>
        <w:t>)</w:t>
      </w:r>
      <w:r w:rsidR="00692742">
        <w:rPr>
          <w:rFonts w:asciiTheme="majorBidi" w:eastAsiaTheme="majorEastAsia" w:hAnsiTheme="majorBidi"/>
        </w:rPr>
        <w:t xml:space="preserve"> </w:t>
      </w:r>
      <w:r w:rsidRPr="00692742">
        <w:rPr>
          <w:rFonts w:eastAsiaTheme="majorEastAsia"/>
        </w:rPr>
        <w:t>26 and 32.</w:t>
      </w:r>
    </w:p>
  </w:footnote>
  <w:footnote w:id="64">
    <w:p w14:paraId="37D5F57A" w14:textId="43A0AED9" w:rsidR="00CE16D4" w:rsidRPr="003D42DF" w:rsidRDefault="00CE16D4" w:rsidP="00BA2D09">
      <w:pPr>
        <w:pStyle w:val="FootnoteText"/>
        <w:rPr>
          <w:rFonts w:asciiTheme="majorBidi" w:hAnsiTheme="majorBidi" w:cstheme="majorBidi"/>
        </w:rPr>
      </w:pPr>
      <w:r w:rsidRPr="003D42DF">
        <w:rPr>
          <w:rStyle w:val="FootnoteReference"/>
          <w:rFonts w:asciiTheme="majorBidi" w:eastAsiaTheme="majorEastAsia" w:hAnsiTheme="majorBidi"/>
        </w:rPr>
        <w:footnoteRef/>
      </w:r>
      <w:r w:rsidRPr="003D42DF">
        <w:rPr>
          <w:rFonts w:asciiTheme="majorBidi" w:hAnsiTheme="majorBidi" w:cstheme="majorBidi"/>
        </w:rPr>
        <w:t xml:space="preserve"> </w:t>
      </w:r>
      <w:r w:rsidR="00692742" w:rsidRPr="00BA2D09">
        <w:rPr>
          <w:rFonts w:asciiTheme="majorBidi" w:eastAsia="Source Sans Pro" w:hAnsiTheme="majorBidi"/>
          <w:color w:val="000000" w:themeColor="text1"/>
        </w:rPr>
        <w:t xml:space="preserve">Equality and Human Rights Commission, </w:t>
      </w:r>
      <w:r w:rsidR="00692742">
        <w:rPr>
          <w:rFonts w:asciiTheme="majorBidi" w:eastAsia="Source Sans Pro" w:hAnsiTheme="majorBidi" w:cstheme="majorBidi"/>
          <w:color w:val="000000" w:themeColor="text1"/>
        </w:rPr>
        <w:t>‘</w:t>
      </w:r>
      <w:r w:rsidR="00692742" w:rsidRPr="00EF707A">
        <w:rPr>
          <w:rFonts w:asciiTheme="majorBidi" w:eastAsia="Source Sans Pro" w:hAnsiTheme="majorBidi" w:cstheme="majorBidi"/>
          <w:color w:val="000000" w:themeColor="text1"/>
        </w:rPr>
        <w:t>Evaluating</w:t>
      </w:r>
      <w:r w:rsidR="00692742" w:rsidRPr="00BA2D09">
        <w:rPr>
          <w:rFonts w:asciiTheme="majorBidi" w:eastAsia="Source Sans Pro" w:hAnsiTheme="majorBidi"/>
          <w:color w:val="000000" w:themeColor="text1"/>
        </w:rPr>
        <w:t xml:space="preserve"> the Socio-economic </w:t>
      </w:r>
      <w:r w:rsidR="00692742" w:rsidRPr="00EF707A">
        <w:rPr>
          <w:rFonts w:asciiTheme="majorBidi" w:eastAsia="Source Sans Pro" w:hAnsiTheme="majorBidi" w:cstheme="majorBidi"/>
          <w:color w:val="000000" w:themeColor="text1"/>
        </w:rPr>
        <w:t>Duty</w:t>
      </w:r>
      <w:r w:rsidR="00692742">
        <w:rPr>
          <w:rFonts w:asciiTheme="majorBidi" w:eastAsia="Source Sans Pro" w:hAnsiTheme="majorBidi" w:cstheme="majorBidi"/>
          <w:color w:val="000000" w:themeColor="text1"/>
        </w:rPr>
        <w:t>’</w:t>
      </w:r>
      <w:r w:rsidR="00692742">
        <w:t xml:space="preserve"> (n 46)</w:t>
      </w:r>
      <w:r>
        <w:rPr>
          <w:rFonts w:asciiTheme="majorBidi" w:hAnsiTheme="majorBidi" w:cstheme="majorBidi"/>
        </w:rPr>
        <w:t>.</w:t>
      </w:r>
    </w:p>
  </w:footnote>
  <w:footnote w:id="65">
    <w:p w14:paraId="2D2A9FB6" w14:textId="3DF1654D" w:rsidR="003D41DC" w:rsidRDefault="003D41DC">
      <w:pPr>
        <w:pStyle w:val="FootnoteText"/>
      </w:pPr>
      <w:r>
        <w:rPr>
          <w:rStyle w:val="FootnoteReference"/>
        </w:rPr>
        <w:footnoteRef/>
      </w:r>
      <w:r>
        <w:t xml:space="preserve"> Theresa May</w:t>
      </w:r>
      <w:r w:rsidRPr="003D41DC">
        <w:t>, HC Deb 11 May 2009, vol 507, col 573</w:t>
      </w:r>
      <w:r>
        <w:t>.</w:t>
      </w:r>
    </w:p>
  </w:footnote>
  <w:footnote w:id="66">
    <w:p w14:paraId="50574381" w14:textId="2B62F423" w:rsidR="00745DD4" w:rsidRPr="001B304D" w:rsidRDefault="00745DD4">
      <w:pPr>
        <w:pStyle w:val="FootnoteText"/>
      </w:pPr>
      <w:r>
        <w:rPr>
          <w:rStyle w:val="FootnoteReference"/>
        </w:rPr>
        <w:footnoteRef/>
      </w:r>
      <w:r w:rsidRPr="001B304D">
        <w:t xml:space="preserve"> Baroness </w:t>
      </w:r>
      <w:r w:rsidR="00DC2993" w:rsidRPr="001B304D">
        <w:t>Verma</w:t>
      </w:r>
      <w:r w:rsidRPr="001B304D">
        <w:t>, HL Deb 18 November 2010, vol 722, col 9</w:t>
      </w:r>
      <w:r w:rsidR="00DC2993" w:rsidRPr="001B304D">
        <w:t>1</w:t>
      </w:r>
      <w:r w:rsidRPr="001B304D">
        <w:t>8.</w:t>
      </w:r>
    </w:p>
  </w:footnote>
  <w:footnote w:id="67">
    <w:p w14:paraId="5DDFB72B" w14:textId="513A7AA6" w:rsidR="00671081" w:rsidRPr="00671081" w:rsidRDefault="00671081">
      <w:pPr>
        <w:pStyle w:val="FootnoteText"/>
      </w:pPr>
      <w:r>
        <w:rPr>
          <w:rStyle w:val="FootnoteReference"/>
        </w:rPr>
        <w:footnoteRef/>
      </w:r>
      <w:r w:rsidRPr="00671081">
        <w:t xml:space="preserve"> </w:t>
      </w:r>
      <w:r w:rsidRPr="006D3C5B">
        <w:t>Baroness Featherstone,</w:t>
      </w:r>
      <w:r>
        <w:t xml:space="preserve"> </w:t>
      </w:r>
      <w:r w:rsidRPr="006D3C5B">
        <w:t>HC Deb 18 November 2010, vol 518, col 1061.</w:t>
      </w:r>
    </w:p>
  </w:footnote>
  <w:footnote w:id="68">
    <w:p w14:paraId="2F21515F" w14:textId="255DEBEA" w:rsidR="00370553" w:rsidRDefault="00370553" w:rsidP="005C46DC">
      <w:pPr>
        <w:pStyle w:val="FootnoteText"/>
      </w:pPr>
      <w:r>
        <w:rPr>
          <w:rStyle w:val="FootnoteReference"/>
        </w:rPr>
        <w:footnoteRef/>
      </w:r>
      <w:r>
        <w:t xml:space="preserve"> </w:t>
      </w:r>
      <w:r w:rsidRPr="00370553">
        <w:t xml:space="preserve">Theresa May, </w:t>
      </w:r>
      <w:r w:rsidR="00BA4366">
        <w:t>‘</w:t>
      </w:r>
      <w:r w:rsidRPr="00370553">
        <w:t>Equality Strategy Speech</w:t>
      </w:r>
      <w:r w:rsidR="00BA4366">
        <w:t>’</w:t>
      </w:r>
      <w:r w:rsidRPr="00370553">
        <w:t xml:space="preserve"> (</w:t>
      </w:r>
      <w:r w:rsidR="00692742" w:rsidRPr="00370553">
        <w:t>GOV.UK</w:t>
      </w:r>
      <w:r w:rsidRPr="00370553">
        <w:t xml:space="preserve">, 15 November 2010) </w:t>
      </w:r>
      <w:r w:rsidR="005329F4">
        <w:t>&lt;www</w:t>
      </w:r>
      <w:r w:rsidR="005C46DC" w:rsidRPr="00130F23">
        <w:t>.gov.uk/government/speeches/theresa-mays-equality-strategy-speech</w:t>
      </w:r>
      <w:r w:rsidR="005329F4">
        <w:t>&gt; accessed</w:t>
      </w:r>
      <w:r w:rsidR="005C46DC" w:rsidRPr="00130F23">
        <w:t xml:space="preserve"> 28 December 2025</w:t>
      </w:r>
      <w:r>
        <w:t>.</w:t>
      </w:r>
      <w:r w:rsidR="00AF76BF">
        <w:t xml:space="preserve"> </w:t>
      </w:r>
      <w:r w:rsidR="005C46DC">
        <w:t>See also concerns by Baroness Warsi about extra burdens on local authorities struggling with limited budgets</w:t>
      </w:r>
      <w:r w:rsidR="00692742">
        <w:t>,</w:t>
      </w:r>
      <w:r w:rsidR="005C46DC">
        <w:t xml:space="preserve"> </w:t>
      </w:r>
      <w:r w:rsidR="009C1D24">
        <w:t xml:space="preserve">Baroness Warsi, </w:t>
      </w:r>
      <w:r w:rsidR="005C46DC" w:rsidRPr="005C46DC">
        <w:t>HL Deb 18 November 2010, vol 722, col 198</w:t>
      </w:r>
      <w:r w:rsidR="005C46DC">
        <w:t>.</w:t>
      </w:r>
    </w:p>
  </w:footnote>
  <w:footnote w:id="69">
    <w:p w14:paraId="4516E57A" w14:textId="019B7833" w:rsidR="00705BB7" w:rsidRPr="00370553" w:rsidRDefault="00705BB7" w:rsidP="00BA2D09">
      <w:pPr>
        <w:pStyle w:val="FootnoteText"/>
      </w:pPr>
      <w:r>
        <w:rPr>
          <w:rStyle w:val="FootnoteReference"/>
        </w:rPr>
        <w:footnoteRef/>
      </w:r>
      <w:r w:rsidRPr="00370553">
        <w:t xml:space="preserve"> </w:t>
      </w:r>
      <w:r w:rsidR="00942381" w:rsidRPr="00370553">
        <w:t>Gergana Dimova</w:t>
      </w:r>
      <w:r w:rsidR="009167C9">
        <w:t xml:space="preserve"> and others</w:t>
      </w:r>
      <w:r w:rsidR="00942381" w:rsidRPr="00370553">
        <w:t xml:space="preserve">, </w:t>
      </w:r>
      <w:r w:rsidR="00BA4366">
        <w:t>‘</w:t>
      </w:r>
      <w:r w:rsidR="00942381" w:rsidRPr="00370553">
        <w:t>The State of the Field: Maps, Gaps, and Traps</w:t>
      </w:r>
      <w:r w:rsidR="00BA4366">
        <w:t>’</w:t>
      </w:r>
      <w:r w:rsidR="00942381" w:rsidRPr="00370553">
        <w:t xml:space="preserve"> in Matthew Flinders</w:t>
      </w:r>
      <w:r w:rsidR="009167C9">
        <w:t xml:space="preserve"> and others</w:t>
      </w:r>
      <w:r w:rsidR="00942381" w:rsidRPr="00370553">
        <w:t xml:space="preserve"> (eds), </w:t>
      </w:r>
      <w:r w:rsidR="00942381" w:rsidRPr="00370553">
        <w:rPr>
          <w:i/>
          <w:iCs/>
        </w:rPr>
        <w:t>The Politics and Governance of Blame</w:t>
      </w:r>
      <w:r w:rsidR="00942381" w:rsidRPr="00370553">
        <w:t xml:space="preserve"> (OUP 2024) </w:t>
      </w:r>
      <w:r w:rsidRPr="00370553">
        <w:t>28</w:t>
      </w:r>
      <w:r w:rsidR="009C1C22">
        <w:t>–</w:t>
      </w:r>
      <w:r w:rsidRPr="00370553">
        <w:t>30.</w:t>
      </w:r>
    </w:p>
  </w:footnote>
  <w:footnote w:id="70">
    <w:p w14:paraId="1618A66E" w14:textId="08E80B04" w:rsidR="00705BB7" w:rsidRDefault="00705BB7" w:rsidP="00BA2D09">
      <w:pPr>
        <w:pStyle w:val="FootnoteText"/>
      </w:pPr>
      <w:r>
        <w:rPr>
          <w:rStyle w:val="FootnoteReference"/>
        </w:rPr>
        <w:footnoteRef/>
      </w:r>
      <w:r>
        <w:t xml:space="preserve"> </w:t>
      </w:r>
      <w:r w:rsidR="0061742E" w:rsidRPr="0061742E">
        <w:t xml:space="preserve">Christopher Hood, </w:t>
      </w:r>
      <w:r w:rsidR="00BA4366">
        <w:t>‘</w:t>
      </w:r>
      <w:r w:rsidR="0061742E" w:rsidRPr="0061742E">
        <w:t>The</w:t>
      </w:r>
      <w:r w:rsidR="00692742" w:rsidRPr="0061742E">
        <w:t xml:space="preserve"> Risk Game</w:t>
      </w:r>
      <w:r w:rsidR="0061742E" w:rsidRPr="0061742E">
        <w:t xml:space="preserve"> and the </w:t>
      </w:r>
      <w:r w:rsidR="00692742" w:rsidRPr="0061742E">
        <w:t>Blame Game</w:t>
      </w:r>
      <w:r w:rsidR="00692742">
        <w:t>’</w:t>
      </w:r>
      <w:r w:rsidR="00692742" w:rsidRPr="0061742E">
        <w:t xml:space="preserve"> </w:t>
      </w:r>
      <w:r w:rsidR="0061742E" w:rsidRPr="0061742E">
        <w:t xml:space="preserve">(2002) 37(1) </w:t>
      </w:r>
      <w:r w:rsidR="0061742E" w:rsidRPr="00BA2D09">
        <w:t>Government and Opposition</w:t>
      </w:r>
      <w:r w:rsidR="0061742E" w:rsidRPr="0061742E">
        <w:t xml:space="preserve"> 15</w:t>
      </w:r>
      <w:r w:rsidR="0061742E">
        <w:t>.</w:t>
      </w:r>
    </w:p>
  </w:footnote>
  <w:footnote w:id="71">
    <w:p w14:paraId="30467B9A" w14:textId="48FB42A3" w:rsidR="00705BB7" w:rsidRDefault="00705BB7" w:rsidP="00BA2D09">
      <w:pPr>
        <w:pStyle w:val="FootnoteText"/>
      </w:pPr>
      <w:r>
        <w:rPr>
          <w:rStyle w:val="FootnoteReference"/>
        </w:rPr>
        <w:footnoteRef/>
      </w:r>
      <w:r>
        <w:t xml:space="preserve"> </w:t>
      </w:r>
      <w:r w:rsidR="009C1C22">
        <w:t>ibid</w:t>
      </w:r>
      <w:r w:rsidR="00700338">
        <w:t xml:space="preserve"> </w:t>
      </w:r>
      <w:r>
        <w:t>592.</w:t>
      </w:r>
    </w:p>
  </w:footnote>
  <w:footnote w:id="72">
    <w:p w14:paraId="1B008B41" w14:textId="71FF9FF0" w:rsidR="00705BB7" w:rsidRDefault="00705BB7" w:rsidP="00BA2D09">
      <w:pPr>
        <w:pStyle w:val="FootnoteText"/>
      </w:pPr>
      <w:r>
        <w:rPr>
          <w:rStyle w:val="FootnoteReference"/>
        </w:rPr>
        <w:footnoteRef/>
      </w:r>
      <w:r>
        <w:t xml:space="preserve"> For a detailed discussion of these, see </w:t>
      </w:r>
      <w:r w:rsidR="00692742">
        <w:t>ibid</w:t>
      </w:r>
      <w:r w:rsidR="002A059B">
        <w:t xml:space="preserve"> </w:t>
      </w:r>
      <w:r>
        <w:t>47</w:t>
      </w:r>
      <w:r w:rsidR="009C1C22">
        <w:t>–</w:t>
      </w:r>
      <w:r>
        <w:t>65.</w:t>
      </w:r>
    </w:p>
  </w:footnote>
  <w:footnote w:id="73">
    <w:p w14:paraId="75C9FD8B" w14:textId="46E7E61E" w:rsidR="00D54B01" w:rsidRPr="00D54B01" w:rsidRDefault="00D54B01">
      <w:pPr>
        <w:pStyle w:val="FootnoteText"/>
      </w:pPr>
      <w:r>
        <w:rPr>
          <w:rStyle w:val="FootnoteReference"/>
        </w:rPr>
        <w:footnoteRef/>
      </w:r>
      <w:r w:rsidRPr="00D54B01">
        <w:t xml:space="preserve"> Lees and P</w:t>
      </w:r>
      <w:r w:rsidRPr="00FE2A99">
        <w:t>eder</w:t>
      </w:r>
      <w:r>
        <w:t>sen</w:t>
      </w:r>
      <w:r w:rsidR="00127FED">
        <w:t xml:space="preserve"> (n 33)</w:t>
      </w:r>
      <w:r>
        <w:t xml:space="preserve"> 130.</w:t>
      </w:r>
    </w:p>
  </w:footnote>
  <w:footnote w:id="74">
    <w:p w14:paraId="4BAF5C0C" w14:textId="4973F6B2" w:rsidR="009C274F" w:rsidRDefault="009C274F">
      <w:pPr>
        <w:pStyle w:val="FootnoteText"/>
      </w:pPr>
      <w:r>
        <w:rPr>
          <w:rStyle w:val="FootnoteReference"/>
        </w:rPr>
        <w:footnoteRef/>
      </w:r>
      <w:r>
        <w:t xml:space="preserve"> </w:t>
      </w:r>
      <w:r w:rsidR="009C1C22">
        <w:t>ibid</w:t>
      </w:r>
      <w:r>
        <w:t xml:space="preserve"> 129.</w:t>
      </w:r>
    </w:p>
  </w:footnote>
  <w:footnote w:id="75">
    <w:p w14:paraId="11A4065B" w14:textId="2BBCF719" w:rsidR="008E61DC" w:rsidRPr="00BA620F" w:rsidRDefault="008E61DC">
      <w:pPr>
        <w:pStyle w:val="FootnoteText"/>
      </w:pPr>
      <w:r>
        <w:rPr>
          <w:rStyle w:val="FootnoteReference"/>
        </w:rPr>
        <w:footnoteRef/>
      </w:r>
      <w:r>
        <w:t xml:space="preserve"> </w:t>
      </w:r>
      <w:r w:rsidR="009C1C22">
        <w:t>ibid</w:t>
      </w:r>
      <w:r>
        <w:t xml:space="preserve"> 125</w:t>
      </w:r>
      <w:r w:rsidR="00D65217">
        <w:t>,</w:t>
      </w:r>
      <w:r w:rsidR="00692742">
        <w:t xml:space="preserve"> </w:t>
      </w:r>
      <w:r w:rsidR="001B51C6">
        <w:t>129</w:t>
      </w:r>
      <w:r w:rsidR="00692742">
        <w:t xml:space="preserve"> and</w:t>
      </w:r>
      <w:r w:rsidR="00D65217">
        <w:t xml:space="preserve"> 130. On Feldman specifically, see also </w:t>
      </w:r>
      <w:r w:rsidR="00BA620F">
        <w:t xml:space="preserve">David Feldman, </w:t>
      </w:r>
      <w:r w:rsidR="00BA4366">
        <w:t>‘</w:t>
      </w:r>
      <w:r w:rsidR="00BA620F">
        <w:t xml:space="preserve">Legislation </w:t>
      </w:r>
      <w:r w:rsidR="00FF72F1">
        <w:t xml:space="preserve">which </w:t>
      </w:r>
      <w:r w:rsidR="00BA620F">
        <w:t xml:space="preserve">Bears </w:t>
      </w:r>
      <w:r w:rsidR="00FF72F1">
        <w:t xml:space="preserve">no </w:t>
      </w:r>
      <w:r w:rsidR="00BA620F">
        <w:t>Law</w:t>
      </w:r>
      <w:r w:rsidR="00BA4366">
        <w:t>’</w:t>
      </w:r>
      <w:r w:rsidR="00BA620F">
        <w:t xml:space="preserve"> (2016) 37 </w:t>
      </w:r>
      <w:r w:rsidR="00BA620F" w:rsidRPr="00692742">
        <w:t>Stat</w:t>
      </w:r>
      <w:r w:rsidR="00692742">
        <w:t xml:space="preserve"> </w:t>
      </w:r>
      <w:r w:rsidR="00BA620F" w:rsidRPr="00692742">
        <w:t>LR</w:t>
      </w:r>
      <w:r w:rsidR="00692742" w:rsidRPr="00BA2D09">
        <w:t xml:space="preserve"> </w:t>
      </w:r>
      <w:r w:rsidR="00BA620F">
        <w:t>212.</w:t>
      </w:r>
    </w:p>
  </w:footnote>
  <w:footnote w:id="76">
    <w:p w14:paraId="5A023A7C" w14:textId="0B604534" w:rsidR="00EA1E08" w:rsidRDefault="00EA1E08">
      <w:pPr>
        <w:pStyle w:val="FootnoteText"/>
      </w:pPr>
      <w:r>
        <w:rPr>
          <w:rStyle w:val="FootnoteReference"/>
        </w:rPr>
        <w:footnoteRef/>
      </w:r>
      <w:r>
        <w:t xml:space="preserve"> </w:t>
      </w:r>
      <w:r w:rsidR="009C1C22">
        <w:t>ibid</w:t>
      </w:r>
      <w:r>
        <w:t>.</w:t>
      </w:r>
    </w:p>
  </w:footnote>
  <w:footnote w:id="77">
    <w:p w14:paraId="3C715171" w14:textId="440FAF5E" w:rsidR="00992F62" w:rsidRDefault="00992F62" w:rsidP="00992F62">
      <w:pPr>
        <w:pStyle w:val="FootnoteText"/>
      </w:pPr>
      <w:r>
        <w:rPr>
          <w:rStyle w:val="FootnoteReference"/>
        </w:rPr>
        <w:footnoteRef/>
      </w:r>
      <w:r>
        <w:t xml:space="preserve"> For an example of Hood</w:t>
      </w:r>
      <w:r w:rsidR="00BA4366">
        <w:t>’</w:t>
      </w:r>
      <w:r>
        <w:t xml:space="preserve">s use of this approach, </w:t>
      </w:r>
      <w:r w:rsidR="00692742">
        <w:t>see</w:t>
      </w:r>
      <w:r>
        <w:t xml:space="preserve"> </w:t>
      </w:r>
      <w:r w:rsidR="00692742">
        <w:t>Hood (n 70)</w:t>
      </w:r>
      <w:r>
        <w:t xml:space="preserve"> 49, 70 and 92.</w:t>
      </w:r>
    </w:p>
  </w:footnote>
  <w:footnote w:id="78">
    <w:p w14:paraId="35346407" w14:textId="6D7CB441" w:rsidR="00705BB7" w:rsidRDefault="00705BB7" w:rsidP="00BA2D09">
      <w:pPr>
        <w:pStyle w:val="FootnoteText"/>
      </w:pPr>
      <w:r>
        <w:rPr>
          <w:rStyle w:val="FootnoteReference"/>
        </w:rPr>
        <w:footnoteRef/>
      </w:r>
      <w:r>
        <w:t xml:space="preserve"> </w:t>
      </w:r>
      <w:r w:rsidR="00E0239B">
        <w:t>ibid</w:t>
      </w:r>
      <w:r w:rsidR="00FB76A7">
        <w:t xml:space="preserve"> </w:t>
      </w:r>
      <w:r>
        <w:t>742</w:t>
      </w:r>
      <w:r w:rsidR="009C1C22">
        <w:t>–</w:t>
      </w:r>
      <w:r>
        <w:t>5.</w:t>
      </w:r>
    </w:p>
  </w:footnote>
  <w:footnote w:id="79">
    <w:p w14:paraId="35EE32D1" w14:textId="11338A8D" w:rsidR="00705BB7" w:rsidRDefault="00705BB7" w:rsidP="00BA2D09">
      <w:pPr>
        <w:pStyle w:val="FootnoteText"/>
      </w:pPr>
      <w:r>
        <w:rPr>
          <w:rStyle w:val="FootnoteReference"/>
        </w:rPr>
        <w:footnoteRef/>
      </w:r>
      <w:r>
        <w:t xml:space="preserve"> </w:t>
      </w:r>
      <w:r w:rsidR="007A4003" w:rsidRPr="007A4003">
        <w:t xml:space="preserve">Matthew Flinders and Christopher Hood, </w:t>
      </w:r>
      <w:r w:rsidR="00BA4366">
        <w:t>‘</w:t>
      </w:r>
      <w:r w:rsidR="007A4003" w:rsidRPr="007A4003">
        <w:t>Blame Shields, Deals and Frames: A Fifty Year Perspective</w:t>
      </w:r>
      <w:r w:rsidR="00BA4366">
        <w:t>’</w:t>
      </w:r>
      <w:r w:rsidR="007A4003" w:rsidRPr="007A4003">
        <w:t xml:space="preserve"> in Flinders</w:t>
      </w:r>
      <w:r w:rsidR="009167C9">
        <w:t xml:space="preserve"> and others</w:t>
      </w:r>
      <w:r w:rsidR="007A4003" w:rsidRPr="007A4003">
        <w:t xml:space="preserve"> (</w:t>
      </w:r>
      <w:r w:rsidR="009167C9">
        <w:t>n 69</w:t>
      </w:r>
      <w:r w:rsidR="007A4003" w:rsidRPr="007A4003">
        <w:t>)</w:t>
      </w:r>
      <w:r w:rsidR="007A4003">
        <w:t xml:space="preserve"> </w:t>
      </w:r>
      <w:r>
        <w:t>742.</w:t>
      </w:r>
    </w:p>
  </w:footnote>
  <w:footnote w:id="80">
    <w:p w14:paraId="0E204057" w14:textId="658C9717" w:rsidR="00705BB7" w:rsidRPr="006C29A0" w:rsidRDefault="00705BB7" w:rsidP="00BA2D09">
      <w:pPr>
        <w:pStyle w:val="FootnoteText"/>
      </w:pPr>
      <w:r>
        <w:rPr>
          <w:rStyle w:val="FootnoteReference"/>
        </w:rPr>
        <w:footnoteRef/>
      </w:r>
      <w:r w:rsidR="00F63E95">
        <w:t xml:space="preserve"> </w:t>
      </w:r>
      <w:r>
        <w:t>Dimova</w:t>
      </w:r>
      <w:r w:rsidR="00F63E95">
        <w:t xml:space="preserve"> </w:t>
      </w:r>
      <w:r w:rsidR="00692742">
        <w:t>and others</w:t>
      </w:r>
      <w:r w:rsidR="00F63E95">
        <w:t xml:space="preserve"> (n </w:t>
      </w:r>
      <w:r w:rsidR="00576A7D">
        <w:t>6</w:t>
      </w:r>
      <w:r w:rsidR="00692742">
        <w:t>9</w:t>
      </w:r>
      <w:r w:rsidR="00A31C5B">
        <w:t>)</w:t>
      </w:r>
      <w:r>
        <w:t xml:space="preserve"> 24. For an examination of these arguments in the context of UK welfare reform, </w:t>
      </w:r>
      <w:r w:rsidR="00692742">
        <w:t>see</w:t>
      </w:r>
      <w:r>
        <w:t xml:space="preserve"> </w:t>
      </w:r>
      <w:r w:rsidR="00E0239B">
        <w:t xml:space="preserve">Jed Meers, ‘Discretion as Blame Avoidance: Passing the Buck to Local Authorities in “Welfare Reform”’ </w:t>
      </w:r>
      <w:r w:rsidR="00E0239B" w:rsidRPr="00E0239B">
        <w:t xml:space="preserve">(2019) 27(1) </w:t>
      </w:r>
      <w:r w:rsidR="00E0239B" w:rsidRPr="00BA2D09">
        <w:t xml:space="preserve">Journal of Poverty and Social Justice </w:t>
      </w:r>
      <w:r w:rsidR="00E0239B" w:rsidRPr="00E0239B">
        <w:t>41</w:t>
      </w:r>
      <w:r w:rsidRPr="003F6105">
        <w:t>.</w:t>
      </w:r>
    </w:p>
  </w:footnote>
  <w:footnote w:id="81">
    <w:p w14:paraId="0650F6DE" w14:textId="1ED927A0" w:rsidR="00705BB7" w:rsidRDefault="00705BB7" w:rsidP="00BA2D09">
      <w:pPr>
        <w:pStyle w:val="FootnoteText"/>
      </w:pPr>
      <w:r>
        <w:rPr>
          <w:rStyle w:val="FootnoteReference"/>
        </w:rPr>
        <w:footnoteRef/>
      </w:r>
      <w:r>
        <w:t xml:space="preserve"> </w:t>
      </w:r>
      <w:r w:rsidR="00A60599" w:rsidRPr="00A60599">
        <w:t xml:space="preserve">Tim Heinkelmann-Wild and Bernhard Zangl, </w:t>
      </w:r>
      <w:r w:rsidR="00BA4366">
        <w:t>‘</w:t>
      </w:r>
      <w:r w:rsidR="00A60599" w:rsidRPr="00A60599">
        <w:t xml:space="preserve">Multilevel </w:t>
      </w:r>
      <w:r w:rsidR="00E0239B" w:rsidRPr="00A60599">
        <w:t>Blame Games:</w:t>
      </w:r>
      <w:r w:rsidR="00A60599" w:rsidRPr="00A60599">
        <w:t xml:space="preserve"> Blame-</w:t>
      </w:r>
      <w:r w:rsidR="00E0239B" w:rsidRPr="00A60599">
        <w:t xml:space="preserve">Shifting </w:t>
      </w:r>
      <w:r w:rsidR="00A60599" w:rsidRPr="00A60599">
        <w:t>in the European Union</w:t>
      </w:r>
      <w:r w:rsidR="00BA4366">
        <w:t>’</w:t>
      </w:r>
      <w:r w:rsidR="00A60599" w:rsidRPr="00A60599">
        <w:t xml:space="preserve"> (2020) 33 Governance 953</w:t>
      </w:r>
      <w:r w:rsidR="00E0239B">
        <w:t>,</w:t>
      </w:r>
      <w:r>
        <w:t xml:space="preserve"> 955.</w:t>
      </w:r>
    </w:p>
  </w:footnote>
  <w:footnote w:id="82">
    <w:p w14:paraId="6B1B4B08" w14:textId="0BD1F141" w:rsidR="00705BB7" w:rsidRDefault="00705BB7" w:rsidP="00BA2D09">
      <w:pPr>
        <w:pStyle w:val="FootnoteText"/>
      </w:pPr>
      <w:r>
        <w:rPr>
          <w:rStyle w:val="FootnoteReference"/>
        </w:rPr>
        <w:footnoteRef/>
      </w:r>
      <w:r>
        <w:t xml:space="preserve"> </w:t>
      </w:r>
      <w:r w:rsidR="009C1C22">
        <w:t>ibid</w:t>
      </w:r>
      <w:r w:rsidR="00A60599">
        <w:t xml:space="preserve"> </w:t>
      </w:r>
      <w:r>
        <w:t>964.</w:t>
      </w:r>
    </w:p>
  </w:footnote>
  <w:footnote w:id="83">
    <w:p w14:paraId="111A6E71" w14:textId="10211312" w:rsidR="00705BB7" w:rsidRDefault="00705BB7" w:rsidP="00BA2D09">
      <w:pPr>
        <w:pStyle w:val="FootnoteText"/>
      </w:pPr>
      <w:r>
        <w:rPr>
          <w:rStyle w:val="FootnoteReference"/>
        </w:rPr>
        <w:footnoteRef/>
      </w:r>
      <w:r>
        <w:t xml:space="preserve"> </w:t>
      </w:r>
      <w:r w:rsidR="009C1C22">
        <w:t>ibid</w:t>
      </w:r>
      <w:r w:rsidR="00A60599">
        <w:t>.</w:t>
      </w:r>
    </w:p>
  </w:footnote>
  <w:footnote w:id="84">
    <w:p w14:paraId="0C7E74BB" w14:textId="47CA8FCB" w:rsidR="00705BB7" w:rsidRDefault="00705BB7" w:rsidP="00BA2D09">
      <w:pPr>
        <w:pStyle w:val="FootnoteText"/>
      </w:pPr>
      <w:r>
        <w:rPr>
          <w:rStyle w:val="FootnoteReference"/>
        </w:rPr>
        <w:footnoteRef/>
      </w:r>
      <w:r>
        <w:t xml:space="preserve"> </w:t>
      </w:r>
      <w:r w:rsidR="00692742">
        <w:t>Hood (n 70)</w:t>
      </w:r>
      <w:r w:rsidR="009568E3">
        <w:t xml:space="preserve"> </w:t>
      </w:r>
      <w:r>
        <w:rPr>
          <w:bCs/>
          <w:szCs w:val="24"/>
        </w:rPr>
        <w:t>93.</w:t>
      </w:r>
    </w:p>
  </w:footnote>
  <w:footnote w:id="85">
    <w:p w14:paraId="6A50CF9F" w14:textId="22E9113D" w:rsidR="00705BB7" w:rsidRPr="00016B33" w:rsidRDefault="00705BB7" w:rsidP="00BA2D09">
      <w:pPr>
        <w:pStyle w:val="FootnoteText"/>
      </w:pPr>
      <w:r>
        <w:rPr>
          <w:rStyle w:val="FootnoteReference"/>
        </w:rPr>
        <w:footnoteRef/>
      </w:r>
      <w:r>
        <w:t xml:space="preserve"> </w:t>
      </w:r>
      <w:r w:rsidR="00692742">
        <w:t>ibid</w:t>
      </w:r>
      <w:r w:rsidR="009250E0">
        <w:t xml:space="preserve"> </w:t>
      </w:r>
      <w:r>
        <w:rPr>
          <w:bCs/>
          <w:szCs w:val="24"/>
        </w:rPr>
        <w:t>92</w:t>
      </w:r>
      <w:r w:rsidR="009C1C22">
        <w:rPr>
          <w:bCs/>
          <w:szCs w:val="24"/>
        </w:rPr>
        <w:t>–</w:t>
      </w:r>
      <w:r>
        <w:rPr>
          <w:bCs/>
          <w:szCs w:val="24"/>
        </w:rPr>
        <w:t xml:space="preserve">5. </w:t>
      </w:r>
      <w:r w:rsidR="00016B33" w:rsidRPr="00016B33">
        <w:rPr>
          <w:bCs/>
          <w:szCs w:val="24"/>
        </w:rPr>
        <w:t xml:space="preserve">For a detailed discussion </w:t>
      </w:r>
      <w:r w:rsidR="00016B33">
        <w:rPr>
          <w:bCs/>
          <w:szCs w:val="24"/>
        </w:rPr>
        <w:t xml:space="preserve">using the example of communication guidelines by civil servants as this type of anticipatory blame avoidance, see </w:t>
      </w:r>
      <w:r w:rsidR="00016B33" w:rsidRPr="00016B33">
        <w:rPr>
          <w:bCs/>
          <w:szCs w:val="24"/>
        </w:rPr>
        <w:t xml:space="preserve">Sten Hansson, </w:t>
      </w:r>
      <w:r w:rsidR="00BA4366">
        <w:rPr>
          <w:bCs/>
          <w:szCs w:val="24"/>
        </w:rPr>
        <w:t>‘</w:t>
      </w:r>
      <w:r w:rsidR="00016B33" w:rsidRPr="00016B33">
        <w:rPr>
          <w:bCs/>
          <w:szCs w:val="24"/>
        </w:rPr>
        <w:t>Anticipative Strategies of Blame Avoidance in Government: The Case of Communication Guidelines</w:t>
      </w:r>
      <w:r w:rsidR="00BA4366">
        <w:rPr>
          <w:bCs/>
          <w:szCs w:val="24"/>
        </w:rPr>
        <w:t>’</w:t>
      </w:r>
      <w:r w:rsidR="00016B33" w:rsidRPr="00016B33">
        <w:rPr>
          <w:bCs/>
          <w:szCs w:val="24"/>
        </w:rPr>
        <w:t xml:space="preserve"> (2017) 16(2)</w:t>
      </w:r>
      <w:r w:rsidR="00016B33" w:rsidRPr="00E0239B">
        <w:t xml:space="preserve"> </w:t>
      </w:r>
      <w:r w:rsidR="00016B33" w:rsidRPr="00BA2D09">
        <w:t>Journal of Language and Politics</w:t>
      </w:r>
      <w:r w:rsidR="00016B33" w:rsidRPr="00E0239B">
        <w:t xml:space="preserve"> </w:t>
      </w:r>
      <w:r w:rsidR="00016B33" w:rsidRPr="00016B33">
        <w:rPr>
          <w:bCs/>
          <w:szCs w:val="24"/>
        </w:rPr>
        <w:t>219</w:t>
      </w:r>
      <w:r w:rsidR="00016B33">
        <w:rPr>
          <w:bCs/>
          <w:szCs w:val="24"/>
        </w:rPr>
        <w:t>.</w:t>
      </w:r>
    </w:p>
  </w:footnote>
  <w:footnote w:id="86">
    <w:p w14:paraId="3939EE9D" w14:textId="0E181117" w:rsidR="00705BB7" w:rsidRPr="009B31E7" w:rsidRDefault="00705BB7" w:rsidP="00BA2D09">
      <w:pPr>
        <w:pStyle w:val="FootnoteText"/>
      </w:pPr>
      <w:r>
        <w:rPr>
          <w:rStyle w:val="FootnoteReference"/>
        </w:rPr>
        <w:footnoteRef/>
      </w:r>
      <w:r w:rsidRPr="009B31E7">
        <w:t xml:space="preserve"> </w:t>
      </w:r>
      <w:r w:rsidR="009C1C22" w:rsidRPr="009B31E7">
        <w:t>ibid</w:t>
      </w:r>
      <w:r w:rsidRPr="009B31E7">
        <w:t xml:space="preserve"> </w:t>
      </w:r>
      <w:r w:rsidRPr="009B31E7">
        <w:rPr>
          <w:bCs/>
          <w:szCs w:val="24"/>
        </w:rPr>
        <w:t>93.</w:t>
      </w:r>
    </w:p>
  </w:footnote>
  <w:footnote w:id="87">
    <w:p w14:paraId="216CF158" w14:textId="6BD52650" w:rsidR="00705BB7" w:rsidRPr="009B31E7" w:rsidRDefault="00705BB7" w:rsidP="00BA2D09">
      <w:pPr>
        <w:pStyle w:val="FootnoteText"/>
      </w:pPr>
      <w:r>
        <w:rPr>
          <w:rStyle w:val="FootnoteReference"/>
        </w:rPr>
        <w:footnoteRef/>
      </w:r>
      <w:r w:rsidRPr="009B31E7">
        <w:t xml:space="preserve"> </w:t>
      </w:r>
      <w:r w:rsidR="009167C9" w:rsidRPr="00BA2D09">
        <w:rPr>
          <w:rFonts w:asciiTheme="majorBidi" w:eastAsia="Source Sans Pro" w:hAnsiTheme="majorBidi"/>
          <w:color w:val="000000" w:themeColor="text1"/>
        </w:rPr>
        <w:t>Fredman</w:t>
      </w:r>
      <w:r w:rsidR="009167C9" w:rsidRPr="006369BB">
        <w:rPr>
          <w:rFonts w:asciiTheme="majorBidi" w:eastAsia="Source Sans Pro" w:hAnsiTheme="majorBidi" w:cstheme="majorBidi"/>
          <w:color w:val="000000" w:themeColor="text1"/>
        </w:rPr>
        <w:t xml:space="preserve">, </w:t>
      </w:r>
      <w:r w:rsidR="009167C9">
        <w:rPr>
          <w:rFonts w:asciiTheme="majorBidi" w:eastAsia="Source Sans Pro" w:hAnsiTheme="majorBidi" w:cstheme="majorBidi"/>
          <w:color w:val="000000" w:themeColor="text1"/>
        </w:rPr>
        <w:t>‘</w:t>
      </w:r>
      <w:r w:rsidR="0012603D" w:rsidRPr="00213807">
        <w:rPr>
          <w:rFonts w:asciiTheme="majorBidi" w:eastAsia="Source Sans Pro" w:hAnsiTheme="majorBidi" w:cstheme="majorBidi"/>
          <w:color w:val="000000" w:themeColor="text1"/>
        </w:rPr>
        <w:t>Breaking the Mold</w:t>
      </w:r>
      <w:r w:rsidR="0012603D">
        <w:rPr>
          <w:rFonts w:asciiTheme="majorBidi" w:eastAsia="Source Sans Pro" w:hAnsiTheme="majorBidi" w:cstheme="majorBidi"/>
          <w:color w:val="000000" w:themeColor="text1"/>
        </w:rPr>
        <w:t>’</w:t>
      </w:r>
      <w:r w:rsidR="0012603D" w:rsidRPr="00213807">
        <w:rPr>
          <w:rFonts w:asciiTheme="majorBidi" w:eastAsia="Source Sans Pro" w:hAnsiTheme="majorBidi" w:cstheme="majorBidi"/>
          <w:color w:val="000000" w:themeColor="text1"/>
        </w:rPr>
        <w:t xml:space="preserve"> </w:t>
      </w:r>
      <w:r w:rsidR="0012603D">
        <w:rPr>
          <w:rFonts w:asciiTheme="majorBidi" w:eastAsia="Source Sans Pro" w:hAnsiTheme="majorBidi" w:cstheme="majorBidi"/>
          <w:color w:val="000000" w:themeColor="text1"/>
        </w:rPr>
        <w:t>(n 16)</w:t>
      </w:r>
      <w:r w:rsidR="0012603D">
        <w:t xml:space="preserve"> </w:t>
      </w:r>
      <w:r w:rsidRPr="009B31E7">
        <w:t>277</w:t>
      </w:r>
      <w:r w:rsidR="00C03342" w:rsidRPr="009B31E7">
        <w:t>.</w:t>
      </w:r>
    </w:p>
  </w:footnote>
  <w:footnote w:id="88">
    <w:p w14:paraId="6B738486" w14:textId="7E2AA965" w:rsidR="00705BB7" w:rsidRDefault="00705BB7" w:rsidP="00BA2D09">
      <w:pPr>
        <w:pStyle w:val="FootnoteText"/>
      </w:pPr>
      <w:r>
        <w:rPr>
          <w:rStyle w:val="FootnoteReference"/>
        </w:rPr>
        <w:footnoteRef/>
      </w:r>
      <w:r>
        <w:t xml:space="preserve"> See </w:t>
      </w:r>
      <w:r w:rsidRPr="009B6E1B">
        <w:rPr>
          <w:i/>
          <w:iCs/>
        </w:rPr>
        <w:t>R (Bridges) v Chief Constable of South Wales</w:t>
      </w:r>
      <w:r w:rsidRPr="009B6E1B">
        <w:t xml:space="preserve"> [2020] EWCA </w:t>
      </w:r>
      <w:proofErr w:type="spellStart"/>
      <w:r w:rsidRPr="009B6E1B">
        <w:t>Civ</w:t>
      </w:r>
      <w:proofErr w:type="spellEnd"/>
      <w:r w:rsidRPr="009B6E1B">
        <w:t xml:space="preserve"> 1058, [2020] 1 WLR 5037</w:t>
      </w:r>
      <w:r>
        <w:t xml:space="preserve"> [175]. </w:t>
      </w:r>
    </w:p>
  </w:footnote>
  <w:footnote w:id="89">
    <w:p w14:paraId="49AFF46D" w14:textId="3C42F957" w:rsidR="00705BB7" w:rsidRDefault="00705BB7" w:rsidP="00BA2D09">
      <w:pPr>
        <w:pStyle w:val="FootnoteText"/>
      </w:pPr>
      <w:r>
        <w:rPr>
          <w:rStyle w:val="FootnoteReference"/>
        </w:rPr>
        <w:footnoteRef/>
      </w:r>
      <w:r>
        <w:t xml:space="preserve"> </w:t>
      </w:r>
      <w:r w:rsidR="009167C9" w:rsidRPr="00BA2D09">
        <w:rPr>
          <w:rFonts w:asciiTheme="majorBidi" w:eastAsia="Source Sans Pro" w:hAnsiTheme="majorBidi"/>
          <w:color w:val="000000" w:themeColor="text1"/>
        </w:rPr>
        <w:t>Fredman</w:t>
      </w:r>
      <w:r w:rsidR="009167C9" w:rsidRPr="006369BB">
        <w:rPr>
          <w:rFonts w:asciiTheme="majorBidi" w:eastAsia="Source Sans Pro" w:hAnsiTheme="majorBidi" w:cstheme="majorBidi"/>
          <w:color w:val="000000" w:themeColor="text1"/>
        </w:rPr>
        <w:t xml:space="preserve">, </w:t>
      </w:r>
      <w:r w:rsidR="005D13AE">
        <w:rPr>
          <w:rFonts w:asciiTheme="majorBidi" w:eastAsia="Source Sans Pro" w:hAnsiTheme="majorBidi" w:cstheme="majorBidi"/>
          <w:color w:val="000000" w:themeColor="text1"/>
        </w:rPr>
        <w:t>‘</w:t>
      </w:r>
      <w:r w:rsidR="005D13AE" w:rsidRPr="00213807">
        <w:rPr>
          <w:rFonts w:asciiTheme="majorBidi" w:eastAsia="Source Sans Pro" w:hAnsiTheme="majorBidi" w:cstheme="majorBidi"/>
          <w:color w:val="000000" w:themeColor="text1"/>
        </w:rPr>
        <w:t>Breaking the Mold</w:t>
      </w:r>
      <w:r w:rsidR="005D13AE">
        <w:rPr>
          <w:rFonts w:asciiTheme="majorBidi" w:eastAsia="Source Sans Pro" w:hAnsiTheme="majorBidi" w:cstheme="majorBidi"/>
          <w:color w:val="000000" w:themeColor="text1"/>
        </w:rPr>
        <w:t>’</w:t>
      </w:r>
      <w:r w:rsidR="005D13AE" w:rsidRPr="00213807">
        <w:rPr>
          <w:rFonts w:asciiTheme="majorBidi" w:eastAsia="Source Sans Pro" w:hAnsiTheme="majorBidi" w:cstheme="majorBidi"/>
          <w:color w:val="000000" w:themeColor="text1"/>
        </w:rPr>
        <w:t xml:space="preserve"> </w:t>
      </w:r>
      <w:r w:rsidR="005D13AE">
        <w:rPr>
          <w:rFonts w:asciiTheme="majorBidi" w:eastAsia="Source Sans Pro" w:hAnsiTheme="majorBidi" w:cstheme="majorBidi"/>
          <w:color w:val="000000" w:themeColor="text1"/>
        </w:rPr>
        <w:t>(n 16)</w:t>
      </w:r>
      <w:r w:rsidR="00CD1FA5">
        <w:t xml:space="preserve"> 277.</w:t>
      </w:r>
    </w:p>
  </w:footnote>
  <w:footnote w:id="90">
    <w:p w14:paraId="61FE2336" w14:textId="5BAADE5E" w:rsidR="009572B7" w:rsidRPr="00F92247" w:rsidRDefault="009572B7" w:rsidP="00BA2D09">
      <w:pPr>
        <w:pStyle w:val="FootnoteText"/>
      </w:pPr>
      <w:r>
        <w:rPr>
          <w:rStyle w:val="FootnoteReference"/>
        </w:rPr>
        <w:footnoteRef/>
      </w:r>
      <w:r w:rsidRPr="00F92247">
        <w:t xml:space="preserve"> </w:t>
      </w:r>
      <w:r w:rsidR="00692742">
        <w:t>Dimova and others (n 69)</w:t>
      </w:r>
      <w:r w:rsidRPr="00F92247">
        <w:t xml:space="preserve"> 30.</w:t>
      </w:r>
    </w:p>
  </w:footnote>
  <w:footnote w:id="91">
    <w:p w14:paraId="6DABDB7B" w14:textId="76FB822A" w:rsidR="00705BB7" w:rsidRDefault="00705BB7" w:rsidP="00BA2D09">
      <w:pPr>
        <w:pStyle w:val="FootnoteText"/>
      </w:pPr>
      <w:r>
        <w:rPr>
          <w:rStyle w:val="FootnoteReference"/>
        </w:rPr>
        <w:footnoteRef/>
      </w:r>
      <w:r>
        <w:t xml:space="preserve"> </w:t>
      </w:r>
      <w:r w:rsidR="00692742">
        <w:t>Hood (n 70)</w:t>
      </w:r>
      <w:r w:rsidR="00223D5D">
        <w:t xml:space="preserve"> 19.</w:t>
      </w:r>
    </w:p>
  </w:footnote>
  <w:footnote w:id="92">
    <w:p w14:paraId="750FF903" w14:textId="57BA7C29" w:rsidR="00705BB7" w:rsidRDefault="00705BB7" w:rsidP="00BA2D09">
      <w:pPr>
        <w:pStyle w:val="FootnoteText"/>
      </w:pPr>
      <w:r>
        <w:rPr>
          <w:rStyle w:val="FootnoteReference"/>
        </w:rPr>
        <w:footnoteRef/>
      </w:r>
      <w:r>
        <w:t xml:space="preserve"> </w:t>
      </w:r>
      <w:r w:rsidR="00692742">
        <w:t>ibid</w:t>
      </w:r>
      <w:r w:rsidR="00223D5D">
        <w:t xml:space="preserve"> 70 and 81.</w:t>
      </w:r>
    </w:p>
  </w:footnote>
  <w:footnote w:id="93">
    <w:p w14:paraId="00D0E7B2" w14:textId="358569A4" w:rsidR="00705BB7" w:rsidRDefault="00705BB7" w:rsidP="00BA2D09">
      <w:pPr>
        <w:pStyle w:val="FootnoteText"/>
      </w:pPr>
      <w:r>
        <w:rPr>
          <w:rStyle w:val="FootnoteReference"/>
        </w:rPr>
        <w:footnoteRef/>
      </w:r>
      <w:r>
        <w:t xml:space="preserve"> </w:t>
      </w:r>
      <w:r w:rsidR="002E43BC" w:rsidRPr="002E43BC">
        <w:t xml:space="preserve">Philip Catney and John Henneberry, </w:t>
      </w:r>
      <w:r w:rsidR="00BA4366">
        <w:t>‘</w:t>
      </w:r>
      <w:r w:rsidR="002E43BC" w:rsidRPr="002E43BC">
        <w:t>(Not) Exercising Discretion: Environmental Planning and the Politics of Blame-Avoidance</w:t>
      </w:r>
      <w:r w:rsidR="00BA4366">
        <w:t>’</w:t>
      </w:r>
      <w:r w:rsidR="002E43BC" w:rsidRPr="002E43BC">
        <w:t xml:space="preserve"> (2012) 13(4) </w:t>
      </w:r>
      <w:r w:rsidR="002E43BC" w:rsidRPr="00BA2D09">
        <w:t>Planning Theory &amp; Practice</w:t>
      </w:r>
      <w:r w:rsidR="002E43BC" w:rsidRPr="00E0239B">
        <w:t xml:space="preserve"> 5</w:t>
      </w:r>
      <w:r w:rsidR="002E43BC" w:rsidRPr="002E43BC">
        <w:t>49</w:t>
      </w:r>
      <w:r w:rsidR="002E43BC">
        <w:t xml:space="preserve">, </w:t>
      </w:r>
      <w:r>
        <w:t>562.</w:t>
      </w:r>
    </w:p>
  </w:footnote>
  <w:footnote w:id="94">
    <w:p w14:paraId="69555806" w14:textId="4E6B7F8B" w:rsidR="00705BB7" w:rsidRDefault="00705BB7" w:rsidP="00BA2D09">
      <w:pPr>
        <w:pStyle w:val="FootnoteText"/>
      </w:pPr>
      <w:r>
        <w:rPr>
          <w:rStyle w:val="FootnoteReference"/>
        </w:rPr>
        <w:footnoteRef/>
      </w:r>
      <w:r>
        <w:t xml:space="preserve"> </w:t>
      </w:r>
      <w:r w:rsidR="00466BE1" w:rsidRPr="00466BE1">
        <w:t xml:space="preserve">Anthony Kevins and Barbara Vis, </w:t>
      </w:r>
      <w:r w:rsidR="00BA4366">
        <w:t>‘</w:t>
      </w:r>
      <w:r w:rsidR="00466BE1" w:rsidRPr="00466BE1">
        <w:t>Do Public Consultations Reduce Blame Attribution? The Impact of Consultation Characteristics, Gender, and Gender Attitudes</w:t>
      </w:r>
      <w:r w:rsidR="00BA4366">
        <w:t>’</w:t>
      </w:r>
      <w:r w:rsidR="00466BE1" w:rsidRPr="00466BE1">
        <w:t xml:space="preserve"> (2023) 45 </w:t>
      </w:r>
      <w:r w:rsidR="00466BE1" w:rsidRPr="00BA2D09">
        <w:t xml:space="preserve">Political </w:t>
      </w:r>
      <w:proofErr w:type="spellStart"/>
      <w:r w:rsidR="00466BE1" w:rsidRPr="00BA2D09">
        <w:t>Behavior</w:t>
      </w:r>
      <w:proofErr w:type="spellEnd"/>
      <w:r w:rsidR="00466BE1" w:rsidRPr="00E0239B">
        <w:t xml:space="preserve"> </w:t>
      </w:r>
      <w:r w:rsidR="00466BE1" w:rsidRPr="00466BE1">
        <w:t>1121</w:t>
      </w:r>
      <w:r w:rsidR="00466BE1">
        <w:t>, 1122.</w:t>
      </w:r>
    </w:p>
  </w:footnote>
  <w:footnote w:id="95">
    <w:p w14:paraId="0A1EDF83" w14:textId="0D08DB74" w:rsidR="00705BB7" w:rsidRDefault="00705BB7" w:rsidP="00BA2D09">
      <w:pPr>
        <w:pStyle w:val="FootnoteText"/>
      </w:pPr>
      <w:r>
        <w:rPr>
          <w:rStyle w:val="FootnoteReference"/>
        </w:rPr>
        <w:footnoteRef/>
      </w:r>
      <w:r>
        <w:t xml:space="preserve"> </w:t>
      </w:r>
      <w:r w:rsidR="009C1C22">
        <w:t>ibid</w:t>
      </w:r>
      <w:r w:rsidR="00A668BC">
        <w:t>.</w:t>
      </w:r>
    </w:p>
  </w:footnote>
  <w:footnote w:id="96">
    <w:p w14:paraId="5D7150CC" w14:textId="27D7B075" w:rsidR="00705BB7" w:rsidRDefault="00705BB7" w:rsidP="00BA2D09">
      <w:pPr>
        <w:pStyle w:val="FootnoteText"/>
      </w:pPr>
      <w:r>
        <w:rPr>
          <w:rStyle w:val="FootnoteReference"/>
        </w:rPr>
        <w:footnoteRef/>
      </w:r>
      <w:r>
        <w:t xml:space="preserve"> </w:t>
      </w:r>
      <w:r w:rsidR="009C1C22">
        <w:t>ibid</w:t>
      </w:r>
      <w:r w:rsidR="00AC4EFE">
        <w:t>.</w:t>
      </w:r>
    </w:p>
  </w:footnote>
  <w:footnote w:id="97">
    <w:p w14:paraId="5F358264" w14:textId="355262B9" w:rsidR="00705BB7" w:rsidRPr="00DA07A2" w:rsidRDefault="00705BB7" w:rsidP="00BA2D09">
      <w:pPr>
        <w:pStyle w:val="FootnoteText"/>
      </w:pPr>
      <w:r>
        <w:rPr>
          <w:rStyle w:val="FootnoteReference"/>
        </w:rPr>
        <w:footnoteRef/>
      </w:r>
      <w:r>
        <w:t xml:space="preserve"> </w:t>
      </w:r>
      <w:r w:rsidR="009C1C22">
        <w:t>ibid</w:t>
      </w:r>
      <w:r w:rsidR="00AC4EFE">
        <w:t>.</w:t>
      </w:r>
      <w:r>
        <w:t xml:space="preserve"> This is a very long-standing debate in studies of procedural justice. </w:t>
      </w:r>
      <w:r w:rsidR="00E0239B">
        <w:t xml:space="preserve">See </w:t>
      </w:r>
      <w:proofErr w:type="spellStart"/>
      <w:r w:rsidR="00E0239B">
        <w:t>eg</w:t>
      </w:r>
      <w:proofErr w:type="spellEnd"/>
      <w:r>
        <w:t xml:space="preserve"> Tom Tyler</w:t>
      </w:r>
      <w:r w:rsidR="00BA4366">
        <w:t>’</w:t>
      </w:r>
      <w:r>
        <w:t xml:space="preserve">s work on the </w:t>
      </w:r>
      <w:r w:rsidR="00BA4366">
        <w:t>‘</w:t>
      </w:r>
      <w:r>
        <w:t>opportunity to be heard</w:t>
      </w:r>
      <w:r w:rsidR="00BA4366">
        <w:t>’</w:t>
      </w:r>
      <w:r>
        <w:t xml:space="preserve"> in Tom Tyler, </w:t>
      </w:r>
      <w:r>
        <w:rPr>
          <w:i/>
          <w:iCs/>
        </w:rPr>
        <w:t xml:space="preserve">Why Do People Obey the Law? </w:t>
      </w:r>
      <w:r>
        <w:t xml:space="preserve">(Princeton </w:t>
      </w:r>
      <w:r w:rsidR="009C1C22">
        <w:t>UP</w:t>
      </w:r>
      <w:r>
        <w:t xml:space="preserve"> 2006).</w:t>
      </w:r>
    </w:p>
  </w:footnote>
  <w:footnote w:id="98">
    <w:p w14:paraId="22D81FD4" w14:textId="1B1A2A38" w:rsidR="00705BB7" w:rsidRDefault="00705BB7" w:rsidP="00BA2D09">
      <w:pPr>
        <w:pStyle w:val="FootnoteText"/>
      </w:pPr>
      <w:r>
        <w:rPr>
          <w:rStyle w:val="FootnoteReference"/>
        </w:rPr>
        <w:footnoteRef/>
      </w:r>
      <w:r>
        <w:t xml:space="preserve"> </w:t>
      </w:r>
      <w:r w:rsidR="00965A5E" w:rsidRPr="00965A5E">
        <w:t>Kevins and</w:t>
      </w:r>
      <w:r w:rsidR="00965A5E">
        <w:t xml:space="preserve"> </w:t>
      </w:r>
      <w:r w:rsidR="00965A5E" w:rsidRPr="00965A5E">
        <w:t>Vis</w:t>
      </w:r>
      <w:r w:rsidR="00965A5E">
        <w:t xml:space="preserve"> (n </w:t>
      </w:r>
      <w:r w:rsidR="00576A7D">
        <w:t>9</w:t>
      </w:r>
      <w:r w:rsidR="00E0239B">
        <w:t>4</w:t>
      </w:r>
      <w:r w:rsidR="00A31C5B">
        <w:t>)</w:t>
      </w:r>
      <w:r w:rsidR="00965A5E">
        <w:t xml:space="preserve"> </w:t>
      </w:r>
      <w:r>
        <w:t>1124.</w:t>
      </w:r>
    </w:p>
  </w:footnote>
  <w:footnote w:id="99">
    <w:p w14:paraId="733E56DE" w14:textId="2D1ADBB7" w:rsidR="00347AB5" w:rsidRDefault="00347AB5">
      <w:pPr>
        <w:pStyle w:val="FootnoteText"/>
      </w:pPr>
      <w:r>
        <w:rPr>
          <w:rStyle w:val="FootnoteReference"/>
        </w:rPr>
        <w:footnoteRef/>
      </w:r>
      <w:r>
        <w:t xml:space="preserve"> All components received ethical approval from the [</w:t>
      </w:r>
      <w:r w:rsidRPr="00A17919">
        <w:t>REDACTED FOR ANONYMITY</w:t>
      </w:r>
      <w:r>
        <w:t>] ethics committee.</w:t>
      </w:r>
    </w:p>
  </w:footnote>
  <w:footnote w:id="100">
    <w:p w14:paraId="05FD8C1B" w14:textId="199FE23D" w:rsidR="005C5E89" w:rsidRPr="00E0239B" w:rsidRDefault="005C5E89" w:rsidP="00BA2D09">
      <w:pPr>
        <w:pStyle w:val="FootnoteText"/>
      </w:pPr>
      <w:r>
        <w:rPr>
          <w:rStyle w:val="FootnoteReference"/>
        </w:rPr>
        <w:footnoteRef/>
      </w:r>
      <w:r>
        <w:t xml:space="preserve"> </w:t>
      </w:r>
      <w:r w:rsidR="0065506B">
        <w:t xml:space="preserve">For </w:t>
      </w:r>
      <w:r w:rsidR="0078724F">
        <w:t>two</w:t>
      </w:r>
      <w:r w:rsidR="0065506B">
        <w:t xml:space="preserve"> recent example</w:t>
      </w:r>
      <w:r w:rsidR="0078724F">
        <w:t>s</w:t>
      </w:r>
      <w:r w:rsidR="0065506B">
        <w:t xml:space="preserve">, see </w:t>
      </w:r>
      <w:r w:rsidR="0065506B" w:rsidRPr="0065506B">
        <w:t>Donavon Johnson</w:t>
      </w:r>
      <w:r w:rsidR="0065506B">
        <w:t xml:space="preserve"> and</w:t>
      </w:r>
      <w:r w:rsidR="0065506B" w:rsidRPr="0065506B">
        <w:t xml:space="preserve"> Milena Neshkova</w:t>
      </w:r>
      <w:r w:rsidR="0065506B">
        <w:t xml:space="preserve">, </w:t>
      </w:r>
      <w:r w:rsidR="00BA4366">
        <w:t>‘</w:t>
      </w:r>
      <w:r w:rsidR="0065506B" w:rsidRPr="0065506B">
        <w:t xml:space="preserve">When </w:t>
      </w:r>
      <w:r w:rsidR="00E0239B" w:rsidRPr="0065506B">
        <w:t>Do Bureaucrats Choo</w:t>
      </w:r>
      <w:r w:rsidR="0065506B" w:rsidRPr="0065506B">
        <w:t xml:space="preserve">se to </w:t>
      </w:r>
      <w:r w:rsidR="00E0239B" w:rsidRPr="0065506B">
        <w:t>Unburden Clients</w:t>
      </w:r>
      <w:r w:rsidR="0065506B" w:rsidRPr="0065506B">
        <w:t xml:space="preserve">: A </w:t>
      </w:r>
      <w:r w:rsidR="00E0239B" w:rsidRPr="0065506B">
        <w:t>Randomized Experiment</w:t>
      </w:r>
      <w:r w:rsidR="00E0239B">
        <w:t xml:space="preserve">’ </w:t>
      </w:r>
      <w:r w:rsidR="0065506B">
        <w:t xml:space="preserve">(2024) 102(3) </w:t>
      </w:r>
      <w:r w:rsidR="0065506B" w:rsidRPr="00BA2D09">
        <w:t>Public Administration</w:t>
      </w:r>
      <w:r w:rsidR="0065506B">
        <w:rPr>
          <w:i/>
          <w:iCs/>
        </w:rPr>
        <w:t xml:space="preserve"> </w:t>
      </w:r>
      <w:r w:rsidR="0065506B" w:rsidRPr="0065506B">
        <w:t>1210</w:t>
      </w:r>
      <w:r w:rsidR="0065506B">
        <w:t xml:space="preserve">, </w:t>
      </w:r>
      <w:r w:rsidR="00E25C28">
        <w:t>1217</w:t>
      </w:r>
      <w:r w:rsidR="0078724F">
        <w:t xml:space="preserve">; </w:t>
      </w:r>
      <w:r w:rsidR="0078724F" w:rsidRPr="0078724F">
        <w:t>Rosanna Nagtegaal</w:t>
      </w:r>
      <w:r w:rsidR="0078724F">
        <w:t xml:space="preserve">, </w:t>
      </w:r>
      <w:r w:rsidR="00BA4366">
        <w:t>‘</w:t>
      </w:r>
      <w:r w:rsidR="0078724F">
        <w:t xml:space="preserve">The </w:t>
      </w:r>
      <w:r w:rsidR="00E0239B">
        <w:t xml:space="preserve">Impact </w:t>
      </w:r>
      <w:r w:rsidR="0078724F">
        <w:t xml:space="preserve">of </w:t>
      </w:r>
      <w:r w:rsidR="00E0239B">
        <w:t xml:space="preserve">Using Algorithms </w:t>
      </w:r>
      <w:r w:rsidR="0078724F">
        <w:t xml:space="preserve">for </w:t>
      </w:r>
      <w:r w:rsidR="00E0239B">
        <w:t xml:space="preserve">Managerial Decisions </w:t>
      </w:r>
      <w:r w:rsidR="0078724F">
        <w:t xml:space="preserve">on </w:t>
      </w:r>
      <w:r w:rsidR="00E0239B">
        <w:t xml:space="preserve">Public Employees’ Procedural Justice’ </w:t>
      </w:r>
      <w:r w:rsidR="0078724F" w:rsidRPr="00E0239B">
        <w:t xml:space="preserve">(2021) 38(1) </w:t>
      </w:r>
      <w:r w:rsidR="0078724F" w:rsidRPr="00BA2D09">
        <w:t>Government Information Quarterly</w:t>
      </w:r>
      <w:r w:rsidR="00B83E85" w:rsidRPr="00BA2D09">
        <w:t>.</w:t>
      </w:r>
    </w:p>
  </w:footnote>
  <w:footnote w:id="101">
    <w:p w14:paraId="36D3BE44" w14:textId="5AD9CC8B" w:rsidR="00CB6154" w:rsidRDefault="00CB6154" w:rsidP="00CB6154">
      <w:pPr>
        <w:pStyle w:val="FootnoteText"/>
      </w:pPr>
      <w:r>
        <w:rPr>
          <w:rStyle w:val="FootnoteReference"/>
        </w:rPr>
        <w:footnoteRef/>
      </w:r>
      <w:r>
        <w:t xml:space="preserve"> See </w:t>
      </w:r>
      <w:r w:rsidRPr="00CB6154">
        <w:t>Virginia Braun and Victori</w:t>
      </w:r>
      <w:r w:rsidRPr="00D41229">
        <w:t xml:space="preserve">a Clarke, </w:t>
      </w:r>
      <w:r w:rsidR="00BA4366" w:rsidRPr="00D41229">
        <w:t>‘</w:t>
      </w:r>
      <w:r w:rsidRPr="00D41229">
        <w:t>Using</w:t>
      </w:r>
      <w:r w:rsidR="00D41229" w:rsidRPr="00D41229">
        <w:t xml:space="preserve"> Thematic An</w:t>
      </w:r>
      <w:r w:rsidRPr="00D41229">
        <w:t xml:space="preserve">alysis in </w:t>
      </w:r>
      <w:r w:rsidR="00D41229" w:rsidRPr="00D41229">
        <w:t xml:space="preserve">Psychology’ </w:t>
      </w:r>
      <w:r w:rsidRPr="00D41229">
        <w:t xml:space="preserve">(2006) 3(2) </w:t>
      </w:r>
      <w:r w:rsidRPr="00BA2D09">
        <w:t>Qualitative Research in Psychology</w:t>
      </w:r>
      <w:r w:rsidRPr="00D41229">
        <w:t xml:space="preserve"> 77</w:t>
      </w:r>
      <w:r w:rsidR="00D41229">
        <w:t>;</w:t>
      </w:r>
      <w:r w:rsidRPr="00D41229">
        <w:t xml:space="preserve"> Virginia Braun and Victoria Clarke, </w:t>
      </w:r>
      <w:r w:rsidR="00BA4366" w:rsidRPr="00D41229">
        <w:t>‘</w:t>
      </w:r>
      <w:r w:rsidRPr="00D41229">
        <w:t>Reflecting on</w:t>
      </w:r>
      <w:r w:rsidR="00D41229" w:rsidRPr="00D41229">
        <w:t xml:space="preserve"> Reflexive Thematic Analys</w:t>
      </w:r>
      <w:r w:rsidRPr="00D41229">
        <w:t>is</w:t>
      </w:r>
      <w:r w:rsidR="00BA4366" w:rsidRPr="00D41229">
        <w:t>’</w:t>
      </w:r>
      <w:r w:rsidRPr="00D41229">
        <w:t xml:space="preserve"> (2019) 11(4) </w:t>
      </w:r>
      <w:r w:rsidRPr="00BA2D09">
        <w:t>Qualitative Research in Sport, Exercise and Health</w:t>
      </w:r>
      <w:r w:rsidRPr="00D41229">
        <w:t xml:space="preserve"> 58</w:t>
      </w:r>
      <w:r w:rsidRPr="00CB6154">
        <w:t>9</w:t>
      </w:r>
      <w:r>
        <w:t>.</w:t>
      </w:r>
    </w:p>
  </w:footnote>
  <w:footnote w:id="102">
    <w:p w14:paraId="7A7535D7" w14:textId="62D43950" w:rsidR="00C53B82" w:rsidRPr="00D41229" w:rsidRDefault="00C53B82" w:rsidP="00BA2D09">
      <w:pPr>
        <w:pStyle w:val="FootnoteText"/>
      </w:pPr>
      <w:r>
        <w:rPr>
          <w:rStyle w:val="FootnoteReference"/>
        </w:rPr>
        <w:footnoteRef/>
      </w:r>
      <w:r>
        <w:t xml:space="preserve"> Given it is well</w:t>
      </w:r>
      <w:r w:rsidR="00D41229">
        <w:t xml:space="preserve"> </w:t>
      </w:r>
      <w:r>
        <w:t>suited to explorations of blame avoidance strategies, there have been increasingly calls for the use of experim</w:t>
      </w:r>
      <w:r w:rsidRPr="00D41229">
        <w:t>ental survey methods to address similar questions to those explored in t</w:t>
      </w:r>
      <w:r w:rsidR="00BA4366" w:rsidRPr="00D41229">
        <w:t>his article</w:t>
      </w:r>
      <w:r w:rsidRPr="00D41229">
        <w:t xml:space="preserve"> across </w:t>
      </w:r>
      <w:r>
        <w:t xml:space="preserve">the literature. </w:t>
      </w:r>
      <w:r w:rsidR="00E0239B">
        <w:t xml:space="preserve">See </w:t>
      </w:r>
      <w:proofErr w:type="spellStart"/>
      <w:r w:rsidR="00E0239B">
        <w:t>eg</w:t>
      </w:r>
      <w:proofErr w:type="spellEnd"/>
      <w:r>
        <w:t xml:space="preserve"> </w:t>
      </w:r>
      <w:r w:rsidR="00653879" w:rsidRPr="00653879">
        <w:t>Barbara</w:t>
      </w:r>
      <w:r w:rsidR="00653879">
        <w:t xml:space="preserve"> Vis, </w:t>
      </w:r>
      <w:r w:rsidR="00BA4366">
        <w:t>‘</w:t>
      </w:r>
      <w:r w:rsidR="00653879" w:rsidRPr="00653879">
        <w:t>Taking Stock of the Comparative Literature on the Role of Blame Avoidance Strategies in Social Policy Reform</w:t>
      </w:r>
      <w:r w:rsidR="00BA4366">
        <w:t>’</w:t>
      </w:r>
      <w:r w:rsidR="00653879">
        <w:t xml:space="preserve"> (</w:t>
      </w:r>
      <w:r w:rsidR="00653879" w:rsidRPr="00653879">
        <w:t>2015</w:t>
      </w:r>
      <w:r w:rsidR="00653879">
        <w:t xml:space="preserve">) 18(2) </w:t>
      </w:r>
      <w:r w:rsidR="00653879" w:rsidRPr="00BA2D09">
        <w:t>Journal of Comparative Policy Analysis: Research and Practice</w:t>
      </w:r>
      <w:r w:rsidR="00653879" w:rsidRPr="00D41229">
        <w:t xml:space="preserve"> 122.</w:t>
      </w:r>
    </w:p>
  </w:footnote>
  <w:footnote w:id="103">
    <w:p w14:paraId="23FA70C9" w14:textId="02A7A30F" w:rsidR="00705BB7" w:rsidRPr="003D42DF"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3D42DF">
        <w:rPr>
          <w:rFonts w:asciiTheme="majorBidi" w:hAnsiTheme="majorBidi" w:cstheme="majorBidi"/>
        </w:rPr>
        <w:t xml:space="preserve"> </w:t>
      </w:r>
      <w:r w:rsidR="001C32E5">
        <w:rPr>
          <w:rFonts w:asciiTheme="majorBidi" w:hAnsiTheme="majorBidi" w:cstheme="majorBidi"/>
        </w:rPr>
        <w:t>Participant 5</w:t>
      </w:r>
      <w:r w:rsidRPr="003D42DF">
        <w:rPr>
          <w:rFonts w:asciiTheme="majorBidi" w:hAnsiTheme="majorBidi" w:cstheme="majorBidi"/>
        </w:rPr>
        <w:t>. A point also made in similar terms by Participant ea1dc17 6205ad0c 7c941ca1, who notes that it</w:t>
      </w:r>
      <w:r w:rsidR="00D41229">
        <w:rPr>
          <w:rFonts w:asciiTheme="majorBidi" w:hAnsiTheme="majorBidi" w:cstheme="majorBidi"/>
        </w:rPr>
        <w:t xml:space="preserve"> i</w:t>
      </w:r>
      <w:r w:rsidRPr="003D42DF">
        <w:rPr>
          <w:rFonts w:asciiTheme="majorBidi" w:hAnsiTheme="majorBidi" w:cstheme="majorBidi"/>
        </w:rPr>
        <w:t xml:space="preserve">s </w:t>
      </w:r>
      <w:r w:rsidR="00BA4366">
        <w:rPr>
          <w:rFonts w:asciiTheme="majorBidi" w:hAnsiTheme="majorBidi" w:cstheme="majorBidi"/>
        </w:rPr>
        <w:t>‘</w:t>
      </w:r>
      <w:r w:rsidRPr="003D42DF">
        <w:rPr>
          <w:rFonts w:asciiTheme="majorBidi" w:hAnsiTheme="majorBidi" w:cstheme="majorBidi"/>
        </w:rPr>
        <w:t>fairly pointless adding more policy with inherently requires more resources if there isn</w:t>
      </w:r>
      <w:r w:rsidR="00BA4366">
        <w:rPr>
          <w:rFonts w:asciiTheme="majorBidi" w:hAnsiTheme="majorBidi" w:cstheme="majorBidi"/>
        </w:rPr>
        <w:t>’</w:t>
      </w:r>
      <w:r w:rsidRPr="003D42DF">
        <w:rPr>
          <w:rFonts w:asciiTheme="majorBidi" w:hAnsiTheme="majorBidi" w:cstheme="majorBidi"/>
        </w:rPr>
        <w:t>t the budget to go with it</w:t>
      </w:r>
      <w:r w:rsidR="00BA4366">
        <w:rPr>
          <w:rFonts w:asciiTheme="majorBidi" w:hAnsiTheme="majorBidi" w:cstheme="majorBidi"/>
        </w:rPr>
        <w:t>’</w:t>
      </w:r>
      <w:r w:rsidRPr="003D42DF">
        <w:rPr>
          <w:rFonts w:asciiTheme="majorBidi" w:hAnsiTheme="majorBidi" w:cstheme="majorBidi"/>
        </w:rPr>
        <w:t>.</w:t>
      </w:r>
    </w:p>
  </w:footnote>
  <w:footnote w:id="104">
    <w:p w14:paraId="59C59ED1" w14:textId="0B6DAEF2" w:rsidR="00705BB7" w:rsidRPr="00FE2A99" w:rsidRDefault="00705BB7"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FE2A99">
        <w:rPr>
          <w:rFonts w:asciiTheme="majorBidi" w:hAnsiTheme="majorBidi" w:cstheme="majorBidi"/>
          <w:lang w:val="fr-FR"/>
        </w:rPr>
        <w:t xml:space="preserve"> </w:t>
      </w:r>
      <w:r w:rsidR="00645539" w:rsidRPr="00FE2A99">
        <w:rPr>
          <w:rFonts w:asciiTheme="majorBidi" w:hAnsiTheme="majorBidi" w:cstheme="majorBidi"/>
          <w:lang w:val="fr-FR"/>
        </w:rPr>
        <w:t>Participant 26.</w:t>
      </w:r>
    </w:p>
  </w:footnote>
  <w:footnote w:id="105">
    <w:p w14:paraId="0D6AA2ED" w14:textId="4101B8D8" w:rsidR="00705BB7" w:rsidRPr="00FE2A99" w:rsidRDefault="00705BB7"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FE2A99">
        <w:rPr>
          <w:rFonts w:asciiTheme="majorBidi" w:hAnsiTheme="majorBidi" w:cstheme="majorBidi"/>
          <w:lang w:val="fr-FR"/>
        </w:rPr>
        <w:t xml:space="preserve"> </w:t>
      </w:r>
      <w:r w:rsidR="00127670" w:rsidRPr="00FE2A99">
        <w:rPr>
          <w:rFonts w:asciiTheme="majorBidi" w:hAnsiTheme="majorBidi" w:cstheme="majorBidi"/>
          <w:lang w:val="fr-FR"/>
        </w:rPr>
        <w:t>Participant 27.</w:t>
      </w:r>
    </w:p>
  </w:footnote>
  <w:footnote w:id="106">
    <w:p w14:paraId="4EF92042" w14:textId="75EE51F0" w:rsidR="00705BB7" w:rsidRPr="00FE2A99" w:rsidRDefault="00705BB7"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FE2A99">
        <w:rPr>
          <w:rFonts w:asciiTheme="majorBidi" w:hAnsiTheme="majorBidi" w:cstheme="majorBidi"/>
          <w:lang w:val="fr-FR"/>
        </w:rPr>
        <w:t xml:space="preserve"> </w:t>
      </w:r>
      <w:r w:rsidR="001C53E5" w:rsidRPr="00FE2A99">
        <w:rPr>
          <w:rFonts w:asciiTheme="majorBidi" w:hAnsiTheme="majorBidi" w:cstheme="majorBidi"/>
          <w:lang w:val="fr-FR"/>
        </w:rPr>
        <w:t>Participant 25.</w:t>
      </w:r>
    </w:p>
  </w:footnote>
  <w:footnote w:id="107">
    <w:p w14:paraId="46576CBA" w14:textId="283A7ADB" w:rsidR="00705BB7" w:rsidRPr="00FE2A99" w:rsidRDefault="00705BB7"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FE2A99">
        <w:rPr>
          <w:rFonts w:asciiTheme="majorBidi" w:hAnsiTheme="majorBidi" w:cstheme="majorBidi"/>
          <w:lang w:val="fr-FR"/>
        </w:rPr>
        <w:t xml:space="preserve"> </w:t>
      </w:r>
      <w:r w:rsidR="00C86858" w:rsidRPr="00FE2A99">
        <w:rPr>
          <w:rFonts w:asciiTheme="majorBidi" w:hAnsiTheme="majorBidi" w:cstheme="majorBidi"/>
          <w:lang w:val="fr-FR"/>
        </w:rPr>
        <w:t>Participant 28.</w:t>
      </w:r>
    </w:p>
  </w:footnote>
  <w:footnote w:id="108">
    <w:p w14:paraId="22F2F2DD" w14:textId="4F5ACEED" w:rsidR="00705BB7" w:rsidRPr="00FE2A99" w:rsidRDefault="00705BB7"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FE2A99">
        <w:rPr>
          <w:rFonts w:asciiTheme="majorBidi" w:hAnsiTheme="majorBidi" w:cstheme="majorBidi"/>
          <w:lang w:val="fr-FR"/>
        </w:rPr>
        <w:t xml:space="preserve"> </w:t>
      </w:r>
      <w:r w:rsidR="00134A59" w:rsidRPr="00FE2A99">
        <w:rPr>
          <w:rFonts w:asciiTheme="majorBidi" w:hAnsiTheme="majorBidi" w:cstheme="majorBidi"/>
          <w:lang w:val="fr-FR"/>
        </w:rPr>
        <w:t>Participant 29.</w:t>
      </w:r>
    </w:p>
  </w:footnote>
  <w:footnote w:id="109">
    <w:p w14:paraId="5D5BD336" w14:textId="16892914" w:rsidR="00705BB7" w:rsidRPr="00703A90"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703A90">
        <w:rPr>
          <w:rFonts w:asciiTheme="majorBidi" w:hAnsiTheme="majorBidi" w:cstheme="majorBidi"/>
        </w:rPr>
        <w:t xml:space="preserve"> </w:t>
      </w:r>
      <w:r w:rsidR="00C86858">
        <w:rPr>
          <w:rFonts w:asciiTheme="majorBidi" w:hAnsiTheme="majorBidi" w:cstheme="majorBidi"/>
        </w:rPr>
        <w:t>Participant 28.</w:t>
      </w:r>
    </w:p>
  </w:footnote>
  <w:footnote w:id="110">
    <w:p w14:paraId="26C2B109" w14:textId="4A89DAC0" w:rsidR="00705BB7" w:rsidRPr="00703A90" w:rsidRDefault="00705BB7" w:rsidP="00BA2D09">
      <w:pPr>
        <w:pStyle w:val="FootnoteText"/>
      </w:pPr>
      <w:r w:rsidRPr="003D42DF">
        <w:rPr>
          <w:rStyle w:val="FootnoteReference"/>
        </w:rPr>
        <w:footnoteRef/>
      </w:r>
      <w:r w:rsidRPr="00703A90">
        <w:t xml:space="preserve"> </w:t>
      </w:r>
      <w:r w:rsidR="00C303DA">
        <w:t>Participant 30.</w:t>
      </w:r>
    </w:p>
  </w:footnote>
  <w:footnote w:id="111">
    <w:p w14:paraId="160E67C2" w14:textId="6F918E32" w:rsidR="00705BB7" w:rsidRPr="00006722"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006722">
        <w:rPr>
          <w:rFonts w:asciiTheme="majorBidi" w:hAnsiTheme="majorBidi" w:cstheme="majorBidi"/>
        </w:rPr>
        <w:t xml:space="preserve"> </w:t>
      </w:r>
      <w:r w:rsidR="00E91FA7">
        <w:rPr>
          <w:rFonts w:asciiTheme="majorBidi" w:hAnsiTheme="majorBidi" w:cstheme="majorBidi"/>
        </w:rPr>
        <w:t>Participant 31.</w:t>
      </w:r>
    </w:p>
  </w:footnote>
  <w:footnote w:id="112">
    <w:p w14:paraId="41AF4DE0" w14:textId="4ED1727E" w:rsidR="00705BB7" w:rsidRPr="003D42DF"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3D42DF">
        <w:rPr>
          <w:rFonts w:asciiTheme="majorBidi" w:hAnsiTheme="majorBidi" w:cstheme="majorBidi"/>
        </w:rPr>
        <w:t xml:space="preserve"> For more on this financial </w:t>
      </w:r>
      <w:r w:rsidR="00BA4366">
        <w:rPr>
          <w:rFonts w:asciiTheme="majorBidi" w:hAnsiTheme="majorBidi" w:cstheme="majorBidi"/>
        </w:rPr>
        <w:t>‘</w:t>
      </w:r>
      <w:r w:rsidRPr="003D42DF">
        <w:rPr>
          <w:rFonts w:asciiTheme="majorBidi" w:hAnsiTheme="majorBidi" w:cstheme="majorBidi"/>
        </w:rPr>
        <w:t>distress signal</w:t>
      </w:r>
      <w:r w:rsidR="00BA4366">
        <w:rPr>
          <w:rFonts w:asciiTheme="majorBidi" w:hAnsiTheme="majorBidi" w:cstheme="majorBidi"/>
        </w:rPr>
        <w:t>’</w:t>
      </w:r>
      <w:r w:rsidR="00D41229">
        <w:rPr>
          <w:rFonts w:asciiTheme="majorBidi" w:hAnsiTheme="majorBidi" w:cstheme="majorBidi"/>
        </w:rPr>
        <w:t>,</w:t>
      </w:r>
      <w:r w:rsidRPr="003D42DF">
        <w:rPr>
          <w:rFonts w:asciiTheme="majorBidi" w:hAnsiTheme="majorBidi" w:cstheme="majorBidi"/>
        </w:rPr>
        <w:t xml:space="preserve"> </w:t>
      </w:r>
      <w:r w:rsidR="00692742">
        <w:rPr>
          <w:rFonts w:asciiTheme="majorBidi" w:hAnsiTheme="majorBidi" w:cstheme="majorBidi"/>
        </w:rPr>
        <w:t>see</w:t>
      </w:r>
      <w:r w:rsidRPr="003D42DF">
        <w:rPr>
          <w:rFonts w:asciiTheme="majorBidi" w:hAnsiTheme="majorBidi" w:cstheme="majorBidi"/>
        </w:rPr>
        <w:t xml:space="preserve"> </w:t>
      </w:r>
      <w:r w:rsidR="001000A9" w:rsidRPr="001000A9">
        <w:t>Peter Murphy</w:t>
      </w:r>
      <w:r w:rsidR="00D41229">
        <w:t xml:space="preserve"> and others</w:t>
      </w:r>
      <w:r w:rsidR="001000A9" w:rsidRPr="001000A9">
        <w:t xml:space="preserve">, </w:t>
      </w:r>
      <w:r w:rsidR="00BA4366">
        <w:t>‘</w:t>
      </w:r>
      <w:r w:rsidR="001000A9" w:rsidRPr="001000A9">
        <w:t xml:space="preserve">Written </w:t>
      </w:r>
      <w:r w:rsidR="00D41229" w:rsidRPr="001000A9">
        <w:t xml:space="preserve">Evidence </w:t>
      </w:r>
      <w:r w:rsidR="001000A9" w:rsidRPr="001000A9">
        <w:t>to the Housing, Communities and Local Government Committee on Local Authority Financial Sustainability and the Section 114 Regime</w:t>
      </w:r>
      <w:r w:rsidR="00BA4366">
        <w:t>’</w:t>
      </w:r>
      <w:r w:rsidR="001000A9" w:rsidRPr="001000A9">
        <w:t xml:space="preserve"> (November 2020) </w:t>
      </w:r>
      <w:r w:rsidR="005329F4">
        <w:t>&lt;https</w:t>
      </w:r>
      <w:r w:rsidR="001000A9" w:rsidRPr="00130F23">
        <w:t>://irep.ntu.ac.uk/id/eprint/42059/1/1400099_Murphy.pdf</w:t>
      </w:r>
      <w:r w:rsidR="005329F4">
        <w:t>&gt; accessed</w:t>
      </w:r>
      <w:r w:rsidR="001000A9" w:rsidRPr="001000A9">
        <w:t xml:space="preserve"> 5 April 2025</w:t>
      </w:r>
      <w:r w:rsidR="001000A9">
        <w:t>.</w:t>
      </w:r>
    </w:p>
  </w:footnote>
  <w:footnote w:id="113">
    <w:p w14:paraId="7D4B6064" w14:textId="34AEF5C1" w:rsidR="00705BB7" w:rsidRPr="00FE2A99"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FE2A99">
        <w:rPr>
          <w:rFonts w:asciiTheme="majorBidi" w:hAnsiTheme="majorBidi" w:cstheme="majorBidi"/>
        </w:rPr>
        <w:t xml:space="preserve"> </w:t>
      </w:r>
      <w:r w:rsidR="007C4C60" w:rsidRPr="00FE2A99">
        <w:rPr>
          <w:rFonts w:asciiTheme="majorBidi" w:hAnsiTheme="majorBidi" w:cstheme="majorBidi"/>
        </w:rPr>
        <w:t>Participant 1.</w:t>
      </w:r>
    </w:p>
  </w:footnote>
  <w:footnote w:id="114">
    <w:p w14:paraId="4FBDCA3F" w14:textId="54222F94" w:rsidR="00705BB7" w:rsidRPr="00FE2A99"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FE2A99">
        <w:rPr>
          <w:rFonts w:asciiTheme="majorBidi" w:hAnsiTheme="majorBidi" w:cstheme="majorBidi"/>
        </w:rPr>
        <w:t xml:space="preserve"> </w:t>
      </w:r>
      <w:r w:rsidR="00D41229">
        <w:rPr>
          <w:rFonts w:asciiTheme="majorBidi" w:hAnsiTheme="majorBidi" w:cstheme="majorBidi"/>
        </w:rPr>
        <w:t>ibid</w:t>
      </w:r>
      <w:r w:rsidR="007C4C60" w:rsidRPr="00FE2A99">
        <w:rPr>
          <w:rFonts w:asciiTheme="majorBidi" w:hAnsiTheme="majorBidi" w:cstheme="majorBidi"/>
        </w:rPr>
        <w:t>.</w:t>
      </w:r>
    </w:p>
  </w:footnote>
  <w:footnote w:id="115">
    <w:p w14:paraId="3F04BEB5" w14:textId="34914CA1" w:rsidR="00705BB7" w:rsidRPr="00FE2A99"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FE2A99">
        <w:rPr>
          <w:rFonts w:asciiTheme="majorBidi" w:hAnsiTheme="majorBidi" w:cstheme="majorBidi"/>
        </w:rPr>
        <w:t xml:space="preserve"> </w:t>
      </w:r>
      <w:r w:rsidR="00002445" w:rsidRPr="00FE2A99">
        <w:rPr>
          <w:rFonts w:asciiTheme="majorBidi" w:hAnsiTheme="majorBidi" w:cstheme="majorBidi"/>
        </w:rPr>
        <w:t>Participant 32.</w:t>
      </w:r>
    </w:p>
  </w:footnote>
  <w:footnote w:id="116">
    <w:p w14:paraId="34150E34" w14:textId="04A98368" w:rsidR="00705BB7" w:rsidRPr="00FE2A99" w:rsidRDefault="00705BB7" w:rsidP="00BA2D09">
      <w:pPr>
        <w:pStyle w:val="FootnoteText"/>
        <w:rPr>
          <w:rFonts w:asciiTheme="majorBidi" w:hAnsiTheme="majorBidi" w:cstheme="majorBidi"/>
        </w:rPr>
      </w:pPr>
      <w:r w:rsidRPr="003D42DF">
        <w:rPr>
          <w:rStyle w:val="FootnoteReference"/>
          <w:rFonts w:asciiTheme="majorBidi" w:hAnsiTheme="majorBidi" w:cstheme="majorBidi"/>
        </w:rPr>
        <w:footnoteRef/>
      </w:r>
      <w:r w:rsidRPr="00FE2A99">
        <w:rPr>
          <w:rFonts w:asciiTheme="majorBidi" w:hAnsiTheme="majorBidi" w:cstheme="majorBidi"/>
        </w:rPr>
        <w:t xml:space="preserve"> </w:t>
      </w:r>
      <w:r w:rsidR="003940CA" w:rsidRPr="00FE2A99">
        <w:rPr>
          <w:rFonts w:asciiTheme="majorBidi" w:hAnsiTheme="majorBidi" w:cstheme="majorBidi"/>
        </w:rPr>
        <w:t>Participant 24.</w:t>
      </w:r>
    </w:p>
  </w:footnote>
  <w:footnote w:id="117">
    <w:p w14:paraId="737775C2" w14:textId="72D02590" w:rsidR="006160DC" w:rsidRDefault="006160DC" w:rsidP="006160DC">
      <w:pPr>
        <w:pStyle w:val="FootnoteText"/>
      </w:pPr>
      <w:r>
        <w:rPr>
          <w:rStyle w:val="FootnoteReference"/>
        </w:rPr>
        <w:footnoteRef/>
      </w:r>
      <w:r>
        <w:t xml:space="preserve"> See</w:t>
      </w:r>
      <w:r w:rsidR="00D41229">
        <w:t xml:space="preserve"> </w:t>
      </w:r>
      <w:proofErr w:type="spellStart"/>
      <w:r w:rsidR="00D41229">
        <w:t>eg</w:t>
      </w:r>
      <w:proofErr w:type="spellEnd"/>
      <w:r>
        <w:t xml:space="preserve"> </w:t>
      </w:r>
      <w:r w:rsidRPr="006160DC">
        <w:t>John McKendrick, Jill Marchbank and Stephen Sinclair</w:t>
      </w:r>
      <w:r>
        <w:t xml:space="preserve">, </w:t>
      </w:r>
      <w:r w:rsidR="00BA4366">
        <w:t>‘</w:t>
      </w:r>
      <w:r>
        <w:t xml:space="preserve">Co-production </w:t>
      </w:r>
      <w:r w:rsidR="00D41229">
        <w:t>Involving “Exper</w:t>
      </w:r>
      <w:r>
        <w:t xml:space="preserve">ts with </w:t>
      </w:r>
      <w:r w:rsidR="00D41229">
        <w:t xml:space="preserve">Lived Experience </w:t>
      </w:r>
      <w:r>
        <w:t xml:space="preserve">of </w:t>
      </w:r>
      <w:r w:rsidR="00D41229">
        <w:t xml:space="preserve">Poverty’ </w:t>
      </w:r>
      <w:r>
        <w:t xml:space="preserve">in </w:t>
      </w:r>
      <w:r w:rsidR="00D41229">
        <w:t xml:space="preserve">Policy </w:t>
      </w:r>
      <w:r>
        <w:t xml:space="preserve">and </w:t>
      </w:r>
      <w:r w:rsidR="00D41229">
        <w:t xml:space="preserve">Service Development </w:t>
      </w:r>
      <w:r>
        <w:t xml:space="preserve">in Scotland: </w:t>
      </w:r>
      <w:r w:rsidR="00D41229">
        <w:t xml:space="preserve">A Rapid Review </w:t>
      </w:r>
      <w:r>
        <w:t xml:space="preserve">of </w:t>
      </w:r>
      <w:r w:rsidR="00D41229">
        <w:t xml:space="preserve">Academic Literature’ </w:t>
      </w:r>
      <w:r>
        <w:t xml:space="preserve">(Scottish Poverty and Inequality Research Unit, 2021) </w:t>
      </w:r>
      <w:r w:rsidR="005329F4">
        <w:t>&lt;https</w:t>
      </w:r>
      <w:r w:rsidRPr="00130F23">
        <w:t>://povertyinequality.scot/wp-content/uploads/2021/05/Co-production-involving-experts-with-lived-experience-of-poverty-a-rapid-review-May-2021.pdf</w:t>
      </w:r>
      <w:r w:rsidR="005329F4">
        <w:t>&gt; accessed</w:t>
      </w:r>
      <w:r>
        <w:t xml:space="preserve"> 21 August 2021.</w:t>
      </w:r>
    </w:p>
  </w:footnote>
  <w:footnote w:id="118">
    <w:p w14:paraId="26CEC2AD" w14:textId="5DAB9036" w:rsidR="00705BB7" w:rsidRPr="00FE2A99" w:rsidRDefault="00705BB7" w:rsidP="00BA2D09">
      <w:pPr>
        <w:pStyle w:val="FootnoteText"/>
        <w:rPr>
          <w:lang w:val="fr-FR"/>
        </w:rPr>
      </w:pPr>
      <w:r w:rsidRPr="003D42DF">
        <w:rPr>
          <w:rStyle w:val="FootnoteReference"/>
        </w:rPr>
        <w:footnoteRef/>
      </w:r>
      <w:r w:rsidRPr="00FE2A99">
        <w:rPr>
          <w:lang w:val="fr-FR"/>
        </w:rPr>
        <w:t xml:space="preserve"> </w:t>
      </w:r>
      <w:r w:rsidR="001C53E5" w:rsidRPr="00FE2A99">
        <w:rPr>
          <w:lang w:val="fr-FR"/>
        </w:rPr>
        <w:t>Participant 25.</w:t>
      </w:r>
    </w:p>
  </w:footnote>
  <w:footnote w:id="119">
    <w:p w14:paraId="650F1BE5" w14:textId="4D385F95" w:rsidR="00705BB7" w:rsidRPr="00FE2A99" w:rsidRDefault="00705BB7" w:rsidP="00BA2D09">
      <w:pPr>
        <w:pStyle w:val="FootnoteText"/>
        <w:rPr>
          <w:lang w:val="fr-FR"/>
        </w:rPr>
      </w:pPr>
      <w:r w:rsidRPr="003D42DF">
        <w:rPr>
          <w:rStyle w:val="FootnoteReference"/>
        </w:rPr>
        <w:footnoteRef/>
      </w:r>
      <w:r w:rsidRPr="00FE2A99">
        <w:rPr>
          <w:lang w:val="fr-FR"/>
        </w:rPr>
        <w:t xml:space="preserve"> </w:t>
      </w:r>
      <w:r w:rsidR="00BB5B01" w:rsidRPr="00FE2A99">
        <w:rPr>
          <w:lang w:val="fr-FR"/>
        </w:rPr>
        <w:t>Participant 33.</w:t>
      </w:r>
    </w:p>
  </w:footnote>
  <w:footnote w:id="120">
    <w:p w14:paraId="0FAE111D" w14:textId="08480711" w:rsidR="00705BB7" w:rsidRPr="00FE2A99" w:rsidRDefault="00705BB7"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FE2A99">
        <w:rPr>
          <w:rFonts w:asciiTheme="majorBidi" w:hAnsiTheme="majorBidi" w:cstheme="majorBidi"/>
          <w:lang w:val="fr-FR"/>
        </w:rPr>
        <w:t xml:space="preserve"> </w:t>
      </w:r>
      <w:r w:rsidR="007C4C60" w:rsidRPr="00FE2A99">
        <w:rPr>
          <w:rFonts w:asciiTheme="majorBidi" w:hAnsiTheme="majorBidi" w:cstheme="majorBidi"/>
          <w:lang w:val="fr-FR"/>
        </w:rPr>
        <w:t>Participant 1.</w:t>
      </w:r>
    </w:p>
  </w:footnote>
  <w:footnote w:id="121">
    <w:p w14:paraId="23D32EBF" w14:textId="29CA7C7B" w:rsidR="00705BB7" w:rsidRPr="00FE2A99" w:rsidRDefault="00705BB7" w:rsidP="00BA2D09">
      <w:pPr>
        <w:pStyle w:val="FootnoteText"/>
        <w:rPr>
          <w:lang w:val="fr-FR"/>
        </w:rPr>
      </w:pPr>
      <w:r w:rsidRPr="003D42DF">
        <w:rPr>
          <w:rStyle w:val="FootnoteReference"/>
        </w:rPr>
        <w:footnoteRef/>
      </w:r>
      <w:r w:rsidRPr="00FE2A99">
        <w:rPr>
          <w:lang w:val="fr-FR"/>
        </w:rPr>
        <w:t xml:space="preserve"> </w:t>
      </w:r>
      <w:r w:rsidR="00DD7FA2" w:rsidRPr="00FE2A99">
        <w:rPr>
          <w:lang w:val="fr-FR"/>
        </w:rPr>
        <w:t>Participant 22</w:t>
      </w:r>
      <w:r w:rsidRPr="00FE2A99">
        <w:rPr>
          <w:lang w:val="fr-FR"/>
        </w:rPr>
        <w:t>.</w:t>
      </w:r>
    </w:p>
  </w:footnote>
  <w:footnote w:id="122">
    <w:p w14:paraId="7C51DC35" w14:textId="38F247D3" w:rsidR="00705BB7" w:rsidRPr="00FE2A99" w:rsidRDefault="00705BB7" w:rsidP="00BA2D09">
      <w:pPr>
        <w:pStyle w:val="FootnoteText"/>
        <w:rPr>
          <w:lang w:val="fr-FR"/>
        </w:rPr>
      </w:pPr>
      <w:r w:rsidRPr="003D42DF">
        <w:rPr>
          <w:rStyle w:val="FootnoteReference"/>
        </w:rPr>
        <w:footnoteRef/>
      </w:r>
      <w:r w:rsidRPr="00FE2A99">
        <w:rPr>
          <w:lang w:val="fr-FR"/>
        </w:rPr>
        <w:t xml:space="preserve"> </w:t>
      </w:r>
      <w:r w:rsidR="007C4C60" w:rsidRPr="00FE2A99">
        <w:rPr>
          <w:lang w:val="fr-FR"/>
        </w:rPr>
        <w:t>Participant 1.</w:t>
      </w:r>
    </w:p>
  </w:footnote>
  <w:footnote w:id="123">
    <w:p w14:paraId="6B79C4E1" w14:textId="23D30034" w:rsidR="00705BB7" w:rsidRPr="00FE2A99" w:rsidRDefault="00705BB7" w:rsidP="00BA2D09">
      <w:pPr>
        <w:pStyle w:val="FootnoteText"/>
      </w:pPr>
      <w:r w:rsidRPr="003D42DF">
        <w:rPr>
          <w:rStyle w:val="FootnoteReference"/>
        </w:rPr>
        <w:footnoteRef/>
      </w:r>
      <w:r w:rsidRPr="00FE2A99">
        <w:t xml:space="preserve"> </w:t>
      </w:r>
      <w:r w:rsidR="00DD7FA2" w:rsidRPr="00FE2A99">
        <w:t>Participant 23.</w:t>
      </w:r>
    </w:p>
  </w:footnote>
  <w:footnote w:id="124">
    <w:p w14:paraId="7F682F45" w14:textId="20CF1045" w:rsidR="004D09B6" w:rsidRPr="00D41229" w:rsidRDefault="004D09B6" w:rsidP="004D09B6">
      <w:pPr>
        <w:pStyle w:val="FootnoteText"/>
      </w:pPr>
      <w:r>
        <w:rPr>
          <w:rStyle w:val="FootnoteReference"/>
        </w:rPr>
        <w:footnoteRef/>
      </w:r>
      <w:r w:rsidRPr="00594B49">
        <w:t xml:space="preserve"> </w:t>
      </w:r>
      <w:r w:rsidR="000F6FEE">
        <w:t xml:space="preserve">For a broader analysis of these kind of arguments in the context of the </w:t>
      </w:r>
      <w:r w:rsidR="00BA4366">
        <w:t>‘</w:t>
      </w:r>
      <w:r w:rsidR="000F6FEE">
        <w:t>austerity localism</w:t>
      </w:r>
      <w:r w:rsidR="00BA4366">
        <w:t>’</w:t>
      </w:r>
      <w:r w:rsidR="000F6FEE">
        <w:t xml:space="preserve"> literature, </w:t>
      </w:r>
      <w:r w:rsidR="00692742">
        <w:t>see</w:t>
      </w:r>
      <w:r w:rsidRPr="00594B49">
        <w:t xml:space="preserve"> Vivien Lowndes and Lawrence Pratchett, </w:t>
      </w:r>
      <w:r w:rsidR="00BA4366">
        <w:t>‘</w:t>
      </w:r>
      <w:r w:rsidRPr="00594B49">
        <w:t xml:space="preserve">Local Governance under the Coalition Government: Austerity, Localism and the </w:t>
      </w:r>
      <w:r w:rsidR="00D41229">
        <w:t>“</w:t>
      </w:r>
      <w:r w:rsidRPr="00594B49">
        <w:t>Big Society</w:t>
      </w:r>
      <w:r w:rsidR="00D41229">
        <w:t>”’</w:t>
      </w:r>
      <w:r w:rsidRPr="00D41229">
        <w:t xml:space="preserve"> (2012) 38(1</w:t>
      </w:r>
      <w:r w:rsidRPr="00BA2D09">
        <w:t>) Local Government Studies</w:t>
      </w:r>
      <w:r w:rsidRPr="00D41229">
        <w:t xml:space="preserve"> 21.</w:t>
      </w:r>
    </w:p>
  </w:footnote>
  <w:footnote w:id="125">
    <w:p w14:paraId="6286B502" w14:textId="3B527FE4" w:rsidR="00B70F7A" w:rsidRPr="00FE2A99" w:rsidRDefault="00B70F7A">
      <w:pPr>
        <w:pStyle w:val="FootnoteText"/>
        <w:rPr>
          <w:lang w:val="fr-FR"/>
        </w:rPr>
      </w:pPr>
      <w:r>
        <w:rPr>
          <w:rStyle w:val="FootnoteReference"/>
        </w:rPr>
        <w:footnoteRef/>
      </w:r>
      <w:r w:rsidRPr="00FE2A99">
        <w:rPr>
          <w:lang w:val="fr-FR"/>
        </w:rPr>
        <w:t xml:space="preserve"> </w:t>
      </w:r>
      <w:r w:rsidR="007C4C60" w:rsidRPr="00FE2A99">
        <w:rPr>
          <w:lang w:val="fr-FR"/>
        </w:rPr>
        <w:t>Participant 1.</w:t>
      </w:r>
    </w:p>
  </w:footnote>
  <w:footnote w:id="126">
    <w:p w14:paraId="5C837E23" w14:textId="24D54BC8" w:rsidR="00705BB7" w:rsidRPr="00FE2A99" w:rsidRDefault="00705BB7" w:rsidP="00BA2D09">
      <w:pPr>
        <w:pStyle w:val="FootnoteText"/>
        <w:rPr>
          <w:lang w:val="fr-FR"/>
        </w:rPr>
      </w:pPr>
      <w:r>
        <w:rPr>
          <w:rStyle w:val="FootnoteReference"/>
        </w:rPr>
        <w:footnoteRef/>
      </w:r>
      <w:r w:rsidRPr="00FE2A99">
        <w:rPr>
          <w:lang w:val="fr-FR"/>
        </w:rPr>
        <w:t xml:space="preserve"> </w:t>
      </w:r>
      <w:r w:rsidR="001C32E5" w:rsidRPr="00FE2A99">
        <w:rPr>
          <w:lang w:val="fr-FR"/>
        </w:rPr>
        <w:t>Participant 8</w:t>
      </w:r>
      <w:r w:rsidRPr="00FE2A99">
        <w:rPr>
          <w:lang w:val="fr-FR"/>
        </w:rPr>
        <w:t>.</w:t>
      </w:r>
    </w:p>
  </w:footnote>
  <w:footnote w:id="127">
    <w:p w14:paraId="3B8AF748" w14:textId="0BD09ACB" w:rsidR="00705BB7" w:rsidRPr="00FE2A99" w:rsidRDefault="00705BB7" w:rsidP="00BA2D09">
      <w:pPr>
        <w:pStyle w:val="FootnoteText"/>
        <w:rPr>
          <w:lang w:val="fr-FR"/>
        </w:rPr>
      </w:pPr>
      <w:r w:rsidRPr="003D42DF">
        <w:rPr>
          <w:rStyle w:val="FootnoteReference"/>
        </w:rPr>
        <w:footnoteRef/>
      </w:r>
      <w:r w:rsidRPr="00FE2A99">
        <w:rPr>
          <w:lang w:val="fr-FR"/>
        </w:rPr>
        <w:t xml:space="preserve"> </w:t>
      </w:r>
      <w:r w:rsidR="001C32E5" w:rsidRPr="00FE2A99">
        <w:rPr>
          <w:szCs w:val="24"/>
          <w:lang w:val="fr-FR"/>
        </w:rPr>
        <w:t>Participant 9.</w:t>
      </w:r>
    </w:p>
  </w:footnote>
  <w:footnote w:id="128">
    <w:p w14:paraId="5D3D5494" w14:textId="13A01F60" w:rsidR="00705BB7" w:rsidRPr="00FE2A99" w:rsidRDefault="00705BB7" w:rsidP="00BA4366">
      <w:pPr>
        <w:pStyle w:val="FootnoteText"/>
        <w:rPr>
          <w:lang w:val="fr-FR"/>
        </w:rPr>
      </w:pPr>
      <w:r>
        <w:rPr>
          <w:rStyle w:val="FootnoteReference"/>
        </w:rPr>
        <w:footnoteRef/>
      </w:r>
      <w:r w:rsidRPr="00FE2A99">
        <w:rPr>
          <w:lang w:val="fr-FR"/>
        </w:rPr>
        <w:t xml:space="preserve"> </w:t>
      </w:r>
      <w:r w:rsidR="001C32E5" w:rsidRPr="00FE2A99">
        <w:rPr>
          <w:lang w:val="fr-FR"/>
        </w:rPr>
        <w:t>Participant 7.</w:t>
      </w:r>
    </w:p>
  </w:footnote>
  <w:footnote w:id="129">
    <w:p w14:paraId="1D64E94A" w14:textId="787B536F" w:rsidR="00160BC1" w:rsidRPr="00FE2A99" w:rsidRDefault="00160BC1">
      <w:pPr>
        <w:pStyle w:val="FootnoteText"/>
        <w:rPr>
          <w:lang w:val="fr-FR"/>
        </w:rPr>
      </w:pPr>
      <w:r>
        <w:rPr>
          <w:rStyle w:val="FootnoteReference"/>
        </w:rPr>
        <w:footnoteRef/>
      </w:r>
      <w:r w:rsidRPr="00FE2A99">
        <w:rPr>
          <w:lang w:val="fr-FR"/>
        </w:rPr>
        <w:t xml:space="preserve"> </w:t>
      </w:r>
      <w:r w:rsidR="00692742" w:rsidRPr="009B31E7">
        <w:rPr>
          <w:lang w:val="fr-FR"/>
        </w:rPr>
        <w:t>Hood (n 70)</w:t>
      </w:r>
      <w:r w:rsidRPr="00FE2A99">
        <w:rPr>
          <w:lang w:val="fr-FR"/>
        </w:rPr>
        <w:t xml:space="preserve"> </w:t>
      </w:r>
      <w:r w:rsidRPr="00FE2A99">
        <w:rPr>
          <w:bCs/>
          <w:szCs w:val="24"/>
          <w:lang w:val="fr-FR"/>
        </w:rPr>
        <w:t>92</w:t>
      </w:r>
      <w:r w:rsidR="009C1C22">
        <w:rPr>
          <w:bCs/>
          <w:szCs w:val="24"/>
          <w:lang w:val="fr-FR"/>
        </w:rPr>
        <w:t>–</w:t>
      </w:r>
      <w:r w:rsidRPr="00FE2A99">
        <w:rPr>
          <w:bCs/>
          <w:szCs w:val="24"/>
          <w:lang w:val="fr-FR"/>
        </w:rPr>
        <w:t>5.</w:t>
      </w:r>
    </w:p>
  </w:footnote>
  <w:footnote w:id="130">
    <w:p w14:paraId="14E2A04A" w14:textId="33044546" w:rsidR="00705BB7" w:rsidRPr="008B0C7D" w:rsidRDefault="00705BB7" w:rsidP="00BA2D09">
      <w:pPr>
        <w:pStyle w:val="FootnoteText"/>
        <w:rPr>
          <w:lang w:val="fr-FR"/>
        </w:rPr>
      </w:pPr>
      <w:r>
        <w:rPr>
          <w:rStyle w:val="FootnoteReference"/>
        </w:rPr>
        <w:footnoteRef/>
      </w:r>
      <w:r w:rsidRPr="008B0C7D">
        <w:rPr>
          <w:lang w:val="fr-FR"/>
        </w:rPr>
        <w:t xml:space="preserve"> </w:t>
      </w:r>
      <w:r w:rsidR="00752C42">
        <w:rPr>
          <w:lang w:val="fr-FR"/>
        </w:rPr>
        <w:t>Participant 18.</w:t>
      </w:r>
    </w:p>
  </w:footnote>
  <w:footnote w:id="131">
    <w:p w14:paraId="552BE749" w14:textId="7AF4E4D8" w:rsidR="00705BB7" w:rsidRPr="008B0C7D" w:rsidRDefault="00705BB7" w:rsidP="00BA2D09">
      <w:pPr>
        <w:pStyle w:val="FootnoteText"/>
        <w:rPr>
          <w:lang w:val="fr-FR"/>
        </w:rPr>
      </w:pPr>
      <w:r>
        <w:rPr>
          <w:rStyle w:val="FootnoteReference"/>
        </w:rPr>
        <w:footnoteRef/>
      </w:r>
      <w:r w:rsidRPr="008B0C7D">
        <w:rPr>
          <w:lang w:val="fr-FR"/>
        </w:rPr>
        <w:t xml:space="preserve"> </w:t>
      </w:r>
      <w:r w:rsidR="00752C42">
        <w:rPr>
          <w:lang w:val="fr-FR"/>
        </w:rPr>
        <w:t>Participant 19</w:t>
      </w:r>
      <w:r w:rsidRPr="008B0C7D">
        <w:rPr>
          <w:lang w:val="fr-FR"/>
        </w:rPr>
        <w:t>.</w:t>
      </w:r>
    </w:p>
  </w:footnote>
  <w:footnote w:id="132">
    <w:p w14:paraId="1054C266" w14:textId="36E2545B" w:rsidR="00705BB7" w:rsidRPr="008B0C7D" w:rsidRDefault="00705BB7" w:rsidP="00BA2D09">
      <w:pPr>
        <w:pStyle w:val="FootnoteText"/>
        <w:rPr>
          <w:lang w:val="fr-FR"/>
        </w:rPr>
      </w:pPr>
      <w:r>
        <w:rPr>
          <w:rStyle w:val="FootnoteReference"/>
        </w:rPr>
        <w:footnoteRef/>
      </w:r>
      <w:r w:rsidRPr="008B0C7D">
        <w:rPr>
          <w:lang w:val="fr-FR"/>
        </w:rPr>
        <w:t xml:space="preserve"> </w:t>
      </w:r>
      <w:r w:rsidR="00752C42">
        <w:rPr>
          <w:lang w:val="fr-FR"/>
        </w:rPr>
        <w:t>Participant 17</w:t>
      </w:r>
      <w:r w:rsidRPr="008B0C7D">
        <w:rPr>
          <w:lang w:val="fr-FR"/>
        </w:rPr>
        <w:t>.</w:t>
      </w:r>
    </w:p>
  </w:footnote>
  <w:footnote w:id="133">
    <w:p w14:paraId="1EB28598" w14:textId="62DAB912" w:rsidR="00705BB7" w:rsidRPr="008B0C7D" w:rsidRDefault="00705BB7" w:rsidP="00BA2D09">
      <w:pPr>
        <w:pStyle w:val="FootnoteText"/>
        <w:rPr>
          <w:lang w:val="fr-FR"/>
        </w:rPr>
      </w:pPr>
      <w:r>
        <w:rPr>
          <w:rStyle w:val="FootnoteReference"/>
        </w:rPr>
        <w:footnoteRef/>
      </w:r>
      <w:r w:rsidRPr="008B0C7D">
        <w:rPr>
          <w:lang w:val="fr-FR"/>
        </w:rPr>
        <w:t xml:space="preserve"> </w:t>
      </w:r>
      <w:r w:rsidR="00752C42">
        <w:rPr>
          <w:lang w:val="fr-FR"/>
        </w:rPr>
        <w:t>Participant 20.</w:t>
      </w:r>
    </w:p>
  </w:footnote>
  <w:footnote w:id="134">
    <w:p w14:paraId="41BBD715" w14:textId="33C1D479" w:rsidR="00705BB7" w:rsidRPr="008B0C7D" w:rsidRDefault="00705BB7" w:rsidP="00BA2D09">
      <w:pPr>
        <w:pStyle w:val="FootnoteText"/>
        <w:rPr>
          <w:lang w:val="fr-FR"/>
        </w:rPr>
      </w:pPr>
      <w:r>
        <w:rPr>
          <w:rStyle w:val="FootnoteReference"/>
        </w:rPr>
        <w:footnoteRef/>
      </w:r>
      <w:r w:rsidRPr="008B0C7D">
        <w:rPr>
          <w:lang w:val="fr-FR"/>
        </w:rPr>
        <w:t xml:space="preserve"> </w:t>
      </w:r>
      <w:r w:rsidR="003727A0">
        <w:rPr>
          <w:lang w:val="fr-FR"/>
        </w:rPr>
        <w:t>Participant 21.</w:t>
      </w:r>
    </w:p>
  </w:footnote>
  <w:footnote w:id="135">
    <w:p w14:paraId="0546C504" w14:textId="42C61BC8" w:rsidR="00705BB7" w:rsidRPr="009B31E7" w:rsidRDefault="00705BB7" w:rsidP="00BA2D09">
      <w:pPr>
        <w:pStyle w:val="FootnoteText"/>
        <w:rPr>
          <w:lang w:val="fr-FR"/>
        </w:rPr>
      </w:pPr>
      <w:r>
        <w:rPr>
          <w:rStyle w:val="FootnoteReference"/>
        </w:rPr>
        <w:footnoteRef/>
      </w:r>
      <w:r w:rsidRPr="009B31E7">
        <w:rPr>
          <w:lang w:val="fr-FR"/>
        </w:rPr>
        <w:t xml:space="preserve"> </w:t>
      </w:r>
      <w:r w:rsidR="0086507D" w:rsidRPr="009B31E7">
        <w:rPr>
          <w:lang w:val="fr-FR"/>
        </w:rPr>
        <w:t>Participant 11.</w:t>
      </w:r>
    </w:p>
  </w:footnote>
  <w:footnote w:id="136">
    <w:p w14:paraId="0700E4E7" w14:textId="75EB0CA7" w:rsidR="00705BB7" w:rsidRPr="009B31E7" w:rsidRDefault="00705BB7" w:rsidP="00BA2D09">
      <w:pPr>
        <w:pStyle w:val="FootnoteText"/>
        <w:rPr>
          <w:lang w:val="fr-FR"/>
        </w:rPr>
      </w:pPr>
      <w:r>
        <w:rPr>
          <w:rStyle w:val="FootnoteReference"/>
        </w:rPr>
        <w:footnoteRef/>
      </w:r>
      <w:r w:rsidRPr="009B31E7">
        <w:rPr>
          <w:lang w:val="fr-FR"/>
        </w:rPr>
        <w:t xml:space="preserve"> </w:t>
      </w:r>
      <w:r w:rsidR="0086507D" w:rsidRPr="009B31E7">
        <w:rPr>
          <w:lang w:val="fr-FR"/>
        </w:rPr>
        <w:t>Participant 10</w:t>
      </w:r>
      <w:r w:rsidRPr="009B31E7">
        <w:rPr>
          <w:lang w:val="fr-FR"/>
        </w:rPr>
        <w:t>.</w:t>
      </w:r>
    </w:p>
  </w:footnote>
  <w:footnote w:id="137">
    <w:p w14:paraId="485A191B" w14:textId="1B5F4EA0" w:rsidR="00705BB7" w:rsidRPr="009B31E7" w:rsidRDefault="00705BB7" w:rsidP="00BA2D09">
      <w:pPr>
        <w:pStyle w:val="FootnoteText"/>
        <w:rPr>
          <w:lang w:val="fr-FR"/>
        </w:rPr>
      </w:pPr>
      <w:r>
        <w:rPr>
          <w:rStyle w:val="FootnoteReference"/>
        </w:rPr>
        <w:footnoteRef/>
      </w:r>
      <w:r w:rsidRPr="009B31E7">
        <w:rPr>
          <w:lang w:val="fr-FR"/>
        </w:rPr>
        <w:t xml:space="preserve"> </w:t>
      </w:r>
      <w:r w:rsidR="0086507D" w:rsidRPr="009B31E7">
        <w:rPr>
          <w:lang w:val="fr-FR"/>
        </w:rPr>
        <w:t>Participant 11.</w:t>
      </w:r>
    </w:p>
  </w:footnote>
  <w:footnote w:id="138">
    <w:p w14:paraId="01C0D1CC" w14:textId="45866FF7" w:rsidR="00561104" w:rsidRPr="009B31E7" w:rsidRDefault="00561104">
      <w:pPr>
        <w:pStyle w:val="FootnoteText"/>
        <w:rPr>
          <w:lang w:val="fr-FR"/>
        </w:rPr>
      </w:pPr>
      <w:r>
        <w:rPr>
          <w:rStyle w:val="FootnoteReference"/>
        </w:rPr>
        <w:footnoteRef/>
      </w:r>
      <w:r w:rsidRPr="009B31E7">
        <w:rPr>
          <w:lang w:val="fr-FR"/>
        </w:rPr>
        <w:t xml:space="preserve"> </w:t>
      </w:r>
      <w:proofErr w:type="spellStart"/>
      <w:r w:rsidRPr="009B31E7">
        <w:rPr>
          <w:i/>
          <w:iCs/>
          <w:lang w:val="fr-FR"/>
        </w:rPr>
        <w:t>Bracking</w:t>
      </w:r>
      <w:proofErr w:type="spellEnd"/>
      <w:r w:rsidRPr="009B31E7">
        <w:rPr>
          <w:lang w:val="fr-FR"/>
        </w:rPr>
        <w:t xml:space="preserve"> (n </w:t>
      </w:r>
      <w:r w:rsidR="00576A7D" w:rsidRPr="009B31E7">
        <w:rPr>
          <w:lang w:val="fr-FR"/>
        </w:rPr>
        <w:t>34</w:t>
      </w:r>
      <w:r w:rsidR="00A31C5B" w:rsidRPr="009B31E7">
        <w:rPr>
          <w:lang w:val="fr-FR"/>
        </w:rPr>
        <w:t>)</w:t>
      </w:r>
      <w:r w:rsidRPr="009B31E7">
        <w:rPr>
          <w:lang w:val="fr-FR"/>
        </w:rPr>
        <w:t xml:space="preserve"> [25].</w:t>
      </w:r>
    </w:p>
  </w:footnote>
  <w:footnote w:id="139">
    <w:p w14:paraId="4381FA93" w14:textId="5F8D938E" w:rsidR="00705BB7" w:rsidRPr="009B31E7" w:rsidRDefault="00705BB7" w:rsidP="00BA2D09">
      <w:pPr>
        <w:pStyle w:val="FootnoteText"/>
        <w:rPr>
          <w:lang w:val="fr-FR"/>
        </w:rPr>
      </w:pPr>
      <w:r>
        <w:rPr>
          <w:rStyle w:val="FootnoteReference"/>
        </w:rPr>
        <w:footnoteRef/>
      </w:r>
      <w:r w:rsidRPr="009B31E7">
        <w:rPr>
          <w:lang w:val="fr-FR"/>
        </w:rPr>
        <w:t xml:space="preserve"> </w:t>
      </w:r>
      <w:r w:rsidR="00692742" w:rsidRPr="009B31E7">
        <w:rPr>
          <w:lang w:val="fr-FR"/>
        </w:rPr>
        <w:t>Hood (n 70)</w:t>
      </w:r>
      <w:r w:rsidRPr="009B31E7">
        <w:rPr>
          <w:bCs/>
          <w:szCs w:val="24"/>
          <w:lang w:val="fr-FR"/>
        </w:rPr>
        <w:t xml:space="preserve"> 96.</w:t>
      </w:r>
    </w:p>
  </w:footnote>
  <w:footnote w:id="140">
    <w:p w14:paraId="6C76A41A" w14:textId="158B0201" w:rsidR="00705BB7" w:rsidRPr="009B31E7" w:rsidRDefault="00705BB7" w:rsidP="00BA2D09">
      <w:pPr>
        <w:pStyle w:val="FootnoteText"/>
        <w:rPr>
          <w:lang w:val="fr-FR"/>
        </w:rPr>
      </w:pPr>
      <w:r w:rsidRPr="003D42DF">
        <w:rPr>
          <w:rStyle w:val="FootnoteReference"/>
        </w:rPr>
        <w:footnoteRef/>
      </w:r>
      <w:r w:rsidRPr="009B31E7">
        <w:rPr>
          <w:lang w:val="fr-FR"/>
        </w:rPr>
        <w:t xml:space="preserve"> </w:t>
      </w:r>
      <w:r w:rsidR="00666AA2" w:rsidRPr="009B31E7">
        <w:rPr>
          <w:szCs w:val="24"/>
          <w:lang w:val="fr-FR"/>
        </w:rPr>
        <w:t>Participant 9.</w:t>
      </w:r>
    </w:p>
  </w:footnote>
  <w:footnote w:id="141">
    <w:p w14:paraId="1E827D52" w14:textId="031F6C39" w:rsidR="00705BB7" w:rsidRPr="009B31E7" w:rsidRDefault="00705BB7" w:rsidP="00BA2D09">
      <w:pPr>
        <w:pStyle w:val="FootnoteText"/>
        <w:rPr>
          <w:lang w:val="fr-FR"/>
        </w:rPr>
      </w:pPr>
      <w:r>
        <w:rPr>
          <w:rStyle w:val="FootnoteReference"/>
        </w:rPr>
        <w:footnoteRef/>
      </w:r>
      <w:r w:rsidRPr="009B31E7">
        <w:rPr>
          <w:lang w:val="fr-FR"/>
        </w:rPr>
        <w:t xml:space="preserve"> </w:t>
      </w:r>
      <w:r w:rsidR="00022307" w:rsidRPr="009B31E7">
        <w:rPr>
          <w:lang w:val="fr-FR"/>
        </w:rPr>
        <w:t>Participant 12.</w:t>
      </w:r>
    </w:p>
  </w:footnote>
  <w:footnote w:id="142">
    <w:p w14:paraId="0F0E80A5" w14:textId="7E65A7D8" w:rsidR="00705BB7" w:rsidRPr="004B72E2" w:rsidRDefault="00705BB7" w:rsidP="00BA2D09">
      <w:pPr>
        <w:pStyle w:val="FootnoteText"/>
      </w:pPr>
      <w:r>
        <w:rPr>
          <w:rStyle w:val="FootnoteReference"/>
        </w:rPr>
        <w:footnoteRef/>
      </w:r>
      <w:r w:rsidRPr="004B72E2">
        <w:t xml:space="preserve"> </w:t>
      </w:r>
      <w:r w:rsidR="001C1FA1" w:rsidRPr="004B72E2">
        <w:t>Participant 13.</w:t>
      </w:r>
    </w:p>
  </w:footnote>
  <w:footnote w:id="143">
    <w:p w14:paraId="3A69E2DA" w14:textId="5F951599" w:rsidR="00705BB7" w:rsidRPr="004B72E2" w:rsidRDefault="00705BB7" w:rsidP="00BA2D09">
      <w:pPr>
        <w:pStyle w:val="FootnoteText"/>
      </w:pPr>
      <w:r>
        <w:rPr>
          <w:rStyle w:val="FootnoteReference"/>
        </w:rPr>
        <w:footnoteRef/>
      </w:r>
      <w:r w:rsidRPr="004B72E2">
        <w:t xml:space="preserve"> </w:t>
      </w:r>
      <w:r w:rsidR="00DF3838" w:rsidRPr="004B72E2">
        <w:t>Participant 14.</w:t>
      </w:r>
    </w:p>
  </w:footnote>
  <w:footnote w:id="144">
    <w:p w14:paraId="2DEA109B" w14:textId="0510C553" w:rsidR="00B94AA3" w:rsidRDefault="00B94AA3" w:rsidP="00B94AA3">
      <w:pPr>
        <w:pStyle w:val="FootnoteText"/>
      </w:pPr>
      <w:r>
        <w:rPr>
          <w:rStyle w:val="FootnoteReference"/>
        </w:rPr>
        <w:footnoteRef/>
      </w:r>
      <w:r>
        <w:t xml:space="preserve"> </w:t>
      </w:r>
      <w:r w:rsidRPr="004E2DF7">
        <w:t xml:space="preserve">Sandra Fredman and Sarah Spencer, </w:t>
      </w:r>
      <w:r w:rsidR="00BA4366">
        <w:t>‘</w:t>
      </w:r>
      <w:r w:rsidRPr="004E2DF7">
        <w:t>Delivering Equality: Towards an Outcome-Focused Positive Duty Submission to the Cabinet Office Equality Review and to the Discrimination Law Review</w:t>
      </w:r>
      <w:r w:rsidR="00BA4366">
        <w:t>’</w:t>
      </w:r>
      <w:r w:rsidRPr="004E2DF7">
        <w:t xml:space="preserve"> (June 2006)</w:t>
      </w:r>
      <w:r w:rsidR="00D41229">
        <w:t xml:space="preserve"> 2</w:t>
      </w:r>
      <w:r w:rsidRPr="004E2DF7">
        <w:t xml:space="preserve"> </w:t>
      </w:r>
      <w:r w:rsidR="005329F4">
        <w:t>&lt;www</w:t>
      </w:r>
      <w:r w:rsidRPr="00130F23">
        <w:t>.compas.ox.ac.uk/wp-content/uploads/ER-2006-Equal_Opportunities_Review.pdf</w:t>
      </w:r>
      <w:r w:rsidR="005329F4">
        <w:t>&gt; accessed</w:t>
      </w:r>
      <w:r w:rsidRPr="004E2DF7">
        <w:t xml:space="preserve"> </w:t>
      </w:r>
      <w:r>
        <w:t>21 August 2025.</w:t>
      </w:r>
    </w:p>
  </w:footnote>
  <w:footnote w:id="145">
    <w:p w14:paraId="078BC5F5" w14:textId="6F6EC6D5" w:rsidR="00B94AA3" w:rsidRPr="00FE2A99" w:rsidRDefault="00B94AA3" w:rsidP="00B94AA3">
      <w:pPr>
        <w:pStyle w:val="FootnoteText"/>
        <w:rPr>
          <w:lang w:val="fr-FR"/>
        </w:rPr>
      </w:pPr>
      <w:r>
        <w:rPr>
          <w:rStyle w:val="FootnoteReference"/>
        </w:rPr>
        <w:footnoteRef/>
      </w:r>
      <w:r w:rsidRPr="00FE2A99">
        <w:rPr>
          <w:lang w:val="fr-FR"/>
        </w:rPr>
        <w:t xml:space="preserve"> </w:t>
      </w:r>
      <w:proofErr w:type="spellStart"/>
      <w:r w:rsidR="009C1C22">
        <w:rPr>
          <w:lang w:val="fr-FR"/>
        </w:rPr>
        <w:t>ibid</w:t>
      </w:r>
      <w:proofErr w:type="spellEnd"/>
      <w:r w:rsidRPr="00FE2A99">
        <w:rPr>
          <w:lang w:val="fr-FR"/>
        </w:rPr>
        <w:t xml:space="preserve"> 10.</w:t>
      </w:r>
    </w:p>
  </w:footnote>
  <w:footnote w:id="146">
    <w:p w14:paraId="1835EB99" w14:textId="77777777" w:rsidR="00B94AA3" w:rsidRPr="00754F42" w:rsidRDefault="00B94AA3"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754F42">
        <w:rPr>
          <w:rFonts w:asciiTheme="majorBidi" w:hAnsiTheme="majorBidi" w:cstheme="majorBidi"/>
          <w:lang w:val="fr-FR"/>
        </w:rPr>
        <w:t xml:space="preserve"> Participant 24.</w:t>
      </w:r>
    </w:p>
  </w:footnote>
  <w:footnote w:id="147">
    <w:p w14:paraId="679C0AC5" w14:textId="07CED6BD" w:rsidR="00B94AA3" w:rsidRPr="00754F42" w:rsidRDefault="00B94AA3"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754F42">
        <w:rPr>
          <w:rFonts w:asciiTheme="majorBidi" w:hAnsiTheme="majorBidi" w:cstheme="majorBidi"/>
          <w:lang w:val="fr-FR"/>
        </w:rPr>
        <w:t xml:space="preserve"> </w:t>
      </w:r>
      <w:r w:rsidR="00D41229">
        <w:rPr>
          <w:rFonts w:asciiTheme="majorBidi" w:hAnsiTheme="majorBidi" w:cstheme="majorBidi"/>
          <w:lang w:val="fr-FR"/>
        </w:rPr>
        <w:t>ibid</w:t>
      </w:r>
      <w:r w:rsidRPr="00754F42">
        <w:rPr>
          <w:rFonts w:asciiTheme="majorBidi" w:hAnsiTheme="majorBidi" w:cstheme="majorBidi"/>
          <w:lang w:val="fr-FR"/>
        </w:rPr>
        <w:t>.</w:t>
      </w:r>
    </w:p>
  </w:footnote>
  <w:footnote w:id="148">
    <w:p w14:paraId="68561EA0" w14:textId="2510BFCB" w:rsidR="00B94AA3" w:rsidRPr="00754F42" w:rsidRDefault="00B94AA3" w:rsidP="00BA2D09">
      <w:pPr>
        <w:pStyle w:val="FootnoteText"/>
        <w:rPr>
          <w:rFonts w:asciiTheme="majorBidi" w:hAnsiTheme="majorBidi" w:cstheme="majorBidi"/>
          <w:lang w:val="fr-FR"/>
        </w:rPr>
      </w:pPr>
      <w:r w:rsidRPr="003D42DF">
        <w:rPr>
          <w:rStyle w:val="FootnoteReference"/>
          <w:rFonts w:asciiTheme="majorBidi" w:hAnsiTheme="majorBidi" w:cstheme="majorBidi"/>
        </w:rPr>
        <w:footnoteRef/>
      </w:r>
      <w:r w:rsidRPr="00754F42">
        <w:rPr>
          <w:rFonts w:asciiTheme="majorBidi" w:hAnsiTheme="majorBidi" w:cstheme="majorBidi"/>
          <w:lang w:val="fr-FR"/>
        </w:rPr>
        <w:t xml:space="preserve"> </w:t>
      </w:r>
      <w:r w:rsidR="00D41229">
        <w:rPr>
          <w:rFonts w:asciiTheme="majorBidi" w:hAnsiTheme="majorBidi" w:cstheme="majorBidi"/>
          <w:lang w:val="fr-FR"/>
        </w:rPr>
        <w:t>ibid</w:t>
      </w:r>
      <w:r w:rsidRPr="00754F42">
        <w:rPr>
          <w:rFonts w:asciiTheme="majorBidi" w:hAnsiTheme="majorBidi" w:cstheme="majorBidi"/>
          <w:lang w:val="fr-FR"/>
        </w:rPr>
        <w:t>.</w:t>
      </w:r>
    </w:p>
  </w:footnote>
  <w:footnote w:id="149">
    <w:p w14:paraId="4AE1D204" w14:textId="77777777" w:rsidR="00B94AA3" w:rsidRPr="00FE2A99" w:rsidRDefault="00B94AA3" w:rsidP="00B94AA3">
      <w:pPr>
        <w:pStyle w:val="FootnoteText"/>
        <w:rPr>
          <w:lang w:val="fr-FR"/>
        </w:rPr>
      </w:pPr>
      <w:r>
        <w:rPr>
          <w:rStyle w:val="FootnoteReference"/>
        </w:rPr>
        <w:footnoteRef/>
      </w:r>
      <w:r w:rsidRPr="00FE2A99">
        <w:rPr>
          <w:lang w:val="fr-FR"/>
        </w:rPr>
        <w:t xml:space="preserve"> Participant 36.</w:t>
      </w:r>
    </w:p>
  </w:footnote>
  <w:footnote w:id="150">
    <w:p w14:paraId="5442C0E3" w14:textId="77777777" w:rsidR="00B94AA3" w:rsidRPr="00FE2A99" w:rsidRDefault="00B94AA3" w:rsidP="00B94AA3">
      <w:pPr>
        <w:pStyle w:val="FootnoteText"/>
        <w:rPr>
          <w:lang w:val="fr-FR"/>
        </w:rPr>
      </w:pPr>
      <w:r>
        <w:rPr>
          <w:rStyle w:val="FootnoteReference"/>
        </w:rPr>
        <w:footnoteRef/>
      </w:r>
      <w:r w:rsidRPr="00FE2A99">
        <w:rPr>
          <w:lang w:val="fr-FR"/>
        </w:rPr>
        <w:t xml:space="preserve"> Participant 37.</w:t>
      </w:r>
    </w:p>
  </w:footnote>
  <w:footnote w:id="151">
    <w:p w14:paraId="1FEEB1B6" w14:textId="77777777" w:rsidR="00B94AA3" w:rsidRPr="00FE2A99" w:rsidRDefault="00B94AA3" w:rsidP="00B94AA3">
      <w:pPr>
        <w:pStyle w:val="FootnoteText"/>
        <w:rPr>
          <w:lang w:val="fr-FR"/>
        </w:rPr>
      </w:pPr>
      <w:r>
        <w:rPr>
          <w:rStyle w:val="FootnoteReference"/>
        </w:rPr>
        <w:footnoteRef/>
      </w:r>
      <w:r w:rsidRPr="00FE2A99">
        <w:rPr>
          <w:lang w:val="fr-FR"/>
        </w:rPr>
        <w:t xml:space="preserve"> Participant 38.</w:t>
      </w:r>
    </w:p>
  </w:footnote>
  <w:footnote w:id="152">
    <w:p w14:paraId="23246684" w14:textId="77777777" w:rsidR="00B94AA3" w:rsidRPr="008B0C7D" w:rsidRDefault="00B94AA3" w:rsidP="00BA2D09">
      <w:pPr>
        <w:pStyle w:val="FootnoteText"/>
        <w:rPr>
          <w:lang w:val="fr-FR"/>
        </w:rPr>
      </w:pPr>
      <w:r w:rsidRPr="006F1901">
        <w:rPr>
          <w:rStyle w:val="FootnoteReference"/>
        </w:rPr>
        <w:footnoteRef/>
      </w:r>
      <w:r w:rsidRPr="008B0C7D">
        <w:rPr>
          <w:lang w:val="fr-FR"/>
        </w:rPr>
        <w:t xml:space="preserve"> </w:t>
      </w:r>
      <w:r>
        <w:rPr>
          <w:lang w:val="fr-FR"/>
        </w:rPr>
        <w:t>Participant 15</w:t>
      </w:r>
      <w:r w:rsidRPr="008B0C7D">
        <w:rPr>
          <w:lang w:val="fr-FR"/>
        </w:rPr>
        <w:t>.</w:t>
      </w:r>
    </w:p>
  </w:footnote>
  <w:footnote w:id="153">
    <w:p w14:paraId="467D8FCC" w14:textId="77777777" w:rsidR="00B94AA3" w:rsidRPr="00754F42" w:rsidRDefault="00B94AA3" w:rsidP="00BA2D09">
      <w:pPr>
        <w:pStyle w:val="FootnoteText"/>
        <w:rPr>
          <w:lang w:val="fr-FR"/>
        </w:rPr>
      </w:pPr>
      <w:r>
        <w:rPr>
          <w:rStyle w:val="FootnoteReference"/>
        </w:rPr>
        <w:footnoteRef/>
      </w:r>
      <w:r w:rsidRPr="00754F42">
        <w:rPr>
          <w:lang w:val="fr-FR"/>
        </w:rPr>
        <w:t xml:space="preserve"> Participant 16.</w:t>
      </w:r>
    </w:p>
  </w:footnote>
  <w:footnote w:id="154">
    <w:p w14:paraId="5A0267A4" w14:textId="77777777" w:rsidR="00B94AA3" w:rsidRPr="009B31E7" w:rsidRDefault="00B94AA3" w:rsidP="00BA2D09">
      <w:pPr>
        <w:pStyle w:val="FootnoteText"/>
        <w:rPr>
          <w:lang w:val="fr-FR"/>
        </w:rPr>
      </w:pPr>
      <w:r>
        <w:rPr>
          <w:rStyle w:val="FootnoteReference"/>
        </w:rPr>
        <w:footnoteRef/>
      </w:r>
      <w:r w:rsidRPr="009B31E7">
        <w:rPr>
          <w:lang w:val="fr-FR"/>
        </w:rPr>
        <w:t xml:space="preserve"> Participant 17.</w:t>
      </w:r>
    </w:p>
  </w:footnote>
  <w:footnote w:id="155">
    <w:p w14:paraId="294ED2F3" w14:textId="77777777" w:rsidR="00B94AA3" w:rsidRPr="009B31E7" w:rsidRDefault="00B94AA3" w:rsidP="00B94AA3">
      <w:pPr>
        <w:pStyle w:val="FootnoteText"/>
        <w:rPr>
          <w:lang w:val="fr-FR"/>
        </w:rPr>
      </w:pPr>
      <w:r>
        <w:rPr>
          <w:rStyle w:val="FootnoteReference"/>
        </w:rPr>
        <w:footnoteRef/>
      </w:r>
      <w:r w:rsidRPr="009B31E7">
        <w:rPr>
          <w:lang w:val="fr-FR"/>
        </w:rPr>
        <w:t xml:space="preserve"> Participant 39.</w:t>
      </w:r>
    </w:p>
  </w:footnote>
  <w:footnote w:id="156">
    <w:p w14:paraId="4FFF7BFC" w14:textId="77777777" w:rsidR="00B94AA3" w:rsidRPr="009B31E7" w:rsidRDefault="00B94AA3" w:rsidP="00B94AA3">
      <w:pPr>
        <w:pStyle w:val="FootnoteText"/>
        <w:rPr>
          <w:lang w:val="fr-FR"/>
        </w:rPr>
      </w:pPr>
      <w:r>
        <w:rPr>
          <w:rStyle w:val="FootnoteReference"/>
        </w:rPr>
        <w:footnoteRef/>
      </w:r>
      <w:r w:rsidRPr="009B31E7">
        <w:rPr>
          <w:lang w:val="fr-FR"/>
        </w:rPr>
        <w:t xml:space="preserve"> Participant 40.</w:t>
      </w:r>
    </w:p>
  </w:footnote>
  <w:footnote w:id="157">
    <w:p w14:paraId="174445DF" w14:textId="77777777" w:rsidR="00B94AA3" w:rsidRPr="009B31E7" w:rsidRDefault="00B94AA3" w:rsidP="00B94AA3">
      <w:pPr>
        <w:pStyle w:val="FootnoteText"/>
        <w:rPr>
          <w:lang w:val="fr-FR"/>
        </w:rPr>
      </w:pPr>
      <w:r>
        <w:rPr>
          <w:rStyle w:val="FootnoteReference"/>
        </w:rPr>
        <w:footnoteRef/>
      </w:r>
      <w:r w:rsidRPr="009B31E7">
        <w:rPr>
          <w:lang w:val="fr-FR"/>
        </w:rPr>
        <w:t xml:space="preserve"> Participant 41.</w:t>
      </w:r>
    </w:p>
  </w:footnote>
  <w:footnote w:id="158">
    <w:p w14:paraId="049F7134" w14:textId="59F565B2" w:rsidR="004640A2" w:rsidRDefault="004640A2">
      <w:pPr>
        <w:pStyle w:val="FootnoteText"/>
      </w:pPr>
      <w:r>
        <w:rPr>
          <w:rStyle w:val="FootnoteReference"/>
        </w:rPr>
        <w:footnoteRef/>
      </w:r>
      <w:r>
        <w:t xml:space="preserve"> See Wenyan Tu, </w:t>
      </w:r>
      <w:r w:rsidR="00BA4366">
        <w:t>‘</w:t>
      </w:r>
      <w:r>
        <w:t>Unpacking the Accountability Cube and Its Relationship with Blame Avoidance</w:t>
      </w:r>
      <w:r w:rsidR="00BA4366">
        <w:t>’</w:t>
      </w:r>
      <w:r>
        <w:t xml:space="preserve"> (2022) 26(3) </w:t>
      </w:r>
      <w:r w:rsidRPr="00BA2D09">
        <w:t>Public Management Review</w:t>
      </w:r>
      <w:r>
        <w:t xml:space="preserve"> 701.</w:t>
      </w:r>
    </w:p>
  </w:footnote>
  <w:footnote w:id="159">
    <w:p w14:paraId="58350ECC" w14:textId="498A14D5" w:rsidR="004640A2" w:rsidRPr="00E0239B" w:rsidRDefault="004640A2">
      <w:pPr>
        <w:pStyle w:val="FootnoteText"/>
      </w:pPr>
      <w:r>
        <w:rPr>
          <w:rStyle w:val="FootnoteReference"/>
        </w:rPr>
        <w:footnoteRef/>
      </w:r>
      <w:r>
        <w:t xml:space="preserve"> </w:t>
      </w:r>
      <w:r w:rsidR="00E0239B">
        <w:t>S</w:t>
      </w:r>
      <w:r w:rsidR="00692742">
        <w:t>ee</w:t>
      </w:r>
      <w:r>
        <w:t xml:space="preserve"> </w:t>
      </w:r>
      <w:proofErr w:type="spellStart"/>
      <w:r w:rsidR="00E0239B">
        <w:t>eg</w:t>
      </w:r>
      <w:proofErr w:type="spellEnd"/>
      <w:r w:rsidR="00E0239B">
        <w:t xml:space="preserve"> </w:t>
      </w:r>
      <w:r>
        <w:t xml:space="preserve">Meers </w:t>
      </w:r>
      <w:r w:rsidRPr="00E0239B">
        <w:t>(</w:t>
      </w:r>
      <w:r w:rsidR="00E0239B">
        <w:t>n 80</w:t>
      </w:r>
      <w:r w:rsidRPr="00E0239B">
        <w:t>).</w:t>
      </w:r>
    </w:p>
  </w:footnote>
  <w:footnote w:id="160">
    <w:p w14:paraId="5C1D10CC" w14:textId="12D6CBD7" w:rsidR="00095185" w:rsidRDefault="00095185">
      <w:pPr>
        <w:pStyle w:val="FootnoteText"/>
      </w:pPr>
      <w:r>
        <w:rPr>
          <w:rStyle w:val="FootnoteReference"/>
        </w:rPr>
        <w:footnoteRef/>
      </w:r>
      <w:r>
        <w:t xml:space="preserve"> Office for Equality and Opportunity (n </w:t>
      </w:r>
      <w:r w:rsidR="00576A7D">
        <w:t>1</w:t>
      </w:r>
      <w:r w:rsidR="00A31C5B">
        <w:t>)</w:t>
      </w:r>
      <w:r w:rsidR="00941F53">
        <w:t xml:space="preserve"> 30</w:t>
      </w:r>
      <w:r w:rsidR="009C1C22">
        <w:t>–</w:t>
      </w:r>
      <w:r w:rsidR="00941F53">
        <w:t>1.</w:t>
      </w:r>
    </w:p>
  </w:footnote>
  <w:footnote w:id="161">
    <w:p w14:paraId="031C92A5" w14:textId="5556A915" w:rsidR="00043834" w:rsidRDefault="00043834">
      <w:pPr>
        <w:pStyle w:val="FootnoteText"/>
      </w:pPr>
      <w:r>
        <w:rPr>
          <w:rStyle w:val="FootnoteReference"/>
        </w:rPr>
        <w:footnoteRef/>
      </w:r>
      <w:r>
        <w:t xml:space="preserve"> </w:t>
      </w:r>
      <w:r w:rsidR="009C1C22">
        <w:t>ibid</w:t>
      </w:r>
      <w:r>
        <w:t>.</w:t>
      </w:r>
    </w:p>
  </w:footnote>
  <w:footnote w:id="162">
    <w:p w14:paraId="4F31D988" w14:textId="77777777" w:rsidR="00B915E4" w:rsidRDefault="00B915E4" w:rsidP="00BA2D09">
      <w:pPr>
        <w:pStyle w:val="FootnoteText"/>
      </w:pPr>
      <w:r>
        <w:rPr>
          <w:rStyle w:val="FootnoteReference"/>
        </w:rPr>
        <w:footnoteRef/>
      </w:r>
      <w:r>
        <w:t xml:space="preserve"> Participant 5.</w:t>
      </w:r>
    </w:p>
  </w:footnote>
  <w:footnote w:id="163">
    <w:p w14:paraId="467322C1" w14:textId="77777777" w:rsidR="00B915E4" w:rsidRDefault="00B915E4" w:rsidP="00BA2D09">
      <w:pPr>
        <w:pStyle w:val="FootnoteText"/>
      </w:pPr>
      <w:r>
        <w:rPr>
          <w:rStyle w:val="FootnoteReference"/>
        </w:rPr>
        <w:footnoteRef/>
      </w:r>
      <w:r>
        <w:t xml:space="preserve"> Participant 6.</w:t>
      </w:r>
    </w:p>
  </w:footnote>
  <w:footnote w:id="164">
    <w:p w14:paraId="5E4358B8" w14:textId="637B370C" w:rsidR="00A00160" w:rsidRDefault="00A00160" w:rsidP="000F0CD1">
      <w:pPr>
        <w:pStyle w:val="FootnoteText"/>
      </w:pPr>
      <w:r>
        <w:rPr>
          <w:rStyle w:val="FootnoteReference"/>
        </w:rPr>
        <w:footnoteRef/>
      </w:r>
      <w:r>
        <w:t xml:space="preserve"> </w:t>
      </w:r>
      <w:r w:rsidR="000F0CD1">
        <w:t xml:space="preserve">Bob Hepple, </w:t>
      </w:r>
      <w:r w:rsidR="00BA4366">
        <w:t>‘</w:t>
      </w:r>
      <w:r w:rsidR="000F0CD1">
        <w:t>Enforcing Equality Law: Two Steps Forward and Two Steps Backwards for Reflexive Regulation</w:t>
      </w:r>
      <w:r w:rsidR="00BA4366">
        <w:t>’</w:t>
      </w:r>
      <w:r w:rsidR="000F0CD1">
        <w:t xml:space="preserve"> (2011) 40(4) </w:t>
      </w:r>
      <w:r w:rsidR="00892AA0" w:rsidRPr="00892AA0">
        <w:t>ILJ</w:t>
      </w:r>
      <w:r w:rsidR="000F0CD1">
        <w:t xml:space="preserve"> 315, 334.</w:t>
      </w:r>
    </w:p>
  </w:footnote>
  <w:footnote w:id="165">
    <w:p w14:paraId="13E46DF4" w14:textId="08FBB489" w:rsidR="00017565" w:rsidRDefault="00017565" w:rsidP="00017565">
      <w:pPr>
        <w:pStyle w:val="FootnoteText"/>
      </w:pPr>
      <w:r>
        <w:rPr>
          <w:rStyle w:val="FootnoteReference"/>
        </w:rPr>
        <w:footnoteRef/>
      </w:r>
      <w:r>
        <w:t xml:space="preserve"> </w:t>
      </w:r>
      <w:r w:rsidR="009C1C22">
        <w:t>ibid</w:t>
      </w:r>
      <w:r w:rsidR="00CE53BD" w:rsidRPr="007B4BE8">
        <w:t>.</w:t>
      </w:r>
    </w:p>
  </w:footnote>
  <w:footnote w:id="166">
    <w:p w14:paraId="3B3F1760" w14:textId="736B1314" w:rsidR="00182AC2" w:rsidRDefault="00182AC2">
      <w:pPr>
        <w:pStyle w:val="FootnoteText"/>
      </w:pPr>
      <w:r>
        <w:rPr>
          <w:rStyle w:val="FootnoteReference"/>
        </w:rPr>
        <w:footnoteRef/>
      </w:r>
      <w:r>
        <w:t xml:space="preserve"> </w:t>
      </w:r>
      <w:r w:rsidR="00692742" w:rsidRPr="00BA2D09">
        <w:rPr>
          <w:rFonts w:asciiTheme="majorBidi" w:eastAsia="Source Sans Pro" w:hAnsiTheme="majorBidi"/>
          <w:color w:val="000000" w:themeColor="text1"/>
        </w:rPr>
        <w:t>Equality and Human Rights Commission</w:t>
      </w:r>
      <w:r w:rsidR="00692742">
        <w:rPr>
          <w:rFonts w:asciiTheme="majorBidi" w:eastAsia="Source Sans Pro" w:hAnsiTheme="majorBidi" w:cstheme="majorBidi"/>
          <w:color w:val="000000" w:themeColor="text1"/>
        </w:rPr>
        <w:t>, ‘</w:t>
      </w:r>
      <w:r w:rsidR="00692742" w:rsidRPr="00C9056B">
        <w:rPr>
          <w:rFonts w:asciiTheme="majorBidi" w:eastAsia="Source Sans Pro" w:hAnsiTheme="majorBidi" w:cstheme="majorBidi"/>
          <w:color w:val="000000" w:themeColor="text1"/>
        </w:rPr>
        <w:t>The Socio-economic Duty</w:t>
      </w:r>
      <w:r w:rsidR="00692742">
        <w:rPr>
          <w:rFonts w:asciiTheme="majorBidi" w:eastAsia="Source Sans Pro" w:hAnsiTheme="majorBidi" w:cstheme="majorBidi"/>
          <w:color w:val="000000" w:themeColor="text1"/>
        </w:rPr>
        <w:t>’</w:t>
      </w:r>
      <w:r w:rsidR="00692742">
        <w:t xml:space="preserve"> (n 46)</w:t>
      </w:r>
      <w:r>
        <w:t xml:space="preserve"> 35.</w:t>
      </w:r>
    </w:p>
  </w:footnote>
  <w:footnote w:id="167">
    <w:p w14:paraId="63F5431A" w14:textId="686FD99D" w:rsidR="003B6538" w:rsidRDefault="003B6538" w:rsidP="003B6538">
      <w:pPr>
        <w:pStyle w:val="FootnoteText"/>
      </w:pPr>
      <w:r>
        <w:rPr>
          <w:rStyle w:val="FootnoteReference"/>
        </w:rPr>
        <w:footnoteRef/>
      </w:r>
      <w:r>
        <w:t xml:space="preserve"> See </w:t>
      </w:r>
      <w:r w:rsidR="00B74695" w:rsidRPr="00B74695">
        <w:t xml:space="preserve">Michael Howlett, </w:t>
      </w:r>
      <w:r w:rsidR="00BA4366">
        <w:t>‘</w:t>
      </w:r>
      <w:r w:rsidR="00B74695" w:rsidRPr="00B74695">
        <w:t xml:space="preserve">Why </w:t>
      </w:r>
      <w:r w:rsidR="00D41229" w:rsidRPr="00B74695">
        <w:t xml:space="preserve">Are </w:t>
      </w:r>
      <w:r w:rsidR="00B74695" w:rsidRPr="00B74695">
        <w:t>Policy Innovations Rare and So Often Negative? Blame Avoidance and Problem Denial in Climate Change Policy-</w:t>
      </w:r>
      <w:r w:rsidR="00D41229" w:rsidRPr="00D41229">
        <w:t xml:space="preserve">Making’ </w:t>
      </w:r>
      <w:r w:rsidR="00B74695" w:rsidRPr="00D41229">
        <w:t xml:space="preserve">(2014) 29 </w:t>
      </w:r>
      <w:r w:rsidR="00B74695" w:rsidRPr="00BA2D09">
        <w:t>Global Environmental Change</w:t>
      </w:r>
      <w:r w:rsidR="00B74695" w:rsidRPr="00D41229">
        <w:t xml:space="preserve"> 395</w:t>
      </w:r>
      <w:r w:rsidR="00E0239B" w:rsidRPr="00D41229">
        <w:t>;</w:t>
      </w:r>
      <w:r w:rsidRPr="00D41229">
        <w:t xml:space="preserve"> Catney </w:t>
      </w:r>
      <w:r w:rsidRPr="003B6538">
        <w:t>and Henneberry (</w:t>
      </w:r>
      <w:r w:rsidR="00E0239B">
        <w:t>n 93</w:t>
      </w:r>
      <w:r w:rsidRPr="003B6538">
        <w:t>)</w:t>
      </w:r>
      <w:r w:rsidR="007B008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694"/>
    <w:multiLevelType w:val="hybridMultilevel"/>
    <w:tmpl w:val="EEEC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54F6A"/>
    <w:multiLevelType w:val="hybridMultilevel"/>
    <w:tmpl w:val="104EF27E"/>
    <w:lvl w:ilvl="0" w:tplc="1F12356E">
      <w:start w:val="2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614BB"/>
    <w:multiLevelType w:val="multilevel"/>
    <w:tmpl w:val="5036B6F0"/>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330262"/>
    <w:multiLevelType w:val="hybridMultilevel"/>
    <w:tmpl w:val="1556E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D79CD"/>
    <w:multiLevelType w:val="hybridMultilevel"/>
    <w:tmpl w:val="91A61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F3751E"/>
    <w:multiLevelType w:val="hybridMultilevel"/>
    <w:tmpl w:val="E4AC3636"/>
    <w:lvl w:ilvl="0" w:tplc="050852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B4EA5"/>
    <w:multiLevelType w:val="multilevel"/>
    <w:tmpl w:val="B318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B5608"/>
    <w:multiLevelType w:val="multilevel"/>
    <w:tmpl w:val="767CF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9E18B9"/>
    <w:multiLevelType w:val="multilevel"/>
    <w:tmpl w:val="3A2895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F100D"/>
    <w:multiLevelType w:val="hybridMultilevel"/>
    <w:tmpl w:val="C6DA5234"/>
    <w:lvl w:ilvl="0" w:tplc="3DCE524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52D65"/>
    <w:multiLevelType w:val="multilevel"/>
    <w:tmpl w:val="80C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85794"/>
    <w:multiLevelType w:val="hybridMultilevel"/>
    <w:tmpl w:val="6C8A4926"/>
    <w:lvl w:ilvl="0" w:tplc="EC96E57C">
      <w:start w:val="1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A22780"/>
    <w:multiLevelType w:val="hybridMultilevel"/>
    <w:tmpl w:val="16504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77562"/>
    <w:multiLevelType w:val="hybridMultilevel"/>
    <w:tmpl w:val="45F8AD54"/>
    <w:lvl w:ilvl="0" w:tplc="27B6C31A">
      <w:start w:val="15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203A4"/>
    <w:multiLevelType w:val="hybridMultilevel"/>
    <w:tmpl w:val="AFB435E2"/>
    <w:lvl w:ilvl="0" w:tplc="2618C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7F6EAD"/>
    <w:multiLevelType w:val="hybridMultilevel"/>
    <w:tmpl w:val="33387D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D02BA"/>
    <w:multiLevelType w:val="hybridMultilevel"/>
    <w:tmpl w:val="30BC1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956312"/>
    <w:multiLevelType w:val="multilevel"/>
    <w:tmpl w:val="E95A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83427"/>
    <w:multiLevelType w:val="hybridMultilevel"/>
    <w:tmpl w:val="11E85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70053"/>
    <w:multiLevelType w:val="hybridMultilevel"/>
    <w:tmpl w:val="5FDC1A36"/>
    <w:lvl w:ilvl="0" w:tplc="3DCE5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CC39A5"/>
    <w:multiLevelType w:val="multilevel"/>
    <w:tmpl w:val="434C4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524DD1"/>
    <w:multiLevelType w:val="hybridMultilevel"/>
    <w:tmpl w:val="1D2A5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3030F8"/>
    <w:multiLevelType w:val="multilevel"/>
    <w:tmpl w:val="B65C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91897"/>
    <w:multiLevelType w:val="hybridMultilevel"/>
    <w:tmpl w:val="13C83234"/>
    <w:lvl w:ilvl="0" w:tplc="3DCE5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8F7066"/>
    <w:multiLevelType w:val="hybridMultilevel"/>
    <w:tmpl w:val="CAD87FE6"/>
    <w:lvl w:ilvl="0" w:tplc="26304A1A">
      <w:start w:val="1"/>
      <w:numFmt w:val="upperLetter"/>
      <w:pStyle w:val="Heading2"/>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33A07"/>
    <w:multiLevelType w:val="multilevel"/>
    <w:tmpl w:val="A1EC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E60D5C"/>
    <w:multiLevelType w:val="multilevel"/>
    <w:tmpl w:val="68F8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E0131D"/>
    <w:multiLevelType w:val="hybridMultilevel"/>
    <w:tmpl w:val="259A0D22"/>
    <w:lvl w:ilvl="0" w:tplc="C772E0F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D6800"/>
    <w:multiLevelType w:val="multilevel"/>
    <w:tmpl w:val="5058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C56A99"/>
    <w:multiLevelType w:val="hybridMultilevel"/>
    <w:tmpl w:val="792AC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5A697B"/>
    <w:multiLevelType w:val="hybridMultilevel"/>
    <w:tmpl w:val="ADBC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65490"/>
    <w:multiLevelType w:val="hybridMultilevel"/>
    <w:tmpl w:val="E894339E"/>
    <w:lvl w:ilvl="0" w:tplc="29FE7F30">
      <w:start w:val="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338E6"/>
    <w:multiLevelType w:val="multilevel"/>
    <w:tmpl w:val="3CCE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9D17C1"/>
    <w:multiLevelType w:val="hybridMultilevel"/>
    <w:tmpl w:val="227C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511C00"/>
    <w:multiLevelType w:val="hybridMultilevel"/>
    <w:tmpl w:val="64FCA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C85F5E"/>
    <w:multiLevelType w:val="hybridMultilevel"/>
    <w:tmpl w:val="33387D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D9419C"/>
    <w:multiLevelType w:val="multilevel"/>
    <w:tmpl w:val="9462D6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470E8C"/>
    <w:multiLevelType w:val="hybridMultilevel"/>
    <w:tmpl w:val="6BC4B4A8"/>
    <w:lvl w:ilvl="0" w:tplc="3DCE524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C19FB"/>
    <w:multiLevelType w:val="multilevel"/>
    <w:tmpl w:val="B1383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443599">
    <w:abstractNumId w:val="31"/>
  </w:num>
  <w:num w:numId="2" w16cid:durableId="1588686536">
    <w:abstractNumId w:val="1"/>
  </w:num>
  <w:num w:numId="3" w16cid:durableId="570190169">
    <w:abstractNumId w:val="11"/>
  </w:num>
  <w:num w:numId="4" w16cid:durableId="1251740349">
    <w:abstractNumId w:val="13"/>
  </w:num>
  <w:num w:numId="5" w16cid:durableId="267392293">
    <w:abstractNumId w:val="9"/>
  </w:num>
  <w:num w:numId="6" w16cid:durableId="706417337">
    <w:abstractNumId w:val="20"/>
  </w:num>
  <w:num w:numId="7" w16cid:durableId="1582714393">
    <w:abstractNumId w:val="35"/>
  </w:num>
  <w:num w:numId="8" w16cid:durableId="1120949695">
    <w:abstractNumId w:val="10"/>
  </w:num>
  <w:num w:numId="9" w16cid:durableId="1242908504">
    <w:abstractNumId w:val="4"/>
  </w:num>
  <w:num w:numId="10" w16cid:durableId="1553073788">
    <w:abstractNumId w:val="15"/>
  </w:num>
  <w:num w:numId="11" w16cid:durableId="1082920175">
    <w:abstractNumId w:val="30"/>
  </w:num>
  <w:num w:numId="12" w16cid:durableId="454716991">
    <w:abstractNumId w:val="37"/>
  </w:num>
  <w:num w:numId="13" w16cid:durableId="747003260">
    <w:abstractNumId w:val="29"/>
  </w:num>
  <w:num w:numId="14" w16cid:durableId="1355306210">
    <w:abstractNumId w:val="3"/>
  </w:num>
  <w:num w:numId="15" w16cid:durableId="934165617">
    <w:abstractNumId w:val="7"/>
  </w:num>
  <w:num w:numId="16" w16cid:durableId="954138959">
    <w:abstractNumId w:val="17"/>
  </w:num>
  <w:num w:numId="17" w16cid:durableId="1614245763">
    <w:abstractNumId w:val="23"/>
  </w:num>
  <w:num w:numId="18" w16cid:durableId="71858784">
    <w:abstractNumId w:val="32"/>
  </w:num>
  <w:num w:numId="19" w16cid:durableId="492255403">
    <w:abstractNumId w:val="38"/>
  </w:num>
  <w:num w:numId="20" w16cid:durableId="1553882068">
    <w:abstractNumId w:val="36"/>
  </w:num>
  <w:num w:numId="21" w16cid:durableId="631520329">
    <w:abstractNumId w:val="8"/>
  </w:num>
  <w:num w:numId="22" w16cid:durableId="1881699458">
    <w:abstractNumId w:val="25"/>
  </w:num>
  <w:num w:numId="23" w16cid:durableId="267590374">
    <w:abstractNumId w:val="12"/>
  </w:num>
  <w:num w:numId="24" w16cid:durableId="492528810">
    <w:abstractNumId w:val="18"/>
  </w:num>
  <w:num w:numId="25" w16cid:durableId="1903634211">
    <w:abstractNumId w:val="21"/>
  </w:num>
  <w:num w:numId="26" w16cid:durableId="883785723">
    <w:abstractNumId w:val="0"/>
  </w:num>
  <w:num w:numId="27" w16cid:durableId="1688094985">
    <w:abstractNumId w:val="19"/>
  </w:num>
  <w:num w:numId="28" w16cid:durableId="1663847698">
    <w:abstractNumId w:val="16"/>
  </w:num>
  <w:num w:numId="29" w16cid:durableId="1839999438">
    <w:abstractNumId w:val="5"/>
  </w:num>
  <w:num w:numId="30" w16cid:durableId="2015767273">
    <w:abstractNumId w:val="14"/>
  </w:num>
  <w:num w:numId="31" w16cid:durableId="29309070">
    <w:abstractNumId w:val="6"/>
  </w:num>
  <w:num w:numId="32" w16cid:durableId="1639333840">
    <w:abstractNumId w:val="33"/>
  </w:num>
  <w:num w:numId="33" w16cid:durableId="1887835645">
    <w:abstractNumId w:val="34"/>
  </w:num>
  <w:num w:numId="34" w16cid:durableId="1214082174">
    <w:abstractNumId w:val="22"/>
  </w:num>
  <w:num w:numId="35" w16cid:durableId="929892345">
    <w:abstractNumId w:val="26"/>
  </w:num>
  <w:num w:numId="36" w16cid:durableId="1579091519">
    <w:abstractNumId w:val="28"/>
  </w:num>
  <w:num w:numId="37" w16cid:durableId="1983382226">
    <w:abstractNumId w:val="27"/>
  </w:num>
  <w:num w:numId="38" w16cid:durableId="1459490333">
    <w:abstractNumId w:val="2"/>
  </w:num>
  <w:num w:numId="39" w16cid:durableId="194778358">
    <w:abstractNumId w:val="24"/>
  </w:num>
  <w:num w:numId="40" w16cid:durableId="681250545">
    <w:abstractNumId w:val="24"/>
    <w:lvlOverride w:ilvl="0">
      <w:startOverride w:val="1"/>
    </w:lvlOverride>
  </w:num>
  <w:num w:numId="41" w16cid:durableId="1355375690">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4096" w:nlCheck="1" w:checkStyle="0"/>
  <w:activeWritingStyle w:appName="MSWord" w:lang="it-IT"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40"/>
    <w:rsid w:val="000014AF"/>
    <w:rsid w:val="00001E12"/>
    <w:rsid w:val="00002445"/>
    <w:rsid w:val="000030D4"/>
    <w:rsid w:val="000036F2"/>
    <w:rsid w:val="00003809"/>
    <w:rsid w:val="00003EA8"/>
    <w:rsid w:val="0000421E"/>
    <w:rsid w:val="0000564A"/>
    <w:rsid w:val="000056F0"/>
    <w:rsid w:val="00006722"/>
    <w:rsid w:val="00006755"/>
    <w:rsid w:val="00006E61"/>
    <w:rsid w:val="00007109"/>
    <w:rsid w:val="00007FB5"/>
    <w:rsid w:val="0001022C"/>
    <w:rsid w:val="00010426"/>
    <w:rsid w:val="000113D1"/>
    <w:rsid w:val="00011702"/>
    <w:rsid w:val="00012F08"/>
    <w:rsid w:val="00015E3C"/>
    <w:rsid w:val="00016B33"/>
    <w:rsid w:val="00017437"/>
    <w:rsid w:val="00017565"/>
    <w:rsid w:val="000177B4"/>
    <w:rsid w:val="00017EAA"/>
    <w:rsid w:val="00017EC6"/>
    <w:rsid w:val="000202EE"/>
    <w:rsid w:val="0002070E"/>
    <w:rsid w:val="0002092A"/>
    <w:rsid w:val="00021F74"/>
    <w:rsid w:val="00022307"/>
    <w:rsid w:val="000226A9"/>
    <w:rsid w:val="00024594"/>
    <w:rsid w:val="00024B14"/>
    <w:rsid w:val="00027696"/>
    <w:rsid w:val="00027A35"/>
    <w:rsid w:val="00027D5F"/>
    <w:rsid w:val="00030580"/>
    <w:rsid w:val="00030B84"/>
    <w:rsid w:val="000316C5"/>
    <w:rsid w:val="000333F2"/>
    <w:rsid w:val="000337A2"/>
    <w:rsid w:val="00034274"/>
    <w:rsid w:val="00034353"/>
    <w:rsid w:val="000344FC"/>
    <w:rsid w:val="0003489E"/>
    <w:rsid w:val="000351DF"/>
    <w:rsid w:val="00035EB0"/>
    <w:rsid w:val="000367B4"/>
    <w:rsid w:val="00037B57"/>
    <w:rsid w:val="00037CEE"/>
    <w:rsid w:val="00041718"/>
    <w:rsid w:val="00043834"/>
    <w:rsid w:val="000438B6"/>
    <w:rsid w:val="00044036"/>
    <w:rsid w:val="00044426"/>
    <w:rsid w:val="00044F92"/>
    <w:rsid w:val="0004526A"/>
    <w:rsid w:val="00045D03"/>
    <w:rsid w:val="00046468"/>
    <w:rsid w:val="00046899"/>
    <w:rsid w:val="0004725F"/>
    <w:rsid w:val="00047547"/>
    <w:rsid w:val="00047843"/>
    <w:rsid w:val="00047981"/>
    <w:rsid w:val="00050B0C"/>
    <w:rsid w:val="00050D51"/>
    <w:rsid w:val="00050F7F"/>
    <w:rsid w:val="000514C6"/>
    <w:rsid w:val="0005218B"/>
    <w:rsid w:val="00053B75"/>
    <w:rsid w:val="00053C0F"/>
    <w:rsid w:val="000566F6"/>
    <w:rsid w:val="000576CD"/>
    <w:rsid w:val="00057FF6"/>
    <w:rsid w:val="00060C92"/>
    <w:rsid w:val="000612E6"/>
    <w:rsid w:val="00061428"/>
    <w:rsid w:val="000615DD"/>
    <w:rsid w:val="000627BD"/>
    <w:rsid w:val="00063152"/>
    <w:rsid w:val="000637B3"/>
    <w:rsid w:val="00063C63"/>
    <w:rsid w:val="0006425C"/>
    <w:rsid w:val="000645C2"/>
    <w:rsid w:val="000646DD"/>
    <w:rsid w:val="00064C8F"/>
    <w:rsid w:val="00065250"/>
    <w:rsid w:val="00065A50"/>
    <w:rsid w:val="00066A02"/>
    <w:rsid w:val="00067279"/>
    <w:rsid w:val="00067A83"/>
    <w:rsid w:val="00067C01"/>
    <w:rsid w:val="000701B5"/>
    <w:rsid w:val="00070648"/>
    <w:rsid w:val="00070A5C"/>
    <w:rsid w:val="00071384"/>
    <w:rsid w:val="00071ACE"/>
    <w:rsid w:val="000731A8"/>
    <w:rsid w:val="0007336A"/>
    <w:rsid w:val="000735D3"/>
    <w:rsid w:val="000747BD"/>
    <w:rsid w:val="00075D60"/>
    <w:rsid w:val="000761DC"/>
    <w:rsid w:val="000801F6"/>
    <w:rsid w:val="0008029F"/>
    <w:rsid w:val="000806B3"/>
    <w:rsid w:val="000839D4"/>
    <w:rsid w:val="000846B4"/>
    <w:rsid w:val="00085FC6"/>
    <w:rsid w:val="000867FB"/>
    <w:rsid w:val="00086DAF"/>
    <w:rsid w:val="00086E2A"/>
    <w:rsid w:val="00086FF5"/>
    <w:rsid w:val="00087685"/>
    <w:rsid w:val="0008773A"/>
    <w:rsid w:val="0008781E"/>
    <w:rsid w:val="00087C21"/>
    <w:rsid w:val="00087CF3"/>
    <w:rsid w:val="000903D2"/>
    <w:rsid w:val="000903D6"/>
    <w:rsid w:val="00090C8E"/>
    <w:rsid w:val="000913A5"/>
    <w:rsid w:val="000913D5"/>
    <w:rsid w:val="00091A67"/>
    <w:rsid w:val="00091BF5"/>
    <w:rsid w:val="00091CF9"/>
    <w:rsid w:val="00092A9F"/>
    <w:rsid w:val="00092F60"/>
    <w:rsid w:val="0009326A"/>
    <w:rsid w:val="000938D4"/>
    <w:rsid w:val="00093B6F"/>
    <w:rsid w:val="00095185"/>
    <w:rsid w:val="00096024"/>
    <w:rsid w:val="00096A0A"/>
    <w:rsid w:val="00097332"/>
    <w:rsid w:val="000975DF"/>
    <w:rsid w:val="00097BE1"/>
    <w:rsid w:val="00097F1E"/>
    <w:rsid w:val="000A0449"/>
    <w:rsid w:val="000A0BCF"/>
    <w:rsid w:val="000A1882"/>
    <w:rsid w:val="000A1AE7"/>
    <w:rsid w:val="000A1D5A"/>
    <w:rsid w:val="000A235C"/>
    <w:rsid w:val="000A28A7"/>
    <w:rsid w:val="000A2F5E"/>
    <w:rsid w:val="000A3154"/>
    <w:rsid w:val="000A3BAD"/>
    <w:rsid w:val="000A3E59"/>
    <w:rsid w:val="000A524D"/>
    <w:rsid w:val="000A5593"/>
    <w:rsid w:val="000A632B"/>
    <w:rsid w:val="000A65E9"/>
    <w:rsid w:val="000A7100"/>
    <w:rsid w:val="000A792C"/>
    <w:rsid w:val="000A7B0D"/>
    <w:rsid w:val="000A7CB2"/>
    <w:rsid w:val="000B1243"/>
    <w:rsid w:val="000B1575"/>
    <w:rsid w:val="000B17DC"/>
    <w:rsid w:val="000B228D"/>
    <w:rsid w:val="000B2734"/>
    <w:rsid w:val="000B28D0"/>
    <w:rsid w:val="000B33A8"/>
    <w:rsid w:val="000B3BA2"/>
    <w:rsid w:val="000B3D0F"/>
    <w:rsid w:val="000B40BD"/>
    <w:rsid w:val="000B46FD"/>
    <w:rsid w:val="000B4A6A"/>
    <w:rsid w:val="000B5423"/>
    <w:rsid w:val="000B7F06"/>
    <w:rsid w:val="000C0BC4"/>
    <w:rsid w:val="000C11F8"/>
    <w:rsid w:val="000C1FAD"/>
    <w:rsid w:val="000C24EE"/>
    <w:rsid w:val="000C2634"/>
    <w:rsid w:val="000C2714"/>
    <w:rsid w:val="000C315D"/>
    <w:rsid w:val="000C31E8"/>
    <w:rsid w:val="000C4766"/>
    <w:rsid w:val="000C54B8"/>
    <w:rsid w:val="000C57E1"/>
    <w:rsid w:val="000C582B"/>
    <w:rsid w:val="000C5AE2"/>
    <w:rsid w:val="000C6810"/>
    <w:rsid w:val="000C6ADF"/>
    <w:rsid w:val="000C7051"/>
    <w:rsid w:val="000C7254"/>
    <w:rsid w:val="000C7278"/>
    <w:rsid w:val="000D027D"/>
    <w:rsid w:val="000D1705"/>
    <w:rsid w:val="000D193C"/>
    <w:rsid w:val="000D2459"/>
    <w:rsid w:val="000D2B54"/>
    <w:rsid w:val="000D37CE"/>
    <w:rsid w:val="000D3D00"/>
    <w:rsid w:val="000D444D"/>
    <w:rsid w:val="000D44FD"/>
    <w:rsid w:val="000D4875"/>
    <w:rsid w:val="000D48A6"/>
    <w:rsid w:val="000D5286"/>
    <w:rsid w:val="000D6B18"/>
    <w:rsid w:val="000D6DA1"/>
    <w:rsid w:val="000D79EA"/>
    <w:rsid w:val="000E014E"/>
    <w:rsid w:val="000E09A3"/>
    <w:rsid w:val="000E0B31"/>
    <w:rsid w:val="000E0E43"/>
    <w:rsid w:val="000E20B2"/>
    <w:rsid w:val="000E2160"/>
    <w:rsid w:val="000E33E9"/>
    <w:rsid w:val="000E341C"/>
    <w:rsid w:val="000E3583"/>
    <w:rsid w:val="000E4446"/>
    <w:rsid w:val="000E44CD"/>
    <w:rsid w:val="000E6657"/>
    <w:rsid w:val="000E6D94"/>
    <w:rsid w:val="000E7CC9"/>
    <w:rsid w:val="000F0CD1"/>
    <w:rsid w:val="000F0F34"/>
    <w:rsid w:val="000F11EB"/>
    <w:rsid w:val="000F201F"/>
    <w:rsid w:val="000F2A16"/>
    <w:rsid w:val="000F3202"/>
    <w:rsid w:val="000F378D"/>
    <w:rsid w:val="000F39D2"/>
    <w:rsid w:val="000F3BB0"/>
    <w:rsid w:val="000F45A7"/>
    <w:rsid w:val="000F4A30"/>
    <w:rsid w:val="000F540F"/>
    <w:rsid w:val="000F6991"/>
    <w:rsid w:val="000F6FEE"/>
    <w:rsid w:val="000F71E1"/>
    <w:rsid w:val="000F7962"/>
    <w:rsid w:val="001000A9"/>
    <w:rsid w:val="0010190B"/>
    <w:rsid w:val="00101E0A"/>
    <w:rsid w:val="00101F42"/>
    <w:rsid w:val="0010266B"/>
    <w:rsid w:val="00103BC6"/>
    <w:rsid w:val="00105205"/>
    <w:rsid w:val="001055B8"/>
    <w:rsid w:val="0010578A"/>
    <w:rsid w:val="00105BD3"/>
    <w:rsid w:val="00106273"/>
    <w:rsid w:val="00107476"/>
    <w:rsid w:val="00110751"/>
    <w:rsid w:val="0011077D"/>
    <w:rsid w:val="00110972"/>
    <w:rsid w:val="00110E45"/>
    <w:rsid w:val="00110E49"/>
    <w:rsid w:val="00112A6A"/>
    <w:rsid w:val="001139AF"/>
    <w:rsid w:val="00113E91"/>
    <w:rsid w:val="00113F29"/>
    <w:rsid w:val="001144B7"/>
    <w:rsid w:val="00115504"/>
    <w:rsid w:val="001166AF"/>
    <w:rsid w:val="00116D97"/>
    <w:rsid w:val="00116E2F"/>
    <w:rsid w:val="00116FB6"/>
    <w:rsid w:val="00117A32"/>
    <w:rsid w:val="00117B9D"/>
    <w:rsid w:val="00117F6C"/>
    <w:rsid w:val="00120F32"/>
    <w:rsid w:val="00120F64"/>
    <w:rsid w:val="001212C9"/>
    <w:rsid w:val="001218AC"/>
    <w:rsid w:val="001219A3"/>
    <w:rsid w:val="00122924"/>
    <w:rsid w:val="0012297A"/>
    <w:rsid w:val="00122FF9"/>
    <w:rsid w:val="0012340D"/>
    <w:rsid w:val="00123551"/>
    <w:rsid w:val="0012371B"/>
    <w:rsid w:val="0012393E"/>
    <w:rsid w:val="00123ADF"/>
    <w:rsid w:val="00124950"/>
    <w:rsid w:val="001252AD"/>
    <w:rsid w:val="00125632"/>
    <w:rsid w:val="00125A64"/>
    <w:rsid w:val="0012603D"/>
    <w:rsid w:val="0012642C"/>
    <w:rsid w:val="00126B65"/>
    <w:rsid w:val="00126C73"/>
    <w:rsid w:val="00126F9C"/>
    <w:rsid w:val="001272AA"/>
    <w:rsid w:val="00127670"/>
    <w:rsid w:val="00127FED"/>
    <w:rsid w:val="00130045"/>
    <w:rsid w:val="0013005D"/>
    <w:rsid w:val="00130F23"/>
    <w:rsid w:val="001316A9"/>
    <w:rsid w:val="00131AA9"/>
    <w:rsid w:val="00131AB2"/>
    <w:rsid w:val="00131B29"/>
    <w:rsid w:val="00132838"/>
    <w:rsid w:val="00132DCE"/>
    <w:rsid w:val="00132DE4"/>
    <w:rsid w:val="0013334D"/>
    <w:rsid w:val="00133F79"/>
    <w:rsid w:val="00134A59"/>
    <w:rsid w:val="00134B70"/>
    <w:rsid w:val="00134E4E"/>
    <w:rsid w:val="00135609"/>
    <w:rsid w:val="00136577"/>
    <w:rsid w:val="00140849"/>
    <w:rsid w:val="00140AD0"/>
    <w:rsid w:val="00141265"/>
    <w:rsid w:val="00142E62"/>
    <w:rsid w:val="001433A9"/>
    <w:rsid w:val="00143638"/>
    <w:rsid w:val="00143E28"/>
    <w:rsid w:val="00144357"/>
    <w:rsid w:val="00145222"/>
    <w:rsid w:val="001462E0"/>
    <w:rsid w:val="00146EF5"/>
    <w:rsid w:val="001473C7"/>
    <w:rsid w:val="001502B9"/>
    <w:rsid w:val="001510E0"/>
    <w:rsid w:val="001513BB"/>
    <w:rsid w:val="001519D1"/>
    <w:rsid w:val="00151D7A"/>
    <w:rsid w:val="0015229D"/>
    <w:rsid w:val="001534C3"/>
    <w:rsid w:val="00154255"/>
    <w:rsid w:val="001556A4"/>
    <w:rsid w:val="00160BC1"/>
    <w:rsid w:val="00161C93"/>
    <w:rsid w:val="00162124"/>
    <w:rsid w:val="0016238C"/>
    <w:rsid w:val="00162ECD"/>
    <w:rsid w:val="00163B1C"/>
    <w:rsid w:val="0016406E"/>
    <w:rsid w:val="00164076"/>
    <w:rsid w:val="001646C2"/>
    <w:rsid w:val="00164971"/>
    <w:rsid w:val="001650AD"/>
    <w:rsid w:val="001658B5"/>
    <w:rsid w:val="00165E05"/>
    <w:rsid w:val="001663B0"/>
    <w:rsid w:val="00166416"/>
    <w:rsid w:val="00166960"/>
    <w:rsid w:val="001672F2"/>
    <w:rsid w:val="00170C57"/>
    <w:rsid w:val="00170E7B"/>
    <w:rsid w:val="00170F90"/>
    <w:rsid w:val="00171265"/>
    <w:rsid w:val="001712C7"/>
    <w:rsid w:val="00172312"/>
    <w:rsid w:val="001733DA"/>
    <w:rsid w:val="0017425B"/>
    <w:rsid w:val="00175944"/>
    <w:rsid w:val="00175C14"/>
    <w:rsid w:val="00177A88"/>
    <w:rsid w:val="0018098D"/>
    <w:rsid w:val="001824A5"/>
    <w:rsid w:val="00182AC2"/>
    <w:rsid w:val="00182F5C"/>
    <w:rsid w:val="00183078"/>
    <w:rsid w:val="00183BB9"/>
    <w:rsid w:val="001846DA"/>
    <w:rsid w:val="00184800"/>
    <w:rsid w:val="00185030"/>
    <w:rsid w:val="00185102"/>
    <w:rsid w:val="0018543C"/>
    <w:rsid w:val="00185CA4"/>
    <w:rsid w:val="00186B6C"/>
    <w:rsid w:val="00190B1A"/>
    <w:rsid w:val="0019108B"/>
    <w:rsid w:val="00191279"/>
    <w:rsid w:val="00191E40"/>
    <w:rsid w:val="00191FC1"/>
    <w:rsid w:val="0019263C"/>
    <w:rsid w:val="0019291F"/>
    <w:rsid w:val="00192EE6"/>
    <w:rsid w:val="001932F6"/>
    <w:rsid w:val="001941EB"/>
    <w:rsid w:val="001958E1"/>
    <w:rsid w:val="00196423"/>
    <w:rsid w:val="00197846"/>
    <w:rsid w:val="001A0409"/>
    <w:rsid w:val="001A071D"/>
    <w:rsid w:val="001A0BD0"/>
    <w:rsid w:val="001A17C7"/>
    <w:rsid w:val="001A1ACC"/>
    <w:rsid w:val="001A282F"/>
    <w:rsid w:val="001A2E12"/>
    <w:rsid w:val="001A3B9C"/>
    <w:rsid w:val="001A42F4"/>
    <w:rsid w:val="001A45A0"/>
    <w:rsid w:val="001A4AE5"/>
    <w:rsid w:val="001A522B"/>
    <w:rsid w:val="001A53FF"/>
    <w:rsid w:val="001A5ABF"/>
    <w:rsid w:val="001A61E3"/>
    <w:rsid w:val="001A7F61"/>
    <w:rsid w:val="001B052A"/>
    <w:rsid w:val="001B08DB"/>
    <w:rsid w:val="001B0C9A"/>
    <w:rsid w:val="001B1331"/>
    <w:rsid w:val="001B18B3"/>
    <w:rsid w:val="001B23BA"/>
    <w:rsid w:val="001B276C"/>
    <w:rsid w:val="001B2C59"/>
    <w:rsid w:val="001B304D"/>
    <w:rsid w:val="001B4D91"/>
    <w:rsid w:val="001B5191"/>
    <w:rsid w:val="001B51C6"/>
    <w:rsid w:val="001B54E8"/>
    <w:rsid w:val="001B5604"/>
    <w:rsid w:val="001B5B5F"/>
    <w:rsid w:val="001B7659"/>
    <w:rsid w:val="001C081A"/>
    <w:rsid w:val="001C087A"/>
    <w:rsid w:val="001C08B0"/>
    <w:rsid w:val="001C1A93"/>
    <w:rsid w:val="001C1FA1"/>
    <w:rsid w:val="001C2F18"/>
    <w:rsid w:val="001C32E5"/>
    <w:rsid w:val="001C44EA"/>
    <w:rsid w:val="001C513E"/>
    <w:rsid w:val="001C518B"/>
    <w:rsid w:val="001C53E5"/>
    <w:rsid w:val="001D033F"/>
    <w:rsid w:val="001D071C"/>
    <w:rsid w:val="001D0A5D"/>
    <w:rsid w:val="001D1F0B"/>
    <w:rsid w:val="001D3C71"/>
    <w:rsid w:val="001D402E"/>
    <w:rsid w:val="001D537A"/>
    <w:rsid w:val="001D5387"/>
    <w:rsid w:val="001D5715"/>
    <w:rsid w:val="001D611E"/>
    <w:rsid w:val="001D6822"/>
    <w:rsid w:val="001D7CC1"/>
    <w:rsid w:val="001E17BE"/>
    <w:rsid w:val="001E1A09"/>
    <w:rsid w:val="001E1A69"/>
    <w:rsid w:val="001E2F2B"/>
    <w:rsid w:val="001E3BB2"/>
    <w:rsid w:val="001E60C4"/>
    <w:rsid w:val="001E6896"/>
    <w:rsid w:val="001E69EE"/>
    <w:rsid w:val="001E6C21"/>
    <w:rsid w:val="001E7F14"/>
    <w:rsid w:val="001F007E"/>
    <w:rsid w:val="001F0081"/>
    <w:rsid w:val="001F0272"/>
    <w:rsid w:val="001F1828"/>
    <w:rsid w:val="001F338F"/>
    <w:rsid w:val="001F3520"/>
    <w:rsid w:val="001F3760"/>
    <w:rsid w:val="001F4223"/>
    <w:rsid w:val="001F5A59"/>
    <w:rsid w:val="001F63EB"/>
    <w:rsid w:val="001F6E0C"/>
    <w:rsid w:val="001F759B"/>
    <w:rsid w:val="002005D9"/>
    <w:rsid w:val="002010A3"/>
    <w:rsid w:val="0020186D"/>
    <w:rsid w:val="0020245D"/>
    <w:rsid w:val="00202FCD"/>
    <w:rsid w:val="0020479E"/>
    <w:rsid w:val="0020543F"/>
    <w:rsid w:val="00205AAB"/>
    <w:rsid w:val="00205F35"/>
    <w:rsid w:val="00206194"/>
    <w:rsid w:val="0020634E"/>
    <w:rsid w:val="00206917"/>
    <w:rsid w:val="00206C7F"/>
    <w:rsid w:val="00207894"/>
    <w:rsid w:val="00210A2C"/>
    <w:rsid w:val="0021180D"/>
    <w:rsid w:val="00211DC1"/>
    <w:rsid w:val="002121A9"/>
    <w:rsid w:val="002127E7"/>
    <w:rsid w:val="0021291E"/>
    <w:rsid w:val="00213807"/>
    <w:rsid w:val="00213AF4"/>
    <w:rsid w:val="00213BE1"/>
    <w:rsid w:val="00213FCF"/>
    <w:rsid w:val="002141CF"/>
    <w:rsid w:val="00214C21"/>
    <w:rsid w:val="00214CA6"/>
    <w:rsid w:val="00214E11"/>
    <w:rsid w:val="00215A2C"/>
    <w:rsid w:val="00217DD0"/>
    <w:rsid w:val="00220506"/>
    <w:rsid w:val="00220D65"/>
    <w:rsid w:val="00221976"/>
    <w:rsid w:val="00221FC6"/>
    <w:rsid w:val="002221FD"/>
    <w:rsid w:val="00222E9D"/>
    <w:rsid w:val="00223D5D"/>
    <w:rsid w:val="0022682F"/>
    <w:rsid w:val="00226B6D"/>
    <w:rsid w:val="00226BE3"/>
    <w:rsid w:val="002275C7"/>
    <w:rsid w:val="00230591"/>
    <w:rsid w:val="002316F2"/>
    <w:rsid w:val="00231776"/>
    <w:rsid w:val="002323C1"/>
    <w:rsid w:val="00232488"/>
    <w:rsid w:val="00233F36"/>
    <w:rsid w:val="00235DD9"/>
    <w:rsid w:val="00236919"/>
    <w:rsid w:val="002403A9"/>
    <w:rsid w:val="002406D1"/>
    <w:rsid w:val="00240BAB"/>
    <w:rsid w:val="00240DA9"/>
    <w:rsid w:val="002416C9"/>
    <w:rsid w:val="002419DD"/>
    <w:rsid w:val="00241FCF"/>
    <w:rsid w:val="002426DA"/>
    <w:rsid w:val="002430EE"/>
    <w:rsid w:val="00243813"/>
    <w:rsid w:val="00243F94"/>
    <w:rsid w:val="002449DC"/>
    <w:rsid w:val="00244F7A"/>
    <w:rsid w:val="002456FE"/>
    <w:rsid w:val="00245FE8"/>
    <w:rsid w:val="002464AA"/>
    <w:rsid w:val="002467BC"/>
    <w:rsid w:val="00246EE6"/>
    <w:rsid w:val="0024750E"/>
    <w:rsid w:val="002504F1"/>
    <w:rsid w:val="002506AB"/>
    <w:rsid w:val="00250889"/>
    <w:rsid w:val="00250A11"/>
    <w:rsid w:val="0025138E"/>
    <w:rsid w:val="00254262"/>
    <w:rsid w:val="00254B66"/>
    <w:rsid w:val="00254D26"/>
    <w:rsid w:val="002551CD"/>
    <w:rsid w:val="002555BC"/>
    <w:rsid w:val="00255C4B"/>
    <w:rsid w:val="00256104"/>
    <w:rsid w:val="002568D0"/>
    <w:rsid w:val="00256CE1"/>
    <w:rsid w:val="00263554"/>
    <w:rsid w:val="00263B4F"/>
    <w:rsid w:val="00264104"/>
    <w:rsid w:val="00264432"/>
    <w:rsid w:val="00265B1B"/>
    <w:rsid w:val="00266420"/>
    <w:rsid w:val="00267A05"/>
    <w:rsid w:val="00271025"/>
    <w:rsid w:val="002713E9"/>
    <w:rsid w:val="002714B3"/>
    <w:rsid w:val="002718FE"/>
    <w:rsid w:val="00271DF4"/>
    <w:rsid w:val="00271E8F"/>
    <w:rsid w:val="002728A9"/>
    <w:rsid w:val="00272ED4"/>
    <w:rsid w:val="002735AF"/>
    <w:rsid w:val="00273C1C"/>
    <w:rsid w:val="00273E45"/>
    <w:rsid w:val="00274187"/>
    <w:rsid w:val="00274D0B"/>
    <w:rsid w:val="002750AD"/>
    <w:rsid w:val="002754AB"/>
    <w:rsid w:val="002764E0"/>
    <w:rsid w:val="00276A56"/>
    <w:rsid w:val="002771B9"/>
    <w:rsid w:val="00280A53"/>
    <w:rsid w:val="00280AE7"/>
    <w:rsid w:val="0028176F"/>
    <w:rsid w:val="00281CAA"/>
    <w:rsid w:val="00282573"/>
    <w:rsid w:val="00282659"/>
    <w:rsid w:val="002830F7"/>
    <w:rsid w:val="0028351D"/>
    <w:rsid w:val="0028446A"/>
    <w:rsid w:val="002853D0"/>
    <w:rsid w:val="00285A32"/>
    <w:rsid w:val="00285BE1"/>
    <w:rsid w:val="00286D28"/>
    <w:rsid w:val="00287D57"/>
    <w:rsid w:val="00287E33"/>
    <w:rsid w:val="00287FD7"/>
    <w:rsid w:val="002909FF"/>
    <w:rsid w:val="00290B61"/>
    <w:rsid w:val="002920AC"/>
    <w:rsid w:val="0029278F"/>
    <w:rsid w:val="00292CF3"/>
    <w:rsid w:val="00292D05"/>
    <w:rsid w:val="00293AFE"/>
    <w:rsid w:val="002942C4"/>
    <w:rsid w:val="0029433D"/>
    <w:rsid w:val="00294A14"/>
    <w:rsid w:val="00294B9B"/>
    <w:rsid w:val="00294CBD"/>
    <w:rsid w:val="002958FE"/>
    <w:rsid w:val="00295E2C"/>
    <w:rsid w:val="00296129"/>
    <w:rsid w:val="00296F08"/>
    <w:rsid w:val="002A04B2"/>
    <w:rsid w:val="002A059B"/>
    <w:rsid w:val="002A0B64"/>
    <w:rsid w:val="002A0E0C"/>
    <w:rsid w:val="002A16A2"/>
    <w:rsid w:val="002A1E25"/>
    <w:rsid w:val="002A1F1D"/>
    <w:rsid w:val="002A25A6"/>
    <w:rsid w:val="002A2909"/>
    <w:rsid w:val="002A2D3F"/>
    <w:rsid w:val="002A33B1"/>
    <w:rsid w:val="002A3C2A"/>
    <w:rsid w:val="002A4220"/>
    <w:rsid w:val="002A4393"/>
    <w:rsid w:val="002A54F6"/>
    <w:rsid w:val="002A5A31"/>
    <w:rsid w:val="002A5DCE"/>
    <w:rsid w:val="002A5F1D"/>
    <w:rsid w:val="002A6193"/>
    <w:rsid w:val="002A6A72"/>
    <w:rsid w:val="002A6BF3"/>
    <w:rsid w:val="002A6E96"/>
    <w:rsid w:val="002A76CB"/>
    <w:rsid w:val="002A79E6"/>
    <w:rsid w:val="002B054A"/>
    <w:rsid w:val="002B09F7"/>
    <w:rsid w:val="002B0AAA"/>
    <w:rsid w:val="002B119F"/>
    <w:rsid w:val="002B18AC"/>
    <w:rsid w:val="002B1BE4"/>
    <w:rsid w:val="002B1DAB"/>
    <w:rsid w:val="002B319A"/>
    <w:rsid w:val="002B3224"/>
    <w:rsid w:val="002B408B"/>
    <w:rsid w:val="002B440E"/>
    <w:rsid w:val="002B4DE5"/>
    <w:rsid w:val="002B6050"/>
    <w:rsid w:val="002B66CA"/>
    <w:rsid w:val="002C04BD"/>
    <w:rsid w:val="002C04DD"/>
    <w:rsid w:val="002C07EA"/>
    <w:rsid w:val="002C1450"/>
    <w:rsid w:val="002C1B80"/>
    <w:rsid w:val="002C24DD"/>
    <w:rsid w:val="002C25B4"/>
    <w:rsid w:val="002C335E"/>
    <w:rsid w:val="002C36B5"/>
    <w:rsid w:val="002C40CE"/>
    <w:rsid w:val="002C468C"/>
    <w:rsid w:val="002C76C9"/>
    <w:rsid w:val="002C7B43"/>
    <w:rsid w:val="002D04D7"/>
    <w:rsid w:val="002D07D5"/>
    <w:rsid w:val="002D0890"/>
    <w:rsid w:val="002D2F21"/>
    <w:rsid w:val="002D37AD"/>
    <w:rsid w:val="002D3905"/>
    <w:rsid w:val="002D3B7F"/>
    <w:rsid w:val="002D412A"/>
    <w:rsid w:val="002D55B4"/>
    <w:rsid w:val="002D5F87"/>
    <w:rsid w:val="002D7364"/>
    <w:rsid w:val="002D75E4"/>
    <w:rsid w:val="002D7735"/>
    <w:rsid w:val="002D7CCB"/>
    <w:rsid w:val="002D7E66"/>
    <w:rsid w:val="002E005E"/>
    <w:rsid w:val="002E0965"/>
    <w:rsid w:val="002E2916"/>
    <w:rsid w:val="002E2A07"/>
    <w:rsid w:val="002E3BD5"/>
    <w:rsid w:val="002E3D60"/>
    <w:rsid w:val="002E42FA"/>
    <w:rsid w:val="002E43BC"/>
    <w:rsid w:val="002E43FE"/>
    <w:rsid w:val="002E4538"/>
    <w:rsid w:val="002E66E6"/>
    <w:rsid w:val="002E68C5"/>
    <w:rsid w:val="002E6D34"/>
    <w:rsid w:val="002E6E1B"/>
    <w:rsid w:val="002E73DE"/>
    <w:rsid w:val="002E7463"/>
    <w:rsid w:val="002E78E2"/>
    <w:rsid w:val="002E7C9A"/>
    <w:rsid w:val="002E7D74"/>
    <w:rsid w:val="002F0BDC"/>
    <w:rsid w:val="002F1CAE"/>
    <w:rsid w:val="002F202B"/>
    <w:rsid w:val="002F2192"/>
    <w:rsid w:val="002F2A70"/>
    <w:rsid w:val="002F2D21"/>
    <w:rsid w:val="002F3002"/>
    <w:rsid w:val="002F3F0B"/>
    <w:rsid w:val="002F56C6"/>
    <w:rsid w:val="002F5A4D"/>
    <w:rsid w:val="0030023B"/>
    <w:rsid w:val="00300568"/>
    <w:rsid w:val="00300CFE"/>
    <w:rsid w:val="003017AB"/>
    <w:rsid w:val="00301CB5"/>
    <w:rsid w:val="00301E07"/>
    <w:rsid w:val="003024B9"/>
    <w:rsid w:val="00303696"/>
    <w:rsid w:val="00303959"/>
    <w:rsid w:val="00303CA6"/>
    <w:rsid w:val="00304206"/>
    <w:rsid w:val="0030443D"/>
    <w:rsid w:val="00304AF3"/>
    <w:rsid w:val="0030681C"/>
    <w:rsid w:val="00307265"/>
    <w:rsid w:val="00307CCD"/>
    <w:rsid w:val="00307EBB"/>
    <w:rsid w:val="003105FF"/>
    <w:rsid w:val="00311652"/>
    <w:rsid w:val="00312D1B"/>
    <w:rsid w:val="00313763"/>
    <w:rsid w:val="00315E19"/>
    <w:rsid w:val="003162B0"/>
    <w:rsid w:val="003171A0"/>
    <w:rsid w:val="003179B6"/>
    <w:rsid w:val="00317C4C"/>
    <w:rsid w:val="00320488"/>
    <w:rsid w:val="003209A3"/>
    <w:rsid w:val="00320E45"/>
    <w:rsid w:val="00321140"/>
    <w:rsid w:val="00321224"/>
    <w:rsid w:val="00321870"/>
    <w:rsid w:val="00321E3F"/>
    <w:rsid w:val="00322485"/>
    <w:rsid w:val="003226B5"/>
    <w:rsid w:val="00323072"/>
    <w:rsid w:val="0032398C"/>
    <w:rsid w:val="003243FD"/>
    <w:rsid w:val="00324ED4"/>
    <w:rsid w:val="003257EE"/>
    <w:rsid w:val="0032595C"/>
    <w:rsid w:val="00325C56"/>
    <w:rsid w:val="00326129"/>
    <w:rsid w:val="003264C7"/>
    <w:rsid w:val="003273BA"/>
    <w:rsid w:val="00327BAC"/>
    <w:rsid w:val="00327CDD"/>
    <w:rsid w:val="00330A93"/>
    <w:rsid w:val="003310B3"/>
    <w:rsid w:val="0033198B"/>
    <w:rsid w:val="00332051"/>
    <w:rsid w:val="00332A07"/>
    <w:rsid w:val="00332BDF"/>
    <w:rsid w:val="00332D49"/>
    <w:rsid w:val="00333783"/>
    <w:rsid w:val="003339C4"/>
    <w:rsid w:val="00333A97"/>
    <w:rsid w:val="00333AC1"/>
    <w:rsid w:val="003342CB"/>
    <w:rsid w:val="003347EF"/>
    <w:rsid w:val="00335829"/>
    <w:rsid w:val="003359CB"/>
    <w:rsid w:val="003364CF"/>
    <w:rsid w:val="0033655D"/>
    <w:rsid w:val="003373C1"/>
    <w:rsid w:val="00337580"/>
    <w:rsid w:val="00337633"/>
    <w:rsid w:val="003401BF"/>
    <w:rsid w:val="0034061C"/>
    <w:rsid w:val="003408AC"/>
    <w:rsid w:val="00341402"/>
    <w:rsid w:val="00342B35"/>
    <w:rsid w:val="00342E7F"/>
    <w:rsid w:val="003438E8"/>
    <w:rsid w:val="003439FC"/>
    <w:rsid w:val="00343E73"/>
    <w:rsid w:val="003440A9"/>
    <w:rsid w:val="00344401"/>
    <w:rsid w:val="003464D8"/>
    <w:rsid w:val="0034755F"/>
    <w:rsid w:val="00347AB5"/>
    <w:rsid w:val="00347C70"/>
    <w:rsid w:val="0035072A"/>
    <w:rsid w:val="00350B23"/>
    <w:rsid w:val="0035151D"/>
    <w:rsid w:val="0035162F"/>
    <w:rsid w:val="0035200E"/>
    <w:rsid w:val="0035238E"/>
    <w:rsid w:val="00352B08"/>
    <w:rsid w:val="00356900"/>
    <w:rsid w:val="0035705B"/>
    <w:rsid w:val="00357068"/>
    <w:rsid w:val="0035711F"/>
    <w:rsid w:val="00360294"/>
    <w:rsid w:val="003604A7"/>
    <w:rsid w:val="00360595"/>
    <w:rsid w:val="0036089F"/>
    <w:rsid w:val="00360C93"/>
    <w:rsid w:val="003610B5"/>
    <w:rsid w:val="0036122E"/>
    <w:rsid w:val="00362A34"/>
    <w:rsid w:val="003633C6"/>
    <w:rsid w:val="003635D5"/>
    <w:rsid w:val="00363F10"/>
    <w:rsid w:val="003640C2"/>
    <w:rsid w:val="0036449B"/>
    <w:rsid w:val="0036550D"/>
    <w:rsid w:val="00365C86"/>
    <w:rsid w:val="00366110"/>
    <w:rsid w:val="003665CB"/>
    <w:rsid w:val="00366A20"/>
    <w:rsid w:val="00367054"/>
    <w:rsid w:val="00367FF5"/>
    <w:rsid w:val="00370553"/>
    <w:rsid w:val="003708EA"/>
    <w:rsid w:val="00370936"/>
    <w:rsid w:val="00370F4E"/>
    <w:rsid w:val="00371066"/>
    <w:rsid w:val="003710C3"/>
    <w:rsid w:val="00371134"/>
    <w:rsid w:val="0037172B"/>
    <w:rsid w:val="003718C9"/>
    <w:rsid w:val="00371E83"/>
    <w:rsid w:val="003722D6"/>
    <w:rsid w:val="0037264B"/>
    <w:rsid w:val="003727A0"/>
    <w:rsid w:val="00372B00"/>
    <w:rsid w:val="00372C77"/>
    <w:rsid w:val="003730AC"/>
    <w:rsid w:val="00373D97"/>
    <w:rsid w:val="00374141"/>
    <w:rsid w:val="003746A1"/>
    <w:rsid w:val="00374B04"/>
    <w:rsid w:val="00375283"/>
    <w:rsid w:val="00376239"/>
    <w:rsid w:val="003768D0"/>
    <w:rsid w:val="00376957"/>
    <w:rsid w:val="00376CD1"/>
    <w:rsid w:val="00376F41"/>
    <w:rsid w:val="003770D7"/>
    <w:rsid w:val="00377F8C"/>
    <w:rsid w:val="003806BC"/>
    <w:rsid w:val="00380844"/>
    <w:rsid w:val="00381282"/>
    <w:rsid w:val="00381C5C"/>
    <w:rsid w:val="00382B29"/>
    <w:rsid w:val="0038325B"/>
    <w:rsid w:val="00384B41"/>
    <w:rsid w:val="00385483"/>
    <w:rsid w:val="00385973"/>
    <w:rsid w:val="00385994"/>
    <w:rsid w:val="00385BF6"/>
    <w:rsid w:val="00385DB7"/>
    <w:rsid w:val="0038687C"/>
    <w:rsid w:val="003869ED"/>
    <w:rsid w:val="00386AFE"/>
    <w:rsid w:val="00387282"/>
    <w:rsid w:val="0039050C"/>
    <w:rsid w:val="0039057F"/>
    <w:rsid w:val="00390873"/>
    <w:rsid w:val="00390EE2"/>
    <w:rsid w:val="003918B2"/>
    <w:rsid w:val="00391E47"/>
    <w:rsid w:val="0039214E"/>
    <w:rsid w:val="003940CA"/>
    <w:rsid w:val="0039479F"/>
    <w:rsid w:val="00394A28"/>
    <w:rsid w:val="00394A29"/>
    <w:rsid w:val="003959BF"/>
    <w:rsid w:val="00395CC3"/>
    <w:rsid w:val="00395E07"/>
    <w:rsid w:val="00396430"/>
    <w:rsid w:val="0039682F"/>
    <w:rsid w:val="00396C6B"/>
    <w:rsid w:val="00396E86"/>
    <w:rsid w:val="00397542"/>
    <w:rsid w:val="003A06B8"/>
    <w:rsid w:val="003A06BD"/>
    <w:rsid w:val="003A12C5"/>
    <w:rsid w:val="003A24CF"/>
    <w:rsid w:val="003A2608"/>
    <w:rsid w:val="003A32DE"/>
    <w:rsid w:val="003A36DD"/>
    <w:rsid w:val="003A376B"/>
    <w:rsid w:val="003A3D0E"/>
    <w:rsid w:val="003A4A95"/>
    <w:rsid w:val="003A4D7F"/>
    <w:rsid w:val="003A509F"/>
    <w:rsid w:val="003A552C"/>
    <w:rsid w:val="003A5CB9"/>
    <w:rsid w:val="003A6015"/>
    <w:rsid w:val="003A7BF7"/>
    <w:rsid w:val="003B00B7"/>
    <w:rsid w:val="003B0368"/>
    <w:rsid w:val="003B0548"/>
    <w:rsid w:val="003B0AFE"/>
    <w:rsid w:val="003B0DB0"/>
    <w:rsid w:val="003B1CB9"/>
    <w:rsid w:val="003B1F68"/>
    <w:rsid w:val="003B2E77"/>
    <w:rsid w:val="003B4594"/>
    <w:rsid w:val="003B487F"/>
    <w:rsid w:val="003B5A58"/>
    <w:rsid w:val="003B6538"/>
    <w:rsid w:val="003B6AF1"/>
    <w:rsid w:val="003B75F5"/>
    <w:rsid w:val="003C0D45"/>
    <w:rsid w:val="003C156E"/>
    <w:rsid w:val="003C1766"/>
    <w:rsid w:val="003C1C21"/>
    <w:rsid w:val="003C1E57"/>
    <w:rsid w:val="003C35AB"/>
    <w:rsid w:val="003C4032"/>
    <w:rsid w:val="003C4F1E"/>
    <w:rsid w:val="003C570D"/>
    <w:rsid w:val="003C7475"/>
    <w:rsid w:val="003C7A58"/>
    <w:rsid w:val="003C7E6C"/>
    <w:rsid w:val="003D265C"/>
    <w:rsid w:val="003D2A82"/>
    <w:rsid w:val="003D2E7F"/>
    <w:rsid w:val="003D3041"/>
    <w:rsid w:val="003D30C3"/>
    <w:rsid w:val="003D3C13"/>
    <w:rsid w:val="003D3C34"/>
    <w:rsid w:val="003D41DC"/>
    <w:rsid w:val="003D4225"/>
    <w:rsid w:val="003D42DF"/>
    <w:rsid w:val="003D4CC7"/>
    <w:rsid w:val="003D5472"/>
    <w:rsid w:val="003D59C5"/>
    <w:rsid w:val="003D62E1"/>
    <w:rsid w:val="003D69A6"/>
    <w:rsid w:val="003D7722"/>
    <w:rsid w:val="003D7B0E"/>
    <w:rsid w:val="003D7DE0"/>
    <w:rsid w:val="003E0180"/>
    <w:rsid w:val="003E1331"/>
    <w:rsid w:val="003E29D2"/>
    <w:rsid w:val="003E305F"/>
    <w:rsid w:val="003E32B5"/>
    <w:rsid w:val="003E3A35"/>
    <w:rsid w:val="003E3A61"/>
    <w:rsid w:val="003E40D6"/>
    <w:rsid w:val="003E4177"/>
    <w:rsid w:val="003E4472"/>
    <w:rsid w:val="003E4608"/>
    <w:rsid w:val="003E4B7F"/>
    <w:rsid w:val="003E5265"/>
    <w:rsid w:val="003E54A3"/>
    <w:rsid w:val="003E56F8"/>
    <w:rsid w:val="003E5821"/>
    <w:rsid w:val="003E5AB0"/>
    <w:rsid w:val="003E5CC1"/>
    <w:rsid w:val="003E66B0"/>
    <w:rsid w:val="003E6A66"/>
    <w:rsid w:val="003E7029"/>
    <w:rsid w:val="003E7857"/>
    <w:rsid w:val="003E7BDD"/>
    <w:rsid w:val="003F1576"/>
    <w:rsid w:val="003F2A75"/>
    <w:rsid w:val="003F3D0E"/>
    <w:rsid w:val="003F52CB"/>
    <w:rsid w:val="003F5510"/>
    <w:rsid w:val="003F5976"/>
    <w:rsid w:val="003F6105"/>
    <w:rsid w:val="003F6250"/>
    <w:rsid w:val="003F6584"/>
    <w:rsid w:val="003F7307"/>
    <w:rsid w:val="003F78FC"/>
    <w:rsid w:val="00400F0B"/>
    <w:rsid w:val="0040126B"/>
    <w:rsid w:val="0040185C"/>
    <w:rsid w:val="00402CEA"/>
    <w:rsid w:val="00402F0A"/>
    <w:rsid w:val="00404072"/>
    <w:rsid w:val="00405BFD"/>
    <w:rsid w:val="004060D8"/>
    <w:rsid w:val="004068C0"/>
    <w:rsid w:val="00407CFE"/>
    <w:rsid w:val="0041009B"/>
    <w:rsid w:val="00410DB4"/>
    <w:rsid w:val="00411882"/>
    <w:rsid w:val="004118C6"/>
    <w:rsid w:val="004118D5"/>
    <w:rsid w:val="00411B49"/>
    <w:rsid w:val="00411BC3"/>
    <w:rsid w:val="00412BE9"/>
    <w:rsid w:val="0041311A"/>
    <w:rsid w:val="004137CA"/>
    <w:rsid w:val="004170CF"/>
    <w:rsid w:val="0041760F"/>
    <w:rsid w:val="0042054C"/>
    <w:rsid w:val="00421485"/>
    <w:rsid w:val="0042294D"/>
    <w:rsid w:val="00422A1E"/>
    <w:rsid w:val="00422E35"/>
    <w:rsid w:val="00422ED8"/>
    <w:rsid w:val="004232C7"/>
    <w:rsid w:val="004237B7"/>
    <w:rsid w:val="00424B2F"/>
    <w:rsid w:val="00425205"/>
    <w:rsid w:val="004253B4"/>
    <w:rsid w:val="00425B69"/>
    <w:rsid w:val="00425CFA"/>
    <w:rsid w:val="00426B4D"/>
    <w:rsid w:val="00426B4F"/>
    <w:rsid w:val="00426B79"/>
    <w:rsid w:val="00427B62"/>
    <w:rsid w:val="00427E66"/>
    <w:rsid w:val="00427E87"/>
    <w:rsid w:val="0043049B"/>
    <w:rsid w:val="00430A86"/>
    <w:rsid w:val="00430CAD"/>
    <w:rsid w:val="00430E7C"/>
    <w:rsid w:val="00430EF2"/>
    <w:rsid w:val="00431A75"/>
    <w:rsid w:val="00431E83"/>
    <w:rsid w:val="00431FE9"/>
    <w:rsid w:val="004331EF"/>
    <w:rsid w:val="00434342"/>
    <w:rsid w:val="00434521"/>
    <w:rsid w:val="004348DD"/>
    <w:rsid w:val="00435667"/>
    <w:rsid w:val="00435AF4"/>
    <w:rsid w:val="00436E38"/>
    <w:rsid w:val="00437F5C"/>
    <w:rsid w:val="004400AA"/>
    <w:rsid w:val="00441506"/>
    <w:rsid w:val="004417CC"/>
    <w:rsid w:val="00441A07"/>
    <w:rsid w:val="00442D7B"/>
    <w:rsid w:val="00444840"/>
    <w:rsid w:val="0044489D"/>
    <w:rsid w:val="00444A9A"/>
    <w:rsid w:val="00444B45"/>
    <w:rsid w:val="00445139"/>
    <w:rsid w:val="0044657F"/>
    <w:rsid w:val="00447056"/>
    <w:rsid w:val="0044747C"/>
    <w:rsid w:val="00447BB5"/>
    <w:rsid w:val="004502A6"/>
    <w:rsid w:val="00450648"/>
    <w:rsid w:val="004514DA"/>
    <w:rsid w:val="00451752"/>
    <w:rsid w:val="00451F93"/>
    <w:rsid w:val="00451FAC"/>
    <w:rsid w:val="004521F1"/>
    <w:rsid w:val="004524C9"/>
    <w:rsid w:val="00453475"/>
    <w:rsid w:val="00453A0D"/>
    <w:rsid w:val="00455061"/>
    <w:rsid w:val="0045537D"/>
    <w:rsid w:val="004553A2"/>
    <w:rsid w:val="004558D1"/>
    <w:rsid w:val="00455ABC"/>
    <w:rsid w:val="00455D32"/>
    <w:rsid w:val="00456621"/>
    <w:rsid w:val="004566E5"/>
    <w:rsid w:val="00457086"/>
    <w:rsid w:val="004579BA"/>
    <w:rsid w:val="00457BDF"/>
    <w:rsid w:val="00460488"/>
    <w:rsid w:val="004607F4"/>
    <w:rsid w:val="004607FD"/>
    <w:rsid w:val="004608BF"/>
    <w:rsid w:val="00461421"/>
    <w:rsid w:val="0046163B"/>
    <w:rsid w:val="0046173D"/>
    <w:rsid w:val="0046186C"/>
    <w:rsid w:val="00462C27"/>
    <w:rsid w:val="00462E4B"/>
    <w:rsid w:val="00463D50"/>
    <w:rsid w:val="00463FD3"/>
    <w:rsid w:val="004640A2"/>
    <w:rsid w:val="004643BF"/>
    <w:rsid w:val="0046479A"/>
    <w:rsid w:val="00464991"/>
    <w:rsid w:val="004649AD"/>
    <w:rsid w:val="00464D0E"/>
    <w:rsid w:val="00465F69"/>
    <w:rsid w:val="00466075"/>
    <w:rsid w:val="00466372"/>
    <w:rsid w:val="00466BE1"/>
    <w:rsid w:val="004670DE"/>
    <w:rsid w:val="0046746A"/>
    <w:rsid w:val="004676E7"/>
    <w:rsid w:val="00470071"/>
    <w:rsid w:val="00470C23"/>
    <w:rsid w:val="004718C5"/>
    <w:rsid w:val="00471E40"/>
    <w:rsid w:val="00472541"/>
    <w:rsid w:val="00473A75"/>
    <w:rsid w:val="00473E3B"/>
    <w:rsid w:val="0047509D"/>
    <w:rsid w:val="00475849"/>
    <w:rsid w:val="00475FED"/>
    <w:rsid w:val="00476A51"/>
    <w:rsid w:val="00476CF5"/>
    <w:rsid w:val="00477193"/>
    <w:rsid w:val="00477DB5"/>
    <w:rsid w:val="00481C71"/>
    <w:rsid w:val="00482306"/>
    <w:rsid w:val="0048264B"/>
    <w:rsid w:val="004829FC"/>
    <w:rsid w:val="004836D4"/>
    <w:rsid w:val="00483D0E"/>
    <w:rsid w:val="0048413C"/>
    <w:rsid w:val="004844A9"/>
    <w:rsid w:val="00485064"/>
    <w:rsid w:val="00486911"/>
    <w:rsid w:val="00486C99"/>
    <w:rsid w:val="00486F2A"/>
    <w:rsid w:val="00487C34"/>
    <w:rsid w:val="004902DA"/>
    <w:rsid w:val="00490371"/>
    <w:rsid w:val="0049063A"/>
    <w:rsid w:val="00491585"/>
    <w:rsid w:val="00491A42"/>
    <w:rsid w:val="00491B37"/>
    <w:rsid w:val="004926C6"/>
    <w:rsid w:val="00493976"/>
    <w:rsid w:val="00493AF5"/>
    <w:rsid w:val="004947A8"/>
    <w:rsid w:val="004949F1"/>
    <w:rsid w:val="00494EE3"/>
    <w:rsid w:val="00495404"/>
    <w:rsid w:val="00497FCA"/>
    <w:rsid w:val="004A0CE6"/>
    <w:rsid w:val="004A0D92"/>
    <w:rsid w:val="004A0EB8"/>
    <w:rsid w:val="004A16CA"/>
    <w:rsid w:val="004A1C53"/>
    <w:rsid w:val="004A1C57"/>
    <w:rsid w:val="004A1C83"/>
    <w:rsid w:val="004A1D6B"/>
    <w:rsid w:val="004A26A2"/>
    <w:rsid w:val="004A2A42"/>
    <w:rsid w:val="004A31BF"/>
    <w:rsid w:val="004A32F1"/>
    <w:rsid w:val="004A3481"/>
    <w:rsid w:val="004A382E"/>
    <w:rsid w:val="004A3B2E"/>
    <w:rsid w:val="004A4415"/>
    <w:rsid w:val="004A4B2A"/>
    <w:rsid w:val="004A56CC"/>
    <w:rsid w:val="004A5990"/>
    <w:rsid w:val="004A5D57"/>
    <w:rsid w:val="004A5D6B"/>
    <w:rsid w:val="004A6472"/>
    <w:rsid w:val="004A67E1"/>
    <w:rsid w:val="004B0621"/>
    <w:rsid w:val="004B15C6"/>
    <w:rsid w:val="004B388D"/>
    <w:rsid w:val="004B4F4D"/>
    <w:rsid w:val="004B54C9"/>
    <w:rsid w:val="004B5B15"/>
    <w:rsid w:val="004B6353"/>
    <w:rsid w:val="004B67E1"/>
    <w:rsid w:val="004B6A9D"/>
    <w:rsid w:val="004B6E95"/>
    <w:rsid w:val="004B6EAE"/>
    <w:rsid w:val="004B72E2"/>
    <w:rsid w:val="004C1D8D"/>
    <w:rsid w:val="004C20A9"/>
    <w:rsid w:val="004C2EB5"/>
    <w:rsid w:val="004C4605"/>
    <w:rsid w:val="004C4855"/>
    <w:rsid w:val="004C4D80"/>
    <w:rsid w:val="004C4E32"/>
    <w:rsid w:val="004C5269"/>
    <w:rsid w:val="004C6616"/>
    <w:rsid w:val="004C736D"/>
    <w:rsid w:val="004C7713"/>
    <w:rsid w:val="004C781F"/>
    <w:rsid w:val="004D073C"/>
    <w:rsid w:val="004D08A4"/>
    <w:rsid w:val="004D09B6"/>
    <w:rsid w:val="004D1A30"/>
    <w:rsid w:val="004D20AE"/>
    <w:rsid w:val="004D226E"/>
    <w:rsid w:val="004D2C1D"/>
    <w:rsid w:val="004D30B2"/>
    <w:rsid w:val="004D3FDF"/>
    <w:rsid w:val="004D4862"/>
    <w:rsid w:val="004D58F3"/>
    <w:rsid w:val="004D631E"/>
    <w:rsid w:val="004D6B70"/>
    <w:rsid w:val="004D6C75"/>
    <w:rsid w:val="004D6CFE"/>
    <w:rsid w:val="004D7662"/>
    <w:rsid w:val="004D78BB"/>
    <w:rsid w:val="004D7B01"/>
    <w:rsid w:val="004D7B25"/>
    <w:rsid w:val="004E043B"/>
    <w:rsid w:val="004E0967"/>
    <w:rsid w:val="004E11DC"/>
    <w:rsid w:val="004E1388"/>
    <w:rsid w:val="004E1AE7"/>
    <w:rsid w:val="004E2FBE"/>
    <w:rsid w:val="004E3457"/>
    <w:rsid w:val="004E3A40"/>
    <w:rsid w:val="004E3BE9"/>
    <w:rsid w:val="004E4431"/>
    <w:rsid w:val="004E5EBB"/>
    <w:rsid w:val="004E7554"/>
    <w:rsid w:val="004F0021"/>
    <w:rsid w:val="004F0B3C"/>
    <w:rsid w:val="004F0EDA"/>
    <w:rsid w:val="004F1473"/>
    <w:rsid w:val="004F2530"/>
    <w:rsid w:val="004F2756"/>
    <w:rsid w:val="004F2F60"/>
    <w:rsid w:val="004F2FBF"/>
    <w:rsid w:val="004F37D0"/>
    <w:rsid w:val="004F3871"/>
    <w:rsid w:val="004F4DDC"/>
    <w:rsid w:val="004F4E8D"/>
    <w:rsid w:val="004F534F"/>
    <w:rsid w:val="004F57A6"/>
    <w:rsid w:val="004F6143"/>
    <w:rsid w:val="004F6C08"/>
    <w:rsid w:val="004F7125"/>
    <w:rsid w:val="004F74A7"/>
    <w:rsid w:val="004F7813"/>
    <w:rsid w:val="004F7A56"/>
    <w:rsid w:val="00500092"/>
    <w:rsid w:val="00500E9A"/>
    <w:rsid w:val="00501AB4"/>
    <w:rsid w:val="00501CAF"/>
    <w:rsid w:val="0050295C"/>
    <w:rsid w:val="005035E0"/>
    <w:rsid w:val="005037FE"/>
    <w:rsid w:val="00504111"/>
    <w:rsid w:val="0050423A"/>
    <w:rsid w:val="00504649"/>
    <w:rsid w:val="005046DF"/>
    <w:rsid w:val="0050506D"/>
    <w:rsid w:val="005054CD"/>
    <w:rsid w:val="00506AA9"/>
    <w:rsid w:val="00506DAE"/>
    <w:rsid w:val="005074D3"/>
    <w:rsid w:val="005076E8"/>
    <w:rsid w:val="005078BB"/>
    <w:rsid w:val="00507910"/>
    <w:rsid w:val="00507A1D"/>
    <w:rsid w:val="00507EBC"/>
    <w:rsid w:val="00507F86"/>
    <w:rsid w:val="00510574"/>
    <w:rsid w:val="005108E1"/>
    <w:rsid w:val="00511850"/>
    <w:rsid w:val="00511904"/>
    <w:rsid w:val="00512124"/>
    <w:rsid w:val="005124A7"/>
    <w:rsid w:val="0051312D"/>
    <w:rsid w:val="00513903"/>
    <w:rsid w:val="005139BB"/>
    <w:rsid w:val="005156E7"/>
    <w:rsid w:val="00515C60"/>
    <w:rsid w:val="00515DE6"/>
    <w:rsid w:val="00516342"/>
    <w:rsid w:val="00516520"/>
    <w:rsid w:val="00516A4D"/>
    <w:rsid w:val="005175FB"/>
    <w:rsid w:val="00521175"/>
    <w:rsid w:val="00521E67"/>
    <w:rsid w:val="005232A2"/>
    <w:rsid w:val="00523CA7"/>
    <w:rsid w:val="00523DB6"/>
    <w:rsid w:val="00524019"/>
    <w:rsid w:val="005245FE"/>
    <w:rsid w:val="00524A48"/>
    <w:rsid w:val="005261C4"/>
    <w:rsid w:val="005263E8"/>
    <w:rsid w:val="00526E4A"/>
    <w:rsid w:val="00527D8D"/>
    <w:rsid w:val="0053000E"/>
    <w:rsid w:val="005301E1"/>
    <w:rsid w:val="0053117E"/>
    <w:rsid w:val="00531B7B"/>
    <w:rsid w:val="005329F4"/>
    <w:rsid w:val="00532AA8"/>
    <w:rsid w:val="00532B56"/>
    <w:rsid w:val="00535101"/>
    <w:rsid w:val="00535D69"/>
    <w:rsid w:val="00535FF5"/>
    <w:rsid w:val="005365F9"/>
    <w:rsid w:val="005370B9"/>
    <w:rsid w:val="00537C38"/>
    <w:rsid w:val="005403AA"/>
    <w:rsid w:val="005403AD"/>
    <w:rsid w:val="00540AE4"/>
    <w:rsid w:val="00540FA1"/>
    <w:rsid w:val="005429A0"/>
    <w:rsid w:val="00542B85"/>
    <w:rsid w:val="005431B2"/>
    <w:rsid w:val="00544AC7"/>
    <w:rsid w:val="00544F50"/>
    <w:rsid w:val="005459F8"/>
    <w:rsid w:val="00545A95"/>
    <w:rsid w:val="00546702"/>
    <w:rsid w:val="00546A19"/>
    <w:rsid w:val="00546D67"/>
    <w:rsid w:val="0055149C"/>
    <w:rsid w:val="00551745"/>
    <w:rsid w:val="005527AE"/>
    <w:rsid w:val="00554C8F"/>
    <w:rsid w:val="00556F7D"/>
    <w:rsid w:val="00557BA0"/>
    <w:rsid w:val="00561104"/>
    <w:rsid w:val="00561C0A"/>
    <w:rsid w:val="0056315C"/>
    <w:rsid w:val="0056356B"/>
    <w:rsid w:val="00563E33"/>
    <w:rsid w:val="00564616"/>
    <w:rsid w:val="0056472B"/>
    <w:rsid w:val="00564A26"/>
    <w:rsid w:val="00564A5E"/>
    <w:rsid w:val="00564F1A"/>
    <w:rsid w:val="00564FEB"/>
    <w:rsid w:val="00565472"/>
    <w:rsid w:val="00565C6A"/>
    <w:rsid w:val="00565CDF"/>
    <w:rsid w:val="005668F4"/>
    <w:rsid w:val="00567D0C"/>
    <w:rsid w:val="005702A0"/>
    <w:rsid w:val="00571010"/>
    <w:rsid w:val="00571477"/>
    <w:rsid w:val="005724DD"/>
    <w:rsid w:val="00572DB1"/>
    <w:rsid w:val="0057309B"/>
    <w:rsid w:val="00574981"/>
    <w:rsid w:val="00574B32"/>
    <w:rsid w:val="005759B4"/>
    <w:rsid w:val="00575A62"/>
    <w:rsid w:val="00575FEB"/>
    <w:rsid w:val="00576317"/>
    <w:rsid w:val="005769B7"/>
    <w:rsid w:val="00576A7D"/>
    <w:rsid w:val="00576F4A"/>
    <w:rsid w:val="00576FDE"/>
    <w:rsid w:val="00580FD4"/>
    <w:rsid w:val="00581597"/>
    <w:rsid w:val="0058231A"/>
    <w:rsid w:val="005826D5"/>
    <w:rsid w:val="00583626"/>
    <w:rsid w:val="00585F44"/>
    <w:rsid w:val="005875B1"/>
    <w:rsid w:val="005875B3"/>
    <w:rsid w:val="005878D6"/>
    <w:rsid w:val="00587C6C"/>
    <w:rsid w:val="005901AC"/>
    <w:rsid w:val="00590286"/>
    <w:rsid w:val="00590B8D"/>
    <w:rsid w:val="005916C1"/>
    <w:rsid w:val="0059180F"/>
    <w:rsid w:val="00591BFA"/>
    <w:rsid w:val="00591D1B"/>
    <w:rsid w:val="00591FC6"/>
    <w:rsid w:val="0059240D"/>
    <w:rsid w:val="0059283F"/>
    <w:rsid w:val="005933B4"/>
    <w:rsid w:val="00593898"/>
    <w:rsid w:val="00593E8A"/>
    <w:rsid w:val="00594172"/>
    <w:rsid w:val="00594781"/>
    <w:rsid w:val="00594B49"/>
    <w:rsid w:val="00594FA9"/>
    <w:rsid w:val="00595B24"/>
    <w:rsid w:val="00595E03"/>
    <w:rsid w:val="00596BDD"/>
    <w:rsid w:val="00596FBC"/>
    <w:rsid w:val="005973FF"/>
    <w:rsid w:val="005A0BBB"/>
    <w:rsid w:val="005A0ED3"/>
    <w:rsid w:val="005A1006"/>
    <w:rsid w:val="005A1365"/>
    <w:rsid w:val="005A1D72"/>
    <w:rsid w:val="005A2148"/>
    <w:rsid w:val="005A29DC"/>
    <w:rsid w:val="005A2EFF"/>
    <w:rsid w:val="005A3580"/>
    <w:rsid w:val="005A4C2F"/>
    <w:rsid w:val="005A4C88"/>
    <w:rsid w:val="005A50CA"/>
    <w:rsid w:val="005A6400"/>
    <w:rsid w:val="005A72A8"/>
    <w:rsid w:val="005B134A"/>
    <w:rsid w:val="005B1F2A"/>
    <w:rsid w:val="005B249F"/>
    <w:rsid w:val="005B2902"/>
    <w:rsid w:val="005B3E92"/>
    <w:rsid w:val="005B52F3"/>
    <w:rsid w:val="005B5360"/>
    <w:rsid w:val="005B55C3"/>
    <w:rsid w:val="005B644B"/>
    <w:rsid w:val="005B6E8F"/>
    <w:rsid w:val="005B6FCB"/>
    <w:rsid w:val="005B791A"/>
    <w:rsid w:val="005C0AB0"/>
    <w:rsid w:val="005C0DDF"/>
    <w:rsid w:val="005C2BF0"/>
    <w:rsid w:val="005C30BC"/>
    <w:rsid w:val="005C3236"/>
    <w:rsid w:val="005C355E"/>
    <w:rsid w:val="005C3E07"/>
    <w:rsid w:val="005C4423"/>
    <w:rsid w:val="005C46DC"/>
    <w:rsid w:val="005C4E8D"/>
    <w:rsid w:val="005C55D9"/>
    <w:rsid w:val="005C55E6"/>
    <w:rsid w:val="005C5E89"/>
    <w:rsid w:val="005C7A22"/>
    <w:rsid w:val="005C7EE0"/>
    <w:rsid w:val="005D02BD"/>
    <w:rsid w:val="005D13AE"/>
    <w:rsid w:val="005D14F1"/>
    <w:rsid w:val="005D1D0E"/>
    <w:rsid w:val="005D2369"/>
    <w:rsid w:val="005D2449"/>
    <w:rsid w:val="005D347B"/>
    <w:rsid w:val="005D35BB"/>
    <w:rsid w:val="005D4257"/>
    <w:rsid w:val="005D444D"/>
    <w:rsid w:val="005D4C46"/>
    <w:rsid w:val="005D4C76"/>
    <w:rsid w:val="005D5403"/>
    <w:rsid w:val="005D5812"/>
    <w:rsid w:val="005D587C"/>
    <w:rsid w:val="005D58EA"/>
    <w:rsid w:val="005D59E7"/>
    <w:rsid w:val="005D67CA"/>
    <w:rsid w:val="005D6859"/>
    <w:rsid w:val="005D69E8"/>
    <w:rsid w:val="005D7BEA"/>
    <w:rsid w:val="005E0AE9"/>
    <w:rsid w:val="005E1009"/>
    <w:rsid w:val="005E1B57"/>
    <w:rsid w:val="005E2328"/>
    <w:rsid w:val="005E25E3"/>
    <w:rsid w:val="005E2932"/>
    <w:rsid w:val="005E29BD"/>
    <w:rsid w:val="005E3BFC"/>
    <w:rsid w:val="005E46C8"/>
    <w:rsid w:val="005E4856"/>
    <w:rsid w:val="005E50D2"/>
    <w:rsid w:val="005E5492"/>
    <w:rsid w:val="005E5D71"/>
    <w:rsid w:val="005E636E"/>
    <w:rsid w:val="005E65FE"/>
    <w:rsid w:val="005E6DC5"/>
    <w:rsid w:val="005E7D4B"/>
    <w:rsid w:val="005F098C"/>
    <w:rsid w:val="005F2E4C"/>
    <w:rsid w:val="005F40CC"/>
    <w:rsid w:val="005F43D1"/>
    <w:rsid w:val="005F6891"/>
    <w:rsid w:val="00600348"/>
    <w:rsid w:val="0060117E"/>
    <w:rsid w:val="00601366"/>
    <w:rsid w:val="00601C6C"/>
    <w:rsid w:val="006024FF"/>
    <w:rsid w:val="00602759"/>
    <w:rsid w:val="00602C13"/>
    <w:rsid w:val="00603A9C"/>
    <w:rsid w:val="00603CE4"/>
    <w:rsid w:val="006047CA"/>
    <w:rsid w:val="00605894"/>
    <w:rsid w:val="00605DFB"/>
    <w:rsid w:val="00606800"/>
    <w:rsid w:val="006108BA"/>
    <w:rsid w:val="00610BE0"/>
    <w:rsid w:val="006112C9"/>
    <w:rsid w:val="006115E0"/>
    <w:rsid w:val="00611958"/>
    <w:rsid w:val="00611DE9"/>
    <w:rsid w:val="0061247B"/>
    <w:rsid w:val="00612C24"/>
    <w:rsid w:val="00613969"/>
    <w:rsid w:val="00614499"/>
    <w:rsid w:val="00614AB3"/>
    <w:rsid w:val="00615447"/>
    <w:rsid w:val="00615A1D"/>
    <w:rsid w:val="006160DC"/>
    <w:rsid w:val="0061632B"/>
    <w:rsid w:val="00616D3B"/>
    <w:rsid w:val="00616D68"/>
    <w:rsid w:val="0061742E"/>
    <w:rsid w:val="006179F8"/>
    <w:rsid w:val="00617C3B"/>
    <w:rsid w:val="00620CCE"/>
    <w:rsid w:val="00620E16"/>
    <w:rsid w:val="00620E73"/>
    <w:rsid w:val="006210D4"/>
    <w:rsid w:val="006231D2"/>
    <w:rsid w:val="0062432D"/>
    <w:rsid w:val="00624C30"/>
    <w:rsid w:val="00624CC5"/>
    <w:rsid w:val="0062539C"/>
    <w:rsid w:val="0062547D"/>
    <w:rsid w:val="006259BE"/>
    <w:rsid w:val="00625F03"/>
    <w:rsid w:val="00626541"/>
    <w:rsid w:val="00626896"/>
    <w:rsid w:val="00630AC2"/>
    <w:rsid w:val="00630D37"/>
    <w:rsid w:val="00630DF7"/>
    <w:rsid w:val="006314CA"/>
    <w:rsid w:val="00631543"/>
    <w:rsid w:val="00631C5C"/>
    <w:rsid w:val="00632616"/>
    <w:rsid w:val="00632C2E"/>
    <w:rsid w:val="006337AA"/>
    <w:rsid w:val="006348F7"/>
    <w:rsid w:val="00634C3B"/>
    <w:rsid w:val="00636019"/>
    <w:rsid w:val="00636624"/>
    <w:rsid w:val="0063667A"/>
    <w:rsid w:val="006369BB"/>
    <w:rsid w:val="00636A74"/>
    <w:rsid w:val="00636A75"/>
    <w:rsid w:val="00636D2A"/>
    <w:rsid w:val="006401C4"/>
    <w:rsid w:val="006411C0"/>
    <w:rsid w:val="00643046"/>
    <w:rsid w:val="00643F67"/>
    <w:rsid w:val="00644892"/>
    <w:rsid w:val="00645000"/>
    <w:rsid w:val="00645539"/>
    <w:rsid w:val="00647F81"/>
    <w:rsid w:val="00650318"/>
    <w:rsid w:val="006504AB"/>
    <w:rsid w:val="00650F38"/>
    <w:rsid w:val="00653879"/>
    <w:rsid w:val="00653D21"/>
    <w:rsid w:val="0065495F"/>
    <w:rsid w:val="0065506B"/>
    <w:rsid w:val="006557E8"/>
    <w:rsid w:val="0065628F"/>
    <w:rsid w:val="0065647E"/>
    <w:rsid w:val="00657057"/>
    <w:rsid w:val="00661954"/>
    <w:rsid w:val="0066229C"/>
    <w:rsid w:val="0066244E"/>
    <w:rsid w:val="00662AF8"/>
    <w:rsid w:val="00662E25"/>
    <w:rsid w:val="00663545"/>
    <w:rsid w:val="006641E8"/>
    <w:rsid w:val="00664420"/>
    <w:rsid w:val="00664E93"/>
    <w:rsid w:val="0066553D"/>
    <w:rsid w:val="006656EB"/>
    <w:rsid w:val="00665A0B"/>
    <w:rsid w:val="00666AA2"/>
    <w:rsid w:val="006671FE"/>
    <w:rsid w:val="00667295"/>
    <w:rsid w:val="0066734B"/>
    <w:rsid w:val="00667452"/>
    <w:rsid w:val="0066766D"/>
    <w:rsid w:val="006676F5"/>
    <w:rsid w:val="00667857"/>
    <w:rsid w:val="00670E5A"/>
    <w:rsid w:val="00671081"/>
    <w:rsid w:val="006711C3"/>
    <w:rsid w:val="00671427"/>
    <w:rsid w:val="00671C04"/>
    <w:rsid w:val="00671E3B"/>
    <w:rsid w:val="006735F6"/>
    <w:rsid w:val="00673A0C"/>
    <w:rsid w:val="00674221"/>
    <w:rsid w:val="00674EEC"/>
    <w:rsid w:val="00675B82"/>
    <w:rsid w:val="006764F7"/>
    <w:rsid w:val="00677270"/>
    <w:rsid w:val="00677A30"/>
    <w:rsid w:val="00677F47"/>
    <w:rsid w:val="00681545"/>
    <w:rsid w:val="006815E9"/>
    <w:rsid w:val="00681D48"/>
    <w:rsid w:val="006824CB"/>
    <w:rsid w:val="00683FC0"/>
    <w:rsid w:val="00684081"/>
    <w:rsid w:val="006840D4"/>
    <w:rsid w:val="006843AC"/>
    <w:rsid w:val="006843BC"/>
    <w:rsid w:val="00685053"/>
    <w:rsid w:val="006852D0"/>
    <w:rsid w:val="00685C88"/>
    <w:rsid w:val="006870C2"/>
    <w:rsid w:val="00687767"/>
    <w:rsid w:val="00690CC7"/>
    <w:rsid w:val="006916CC"/>
    <w:rsid w:val="0069234B"/>
    <w:rsid w:val="0069268F"/>
    <w:rsid w:val="00692742"/>
    <w:rsid w:val="0069320C"/>
    <w:rsid w:val="0069374C"/>
    <w:rsid w:val="0069444C"/>
    <w:rsid w:val="00694531"/>
    <w:rsid w:val="0069467E"/>
    <w:rsid w:val="00694A8D"/>
    <w:rsid w:val="00694BD4"/>
    <w:rsid w:val="006952EE"/>
    <w:rsid w:val="00695935"/>
    <w:rsid w:val="00696580"/>
    <w:rsid w:val="00696827"/>
    <w:rsid w:val="00697B68"/>
    <w:rsid w:val="006A030D"/>
    <w:rsid w:val="006A0F30"/>
    <w:rsid w:val="006A1970"/>
    <w:rsid w:val="006A1A0D"/>
    <w:rsid w:val="006A1BFF"/>
    <w:rsid w:val="006A1FD9"/>
    <w:rsid w:val="006A2058"/>
    <w:rsid w:val="006A2B19"/>
    <w:rsid w:val="006A4AA6"/>
    <w:rsid w:val="006A513F"/>
    <w:rsid w:val="006A547A"/>
    <w:rsid w:val="006A5934"/>
    <w:rsid w:val="006A64E6"/>
    <w:rsid w:val="006A6D1D"/>
    <w:rsid w:val="006A71F1"/>
    <w:rsid w:val="006A78B3"/>
    <w:rsid w:val="006A7B80"/>
    <w:rsid w:val="006A7F0C"/>
    <w:rsid w:val="006A7F9B"/>
    <w:rsid w:val="006B0924"/>
    <w:rsid w:val="006B18BF"/>
    <w:rsid w:val="006B1F1B"/>
    <w:rsid w:val="006B3958"/>
    <w:rsid w:val="006B4855"/>
    <w:rsid w:val="006B4AB1"/>
    <w:rsid w:val="006B510C"/>
    <w:rsid w:val="006B576B"/>
    <w:rsid w:val="006B6551"/>
    <w:rsid w:val="006B76CB"/>
    <w:rsid w:val="006B7C58"/>
    <w:rsid w:val="006C0C40"/>
    <w:rsid w:val="006C1714"/>
    <w:rsid w:val="006C1BE2"/>
    <w:rsid w:val="006C2004"/>
    <w:rsid w:val="006C216B"/>
    <w:rsid w:val="006C254E"/>
    <w:rsid w:val="006C2754"/>
    <w:rsid w:val="006C294B"/>
    <w:rsid w:val="006C29A0"/>
    <w:rsid w:val="006C318B"/>
    <w:rsid w:val="006C36BA"/>
    <w:rsid w:val="006C37CB"/>
    <w:rsid w:val="006C6A51"/>
    <w:rsid w:val="006C771E"/>
    <w:rsid w:val="006C78A4"/>
    <w:rsid w:val="006D0E61"/>
    <w:rsid w:val="006D1C61"/>
    <w:rsid w:val="006D21B6"/>
    <w:rsid w:val="006D242B"/>
    <w:rsid w:val="006D3C5B"/>
    <w:rsid w:val="006D577B"/>
    <w:rsid w:val="006D5E05"/>
    <w:rsid w:val="006D662F"/>
    <w:rsid w:val="006D66E1"/>
    <w:rsid w:val="006D67B6"/>
    <w:rsid w:val="006D7177"/>
    <w:rsid w:val="006D7D02"/>
    <w:rsid w:val="006D7DAF"/>
    <w:rsid w:val="006E0A2F"/>
    <w:rsid w:val="006E1566"/>
    <w:rsid w:val="006E2373"/>
    <w:rsid w:val="006E2A2B"/>
    <w:rsid w:val="006E2A3D"/>
    <w:rsid w:val="006E2ADB"/>
    <w:rsid w:val="006E2DC1"/>
    <w:rsid w:val="006E331E"/>
    <w:rsid w:val="006E374A"/>
    <w:rsid w:val="006E44FD"/>
    <w:rsid w:val="006E47CB"/>
    <w:rsid w:val="006E4C71"/>
    <w:rsid w:val="006E661C"/>
    <w:rsid w:val="006E68ED"/>
    <w:rsid w:val="006E7594"/>
    <w:rsid w:val="006E7C92"/>
    <w:rsid w:val="006F00B2"/>
    <w:rsid w:val="006F0B07"/>
    <w:rsid w:val="006F0F5C"/>
    <w:rsid w:val="006F1096"/>
    <w:rsid w:val="006F12DE"/>
    <w:rsid w:val="006F200E"/>
    <w:rsid w:val="006F20F4"/>
    <w:rsid w:val="006F2313"/>
    <w:rsid w:val="006F2719"/>
    <w:rsid w:val="006F2784"/>
    <w:rsid w:val="006F2D20"/>
    <w:rsid w:val="006F2FC2"/>
    <w:rsid w:val="006F3324"/>
    <w:rsid w:val="006F3373"/>
    <w:rsid w:val="006F4F18"/>
    <w:rsid w:val="006F5680"/>
    <w:rsid w:val="006F625A"/>
    <w:rsid w:val="006F71FC"/>
    <w:rsid w:val="006F7A64"/>
    <w:rsid w:val="006F7E60"/>
    <w:rsid w:val="00700338"/>
    <w:rsid w:val="00701252"/>
    <w:rsid w:val="00701CE3"/>
    <w:rsid w:val="00703A90"/>
    <w:rsid w:val="00703D7A"/>
    <w:rsid w:val="00704E0E"/>
    <w:rsid w:val="00705BB7"/>
    <w:rsid w:val="00705BBE"/>
    <w:rsid w:val="00706232"/>
    <w:rsid w:val="007062FE"/>
    <w:rsid w:val="00707295"/>
    <w:rsid w:val="00707910"/>
    <w:rsid w:val="0071016E"/>
    <w:rsid w:val="007101F2"/>
    <w:rsid w:val="0071152F"/>
    <w:rsid w:val="007121CF"/>
    <w:rsid w:val="0071252A"/>
    <w:rsid w:val="0071352F"/>
    <w:rsid w:val="007142E5"/>
    <w:rsid w:val="0071580D"/>
    <w:rsid w:val="007169C0"/>
    <w:rsid w:val="00716B7F"/>
    <w:rsid w:val="00717563"/>
    <w:rsid w:val="00717CB4"/>
    <w:rsid w:val="00720944"/>
    <w:rsid w:val="00721626"/>
    <w:rsid w:val="00721E3A"/>
    <w:rsid w:val="00722335"/>
    <w:rsid w:val="00723063"/>
    <w:rsid w:val="00723347"/>
    <w:rsid w:val="00723708"/>
    <w:rsid w:val="00725046"/>
    <w:rsid w:val="00725D20"/>
    <w:rsid w:val="00726456"/>
    <w:rsid w:val="0072692C"/>
    <w:rsid w:val="00726DD1"/>
    <w:rsid w:val="00727EB1"/>
    <w:rsid w:val="00730F43"/>
    <w:rsid w:val="007317A5"/>
    <w:rsid w:val="00732455"/>
    <w:rsid w:val="00733182"/>
    <w:rsid w:val="0073339C"/>
    <w:rsid w:val="00733C0F"/>
    <w:rsid w:val="0073420A"/>
    <w:rsid w:val="00734395"/>
    <w:rsid w:val="00734B82"/>
    <w:rsid w:val="007352A1"/>
    <w:rsid w:val="007352B9"/>
    <w:rsid w:val="00736757"/>
    <w:rsid w:val="00736E1F"/>
    <w:rsid w:val="00736FCB"/>
    <w:rsid w:val="00737290"/>
    <w:rsid w:val="007374CB"/>
    <w:rsid w:val="00737951"/>
    <w:rsid w:val="007402B4"/>
    <w:rsid w:val="00740438"/>
    <w:rsid w:val="007404F9"/>
    <w:rsid w:val="007408EF"/>
    <w:rsid w:val="007409B9"/>
    <w:rsid w:val="00740B45"/>
    <w:rsid w:val="00740DB4"/>
    <w:rsid w:val="00741294"/>
    <w:rsid w:val="0074139C"/>
    <w:rsid w:val="007431CC"/>
    <w:rsid w:val="0074401D"/>
    <w:rsid w:val="0074458D"/>
    <w:rsid w:val="00744AAE"/>
    <w:rsid w:val="007453B0"/>
    <w:rsid w:val="00745DD4"/>
    <w:rsid w:val="00745F5C"/>
    <w:rsid w:val="007461A4"/>
    <w:rsid w:val="00746328"/>
    <w:rsid w:val="00746589"/>
    <w:rsid w:val="00746AF0"/>
    <w:rsid w:val="00747734"/>
    <w:rsid w:val="00747865"/>
    <w:rsid w:val="00747BED"/>
    <w:rsid w:val="007505F3"/>
    <w:rsid w:val="00750721"/>
    <w:rsid w:val="00750FC2"/>
    <w:rsid w:val="007519BB"/>
    <w:rsid w:val="00751EF4"/>
    <w:rsid w:val="00752063"/>
    <w:rsid w:val="00752256"/>
    <w:rsid w:val="007523B5"/>
    <w:rsid w:val="00752923"/>
    <w:rsid w:val="00752C42"/>
    <w:rsid w:val="0075339C"/>
    <w:rsid w:val="007535A4"/>
    <w:rsid w:val="007537BC"/>
    <w:rsid w:val="00755369"/>
    <w:rsid w:val="007553EF"/>
    <w:rsid w:val="00756A73"/>
    <w:rsid w:val="00756D22"/>
    <w:rsid w:val="0076133A"/>
    <w:rsid w:val="00762894"/>
    <w:rsid w:val="00763AE0"/>
    <w:rsid w:val="007649BE"/>
    <w:rsid w:val="007649EF"/>
    <w:rsid w:val="00765090"/>
    <w:rsid w:val="0076682D"/>
    <w:rsid w:val="00766A10"/>
    <w:rsid w:val="00766E31"/>
    <w:rsid w:val="00770942"/>
    <w:rsid w:val="00770A00"/>
    <w:rsid w:val="00772255"/>
    <w:rsid w:val="007724BD"/>
    <w:rsid w:val="007725A6"/>
    <w:rsid w:val="00772832"/>
    <w:rsid w:val="00774634"/>
    <w:rsid w:val="007747A0"/>
    <w:rsid w:val="007754FB"/>
    <w:rsid w:val="00776062"/>
    <w:rsid w:val="007761A5"/>
    <w:rsid w:val="00776B0F"/>
    <w:rsid w:val="007770AA"/>
    <w:rsid w:val="00777188"/>
    <w:rsid w:val="00777BC6"/>
    <w:rsid w:val="00777F0C"/>
    <w:rsid w:val="007801B3"/>
    <w:rsid w:val="00780704"/>
    <w:rsid w:val="00781568"/>
    <w:rsid w:val="0078248F"/>
    <w:rsid w:val="007836B0"/>
    <w:rsid w:val="007847D8"/>
    <w:rsid w:val="00785B41"/>
    <w:rsid w:val="00785D40"/>
    <w:rsid w:val="00786800"/>
    <w:rsid w:val="00787110"/>
    <w:rsid w:val="0078724F"/>
    <w:rsid w:val="00791551"/>
    <w:rsid w:val="00791E3D"/>
    <w:rsid w:val="007920C7"/>
    <w:rsid w:val="00792D4D"/>
    <w:rsid w:val="00793020"/>
    <w:rsid w:val="007939ED"/>
    <w:rsid w:val="00794642"/>
    <w:rsid w:val="00794834"/>
    <w:rsid w:val="007956FB"/>
    <w:rsid w:val="007965CC"/>
    <w:rsid w:val="00797259"/>
    <w:rsid w:val="007972DD"/>
    <w:rsid w:val="00797EDC"/>
    <w:rsid w:val="007A03C9"/>
    <w:rsid w:val="007A05E6"/>
    <w:rsid w:val="007A10A8"/>
    <w:rsid w:val="007A1657"/>
    <w:rsid w:val="007A174D"/>
    <w:rsid w:val="007A1A3E"/>
    <w:rsid w:val="007A1E54"/>
    <w:rsid w:val="007A3706"/>
    <w:rsid w:val="007A4003"/>
    <w:rsid w:val="007A5062"/>
    <w:rsid w:val="007A5A23"/>
    <w:rsid w:val="007A5B2B"/>
    <w:rsid w:val="007A7B27"/>
    <w:rsid w:val="007B0084"/>
    <w:rsid w:val="007B026C"/>
    <w:rsid w:val="007B040C"/>
    <w:rsid w:val="007B09D6"/>
    <w:rsid w:val="007B0D22"/>
    <w:rsid w:val="007B0EE6"/>
    <w:rsid w:val="007B1BFA"/>
    <w:rsid w:val="007B24EA"/>
    <w:rsid w:val="007B2530"/>
    <w:rsid w:val="007B2880"/>
    <w:rsid w:val="007B2B27"/>
    <w:rsid w:val="007B2FE0"/>
    <w:rsid w:val="007B3001"/>
    <w:rsid w:val="007B3216"/>
    <w:rsid w:val="007B370C"/>
    <w:rsid w:val="007B3B7A"/>
    <w:rsid w:val="007B3C3A"/>
    <w:rsid w:val="007B4310"/>
    <w:rsid w:val="007B456C"/>
    <w:rsid w:val="007B47F7"/>
    <w:rsid w:val="007B4BE8"/>
    <w:rsid w:val="007B4C89"/>
    <w:rsid w:val="007B53E7"/>
    <w:rsid w:val="007B5567"/>
    <w:rsid w:val="007B5715"/>
    <w:rsid w:val="007B5C85"/>
    <w:rsid w:val="007B6212"/>
    <w:rsid w:val="007B6FC9"/>
    <w:rsid w:val="007C01AB"/>
    <w:rsid w:val="007C04A7"/>
    <w:rsid w:val="007C2307"/>
    <w:rsid w:val="007C273C"/>
    <w:rsid w:val="007C4C60"/>
    <w:rsid w:val="007C5239"/>
    <w:rsid w:val="007C671B"/>
    <w:rsid w:val="007C7955"/>
    <w:rsid w:val="007C7BB9"/>
    <w:rsid w:val="007C7DE4"/>
    <w:rsid w:val="007D13FB"/>
    <w:rsid w:val="007D1F6A"/>
    <w:rsid w:val="007D255C"/>
    <w:rsid w:val="007D286A"/>
    <w:rsid w:val="007D28C0"/>
    <w:rsid w:val="007D2EB3"/>
    <w:rsid w:val="007D3177"/>
    <w:rsid w:val="007D3797"/>
    <w:rsid w:val="007D3B0D"/>
    <w:rsid w:val="007D4870"/>
    <w:rsid w:val="007D5610"/>
    <w:rsid w:val="007D5810"/>
    <w:rsid w:val="007D5ABD"/>
    <w:rsid w:val="007D6F7C"/>
    <w:rsid w:val="007D757D"/>
    <w:rsid w:val="007D7754"/>
    <w:rsid w:val="007E1213"/>
    <w:rsid w:val="007E1C0B"/>
    <w:rsid w:val="007E1F27"/>
    <w:rsid w:val="007E21B5"/>
    <w:rsid w:val="007E2790"/>
    <w:rsid w:val="007E2E25"/>
    <w:rsid w:val="007E374F"/>
    <w:rsid w:val="007E44AB"/>
    <w:rsid w:val="007E44FF"/>
    <w:rsid w:val="007E5364"/>
    <w:rsid w:val="007E5B39"/>
    <w:rsid w:val="007E65E7"/>
    <w:rsid w:val="007E6B58"/>
    <w:rsid w:val="007E76A0"/>
    <w:rsid w:val="007E7C18"/>
    <w:rsid w:val="007F0281"/>
    <w:rsid w:val="007F09B1"/>
    <w:rsid w:val="007F10BB"/>
    <w:rsid w:val="007F1CB3"/>
    <w:rsid w:val="007F2078"/>
    <w:rsid w:val="007F20B6"/>
    <w:rsid w:val="007F29E7"/>
    <w:rsid w:val="007F2BE8"/>
    <w:rsid w:val="007F4512"/>
    <w:rsid w:val="007F5246"/>
    <w:rsid w:val="007F5704"/>
    <w:rsid w:val="007F5E8D"/>
    <w:rsid w:val="007F67BC"/>
    <w:rsid w:val="007F6C94"/>
    <w:rsid w:val="008002C9"/>
    <w:rsid w:val="008010A2"/>
    <w:rsid w:val="008014FD"/>
    <w:rsid w:val="008016E0"/>
    <w:rsid w:val="00801AA0"/>
    <w:rsid w:val="008023ED"/>
    <w:rsid w:val="008024D6"/>
    <w:rsid w:val="008028C1"/>
    <w:rsid w:val="00803740"/>
    <w:rsid w:val="008045DD"/>
    <w:rsid w:val="00805006"/>
    <w:rsid w:val="00805C18"/>
    <w:rsid w:val="00805F96"/>
    <w:rsid w:val="00806561"/>
    <w:rsid w:val="00806D2F"/>
    <w:rsid w:val="008076F4"/>
    <w:rsid w:val="00810EAC"/>
    <w:rsid w:val="00811EE8"/>
    <w:rsid w:val="00811F0A"/>
    <w:rsid w:val="0081200F"/>
    <w:rsid w:val="008135ED"/>
    <w:rsid w:val="008143AA"/>
    <w:rsid w:val="0081498C"/>
    <w:rsid w:val="00814B2B"/>
    <w:rsid w:val="00814BEE"/>
    <w:rsid w:val="00814D5C"/>
    <w:rsid w:val="00814F00"/>
    <w:rsid w:val="00815B52"/>
    <w:rsid w:val="008163E4"/>
    <w:rsid w:val="00816CF2"/>
    <w:rsid w:val="008175AF"/>
    <w:rsid w:val="00820070"/>
    <w:rsid w:val="008214E5"/>
    <w:rsid w:val="00821A4A"/>
    <w:rsid w:val="00821C30"/>
    <w:rsid w:val="00822487"/>
    <w:rsid w:val="0082298C"/>
    <w:rsid w:val="00822ACA"/>
    <w:rsid w:val="00823BC7"/>
    <w:rsid w:val="00823DFD"/>
    <w:rsid w:val="00826225"/>
    <w:rsid w:val="00826417"/>
    <w:rsid w:val="00827610"/>
    <w:rsid w:val="008277D6"/>
    <w:rsid w:val="00827E20"/>
    <w:rsid w:val="008302A2"/>
    <w:rsid w:val="00830989"/>
    <w:rsid w:val="00830DFF"/>
    <w:rsid w:val="00831796"/>
    <w:rsid w:val="00831B48"/>
    <w:rsid w:val="00832048"/>
    <w:rsid w:val="00832834"/>
    <w:rsid w:val="008330C6"/>
    <w:rsid w:val="00833168"/>
    <w:rsid w:val="008337FD"/>
    <w:rsid w:val="00833A55"/>
    <w:rsid w:val="00833B95"/>
    <w:rsid w:val="00834899"/>
    <w:rsid w:val="00834DCB"/>
    <w:rsid w:val="008351FB"/>
    <w:rsid w:val="00835D95"/>
    <w:rsid w:val="00835F79"/>
    <w:rsid w:val="008365E2"/>
    <w:rsid w:val="00836E9C"/>
    <w:rsid w:val="00840CCE"/>
    <w:rsid w:val="00840FFB"/>
    <w:rsid w:val="008411C6"/>
    <w:rsid w:val="00841246"/>
    <w:rsid w:val="0084147A"/>
    <w:rsid w:val="008418AC"/>
    <w:rsid w:val="00841E90"/>
    <w:rsid w:val="008421A3"/>
    <w:rsid w:val="008424DF"/>
    <w:rsid w:val="00842C99"/>
    <w:rsid w:val="00844641"/>
    <w:rsid w:val="008453AB"/>
    <w:rsid w:val="008453B6"/>
    <w:rsid w:val="00845BF1"/>
    <w:rsid w:val="00846F53"/>
    <w:rsid w:val="00847018"/>
    <w:rsid w:val="008471E9"/>
    <w:rsid w:val="00847604"/>
    <w:rsid w:val="00847A43"/>
    <w:rsid w:val="00847DA1"/>
    <w:rsid w:val="00847ECD"/>
    <w:rsid w:val="0085017F"/>
    <w:rsid w:val="00850962"/>
    <w:rsid w:val="008509A9"/>
    <w:rsid w:val="008510CC"/>
    <w:rsid w:val="00852670"/>
    <w:rsid w:val="008527A8"/>
    <w:rsid w:val="00852D66"/>
    <w:rsid w:val="00854F1E"/>
    <w:rsid w:val="0085516D"/>
    <w:rsid w:val="00855A31"/>
    <w:rsid w:val="0085680B"/>
    <w:rsid w:val="00856C00"/>
    <w:rsid w:val="00856D79"/>
    <w:rsid w:val="008575A6"/>
    <w:rsid w:val="00857BAF"/>
    <w:rsid w:val="0086047E"/>
    <w:rsid w:val="00860A3A"/>
    <w:rsid w:val="0086139C"/>
    <w:rsid w:val="0086190D"/>
    <w:rsid w:val="00861D87"/>
    <w:rsid w:val="00861EA5"/>
    <w:rsid w:val="008629AB"/>
    <w:rsid w:val="00862C56"/>
    <w:rsid w:val="00863E2C"/>
    <w:rsid w:val="0086507D"/>
    <w:rsid w:val="008657DD"/>
    <w:rsid w:val="00865BDF"/>
    <w:rsid w:val="00865F11"/>
    <w:rsid w:val="00866B82"/>
    <w:rsid w:val="0086796E"/>
    <w:rsid w:val="00867F7F"/>
    <w:rsid w:val="0087047E"/>
    <w:rsid w:val="00870F04"/>
    <w:rsid w:val="00871307"/>
    <w:rsid w:val="0087262E"/>
    <w:rsid w:val="00873141"/>
    <w:rsid w:val="008734A6"/>
    <w:rsid w:val="00873ED9"/>
    <w:rsid w:val="00874C27"/>
    <w:rsid w:val="00875015"/>
    <w:rsid w:val="00875246"/>
    <w:rsid w:val="00875AFC"/>
    <w:rsid w:val="00876C4F"/>
    <w:rsid w:val="008770ED"/>
    <w:rsid w:val="00877A7E"/>
    <w:rsid w:val="008808D4"/>
    <w:rsid w:val="008811B4"/>
    <w:rsid w:val="00881848"/>
    <w:rsid w:val="00881D42"/>
    <w:rsid w:val="00882029"/>
    <w:rsid w:val="00883C52"/>
    <w:rsid w:val="00883D36"/>
    <w:rsid w:val="008854D0"/>
    <w:rsid w:val="00885B8C"/>
    <w:rsid w:val="00885D7F"/>
    <w:rsid w:val="00885E0B"/>
    <w:rsid w:val="00886404"/>
    <w:rsid w:val="008867BD"/>
    <w:rsid w:val="008869F0"/>
    <w:rsid w:val="0088703E"/>
    <w:rsid w:val="008870E8"/>
    <w:rsid w:val="00887E82"/>
    <w:rsid w:val="0089114A"/>
    <w:rsid w:val="0089196A"/>
    <w:rsid w:val="00891B99"/>
    <w:rsid w:val="00892AA0"/>
    <w:rsid w:val="00892EC8"/>
    <w:rsid w:val="0089493F"/>
    <w:rsid w:val="00896EE2"/>
    <w:rsid w:val="008976B0"/>
    <w:rsid w:val="0089782F"/>
    <w:rsid w:val="00897895"/>
    <w:rsid w:val="008A09C6"/>
    <w:rsid w:val="008A1738"/>
    <w:rsid w:val="008A2A88"/>
    <w:rsid w:val="008A4DB1"/>
    <w:rsid w:val="008A5CCD"/>
    <w:rsid w:val="008A5EAE"/>
    <w:rsid w:val="008A6164"/>
    <w:rsid w:val="008A6B88"/>
    <w:rsid w:val="008A7C33"/>
    <w:rsid w:val="008A7ECD"/>
    <w:rsid w:val="008B024D"/>
    <w:rsid w:val="008B0C7D"/>
    <w:rsid w:val="008B0E07"/>
    <w:rsid w:val="008B160D"/>
    <w:rsid w:val="008B248F"/>
    <w:rsid w:val="008B3C9A"/>
    <w:rsid w:val="008B431B"/>
    <w:rsid w:val="008B494F"/>
    <w:rsid w:val="008B54D2"/>
    <w:rsid w:val="008B5FF1"/>
    <w:rsid w:val="008B6B27"/>
    <w:rsid w:val="008B76D6"/>
    <w:rsid w:val="008B7998"/>
    <w:rsid w:val="008C03EE"/>
    <w:rsid w:val="008C0714"/>
    <w:rsid w:val="008C0747"/>
    <w:rsid w:val="008C086B"/>
    <w:rsid w:val="008C08AC"/>
    <w:rsid w:val="008C11CB"/>
    <w:rsid w:val="008C1573"/>
    <w:rsid w:val="008C1673"/>
    <w:rsid w:val="008C1807"/>
    <w:rsid w:val="008C1D6B"/>
    <w:rsid w:val="008C22DC"/>
    <w:rsid w:val="008C2956"/>
    <w:rsid w:val="008C2DBB"/>
    <w:rsid w:val="008C3154"/>
    <w:rsid w:val="008C32CC"/>
    <w:rsid w:val="008C39E8"/>
    <w:rsid w:val="008C4719"/>
    <w:rsid w:val="008C49A8"/>
    <w:rsid w:val="008C5239"/>
    <w:rsid w:val="008C58DB"/>
    <w:rsid w:val="008C5D2A"/>
    <w:rsid w:val="008C6181"/>
    <w:rsid w:val="008C6554"/>
    <w:rsid w:val="008C74DC"/>
    <w:rsid w:val="008C7D69"/>
    <w:rsid w:val="008D0167"/>
    <w:rsid w:val="008D054F"/>
    <w:rsid w:val="008D0796"/>
    <w:rsid w:val="008D183D"/>
    <w:rsid w:val="008D1AAC"/>
    <w:rsid w:val="008D2328"/>
    <w:rsid w:val="008D2735"/>
    <w:rsid w:val="008D3935"/>
    <w:rsid w:val="008D3F06"/>
    <w:rsid w:val="008D456E"/>
    <w:rsid w:val="008D49E8"/>
    <w:rsid w:val="008D59DF"/>
    <w:rsid w:val="008D5CC9"/>
    <w:rsid w:val="008D6FA9"/>
    <w:rsid w:val="008D7006"/>
    <w:rsid w:val="008D751F"/>
    <w:rsid w:val="008E10DA"/>
    <w:rsid w:val="008E1F78"/>
    <w:rsid w:val="008E24D1"/>
    <w:rsid w:val="008E3C0F"/>
    <w:rsid w:val="008E3DB3"/>
    <w:rsid w:val="008E4083"/>
    <w:rsid w:val="008E41C7"/>
    <w:rsid w:val="008E51EF"/>
    <w:rsid w:val="008E5FFE"/>
    <w:rsid w:val="008E61DC"/>
    <w:rsid w:val="008E67DB"/>
    <w:rsid w:val="008E683E"/>
    <w:rsid w:val="008E7FAC"/>
    <w:rsid w:val="008F0697"/>
    <w:rsid w:val="008F08DE"/>
    <w:rsid w:val="008F0AB1"/>
    <w:rsid w:val="008F134D"/>
    <w:rsid w:val="008F16A8"/>
    <w:rsid w:val="008F22A2"/>
    <w:rsid w:val="008F25DB"/>
    <w:rsid w:val="008F277C"/>
    <w:rsid w:val="008F3AE2"/>
    <w:rsid w:val="008F524B"/>
    <w:rsid w:val="008F56A7"/>
    <w:rsid w:val="008F592C"/>
    <w:rsid w:val="008F5968"/>
    <w:rsid w:val="008F5F52"/>
    <w:rsid w:val="008F698A"/>
    <w:rsid w:val="008F7E6B"/>
    <w:rsid w:val="00900631"/>
    <w:rsid w:val="009021F4"/>
    <w:rsid w:val="00902469"/>
    <w:rsid w:val="00903532"/>
    <w:rsid w:val="0090359E"/>
    <w:rsid w:val="009051D5"/>
    <w:rsid w:val="00905F48"/>
    <w:rsid w:val="00906FC0"/>
    <w:rsid w:val="00907515"/>
    <w:rsid w:val="0090786B"/>
    <w:rsid w:val="00910502"/>
    <w:rsid w:val="009108C6"/>
    <w:rsid w:val="0091098C"/>
    <w:rsid w:val="009111F0"/>
    <w:rsid w:val="00911D96"/>
    <w:rsid w:val="009129B9"/>
    <w:rsid w:val="00912E4B"/>
    <w:rsid w:val="009131AD"/>
    <w:rsid w:val="009132F4"/>
    <w:rsid w:val="00913B52"/>
    <w:rsid w:val="009144F0"/>
    <w:rsid w:val="0091472F"/>
    <w:rsid w:val="00914918"/>
    <w:rsid w:val="00914C5E"/>
    <w:rsid w:val="00915C55"/>
    <w:rsid w:val="0091627E"/>
    <w:rsid w:val="009167C9"/>
    <w:rsid w:val="00917395"/>
    <w:rsid w:val="00920356"/>
    <w:rsid w:val="0092098D"/>
    <w:rsid w:val="00920B0C"/>
    <w:rsid w:val="00921B74"/>
    <w:rsid w:val="00921BCD"/>
    <w:rsid w:val="00921DD0"/>
    <w:rsid w:val="00921E09"/>
    <w:rsid w:val="00922A5A"/>
    <w:rsid w:val="00922BD9"/>
    <w:rsid w:val="00922CA3"/>
    <w:rsid w:val="00923086"/>
    <w:rsid w:val="00923B52"/>
    <w:rsid w:val="00923EB5"/>
    <w:rsid w:val="009242FB"/>
    <w:rsid w:val="009250E0"/>
    <w:rsid w:val="0092520A"/>
    <w:rsid w:val="00925840"/>
    <w:rsid w:val="00926A51"/>
    <w:rsid w:val="00926B6C"/>
    <w:rsid w:val="00927DFC"/>
    <w:rsid w:val="0093021E"/>
    <w:rsid w:val="00930FDE"/>
    <w:rsid w:val="009320DD"/>
    <w:rsid w:val="009321F4"/>
    <w:rsid w:val="00932681"/>
    <w:rsid w:val="0093275C"/>
    <w:rsid w:val="00932EEB"/>
    <w:rsid w:val="00933279"/>
    <w:rsid w:val="00933639"/>
    <w:rsid w:val="00933858"/>
    <w:rsid w:val="009349CF"/>
    <w:rsid w:val="00934A28"/>
    <w:rsid w:val="00934D22"/>
    <w:rsid w:val="0093613D"/>
    <w:rsid w:val="00936885"/>
    <w:rsid w:val="00936B28"/>
    <w:rsid w:val="00936CE7"/>
    <w:rsid w:val="00937ACF"/>
    <w:rsid w:val="00937F0B"/>
    <w:rsid w:val="009411AB"/>
    <w:rsid w:val="00941559"/>
    <w:rsid w:val="00941F53"/>
    <w:rsid w:val="00942381"/>
    <w:rsid w:val="009429D1"/>
    <w:rsid w:val="00942D21"/>
    <w:rsid w:val="00943E45"/>
    <w:rsid w:val="009443D5"/>
    <w:rsid w:val="00944520"/>
    <w:rsid w:val="009445A8"/>
    <w:rsid w:val="00944E73"/>
    <w:rsid w:val="0094542A"/>
    <w:rsid w:val="009454EF"/>
    <w:rsid w:val="00945BE9"/>
    <w:rsid w:val="00945CB0"/>
    <w:rsid w:val="00946319"/>
    <w:rsid w:val="00946495"/>
    <w:rsid w:val="00946537"/>
    <w:rsid w:val="00947AED"/>
    <w:rsid w:val="00947B12"/>
    <w:rsid w:val="00950159"/>
    <w:rsid w:val="0095074A"/>
    <w:rsid w:val="00950D38"/>
    <w:rsid w:val="00951DD6"/>
    <w:rsid w:val="009528F8"/>
    <w:rsid w:val="009532F9"/>
    <w:rsid w:val="0095346F"/>
    <w:rsid w:val="00954840"/>
    <w:rsid w:val="009566AA"/>
    <w:rsid w:val="009567AC"/>
    <w:rsid w:val="009568E3"/>
    <w:rsid w:val="00956A50"/>
    <w:rsid w:val="009572B7"/>
    <w:rsid w:val="0095774F"/>
    <w:rsid w:val="009578D2"/>
    <w:rsid w:val="00957A10"/>
    <w:rsid w:val="00960C61"/>
    <w:rsid w:val="00960F99"/>
    <w:rsid w:val="0096132D"/>
    <w:rsid w:val="00961CE8"/>
    <w:rsid w:val="00962B54"/>
    <w:rsid w:val="00962C10"/>
    <w:rsid w:val="00963134"/>
    <w:rsid w:val="00963BDB"/>
    <w:rsid w:val="00964B3C"/>
    <w:rsid w:val="00965788"/>
    <w:rsid w:val="00965A5E"/>
    <w:rsid w:val="00965DA9"/>
    <w:rsid w:val="00966237"/>
    <w:rsid w:val="009665CB"/>
    <w:rsid w:val="00970ABA"/>
    <w:rsid w:val="00970C18"/>
    <w:rsid w:val="00971FFC"/>
    <w:rsid w:val="00972559"/>
    <w:rsid w:val="00973375"/>
    <w:rsid w:val="009739BA"/>
    <w:rsid w:val="009748CB"/>
    <w:rsid w:val="00974D11"/>
    <w:rsid w:val="00974D4F"/>
    <w:rsid w:val="00975467"/>
    <w:rsid w:val="00975A13"/>
    <w:rsid w:val="009766B9"/>
    <w:rsid w:val="0097737D"/>
    <w:rsid w:val="00977A15"/>
    <w:rsid w:val="00977FEA"/>
    <w:rsid w:val="0098045A"/>
    <w:rsid w:val="00980867"/>
    <w:rsid w:val="009808AF"/>
    <w:rsid w:val="00980AD4"/>
    <w:rsid w:val="00980CE1"/>
    <w:rsid w:val="00981828"/>
    <w:rsid w:val="00981CA1"/>
    <w:rsid w:val="00982165"/>
    <w:rsid w:val="009849E3"/>
    <w:rsid w:val="00984A70"/>
    <w:rsid w:val="0098536F"/>
    <w:rsid w:val="00985C0E"/>
    <w:rsid w:val="00990CA9"/>
    <w:rsid w:val="00991186"/>
    <w:rsid w:val="00991443"/>
    <w:rsid w:val="00992F62"/>
    <w:rsid w:val="00993299"/>
    <w:rsid w:val="00994274"/>
    <w:rsid w:val="00994355"/>
    <w:rsid w:val="00995D6B"/>
    <w:rsid w:val="0099623A"/>
    <w:rsid w:val="0099785F"/>
    <w:rsid w:val="00997EC4"/>
    <w:rsid w:val="009A012C"/>
    <w:rsid w:val="009A0341"/>
    <w:rsid w:val="009A21B9"/>
    <w:rsid w:val="009A2316"/>
    <w:rsid w:val="009A2ED0"/>
    <w:rsid w:val="009A4569"/>
    <w:rsid w:val="009A4BB2"/>
    <w:rsid w:val="009A55C6"/>
    <w:rsid w:val="009A5D2C"/>
    <w:rsid w:val="009A6934"/>
    <w:rsid w:val="009A6DB2"/>
    <w:rsid w:val="009A704C"/>
    <w:rsid w:val="009A710E"/>
    <w:rsid w:val="009A76D9"/>
    <w:rsid w:val="009A7A73"/>
    <w:rsid w:val="009B013B"/>
    <w:rsid w:val="009B05DF"/>
    <w:rsid w:val="009B1137"/>
    <w:rsid w:val="009B1C6D"/>
    <w:rsid w:val="009B2167"/>
    <w:rsid w:val="009B26FF"/>
    <w:rsid w:val="009B293F"/>
    <w:rsid w:val="009B2BEB"/>
    <w:rsid w:val="009B31E7"/>
    <w:rsid w:val="009B3474"/>
    <w:rsid w:val="009B4DE5"/>
    <w:rsid w:val="009B6A3D"/>
    <w:rsid w:val="009B6E1B"/>
    <w:rsid w:val="009B7487"/>
    <w:rsid w:val="009B7799"/>
    <w:rsid w:val="009C0202"/>
    <w:rsid w:val="009C08CB"/>
    <w:rsid w:val="009C0CD0"/>
    <w:rsid w:val="009C16AC"/>
    <w:rsid w:val="009C1C22"/>
    <w:rsid w:val="009C1D24"/>
    <w:rsid w:val="009C258C"/>
    <w:rsid w:val="009C274F"/>
    <w:rsid w:val="009C358D"/>
    <w:rsid w:val="009C3770"/>
    <w:rsid w:val="009C3C0B"/>
    <w:rsid w:val="009C3CFF"/>
    <w:rsid w:val="009C4011"/>
    <w:rsid w:val="009C4411"/>
    <w:rsid w:val="009C4446"/>
    <w:rsid w:val="009C48E3"/>
    <w:rsid w:val="009C4AE5"/>
    <w:rsid w:val="009C5726"/>
    <w:rsid w:val="009C5A29"/>
    <w:rsid w:val="009C5B8F"/>
    <w:rsid w:val="009C6A95"/>
    <w:rsid w:val="009C7738"/>
    <w:rsid w:val="009D08FA"/>
    <w:rsid w:val="009D1019"/>
    <w:rsid w:val="009D1E21"/>
    <w:rsid w:val="009D3F67"/>
    <w:rsid w:val="009D5B63"/>
    <w:rsid w:val="009D5CD0"/>
    <w:rsid w:val="009D63AF"/>
    <w:rsid w:val="009E0350"/>
    <w:rsid w:val="009E1566"/>
    <w:rsid w:val="009E26F5"/>
    <w:rsid w:val="009E2A73"/>
    <w:rsid w:val="009E2EC1"/>
    <w:rsid w:val="009E3A1D"/>
    <w:rsid w:val="009E4455"/>
    <w:rsid w:val="009E4987"/>
    <w:rsid w:val="009E5312"/>
    <w:rsid w:val="009E59D5"/>
    <w:rsid w:val="009E5FCA"/>
    <w:rsid w:val="009E6721"/>
    <w:rsid w:val="009E69DC"/>
    <w:rsid w:val="009E75C6"/>
    <w:rsid w:val="009E7AA2"/>
    <w:rsid w:val="009F1916"/>
    <w:rsid w:val="009F1A8C"/>
    <w:rsid w:val="009F1D4F"/>
    <w:rsid w:val="009F21D6"/>
    <w:rsid w:val="009F2BB3"/>
    <w:rsid w:val="009F2FDE"/>
    <w:rsid w:val="009F3676"/>
    <w:rsid w:val="009F3D5F"/>
    <w:rsid w:val="009F41F2"/>
    <w:rsid w:val="009F4F28"/>
    <w:rsid w:val="009F506C"/>
    <w:rsid w:val="009F533F"/>
    <w:rsid w:val="009F5FF7"/>
    <w:rsid w:val="009F6331"/>
    <w:rsid w:val="009F66BE"/>
    <w:rsid w:val="009F6A41"/>
    <w:rsid w:val="009F6EBE"/>
    <w:rsid w:val="009F7454"/>
    <w:rsid w:val="009F7AAD"/>
    <w:rsid w:val="009F7B00"/>
    <w:rsid w:val="00A00153"/>
    <w:rsid w:val="00A00160"/>
    <w:rsid w:val="00A00CC0"/>
    <w:rsid w:val="00A020A9"/>
    <w:rsid w:val="00A02DD7"/>
    <w:rsid w:val="00A03E2B"/>
    <w:rsid w:val="00A04A96"/>
    <w:rsid w:val="00A04F79"/>
    <w:rsid w:val="00A05139"/>
    <w:rsid w:val="00A0569D"/>
    <w:rsid w:val="00A058C1"/>
    <w:rsid w:val="00A05F6F"/>
    <w:rsid w:val="00A0601C"/>
    <w:rsid w:val="00A062A2"/>
    <w:rsid w:val="00A103F7"/>
    <w:rsid w:val="00A11401"/>
    <w:rsid w:val="00A11D38"/>
    <w:rsid w:val="00A13122"/>
    <w:rsid w:val="00A137A4"/>
    <w:rsid w:val="00A14A1B"/>
    <w:rsid w:val="00A1650C"/>
    <w:rsid w:val="00A165FB"/>
    <w:rsid w:val="00A16FD8"/>
    <w:rsid w:val="00A170F0"/>
    <w:rsid w:val="00A17761"/>
    <w:rsid w:val="00A17919"/>
    <w:rsid w:val="00A2096F"/>
    <w:rsid w:val="00A20FC8"/>
    <w:rsid w:val="00A21A18"/>
    <w:rsid w:val="00A223C0"/>
    <w:rsid w:val="00A223FA"/>
    <w:rsid w:val="00A22907"/>
    <w:rsid w:val="00A23863"/>
    <w:rsid w:val="00A248B5"/>
    <w:rsid w:val="00A2646A"/>
    <w:rsid w:val="00A2671B"/>
    <w:rsid w:val="00A27218"/>
    <w:rsid w:val="00A272E0"/>
    <w:rsid w:val="00A27769"/>
    <w:rsid w:val="00A306DB"/>
    <w:rsid w:val="00A30CE0"/>
    <w:rsid w:val="00A30E3C"/>
    <w:rsid w:val="00A31C4C"/>
    <w:rsid w:val="00A31C5B"/>
    <w:rsid w:val="00A31F37"/>
    <w:rsid w:val="00A32EE1"/>
    <w:rsid w:val="00A33475"/>
    <w:rsid w:val="00A33483"/>
    <w:rsid w:val="00A3362F"/>
    <w:rsid w:val="00A33823"/>
    <w:rsid w:val="00A3459A"/>
    <w:rsid w:val="00A348CC"/>
    <w:rsid w:val="00A35676"/>
    <w:rsid w:val="00A35885"/>
    <w:rsid w:val="00A360BA"/>
    <w:rsid w:val="00A370FA"/>
    <w:rsid w:val="00A37EA2"/>
    <w:rsid w:val="00A404CB"/>
    <w:rsid w:val="00A406D7"/>
    <w:rsid w:val="00A40B83"/>
    <w:rsid w:val="00A40F58"/>
    <w:rsid w:val="00A411F3"/>
    <w:rsid w:val="00A41918"/>
    <w:rsid w:val="00A42BDB"/>
    <w:rsid w:val="00A42F8C"/>
    <w:rsid w:val="00A43CE6"/>
    <w:rsid w:val="00A4464F"/>
    <w:rsid w:val="00A44BE4"/>
    <w:rsid w:val="00A451CC"/>
    <w:rsid w:val="00A46100"/>
    <w:rsid w:val="00A47393"/>
    <w:rsid w:val="00A479D7"/>
    <w:rsid w:val="00A47CA4"/>
    <w:rsid w:val="00A506DD"/>
    <w:rsid w:val="00A519BE"/>
    <w:rsid w:val="00A52EC1"/>
    <w:rsid w:val="00A52FDC"/>
    <w:rsid w:val="00A53B86"/>
    <w:rsid w:val="00A53C0B"/>
    <w:rsid w:val="00A55F59"/>
    <w:rsid w:val="00A56197"/>
    <w:rsid w:val="00A5624E"/>
    <w:rsid w:val="00A56832"/>
    <w:rsid w:val="00A568EA"/>
    <w:rsid w:val="00A60599"/>
    <w:rsid w:val="00A60FB3"/>
    <w:rsid w:val="00A61187"/>
    <w:rsid w:val="00A616E8"/>
    <w:rsid w:val="00A617A1"/>
    <w:rsid w:val="00A61CB3"/>
    <w:rsid w:val="00A61D8C"/>
    <w:rsid w:val="00A62ED6"/>
    <w:rsid w:val="00A6380D"/>
    <w:rsid w:val="00A64240"/>
    <w:rsid w:val="00A6459B"/>
    <w:rsid w:val="00A64ED6"/>
    <w:rsid w:val="00A657C3"/>
    <w:rsid w:val="00A664BA"/>
    <w:rsid w:val="00A665F8"/>
    <w:rsid w:val="00A66650"/>
    <w:rsid w:val="00A668BC"/>
    <w:rsid w:val="00A66B0D"/>
    <w:rsid w:val="00A67071"/>
    <w:rsid w:val="00A671AC"/>
    <w:rsid w:val="00A679A9"/>
    <w:rsid w:val="00A67EAD"/>
    <w:rsid w:val="00A707AD"/>
    <w:rsid w:val="00A716A5"/>
    <w:rsid w:val="00A732F1"/>
    <w:rsid w:val="00A75A73"/>
    <w:rsid w:val="00A76294"/>
    <w:rsid w:val="00A771EC"/>
    <w:rsid w:val="00A771F5"/>
    <w:rsid w:val="00A80280"/>
    <w:rsid w:val="00A80444"/>
    <w:rsid w:val="00A80C04"/>
    <w:rsid w:val="00A82587"/>
    <w:rsid w:val="00A82C6B"/>
    <w:rsid w:val="00A83A1A"/>
    <w:rsid w:val="00A83DB1"/>
    <w:rsid w:val="00A84110"/>
    <w:rsid w:val="00A8460D"/>
    <w:rsid w:val="00A8492C"/>
    <w:rsid w:val="00A84F73"/>
    <w:rsid w:val="00A85512"/>
    <w:rsid w:val="00A8563B"/>
    <w:rsid w:val="00A85DB2"/>
    <w:rsid w:val="00A860B6"/>
    <w:rsid w:val="00A86CD2"/>
    <w:rsid w:val="00A86F53"/>
    <w:rsid w:val="00A87478"/>
    <w:rsid w:val="00A87A23"/>
    <w:rsid w:val="00A87D6A"/>
    <w:rsid w:val="00A913FA"/>
    <w:rsid w:val="00A914B3"/>
    <w:rsid w:val="00A932CB"/>
    <w:rsid w:val="00A93E63"/>
    <w:rsid w:val="00A941B6"/>
    <w:rsid w:val="00A95FF3"/>
    <w:rsid w:val="00A961EB"/>
    <w:rsid w:val="00A96500"/>
    <w:rsid w:val="00A96720"/>
    <w:rsid w:val="00A9748C"/>
    <w:rsid w:val="00AA0479"/>
    <w:rsid w:val="00AA092A"/>
    <w:rsid w:val="00AA158B"/>
    <w:rsid w:val="00AA184B"/>
    <w:rsid w:val="00AA1C06"/>
    <w:rsid w:val="00AA2291"/>
    <w:rsid w:val="00AA2460"/>
    <w:rsid w:val="00AA2E38"/>
    <w:rsid w:val="00AA4579"/>
    <w:rsid w:val="00AA49B5"/>
    <w:rsid w:val="00AA5101"/>
    <w:rsid w:val="00AA51FF"/>
    <w:rsid w:val="00AA6627"/>
    <w:rsid w:val="00AA6F6A"/>
    <w:rsid w:val="00AA752B"/>
    <w:rsid w:val="00AA78C0"/>
    <w:rsid w:val="00AA7AA2"/>
    <w:rsid w:val="00AB002C"/>
    <w:rsid w:val="00AB04D8"/>
    <w:rsid w:val="00AB070B"/>
    <w:rsid w:val="00AB0888"/>
    <w:rsid w:val="00AB0D1B"/>
    <w:rsid w:val="00AB1CFE"/>
    <w:rsid w:val="00AB2CB3"/>
    <w:rsid w:val="00AB4080"/>
    <w:rsid w:val="00AB53B4"/>
    <w:rsid w:val="00AB5574"/>
    <w:rsid w:val="00AB5737"/>
    <w:rsid w:val="00AB5CDF"/>
    <w:rsid w:val="00AB5FEB"/>
    <w:rsid w:val="00AB6239"/>
    <w:rsid w:val="00AC10AF"/>
    <w:rsid w:val="00AC111D"/>
    <w:rsid w:val="00AC1312"/>
    <w:rsid w:val="00AC293B"/>
    <w:rsid w:val="00AC347E"/>
    <w:rsid w:val="00AC3B4D"/>
    <w:rsid w:val="00AC419E"/>
    <w:rsid w:val="00AC424F"/>
    <w:rsid w:val="00AC4EFE"/>
    <w:rsid w:val="00AC50C3"/>
    <w:rsid w:val="00AC5EA8"/>
    <w:rsid w:val="00AC5EB5"/>
    <w:rsid w:val="00AC63CC"/>
    <w:rsid w:val="00AC7061"/>
    <w:rsid w:val="00AC70C0"/>
    <w:rsid w:val="00AD0869"/>
    <w:rsid w:val="00AD0D7B"/>
    <w:rsid w:val="00AD0DE8"/>
    <w:rsid w:val="00AD174D"/>
    <w:rsid w:val="00AD198E"/>
    <w:rsid w:val="00AD1C40"/>
    <w:rsid w:val="00AD2379"/>
    <w:rsid w:val="00AD28F1"/>
    <w:rsid w:val="00AD30CC"/>
    <w:rsid w:val="00AD31BF"/>
    <w:rsid w:val="00AD35B5"/>
    <w:rsid w:val="00AD41BB"/>
    <w:rsid w:val="00AD4B7D"/>
    <w:rsid w:val="00AD4CDE"/>
    <w:rsid w:val="00AD59FB"/>
    <w:rsid w:val="00AD5AD2"/>
    <w:rsid w:val="00AD5B5D"/>
    <w:rsid w:val="00AD5D95"/>
    <w:rsid w:val="00AD6314"/>
    <w:rsid w:val="00AD6C84"/>
    <w:rsid w:val="00AE01E4"/>
    <w:rsid w:val="00AE089B"/>
    <w:rsid w:val="00AE0D27"/>
    <w:rsid w:val="00AE13D3"/>
    <w:rsid w:val="00AE202E"/>
    <w:rsid w:val="00AE2377"/>
    <w:rsid w:val="00AE257A"/>
    <w:rsid w:val="00AE27E4"/>
    <w:rsid w:val="00AE2C34"/>
    <w:rsid w:val="00AE3750"/>
    <w:rsid w:val="00AE401B"/>
    <w:rsid w:val="00AE50A8"/>
    <w:rsid w:val="00AE5C99"/>
    <w:rsid w:val="00AE692D"/>
    <w:rsid w:val="00AE7169"/>
    <w:rsid w:val="00AE74B4"/>
    <w:rsid w:val="00AE7D7B"/>
    <w:rsid w:val="00AE7DE8"/>
    <w:rsid w:val="00AF117B"/>
    <w:rsid w:val="00AF1484"/>
    <w:rsid w:val="00AF170F"/>
    <w:rsid w:val="00AF2568"/>
    <w:rsid w:val="00AF2927"/>
    <w:rsid w:val="00AF30C6"/>
    <w:rsid w:val="00AF3500"/>
    <w:rsid w:val="00AF3D69"/>
    <w:rsid w:val="00AF53D1"/>
    <w:rsid w:val="00AF63D3"/>
    <w:rsid w:val="00AF76BF"/>
    <w:rsid w:val="00AF7BEC"/>
    <w:rsid w:val="00B004D0"/>
    <w:rsid w:val="00B0061D"/>
    <w:rsid w:val="00B01884"/>
    <w:rsid w:val="00B01AAE"/>
    <w:rsid w:val="00B021D5"/>
    <w:rsid w:val="00B02280"/>
    <w:rsid w:val="00B02A0E"/>
    <w:rsid w:val="00B02CFC"/>
    <w:rsid w:val="00B041CC"/>
    <w:rsid w:val="00B05BE0"/>
    <w:rsid w:val="00B06606"/>
    <w:rsid w:val="00B0666A"/>
    <w:rsid w:val="00B06CA1"/>
    <w:rsid w:val="00B06F1F"/>
    <w:rsid w:val="00B07AFB"/>
    <w:rsid w:val="00B07E12"/>
    <w:rsid w:val="00B1001A"/>
    <w:rsid w:val="00B10445"/>
    <w:rsid w:val="00B106AB"/>
    <w:rsid w:val="00B10BE3"/>
    <w:rsid w:val="00B10C43"/>
    <w:rsid w:val="00B10E64"/>
    <w:rsid w:val="00B12430"/>
    <w:rsid w:val="00B12F79"/>
    <w:rsid w:val="00B14563"/>
    <w:rsid w:val="00B147A5"/>
    <w:rsid w:val="00B149A7"/>
    <w:rsid w:val="00B14A09"/>
    <w:rsid w:val="00B14ECB"/>
    <w:rsid w:val="00B15DB4"/>
    <w:rsid w:val="00B15E62"/>
    <w:rsid w:val="00B17314"/>
    <w:rsid w:val="00B1740B"/>
    <w:rsid w:val="00B20001"/>
    <w:rsid w:val="00B2098A"/>
    <w:rsid w:val="00B20A4B"/>
    <w:rsid w:val="00B211FD"/>
    <w:rsid w:val="00B221D8"/>
    <w:rsid w:val="00B23051"/>
    <w:rsid w:val="00B2323D"/>
    <w:rsid w:val="00B23456"/>
    <w:rsid w:val="00B23601"/>
    <w:rsid w:val="00B249B1"/>
    <w:rsid w:val="00B24FC2"/>
    <w:rsid w:val="00B26754"/>
    <w:rsid w:val="00B27227"/>
    <w:rsid w:val="00B273EB"/>
    <w:rsid w:val="00B27BEB"/>
    <w:rsid w:val="00B32169"/>
    <w:rsid w:val="00B3264B"/>
    <w:rsid w:val="00B3406F"/>
    <w:rsid w:val="00B34373"/>
    <w:rsid w:val="00B3445A"/>
    <w:rsid w:val="00B345BF"/>
    <w:rsid w:val="00B34CD4"/>
    <w:rsid w:val="00B3772F"/>
    <w:rsid w:val="00B404B5"/>
    <w:rsid w:val="00B4078A"/>
    <w:rsid w:val="00B40D2E"/>
    <w:rsid w:val="00B41571"/>
    <w:rsid w:val="00B42618"/>
    <w:rsid w:val="00B433F5"/>
    <w:rsid w:val="00B4392C"/>
    <w:rsid w:val="00B43DDD"/>
    <w:rsid w:val="00B43F03"/>
    <w:rsid w:val="00B4563A"/>
    <w:rsid w:val="00B45F1B"/>
    <w:rsid w:val="00B46771"/>
    <w:rsid w:val="00B47178"/>
    <w:rsid w:val="00B47456"/>
    <w:rsid w:val="00B47C34"/>
    <w:rsid w:val="00B513AA"/>
    <w:rsid w:val="00B51ECD"/>
    <w:rsid w:val="00B52125"/>
    <w:rsid w:val="00B52130"/>
    <w:rsid w:val="00B528C5"/>
    <w:rsid w:val="00B533AF"/>
    <w:rsid w:val="00B5388A"/>
    <w:rsid w:val="00B539A9"/>
    <w:rsid w:val="00B54122"/>
    <w:rsid w:val="00B54755"/>
    <w:rsid w:val="00B55E52"/>
    <w:rsid w:val="00B56248"/>
    <w:rsid w:val="00B56C77"/>
    <w:rsid w:val="00B60137"/>
    <w:rsid w:val="00B607FE"/>
    <w:rsid w:val="00B60E3F"/>
    <w:rsid w:val="00B61847"/>
    <w:rsid w:val="00B619E8"/>
    <w:rsid w:val="00B61A26"/>
    <w:rsid w:val="00B63343"/>
    <w:rsid w:val="00B63DC1"/>
    <w:rsid w:val="00B64432"/>
    <w:rsid w:val="00B654CC"/>
    <w:rsid w:val="00B65C46"/>
    <w:rsid w:val="00B65DAC"/>
    <w:rsid w:val="00B66210"/>
    <w:rsid w:val="00B6652C"/>
    <w:rsid w:val="00B666B4"/>
    <w:rsid w:val="00B6741A"/>
    <w:rsid w:val="00B70F7A"/>
    <w:rsid w:val="00B71257"/>
    <w:rsid w:val="00B71DF8"/>
    <w:rsid w:val="00B7295C"/>
    <w:rsid w:val="00B72DC6"/>
    <w:rsid w:val="00B731AC"/>
    <w:rsid w:val="00B73A5B"/>
    <w:rsid w:val="00B74293"/>
    <w:rsid w:val="00B74695"/>
    <w:rsid w:val="00B7590E"/>
    <w:rsid w:val="00B76690"/>
    <w:rsid w:val="00B76A94"/>
    <w:rsid w:val="00B76B91"/>
    <w:rsid w:val="00B771D2"/>
    <w:rsid w:val="00B7768D"/>
    <w:rsid w:val="00B7770B"/>
    <w:rsid w:val="00B800B1"/>
    <w:rsid w:val="00B803D9"/>
    <w:rsid w:val="00B81D94"/>
    <w:rsid w:val="00B81E8C"/>
    <w:rsid w:val="00B82593"/>
    <w:rsid w:val="00B83479"/>
    <w:rsid w:val="00B83E85"/>
    <w:rsid w:val="00B84AB8"/>
    <w:rsid w:val="00B85010"/>
    <w:rsid w:val="00B850A6"/>
    <w:rsid w:val="00B85E49"/>
    <w:rsid w:val="00B85E4C"/>
    <w:rsid w:val="00B860F8"/>
    <w:rsid w:val="00B862AF"/>
    <w:rsid w:val="00B865DC"/>
    <w:rsid w:val="00B867F3"/>
    <w:rsid w:val="00B870D0"/>
    <w:rsid w:val="00B871B8"/>
    <w:rsid w:val="00B87521"/>
    <w:rsid w:val="00B87C46"/>
    <w:rsid w:val="00B90630"/>
    <w:rsid w:val="00B90C4D"/>
    <w:rsid w:val="00B90F22"/>
    <w:rsid w:val="00B915E4"/>
    <w:rsid w:val="00B91F40"/>
    <w:rsid w:val="00B91F88"/>
    <w:rsid w:val="00B92519"/>
    <w:rsid w:val="00B9252F"/>
    <w:rsid w:val="00B92579"/>
    <w:rsid w:val="00B92E5B"/>
    <w:rsid w:val="00B92EA6"/>
    <w:rsid w:val="00B934F6"/>
    <w:rsid w:val="00B939E7"/>
    <w:rsid w:val="00B94AA3"/>
    <w:rsid w:val="00B956B1"/>
    <w:rsid w:val="00B95791"/>
    <w:rsid w:val="00B966EB"/>
    <w:rsid w:val="00B97403"/>
    <w:rsid w:val="00B97EEF"/>
    <w:rsid w:val="00BA0011"/>
    <w:rsid w:val="00BA0614"/>
    <w:rsid w:val="00BA100B"/>
    <w:rsid w:val="00BA262F"/>
    <w:rsid w:val="00BA2D09"/>
    <w:rsid w:val="00BA3480"/>
    <w:rsid w:val="00BA4366"/>
    <w:rsid w:val="00BA49F2"/>
    <w:rsid w:val="00BA4A94"/>
    <w:rsid w:val="00BA4FDB"/>
    <w:rsid w:val="00BA5DAC"/>
    <w:rsid w:val="00BA5EF8"/>
    <w:rsid w:val="00BA60DA"/>
    <w:rsid w:val="00BA620F"/>
    <w:rsid w:val="00BA6689"/>
    <w:rsid w:val="00BA66FD"/>
    <w:rsid w:val="00BA678A"/>
    <w:rsid w:val="00BA69AA"/>
    <w:rsid w:val="00BA7711"/>
    <w:rsid w:val="00BA7D1E"/>
    <w:rsid w:val="00BA7DCA"/>
    <w:rsid w:val="00BB0C21"/>
    <w:rsid w:val="00BB10B1"/>
    <w:rsid w:val="00BB1BE4"/>
    <w:rsid w:val="00BB2119"/>
    <w:rsid w:val="00BB296D"/>
    <w:rsid w:val="00BB2A53"/>
    <w:rsid w:val="00BB3A2A"/>
    <w:rsid w:val="00BB416A"/>
    <w:rsid w:val="00BB4235"/>
    <w:rsid w:val="00BB42C0"/>
    <w:rsid w:val="00BB487E"/>
    <w:rsid w:val="00BB5632"/>
    <w:rsid w:val="00BB5B01"/>
    <w:rsid w:val="00BB659E"/>
    <w:rsid w:val="00BB65F1"/>
    <w:rsid w:val="00BB6DC5"/>
    <w:rsid w:val="00BB77DB"/>
    <w:rsid w:val="00BB7B29"/>
    <w:rsid w:val="00BB7F09"/>
    <w:rsid w:val="00BC019D"/>
    <w:rsid w:val="00BC05B0"/>
    <w:rsid w:val="00BC0646"/>
    <w:rsid w:val="00BC07B1"/>
    <w:rsid w:val="00BC097A"/>
    <w:rsid w:val="00BC0DC1"/>
    <w:rsid w:val="00BC11DE"/>
    <w:rsid w:val="00BC361F"/>
    <w:rsid w:val="00BC6685"/>
    <w:rsid w:val="00BC685D"/>
    <w:rsid w:val="00BC7BB3"/>
    <w:rsid w:val="00BD012B"/>
    <w:rsid w:val="00BD0BD3"/>
    <w:rsid w:val="00BD16B5"/>
    <w:rsid w:val="00BD203C"/>
    <w:rsid w:val="00BD254D"/>
    <w:rsid w:val="00BD283F"/>
    <w:rsid w:val="00BD2FB4"/>
    <w:rsid w:val="00BD31B7"/>
    <w:rsid w:val="00BD33AC"/>
    <w:rsid w:val="00BD39AD"/>
    <w:rsid w:val="00BD4698"/>
    <w:rsid w:val="00BD5441"/>
    <w:rsid w:val="00BD56E6"/>
    <w:rsid w:val="00BD59BB"/>
    <w:rsid w:val="00BD5F3C"/>
    <w:rsid w:val="00BD63C4"/>
    <w:rsid w:val="00BD69C8"/>
    <w:rsid w:val="00BD79DE"/>
    <w:rsid w:val="00BD7E83"/>
    <w:rsid w:val="00BE01E6"/>
    <w:rsid w:val="00BE0312"/>
    <w:rsid w:val="00BE0648"/>
    <w:rsid w:val="00BE1029"/>
    <w:rsid w:val="00BE102C"/>
    <w:rsid w:val="00BE1384"/>
    <w:rsid w:val="00BE1922"/>
    <w:rsid w:val="00BE19F7"/>
    <w:rsid w:val="00BE1C6A"/>
    <w:rsid w:val="00BE2DB7"/>
    <w:rsid w:val="00BE3559"/>
    <w:rsid w:val="00BE48F9"/>
    <w:rsid w:val="00BE55D2"/>
    <w:rsid w:val="00BE5CD3"/>
    <w:rsid w:val="00BE6A25"/>
    <w:rsid w:val="00BE73D1"/>
    <w:rsid w:val="00BE74C4"/>
    <w:rsid w:val="00BE7880"/>
    <w:rsid w:val="00BE79CD"/>
    <w:rsid w:val="00BE7A22"/>
    <w:rsid w:val="00BF07D5"/>
    <w:rsid w:val="00BF1314"/>
    <w:rsid w:val="00BF1A9E"/>
    <w:rsid w:val="00BF37CD"/>
    <w:rsid w:val="00BF3869"/>
    <w:rsid w:val="00BF3D9C"/>
    <w:rsid w:val="00BF3E2B"/>
    <w:rsid w:val="00BF4933"/>
    <w:rsid w:val="00BF4FB6"/>
    <w:rsid w:val="00BF50D7"/>
    <w:rsid w:val="00BF6382"/>
    <w:rsid w:val="00BF70C4"/>
    <w:rsid w:val="00BF70F9"/>
    <w:rsid w:val="00C0057B"/>
    <w:rsid w:val="00C01046"/>
    <w:rsid w:val="00C01760"/>
    <w:rsid w:val="00C01785"/>
    <w:rsid w:val="00C02223"/>
    <w:rsid w:val="00C03133"/>
    <w:rsid w:val="00C03342"/>
    <w:rsid w:val="00C03415"/>
    <w:rsid w:val="00C03487"/>
    <w:rsid w:val="00C03CC7"/>
    <w:rsid w:val="00C03D27"/>
    <w:rsid w:val="00C03ED6"/>
    <w:rsid w:val="00C041FB"/>
    <w:rsid w:val="00C0590F"/>
    <w:rsid w:val="00C06096"/>
    <w:rsid w:val="00C073F5"/>
    <w:rsid w:val="00C07C45"/>
    <w:rsid w:val="00C101A0"/>
    <w:rsid w:val="00C1041A"/>
    <w:rsid w:val="00C10C2D"/>
    <w:rsid w:val="00C114FC"/>
    <w:rsid w:val="00C13FFB"/>
    <w:rsid w:val="00C14067"/>
    <w:rsid w:val="00C1654B"/>
    <w:rsid w:val="00C17B2B"/>
    <w:rsid w:val="00C17F35"/>
    <w:rsid w:val="00C17FF2"/>
    <w:rsid w:val="00C202B0"/>
    <w:rsid w:val="00C20D12"/>
    <w:rsid w:val="00C20F3F"/>
    <w:rsid w:val="00C21093"/>
    <w:rsid w:val="00C21205"/>
    <w:rsid w:val="00C227A7"/>
    <w:rsid w:val="00C23619"/>
    <w:rsid w:val="00C23A60"/>
    <w:rsid w:val="00C240AE"/>
    <w:rsid w:val="00C24703"/>
    <w:rsid w:val="00C24A5E"/>
    <w:rsid w:val="00C25BD7"/>
    <w:rsid w:val="00C261F3"/>
    <w:rsid w:val="00C26286"/>
    <w:rsid w:val="00C27184"/>
    <w:rsid w:val="00C2783B"/>
    <w:rsid w:val="00C27AD1"/>
    <w:rsid w:val="00C27B8D"/>
    <w:rsid w:val="00C27D54"/>
    <w:rsid w:val="00C303DA"/>
    <w:rsid w:val="00C31C56"/>
    <w:rsid w:val="00C325D1"/>
    <w:rsid w:val="00C32BD2"/>
    <w:rsid w:val="00C3371C"/>
    <w:rsid w:val="00C337C9"/>
    <w:rsid w:val="00C33928"/>
    <w:rsid w:val="00C33B01"/>
    <w:rsid w:val="00C34012"/>
    <w:rsid w:val="00C3425E"/>
    <w:rsid w:val="00C342D6"/>
    <w:rsid w:val="00C34C75"/>
    <w:rsid w:val="00C34E78"/>
    <w:rsid w:val="00C34FF5"/>
    <w:rsid w:val="00C365B6"/>
    <w:rsid w:val="00C36693"/>
    <w:rsid w:val="00C36729"/>
    <w:rsid w:val="00C40724"/>
    <w:rsid w:val="00C40CA9"/>
    <w:rsid w:val="00C4114B"/>
    <w:rsid w:val="00C415A9"/>
    <w:rsid w:val="00C41A61"/>
    <w:rsid w:val="00C41D14"/>
    <w:rsid w:val="00C43653"/>
    <w:rsid w:val="00C43750"/>
    <w:rsid w:val="00C43935"/>
    <w:rsid w:val="00C43DE3"/>
    <w:rsid w:val="00C43F8F"/>
    <w:rsid w:val="00C44B1B"/>
    <w:rsid w:val="00C44DBA"/>
    <w:rsid w:val="00C44EB5"/>
    <w:rsid w:val="00C464AC"/>
    <w:rsid w:val="00C46BE5"/>
    <w:rsid w:val="00C50A49"/>
    <w:rsid w:val="00C50B26"/>
    <w:rsid w:val="00C50E34"/>
    <w:rsid w:val="00C50EC0"/>
    <w:rsid w:val="00C51921"/>
    <w:rsid w:val="00C51F45"/>
    <w:rsid w:val="00C53372"/>
    <w:rsid w:val="00C53B82"/>
    <w:rsid w:val="00C53C7C"/>
    <w:rsid w:val="00C566B7"/>
    <w:rsid w:val="00C57202"/>
    <w:rsid w:val="00C575CE"/>
    <w:rsid w:val="00C578C1"/>
    <w:rsid w:val="00C60010"/>
    <w:rsid w:val="00C603FD"/>
    <w:rsid w:val="00C60559"/>
    <w:rsid w:val="00C60A48"/>
    <w:rsid w:val="00C612F1"/>
    <w:rsid w:val="00C6193C"/>
    <w:rsid w:val="00C61D71"/>
    <w:rsid w:val="00C62124"/>
    <w:rsid w:val="00C62933"/>
    <w:rsid w:val="00C62CAC"/>
    <w:rsid w:val="00C62E5D"/>
    <w:rsid w:val="00C635F4"/>
    <w:rsid w:val="00C636F0"/>
    <w:rsid w:val="00C63B3D"/>
    <w:rsid w:val="00C642F5"/>
    <w:rsid w:val="00C649A2"/>
    <w:rsid w:val="00C64AE0"/>
    <w:rsid w:val="00C651D2"/>
    <w:rsid w:val="00C654B2"/>
    <w:rsid w:val="00C659B9"/>
    <w:rsid w:val="00C65E4F"/>
    <w:rsid w:val="00C66782"/>
    <w:rsid w:val="00C66DB4"/>
    <w:rsid w:val="00C676B1"/>
    <w:rsid w:val="00C70379"/>
    <w:rsid w:val="00C70B46"/>
    <w:rsid w:val="00C70C16"/>
    <w:rsid w:val="00C70F6E"/>
    <w:rsid w:val="00C71366"/>
    <w:rsid w:val="00C71EAD"/>
    <w:rsid w:val="00C72208"/>
    <w:rsid w:val="00C723F0"/>
    <w:rsid w:val="00C72AF6"/>
    <w:rsid w:val="00C72D0E"/>
    <w:rsid w:val="00C736B5"/>
    <w:rsid w:val="00C73B70"/>
    <w:rsid w:val="00C740BE"/>
    <w:rsid w:val="00C75E37"/>
    <w:rsid w:val="00C75EEA"/>
    <w:rsid w:val="00C775AB"/>
    <w:rsid w:val="00C779EC"/>
    <w:rsid w:val="00C801E1"/>
    <w:rsid w:val="00C80C48"/>
    <w:rsid w:val="00C80C71"/>
    <w:rsid w:val="00C80F7A"/>
    <w:rsid w:val="00C82078"/>
    <w:rsid w:val="00C838A3"/>
    <w:rsid w:val="00C84D42"/>
    <w:rsid w:val="00C85F5C"/>
    <w:rsid w:val="00C86858"/>
    <w:rsid w:val="00C86CC9"/>
    <w:rsid w:val="00C86F2B"/>
    <w:rsid w:val="00C871B0"/>
    <w:rsid w:val="00C8741C"/>
    <w:rsid w:val="00C9056B"/>
    <w:rsid w:val="00C913FB"/>
    <w:rsid w:val="00C91544"/>
    <w:rsid w:val="00C91B49"/>
    <w:rsid w:val="00C92000"/>
    <w:rsid w:val="00C9216A"/>
    <w:rsid w:val="00C92C3C"/>
    <w:rsid w:val="00C92E53"/>
    <w:rsid w:val="00C930DF"/>
    <w:rsid w:val="00C9386D"/>
    <w:rsid w:val="00C93AFA"/>
    <w:rsid w:val="00C93CF8"/>
    <w:rsid w:val="00C93F7B"/>
    <w:rsid w:val="00C942F1"/>
    <w:rsid w:val="00C9483A"/>
    <w:rsid w:val="00C94E9E"/>
    <w:rsid w:val="00C9601F"/>
    <w:rsid w:val="00C965E2"/>
    <w:rsid w:val="00C97653"/>
    <w:rsid w:val="00C97A58"/>
    <w:rsid w:val="00C97DBC"/>
    <w:rsid w:val="00CA02E4"/>
    <w:rsid w:val="00CA1445"/>
    <w:rsid w:val="00CA178C"/>
    <w:rsid w:val="00CA23F3"/>
    <w:rsid w:val="00CA257B"/>
    <w:rsid w:val="00CA2EB7"/>
    <w:rsid w:val="00CA3092"/>
    <w:rsid w:val="00CA3F18"/>
    <w:rsid w:val="00CA677D"/>
    <w:rsid w:val="00CA7068"/>
    <w:rsid w:val="00CB0BEB"/>
    <w:rsid w:val="00CB20DE"/>
    <w:rsid w:val="00CB2B84"/>
    <w:rsid w:val="00CB2BCE"/>
    <w:rsid w:val="00CB383E"/>
    <w:rsid w:val="00CB43E4"/>
    <w:rsid w:val="00CB4463"/>
    <w:rsid w:val="00CB542E"/>
    <w:rsid w:val="00CB5A8C"/>
    <w:rsid w:val="00CB605C"/>
    <w:rsid w:val="00CB6154"/>
    <w:rsid w:val="00CB7E3C"/>
    <w:rsid w:val="00CC08C5"/>
    <w:rsid w:val="00CC1ED3"/>
    <w:rsid w:val="00CC23EE"/>
    <w:rsid w:val="00CC29E7"/>
    <w:rsid w:val="00CC2BDE"/>
    <w:rsid w:val="00CC3038"/>
    <w:rsid w:val="00CC3220"/>
    <w:rsid w:val="00CC406C"/>
    <w:rsid w:val="00CC424A"/>
    <w:rsid w:val="00CC5CAF"/>
    <w:rsid w:val="00CC60CC"/>
    <w:rsid w:val="00CC620A"/>
    <w:rsid w:val="00CC6E70"/>
    <w:rsid w:val="00CC7335"/>
    <w:rsid w:val="00CC7B32"/>
    <w:rsid w:val="00CD0194"/>
    <w:rsid w:val="00CD0880"/>
    <w:rsid w:val="00CD13EF"/>
    <w:rsid w:val="00CD1675"/>
    <w:rsid w:val="00CD1CF9"/>
    <w:rsid w:val="00CD1FA5"/>
    <w:rsid w:val="00CD290F"/>
    <w:rsid w:val="00CD322C"/>
    <w:rsid w:val="00CD3B90"/>
    <w:rsid w:val="00CD3F69"/>
    <w:rsid w:val="00CD44D2"/>
    <w:rsid w:val="00CD63B2"/>
    <w:rsid w:val="00CD63E9"/>
    <w:rsid w:val="00CD7D03"/>
    <w:rsid w:val="00CD7E15"/>
    <w:rsid w:val="00CE07C1"/>
    <w:rsid w:val="00CE16D4"/>
    <w:rsid w:val="00CE2E6E"/>
    <w:rsid w:val="00CE53BD"/>
    <w:rsid w:val="00CE541D"/>
    <w:rsid w:val="00CE5D0A"/>
    <w:rsid w:val="00CE69F9"/>
    <w:rsid w:val="00CE6AA5"/>
    <w:rsid w:val="00CE7075"/>
    <w:rsid w:val="00CE724D"/>
    <w:rsid w:val="00CE7D09"/>
    <w:rsid w:val="00CE7D12"/>
    <w:rsid w:val="00CF04D9"/>
    <w:rsid w:val="00CF140E"/>
    <w:rsid w:val="00CF2665"/>
    <w:rsid w:val="00CF26CD"/>
    <w:rsid w:val="00CF2C79"/>
    <w:rsid w:val="00CF335D"/>
    <w:rsid w:val="00CF469C"/>
    <w:rsid w:val="00CF47F7"/>
    <w:rsid w:val="00CF57B8"/>
    <w:rsid w:val="00CF6C0F"/>
    <w:rsid w:val="00CF6DAB"/>
    <w:rsid w:val="00CF6EE8"/>
    <w:rsid w:val="00CF783C"/>
    <w:rsid w:val="00D028F7"/>
    <w:rsid w:val="00D0559F"/>
    <w:rsid w:val="00D0751E"/>
    <w:rsid w:val="00D07C94"/>
    <w:rsid w:val="00D1001F"/>
    <w:rsid w:val="00D1027D"/>
    <w:rsid w:val="00D1036D"/>
    <w:rsid w:val="00D10B29"/>
    <w:rsid w:val="00D10CE0"/>
    <w:rsid w:val="00D11335"/>
    <w:rsid w:val="00D116CA"/>
    <w:rsid w:val="00D1256E"/>
    <w:rsid w:val="00D129CA"/>
    <w:rsid w:val="00D14E90"/>
    <w:rsid w:val="00D15374"/>
    <w:rsid w:val="00D1539E"/>
    <w:rsid w:val="00D15CF5"/>
    <w:rsid w:val="00D1604F"/>
    <w:rsid w:val="00D1700E"/>
    <w:rsid w:val="00D17170"/>
    <w:rsid w:val="00D1766F"/>
    <w:rsid w:val="00D17B3B"/>
    <w:rsid w:val="00D17DBC"/>
    <w:rsid w:val="00D17F34"/>
    <w:rsid w:val="00D20988"/>
    <w:rsid w:val="00D2349F"/>
    <w:rsid w:val="00D23527"/>
    <w:rsid w:val="00D238C8"/>
    <w:rsid w:val="00D23AD8"/>
    <w:rsid w:val="00D25CCC"/>
    <w:rsid w:val="00D26062"/>
    <w:rsid w:val="00D26146"/>
    <w:rsid w:val="00D26BF7"/>
    <w:rsid w:val="00D26F73"/>
    <w:rsid w:val="00D271C9"/>
    <w:rsid w:val="00D30178"/>
    <w:rsid w:val="00D30B51"/>
    <w:rsid w:val="00D313F8"/>
    <w:rsid w:val="00D317A4"/>
    <w:rsid w:val="00D320EA"/>
    <w:rsid w:val="00D328C0"/>
    <w:rsid w:val="00D35497"/>
    <w:rsid w:val="00D357BA"/>
    <w:rsid w:val="00D35946"/>
    <w:rsid w:val="00D35AEB"/>
    <w:rsid w:val="00D35C39"/>
    <w:rsid w:val="00D364E9"/>
    <w:rsid w:val="00D37344"/>
    <w:rsid w:val="00D37CE7"/>
    <w:rsid w:val="00D41229"/>
    <w:rsid w:val="00D4142B"/>
    <w:rsid w:val="00D437CE"/>
    <w:rsid w:val="00D4479A"/>
    <w:rsid w:val="00D44AA0"/>
    <w:rsid w:val="00D44FA3"/>
    <w:rsid w:val="00D4562B"/>
    <w:rsid w:val="00D45F75"/>
    <w:rsid w:val="00D4614B"/>
    <w:rsid w:val="00D4625C"/>
    <w:rsid w:val="00D463DC"/>
    <w:rsid w:val="00D46600"/>
    <w:rsid w:val="00D472EE"/>
    <w:rsid w:val="00D52660"/>
    <w:rsid w:val="00D52AF9"/>
    <w:rsid w:val="00D52ED5"/>
    <w:rsid w:val="00D52F35"/>
    <w:rsid w:val="00D53829"/>
    <w:rsid w:val="00D539F7"/>
    <w:rsid w:val="00D53DD4"/>
    <w:rsid w:val="00D549A9"/>
    <w:rsid w:val="00D549C3"/>
    <w:rsid w:val="00D54B01"/>
    <w:rsid w:val="00D54FFA"/>
    <w:rsid w:val="00D57101"/>
    <w:rsid w:val="00D57F5B"/>
    <w:rsid w:val="00D60153"/>
    <w:rsid w:val="00D60DC8"/>
    <w:rsid w:val="00D60F79"/>
    <w:rsid w:val="00D62CB6"/>
    <w:rsid w:val="00D633F7"/>
    <w:rsid w:val="00D636B4"/>
    <w:rsid w:val="00D636C6"/>
    <w:rsid w:val="00D64147"/>
    <w:rsid w:val="00D643C4"/>
    <w:rsid w:val="00D64DCA"/>
    <w:rsid w:val="00D65217"/>
    <w:rsid w:val="00D65999"/>
    <w:rsid w:val="00D67D84"/>
    <w:rsid w:val="00D7056E"/>
    <w:rsid w:val="00D71636"/>
    <w:rsid w:val="00D71770"/>
    <w:rsid w:val="00D729F8"/>
    <w:rsid w:val="00D73A25"/>
    <w:rsid w:val="00D74B3E"/>
    <w:rsid w:val="00D758AC"/>
    <w:rsid w:val="00D75ED2"/>
    <w:rsid w:val="00D7659A"/>
    <w:rsid w:val="00D770EA"/>
    <w:rsid w:val="00D77459"/>
    <w:rsid w:val="00D77951"/>
    <w:rsid w:val="00D80056"/>
    <w:rsid w:val="00D821A3"/>
    <w:rsid w:val="00D8265C"/>
    <w:rsid w:val="00D82AD2"/>
    <w:rsid w:val="00D83335"/>
    <w:rsid w:val="00D8346D"/>
    <w:rsid w:val="00D8479A"/>
    <w:rsid w:val="00D84831"/>
    <w:rsid w:val="00D84E75"/>
    <w:rsid w:val="00D85362"/>
    <w:rsid w:val="00D8619B"/>
    <w:rsid w:val="00D8669A"/>
    <w:rsid w:val="00D87719"/>
    <w:rsid w:val="00D9086D"/>
    <w:rsid w:val="00D918DE"/>
    <w:rsid w:val="00D91C2C"/>
    <w:rsid w:val="00D93798"/>
    <w:rsid w:val="00D944EE"/>
    <w:rsid w:val="00D94909"/>
    <w:rsid w:val="00D95CE5"/>
    <w:rsid w:val="00D96CB5"/>
    <w:rsid w:val="00D972E9"/>
    <w:rsid w:val="00D97808"/>
    <w:rsid w:val="00D97C85"/>
    <w:rsid w:val="00D97EA1"/>
    <w:rsid w:val="00DA048A"/>
    <w:rsid w:val="00DA0635"/>
    <w:rsid w:val="00DA0717"/>
    <w:rsid w:val="00DA07A2"/>
    <w:rsid w:val="00DA1E92"/>
    <w:rsid w:val="00DA2B1A"/>
    <w:rsid w:val="00DA2C2E"/>
    <w:rsid w:val="00DA2FB0"/>
    <w:rsid w:val="00DA33EC"/>
    <w:rsid w:val="00DA3B28"/>
    <w:rsid w:val="00DA3D34"/>
    <w:rsid w:val="00DA3FA3"/>
    <w:rsid w:val="00DA3FC8"/>
    <w:rsid w:val="00DA445B"/>
    <w:rsid w:val="00DA4479"/>
    <w:rsid w:val="00DA4A93"/>
    <w:rsid w:val="00DA66DE"/>
    <w:rsid w:val="00DA7231"/>
    <w:rsid w:val="00DA7988"/>
    <w:rsid w:val="00DB0F31"/>
    <w:rsid w:val="00DB104A"/>
    <w:rsid w:val="00DB40AB"/>
    <w:rsid w:val="00DB5018"/>
    <w:rsid w:val="00DB6886"/>
    <w:rsid w:val="00DB6F91"/>
    <w:rsid w:val="00DB6FBA"/>
    <w:rsid w:val="00DB753A"/>
    <w:rsid w:val="00DC0740"/>
    <w:rsid w:val="00DC0EF4"/>
    <w:rsid w:val="00DC1800"/>
    <w:rsid w:val="00DC2339"/>
    <w:rsid w:val="00DC2775"/>
    <w:rsid w:val="00DC2993"/>
    <w:rsid w:val="00DC42A2"/>
    <w:rsid w:val="00DC503E"/>
    <w:rsid w:val="00DC73B3"/>
    <w:rsid w:val="00DC7CF3"/>
    <w:rsid w:val="00DC7D18"/>
    <w:rsid w:val="00DC7ED6"/>
    <w:rsid w:val="00DD0B59"/>
    <w:rsid w:val="00DD1895"/>
    <w:rsid w:val="00DD195C"/>
    <w:rsid w:val="00DD2A1A"/>
    <w:rsid w:val="00DD302D"/>
    <w:rsid w:val="00DD3BBB"/>
    <w:rsid w:val="00DD3BED"/>
    <w:rsid w:val="00DD3E74"/>
    <w:rsid w:val="00DD415A"/>
    <w:rsid w:val="00DD6359"/>
    <w:rsid w:val="00DD6496"/>
    <w:rsid w:val="00DD6992"/>
    <w:rsid w:val="00DD6F19"/>
    <w:rsid w:val="00DD7430"/>
    <w:rsid w:val="00DD7587"/>
    <w:rsid w:val="00DD7FA2"/>
    <w:rsid w:val="00DE0247"/>
    <w:rsid w:val="00DE095C"/>
    <w:rsid w:val="00DE1B58"/>
    <w:rsid w:val="00DE1DC8"/>
    <w:rsid w:val="00DE1E87"/>
    <w:rsid w:val="00DE203F"/>
    <w:rsid w:val="00DE208B"/>
    <w:rsid w:val="00DE36A6"/>
    <w:rsid w:val="00DE414E"/>
    <w:rsid w:val="00DE478A"/>
    <w:rsid w:val="00DE5EAB"/>
    <w:rsid w:val="00DE68AA"/>
    <w:rsid w:val="00DE7569"/>
    <w:rsid w:val="00DF01E5"/>
    <w:rsid w:val="00DF0852"/>
    <w:rsid w:val="00DF0F6E"/>
    <w:rsid w:val="00DF1504"/>
    <w:rsid w:val="00DF16B5"/>
    <w:rsid w:val="00DF1969"/>
    <w:rsid w:val="00DF2BEE"/>
    <w:rsid w:val="00DF3838"/>
    <w:rsid w:val="00DF410B"/>
    <w:rsid w:val="00DF4A49"/>
    <w:rsid w:val="00DF5765"/>
    <w:rsid w:val="00DF5E20"/>
    <w:rsid w:val="00DF67B4"/>
    <w:rsid w:val="00DF68B9"/>
    <w:rsid w:val="00E00D32"/>
    <w:rsid w:val="00E00DB3"/>
    <w:rsid w:val="00E0202B"/>
    <w:rsid w:val="00E0239B"/>
    <w:rsid w:val="00E02461"/>
    <w:rsid w:val="00E02D18"/>
    <w:rsid w:val="00E03BC4"/>
    <w:rsid w:val="00E03FD9"/>
    <w:rsid w:val="00E04C10"/>
    <w:rsid w:val="00E04D04"/>
    <w:rsid w:val="00E05273"/>
    <w:rsid w:val="00E06498"/>
    <w:rsid w:val="00E06827"/>
    <w:rsid w:val="00E0785D"/>
    <w:rsid w:val="00E108C1"/>
    <w:rsid w:val="00E12C47"/>
    <w:rsid w:val="00E1464C"/>
    <w:rsid w:val="00E14D17"/>
    <w:rsid w:val="00E15E0D"/>
    <w:rsid w:val="00E17342"/>
    <w:rsid w:val="00E17E35"/>
    <w:rsid w:val="00E20342"/>
    <w:rsid w:val="00E20E41"/>
    <w:rsid w:val="00E21136"/>
    <w:rsid w:val="00E21424"/>
    <w:rsid w:val="00E2278D"/>
    <w:rsid w:val="00E22E69"/>
    <w:rsid w:val="00E23395"/>
    <w:rsid w:val="00E24464"/>
    <w:rsid w:val="00E24B28"/>
    <w:rsid w:val="00E24F02"/>
    <w:rsid w:val="00E25638"/>
    <w:rsid w:val="00E25B1C"/>
    <w:rsid w:val="00E25C28"/>
    <w:rsid w:val="00E25D20"/>
    <w:rsid w:val="00E25FB3"/>
    <w:rsid w:val="00E26D4A"/>
    <w:rsid w:val="00E2732B"/>
    <w:rsid w:val="00E30A30"/>
    <w:rsid w:val="00E30B00"/>
    <w:rsid w:val="00E31324"/>
    <w:rsid w:val="00E32A59"/>
    <w:rsid w:val="00E338E1"/>
    <w:rsid w:val="00E33BBD"/>
    <w:rsid w:val="00E34978"/>
    <w:rsid w:val="00E34F7E"/>
    <w:rsid w:val="00E351CD"/>
    <w:rsid w:val="00E354EC"/>
    <w:rsid w:val="00E35B77"/>
    <w:rsid w:val="00E40051"/>
    <w:rsid w:val="00E4161C"/>
    <w:rsid w:val="00E41B9E"/>
    <w:rsid w:val="00E436C8"/>
    <w:rsid w:val="00E43DE0"/>
    <w:rsid w:val="00E4449F"/>
    <w:rsid w:val="00E44587"/>
    <w:rsid w:val="00E45383"/>
    <w:rsid w:val="00E462A1"/>
    <w:rsid w:val="00E464BC"/>
    <w:rsid w:val="00E465D5"/>
    <w:rsid w:val="00E46662"/>
    <w:rsid w:val="00E47535"/>
    <w:rsid w:val="00E47AEA"/>
    <w:rsid w:val="00E514F7"/>
    <w:rsid w:val="00E51FE7"/>
    <w:rsid w:val="00E5233E"/>
    <w:rsid w:val="00E52681"/>
    <w:rsid w:val="00E53223"/>
    <w:rsid w:val="00E53D90"/>
    <w:rsid w:val="00E53DD3"/>
    <w:rsid w:val="00E545AC"/>
    <w:rsid w:val="00E54AD1"/>
    <w:rsid w:val="00E5617F"/>
    <w:rsid w:val="00E56CBB"/>
    <w:rsid w:val="00E570F1"/>
    <w:rsid w:val="00E57407"/>
    <w:rsid w:val="00E57763"/>
    <w:rsid w:val="00E577C9"/>
    <w:rsid w:val="00E60814"/>
    <w:rsid w:val="00E60F86"/>
    <w:rsid w:val="00E611F4"/>
    <w:rsid w:val="00E61998"/>
    <w:rsid w:val="00E61C89"/>
    <w:rsid w:val="00E62C1D"/>
    <w:rsid w:val="00E62C72"/>
    <w:rsid w:val="00E63513"/>
    <w:rsid w:val="00E63519"/>
    <w:rsid w:val="00E63D9D"/>
    <w:rsid w:val="00E63DDE"/>
    <w:rsid w:val="00E64F02"/>
    <w:rsid w:val="00E64F67"/>
    <w:rsid w:val="00E654A1"/>
    <w:rsid w:val="00E655AC"/>
    <w:rsid w:val="00E6631C"/>
    <w:rsid w:val="00E70615"/>
    <w:rsid w:val="00E7183C"/>
    <w:rsid w:val="00E71A6E"/>
    <w:rsid w:val="00E737E0"/>
    <w:rsid w:val="00E73F6E"/>
    <w:rsid w:val="00E74BCB"/>
    <w:rsid w:val="00E766A7"/>
    <w:rsid w:val="00E77025"/>
    <w:rsid w:val="00E773D7"/>
    <w:rsid w:val="00E77A1B"/>
    <w:rsid w:val="00E808CD"/>
    <w:rsid w:val="00E81291"/>
    <w:rsid w:val="00E812A3"/>
    <w:rsid w:val="00E813AF"/>
    <w:rsid w:val="00E8181C"/>
    <w:rsid w:val="00E833A0"/>
    <w:rsid w:val="00E84476"/>
    <w:rsid w:val="00E85775"/>
    <w:rsid w:val="00E85784"/>
    <w:rsid w:val="00E85A09"/>
    <w:rsid w:val="00E861E2"/>
    <w:rsid w:val="00E87DB8"/>
    <w:rsid w:val="00E87E65"/>
    <w:rsid w:val="00E87FE5"/>
    <w:rsid w:val="00E87FED"/>
    <w:rsid w:val="00E91377"/>
    <w:rsid w:val="00E91EE4"/>
    <w:rsid w:val="00E91FA7"/>
    <w:rsid w:val="00E928C6"/>
    <w:rsid w:val="00E92A68"/>
    <w:rsid w:val="00E9346F"/>
    <w:rsid w:val="00E940CB"/>
    <w:rsid w:val="00E9436D"/>
    <w:rsid w:val="00E944C2"/>
    <w:rsid w:val="00E9499D"/>
    <w:rsid w:val="00E94EC6"/>
    <w:rsid w:val="00E95299"/>
    <w:rsid w:val="00E95A78"/>
    <w:rsid w:val="00E96735"/>
    <w:rsid w:val="00E979A4"/>
    <w:rsid w:val="00EA0A09"/>
    <w:rsid w:val="00EA1327"/>
    <w:rsid w:val="00EA1442"/>
    <w:rsid w:val="00EA1C55"/>
    <w:rsid w:val="00EA1E08"/>
    <w:rsid w:val="00EA2619"/>
    <w:rsid w:val="00EA26FD"/>
    <w:rsid w:val="00EA28D0"/>
    <w:rsid w:val="00EA2B61"/>
    <w:rsid w:val="00EA3F55"/>
    <w:rsid w:val="00EA598C"/>
    <w:rsid w:val="00EA72FD"/>
    <w:rsid w:val="00EA75B0"/>
    <w:rsid w:val="00EA7ECE"/>
    <w:rsid w:val="00EB206F"/>
    <w:rsid w:val="00EB21F9"/>
    <w:rsid w:val="00EB2211"/>
    <w:rsid w:val="00EB3382"/>
    <w:rsid w:val="00EB479E"/>
    <w:rsid w:val="00EB48CA"/>
    <w:rsid w:val="00EB523F"/>
    <w:rsid w:val="00EB61AD"/>
    <w:rsid w:val="00EB624C"/>
    <w:rsid w:val="00EB6823"/>
    <w:rsid w:val="00EB69FD"/>
    <w:rsid w:val="00EB6B1E"/>
    <w:rsid w:val="00EB71FD"/>
    <w:rsid w:val="00EC0AF5"/>
    <w:rsid w:val="00EC0C12"/>
    <w:rsid w:val="00EC1266"/>
    <w:rsid w:val="00EC13BE"/>
    <w:rsid w:val="00EC1B95"/>
    <w:rsid w:val="00EC2246"/>
    <w:rsid w:val="00EC32FB"/>
    <w:rsid w:val="00EC4EAA"/>
    <w:rsid w:val="00EC4F58"/>
    <w:rsid w:val="00EC5CFA"/>
    <w:rsid w:val="00EC6176"/>
    <w:rsid w:val="00EC6477"/>
    <w:rsid w:val="00EC6B35"/>
    <w:rsid w:val="00EC6BEF"/>
    <w:rsid w:val="00EC70B6"/>
    <w:rsid w:val="00EC740E"/>
    <w:rsid w:val="00EC7E06"/>
    <w:rsid w:val="00ED05A5"/>
    <w:rsid w:val="00ED0CF4"/>
    <w:rsid w:val="00ED15F3"/>
    <w:rsid w:val="00ED1A97"/>
    <w:rsid w:val="00ED1E03"/>
    <w:rsid w:val="00ED2357"/>
    <w:rsid w:val="00ED3006"/>
    <w:rsid w:val="00ED38FD"/>
    <w:rsid w:val="00ED416B"/>
    <w:rsid w:val="00ED5177"/>
    <w:rsid w:val="00ED522B"/>
    <w:rsid w:val="00ED5D62"/>
    <w:rsid w:val="00ED5F5A"/>
    <w:rsid w:val="00EE0102"/>
    <w:rsid w:val="00EE06CB"/>
    <w:rsid w:val="00EE0878"/>
    <w:rsid w:val="00EE1A81"/>
    <w:rsid w:val="00EE33C9"/>
    <w:rsid w:val="00EE3456"/>
    <w:rsid w:val="00EE3D9A"/>
    <w:rsid w:val="00EE4063"/>
    <w:rsid w:val="00EE443A"/>
    <w:rsid w:val="00EE4576"/>
    <w:rsid w:val="00EE4F99"/>
    <w:rsid w:val="00EE54A9"/>
    <w:rsid w:val="00EE5C84"/>
    <w:rsid w:val="00EE62A2"/>
    <w:rsid w:val="00EE6DA3"/>
    <w:rsid w:val="00EE7031"/>
    <w:rsid w:val="00EE71D9"/>
    <w:rsid w:val="00EE79A6"/>
    <w:rsid w:val="00EE7A08"/>
    <w:rsid w:val="00EF0EC6"/>
    <w:rsid w:val="00EF0F8F"/>
    <w:rsid w:val="00EF11C5"/>
    <w:rsid w:val="00EF1286"/>
    <w:rsid w:val="00EF1CDE"/>
    <w:rsid w:val="00EF1EA1"/>
    <w:rsid w:val="00EF2466"/>
    <w:rsid w:val="00EF2ADF"/>
    <w:rsid w:val="00EF2D53"/>
    <w:rsid w:val="00EF31E9"/>
    <w:rsid w:val="00EF3CE2"/>
    <w:rsid w:val="00EF3E7F"/>
    <w:rsid w:val="00EF4245"/>
    <w:rsid w:val="00EF4260"/>
    <w:rsid w:val="00EF6093"/>
    <w:rsid w:val="00EF707A"/>
    <w:rsid w:val="00EF76A1"/>
    <w:rsid w:val="00EF7908"/>
    <w:rsid w:val="00F01077"/>
    <w:rsid w:val="00F0126C"/>
    <w:rsid w:val="00F02A7B"/>
    <w:rsid w:val="00F030E8"/>
    <w:rsid w:val="00F03441"/>
    <w:rsid w:val="00F036BA"/>
    <w:rsid w:val="00F04290"/>
    <w:rsid w:val="00F0431B"/>
    <w:rsid w:val="00F04C86"/>
    <w:rsid w:val="00F05214"/>
    <w:rsid w:val="00F057A6"/>
    <w:rsid w:val="00F05850"/>
    <w:rsid w:val="00F1033C"/>
    <w:rsid w:val="00F114D3"/>
    <w:rsid w:val="00F11D8C"/>
    <w:rsid w:val="00F1260B"/>
    <w:rsid w:val="00F12D2B"/>
    <w:rsid w:val="00F12DFF"/>
    <w:rsid w:val="00F15CE1"/>
    <w:rsid w:val="00F1620C"/>
    <w:rsid w:val="00F169D2"/>
    <w:rsid w:val="00F16B78"/>
    <w:rsid w:val="00F16DE6"/>
    <w:rsid w:val="00F203EC"/>
    <w:rsid w:val="00F206DC"/>
    <w:rsid w:val="00F22AAB"/>
    <w:rsid w:val="00F22C7C"/>
    <w:rsid w:val="00F22E7A"/>
    <w:rsid w:val="00F234F6"/>
    <w:rsid w:val="00F239CA"/>
    <w:rsid w:val="00F23EA7"/>
    <w:rsid w:val="00F24172"/>
    <w:rsid w:val="00F2494C"/>
    <w:rsid w:val="00F251B3"/>
    <w:rsid w:val="00F257B6"/>
    <w:rsid w:val="00F26042"/>
    <w:rsid w:val="00F265D4"/>
    <w:rsid w:val="00F272BE"/>
    <w:rsid w:val="00F27C3E"/>
    <w:rsid w:val="00F3016D"/>
    <w:rsid w:val="00F3071E"/>
    <w:rsid w:val="00F315AC"/>
    <w:rsid w:val="00F3165A"/>
    <w:rsid w:val="00F33A86"/>
    <w:rsid w:val="00F33D35"/>
    <w:rsid w:val="00F33D7B"/>
    <w:rsid w:val="00F34051"/>
    <w:rsid w:val="00F34D8F"/>
    <w:rsid w:val="00F34E02"/>
    <w:rsid w:val="00F34E10"/>
    <w:rsid w:val="00F3667B"/>
    <w:rsid w:val="00F400E5"/>
    <w:rsid w:val="00F401ED"/>
    <w:rsid w:val="00F40AE1"/>
    <w:rsid w:val="00F40DBC"/>
    <w:rsid w:val="00F40F61"/>
    <w:rsid w:val="00F41401"/>
    <w:rsid w:val="00F41E8D"/>
    <w:rsid w:val="00F42D52"/>
    <w:rsid w:val="00F43357"/>
    <w:rsid w:val="00F437A0"/>
    <w:rsid w:val="00F446A9"/>
    <w:rsid w:val="00F4487E"/>
    <w:rsid w:val="00F452B0"/>
    <w:rsid w:val="00F45B52"/>
    <w:rsid w:val="00F46866"/>
    <w:rsid w:val="00F47436"/>
    <w:rsid w:val="00F4758B"/>
    <w:rsid w:val="00F47E85"/>
    <w:rsid w:val="00F50652"/>
    <w:rsid w:val="00F51FBF"/>
    <w:rsid w:val="00F52B7E"/>
    <w:rsid w:val="00F52C2E"/>
    <w:rsid w:val="00F53A45"/>
    <w:rsid w:val="00F547A0"/>
    <w:rsid w:val="00F54BBB"/>
    <w:rsid w:val="00F55687"/>
    <w:rsid w:val="00F576A6"/>
    <w:rsid w:val="00F57867"/>
    <w:rsid w:val="00F57895"/>
    <w:rsid w:val="00F60F24"/>
    <w:rsid w:val="00F6123C"/>
    <w:rsid w:val="00F61544"/>
    <w:rsid w:val="00F62587"/>
    <w:rsid w:val="00F62596"/>
    <w:rsid w:val="00F63821"/>
    <w:rsid w:val="00F63A92"/>
    <w:rsid w:val="00F63E95"/>
    <w:rsid w:val="00F640AB"/>
    <w:rsid w:val="00F6465F"/>
    <w:rsid w:val="00F64FC8"/>
    <w:rsid w:val="00F65044"/>
    <w:rsid w:val="00F65DA1"/>
    <w:rsid w:val="00F66C93"/>
    <w:rsid w:val="00F671A9"/>
    <w:rsid w:val="00F6730D"/>
    <w:rsid w:val="00F67371"/>
    <w:rsid w:val="00F675B1"/>
    <w:rsid w:val="00F676F0"/>
    <w:rsid w:val="00F67E69"/>
    <w:rsid w:val="00F715AD"/>
    <w:rsid w:val="00F72415"/>
    <w:rsid w:val="00F7271B"/>
    <w:rsid w:val="00F72C07"/>
    <w:rsid w:val="00F74A2B"/>
    <w:rsid w:val="00F77CB7"/>
    <w:rsid w:val="00F80127"/>
    <w:rsid w:val="00F8054F"/>
    <w:rsid w:val="00F80E96"/>
    <w:rsid w:val="00F818CE"/>
    <w:rsid w:val="00F8247F"/>
    <w:rsid w:val="00F84127"/>
    <w:rsid w:val="00F841D0"/>
    <w:rsid w:val="00F852F9"/>
    <w:rsid w:val="00F856BE"/>
    <w:rsid w:val="00F867F0"/>
    <w:rsid w:val="00F87299"/>
    <w:rsid w:val="00F87983"/>
    <w:rsid w:val="00F90431"/>
    <w:rsid w:val="00F90B99"/>
    <w:rsid w:val="00F90C3B"/>
    <w:rsid w:val="00F90F84"/>
    <w:rsid w:val="00F914E0"/>
    <w:rsid w:val="00F92247"/>
    <w:rsid w:val="00F9237C"/>
    <w:rsid w:val="00F923AB"/>
    <w:rsid w:val="00F92F27"/>
    <w:rsid w:val="00F93053"/>
    <w:rsid w:val="00F93114"/>
    <w:rsid w:val="00F93B09"/>
    <w:rsid w:val="00F94837"/>
    <w:rsid w:val="00F950B8"/>
    <w:rsid w:val="00F9647E"/>
    <w:rsid w:val="00F97D54"/>
    <w:rsid w:val="00FA02BA"/>
    <w:rsid w:val="00FA07F4"/>
    <w:rsid w:val="00FA0C37"/>
    <w:rsid w:val="00FA0CCC"/>
    <w:rsid w:val="00FA0E31"/>
    <w:rsid w:val="00FA18E1"/>
    <w:rsid w:val="00FA1B67"/>
    <w:rsid w:val="00FA202E"/>
    <w:rsid w:val="00FA222F"/>
    <w:rsid w:val="00FA30F7"/>
    <w:rsid w:val="00FA330E"/>
    <w:rsid w:val="00FA4150"/>
    <w:rsid w:val="00FA777E"/>
    <w:rsid w:val="00FA7C82"/>
    <w:rsid w:val="00FB06F9"/>
    <w:rsid w:val="00FB0D00"/>
    <w:rsid w:val="00FB0DF9"/>
    <w:rsid w:val="00FB1259"/>
    <w:rsid w:val="00FB12C6"/>
    <w:rsid w:val="00FB16CB"/>
    <w:rsid w:val="00FB1A07"/>
    <w:rsid w:val="00FB2776"/>
    <w:rsid w:val="00FB38BA"/>
    <w:rsid w:val="00FB3E30"/>
    <w:rsid w:val="00FB4092"/>
    <w:rsid w:val="00FB4430"/>
    <w:rsid w:val="00FB4D8A"/>
    <w:rsid w:val="00FB55B9"/>
    <w:rsid w:val="00FB62FE"/>
    <w:rsid w:val="00FB6430"/>
    <w:rsid w:val="00FB6DFC"/>
    <w:rsid w:val="00FB76A7"/>
    <w:rsid w:val="00FB78CA"/>
    <w:rsid w:val="00FC0433"/>
    <w:rsid w:val="00FC0744"/>
    <w:rsid w:val="00FC0A7B"/>
    <w:rsid w:val="00FC1522"/>
    <w:rsid w:val="00FC1C43"/>
    <w:rsid w:val="00FC1ECF"/>
    <w:rsid w:val="00FC1F53"/>
    <w:rsid w:val="00FC209C"/>
    <w:rsid w:val="00FC280D"/>
    <w:rsid w:val="00FC3A63"/>
    <w:rsid w:val="00FC431A"/>
    <w:rsid w:val="00FC57B7"/>
    <w:rsid w:val="00FC5AF7"/>
    <w:rsid w:val="00FC5F97"/>
    <w:rsid w:val="00FC5FED"/>
    <w:rsid w:val="00FC65A2"/>
    <w:rsid w:val="00FC6F66"/>
    <w:rsid w:val="00FC7325"/>
    <w:rsid w:val="00FC76E5"/>
    <w:rsid w:val="00FD0965"/>
    <w:rsid w:val="00FD0B65"/>
    <w:rsid w:val="00FD0F0A"/>
    <w:rsid w:val="00FD1439"/>
    <w:rsid w:val="00FD28BB"/>
    <w:rsid w:val="00FD2E79"/>
    <w:rsid w:val="00FD2FFE"/>
    <w:rsid w:val="00FD3863"/>
    <w:rsid w:val="00FD3AE9"/>
    <w:rsid w:val="00FD401B"/>
    <w:rsid w:val="00FD5178"/>
    <w:rsid w:val="00FD6ECD"/>
    <w:rsid w:val="00FD74B3"/>
    <w:rsid w:val="00FD74BB"/>
    <w:rsid w:val="00FD7FB4"/>
    <w:rsid w:val="00FE090A"/>
    <w:rsid w:val="00FE0C84"/>
    <w:rsid w:val="00FE15D2"/>
    <w:rsid w:val="00FE1EDA"/>
    <w:rsid w:val="00FE1FA8"/>
    <w:rsid w:val="00FE23C2"/>
    <w:rsid w:val="00FE2A99"/>
    <w:rsid w:val="00FE303B"/>
    <w:rsid w:val="00FE3105"/>
    <w:rsid w:val="00FE32D4"/>
    <w:rsid w:val="00FE38A1"/>
    <w:rsid w:val="00FE43FC"/>
    <w:rsid w:val="00FE52D6"/>
    <w:rsid w:val="00FE57ED"/>
    <w:rsid w:val="00FE5FD1"/>
    <w:rsid w:val="00FE609D"/>
    <w:rsid w:val="00FE6137"/>
    <w:rsid w:val="00FE7044"/>
    <w:rsid w:val="00FE7155"/>
    <w:rsid w:val="00FF139D"/>
    <w:rsid w:val="00FF19F1"/>
    <w:rsid w:val="00FF22EF"/>
    <w:rsid w:val="00FF26D0"/>
    <w:rsid w:val="00FF2A7E"/>
    <w:rsid w:val="00FF301F"/>
    <w:rsid w:val="00FF4102"/>
    <w:rsid w:val="00FF4FF2"/>
    <w:rsid w:val="00FF59D0"/>
    <w:rsid w:val="00FF6305"/>
    <w:rsid w:val="00FF664E"/>
    <w:rsid w:val="00FF6A0C"/>
    <w:rsid w:val="00FF72F1"/>
    <w:rsid w:val="00FF783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2A434"/>
  <w15:chartTrackingRefBased/>
  <w15:docId w15:val="{1CCC1460-1E74-4220-8051-A8E71375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CF8"/>
    <w:pPr>
      <w:spacing w:after="120" w:line="360" w:lineRule="auto"/>
    </w:pPr>
    <w:rPr>
      <w:rFonts w:asciiTheme="majorBidi" w:hAnsiTheme="majorBidi"/>
      <w:sz w:val="24"/>
    </w:rPr>
  </w:style>
  <w:style w:type="paragraph" w:styleId="Heading1">
    <w:name w:val="heading 1"/>
    <w:basedOn w:val="Normal"/>
    <w:next w:val="Normal"/>
    <w:link w:val="Heading1Char"/>
    <w:uiPriority w:val="9"/>
    <w:qFormat/>
    <w:rsid w:val="00C93CF8"/>
    <w:pPr>
      <w:keepNext/>
      <w:keepLines/>
      <w:spacing w:before="240" w:after="240"/>
      <w:jc w:val="center"/>
      <w:outlineLvl w:val="0"/>
    </w:pPr>
    <w:rPr>
      <w:rFonts w:eastAsiaTheme="majorEastAsia" w:cstheme="majorBidi"/>
      <w:i/>
      <w:color w:val="000000" w:themeColor="text1"/>
      <w:sz w:val="28"/>
      <w:szCs w:val="32"/>
    </w:rPr>
  </w:style>
  <w:style w:type="paragraph" w:styleId="Heading2">
    <w:name w:val="heading 2"/>
    <w:basedOn w:val="Normal"/>
    <w:next w:val="Normal"/>
    <w:link w:val="Heading2Char"/>
    <w:uiPriority w:val="9"/>
    <w:unhideWhenUsed/>
    <w:qFormat/>
    <w:rsid w:val="00C93CF8"/>
    <w:pPr>
      <w:keepNext/>
      <w:keepLines/>
      <w:numPr>
        <w:numId w:val="39"/>
      </w:numPr>
      <w:spacing w:before="40"/>
      <w:outlineLvl w:val="1"/>
    </w:pPr>
    <w:rPr>
      <w:rFonts w:eastAsiaTheme="majorEastAsia" w:cstheme="majorBidi"/>
      <w:i/>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AB1CFE"/>
    <w:rPr>
      <w:vertAlign w:val="superscript"/>
    </w:rPr>
  </w:style>
  <w:style w:type="character" w:customStyle="1" w:styleId="Hyperlink1">
    <w:name w:val="Hyperlink1"/>
    <w:basedOn w:val="DefaultParagraphFont"/>
    <w:uiPriority w:val="99"/>
    <w:unhideWhenUsed/>
    <w:rsid w:val="000A7100"/>
    <w:rPr>
      <w:color w:val="0563C1"/>
      <w:u w:val="single"/>
    </w:rPr>
  </w:style>
  <w:style w:type="paragraph" w:styleId="FootnoteText">
    <w:name w:val="footnote text"/>
    <w:basedOn w:val="Normal"/>
    <w:link w:val="FootnoteTextChar"/>
    <w:uiPriority w:val="99"/>
    <w:unhideWhenUsed/>
    <w:rsid w:val="000A710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0A7100"/>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0A7100"/>
    <w:rPr>
      <w:color w:val="0563C1" w:themeColor="hyperlink"/>
      <w:u w:val="single"/>
    </w:rPr>
  </w:style>
  <w:style w:type="character" w:styleId="CommentReference">
    <w:name w:val="annotation reference"/>
    <w:basedOn w:val="DefaultParagraphFont"/>
    <w:uiPriority w:val="99"/>
    <w:semiHidden/>
    <w:unhideWhenUsed/>
    <w:rsid w:val="002A54F6"/>
    <w:rPr>
      <w:sz w:val="16"/>
      <w:szCs w:val="16"/>
    </w:rPr>
  </w:style>
  <w:style w:type="paragraph" w:styleId="CommentText">
    <w:name w:val="annotation text"/>
    <w:basedOn w:val="Normal"/>
    <w:link w:val="CommentTextChar"/>
    <w:uiPriority w:val="99"/>
    <w:unhideWhenUsed/>
    <w:rsid w:val="002A54F6"/>
    <w:pPr>
      <w:spacing w:line="240" w:lineRule="auto"/>
    </w:pPr>
    <w:rPr>
      <w:sz w:val="20"/>
      <w:szCs w:val="20"/>
    </w:rPr>
  </w:style>
  <w:style w:type="character" w:customStyle="1" w:styleId="CommentTextChar">
    <w:name w:val="Comment Text Char"/>
    <w:basedOn w:val="DefaultParagraphFont"/>
    <w:link w:val="CommentText"/>
    <w:uiPriority w:val="99"/>
    <w:rsid w:val="002A54F6"/>
    <w:rPr>
      <w:sz w:val="20"/>
      <w:szCs w:val="20"/>
    </w:rPr>
  </w:style>
  <w:style w:type="paragraph" w:styleId="CommentSubject">
    <w:name w:val="annotation subject"/>
    <w:basedOn w:val="CommentText"/>
    <w:next w:val="CommentText"/>
    <w:link w:val="CommentSubjectChar"/>
    <w:uiPriority w:val="99"/>
    <w:semiHidden/>
    <w:unhideWhenUsed/>
    <w:rsid w:val="002A54F6"/>
    <w:rPr>
      <w:b/>
      <w:bCs/>
    </w:rPr>
  </w:style>
  <w:style w:type="character" w:customStyle="1" w:styleId="CommentSubjectChar">
    <w:name w:val="Comment Subject Char"/>
    <w:basedOn w:val="CommentTextChar"/>
    <w:link w:val="CommentSubject"/>
    <w:uiPriority w:val="99"/>
    <w:semiHidden/>
    <w:rsid w:val="002A54F6"/>
    <w:rPr>
      <w:b/>
      <w:bCs/>
      <w:sz w:val="20"/>
      <w:szCs w:val="20"/>
    </w:rPr>
  </w:style>
  <w:style w:type="paragraph" w:styleId="BalloonText">
    <w:name w:val="Balloon Text"/>
    <w:basedOn w:val="Normal"/>
    <w:link w:val="BalloonTextChar"/>
    <w:uiPriority w:val="99"/>
    <w:semiHidden/>
    <w:unhideWhenUsed/>
    <w:rsid w:val="002A5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4F6"/>
    <w:rPr>
      <w:rFonts w:ascii="Segoe UI" w:hAnsi="Segoe UI" w:cs="Segoe UI"/>
      <w:sz w:val="18"/>
      <w:szCs w:val="18"/>
    </w:rPr>
  </w:style>
  <w:style w:type="paragraph" w:styleId="ListParagraph">
    <w:name w:val="List Paragraph"/>
    <w:basedOn w:val="Normal"/>
    <w:uiPriority w:val="34"/>
    <w:qFormat/>
    <w:rsid w:val="009D3F67"/>
    <w:pPr>
      <w:ind w:left="720"/>
      <w:contextualSpacing/>
    </w:pPr>
  </w:style>
  <w:style w:type="character" w:customStyle="1" w:styleId="UnresolvedMention1">
    <w:name w:val="Unresolved Mention1"/>
    <w:basedOn w:val="DefaultParagraphFont"/>
    <w:uiPriority w:val="99"/>
    <w:semiHidden/>
    <w:unhideWhenUsed/>
    <w:rsid w:val="00D87719"/>
    <w:rPr>
      <w:color w:val="605E5C"/>
      <w:shd w:val="clear" w:color="auto" w:fill="E1DFDD"/>
    </w:rPr>
  </w:style>
  <w:style w:type="paragraph" w:customStyle="1" w:styleId="c01pointaltn">
    <w:name w:val="c01pointaltn"/>
    <w:basedOn w:val="Normal"/>
    <w:rsid w:val="002E6D3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lmyear">
    <w:name w:val="nlm_year"/>
    <w:basedOn w:val="DefaultParagraphFont"/>
    <w:rsid w:val="000337A2"/>
  </w:style>
  <w:style w:type="character" w:customStyle="1" w:styleId="nlmarticle-title">
    <w:name w:val="nlm_article-title"/>
    <w:basedOn w:val="DefaultParagraphFont"/>
    <w:rsid w:val="000337A2"/>
  </w:style>
  <w:style w:type="paragraph" w:styleId="Revision">
    <w:name w:val="Revision"/>
    <w:hidden/>
    <w:uiPriority w:val="99"/>
    <w:semiHidden/>
    <w:rsid w:val="00140AD0"/>
    <w:pPr>
      <w:spacing w:after="0" w:line="240" w:lineRule="auto"/>
    </w:pPr>
  </w:style>
  <w:style w:type="paragraph" w:styleId="Header">
    <w:name w:val="header"/>
    <w:basedOn w:val="Normal"/>
    <w:link w:val="HeaderChar"/>
    <w:uiPriority w:val="99"/>
    <w:unhideWhenUsed/>
    <w:rsid w:val="004C2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EB5"/>
  </w:style>
  <w:style w:type="paragraph" w:styleId="Footer">
    <w:name w:val="footer"/>
    <w:basedOn w:val="Normal"/>
    <w:link w:val="FooterChar"/>
    <w:uiPriority w:val="99"/>
    <w:unhideWhenUsed/>
    <w:rsid w:val="004C2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EB5"/>
  </w:style>
  <w:style w:type="character" w:customStyle="1" w:styleId="UnresolvedMention2">
    <w:name w:val="Unresolved Mention2"/>
    <w:basedOn w:val="DefaultParagraphFont"/>
    <w:uiPriority w:val="99"/>
    <w:semiHidden/>
    <w:unhideWhenUsed/>
    <w:rsid w:val="00250889"/>
    <w:rPr>
      <w:color w:val="605E5C"/>
      <w:shd w:val="clear" w:color="auto" w:fill="E1DFDD"/>
    </w:rPr>
  </w:style>
  <w:style w:type="character" w:styleId="Emphasis">
    <w:name w:val="Emphasis"/>
    <w:basedOn w:val="DefaultParagraphFont"/>
    <w:uiPriority w:val="20"/>
    <w:qFormat/>
    <w:rsid w:val="00AF2927"/>
    <w:rPr>
      <w:i/>
      <w:iCs/>
    </w:rPr>
  </w:style>
  <w:style w:type="character" w:customStyle="1" w:styleId="doclinkwrapper">
    <w:name w:val="doclinkwrapper"/>
    <w:basedOn w:val="DefaultParagraphFont"/>
    <w:rsid w:val="00AF2927"/>
  </w:style>
  <w:style w:type="paragraph" w:styleId="NormalWeb">
    <w:name w:val="Normal (Web)"/>
    <w:basedOn w:val="Normal"/>
    <w:uiPriority w:val="99"/>
    <w:semiHidden/>
    <w:unhideWhenUsed/>
    <w:rsid w:val="000A315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8F7E6B"/>
    <w:rPr>
      <w:color w:val="605E5C"/>
      <w:shd w:val="clear" w:color="auto" w:fill="E1DFDD"/>
    </w:rPr>
  </w:style>
  <w:style w:type="character" w:styleId="FollowedHyperlink">
    <w:name w:val="FollowedHyperlink"/>
    <w:basedOn w:val="DefaultParagraphFont"/>
    <w:uiPriority w:val="99"/>
    <w:semiHidden/>
    <w:unhideWhenUsed/>
    <w:rsid w:val="00A46100"/>
    <w:rPr>
      <w:color w:val="954F72" w:themeColor="followedHyperlink"/>
      <w:u w:val="single"/>
    </w:rPr>
  </w:style>
  <w:style w:type="character" w:customStyle="1" w:styleId="Heading1Char">
    <w:name w:val="Heading 1 Char"/>
    <w:basedOn w:val="DefaultParagraphFont"/>
    <w:link w:val="Heading1"/>
    <w:uiPriority w:val="9"/>
    <w:rsid w:val="00BA4366"/>
    <w:rPr>
      <w:rFonts w:asciiTheme="majorBidi" w:eastAsiaTheme="majorEastAsia" w:hAnsiTheme="majorBidi" w:cstheme="majorBidi"/>
      <w:i/>
      <w:color w:val="000000" w:themeColor="text1"/>
      <w:sz w:val="28"/>
      <w:szCs w:val="32"/>
    </w:rPr>
  </w:style>
  <w:style w:type="character" w:customStyle="1" w:styleId="Heading2Char">
    <w:name w:val="Heading 2 Char"/>
    <w:basedOn w:val="DefaultParagraphFont"/>
    <w:link w:val="Heading2"/>
    <w:uiPriority w:val="9"/>
    <w:rsid w:val="00BA4366"/>
    <w:rPr>
      <w:rFonts w:asciiTheme="majorBidi" w:eastAsiaTheme="majorEastAsia" w:hAnsiTheme="majorBidi" w:cstheme="majorBidi"/>
      <w:i/>
      <w:color w:val="000000" w:themeColor="text1"/>
      <w:sz w:val="24"/>
      <w:szCs w:val="26"/>
    </w:rPr>
  </w:style>
  <w:style w:type="table" w:styleId="TableGrid">
    <w:name w:val="Table Grid"/>
    <w:basedOn w:val="TableNormal"/>
    <w:uiPriority w:val="39"/>
    <w:rsid w:val="00E46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lnk">
    <w:name w:val="ref-lnk"/>
    <w:basedOn w:val="DefaultParagraphFont"/>
    <w:rsid w:val="00703D7A"/>
  </w:style>
  <w:style w:type="character" w:customStyle="1" w:styleId="off-screen">
    <w:name w:val="off-screen"/>
    <w:basedOn w:val="DefaultParagraphFont"/>
    <w:rsid w:val="00703D7A"/>
  </w:style>
  <w:style w:type="paragraph" w:customStyle="1" w:styleId="whitespace-pre-wrap">
    <w:name w:val="whitespace-pre-wrap"/>
    <w:basedOn w:val="Normal"/>
    <w:rsid w:val="003E7BDD"/>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whitespace-normal">
    <w:name w:val="whitespace-normal"/>
    <w:basedOn w:val="Normal"/>
    <w:rsid w:val="003E7BDD"/>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3E7BDD"/>
    <w:rPr>
      <w:b/>
      <w:bCs/>
    </w:rPr>
  </w:style>
  <w:style w:type="paragraph" w:styleId="Caption">
    <w:name w:val="caption"/>
    <w:basedOn w:val="Normal"/>
    <w:next w:val="Normal"/>
    <w:uiPriority w:val="35"/>
    <w:unhideWhenUsed/>
    <w:qFormat/>
    <w:rsid w:val="0002070E"/>
    <w:pPr>
      <w:spacing w:after="200" w:line="240" w:lineRule="auto"/>
    </w:pPr>
    <w:rPr>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984">
      <w:bodyDiv w:val="1"/>
      <w:marLeft w:val="0"/>
      <w:marRight w:val="0"/>
      <w:marTop w:val="0"/>
      <w:marBottom w:val="0"/>
      <w:divBdr>
        <w:top w:val="none" w:sz="0" w:space="0" w:color="auto"/>
        <w:left w:val="none" w:sz="0" w:space="0" w:color="auto"/>
        <w:bottom w:val="none" w:sz="0" w:space="0" w:color="auto"/>
        <w:right w:val="none" w:sz="0" w:space="0" w:color="auto"/>
      </w:divBdr>
    </w:div>
    <w:div w:id="20671272">
      <w:bodyDiv w:val="1"/>
      <w:marLeft w:val="0"/>
      <w:marRight w:val="0"/>
      <w:marTop w:val="0"/>
      <w:marBottom w:val="0"/>
      <w:divBdr>
        <w:top w:val="none" w:sz="0" w:space="0" w:color="auto"/>
        <w:left w:val="none" w:sz="0" w:space="0" w:color="auto"/>
        <w:bottom w:val="none" w:sz="0" w:space="0" w:color="auto"/>
        <w:right w:val="none" w:sz="0" w:space="0" w:color="auto"/>
      </w:divBdr>
    </w:div>
    <w:div w:id="31616836">
      <w:bodyDiv w:val="1"/>
      <w:marLeft w:val="0"/>
      <w:marRight w:val="0"/>
      <w:marTop w:val="0"/>
      <w:marBottom w:val="0"/>
      <w:divBdr>
        <w:top w:val="none" w:sz="0" w:space="0" w:color="auto"/>
        <w:left w:val="none" w:sz="0" w:space="0" w:color="auto"/>
        <w:bottom w:val="none" w:sz="0" w:space="0" w:color="auto"/>
        <w:right w:val="none" w:sz="0" w:space="0" w:color="auto"/>
      </w:divBdr>
    </w:div>
    <w:div w:id="57870007">
      <w:bodyDiv w:val="1"/>
      <w:marLeft w:val="0"/>
      <w:marRight w:val="0"/>
      <w:marTop w:val="0"/>
      <w:marBottom w:val="0"/>
      <w:divBdr>
        <w:top w:val="none" w:sz="0" w:space="0" w:color="auto"/>
        <w:left w:val="none" w:sz="0" w:space="0" w:color="auto"/>
        <w:bottom w:val="none" w:sz="0" w:space="0" w:color="auto"/>
        <w:right w:val="none" w:sz="0" w:space="0" w:color="auto"/>
      </w:divBdr>
    </w:div>
    <w:div w:id="83066054">
      <w:bodyDiv w:val="1"/>
      <w:marLeft w:val="0"/>
      <w:marRight w:val="0"/>
      <w:marTop w:val="0"/>
      <w:marBottom w:val="0"/>
      <w:divBdr>
        <w:top w:val="none" w:sz="0" w:space="0" w:color="auto"/>
        <w:left w:val="none" w:sz="0" w:space="0" w:color="auto"/>
        <w:bottom w:val="none" w:sz="0" w:space="0" w:color="auto"/>
        <w:right w:val="none" w:sz="0" w:space="0" w:color="auto"/>
      </w:divBdr>
      <w:divsChild>
        <w:div w:id="1355964020">
          <w:marLeft w:val="0"/>
          <w:marRight w:val="0"/>
          <w:marTop w:val="0"/>
          <w:marBottom w:val="0"/>
          <w:divBdr>
            <w:top w:val="none" w:sz="0" w:space="0" w:color="auto"/>
            <w:left w:val="none" w:sz="0" w:space="0" w:color="auto"/>
            <w:bottom w:val="none" w:sz="0" w:space="0" w:color="auto"/>
            <w:right w:val="none" w:sz="0" w:space="0" w:color="auto"/>
          </w:divBdr>
          <w:divsChild>
            <w:div w:id="314844875">
              <w:marLeft w:val="0"/>
              <w:marRight w:val="0"/>
              <w:marTop w:val="0"/>
              <w:marBottom w:val="0"/>
              <w:divBdr>
                <w:top w:val="none" w:sz="0" w:space="0" w:color="auto"/>
                <w:left w:val="none" w:sz="0" w:space="0" w:color="auto"/>
                <w:bottom w:val="none" w:sz="0" w:space="0" w:color="auto"/>
                <w:right w:val="none" w:sz="0" w:space="0" w:color="auto"/>
              </w:divBdr>
            </w:div>
          </w:divsChild>
        </w:div>
        <w:div w:id="1975866437">
          <w:marLeft w:val="0"/>
          <w:marRight w:val="0"/>
          <w:marTop w:val="0"/>
          <w:marBottom w:val="0"/>
          <w:divBdr>
            <w:top w:val="none" w:sz="0" w:space="0" w:color="auto"/>
            <w:left w:val="none" w:sz="0" w:space="0" w:color="auto"/>
            <w:bottom w:val="none" w:sz="0" w:space="0" w:color="auto"/>
            <w:right w:val="none" w:sz="0" w:space="0" w:color="auto"/>
          </w:divBdr>
          <w:divsChild>
            <w:div w:id="1372144307">
              <w:marLeft w:val="0"/>
              <w:marRight w:val="0"/>
              <w:marTop w:val="0"/>
              <w:marBottom w:val="0"/>
              <w:divBdr>
                <w:top w:val="none" w:sz="0" w:space="0" w:color="auto"/>
                <w:left w:val="none" w:sz="0" w:space="0" w:color="auto"/>
                <w:bottom w:val="none" w:sz="0" w:space="0" w:color="auto"/>
                <w:right w:val="none" w:sz="0" w:space="0" w:color="auto"/>
              </w:divBdr>
              <w:divsChild>
                <w:div w:id="64688335">
                  <w:marLeft w:val="0"/>
                  <w:marRight w:val="0"/>
                  <w:marTop w:val="0"/>
                  <w:marBottom w:val="0"/>
                  <w:divBdr>
                    <w:top w:val="none" w:sz="0" w:space="0" w:color="auto"/>
                    <w:left w:val="none" w:sz="0" w:space="0" w:color="auto"/>
                    <w:bottom w:val="none" w:sz="0" w:space="0" w:color="auto"/>
                    <w:right w:val="none" w:sz="0" w:space="0" w:color="auto"/>
                  </w:divBdr>
                  <w:divsChild>
                    <w:div w:id="756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68">
              <w:marLeft w:val="0"/>
              <w:marRight w:val="0"/>
              <w:marTop w:val="0"/>
              <w:marBottom w:val="0"/>
              <w:divBdr>
                <w:top w:val="none" w:sz="0" w:space="0" w:color="auto"/>
                <w:left w:val="none" w:sz="0" w:space="0" w:color="auto"/>
                <w:bottom w:val="none" w:sz="0" w:space="0" w:color="auto"/>
                <w:right w:val="none" w:sz="0" w:space="0" w:color="auto"/>
              </w:divBdr>
              <w:divsChild>
                <w:div w:id="269556424">
                  <w:marLeft w:val="0"/>
                  <w:marRight w:val="0"/>
                  <w:marTop w:val="0"/>
                  <w:marBottom w:val="0"/>
                  <w:divBdr>
                    <w:top w:val="none" w:sz="0" w:space="0" w:color="auto"/>
                    <w:left w:val="none" w:sz="0" w:space="0" w:color="auto"/>
                    <w:bottom w:val="none" w:sz="0" w:space="0" w:color="auto"/>
                    <w:right w:val="none" w:sz="0" w:space="0" w:color="auto"/>
                  </w:divBdr>
                  <w:divsChild>
                    <w:div w:id="20081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0855">
              <w:marLeft w:val="0"/>
              <w:marRight w:val="0"/>
              <w:marTop w:val="0"/>
              <w:marBottom w:val="0"/>
              <w:divBdr>
                <w:top w:val="none" w:sz="0" w:space="0" w:color="auto"/>
                <w:left w:val="none" w:sz="0" w:space="0" w:color="auto"/>
                <w:bottom w:val="none" w:sz="0" w:space="0" w:color="auto"/>
                <w:right w:val="none" w:sz="0" w:space="0" w:color="auto"/>
              </w:divBdr>
              <w:divsChild>
                <w:div w:id="1879275298">
                  <w:marLeft w:val="0"/>
                  <w:marRight w:val="0"/>
                  <w:marTop w:val="0"/>
                  <w:marBottom w:val="0"/>
                  <w:divBdr>
                    <w:top w:val="none" w:sz="0" w:space="0" w:color="auto"/>
                    <w:left w:val="none" w:sz="0" w:space="0" w:color="auto"/>
                    <w:bottom w:val="none" w:sz="0" w:space="0" w:color="auto"/>
                    <w:right w:val="none" w:sz="0" w:space="0" w:color="auto"/>
                  </w:divBdr>
                  <w:divsChild>
                    <w:div w:id="76830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9042">
              <w:marLeft w:val="0"/>
              <w:marRight w:val="0"/>
              <w:marTop w:val="0"/>
              <w:marBottom w:val="0"/>
              <w:divBdr>
                <w:top w:val="none" w:sz="0" w:space="0" w:color="auto"/>
                <w:left w:val="none" w:sz="0" w:space="0" w:color="auto"/>
                <w:bottom w:val="none" w:sz="0" w:space="0" w:color="auto"/>
                <w:right w:val="none" w:sz="0" w:space="0" w:color="auto"/>
              </w:divBdr>
              <w:divsChild>
                <w:div w:id="508912079">
                  <w:marLeft w:val="0"/>
                  <w:marRight w:val="0"/>
                  <w:marTop w:val="0"/>
                  <w:marBottom w:val="0"/>
                  <w:divBdr>
                    <w:top w:val="none" w:sz="0" w:space="0" w:color="auto"/>
                    <w:left w:val="none" w:sz="0" w:space="0" w:color="auto"/>
                    <w:bottom w:val="none" w:sz="0" w:space="0" w:color="auto"/>
                    <w:right w:val="none" w:sz="0" w:space="0" w:color="auto"/>
                  </w:divBdr>
                  <w:divsChild>
                    <w:div w:id="1971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59897">
              <w:marLeft w:val="0"/>
              <w:marRight w:val="0"/>
              <w:marTop w:val="0"/>
              <w:marBottom w:val="0"/>
              <w:divBdr>
                <w:top w:val="none" w:sz="0" w:space="0" w:color="auto"/>
                <w:left w:val="none" w:sz="0" w:space="0" w:color="auto"/>
                <w:bottom w:val="none" w:sz="0" w:space="0" w:color="auto"/>
                <w:right w:val="none" w:sz="0" w:space="0" w:color="auto"/>
              </w:divBdr>
              <w:divsChild>
                <w:div w:id="479537646">
                  <w:marLeft w:val="0"/>
                  <w:marRight w:val="0"/>
                  <w:marTop w:val="0"/>
                  <w:marBottom w:val="0"/>
                  <w:divBdr>
                    <w:top w:val="none" w:sz="0" w:space="0" w:color="auto"/>
                    <w:left w:val="none" w:sz="0" w:space="0" w:color="auto"/>
                    <w:bottom w:val="none" w:sz="0" w:space="0" w:color="auto"/>
                    <w:right w:val="none" w:sz="0" w:space="0" w:color="auto"/>
                  </w:divBdr>
                  <w:divsChild>
                    <w:div w:id="1340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6640">
              <w:marLeft w:val="0"/>
              <w:marRight w:val="0"/>
              <w:marTop w:val="0"/>
              <w:marBottom w:val="0"/>
              <w:divBdr>
                <w:top w:val="none" w:sz="0" w:space="0" w:color="auto"/>
                <w:left w:val="none" w:sz="0" w:space="0" w:color="auto"/>
                <w:bottom w:val="none" w:sz="0" w:space="0" w:color="auto"/>
                <w:right w:val="none" w:sz="0" w:space="0" w:color="auto"/>
              </w:divBdr>
              <w:divsChild>
                <w:div w:id="1647129965">
                  <w:marLeft w:val="0"/>
                  <w:marRight w:val="0"/>
                  <w:marTop w:val="0"/>
                  <w:marBottom w:val="0"/>
                  <w:divBdr>
                    <w:top w:val="none" w:sz="0" w:space="0" w:color="auto"/>
                    <w:left w:val="none" w:sz="0" w:space="0" w:color="auto"/>
                    <w:bottom w:val="none" w:sz="0" w:space="0" w:color="auto"/>
                    <w:right w:val="none" w:sz="0" w:space="0" w:color="auto"/>
                  </w:divBdr>
                  <w:divsChild>
                    <w:div w:id="1292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1835">
      <w:bodyDiv w:val="1"/>
      <w:marLeft w:val="0"/>
      <w:marRight w:val="0"/>
      <w:marTop w:val="0"/>
      <w:marBottom w:val="0"/>
      <w:divBdr>
        <w:top w:val="none" w:sz="0" w:space="0" w:color="auto"/>
        <w:left w:val="none" w:sz="0" w:space="0" w:color="auto"/>
        <w:bottom w:val="none" w:sz="0" w:space="0" w:color="auto"/>
        <w:right w:val="none" w:sz="0" w:space="0" w:color="auto"/>
      </w:divBdr>
    </w:div>
    <w:div w:id="89158032">
      <w:bodyDiv w:val="1"/>
      <w:marLeft w:val="0"/>
      <w:marRight w:val="0"/>
      <w:marTop w:val="0"/>
      <w:marBottom w:val="0"/>
      <w:divBdr>
        <w:top w:val="none" w:sz="0" w:space="0" w:color="auto"/>
        <w:left w:val="none" w:sz="0" w:space="0" w:color="auto"/>
        <w:bottom w:val="none" w:sz="0" w:space="0" w:color="auto"/>
        <w:right w:val="none" w:sz="0" w:space="0" w:color="auto"/>
      </w:divBdr>
    </w:div>
    <w:div w:id="175076016">
      <w:bodyDiv w:val="1"/>
      <w:marLeft w:val="0"/>
      <w:marRight w:val="0"/>
      <w:marTop w:val="0"/>
      <w:marBottom w:val="0"/>
      <w:divBdr>
        <w:top w:val="none" w:sz="0" w:space="0" w:color="auto"/>
        <w:left w:val="none" w:sz="0" w:space="0" w:color="auto"/>
        <w:bottom w:val="none" w:sz="0" w:space="0" w:color="auto"/>
        <w:right w:val="none" w:sz="0" w:space="0" w:color="auto"/>
      </w:divBdr>
    </w:div>
    <w:div w:id="180821284">
      <w:bodyDiv w:val="1"/>
      <w:marLeft w:val="0"/>
      <w:marRight w:val="0"/>
      <w:marTop w:val="0"/>
      <w:marBottom w:val="0"/>
      <w:divBdr>
        <w:top w:val="none" w:sz="0" w:space="0" w:color="auto"/>
        <w:left w:val="none" w:sz="0" w:space="0" w:color="auto"/>
        <w:bottom w:val="none" w:sz="0" w:space="0" w:color="auto"/>
        <w:right w:val="none" w:sz="0" w:space="0" w:color="auto"/>
      </w:divBdr>
    </w:div>
    <w:div w:id="257370589">
      <w:bodyDiv w:val="1"/>
      <w:marLeft w:val="0"/>
      <w:marRight w:val="0"/>
      <w:marTop w:val="0"/>
      <w:marBottom w:val="0"/>
      <w:divBdr>
        <w:top w:val="none" w:sz="0" w:space="0" w:color="auto"/>
        <w:left w:val="none" w:sz="0" w:space="0" w:color="auto"/>
        <w:bottom w:val="none" w:sz="0" w:space="0" w:color="auto"/>
        <w:right w:val="none" w:sz="0" w:space="0" w:color="auto"/>
      </w:divBdr>
      <w:divsChild>
        <w:div w:id="262954131">
          <w:marLeft w:val="0"/>
          <w:marRight w:val="0"/>
          <w:marTop w:val="0"/>
          <w:marBottom w:val="0"/>
          <w:divBdr>
            <w:top w:val="none" w:sz="0" w:space="0" w:color="auto"/>
            <w:left w:val="none" w:sz="0" w:space="0" w:color="auto"/>
            <w:bottom w:val="none" w:sz="0" w:space="0" w:color="auto"/>
            <w:right w:val="none" w:sz="0" w:space="0" w:color="auto"/>
          </w:divBdr>
        </w:div>
      </w:divsChild>
    </w:div>
    <w:div w:id="325868415">
      <w:bodyDiv w:val="1"/>
      <w:marLeft w:val="0"/>
      <w:marRight w:val="0"/>
      <w:marTop w:val="0"/>
      <w:marBottom w:val="0"/>
      <w:divBdr>
        <w:top w:val="none" w:sz="0" w:space="0" w:color="auto"/>
        <w:left w:val="none" w:sz="0" w:space="0" w:color="auto"/>
        <w:bottom w:val="none" w:sz="0" w:space="0" w:color="auto"/>
        <w:right w:val="none" w:sz="0" w:space="0" w:color="auto"/>
      </w:divBdr>
      <w:divsChild>
        <w:div w:id="735516883">
          <w:marLeft w:val="0"/>
          <w:marRight w:val="0"/>
          <w:marTop w:val="0"/>
          <w:marBottom w:val="0"/>
          <w:divBdr>
            <w:top w:val="none" w:sz="0" w:space="0" w:color="auto"/>
            <w:left w:val="none" w:sz="0" w:space="0" w:color="auto"/>
            <w:bottom w:val="none" w:sz="0" w:space="0" w:color="auto"/>
            <w:right w:val="none" w:sz="0" w:space="0" w:color="auto"/>
          </w:divBdr>
        </w:div>
        <w:div w:id="1429808170">
          <w:marLeft w:val="0"/>
          <w:marRight w:val="0"/>
          <w:marTop w:val="0"/>
          <w:marBottom w:val="0"/>
          <w:divBdr>
            <w:top w:val="none" w:sz="0" w:space="0" w:color="auto"/>
            <w:left w:val="none" w:sz="0" w:space="0" w:color="auto"/>
            <w:bottom w:val="none" w:sz="0" w:space="0" w:color="auto"/>
            <w:right w:val="none" w:sz="0" w:space="0" w:color="auto"/>
          </w:divBdr>
        </w:div>
        <w:div w:id="1824616556">
          <w:marLeft w:val="0"/>
          <w:marRight w:val="0"/>
          <w:marTop w:val="0"/>
          <w:marBottom w:val="0"/>
          <w:divBdr>
            <w:top w:val="none" w:sz="0" w:space="0" w:color="auto"/>
            <w:left w:val="none" w:sz="0" w:space="0" w:color="auto"/>
            <w:bottom w:val="none" w:sz="0" w:space="0" w:color="auto"/>
            <w:right w:val="none" w:sz="0" w:space="0" w:color="auto"/>
          </w:divBdr>
        </w:div>
      </w:divsChild>
    </w:div>
    <w:div w:id="329986407">
      <w:bodyDiv w:val="1"/>
      <w:marLeft w:val="0"/>
      <w:marRight w:val="0"/>
      <w:marTop w:val="0"/>
      <w:marBottom w:val="0"/>
      <w:divBdr>
        <w:top w:val="none" w:sz="0" w:space="0" w:color="auto"/>
        <w:left w:val="none" w:sz="0" w:space="0" w:color="auto"/>
        <w:bottom w:val="none" w:sz="0" w:space="0" w:color="auto"/>
        <w:right w:val="none" w:sz="0" w:space="0" w:color="auto"/>
      </w:divBdr>
      <w:divsChild>
        <w:div w:id="1538279428">
          <w:marLeft w:val="0"/>
          <w:marRight w:val="0"/>
          <w:marTop w:val="0"/>
          <w:marBottom w:val="0"/>
          <w:divBdr>
            <w:top w:val="none" w:sz="0" w:space="0" w:color="auto"/>
            <w:left w:val="none" w:sz="0" w:space="0" w:color="auto"/>
            <w:bottom w:val="none" w:sz="0" w:space="0" w:color="auto"/>
            <w:right w:val="none" w:sz="0" w:space="0" w:color="auto"/>
          </w:divBdr>
          <w:divsChild>
            <w:div w:id="964238287">
              <w:marLeft w:val="0"/>
              <w:marRight w:val="0"/>
              <w:marTop w:val="0"/>
              <w:marBottom w:val="0"/>
              <w:divBdr>
                <w:top w:val="none" w:sz="0" w:space="0" w:color="auto"/>
                <w:left w:val="none" w:sz="0" w:space="0" w:color="auto"/>
                <w:bottom w:val="none" w:sz="0" w:space="0" w:color="auto"/>
                <w:right w:val="none" w:sz="0" w:space="0" w:color="auto"/>
              </w:divBdr>
            </w:div>
          </w:divsChild>
        </w:div>
        <w:div w:id="1701079619">
          <w:marLeft w:val="0"/>
          <w:marRight w:val="0"/>
          <w:marTop w:val="0"/>
          <w:marBottom w:val="0"/>
          <w:divBdr>
            <w:top w:val="none" w:sz="0" w:space="0" w:color="auto"/>
            <w:left w:val="none" w:sz="0" w:space="0" w:color="auto"/>
            <w:bottom w:val="none" w:sz="0" w:space="0" w:color="auto"/>
            <w:right w:val="none" w:sz="0" w:space="0" w:color="auto"/>
          </w:divBdr>
        </w:div>
        <w:div w:id="1191146925">
          <w:marLeft w:val="0"/>
          <w:marRight w:val="0"/>
          <w:marTop w:val="0"/>
          <w:marBottom w:val="0"/>
          <w:divBdr>
            <w:top w:val="none" w:sz="0" w:space="0" w:color="auto"/>
            <w:left w:val="none" w:sz="0" w:space="0" w:color="auto"/>
            <w:bottom w:val="none" w:sz="0" w:space="0" w:color="auto"/>
            <w:right w:val="none" w:sz="0" w:space="0" w:color="auto"/>
          </w:divBdr>
        </w:div>
      </w:divsChild>
    </w:div>
    <w:div w:id="395858100">
      <w:bodyDiv w:val="1"/>
      <w:marLeft w:val="0"/>
      <w:marRight w:val="0"/>
      <w:marTop w:val="0"/>
      <w:marBottom w:val="0"/>
      <w:divBdr>
        <w:top w:val="none" w:sz="0" w:space="0" w:color="auto"/>
        <w:left w:val="none" w:sz="0" w:space="0" w:color="auto"/>
        <w:bottom w:val="none" w:sz="0" w:space="0" w:color="auto"/>
        <w:right w:val="none" w:sz="0" w:space="0" w:color="auto"/>
      </w:divBdr>
    </w:div>
    <w:div w:id="453595506">
      <w:bodyDiv w:val="1"/>
      <w:marLeft w:val="0"/>
      <w:marRight w:val="0"/>
      <w:marTop w:val="0"/>
      <w:marBottom w:val="0"/>
      <w:divBdr>
        <w:top w:val="none" w:sz="0" w:space="0" w:color="auto"/>
        <w:left w:val="none" w:sz="0" w:space="0" w:color="auto"/>
        <w:bottom w:val="none" w:sz="0" w:space="0" w:color="auto"/>
        <w:right w:val="none" w:sz="0" w:space="0" w:color="auto"/>
      </w:divBdr>
    </w:div>
    <w:div w:id="4725994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852">
          <w:marLeft w:val="0"/>
          <w:marRight w:val="0"/>
          <w:marTop w:val="0"/>
          <w:marBottom w:val="0"/>
          <w:divBdr>
            <w:top w:val="none" w:sz="0" w:space="0" w:color="auto"/>
            <w:left w:val="none" w:sz="0" w:space="0" w:color="auto"/>
            <w:bottom w:val="none" w:sz="0" w:space="0" w:color="auto"/>
            <w:right w:val="none" w:sz="0" w:space="0" w:color="auto"/>
          </w:divBdr>
        </w:div>
      </w:divsChild>
    </w:div>
    <w:div w:id="493183094">
      <w:bodyDiv w:val="1"/>
      <w:marLeft w:val="0"/>
      <w:marRight w:val="0"/>
      <w:marTop w:val="0"/>
      <w:marBottom w:val="0"/>
      <w:divBdr>
        <w:top w:val="none" w:sz="0" w:space="0" w:color="auto"/>
        <w:left w:val="none" w:sz="0" w:space="0" w:color="auto"/>
        <w:bottom w:val="none" w:sz="0" w:space="0" w:color="auto"/>
        <w:right w:val="none" w:sz="0" w:space="0" w:color="auto"/>
      </w:divBdr>
    </w:div>
    <w:div w:id="493766837">
      <w:bodyDiv w:val="1"/>
      <w:marLeft w:val="0"/>
      <w:marRight w:val="0"/>
      <w:marTop w:val="0"/>
      <w:marBottom w:val="0"/>
      <w:divBdr>
        <w:top w:val="none" w:sz="0" w:space="0" w:color="auto"/>
        <w:left w:val="none" w:sz="0" w:space="0" w:color="auto"/>
        <w:bottom w:val="none" w:sz="0" w:space="0" w:color="auto"/>
        <w:right w:val="none" w:sz="0" w:space="0" w:color="auto"/>
      </w:divBdr>
      <w:divsChild>
        <w:div w:id="896286158">
          <w:marLeft w:val="0"/>
          <w:marRight w:val="0"/>
          <w:marTop w:val="0"/>
          <w:marBottom w:val="0"/>
          <w:divBdr>
            <w:top w:val="none" w:sz="0" w:space="0" w:color="auto"/>
            <w:left w:val="none" w:sz="0" w:space="0" w:color="auto"/>
            <w:bottom w:val="none" w:sz="0" w:space="0" w:color="auto"/>
            <w:right w:val="none" w:sz="0" w:space="0" w:color="auto"/>
          </w:divBdr>
        </w:div>
      </w:divsChild>
    </w:div>
    <w:div w:id="583996130">
      <w:bodyDiv w:val="1"/>
      <w:marLeft w:val="0"/>
      <w:marRight w:val="0"/>
      <w:marTop w:val="0"/>
      <w:marBottom w:val="0"/>
      <w:divBdr>
        <w:top w:val="none" w:sz="0" w:space="0" w:color="auto"/>
        <w:left w:val="none" w:sz="0" w:space="0" w:color="auto"/>
        <w:bottom w:val="none" w:sz="0" w:space="0" w:color="auto"/>
        <w:right w:val="none" w:sz="0" w:space="0" w:color="auto"/>
      </w:divBdr>
      <w:divsChild>
        <w:div w:id="1968051578">
          <w:marLeft w:val="0"/>
          <w:marRight w:val="0"/>
          <w:marTop w:val="0"/>
          <w:marBottom w:val="0"/>
          <w:divBdr>
            <w:top w:val="none" w:sz="0" w:space="0" w:color="auto"/>
            <w:left w:val="none" w:sz="0" w:space="0" w:color="auto"/>
            <w:bottom w:val="none" w:sz="0" w:space="0" w:color="auto"/>
            <w:right w:val="none" w:sz="0" w:space="0" w:color="auto"/>
          </w:divBdr>
          <w:divsChild>
            <w:div w:id="653030825">
              <w:marLeft w:val="0"/>
              <w:marRight w:val="0"/>
              <w:marTop w:val="0"/>
              <w:marBottom w:val="0"/>
              <w:divBdr>
                <w:top w:val="none" w:sz="0" w:space="0" w:color="auto"/>
                <w:left w:val="none" w:sz="0" w:space="0" w:color="auto"/>
                <w:bottom w:val="none" w:sz="0" w:space="0" w:color="auto"/>
                <w:right w:val="none" w:sz="0" w:space="0" w:color="auto"/>
              </w:divBdr>
            </w:div>
          </w:divsChild>
        </w:div>
        <w:div w:id="40524200">
          <w:marLeft w:val="0"/>
          <w:marRight w:val="0"/>
          <w:marTop w:val="0"/>
          <w:marBottom w:val="0"/>
          <w:divBdr>
            <w:top w:val="none" w:sz="0" w:space="0" w:color="auto"/>
            <w:left w:val="none" w:sz="0" w:space="0" w:color="auto"/>
            <w:bottom w:val="none" w:sz="0" w:space="0" w:color="auto"/>
            <w:right w:val="none" w:sz="0" w:space="0" w:color="auto"/>
          </w:divBdr>
          <w:divsChild>
            <w:div w:id="187141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3325">
      <w:bodyDiv w:val="1"/>
      <w:marLeft w:val="0"/>
      <w:marRight w:val="0"/>
      <w:marTop w:val="0"/>
      <w:marBottom w:val="0"/>
      <w:divBdr>
        <w:top w:val="none" w:sz="0" w:space="0" w:color="auto"/>
        <w:left w:val="none" w:sz="0" w:space="0" w:color="auto"/>
        <w:bottom w:val="none" w:sz="0" w:space="0" w:color="auto"/>
        <w:right w:val="none" w:sz="0" w:space="0" w:color="auto"/>
      </w:divBdr>
      <w:divsChild>
        <w:div w:id="108161348">
          <w:marLeft w:val="0"/>
          <w:marRight w:val="0"/>
          <w:marTop w:val="0"/>
          <w:marBottom w:val="0"/>
          <w:divBdr>
            <w:top w:val="none" w:sz="0" w:space="0" w:color="auto"/>
            <w:left w:val="none" w:sz="0" w:space="0" w:color="auto"/>
            <w:bottom w:val="none" w:sz="0" w:space="0" w:color="auto"/>
            <w:right w:val="none" w:sz="0" w:space="0" w:color="auto"/>
          </w:divBdr>
        </w:div>
        <w:div w:id="2098401042">
          <w:marLeft w:val="0"/>
          <w:marRight w:val="0"/>
          <w:marTop w:val="0"/>
          <w:marBottom w:val="0"/>
          <w:divBdr>
            <w:top w:val="none" w:sz="0" w:space="0" w:color="auto"/>
            <w:left w:val="none" w:sz="0" w:space="0" w:color="auto"/>
            <w:bottom w:val="none" w:sz="0" w:space="0" w:color="auto"/>
            <w:right w:val="none" w:sz="0" w:space="0" w:color="auto"/>
          </w:divBdr>
        </w:div>
        <w:div w:id="645279898">
          <w:marLeft w:val="0"/>
          <w:marRight w:val="0"/>
          <w:marTop w:val="0"/>
          <w:marBottom w:val="0"/>
          <w:divBdr>
            <w:top w:val="none" w:sz="0" w:space="0" w:color="auto"/>
            <w:left w:val="none" w:sz="0" w:space="0" w:color="auto"/>
            <w:bottom w:val="none" w:sz="0" w:space="0" w:color="auto"/>
            <w:right w:val="none" w:sz="0" w:space="0" w:color="auto"/>
          </w:divBdr>
        </w:div>
      </w:divsChild>
    </w:div>
    <w:div w:id="641233250">
      <w:bodyDiv w:val="1"/>
      <w:marLeft w:val="0"/>
      <w:marRight w:val="0"/>
      <w:marTop w:val="0"/>
      <w:marBottom w:val="0"/>
      <w:divBdr>
        <w:top w:val="none" w:sz="0" w:space="0" w:color="auto"/>
        <w:left w:val="none" w:sz="0" w:space="0" w:color="auto"/>
        <w:bottom w:val="none" w:sz="0" w:space="0" w:color="auto"/>
        <w:right w:val="none" w:sz="0" w:space="0" w:color="auto"/>
      </w:divBdr>
    </w:div>
    <w:div w:id="649018615">
      <w:bodyDiv w:val="1"/>
      <w:marLeft w:val="0"/>
      <w:marRight w:val="0"/>
      <w:marTop w:val="0"/>
      <w:marBottom w:val="0"/>
      <w:divBdr>
        <w:top w:val="none" w:sz="0" w:space="0" w:color="auto"/>
        <w:left w:val="none" w:sz="0" w:space="0" w:color="auto"/>
        <w:bottom w:val="none" w:sz="0" w:space="0" w:color="auto"/>
        <w:right w:val="none" w:sz="0" w:space="0" w:color="auto"/>
      </w:divBdr>
      <w:divsChild>
        <w:div w:id="856847659">
          <w:marLeft w:val="0"/>
          <w:marRight w:val="0"/>
          <w:marTop w:val="0"/>
          <w:marBottom w:val="0"/>
          <w:divBdr>
            <w:top w:val="none" w:sz="0" w:space="0" w:color="auto"/>
            <w:left w:val="none" w:sz="0" w:space="0" w:color="auto"/>
            <w:bottom w:val="none" w:sz="0" w:space="0" w:color="auto"/>
            <w:right w:val="none" w:sz="0" w:space="0" w:color="auto"/>
          </w:divBdr>
        </w:div>
      </w:divsChild>
    </w:div>
    <w:div w:id="719597131">
      <w:bodyDiv w:val="1"/>
      <w:marLeft w:val="0"/>
      <w:marRight w:val="0"/>
      <w:marTop w:val="0"/>
      <w:marBottom w:val="0"/>
      <w:divBdr>
        <w:top w:val="none" w:sz="0" w:space="0" w:color="auto"/>
        <w:left w:val="none" w:sz="0" w:space="0" w:color="auto"/>
        <w:bottom w:val="none" w:sz="0" w:space="0" w:color="auto"/>
        <w:right w:val="none" w:sz="0" w:space="0" w:color="auto"/>
      </w:divBdr>
    </w:div>
    <w:div w:id="798260206">
      <w:bodyDiv w:val="1"/>
      <w:marLeft w:val="0"/>
      <w:marRight w:val="0"/>
      <w:marTop w:val="0"/>
      <w:marBottom w:val="0"/>
      <w:divBdr>
        <w:top w:val="none" w:sz="0" w:space="0" w:color="auto"/>
        <w:left w:val="none" w:sz="0" w:space="0" w:color="auto"/>
        <w:bottom w:val="none" w:sz="0" w:space="0" w:color="auto"/>
        <w:right w:val="none" w:sz="0" w:space="0" w:color="auto"/>
      </w:divBdr>
    </w:div>
    <w:div w:id="817694681">
      <w:bodyDiv w:val="1"/>
      <w:marLeft w:val="0"/>
      <w:marRight w:val="0"/>
      <w:marTop w:val="0"/>
      <w:marBottom w:val="0"/>
      <w:divBdr>
        <w:top w:val="none" w:sz="0" w:space="0" w:color="auto"/>
        <w:left w:val="none" w:sz="0" w:space="0" w:color="auto"/>
        <w:bottom w:val="none" w:sz="0" w:space="0" w:color="auto"/>
        <w:right w:val="none" w:sz="0" w:space="0" w:color="auto"/>
      </w:divBdr>
    </w:div>
    <w:div w:id="874119669">
      <w:bodyDiv w:val="1"/>
      <w:marLeft w:val="0"/>
      <w:marRight w:val="0"/>
      <w:marTop w:val="0"/>
      <w:marBottom w:val="0"/>
      <w:divBdr>
        <w:top w:val="none" w:sz="0" w:space="0" w:color="auto"/>
        <w:left w:val="none" w:sz="0" w:space="0" w:color="auto"/>
        <w:bottom w:val="none" w:sz="0" w:space="0" w:color="auto"/>
        <w:right w:val="none" w:sz="0" w:space="0" w:color="auto"/>
      </w:divBdr>
    </w:div>
    <w:div w:id="909844819">
      <w:bodyDiv w:val="1"/>
      <w:marLeft w:val="0"/>
      <w:marRight w:val="0"/>
      <w:marTop w:val="0"/>
      <w:marBottom w:val="0"/>
      <w:divBdr>
        <w:top w:val="none" w:sz="0" w:space="0" w:color="auto"/>
        <w:left w:val="none" w:sz="0" w:space="0" w:color="auto"/>
        <w:bottom w:val="none" w:sz="0" w:space="0" w:color="auto"/>
        <w:right w:val="none" w:sz="0" w:space="0" w:color="auto"/>
      </w:divBdr>
      <w:divsChild>
        <w:div w:id="741953245">
          <w:marLeft w:val="0"/>
          <w:marRight w:val="0"/>
          <w:marTop w:val="0"/>
          <w:marBottom w:val="0"/>
          <w:divBdr>
            <w:top w:val="none" w:sz="0" w:space="0" w:color="auto"/>
            <w:left w:val="none" w:sz="0" w:space="0" w:color="auto"/>
            <w:bottom w:val="none" w:sz="0" w:space="0" w:color="auto"/>
            <w:right w:val="none" w:sz="0" w:space="0" w:color="auto"/>
          </w:divBdr>
          <w:divsChild>
            <w:div w:id="1007706330">
              <w:marLeft w:val="0"/>
              <w:marRight w:val="0"/>
              <w:marTop w:val="0"/>
              <w:marBottom w:val="0"/>
              <w:divBdr>
                <w:top w:val="none" w:sz="0" w:space="0" w:color="auto"/>
                <w:left w:val="none" w:sz="0" w:space="0" w:color="auto"/>
                <w:bottom w:val="none" w:sz="0" w:space="0" w:color="auto"/>
                <w:right w:val="none" w:sz="0" w:space="0" w:color="auto"/>
              </w:divBdr>
              <w:divsChild>
                <w:div w:id="570388678">
                  <w:marLeft w:val="0"/>
                  <w:marRight w:val="0"/>
                  <w:marTop w:val="0"/>
                  <w:marBottom w:val="0"/>
                  <w:divBdr>
                    <w:top w:val="none" w:sz="0" w:space="0" w:color="auto"/>
                    <w:left w:val="none" w:sz="0" w:space="0" w:color="auto"/>
                    <w:bottom w:val="none" w:sz="0" w:space="0" w:color="auto"/>
                    <w:right w:val="none" w:sz="0" w:space="0" w:color="auto"/>
                  </w:divBdr>
                </w:div>
                <w:div w:id="18969293">
                  <w:marLeft w:val="0"/>
                  <w:marRight w:val="0"/>
                  <w:marTop w:val="0"/>
                  <w:marBottom w:val="0"/>
                  <w:divBdr>
                    <w:top w:val="none" w:sz="0" w:space="0" w:color="auto"/>
                    <w:left w:val="none" w:sz="0" w:space="0" w:color="auto"/>
                    <w:bottom w:val="none" w:sz="0" w:space="0" w:color="auto"/>
                    <w:right w:val="none" w:sz="0" w:space="0" w:color="auto"/>
                  </w:divBdr>
                  <w:divsChild>
                    <w:div w:id="3017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4868">
          <w:marLeft w:val="0"/>
          <w:marRight w:val="0"/>
          <w:marTop w:val="0"/>
          <w:marBottom w:val="0"/>
          <w:divBdr>
            <w:top w:val="none" w:sz="0" w:space="0" w:color="auto"/>
            <w:left w:val="none" w:sz="0" w:space="0" w:color="auto"/>
            <w:bottom w:val="none" w:sz="0" w:space="0" w:color="auto"/>
            <w:right w:val="none" w:sz="0" w:space="0" w:color="auto"/>
          </w:divBdr>
          <w:divsChild>
            <w:div w:id="143863765">
              <w:marLeft w:val="0"/>
              <w:marRight w:val="0"/>
              <w:marTop w:val="0"/>
              <w:marBottom w:val="0"/>
              <w:divBdr>
                <w:top w:val="none" w:sz="0" w:space="0" w:color="auto"/>
                <w:left w:val="none" w:sz="0" w:space="0" w:color="auto"/>
                <w:bottom w:val="none" w:sz="0" w:space="0" w:color="auto"/>
                <w:right w:val="none" w:sz="0" w:space="0" w:color="auto"/>
              </w:divBdr>
              <w:divsChild>
                <w:div w:id="376782169">
                  <w:marLeft w:val="0"/>
                  <w:marRight w:val="0"/>
                  <w:marTop w:val="0"/>
                  <w:marBottom w:val="0"/>
                  <w:divBdr>
                    <w:top w:val="none" w:sz="0" w:space="0" w:color="auto"/>
                    <w:left w:val="none" w:sz="0" w:space="0" w:color="auto"/>
                    <w:bottom w:val="none" w:sz="0" w:space="0" w:color="auto"/>
                    <w:right w:val="none" w:sz="0" w:space="0" w:color="auto"/>
                  </w:divBdr>
                </w:div>
                <w:div w:id="84422366">
                  <w:marLeft w:val="0"/>
                  <w:marRight w:val="0"/>
                  <w:marTop w:val="0"/>
                  <w:marBottom w:val="0"/>
                  <w:divBdr>
                    <w:top w:val="none" w:sz="0" w:space="0" w:color="auto"/>
                    <w:left w:val="none" w:sz="0" w:space="0" w:color="auto"/>
                    <w:bottom w:val="none" w:sz="0" w:space="0" w:color="auto"/>
                    <w:right w:val="none" w:sz="0" w:space="0" w:color="auto"/>
                  </w:divBdr>
                  <w:divsChild>
                    <w:div w:id="44133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6846">
          <w:marLeft w:val="0"/>
          <w:marRight w:val="0"/>
          <w:marTop w:val="0"/>
          <w:marBottom w:val="0"/>
          <w:divBdr>
            <w:top w:val="none" w:sz="0" w:space="0" w:color="auto"/>
            <w:left w:val="none" w:sz="0" w:space="0" w:color="auto"/>
            <w:bottom w:val="none" w:sz="0" w:space="0" w:color="auto"/>
            <w:right w:val="none" w:sz="0" w:space="0" w:color="auto"/>
          </w:divBdr>
          <w:divsChild>
            <w:div w:id="2041860699">
              <w:marLeft w:val="0"/>
              <w:marRight w:val="0"/>
              <w:marTop w:val="0"/>
              <w:marBottom w:val="0"/>
              <w:divBdr>
                <w:top w:val="none" w:sz="0" w:space="0" w:color="auto"/>
                <w:left w:val="none" w:sz="0" w:space="0" w:color="auto"/>
                <w:bottom w:val="none" w:sz="0" w:space="0" w:color="auto"/>
                <w:right w:val="none" w:sz="0" w:space="0" w:color="auto"/>
              </w:divBdr>
              <w:divsChild>
                <w:div w:id="175389359">
                  <w:marLeft w:val="0"/>
                  <w:marRight w:val="0"/>
                  <w:marTop w:val="0"/>
                  <w:marBottom w:val="0"/>
                  <w:divBdr>
                    <w:top w:val="none" w:sz="0" w:space="0" w:color="auto"/>
                    <w:left w:val="none" w:sz="0" w:space="0" w:color="auto"/>
                    <w:bottom w:val="none" w:sz="0" w:space="0" w:color="auto"/>
                    <w:right w:val="none" w:sz="0" w:space="0" w:color="auto"/>
                  </w:divBdr>
                </w:div>
                <w:div w:id="1121342113">
                  <w:marLeft w:val="0"/>
                  <w:marRight w:val="0"/>
                  <w:marTop w:val="0"/>
                  <w:marBottom w:val="0"/>
                  <w:divBdr>
                    <w:top w:val="none" w:sz="0" w:space="0" w:color="auto"/>
                    <w:left w:val="none" w:sz="0" w:space="0" w:color="auto"/>
                    <w:bottom w:val="none" w:sz="0" w:space="0" w:color="auto"/>
                    <w:right w:val="none" w:sz="0" w:space="0" w:color="auto"/>
                  </w:divBdr>
                  <w:divsChild>
                    <w:div w:id="18334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1561">
          <w:marLeft w:val="0"/>
          <w:marRight w:val="0"/>
          <w:marTop w:val="0"/>
          <w:marBottom w:val="0"/>
          <w:divBdr>
            <w:top w:val="none" w:sz="0" w:space="0" w:color="auto"/>
            <w:left w:val="none" w:sz="0" w:space="0" w:color="auto"/>
            <w:bottom w:val="none" w:sz="0" w:space="0" w:color="auto"/>
            <w:right w:val="none" w:sz="0" w:space="0" w:color="auto"/>
          </w:divBdr>
          <w:divsChild>
            <w:div w:id="1915626445">
              <w:marLeft w:val="0"/>
              <w:marRight w:val="0"/>
              <w:marTop w:val="0"/>
              <w:marBottom w:val="0"/>
              <w:divBdr>
                <w:top w:val="none" w:sz="0" w:space="0" w:color="auto"/>
                <w:left w:val="none" w:sz="0" w:space="0" w:color="auto"/>
                <w:bottom w:val="none" w:sz="0" w:space="0" w:color="auto"/>
                <w:right w:val="none" w:sz="0" w:space="0" w:color="auto"/>
              </w:divBdr>
              <w:divsChild>
                <w:div w:id="134300718">
                  <w:marLeft w:val="0"/>
                  <w:marRight w:val="0"/>
                  <w:marTop w:val="0"/>
                  <w:marBottom w:val="0"/>
                  <w:divBdr>
                    <w:top w:val="none" w:sz="0" w:space="0" w:color="auto"/>
                    <w:left w:val="none" w:sz="0" w:space="0" w:color="auto"/>
                    <w:bottom w:val="none" w:sz="0" w:space="0" w:color="auto"/>
                    <w:right w:val="none" w:sz="0" w:space="0" w:color="auto"/>
                  </w:divBdr>
                </w:div>
                <w:div w:id="1888570146">
                  <w:marLeft w:val="0"/>
                  <w:marRight w:val="0"/>
                  <w:marTop w:val="0"/>
                  <w:marBottom w:val="0"/>
                  <w:divBdr>
                    <w:top w:val="none" w:sz="0" w:space="0" w:color="auto"/>
                    <w:left w:val="none" w:sz="0" w:space="0" w:color="auto"/>
                    <w:bottom w:val="none" w:sz="0" w:space="0" w:color="auto"/>
                    <w:right w:val="none" w:sz="0" w:space="0" w:color="auto"/>
                  </w:divBdr>
                  <w:divsChild>
                    <w:div w:id="90795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82522">
          <w:marLeft w:val="0"/>
          <w:marRight w:val="0"/>
          <w:marTop w:val="0"/>
          <w:marBottom w:val="0"/>
          <w:divBdr>
            <w:top w:val="none" w:sz="0" w:space="0" w:color="auto"/>
            <w:left w:val="none" w:sz="0" w:space="0" w:color="auto"/>
            <w:bottom w:val="none" w:sz="0" w:space="0" w:color="auto"/>
            <w:right w:val="none" w:sz="0" w:space="0" w:color="auto"/>
          </w:divBdr>
          <w:divsChild>
            <w:div w:id="743383044">
              <w:marLeft w:val="0"/>
              <w:marRight w:val="0"/>
              <w:marTop w:val="0"/>
              <w:marBottom w:val="0"/>
              <w:divBdr>
                <w:top w:val="none" w:sz="0" w:space="0" w:color="auto"/>
                <w:left w:val="none" w:sz="0" w:space="0" w:color="auto"/>
                <w:bottom w:val="none" w:sz="0" w:space="0" w:color="auto"/>
                <w:right w:val="none" w:sz="0" w:space="0" w:color="auto"/>
              </w:divBdr>
              <w:divsChild>
                <w:div w:id="1175000955">
                  <w:marLeft w:val="0"/>
                  <w:marRight w:val="0"/>
                  <w:marTop w:val="0"/>
                  <w:marBottom w:val="0"/>
                  <w:divBdr>
                    <w:top w:val="none" w:sz="0" w:space="0" w:color="auto"/>
                    <w:left w:val="none" w:sz="0" w:space="0" w:color="auto"/>
                    <w:bottom w:val="none" w:sz="0" w:space="0" w:color="auto"/>
                    <w:right w:val="none" w:sz="0" w:space="0" w:color="auto"/>
                  </w:divBdr>
                </w:div>
                <w:div w:id="1110052512">
                  <w:marLeft w:val="0"/>
                  <w:marRight w:val="0"/>
                  <w:marTop w:val="0"/>
                  <w:marBottom w:val="0"/>
                  <w:divBdr>
                    <w:top w:val="none" w:sz="0" w:space="0" w:color="auto"/>
                    <w:left w:val="none" w:sz="0" w:space="0" w:color="auto"/>
                    <w:bottom w:val="none" w:sz="0" w:space="0" w:color="auto"/>
                    <w:right w:val="none" w:sz="0" w:space="0" w:color="auto"/>
                  </w:divBdr>
                  <w:divsChild>
                    <w:div w:id="143478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4406">
          <w:marLeft w:val="0"/>
          <w:marRight w:val="0"/>
          <w:marTop w:val="0"/>
          <w:marBottom w:val="0"/>
          <w:divBdr>
            <w:top w:val="none" w:sz="0" w:space="0" w:color="auto"/>
            <w:left w:val="none" w:sz="0" w:space="0" w:color="auto"/>
            <w:bottom w:val="none" w:sz="0" w:space="0" w:color="auto"/>
            <w:right w:val="none" w:sz="0" w:space="0" w:color="auto"/>
          </w:divBdr>
          <w:divsChild>
            <w:div w:id="573972691">
              <w:marLeft w:val="0"/>
              <w:marRight w:val="0"/>
              <w:marTop w:val="0"/>
              <w:marBottom w:val="0"/>
              <w:divBdr>
                <w:top w:val="none" w:sz="0" w:space="0" w:color="auto"/>
                <w:left w:val="none" w:sz="0" w:space="0" w:color="auto"/>
                <w:bottom w:val="none" w:sz="0" w:space="0" w:color="auto"/>
                <w:right w:val="none" w:sz="0" w:space="0" w:color="auto"/>
              </w:divBdr>
              <w:divsChild>
                <w:div w:id="963510702">
                  <w:marLeft w:val="0"/>
                  <w:marRight w:val="0"/>
                  <w:marTop w:val="0"/>
                  <w:marBottom w:val="0"/>
                  <w:divBdr>
                    <w:top w:val="none" w:sz="0" w:space="0" w:color="auto"/>
                    <w:left w:val="none" w:sz="0" w:space="0" w:color="auto"/>
                    <w:bottom w:val="none" w:sz="0" w:space="0" w:color="auto"/>
                    <w:right w:val="none" w:sz="0" w:space="0" w:color="auto"/>
                  </w:divBdr>
                </w:div>
                <w:div w:id="1388644967">
                  <w:marLeft w:val="0"/>
                  <w:marRight w:val="0"/>
                  <w:marTop w:val="0"/>
                  <w:marBottom w:val="0"/>
                  <w:divBdr>
                    <w:top w:val="none" w:sz="0" w:space="0" w:color="auto"/>
                    <w:left w:val="none" w:sz="0" w:space="0" w:color="auto"/>
                    <w:bottom w:val="none" w:sz="0" w:space="0" w:color="auto"/>
                    <w:right w:val="none" w:sz="0" w:space="0" w:color="auto"/>
                  </w:divBdr>
                  <w:divsChild>
                    <w:div w:id="1770159049">
                      <w:marLeft w:val="0"/>
                      <w:marRight w:val="0"/>
                      <w:marTop w:val="0"/>
                      <w:marBottom w:val="0"/>
                      <w:divBdr>
                        <w:top w:val="none" w:sz="0" w:space="0" w:color="auto"/>
                        <w:left w:val="none" w:sz="0" w:space="0" w:color="auto"/>
                        <w:bottom w:val="none" w:sz="0" w:space="0" w:color="auto"/>
                        <w:right w:val="none" w:sz="0" w:space="0" w:color="auto"/>
                      </w:divBdr>
                    </w:div>
                    <w:div w:id="407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59191">
          <w:marLeft w:val="0"/>
          <w:marRight w:val="0"/>
          <w:marTop w:val="0"/>
          <w:marBottom w:val="0"/>
          <w:divBdr>
            <w:top w:val="none" w:sz="0" w:space="0" w:color="auto"/>
            <w:left w:val="none" w:sz="0" w:space="0" w:color="auto"/>
            <w:bottom w:val="none" w:sz="0" w:space="0" w:color="auto"/>
            <w:right w:val="none" w:sz="0" w:space="0" w:color="auto"/>
          </w:divBdr>
          <w:divsChild>
            <w:div w:id="215161714">
              <w:marLeft w:val="0"/>
              <w:marRight w:val="0"/>
              <w:marTop w:val="0"/>
              <w:marBottom w:val="0"/>
              <w:divBdr>
                <w:top w:val="none" w:sz="0" w:space="0" w:color="auto"/>
                <w:left w:val="none" w:sz="0" w:space="0" w:color="auto"/>
                <w:bottom w:val="none" w:sz="0" w:space="0" w:color="auto"/>
                <w:right w:val="none" w:sz="0" w:space="0" w:color="auto"/>
              </w:divBdr>
              <w:divsChild>
                <w:div w:id="4258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0991">
      <w:bodyDiv w:val="1"/>
      <w:marLeft w:val="0"/>
      <w:marRight w:val="0"/>
      <w:marTop w:val="0"/>
      <w:marBottom w:val="0"/>
      <w:divBdr>
        <w:top w:val="none" w:sz="0" w:space="0" w:color="auto"/>
        <w:left w:val="none" w:sz="0" w:space="0" w:color="auto"/>
        <w:bottom w:val="none" w:sz="0" w:space="0" w:color="auto"/>
        <w:right w:val="none" w:sz="0" w:space="0" w:color="auto"/>
      </w:divBdr>
    </w:div>
    <w:div w:id="942686305">
      <w:bodyDiv w:val="1"/>
      <w:marLeft w:val="0"/>
      <w:marRight w:val="0"/>
      <w:marTop w:val="0"/>
      <w:marBottom w:val="0"/>
      <w:divBdr>
        <w:top w:val="none" w:sz="0" w:space="0" w:color="auto"/>
        <w:left w:val="none" w:sz="0" w:space="0" w:color="auto"/>
        <w:bottom w:val="none" w:sz="0" w:space="0" w:color="auto"/>
        <w:right w:val="none" w:sz="0" w:space="0" w:color="auto"/>
      </w:divBdr>
    </w:div>
    <w:div w:id="943997496">
      <w:bodyDiv w:val="1"/>
      <w:marLeft w:val="0"/>
      <w:marRight w:val="0"/>
      <w:marTop w:val="0"/>
      <w:marBottom w:val="0"/>
      <w:divBdr>
        <w:top w:val="none" w:sz="0" w:space="0" w:color="auto"/>
        <w:left w:val="none" w:sz="0" w:space="0" w:color="auto"/>
        <w:bottom w:val="none" w:sz="0" w:space="0" w:color="auto"/>
        <w:right w:val="none" w:sz="0" w:space="0" w:color="auto"/>
      </w:divBdr>
    </w:div>
    <w:div w:id="983856365">
      <w:bodyDiv w:val="1"/>
      <w:marLeft w:val="0"/>
      <w:marRight w:val="0"/>
      <w:marTop w:val="0"/>
      <w:marBottom w:val="0"/>
      <w:divBdr>
        <w:top w:val="none" w:sz="0" w:space="0" w:color="auto"/>
        <w:left w:val="none" w:sz="0" w:space="0" w:color="auto"/>
        <w:bottom w:val="none" w:sz="0" w:space="0" w:color="auto"/>
        <w:right w:val="none" w:sz="0" w:space="0" w:color="auto"/>
      </w:divBdr>
    </w:div>
    <w:div w:id="1070813803">
      <w:bodyDiv w:val="1"/>
      <w:marLeft w:val="0"/>
      <w:marRight w:val="0"/>
      <w:marTop w:val="0"/>
      <w:marBottom w:val="0"/>
      <w:divBdr>
        <w:top w:val="none" w:sz="0" w:space="0" w:color="auto"/>
        <w:left w:val="none" w:sz="0" w:space="0" w:color="auto"/>
        <w:bottom w:val="none" w:sz="0" w:space="0" w:color="auto"/>
        <w:right w:val="none" w:sz="0" w:space="0" w:color="auto"/>
      </w:divBdr>
    </w:div>
    <w:div w:id="1072198889">
      <w:bodyDiv w:val="1"/>
      <w:marLeft w:val="0"/>
      <w:marRight w:val="0"/>
      <w:marTop w:val="0"/>
      <w:marBottom w:val="0"/>
      <w:divBdr>
        <w:top w:val="none" w:sz="0" w:space="0" w:color="auto"/>
        <w:left w:val="none" w:sz="0" w:space="0" w:color="auto"/>
        <w:bottom w:val="none" w:sz="0" w:space="0" w:color="auto"/>
        <w:right w:val="none" w:sz="0" w:space="0" w:color="auto"/>
      </w:divBdr>
      <w:divsChild>
        <w:div w:id="36780968">
          <w:marLeft w:val="0"/>
          <w:marRight w:val="0"/>
          <w:marTop w:val="0"/>
          <w:marBottom w:val="0"/>
          <w:divBdr>
            <w:top w:val="none" w:sz="0" w:space="0" w:color="auto"/>
            <w:left w:val="none" w:sz="0" w:space="0" w:color="auto"/>
            <w:bottom w:val="none" w:sz="0" w:space="0" w:color="auto"/>
            <w:right w:val="none" w:sz="0" w:space="0" w:color="auto"/>
          </w:divBdr>
          <w:divsChild>
            <w:div w:id="15144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737">
      <w:bodyDiv w:val="1"/>
      <w:marLeft w:val="0"/>
      <w:marRight w:val="0"/>
      <w:marTop w:val="0"/>
      <w:marBottom w:val="0"/>
      <w:divBdr>
        <w:top w:val="none" w:sz="0" w:space="0" w:color="auto"/>
        <w:left w:val="none" w:sz="0" w:space="0" w:color="auto"/>
        <w:bottom w:val="none" w:sz="0" w:space="0" w:color="auto"/>
        <w:right w:val="none" w:sz="0" w:space="0" w:color="auto"/>
      </w:divBdr>
    </w:div>
    <w:div w:id="1137651946">
      <w:bodyDiv w:val="1"/>
      <w:marLeft w:val="0"/>
      <w:marRight w:val="0"/>
      <w:marTop w:val="0"/>
      <w:marBottom w:val="0"/>
      <w:divBdr>
        <w:top w:val="none" w:sz="0" w:space="0" w:color="auto"/>
        <w:left w:val="none" w:sz="0" w:space="0" w:color="auto"/>
        <w:bottom w:val="none" w:sz="0" w:space="0" w:color="auto"/>
        <w:right w:val="none" w:sz="0" w:space="0" w:color="auto"/>
      </w:divBdr>
    </w:div>
    <w:div w:id="1210267842">
      <w:bodyDiv w:val="1"/>
      <w:marLeft w:val="0"/>
      <w:marRight w:val="0"/>
      <w:marTop w:val="0"/>
      <w:marBottom w:val="0"/>
      <w:divBdr>
        <w:top w:val="none" w:sz="0" w:space="0" w:color="auto"/>
        <w:left w:val="none" w:sz="0" w:space="0" w:color="auto"/>
        <w:bottom w:val="none" w:sz="0" w:space="0" w:color="auto"/>
        <w:right w:val="none" w:sz="0" w:space="0" w:color="auto"/>
      </w:divBdr>
    </w:div>
    <w:div w:id="1278565909">
      <w:bodyDiv w:val="1"/>
      <w:marLeft w:val="0"/>
      <w:marRight w:val="0"/>
      <w:marTop w:val="0"/>
      <w:marBottom w:val="0"/>
      <w:divBdr>
        <w:top w:val="none" w:sz="0" w:space="0" w:color="auto"/>
        <w:left w:val="none" w:sz="0" w:space="0" w:color="auto"/>
        <w:bottom w:val="none" w:sz="0" w:space="0" w:color="auto"/>
        <w:right w:val="none" w:sz="0" w:space="0" w:color="auto"/>
      </w:divBdr>
    </w:div>
    <w:div w:id="1330790581">
      <w:bodyDiv w:val="1"/>
      <w:marLeft w:val="0"/>
      <w:marRight w:val="0"/>
      <w:marTop w:val="0"/>
      <w:marBottom w:val="0"/>
      <w:divBdr>
        <w:top w:val="none" w:sz="0" w:space="0" w:color="auto"/>
        <w:left w:val="none" w:sz="0" w:space="0" w:color="auto"/>
        <w:bottom w:val="none" w:sz="0" w:space="0" w:color="auto"/>
        <w:right w:val="none" w:sz="0" w:space="0" w:color="auto"/>
      </w:divBdr>
    </w:div>
    <w:div w:id="1340278100">
      <w:bodyDiv w:val="1"/>
      <w:marLeft w:val="0"/>
      <w:marRight w:val="0"/>
      <w:marTop w:val="0"/>
      <w:marBottom w:val="0"/>
      <w:divBdr>
        <w:top w:val="none" w:sz="0" w:space="0" w:color="auto"/>
        <w:left w:val="none" w:sz="0" w:space="0" w:color="auto"/>
        <w:bottom w:val="none" w:sz="0" w:space="0" w:color="auto"/>
        <w:right w:val="none" w:sz="0" w:space="0" w:color="auto"/>
      </w:divBdr>
    </w:div>
    <w:div w:id="1442842877">
      <w:bodyDiv w:val="1"/>
      <w:marLeft w:val="0"/>
      <w:marRight w:val="0"/>
      <w:marTop w:val="0"/>
      <w:marBottom w:val="0"/>
      <w:divBdr>
        <w:top w:val="none" w:sz="0" w:space="0" w:color="auto"/>
        <w:left w:val="none" w:sz="0" w:space="0" w:color="auto"/>
        <w:bottom w:val="none" w:sz="0" w:space="0" w:color="auto"/>
        <w:right w:val="none" w:sz="0" w:space="0" w:color="auto"/>
      </w:divBdr>
      <w:divsChild>
        <w:div w:id="1068377871">
          <w:marLeft w:val="0"/>
          <w:marRight w:val="0"/>
          <w:marTop w:val="0"/>
          <w:marBottom w:val="0"/>
          <w:divBdr>
            <w:top w:val="none" w:sz="0" w:space="0" w:color="auto"/>
            <w:left w:val="none" w:sz="0" w:space="0" w:color="auto"/>
            <w:bottom w:val="none" w:sz="0" w:space="0" w:color="auto"/>
            <w:right w:val="none" w:sz="0" w:space="0" w:color="auto"/>
          </w:divBdr>
          <w:divsChild>
            <w:div w:id="1937975701">
              <w:marLeft w:val="0"/>
              <w:marRight w:val="0"/>
              <w:marTop w:val="0"/>
              <w:marBottom w:val="0"/>
              <w:divBdr>
                <w:top w:val="none" w:sz="0" w:space="0" w:color="auto"/>
                <w:left w:val="none" w:sz="0" w:space="0" w:color="auto"/>
                <w:bottom w:val="none" w:sz="0" w:space="0" w:color="auto"/>
                <w:right w:val="none" w:sz="0" w:space="0" w:color="auto"/>
              </w:divBdr>
            </w:div>
          </w:divsChild>
        </w:div>
        <w:div w:id="192423317">
          <w:marLeft w:val="0"/>
          <w:marRight w:val="0"/>
          <w:marTop w:val="0"/>
          <w:marBottom w:val="0"/>
          <w:divBdr>
            <w:top w:val="none" w:sz="0" w:space="0" w:color="auto"/>
            <w:left w:val="none" w:sz="0" w:space="0" w:color="auto"/>
            <w:bottom w:val="none" w:sz="0" w:space="0" w:color="auto"/>
            <w:right w:val="none" w:sz="0" w:space="0" w:color="auto"/>
          </w:divBdr>
        </w:div>
        <w:div w:id="1500995903">
          <w:marLeft w:val="0"/>
          <w:marRight w:val="0"/>
          <w:marTop w:val="0"/>
          <w:marBottom w:val="0"/>
          <w:divBdr>
            <w:top w:val="none" w:sz="0" w:space="0" w:color="auto"/>
            <w:left w:val="none" w:sz="0" w:space="0" w:color="auto"/>
            <w:bottom w:val="none" w:sz="0" w:space="0" w:color="auto"/>
            <w:right w:val="none" w:sz="0" w:space="0" w:color="auto"/>
          </w:divBdr>
        </w:div>
      </w:divsChild>
    </w:div>
    <w:div w:id="1510024299">
      <w:bodyDiv w:val="1"/>
      <w:marLeft w:val="0"/>
      <w:marRight w:val="0"/>
      <w:marTop w:val="0"/>
      <w:marBottom w:val="0"/>
      <w:divBdr>
        <w:top w:val="none" w:sz="0" w:space="0" w:color="auto"/>
        <w:left w:val="none" w:sz="0" w:space="0" w:color="auto"/>
        <w:bottom w:val="none" w:sz="0" w:space="0" w:color="auto"/>
        <w:right w:val="none" w:sz="0" w:space="0" w:color="auto"/>
      </w:divBdr>
      <w:divsChild>
        <w:div w:id="1019545013">
          <w:marLeft w:val="0"/>
          <w:marRight w:val="0"/>
          <w:marTop w:val="0"/>
          <w:marBottom w:val="0"/>
          <w:divBdr>
            <w:top w:val="none" w:sz="0" w:space="0" w:color="auto"/>
            <w:left w:val="none" w:sz="0" w:space="0" w:color="auto"/>
            <w:bottom w:val="none" w:sz="0" w:space="0" w:color="auto"/>
            <w:right w:val="none" w:sz="0" w:space="0" w:color="auto"/>
          </w:divBdr>
        </w:div>
        <w:div w:id="2138719162">
          <w:marLeft w:val="0"/>
          <w:marRight w:val="0"/>
          <w:marTop w:val="0"/>
          <w:marBottom w:val="0"/>
          <w:divBdr>
            <w:top w:val="none" w:sz="0" w:space="0" w:color="auto"/>
            <w:left w:val="none" w:sz="0" w:space="0" w:color="auto"/>
            <w:bottom w:val="none" w:sz="0" w:space="0" w:color="auto"/>
            <w:right w:val="none" w:sz="0" w:space="0" w:color="auto"/>
          </w:divBdr>
        </w:div>
      </w:divsChild>
    </w:div>
    <w:div w:id="1579972982">
      <w:bodyDiv w:val="1"/>
      <w:marLeft w:val="0"/>
      <w:marRight w:val="0"/>
      <w:marTop w:val="0"/>
      <w:marBottom w:val="0"/>
      <w:divBdr>
        <w:top w:val="none" w:sz="0" w:space="0" w:color="auto"/>
        <w:left w:val="none" w:sz="0" w:space="0" w:color="auto"/>
        <w:bottom w:val="none" w:sz="0" w:space="0" w:color="auto"/>
        <w:right w:val="none" w:sz="0" w:space="0" w:color="auto"/>
      </w:divBdr>
    </w:div>
    <w:div w:id="1693795759">
      <w:bodyDiv w:val="1"/>
      <w:marLeft w:val="0"/>
      <w:marRight w:val="0"/>
      <w:marTop w:val="0"/>
      <w:marBottom w:val="0"/>
      <w:divBdr>
        <w:top w:val="none" w:sz="0" w:space="0" w:color="auto"/>
        <w:left w:val="none" w:sz="0" w:space="0" w:color="auto"/>
        <w:bottom w:val="none" w:sz="0" w:space="0" w:color="auto"/>
        <w:right w:val="none" w:sz="0" w:space="0" w:color="auto"/>
      </w:divBdr>
    </w:div>
    <w:div w:id="1717312729">
      <w:bodyDiv w:val="1"/>
      <w:marLeft w:val="0"/>
      <w:marRight w:val="0"/>
      <w:marTop w:val="0"/>
      <w:marBottom w:val="0"/>
      <w:divBdr>
        <w:top w:val="none" w:sz="0" w:space="0" w:color="auto"/>
        <w:left w:val="none" w:sz="0" w:space="0" w:color="auto"/>
        <w:bottom w:val="none" w:sz="0" w:space="0" w:color="auto"/>
        <w:right w:val="none" w:sz="0" w:space="0" w:color="auto"/>
      </w:divBdr>
    </w:div>
    <w:div w:id="1740711018">
      <w:bodyDiv w:val="1"/>
      <w:marLeft w:val="0"/>
      <w:marRight w:val="0"/>
      <w:marTop w:val="0"/>
      <w:marBottom w:val="0"/>
      <w:divBdr>
        <w:top w:val="none" w:sz="0" w:space="0" w:color="auto"/>
        <w:left w:val="none" w:sz="0" w:space="0" w:color="auto"/>
        <w:bottom w:val="none" w:sz="0" w:space="0" w:color="auto"/>
        <w:right w:val="none" w:sz="0" w:space="0" w:color="auto"/>
      </w:divBdr>
    </w:div>
    <w:div w:id="1747606169">
      <w:bodyDiv w:val="1"/>
      <w:marLeft w:val="0"/>
      <w:marRight w:val="0"/>
      <w:marTop w:val="0"/>
      <w:marBottom w:val="0"/>
      <w:divBdr>
        <w:top w:val="none" w:sz="0" w:space="0" w:color="auto"/>
        <w:left w:val="none" w:sz="0" w:space="0" w:color="auto"/>
        <w:bottom w:val="none" w:sz="0" w:space="0" w:color="auto"/>
        <w:right w:val="none" w:sz="0" w:space="0" w:color="auto"/>
      </w:divBdr>
    </w:div>
    <w:div w:id="1819565892">
      <w:bodyDiv w:val="1"/>
      <w:marLeft w:val="0"/>
      <w:marRight w:val="0"/>
      <w:marTop w:val="0"/>
      <w:marBottom w:val="0"/>
      <w:divBdr>
        <w:top w:val="none" w:sz="0" w:space="0" w:color="auto"/>
        <w:left w:val="none" w:sz="0" w:space="0" w:color="auto"/>
        <w:bottom w:val="none" w:sz="0" w:space="0" w:color="auto"/>
        <w:right w:val="none" w:sz="0" w:space="0" w:color="auto"/>
      </w:divBdr>
    </w:div>
    <w:div w:id="1911574118">
      <w:bodyDiv w:val="1"/>
      <w:marLeft w:val="0"/>
      <w:marRight w:val="0"/>
      <w:marTop w:val="0"/>
      <w:marBottom w:val="0"/>
      <w:divBdr>
        <w:top w:val="none" w:sz="0" w:space="0" w:color="auto"/>
        <w:left w:val="none" w:sz="0" w:space="0" w:color="auto"/>
        <w:bottom w:val="none" w:sz="0" w:space="0" w:color="auto"/>
        <w:right w:val="none" w:sz="0" w:space="0" w:color="auto"/>
      </w:divBdr>
    </w:div>
    <w:div w:id="1931423968">
      <w:bodyDiv w:val="1"/>
      <w:marLeft w:val="0"/>
      <w:marRight w:val="0"/>
      <w:marTop w:val="0"/>
      <w:marBottom w:val="0"/>
      <w:divBdr>
        <w:top w:val="none" w:sz="0" w:space="0" w:color="auto"/>
        <w:left w:val="none" w:sz="0" w:space="0" w:color="auto"/>
        <w:bottom w:val="none" w:sz="0" w:space="0" w:color="auto"/>
        <w:right w:val="none" w:sz="0" w:space="0" w:color="auto"/>
      </w:divBdr>
    </w:div>
    <w:div w:id="1959070368">
      <w:bodyDiv w:val="1"/>
      <w:marLeft w:val="0"/>
      <w:marRight w:val="0"/>
      <w:marTop w:val="0"/>
      <w:marBottom w:val="0"/>
      <w:divBdr>
        <w:top w:val="none" w:sz="0" w:space="0" w:color="auto"/>
        <w:left w:val="none" w:sz="0" w:space="0" w:color="auto"/>
        <w:bottom w:val="none" w:sz="0" w:space="0" w:color="auto"/>
        <w:right w:val="none" w:sz="0" w:space="0" w:color="auto"/>
      </w:divBdr>
      <w:divsChild>
        <w:div w:id="159203509">
          <w:marLeft w:val="0"/>
          <w:marRight w:val="0"/>
          <w:marTop w:val="0"/>
          <w:marBottom w:val="0"/>
          <w:divBdr>
            <w:top w:val="none" w:sz="0" w:space="0" w:color="auto"/>
            <w:left w:val="none" w:sz="0" w:space="0" w:color="auto"/>
            <w:bottom w:val="none" w:sz="0" w:space="0" w:color="auto"/>
            <w:right w:val="none" w:sz="0" w:space="0" w:color="auto"/>
          </w:divBdr>
          <w:divsChild>
            <w:div w:id="578098948">
              <w:marLeft w:val="0"/>
              <w:marRight w:val="0"/>
              <w:marTop w:val="0"/>
              <w:marBottom w:val="0"/>
              <w:divBdr>
                <w:top w:val="none" w:sz="0" w:space="0" w:color="auto"/>
                <w:left w:val="none" w:sz="0" w:space="0" w:color="auto"/>
                <w:bottom w:val="none" w:sz="0" w:space="0" w:color="auto"/>
                <w:right w:val="none" w:sz="0" w:space="0" w:color="auto"/>
              </w:divBdr>
            </w:div>
          </w:divsChild>
        </w:div>
        <w:div w:id="1876389065">
          <w:marLeft w:val="0"/>
          <w:marRight w:val="0"/>
          <w:marTop w:val="0"/>
          <w:marBottom w:val="0"/>
          <w:divBdr>
            <w:top w:val="none" w:sz="0" w:space="0" w:color="auto"/>
            <w:left w:val="none" w:sz="0" w:space="0" w:color="auto"/>
            <w:bottom w:val="none" w:sz="0" w:space="0" w:color="auto"/>
            <w:right w:val="none" w:sz="0" w:space="0" w:color="auto"/>
          </w:divBdr>
          <w:divsChild>
            <w:div w:id="1716734983">
              <w:marLeft w:val="0"/>
              <w:marRight w:val="0"/>
              <w:marTop w:val="0"/>
              <w:marBottom w:val="0"/>
              <w:divBdr>
                <w:top w:val="none" w:sz="0" w:space="0" w:color="auto"/>
                <w:left w:val="none" w:sz="0" w:space="0" w:color="auto"/>
                <w:bottom w:val="none" w:sz="0" w:space="0" w:color="auto"/>
                <w:right w:val="none" w:sz="0" w:space="0" w:color="auto"/>
              </w:divBdr>
              <w:divsChild>
                <w:div w:id="1854371007">
                  <w:marLeft w:val="0"/>
                  <w:marRight w:val="0"/>
                  <w:marTop w:val="0"/>
                  <w:marBottom w:val="0"/>
                  <w:divBdr>
                    <w:top w:val="none" w:sz="0" w:space="0" w:color="auto"/>
                    <w:left w:val="none" w:sz="0" w:space="0" w:color="auto"/>
                    <w:bottom w:val="none" w:sz="0" w:space="0" w:color="auto"/>
                    <w:right w:val="none" w:sz="0" w:space="0" w:color="auto"/>
                  </w:divBdr>
                  <w:divsChild>
                    <w:div w:id="103843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0894">
              <w:marLeft w:val="0"/>
              <w:marRight w:val="0"/>
              <w:marTop w:val="0"/>
              <w:marBottom w:val="0"/>
              <w:divBdr>
                <w:top w:val="none" w:sz="0" w:space="0" w:color="auto"/>
                <w:left w:val="none" w:sz="0" w:space="0" w:color="auto"/>
                <w:bottom w:val="none" w:sz="0" w:space="0" w:color="auto"/>
                <w:right w:val="none" w:sz="0" w:space="0" w:color="auto"/>
              </w:divBdr>
              <w:divsChild>
                <w:div w:id="798305991">
                  <w:marLeft w:val="0"/>
                  <w:marRight w:val="0"/>
                  <w:marTop w:val="0"/>
                  <w:marBottom w:val="0"/>
                  <w:divBdr>
                    <w:top w:val="none" w:sz="0" w:space="0" w:color="auto"/>
                    <w:left w:val="none" w:sz="0" w:space="0" w:color="auto"/>
                    <w:bottom w:val="none" w:sz="0" w:space="0" w:color="auto"/>
                    <w:right w:val="none" w:sz="0" w:space="0" w:color="auto"/>
                  </w:divBdr>
                  <w:divsChild>
                    <w:div w:id="14827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97418">
              <w:marLeft w:val="0"/>
              <w:marRight w:val="0"/>
              <w:marTop w:val="0"/>
              <w:marBottom w:val="0"/>
              <w:divBdr>
                <w:top w:val="none" w:sz="0" w:space="0" w:color="auto"/>
                <w:left w:val="none" w:sz="0" w:space="0" w:color="auto"/>
                <w:bottom w:val="none" w:sz="0" w:space="0" w:color="auto"/>
                <w:right w:val="none" w:sz="0" w:space="0" w:color="auto"/>
              </w:divBdr>
              <w:divsChild>
                <w:div w:id="628558436">
                  <w:marLeft w:val="0"/>
                  <w:marRight w:val="0"/>
                  <w:marTop w:val="0"/>
                  <w:marBottom w:val="0"/>
                  <w:divBdr>
                    <w:top w:val="none" w:sz="0" w:space="0" w:color="auto"/>
                    <w:left w:val="none" w:sz="0" w:space="0" w:color="auto"/>
                    <w:bottom w:val="none" w:sz="0" w:space="0" w:color="auto"/>
                    <w:right w:val="none" w:sz="0" w:space="0" w:color="auto"/>
                  </w:divBdr>
                  <w:divsChild>
                    <w:div w:id="622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0515">
              <w:marLeft w:val="0"/>
              <w:marRight w:val="0"/>
              <w:marTop w:val="0"/>
              <w:marBottom w:val="0"/>
              <w:divBdr>
                <w:top w:val="none" w:sz="0" w:space="0" w:color="auto"/>
                <w:left w:val="none" w:sz="0" w:space="0" w:color="auto"/>
                <w:bottom w:val="none" w:sz="0" w:space="0" w:color="auto"/>
                <w:right w:val="none" w:sz="0" w:space="0" w:color="auto"/>
              </w:divBdr>
              <w:divsChild>
                <w:div w:id="2093310357">
                  <w:marLeft w:val="0"/>
                  <w:marRight w:val="0"/>
                  <w:marTop w:val="0"/>
                  <w:marBottom w:val="0"/>
                  <w:divBdr>
                    <w:top w:val="none" w:sz="0" w:space="0" w:color="auto"/>
                    <w:left w:val="none" w:sz="0" w:space="0" w:color="auto"/>
                    <w:bottom w:val="none" w:sz="0" w:space="0" w:color="auto"/>
                    <w:right w:val="none" w:sz="0" w:space="0" w:color="auto"/>
                  </w:divBdr>
                  <w:divsChild>
                    <w:div w:id="6585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0415">
              <w:marLeft w:val="0"/>
              <w:marRight w:val="0"/>
              <w:marTop w:val="0"/>
              <w:marBottom w:val="0"/>
              <w:divBdr>
                <w:top w:val="none" w:sz="0" w:space="0" w:color="auto"/>
                <w:left w:val="none" w:sz="0" w:space="0" w:color="auto"/>
                <w:bottom w:val="none" w:sz="0" w:space="0" w:color="auto"/>
                <w:right w:val="none" w:sz="0" w:space="0" w:color="auto"/>
              </w:divBdr>
              <w:divsChild>
                <w:div w:id="1970041025">
                  <w:marLeft w:val="0"/>
                  <w:marRight w:val="0"/>
                  <w:marTop w:val="0"/>
                  <w:marBottom w:val="0"/>
                  <w:divBdr>
                    <w:top w:val="none" w:sz="0" w:space="0" w:color="auto"/>
                    <w:left w:val="none" w:sz="0" w:space="0" w:color="auto"/>
                    <w:bottom w:val="none" w:sz="0" w:space="0" w:color="auto"/>
                    <w:right w:val="none" w:sz="0" w:space="0" w:color="auto"/>
                  </w:divBdr>
                  <w:divsChild>
                    <w:div w:id="4800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7765">
              <w:marLeft w:val="0"/>
              <w:marRight w:val="0"/>
              <w:marTop w:val="0"/>
              <w:marBottom w:val="0"/>
              <w:divBdr>
                <w:top w:val="none" w:sz="0" w:space="0" w:color="auto"/>
                <w:left w:val="none" w:sz="0" w:space="0" w:color="auto"/>
                <w:bottom w:val="none" w:sz="0" w:space="0" w:color="auto"/>
                <w:right w:val="none" w:sz="0" w:space="0" w:color="auto"/>
              </w:divBdr>
              <w:divsChild>
                <w:div w:id="973221437">
                  <w:marLeft w:val="0"/>
                  <w:marRight w:val="0"/>
                  <w:marTop w:val="0"/>
                  <w:marBottom w:val="0"/>
                  <w:divBdr>
                    <w:top w:val="none" w:sz="0" w:space="0" w:color="auto"/>
                    <w:left w:val="none" w:sz="0" w:space="0" w:color="auto"/>
                    <w:bottom w:val="none" w:sz="0" w:space="0" w:color="auto"/>
                    <w:right w:val="none" w:sz="0" w:space="0" w:color="auto"/>
                  </w:divBdr>
                  <w:divsChild>
                    <w:div w:id="11089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125564">
      <w:bodyDiv w:val="1"/>
      <w:marLeft w:val="0"/>
      <w:marRight w:val="0"/>
      <w:marTop w:val="0"/>
      <w:marBottom w:val="0"/>
      <w:divBdr>
        <w:top w:val="none" w:sz="0" w:space="0" w:color="auto"/>
        <w:left w:val="none" w:sz="0" w:space="0" w:color="auto"/>
        <w:bottom w:val="none" w:sz="0" w:space="0" w:color="auto"/>
        <w:right w:val="none" w:sz="0" w:space="0" w:color="auto"/>
      </w:divBdr>
      <w:divsChild>
        <w:div w:id="366486498">
          <w:marLeft w:val="0"/>
          <w:marRight w:val="0"/>
          <w:marTop w:val="0"/>
          <w:marBottom w:val="0"/>
          <w:divBdr>
            <w:top w:val="none" w:sz="0" w:space="0" w:color="auto"/>
            <w:left w:val="none" w:sz="0" w:space="0" w:color="auto"/>
            <w:bottom w:val="none" w:sz="0" w:space="0" w:color="auto"/>
            <w:right w:val="none" w:sz="0" w:space="0" w:color="auto"/>
          </w:divBdr>
          <w:divsChild>
            <w:div w:id="1861237421">
              <w:marLeft w:val="0"/>
              <w:marRight w:val="0"/>
              <w:marTop w:val="0"/>
              <w:marBottom w:val="0"/>
              <w:divBdr>
                <w:top w:val="none" w:sz="0" w:space="0" w:color="auto"/>
                <w:left w:val="none" w:sz="0" w:space="0" w:color="auto"/>
                <w:bottom w:val="none" w:sz="0" w:space="0" w:color="auto"/>
                <w:right w:val="none" w:sz="0" w:space="0" w:color="auto"/>
              </w:divBdr>
            </w:div>
          </w:divsChild>
        </w:div>
        <w:div w:id="199366410">
          <w:marLeft w:val="0"/>
          <w:marRight w:val="0"/>
          <w:marTop w:val="0"/>
          <w:marBottom w:val="0"/>
          <w:divBdr>
            <w:top w:val="none" w:sz="0" w:space="0" w:color="auto"/>
            <w:left w:val="none" w:sz="0" w:space="0" w:color="auto"/>
            <w:bottom w:val="none" w:sz="0" w:space="0" w:color="auto"/>
            <w:right w:val="none" w:sz="0" w:space="0" w:color="auto"/>
          </w:divBdr>
          <w:divsChild>
            <w:div w:id="6629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6392">
      <w:bodyDiv w:val="1"/>
      <w:marLeft w:val="0"/>
      <w:marRight w:val="0"/>
      <w:marTop w:val="0"/>
      <w:marBottom w:val="0"/>
      <w:divBdr>
        <w:top w:val="none" w:sz="0" w:space="0" w:color="auto"/>
        <w:left w:val="none" w:sz="0" w:space="0" w:color="auto"/>
        <w:bottom w:val="none" w:sz="0" w:space="0" w:color="auto"/>
        <w:right w:val="none" w:sz="0" w:space="0" w:color="auto"/>
      </w:divBdr>
    </w:div>
    <w:div w:id="209115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BB92-8C1C-4B52-90BD-41BF991E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12342</Words>
  <Characters>70355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Myers</dc:creator>
  <cp:keywords/>
  <dc:description/>
  <cp:lastModifiedBy>Jed Meers</cp:lastModifiedBy>
  <cp:revision>3</cp:revision>
  <cp:lastPrinted>2026-01-17T14:21:00Z</cp:lastPrinted>
  <dcterms:created xsi:type="dcterms:W3CDTF">2026-01-17T15:03:00Z</dcterms:created>
  <dcterms:modified xsi:type="dcterms:W3CDTF">2026-01-17T15:03:00Z</dcterms:modified>
</cp:coreProperties>
</file>