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6CA77">
      <w:pPr>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Understanding Community Perceptions of the Importance of Ecosystem Services from Gazetted Forests</w:t>
      </w:r>
    </w:p>
    <w:p w14:paraId="31A200D0">
      <w:pPr>
        <w:spacing w:after="0" w:line="240" w:lineRule="auto"/>
        <w:jc w:val="center"/>
        <w:rPr>
          <w:rFonts w:hint="default" w:ascii="Times New Roman" w:hAnsi="Times New Roman" w:eastAsia="Times New Roman" w:cs="Times New Roman"/>
          <w:b/>
          <w:sz w:val="24"/>
          <w:szCs w:val="24"/>
        </w:rPr>
      </w:pPr>
    </w:p>
    <w:p w14:paraId="5B3C6F60">
      <w:pPr>
        <w:spacing w:after="0" w:line="240" w:lineRule="auto"/>
        <w:jc w:val="center"/>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Banki T. Chunwate</w:t>
      </w: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1,4,6</w:t>
      </w:r>
      <w:r>
        <w:rPr>
          <w:rFonts w:hint="default" w:ascii="Times New Roman" w:hAnsi="Times New Roman" w:eastAsia="Times New Roman" w:cs="Times New Roman"/>
          <w:color w:val="000000" w:themeColor="text1"/>
          <w:sz w:val="24"/>
          <w:szCs w:val="24"/>
          <w:highlight w:val="white"/>
          <w14:textFill>
            <w14:solidFill>
              <w14:schemeClr w14:val="tx1"/>
            </w14:solidFill>
          </w14:textFill>
        </w:rPr>
        <w:t>*</w:t>
      </w:r>
      <w:r>
        <w:rPr>
          <w:rFonts w:hint="default" w:ascii="Times New Roman" w:hAnsi="Times New Roman" w:eastAsia="Times New Roman" w:cs="Times New Roman"/>
          <w:color w:val="000000" w:themeColor="text1"/>
          <w:sz w:val="24"/>
          <w:szCs w:val="24"/>
          <w14:textFill>
            <w14:solidFill>
              <w14:schemeClr w14:val="tx1"/>
            </w14:solidFill>
          </w14:textFill>
        </w:rPr>
        <w:t>, Robert A. Marchant</w:t>
      </w: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1,4,5</w:t>
      </w:r>
      <w:r>
        <w:rPr>
          <w:rFonts w:hint="default" w:ascii="Times New Roman" w:hAnsi="Times New Roman" w:eastAsia="Times New Roman" w:cs="Times New Roman"/>
          <w:color w:val="000000" w:themeColor="text1"/>
          <w:sz w:val="24"/>
          <w:szCs w:val="24"/>
          <w14:textFill>
            <w14:solidFill>
              <w14:schemeClr w14:val="tx1"/>
            </w14:solidFill>
          </w14:textFill>
        </w:rPr>
        <w:t>, Eleanor K.K. Jew</w:t>
      </w: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1,3</w:t>
      </w:r>
      <w:r>
        <w:rPr>
          <w:rFonts w:hint="default" w:ascii="Times New Roman" w:hAnsi="Times New Roman" w:eastAsia="Times New Roman" w:cs="Times New Roman"/>
          <w:color w:val="000000" w:themeColor="text1"/>
          <w:sz w:val="24"/>
          <w:szCs w:val="24"/>
          <w14:textFill>
            <w14:solidFill>
              <w14:schemeClr w14:val="tx1"/>
            </w14:solidFill>
          </w14:textFill>
        </w:rPr>
        <w:t>, Lindsay C. Stringer</w:t>
      </w: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1,2,4</w:t>
      </w:r>
    </w:p>
    <w:p w14:paraId="38899A0E">
      <w:pPr>
        <w:spacing w:after="0" w:line="240" w:lineRule="auto"/>
        <w:jc w:val="center"/>
        <w:rPr>
          <w:rFonts w:hint="default" w:ascii="Times New Roman" w:hAnsi="Times New Roman" w:eastAsia="Times New Roman" w:cs="Times New Roman"/>
          <w:color w:val="000000" w:themeColor="text1"/>
          <w:sz w:val="24"/>
          <w:szCs w:val="24"/>
          <w:highlight w:val="white"/>
          <w14:textFill>
            <w14:solidFill>
              <w14:schemeClr w14:val="tx1"/>
            </w14:solidFill>
          </w14:textFill>
        </w:rPr>
      </w:pPr>
      <w:r>
        <w:rPr>
          <w:rFonts w:hint="default" w:ascii="Times New Roman" w:hAnsi="Times New Roman" w:eastAsia="Aptos" w:cs="Times New Roman"/>
          <w:color w:val="000000" w:themeColor="text1"/>
          <w:sz w:val="24"/>
          <w:szCs w:val="24"/>
          <w14:textFill>
            <w14:solidFill>
              <w14:schemeClr w14:val="tx1"/>
            </w14:solidFill>
          </w14:textFill>
        </w:rPr>
        <w:br w:type="textWrapping"/>
      </w:r>
      <w:r>
        <w:rPr>
          <w:rFonts w:hint="default" w:ascii="Times New Roman" w:hAnsi="Times New Roman" w:eastAsia="Times New Roman" w:cs="Times New Roman"/>
          <w:color w:val="000000" w:themeColor="text1"/>
          <w:sz w:val="24"/>
          <w:szCs w:val="24"/>
          <w:highlight w:val="white"/>
          <w:vertAlign w:val="superscript"/>
          <w14:textFill>
            <w14:solidFill>
              <w14:schemeClr w14:val="tx1"/>
            </w14:solidFill>
          </w14:textFill>
        </w:rPr>
        <w:t>1</w:t>
      </w:r>
      <w:r>
        <w:rPr>
          <w:rFonts w:hint="default" w:ascii="Times New Roman" w:hAnsi="Times New Roman" w:eastAsia="Times New Roman" w:cs="Times New Roman"/>
          <w:color w:val="000000" w:themeColor="text1"/>
          <w:sz w:val="24"/>
          <w:szCs w:val="24"/>
          <w:highlight w:val="white"/>
          <w14:textFill>
            <w14:solidFill>
              <w14:schemeClr w14:val="tx1"/>
            </w14:solidFill>
          </w14:textFill>
        </w:rPr>
        <w:t>Department of Environment and Geography, University of York, Wentworth Way, Heslington, York YO10 5NG</w:t>
      </w:r>
    </w:p>
    <w:p w14:paraId="11E7DF4F">
      <w:pPr>
        <w:spacing w:after="0" w:line="240" w:lineRule="auto"/>
        <w:jc w:val="center"/>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eastAsia="Times New Roman" w:cs="Times New Roman"/>
          <w:color w:val="000000" w:themeColor="text1"/>
          <w:sz w:val="24"/>
          <w:szCs w:val="24"/>
          <w14:textFill>
            <w14:solidFill>
              <w14:schemeClr w14:val="tx1"/>
            </w14:solidFill>
          </w14:textFill>
        </w:rPr>
        <w:t>Leverhulme Centre for Anthropocene Biodiversity, University of York, York, UK</w:t>
      </w:r>
    </w:p>
    <w:p w14:paraId="076E9379">
      <w:pPr>
        <w:spacing w:after="0" w:line="240" w:lineRule="auto"/>
        <w:jc w:val="center"/>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Interdisciplinary Global Development Centre, University of York, York, UK</w:t>
      </w:r>
    </w:p>
    <w:p w14:paraId="381C3E28">
      <w:pPr>
        <w:spacing w:after="0" w:line="240" w:lineRule="auto"/>
        <w:jc w:val="center"/>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 xml:space="preserve">4 </w:t>
      </w:r>
      <w:r>
        <w:rPr>
          <w:rFonts w:hint="default" w:ascii="Times New Roman" w:hAnsi="Times New Roman" w:eastAsia="Times New Roman" w:cs="Times New Roman"/>
          <w:color w:val="000000" w:themeColor="text1"/>
          <w:sz w:val="24"/>
          <w:szCs w:val="24"/>
          <w14:textFill>
            <w14:solidFill>
              <w14:schemeClr w14:val="tx1"/>
            </w14:solidFill>
          </w14:textFill>
        </w:rPr>
        <w:t>York Environmental Sustainability Institute of York, York, UK</w:t>
      </w:r>
      <w:r>
        <w:rPr>
          <w:rFonts w:hint="default" w:ascii="Times New Roman" w:hAnsi="Times New Roman" w:eastAsia="Times New Roman" w:cs="Times New Roman"/>
          <w:color w:val="000000" w:themeColor="text1"/>
          <w:sz w:val="24"/>
          <w:szCs w:val="24"/>
          <w14:textFill>
            <w14:solidFill>
              <w14:schemeClr w14:val="tx1"/>
            </w14:solidFill>
          </w14:textFill>
        </w:rPr>
        <w:br w:type="textWrapping"/>
      </w:r>
      <w:r>
        <w:rPr>
          <w:rFonts w:hint="default" w:ascii="Times New Roman" w:hAnsi="Times New Roman" w:eastAsia="Times New Roman" w:cs="Times New Roman"/>
          <w:color w:val="000000" w:themeColor="text1"/>
          <w:sz w:val="24"/>
          <w:szCs w:val="24"/>
          <w:highlight w:val="white"/>
          <w:vertAlign w:val="superscript"/>
          <w14:textFill>
            <w14:solidFill>
              <w14:schemeClr w14:val="tx1"/>
            </w14:solidFill>
          </w14:textFill>
        </w:rPr>
        <w:t>5</w:t>
      </w:r>
      <w:r>
        <w:rPr>
          <w:rFonts w:hint="default" w:ascii="Times New Roman" w:hAnsi="Times New Roman" w:eastAsia="Times New Roman" w:cs="Times New Roman"/>
          <w:color w:val="000000" w:themeColor="text1"/>
          <w:sz w:val="24"/>
          <w:szCs w:val="24"/>
          <w:highlight w:val="white"/>
          <w14:textFill>
            <w14:solidFill>
              <w14:schemeClr w14:val="tx1"/>
            </w14:solidFill>
          </w14:textFill>
        </w:rPr>
        <w:t>Faculty of Environment and Resource Studies, Mahidol University, Phutthamonthon Sai 4 Road, Nakhon Pathom 73170, Thailand</w:t>
      </w:r>
    </w:p>
    <w:p w14:paraId="2E895D06">
      <w:pPr>
        <w:spacing w:after="0" w:line="240" w:lineRule="auto"/>
        <w:jc w:val="center"/>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vertAlign w:val="superscript"/>
          <w14:textFill>
            <w14:solidFill>
              <w14:schemeClr w14:val="tx1"/>
            </w14:solidFill>
          </w14:textFill>
        </w:rPr>
        <w:t xml:space="preserve">6 </w:t>
      </w:r>
      <w:r>
        <w:rPr>
          <w:rFonts w:hint="default" w:ascii="Times New Roman" w:hAnsi="Times New Roman" w:eastAsia="Times New Roman" w:cs="Times New Roman"/>
          <w:color w:val="000000" w:themeColor="text1"/>
          <w:sz w:val="24"/>
          <w:szCs w:val="24"/>
          <w14:textFill>
            <w14:solidFill>
              <w14:schemeClr w14:val="tx1"/>
            </w14:solidFill>
          </w14:textFill>
        </w:rPr>
        <w:t>Department of Environmental Management, Faculty of Environmental Science, Nasarawa State University, Keffi, PMB1022 Keffi, Nigeria</w:t>
      </w:r>
    </w:p>
    <w:p w14:paraId="66C27682">
      <w:pPr>
        <w:spacing w:after="0" w:line="240" w:lineRule="auto"/>
        <w:jc w:val="both"/>
        <w:rPr>
          <w:rFonts w:hint="default" w:ascii="Times New Roman" w:hAnsi="Times New Roman" w:eastAsia="Times New Roman" w:cs="Times New Roman"/>
          <w:color w:val="000000" w:themeColor="text1"/>
          <w:sz w:val="24"/>
          <w:szCs w:val="24"/>
          <w14:textFill>
            <w14:solidFill>
              <w14:schemeClr w14:val="tx1"/>
            </w14:solidFill>
          </w14:textFill>
        </w:rPr>
      </w:pPr>
    </w:p>
    <w:p w14:paraId="4D49566E">
      <w:pPr>
        <w:spacing w:after="0" w:line="240" w:lineRule="auto"/>
        <w:jc w:val="center"/>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highlight w:val="white"/>
          <w14:textFill>
            <w14:solidFill>
              <w14:schemeClr w14:val="tx1"/>
            </w14:solidFill>
          </w14:textFill>
        </w:rPr>
        <w:t>*</w:t>
      </w:r>
      <w:r>
        <w:rPr>
          <w:rFonts w:hint="default" w:ascii="Times New Roman" w:hAnsi="Times New Roman" w:eastAsia="Times New Roman" w:cs="Times New Roman"/>
          <w:color w:val="000000" w:themeColor="text1"/>
          <w:sz w:val="24"/>
          <w:szCs w:val="24"/>
          <w14:textFill>
            <w14:solidFill>
              <w14:schemeClr w14:val="tx1"/>
            </w14:solidFill>
          </w14:textFill>
        </w:rPr>
        <w:t xml:space="preserve">Corresponding Author: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"mailto:banki.chunwate@nsuk.edu.ng"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00" w:themeColor="text1"/>
          <w:sz w:val="24"/>
          <w:szCs w:val="24"/>
          <w14:textFill>
            <w14:solidFill>
              <w14:schemeClr w14:val="tx1"/>
            </w14:solidFill>
          </w14:textFill>
        </w:rPr>
        <w:t>banki.chunwate@nsuk.edu.ng</w:t>
      </w:r>
      <w:r>
        <w:rPr>
          <w:rFonts w:hint="default" w:ascii="Times New Roman" w:hAnsi="Times New Roman" w:eastAsia="Times New Roman" w:cs="Times New Roman"/>
          <w:color w:val="000000" w:themeColor="text1"/>
          <w:sz w:val="24"/>
          <w:szCs w:val="24"/>
          <w14:textFill>
            <w14:solidFill>
              <w14:schemeClr w14:val="tx1"/>
            </w14:solidFill>
          </w14:textFill>
        </w:rPr>
        <w:fldChar w:fldCharType="end"/>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"mailto:banki.chunwate@gmail.com"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00" w:themeColor="text1"/>
          <w:sz w:val="24"/>
          <w:szCs w:val="24"/>
          <w:u w:val="single"/>
          <w14:textFill>
            <w14:solidFill>
              <w14:schemeClr w14:val="tx1"/>
            </w14:solidFill>
          </w14:textFill>
        </w:rPr>
        <w:t>banki.chunwate@gmail.com</w:t>
      </w:r>
      <w:r>
        <w:rPr>
          <w:rFonts w:hint="default" w:ascii="Times New Roman" w:hAnsi="Times New Roman" w:eastAsia="Times New Roman" w:cs="Times New Roman"/>
          <w:color w:val="000000" w:themeColor="text1"/>
          <w:sz w:val="24"/>
          <w:szCs w:val="24"/>
          <w:u w:val="single"/>
          <w14:textFill>
            <w14:solidFill>
              <w14:schemeClr w14:val="tx1"/>
            </w14:solidFill>
          </w14:textFill>
        </w:rPr>
        <w:fldChar w:fldCharType="end"/>
      </w:r>
      <w:r>
        <w:rPr>
          <w:rFonts w:hint="default" w:ascii="Times New Roman" w:hAnsi="Times New Roman" w:eastAsia="Times New Roman" w:cs="Times New Roman"/>
          <w:color w:val="000000" w:themeColor="text1"/>
          <w:sz w:val="24"/>
          <w:szCs w:val="24"/>
          <w14:textFill>
            <w14:solidFill>
              <w14:schemeClr w14:val="tx1"/>
            </w14:solidFill>
          </w14:textFill>
        </w:rPr>
        <w:t xml:space="preserve">, or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"mailto:btc512@york.ac.uk"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00" w:themeColor="text1"/>
          <w:sz w:val="24"/>
          <w:szCs w:val="24"/>
          <w:u w:val="single"/>
          <w14:textFill>
            <w14:solidFill>
              <w14:schemeClr w14:val="tx1"/>
            </w14:solidFill>
          </w14:textFill>
        </w:rPr>
        <w:t>btc512@york.ac.uk</w:t>
      </w:r>
      <w:r>
        <w:rPr>
          <w:rFonts w:hint="default" w:ascii="Times New Roman" w:hAnsi="Times New Roman" w:eastAsia="Times New Roman" w:cs="Times New Roman"/>
          <w:color w:val="000000" w:themeColor="text1"/>
          <w:sz w:val="24"/>
          <w:szCs w:val="24"/>
          <w:u w:val="single"/>
          <w14:textFill>
            <w14:solidFill>
              <w14:schemeClr w14:val="tx1"/>
            </w14:solidFill>
          </w14:textFill>
        </w:rPr>
        <w:fldChar w:fldCharType="end"/>
      </w:r>
    </w:p>
    <w:p w14:paraId="1185A7CF">
      <w:pPr>
        <w:shd w:val="clear" w:color="auto" w:fill="FFFFFF"/>
        <w:spacing w:after="0" w:line="240" w:lineRule="auto"/>
        <w:jc w:val="center"/>
        <w:rPr>
          <w:rFonts w:hint="default" w:ascii="Times New Roman" w:hAnsi="Times New Roman" w:eastAsia="Times New Roman" w:cs="Times New Roman"/>
          <w:color w:val="000000" w:themeColor="text1"/>
          <w:sz w:val="24"/>
          <w:szCs w:val="24"/>
          <w:highlight w:val="white"/>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Co-authors’ email addresses: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"mailto:robert.marchant@york.ac.uk"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00" w:themeColor="text1"/>
          <w:sz w:val="24"/>
          <w:szCs w:val="24"/>
          <w14:textFill>
            <w14:solidFill>
              <w14:schemeClr w14:val="tx1"/>
            </w14:solidFill>
          </w14:textFill>
        </w:rPr>
        <w:t>robert.marchant@york.ac.uk</w:t>
      </w:r>
      <w:r>
        <w:rPr>
          <w:rFonts w:hint="default" w:ascii="Times New Roman" w:hAnsi="Times New Roman" w:eastAsia="Times New Roman" w:cs="Times New Roman"/>
          <w:color w:val="000000" w:themeColor="text1"/>
          <w:sz w:val="24"/>
          <w:szCs w:val="24"/>
          <w14:textFill>
            <w14:solidFill>
              <w14:schemeClr w14:val="tx1"/>
            </w14:solidFill>
          </w14:textFill>
        </w:rPr>
        <w:fldChar w:fldCharType="end"/>
      </w:r>
      <w:r>
        <w:rPr>
          <w:rFonts w:hint="default" w:ascii="Times New Roman" w:hAnsi="Times New Roman" w:eastAsia="Times New Roman" w:cs="Times New Roman"/>
          <w:color w:val="000000" w:themeColor="text1"/>
          <w:sz w:val="24"/>
          <w:szCs w:val="24"/>
          <w14:textFill>
            <w14:solidFill>
              <w14:schemeClr w14:val="tx1"/>
            </w14:solidFill>
          </w14:textFill>
        </w:rPr>
        <w:t>,</w:t>
      </w:r>
      <w:r>
        <w:rPr>
          <w:rFonts w:hint="default" w:ascii="Times New Roman" w:hAnsi="Times New Roman" w:eastAsia="Times New Roman" w:cs="Times New Roman"/>
          <w:color w:val="000000" w:themeColor="text1"/>
          <w:sz w:val="24"/>
          <w:szCs w:val="24"/>
          <w:highlight w:val="white"/>
          <w14:textFill>
            <w14:solidFill>
              <w14:schemeClr w14:val="tx1"/>
            </w14:solidFill>
          </w14:textFill>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"mailto:eleanor.jew@york.ac.uk"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00" w:themeColor="text1"/>
          <w:sz w:val="24"/>
          <w:szCs w:val="24"/>
          <w:highlight w:val="white"/>
          <w14:textFill>
            <w14:solidFill>
              <w14:schemeClr w14:val="tx1"/>
            </w14:solidFill>
          </w14:textFill>
        </w:rPr>
        <w:t>eleanor.jew@york.ac.uk</w:t>
      </w:r>
      <w:r>
        <w:rPr>
          <w:rFonts w:hint="default" w:ascii="Times New Roman" w:hAnsi="Times New Roman" w:eastAsia="Times New Roman" w:cs="Times New Roman"/>
          <w:color w:val="000000" w:themeColor="text1"/>
          <w:sz w:val="24"/>
          <w:szCs w:val="24"/>
          <w:highlight w:val="white"/>
          <w14:textFill>
            <w14:solidFill>
              <w14:schemeClr w14:val="tx1"/>
            </w14:solidFill>
          </w14:textFill>
        </w:rPr>
        <w:fldChar w:fldCharType="end"/>
      </w:r>
      <w:r>
        <w:rPr>
          <w:rFonts w:hint="default" w:ascii="Times New Roman" w:hAnsi="Times New Roman" w:eastAsia="Times New Roman" w:cs="Times New Roman"/>
          <w:color w:val="000000" w:themeColor="text1"/>
          <w:sz w:val="24"/>
          <w:szCs w:val="24"/>
          <w:highlight w:val="white"/>
          <w14:textFill>
            <w14:solidFill>
              <w14:schemeClr w14:val="tx1"/>
            </w14:solidFill>
          </w14:textFill>
        </w:rPr>
        <w:t xml:space="preserve">, lindsay.stringer@york.ac.uk </w:t>
      </w:r>
    </w:p>
    <w:p w14:paraId="64CE531A">
      <w:pPr>
        <w:shd w:val="clear" w:color="auto" w:fill="FFFFFF"/>
        <w:spacing w:after="0" w:line="240" w:lineRule="auto"/>
        <w:rPr>
          <w:rFonts w:hint="default" w:ascii="Times New Roman" w:hAnsi="Times New Roman" w:eastAsia="Times New Roman" w:cs="Times New Roman"/>
          <w:color w:val="212121"/>
          <w:spacing w:val="2"/>
          <w:sz w:val="24"/>
          <w:szCs w:val="24"/>
        </w:rPr>
      </w:pPr>
      <w:r>
        <w:rPr>
          <w:rFonts w:hint="default" w:ascii="Times New Roman" w:hAnsi="Times New Roman" w:eastAsia="Times New Roman" w:cs="Times New Roman"/>
          <w:color w:val="212121"/>
          <w:spacing w:val="2"/>
          <w:sz w:val="24"/>
          <w:szCs w:val="24"/>
        </w:rPr>
        <w:t>Authors’ ORCIDs:</w:t>
      </w:r>
    </w:p>
    <w:p w14:paraId="5A570813">
      <w:pPr>
        <w:shd w:val="clear" w:color="auto" w:fill="FFFFFF"/>
        <w:spacing w:after="0" w:line="240" w:lineRule="auto"/>
        <w:rPr>
          <w:rFonts w:hint="default" w:ascii="Times New Roman" w:hAnsi="Times New Roman" w:eastAsia="Times New Roman" w:cs="Times New Roman"/>
          <w:spacing w:val="2"/>
          <w:sz w:val="24"/>
          <w:szCs w:val="24"/>
        </w:rPr>
      </w:pPr>
      <w:r>
        <w:rPr>
          <w:rFonts w:hint="default" w:ascii="Times New Roman" w:hAnsi="Times New Roman" w:eastAsia="Times New Roman" w:cs="Times New Roman"/>
          <w:spacing w:val="2"/>
          <w:sz w:val="24"/>
          <w:szCs w:val="24"/>
        </w:rPr>
        <w:t xml:space="preserve">Banki Chunwate </w:t>
      </w:r>
      <w:bookmarkStart w:id="0" w:name="_Hlk184137446"/>
      <w:r>
        <w:rPr>
          <w:rFonts w:hint="default" w:ascii="Times New Roman" w:hAnsi="Times New Roman" w:eastAsia="Times New Roman" w:cs="Times New Roman"/>
          <w:spacing w:val="2"/>
          <w:sz w:val="24"/>
          <w:szCs w:val="24"/>
        </w:rPr>
        <w:t>ORCID</w:t>
      </w:r>
      <w:bookmarkEnd w:id="0"/>
      <w:r>
        <w:rPr>
          <w:rFonts w:hint="default" w:ascii="Times New Roman" w:hAnsi="Times New Roman" w:eastAsia="Times New Roman" w:cs="Times New Roman"/>
          <w:spacing w:val="2"/>
          <w:sz w:val="24"/>
          <w:szCs w:val="24"/>
        </w:rPr>
        <w:t xml:space="preserve"> 0000-0002-4757-8657 </w:t>
      </w:r>
    </w:p>
    <w:p w14:paraId="57DDB5DD">
      <w:pPr>
        <w:shd w:val="clear" w:color="auto" w:fill="FFFFFF"/>
        <w:spacing w:after="0" w:line="240" w:lineRule="auto"/>
        <w:rPr>
          <w:rFonts w:hint="default" w:ascii="Times New Roman" w:hAnsi="Times New Roman" w:eastAsia="Times New Roman" w:cs="Times New Roman"/>
          <w:spacing w:val="-3"/>
          <w:sz w:val="24"/>
          <w:szCs w:val="24"/>
        </w:rPr>
      </w:pPr>
      <w:r>
        <w:rPr>
          <w:rFonts w:hint="default" w:ascii="Times New Roman" w:hAnsi="Times New Roman" w:eastAsia="Times New Roman" w:cs="Times New Roman"/>
          <w:spacing w:val="2"/>
          <w:sz w:val="24"/>
          <w:szCs w:val="24"/>
        </w:rPr>
        <w:t xml:space="preserve">Robert Marchant ORCID </w:t>
      </w:r>
      <w:r>
        <w:rPr>
          <w:rFonts w:hint="default" w:ascii="Times New Roman" w:hAnsi="Times New Roman" w:eastAsia="Times New Roman" w:cs="Times New Roman"/>
          <w:spacing w:val="-3"/>
          <w:sz w:val="24"/>
          <w:szCs w:val="24"/>
        </w:rPr>
        <w:t>0000-0001-5013-4056</w:t>
      </w:r>
    </w:p>
    <w:p w14:paraId="6F96CDE0">
      <w:pPr>
        <w:shd w:val="clear" w:color="auto" w:fill="FFFFFF"/>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pacing w:val="2"/>
          <w:sz w:val="24"/>
          <w:szCs w:val="24"/>
        </w:rPr>
        <w:t xml:space="preserve">Eleanor Jew ORCID 0000-0003-0241-404X </w:t>
      </w:r>
    </w:p>
    <w:p w14:paraId="07650E7A">
      <w:pPr>
        <w:shd w:val="clear" w:color="auto" w:fill="FFFFFF"/>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pacing w:val="2"/>
          <w:sz w:val="24"/>
          <w:szCs w:val="24"/>
        </w:rPr>
        <w:t xml:space="preserve">Lindsay Stringer ORCID 0000-0003-0017-1654 </w:t>
      </w:r>
    </w:p>
    <w:p w14:paraId="4AE91AC9">
      <w:pPr>
        <w:shd w:val="clear" w:color="auto" w:fill="FFFFFF"/>
        <w:spacing w:after="0" w:line="240" w:lineRule="auto"/>
        <w:rPr>
          <w:rFonts w:hint="default" w:ascii="Times New Roman" w:hAnsi="Times New Roman" w:eastAsia="Times New Roman" w:cs="Times New Roman"/>
          <w:color w:val="333333"/>
          <w:sz w:val="24"/>
          <w:szCs w:val="24"/>
        </w:rPr>
      </w:pPr>
    </w:p>
    <w:p w14:paraId="6BB58143">
      <w:pPr>
        <w:shd w:val="clear" w:color="auto" w:fill="FFFFFF"/>
        <w:spacing w:after="0" w:line="240" w:lineRule="auto"/>
        <w:jc w:val="both"/>
        <w:rPr>
          <w:rFonts w:hint="default" w:ascii="Times New Roman" w:hAnsi="Times New Roman" w:eastAsia="Times New Roman" w:cs="Times New Roman"/>
          <w:color w:val="212121"/>
          <w:spacing w:val="2"/>
          <w:sz w:val="24"/>
          <w:szCs w:val="24"/>
        </w:rPr>
      </w:pPr>
      <w:r>
        <w:rPr>
          <w:rFonts w:hint="default" w:ascii="Times New Roman" w:hAnsi="Times New Roman" w:eastAsia="Times New Roman" w:cs="Times New Roman"/>
          <w:b/>
          <w:bCs/>
          <w:color w:val="212121"/>
          <w:spacing w:val="2"/>
          <w:sz w:val="24"/>
          <w:szCs w:val="24"/>
        </w:rPr>
        <w:t>Statements and declarations:</w:t>
      </w:r>
      <w:r>
        <w:rPr>
          <w:rFonts w:hint="default" w:ascii="Times New Roman" w:hAnsi="Times New Roman" w:eastAsia="Times New Roman" w:cs="Times New Roman"/>
          <w:color w:val="212121"/>
          <w:spacing w:val="2"/>
          <w:sz w:val="24"/>
          <w:szCs w:val="24"/>
        </w:rPr>
        <w:t xml:space="preserve"> Questionnaire survey data are not publicly available to protect participant privacy, as promised during data collection and detailed in our ethical approval. The authors have no competing interests to declare. </w:t>
      </w:r>
    </w:p>
    <w:p w14:paraId="22346258">
      <w:pPr>
        <w:shd w:val="clear" w:color="auto" w:fill="FFFFFF"/>
        <w:spacing w:after="0" w:line="240" w:lineRule="auto"/>
        <w:jc w:val="both"/>
        <w:rPr>
          <w:rFonts w:hint="default" w:ascii="Times New Roman" w:hAnsi="Times New Roman" w:eastAsia="Times New Roman" w:cs="Times New Roman"/>
          <w:color w:val="333333"/>
          <w:sz w:val="24"/>
          <w:szCs w:val="24"/>
        </w:rPr>
      </w:pPr>
    </w:p>
    <w:p w14:paraId="2D2CC4ED">
      <w:pPr>
        <w:shd w:val="clear" w:color="auto" w:fill="FFFFFF"/>
        <w:spacing w:after="0" w:line="240" w:lineRule="auto"/>
        <w:jc w:val="both"/>
        <w:rPr>
          <w:rFonts w:hint="default" w:ascii="Times New Roman" w:hAnsi="Times New Roman" w:eastAsia="Times New Roman" w:cs="Times New Roman"/>
          <w:color w:val="323232"/>
          <w:spacing w:val="2"/>
          <w:sz w:val="24"/>
          <w:szCs w:val="24"/>
        </w:rPr>
      </w:pPr>
      <w:r>
        <w:rPr>
          <w:rFonts w:hint="default" w:ascii="Times New Roman" w:hAnsi="Times New Roman" w:eastAsia="Times New Roman" w:cs="Times New Roman"/>
          <w:b/>
          <w:bCs/>
          <w:color w:val="000000"/>
          <w:spacing w:val="2"/>
          <w:sz w:val="24"/>
          <w:szCs w:val="24"/>
        </w:rPr>
        <w:t>Author contributions</w:t>
      </w:r>
      <w:r>
        <w:rPr>
          <w:rFonts w:hint="default" w:ascii="Times New Roman" w:hAnsi="Times New Roman" w:eastAsia="Times New Roman" w:cs="Times New Roman"/>
          <w:color w:val="000000"/>
          <w:spacing w:val="2"/>
          <w:sz w:val="24"/>
          <w:szCs w:val="24"/>
        </w:rPr>
        <w:t>: All authors contributed to the c</w:t>
      </w:r>
      <w:r>
        <w:rPr>
          <w:rFonts w:hint="default" w:ascii="Times New Roman" w:hAnsi="Times New Roman" w:eastAsia="Times New Roman" w:cs="Times New Roman"/>
          <w:color w:val="323232"/>
          <w:spacing w:val="2"/>
          <w:sz w:val="24"/>
          <w:szCs w:val="24"/>
        </w:rPr>
        <w:t xml:space="preserve">onceptualization, review and editing of the manuscript. The lead author led the writing and preparation of the original draft.  </w:t>
      </w:r>
    </w:p>
    <w:p w14:paraId="298B8CFE">
      <w:pPr>
        <w:shd w:val="clear" w:color="auto" w:fill="FFFFFF"/>
        <w:spacing w:after="0" w:line="240" w:lineRule="auto"/>
        <w:jc w:val="both"/>
        <w:rPr>
          <w:rFonts w:hint="default" w:ascii="Times New Roman" w:hAnsi="Times New Roman" w:eastAsia="Times New Roman" w:cs="Times New Roman"/>
          <w:color w:val="333333"/>
          <w:sz w:val="24"/>
          <w:szCs w:val="24"/>
        </w:rPr>
      </w:pPr>
    </w:p>
    <w:p w14:paraId="69ACBE65">
      <w:pPr>
        <w:shd w:val="clear" w:color="auto" w:fill="FFFFFF"/>
        <w:spacing w:after="0" w:line="240" w:lineRule="auto"/>
        <w:jc w:val="both"/>
        <w:rPr>
          <w:rFonts w:hint="default" w:ascii="Times New Roman" w:hAnsi="Times New Roman" w:eastAsia="Times New Roman" w:cs="Times New Roman"/>
          <w:color w:val="333333"/>
          <w:sz w:val="24"/>
          <w:szCs w:val="24"/>
        </w:rPr>
      </w:pPr>
      <w:r>
        <w:rPr>
          <w:rFonts w:hint="default" w:ascii="Times New Roman" w:hAnsi="Times New Roman" w:eastAsia="Times New Roman" w:cs="Times New Roman"/>
          <w:b/>
          <w:bCs/>
          <w:color w:val="323232"/>
          <w:spacing w:val="2"/>
          <w:sz w:val="24"/>
          <w:szCs w:val="24"/>
        </w:rPr>
        <w:t>Compliance with ethical standards:</w:t>
      </w:r>
      <w:r>
        <w:rPr>
          <w:rFonts w:hint="default" w:ascii="Times New Roman" w:hAnsi="Times New Roman" w:eastAsia="Times New Roman" w:cs="Times New Roman"/>
          <w:color w:val="323232"/>
          <w:spacing w:val="2"/>
          <w:sz w:val="24"/>
          <w:szCs w:val="24"/>
        </w:rPr>
        <w:t xml:space="preserve"> </w:t>
      </w:r>
      <w:r>
        <w:rPr>
          <w:rFonts w:hint="default" w:ascii="Times New Roman" w:hAnsi="Times New Roman" w:eastAsia="Times New Roman" w:cs="Times New Roman"/>
          <w:color w:val="212121"/>
          <w:spacing w:val="2"/>
          <w:sz w:val="24"/>
          <w:szCs w:val="24"/>
        </w:rPr>
        <w:t xml:space="preserve">Ethics approval for research involving human participants was granted by the Environment Department Ethical Review Committee, University of York, UK, with due consideration afforded to informed consent and data privacy. </w:t>
      </w:r>
    </w:p>
    <w:p w14:paraId="23110588">
      <w:pPr>
        <w:shd w:val="clear" w:color="auto" w:fill="FFFFFF"/>
        <w:spacing w:after="0" w:line="240" w:lineRule="auto"/>
        <w:jc w:val="both"/>
        <w:rPr>
          <w:rFonts w:hint="default" w:ascii="Times New Roman" w:hAnsi="Times New Roman" w:eastAsia="Times New Roman" w:cs="Times New Roman"/>
          <w:b/>
          <w:bCs/>
          <w:color w:val="212121"/>
          <w:spacing w:val="2"/>
          <w:sz w:val="24"/>
          <w:szCs w:val="24"/>
        </w:rPr>
      </w:pPr>
    </w:p>
    <w:p w14:paraId="5F0DE7E7">
      <w:pPr>
        <w:shd w:val="clear" w:color="auto" w:fill="FFFFFF"/>
        <w:spacing w:after="0" w:line="240" w:lineRule="auto"/>
        <w:jc w:val="both"/>
        <w:rPr>
          <w:rFonts w:hint="default" w:ascii="Times New Roman" w:hAnsi="Times New Roman" w:eastAsia="Times New Roman" w:cs="Times New Roman"/>
          <w:color w:val="333333"/>
          <w:sz w:val="24"/>
          <w:szCs w:val="24"/>
        </w:rPr>
      </w:pPr>
      <w:r>
        <w:rPr>
          <w:rFonts w:hint="default" w:ascii="Times New Roman" w:hAnsi="Times New Roman" w:eastAsia="Times New Roman" w:cs="Times New Roman"/>
          <w:b/>
          <w:bCs/>
          <w:color w:val="212121"/>
          <w:spacing w:val="2"/>
          <w:sz w:val="24"/>
          <w:szCs w:val="24"/>
        </w:rPr>
        <w:t>Funding acknowledgement:</w:t>
      </w:r>
      <w:r>
        <w:rPr>
          <w:rFonts w:hint="default" w:ascii="Times New Roman" w:hAnsi="Times New Roman" w:eastAsia="Times New Roman" w:cs="Times New Roman"/>
          <w:color w:val="212121"/>
          <w:spacing w:val="2"/>
          <w:sz w:val="24"/>
          <w:szCs w:val="24"/>
        </w:rPr>
        <w:t xml:space="preserve"> This research was supported by the Tertiary Education Trust Fund (TETFUND) in Nigeria, award TETF/UNIV/KEFFI/TSAS/2019</w:t>
      </w:r>
      <w:r>
        <w:rPr>
          <w:rFonts w:hint="default" w:ascii="Times New Roman" w:hAnsi="Times New Roman" w:eastAsia="Times New Roman" w:cs="Times New Roman"/>
          <w:color w:val="1F1F1F"/>
          <w:spacing w:val="2"/>
          <w:sz w:val="24"/>
          <w:szCs w:val="24"/>
        </w:rPr>
        <w:t>.</w:t>
      </w:r>
    </w:p>
    <w:p w14:paraId="33867D48">
      <w:pPr>
        <w:spacing w:after="0" w:line="240" w:lineRule="auto"/>
        <w:jc w:val="both"/>
        <w:rPr>
          <w:rFonts w:hint="default" w:ascii="Times New Roman" w:hAnsi="Times New Roman" w:eastAsia="Times New Roman" w:cs="Times New Roman"/>
          <w:sz w:val="24"/>
          <w:szCs w:val="24"/>
        </w:rPr>
      </w:pPr>
    </w:p>
    <w:p w14:paraId="12CCB8F0">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b/>
          <w:bCs/>
          <w:i w:val="0"/>
          <w:iCs w:val="0"/>
          <w:color w:val="000000"/>
          <w:sz w:val="24"/>
          <w:szCs w:val="24"/>
          <w:u w:val="none"/>
          <w:shd w:val="clear" w:fill="FFFFFF"/>
          <w:vertAlign w:val="baseline"/>
        </w:rPr>
      </w:pPr>
    </w:p>
    <w:p w14:paraId="5F436446">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b/>
          <w:bCs/>
          <w:i w:val="0"/>
          <w:iCs w:val="0"/>
          <w:color w:val="000000"/>
          <w:sz w:val="24"/>
          <w:szCs w:val="24"/>
          <w:u w:val="none"/>
          <w:shd w:val="clear" w:fill="FFFFFF"/>
          <w:vertAlign w:val="baseline"/>
        </w:rPr>
      </w:pPr>
    </w:p>
    <w:p w14:paraId="6A7623A0">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b/>
          <w:bCs/>
          <w:i w:val="0"/>
          <w:iCs w:val="0"/>
          <w:color w:val="000000"/>
          <w:sz w:val="24"/>
          <w:szCs w:val="24"/>
          <w:u w:val="none"/>
          <w:shd w:val="clear" w:fill="FFFFFF"/>
          <w:vertAlign w:val="baseline"/>
        </w:rPr>
      </w:pPr>
    </w:p>
    <w:p w14:paraId="4B616180">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b/>
          <w:bCs/>
          <w:i w:val="0"/>
          <w:iCs w:val="0"/>
          <w:color w:val="000000"/>
          <w:sz w:val="24"/>
          <w:szCs w:val="24"/>
          <w:u w:val="none"/>
          <w:shd w:val="clear" w:fill="FFFFFF"/>
          <w:vertAlign w:val="baseline"/>
        </w:rPr>
      </w:pPr>
    </w:p>
    <w:p w14:paraId="666B6470">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b/>
          <w:bCs/>
          <w:i w:val="0"/>
          <w:iCs w:val="0"/>
          <w:color w:val="000000"/>
          <w:sz w:val="24"/>
          <w:szCs w:val="24"/>
          <w:u w:val="none"/>
          <w:shd w:val="clear" w:fill="FFFFFF"/>
          <w:vertAlign w:val="baseline"/>
        </w:rPr>
      </w:pPr>
    </w:p>
    <w:p w14:paraId="5A6C0B41">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b/>
          <w:bCs/>
          <w:i w:val="0"/>
          <w:iCs w:val="0"/>
          <w:color w:val="000000"/>
          <w:sz w:val="24"/>
          <w:szCs w:val="24"/>
          <w:u w:val="none"/>
          <w:shd w:val="clear" w:fill="FFFFFF"/>
          <w:vertAlign w:val="baseline"/>
        </w:rPr>
      </w:pPr>
    </w:p>
    <w:p w14:paraId="25FED00E">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shd w:val="clear" w:fill="FFFFFF"/>
          <w:vertAlign w:val="baseline"/>
        </w:rPr>
        <w:t>Abstract</w:t>
      </w:r>
    </w:p>
    <w:p w14:paraId="19BC8CE2">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sz w:val="24"/>
          <w:szCs w:val="24"/>
        </w:rPr>
      </w:pPr>
      <w:r>
        <w:rPr>
          <w:rFonts w:hint="default" w:ascii="Times New Roman" w:hAnsi="Times New Roman" w:cs="Times New Roman"/>
          <w:i/>
          <w:iCs/>
          <w:color w:val="000000"/>
          <w:sz w:val="24"/>
          <w:szCs w:val="24"/>
          <w:u w:val="none"/>
          <w:shd w:val="clear" w:fill="FFFFFF"/>
          <w:vertAlign w:val="baseline"/>
        </w:rPr>
        <w:t>Understanding how protected areas support forest community livelihoods is crucial for informing forest conservation and reducing land degradation. This paper evaluates ecosystem services perceived by communities near three gazetted forest reserves in Nasarawa State, Nigeria: Odu, Risha, and Doma. We ask three questions: i) what ecosystem services do the community perceive they obtain from the gazetted forests? ii) how important do communities perceive the ecosystem services from the gazetted forest reserves to be to wider society?. iii) are there differences in perceptions across the reserves? Data collection involved multistage sampling across three geopolitical zones, using household surveys, interviews, and focus groups. Data analyses employed SPSS and NVivo.  Results indicate gazetted forests provide communities with edible fruits, income, agricultural produce, and climate regulation. Highly valued societal benefits include rainfall, land fertility, biodiversity, and climate regulation. Comparative analysis shows traditional worship is highly valued in Odu but less in Doma and Risha. The study recommends forest management consider community dependence on forest products (e.g., food, building materials, herbs) for health and welfare benefits. Communities could facilitate land use planning and zoning of culturally significant areas and assist in formulating forest policies that address interactions between people and forest use. </w:t>
      </w:r>
    </w:p>
    <w:p w14:paraId="1C290494">
      <w:pPr>
        <w:pStyle w:val="11"/>
        <w:keepNext w:val="0"/>
        <w:keepLines w:val="0"/>
        <w:widowControl/>
        <w:suppressLineNumbers w:val="0"/>
        <w:bidi w:val="0"/>
        <w:spacing w:before="240" w:beforeAutospacing="0" w:after="240" w:afterAutospacing="0" w:line="18" w:lineRule="atLeast"/>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shd w:val="clear" w:fill="FFFFFF"/>
          <w:vertAlign w:val="baseline"/>
        </w:rPr>
        <w:t>Key words: Community dependent, conservation, gazetted forest, nature-based solutions, Nigeria.</w:t>
      </w:r>
    </w:p>
    <w:p w14:paraId="06D6302C">
      <w:pPr>
        <w:pStyle w:val="2"/>
        <w:spacing w:before="67"/>
        <w:jc w:val="left"/>
        <w:rPr>
          <w:rFonts w:hint="default" w:ascii="Times New Roman" w:hAnsi="Times New Roman" w:cs="Times New Roman"/>
          <w:spacing w:val="-2"/>
          <w:sz w:val="24"/>
          <w:szCs w:val="24"/>
        </w:rPr>
      </w:pPr>
    </w:p>
    <w:p w14:paraId="03C90AC8">
      <w:pPr>
        <w:pStyle w:val="2"/>
        <w:spacing w:before="67"/>
        <w:jc w:val="left"/>
        <w:rPr>
          <w:rFonts w:hint="default" w:ascii="Times New Roman" w:hAnsi="Times New Roman" w:cs="Times New Roman"/>
          <w:sz w:val="24"/>
          <w:szCs w:val="24"/>
        </w:rPr>
      </w:pPr>
      <w:r>
        <w:rPr>
          <w:rFonts w:hint="default" w:ascii="Times New Roman" w:hAnsi="Times New Roman" w:cs="Times New Roman"/>
          <w:spacing w:val="-2"/>
          <w:sz w:val="24"/>
          <w:szCs w:val="24"/>
        </w:rPr>
        <w:t>Introduction</w:t>
      </w:r>
    </w:p>
    <w:p w14:paraId="151B888A">
      <w:pPr>
        <w:pStyle w:val="7"/>
        <w:spacing w:before="2" w:line="480" w:lineRule="auto"/>
        <w:jc w:val="both"/>
        <w:rPr>
          <w:rFonts w:hint="default" w:ascii="Times New Roman" w:hAnsi="Times New Roman" w:cs="Times New Roman"/>
          <w:b/>
          <w:sz w:val="24"/>
          <w:szCs w:val="24"/>
        </w:rPr>
      </w:pPr>
    </w:p>
    <w:p w14:paraId="3F4AF1A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Maintaining a balance between socioeconomic development and the preservation of biodiversity is increasingly challenging due to climate change and rapid human population growth, which heighten the demand for natural resources and community development (Wilson &amp; Flint, 2024; Galán-Guevara, 2024; Talmage et al., 2024; Sahoo et al., 2023; Mazibuko, 2013; Lhoest, et al., 2019). Understanding the trade- offs and synergies between environmental conservation and development is particularly relevant in tropical forest regions, where millions of people depend on forests for their livelihoods (Galán-Guevara, 2024; Khater &amp; Faik, 2024; Mazibuko, 2013; Ahrens et al., 2025). These forests serve as critical reservoirs of biodiversity, yet they are experiencing unprecedented rates of degradation and loss (Oliver &amp; Stout, 2022; Mazibuko, 2013; Blaise &amp; Allred, 2022; Oliver, &amp; Stout, 2022). One of the most widely adopted conservation strategies is the establishment of protected areas (PAs), legally designated regions intended to preserve ecosystems and their associated services (Dudley, 2008; Borrini-Feyerabend &amp; Hill, 2015). Despite international and national commitments to PAs, their effectiveness in achieving both conservation and community development goals remains inconsistent, particularly in tropical regions where socioeconomic pressures often undermine their success (Hoffmann, 2022; Ward et al., 2018; Smith et al., 2018).</w:t>
      </w:r>
    </w:p>
    <w:p w14:paraId="16069BD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response to these challenges, global conservation frameworks such as the Convention on Biological Diversity (CBD) and the Kunming-Montreal Global Biodiversity Framework emphasize ambitious targets, including the conservation of at least 30% of the planet's land and sea areas by 2030 ("30 by 30") and reducing extinction rates by 2050 (Agbedahin, 2019; Halisçelik &amp; Soytas, 2019; CBD, 2022; Li et al., 2023). At the national level, countries have designated forest reserves to align with these goals while promoting sustainable resource management and biodiversity conservation (Federal Ministry of Environment, 2015; FAO, 2020), but these do not always take into account the whole range of ecosystem services that people obtain from forests.</w:t>
      </w:r>
    </w:p>
    <w:p w14:paraId="36BA856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Gazetted forest reserves, which are legally designated for biodiversity conservation and ecosystem service preservation, are a core component in sustainable forest governance. Effective management of these reserves requires integrating community perspectives to ensure that conservation policies align with local needs and priorities (Meijaard et al., 2013; Stone &amp; Nyaupane, 2014; Zeratsion et al., 2024). Research highlights that community perceptions of ecosystem services vary widely, influenced by socioeconomic, cultural, and environmental factors (Gai et al., 2024; Cuni-Sanchez et al., 2019; Hetemäki et al., 2024). Understanding these perspectives is essential for promoting community well-being, fostering local engagement, local development and enhancing the effectiveness of conservation strategies (Khater &amp; Faik, 2024).</w:t>
      </w:r>
    </w:p>
    <w:p w14:paraId="7FB07C6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across tropical regions reveal how communities value and prioritize different ecosystem services. In Ghana, traditional beliefs and sacred groves play a role in conservation (Aniah et al., 2014), whereas in Malaysia, communities highlight environmental threats and advocate for conservation efforts (Gai et al., 2024). Similarly, in South Korea, residents express a preference for biodiversity conservation and demonstrate a willingness to pay for its enhancement (Son et al., 2024). In Central Africa, provisioning and cultural services such as food, medicine, and spiritual values are central to local forest use (Lhoest et al., 2019). These cross-regional comparisons underscore the importance of contextualizing ecosystem service perceptions within specific sociocultural and ecological settings (Lyman &amp; Evans, 2014; Constant &amp; Taylor, 2020).</w:t>
      </w:r>
    </w:p>
    <w:p w14:paraId="67FB8AD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perceptions of forest ecosystem services are shaped by a combination of economic dependency on forest resources, cultural traditions, and environmental awareness. Local communities highly value provisioning services such as plant-derived medicines, timber, and firewood, but spiritual and cultural values are often overlooked in forest management policies (Roongtawanreongsri &amp; Boonkaew, 2022; Sourokou &amp; Vodouhe, 2024). Awareness of regulating and supporting services remains low, emphasizing the need for community education and participatory conservation strategies (Garekae et al., 2017; Zhang et al., 2016; Smith et al., 2018). Moreover, proximity to forests significantly influences perceptions, while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formal education and government programs have shown limited impact in shifting community attitudes (Sourokou &amp; Vodouhe, 2024; Zhang et al., 2016).</w:t>
      </w:r>
    </w:p>
    <w:p w14:paraId="4D0845D2">
      <w:pPr>
        <w:spacing w:line="480" w:lineRule="auto"/>
        <w:jc w:val="both"/>
        <w:rPr>
          <w:rFonts w:hint="default" w:ascii="Times New Roman" w:hAnsi="Times New Roman" w:cs="Times New Roman"/>
          <w:sz w:val="24"/>
          <w:szCs w:val="24"/>
        </w:rPr>
      </w:pPr>
    </w:p>
    <w:p w14:paraId="0B180AA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research engages with the broader community development literature and explores the nexus between local forest values, socioeconomic priorities, and sustainable forest management. Despite global recognition of the importance of forest ecosystem services, limited research exists on how Nigerian communities, particularly those in Nasarawa State, perceive and interact with gazetted forests. This gap is particularly critical given that Nasarawa State is characterized by high forest biodiversity and accelerating land cover change (Chunwate et al., 2025), making it a microcosm of larger conservation and development challenges facing the Global South (Chunwate et al., 2019). Understanding how local communities perceive forest ecosystem services provides critical insights for crafting strategies that are socially inclusive, ecologically effective, and likely lead to sustainable forest management outcomes.</w:t>
      </w:r>
    </w:p>
    <w:p w14:paraId="5B3BD06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Addressing this gap is critical because community perceptions influence conservation success and sustainable forest management outcomes (Eyassu, 2021; Moutouama et al., 2019; Ahrens et al., 2025; Sung &amp; Phillips, 2018; Salazar et al., 2024). The research provides valuable insights into local conservation attitudes and can be used to inform policies that enhance both environmental protection and community development (Ihemezie et al., 2022; Guarino et al., 2023), helping conservationists, community development practitioners and policymakers craft strategies that integrate ecological conservation with socio-economic well-being, ensuring long-term sustainability and resilience against future environmental and socioeconomic pressures challenges.</w:t>
      </w:r>
    </w:p>
    <w:p w14:paraId="44CEC52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Addressing this knowledge gap, this study explores these perceptions in an area of high forest diversity and rapid land cover change in Nasarawa State, Nigeria (Chunwate et al., 2019). The focus on perceptions provides insights into local community perspectives, knowledge, and beliefs, and how these vary across different populations, cultures, regions and communities. We address the following three questions to further understand forest use and perceptions and their variation across the gazetted forest reserves: (1) What ecosystem services do the community perceive they obtain from the gazetted forest resources? (2)</w:t>
      </w:r>
    </w:p>
    <w:p w14:paraId="6C25A4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important do communities perceive the ecosystem services from the gazetted forest reserves to be to wider society? (3) Are there differences in perceptions across three gazetted forest reserves?</w:t>
      </w:r>
    </w:p>
    <w:p w14:paraId="5231548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provides important information about ecosystem services for decision-makers to better understand the dependency of local communities on ecosystem services, so that they can incorporate the perceptions of stakeholders and design better land use policy to support local sustainable community development planning. Policymakers, community stakeholders and forest managers must integrate these diverse perceptions into conservation frameworks and strategies to ensure equitable, resilient, effective and sustainable management of gazetted forests (Mahama &amp; Maharjan, 2019; Ahrens et al., 2025; Gai et al., 2024; Son et al., 2024).</w:t>
      </w:r>
    </w:p>
    <w:p w14:paraId="57F22284">
      <w:pPr>
        <w:pStyle w:val="2"/>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design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methods</w:t>
      </w:r>
    </w:p>
    <w:p w14:paraId="08325A2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details the geographical context of the research area, the procedures employed, and the techniques used for data collection and analysis. This study was carried out in Nasarawa State (Figure 1).</w:t>
      </w:r>
    </w:p>
    <w:p w14:paraId="334CD67C">
      <w:pPr>
        <w:rPr>
          <w:rFonts w:hint="default" w:ascii="Times New Roman" w:hAnsi="Times New Roman" w:cs="Times New Roman"/>
          <w:sz w:val="24"/>
          <w:szCs w:val="24"/>
        </w:rPr>
      </w:pPr>
    </w:p>
    <w:p w14:paraId="1F7F07F3">
      <w:pPr>
        <w:rPr>
          <w:rFonts w:hint="default" w:ascii="Times New Roman" w:hAnsi="Times New Roman" w:cs="Times New Roman"/>
          <w:sz w:val="24"/>
          <w:szCs w:val="24"/>
        </w:rPr>
      </w:pPr>
    </w:p>
    <w:p w14:paraId="1FD1182B">
      <w:pPr>
        <w:rPr>
          <w:rFonts w:hint="default" w:ascii="Times New Roman" w:hAnsi="Times New Roman" w:cs="Times New Roman"/>
          <w:color w:val="000000"/>
          <w:sz w:val="24"/>
          <w:szCs w:val="24"/>
        </w:rPr>
      </w:pPr>
    </w:p>
    <w:p w14:paraId="694274E8">
      <w:pPr>
        <w:spacing w:after="0" w:line="240" w:lineRule="auto"/>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color w:val="000000"/>
          <w:sz w:val="24"/>
          <w:szCs w:val="24"/>
        </w:rPr>
        <w:drawing>
          <wp:inline distT="0" distB="0" distL="114300" distR="114300">
            <wp:extent cx="5937885" cy="4196715"/>
            <wp:effectExtent l="0" t="0" r="5715" b="13335"/>
            <wp:docPr id="2" name="Picture 2" descr="October_studyarea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ctober_studyareamap-1"/>
                    <pic:cNvPicPr>
                      <a:picLocks noChangeAspect="1"/>
                    </pic:cNvPicPr>
                  </pic:nvPicPr>
                  <pic:blipFill>
                    <a:blip r:embed="rId7"/>
                    <a:stretch>
                      <a:fillRect/>
                    </a:stretch>
                  </pic:blipFill>
                  <pic:spPr>
                    <a:xfrm>
                      <a:off x="0" y="0"/>
                      <a:ext cx="5937885" cy="4196715"/>
                    </a:xfrm>
                    <a:prstGeom prst="rect">
                      <a:avLst/>
                    </a:prstGeom>
                  </pic:spPr>
                </pic:pic>
              </a:graphicData>
            </a:graphic>
          </wp:inline>
        </w:drawing>
      </w:r>
      <w:r>
        <w:rPr>
          <w:rFonts w:hint="default" w:ascii="Times New Roman" w:hAnsi="Times New Roman" w:eastAsia="Times New Roman" w:cs="Times New Roman"/>
          <w:color w:val="000000"/>
          <w:sz w:val="24"/>
          <w:szCs w:val="24"/>
        </w:rPr>
        <w:t xml:space="preserve">Figure 1. </w:t>
      </w:r>
      <w:r>
        <w:rPr>
          <w:rFonts w:hint="default" w:ascii="Times New Roman" w:hAnsi="Times New Roman" w:eastAsia="Times New Roman" w:cs="Times New Roman"/>
          <w:color w:val="000000"/>
          <w:sz w:val="24"/>
          <w:szCs w:val="24"/>
          <w:lang w:val="en-US"/>
        </w:rPr>
        <w:t xml:space="preserve"> </w:t>
      </w:r>
      <w:r>
        <w:rPr>
          <w:rFonts w:hint="default" w:ascii="Times New Roman" w:hAnsi="Times New Roman" w:eastAsia="Times New Roman" w:cs="Times New Roman"/>
          <w:i/>
          <w:color w:val="000000"/>
          <w:sz w:val="24"/>
          <w:szCs w:val="24"/>
        </w:rPr>
        <w:t>Map of Africa with Nigeria, indicating the geographical position of Nasarawa State</w:t>
      </w:r>
    </w:p>
    <w:p w14:paraId="068A20B1">
      <w:pPr>
        <w:spacing w:after="0"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i/>
          <w:color w:val="000000"/>
          <w:sz w:val="24"/>
          <w:szCs w:val="24"/>
        </w:rPr>
        <w:t>and its administrative subdivisions</w:t>
      </w:r>
      <w:r>
        <w:rPr>
          <w:rFonts w:hint="default" w:ascii="Times New Roman" w:hAnsi="Times New Roman" w:eastAsia="Times New Roman" w:cs="Times New Roman"/>
          <w:color w:val="000000"/>
          <w:sz w:val="24"/>
          <w:szCs w:val="24"/>
        </w:rPr>
        <w:t xml:space="preserve">.        </w:t>
      </w:r>
    </w:p>
    <w:p w14:paraId="2E557248">
      <w:pPr>
        <w:spacing w:after="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Source: Extracted by the authors from the shapefile provided by the Ministry of Environment,Abuja, and the Nasarawa Geographic Information Service (2022).</w:t>
      </w:r>
    </w:p>
    <w:p w14:paraId="218B351E">
      <w:pPr>
        <w:jc w:val="both"/>
        <w:rPr>
          <w:rFonts w:hint="default" w:ascii="Times New Roman" w:hAnsi="Times New Roman" w:cs="Times New Roman"/>
          <w:sz w:val="24"/>
          <w:szCs w:val="24"/>
        </w:rPr>
      </w:pPr>
    </w:p>
    <w:p w14:paraId="3B7E8D8B">
      <w:pPr>
        <w:spacing w:line="480" w:lineRule="auto"/>
        <w:jc w:val="both"/>
        <w:rPr>
          <w:rFonts w:hint="default" w:ascii="Times New Roman" w:hAnsi="Times New Roman" w:cs="Times New Roman"/>
          <w:sz w:val="24"/>
          <w:szCs w:val="24"/>
        </w:rPr>
      </w:pPr>
    </w:p>
    <w:p w14:paraId="6A78DB1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Figure 1. Map of Africa with Nigeria, indicating the geographical position of Nasarawa State and its administrative subdivisions. Source: Extracted by the authors from the shapefile provided by the Ministry of Environment, Abuja, and the Nasarawa Geographic Information Service (2022).</w:t>
      </w:r>
    </w:p>
    <w:p w14:paraId="603540F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Nigeria is known for its natural resource-based economy and rich biodiversity (Inuwa et al., 2022), and as the largest economy in Africa (Olaniyi et al., 2019; Inuwa et al., 2022), occupies a significant position within the West African Guinea Savanna. Within Nigeria, we chose to conduct this research work in Nasarawa State, in North Central Nigeria (Mbaya &amp; Hashidu, 2017) within the Guinea Savanna vegetation zone. This area is noteworthy due to migration driven by farmer-herder conflicts, leading individuals to seek refuge and sustenance in Nasarawa State (Atim &amp; Gbamwuan, 2022; Chunwate et al., 2021; Ite &amp; Adams, 1998). This migration has bolstered Nasarawa's status as a major national food basket, supporting diverse food and cash crops and attracting those in search of viable livelihoods (Ihemezie et al., 2021). The forest reserves are spread across all three geo-political zones of the state: Nasarawa North, Nasarawa South</w:t>
      </w:r>
    </w:p>
    <w:p w14:paraId="4F3E940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and Nasarawa West Senatorial district (Figure 2). Three gazetted forests, Doma, Risha and Odu were selected to represent Nasarawa south, Nasarawa north, and Nasarawa west respectively (Figure 2).</w:t>
      </w:r>
    </w:p>
    <w:p w14:paraId="109324D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6609715" cy="4883150"/>
            <wp:effectExtent l="0" t="0" r="635" b="12700"/>
            <wp:docPr id="3" name="Picture 3" descr="C:\Users\USER\Desktop\Community Journal\Formatted\Maps\FOREST_10_11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Community Journal\Formatted\Maps\FOREST_10_11_25.jpg"/>
                    <pic:cNvPicPr>
                      <a:picLocks noChangeAspect="1" noChangeArrowheads="1"/>
                    </pic:cNvPicPr>
                  </pic:nvPicPr>
                  <pic:blipFill>
                    <a:blip r:embed="rId8" cstate="print"/>
                    <a:srcRect/>
                    <a:stretch>
                      <a:fillRect/>
                    </a:stretch>
                  </pic:blipFill>
                  <pic:spPr>
                    <a:xfrm>
                      <a:off x="0" y="0"/>
                      <a:ext cx="6615215" cy="4886942"/>
                    </a:xfrm>
                    <a:prstGeom prst="rect">
                      <a:avLst/>
                    </a:prstGeom>
                    <a:noFill/>
                    <a:ln w="9525">
                      <a:noFill/>
                      <a:miter lim="800000"/>
                      <a:headEnd/>
                      <a:tailEnd/>
                    </a:ln>
                  </pic:spPr>
                </pic:pic>
              </a:graphicData>
            </a:graphic>
          </wp:inline>
        </w:drawing>
      </w:r>
    </w:p>
    <w:p w14:paraId="6CAD16E6">
      <w:pPr>
        <w:rPr>
          <w:rFonts w:hint="default" w:ascii="Times New Roman" w:hAnsi="Times New Roman" w:cs="Times New Roman"/>
          <w:sz w:val="24"/>
          <w:szCs w:val="24"/>
        </w:rPr>
      </w:pPr>
    </w:p>
    <w:p w14:paraId="4EBA738C">
      <w:pPr>
        <w:spacing w:after="0"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Figure 2.</w:t>
      </w:r>
      <w:r>
        <w:rPr>
          <w:rFonts w:hint="default" w:ascii="Times New Roman" w:hAnsi="Times New Roman" w:eastAsia="Times New Roman" w:cs="Times New Roman"/>
          <w:i/>
          <w:color w:val="000000"/>
          <w:sz w:val="24"/>
          <w:szCs w:val="24"/>
        </w:rPr>
        <w:t xml:space="preserve"> Map of Nasarawa state showing the gazetted forest reserve distribution for 1966 and the study area locations of the three forest reserves</w:t>
      </w:r>
      <w:r>
        <w:rPr>
          <w:rFonts w:hint="default" w:ascii="Times New Roman" w:hAnsi="Times New Roman" w:eastAsia="Times New Roman" w:cs="Times New Roman"/>
          <w:color w:val="000000"/>
          <w:sz w:val="24"/>
          <w:szCs w:val="24"/>
        </w:rPr>
        <w:t xml:space="preserve">. </w:t>
      </w:r>
    </w:p>
    <w:p w14:paraId="141B2CC5">
      <w:pPr>
        <w:spacing w:after="0" w:line="240" w:lineRule="auto"/>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Source: Authors' extraction from the shapefile, Ministry of Environment Abuja and Nasarawa Geographic Information Service, 2020).</w:t>
      </w:r>
    </w:p>
    <w:p w14:paraId="0BBD4142">
      <w:pPr>
        <w:spacing w:after="0" w:line="240" w:lineRule="auto"/>
        <w:jc w:val="both"/>
        <w:rPr>
          <w:rFonts w:hint="default" w:ascii="Times New Roman" w:hAnsi="Times New Roman" w:eastAsia="Times New Roman" w:cs="Times New Roman"/>
          <w:color w:val="000000"/>
          <w:sz w:val="24"/>
          <w:szCs w:val="24"/>
        </w:rPr>
      </w:pPr>
    </w:p>
    <w:p w14:paraId="1B6CCB5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selection process was grounded in several key criteria, including ecological similarity, cultural and historical significance, and geographic as well as environmental distribution. Additionally, attention was given to achieving a balance in forest size, encompassing both small and large areas with comparable levels of biodiversity.</w:t>
      </w:r>
    </w:p>
    <w:p w14:paraId="098156EF">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Data Source and Methodology</w:t>
      </w:r>
    </w:p>
    <w:p w14:paraId="01199CE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employed a mixed methods research design (Shrestha et al., 2023; Gao et al., 2018), combining household surveys, key informant interviews (KII) and focus group discussions (FGD) to understand the perceived ecosystem importance and benefits derived from the forest reserve according to communities around the reserve. The data collection process involved a household survey, stakeholder interviews and focus group discussions (Table 1).</w:t>
      </w:r>
    </w:p>
    <w:p w14:paraId="3D672EA1">
      <w:pPr>
        <w:spacing w:before="100" w:beforeAutospacing="1" w:after="100" w:afterAutospacing="1" w:line="240" w:lineRule="auto"/>
        <w:outlineLvl w:val="2"/>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Table 1. Data collection methods and sampling for the household questionnaire, surveys, KIIs, and FGDs</w:t>
      </w:r>
    </w:p>
    <w:tbl>
      <w:tblPr>
        <w:tblStyle w:val="6"/>
        <w:tblW w:w="0" w:type="auto"/>
        <w:tblCellSpacing w:w="15" w:type="dxa"/>
        <w:tblInd w:w="0" w:type="dxa"/>
        <w:tblLayout w:type="autofit"/>
        <w:tblCellMar>
          <w:top w:w="15" w:type="dxa"/>
          <w:left w:w="15" w:type="dxa"/>
          <w:bottom w:w="15" w:type="dxa"/>
          <w:right w:w="15" w:type="dxa"/>
        </w:tblCellMar>
      </w:tblPr>
      <w:tblGrid>
        <w:gridCol w:w="2412"/>
        <w:gridCol w:w="3361"/>
        <w:gridCol w:w="2703"/>
        <w:gridCol w:w="1966"/>
      </w:tblGrid>
      <w:tr w14:paraId="63778F81">
        <w:tblPrEx>
          <w:tblCellMar>
            <w:top w:w="15" w:type="dxa"/>
            <w:left w:w="15" w:type="dxa"/>
            <w:bottom w:w="15" w:type="dxa"/>
            <w:right w:w="15" w:type="dxa"/>
          </w:tblCellMar>
        </w:tblPrEx>
        <w:trPr>
          <w:tblHeader/>
          <w:tblCellSpacing w:w="15" w:type="dxa"/>
        </w:trPr>
        <w:tc>
          <w:tcPr>
            <w:tcW w:w="0" w:type="auto"/>
            <w:vAlign w:val="center"/>
          </w:tcPr>
          <w:p w14:paraId="0FC35666">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Method</w:t>
            </w:r>
          </w:p>
        </w:tc>
        <w:tc>
          <w:tcPr>
            <w:tcW w:w="0" w:type="auto"/>
            <w:vAlign w:val="center"/>
          </w:tcPr>
          <w:p w14:paraId="7142D23F">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Type of respondent</w:t>
            </w:r>
          </w:p>
        </w:tc>
        <w:tc>
          <w:tcPr>
            <w:tcW w:w="0" w:type="auto"/>
            <w:vAlign w:val="center"/>
          </w:tcPr>
          <w:p w14:paraId="26B8B3C1">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Sample size and number of participants</w:t>
            </w:r>
          </w:p>
        </w:tc>
        <w:tc>
          <w:tcPr>
            <w:tcW w:w="0" w:type="auto"/>
            <w:vAlign w:val="center"/>
          </w:tcPr>
          <w:p w14:paraId="3A45078A">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Sampling approach</w:t>
            </w:r>
          </w:p>
        </w:tc>
      </w:tr>
      <w:tr w14:paraId="13B0A0E2">
        <w:tblPrEx>
          <w:tblCellMar>
            <w:top w:w="15" w:type="dxa"/>
            <w:left w:w="15" w:type="dxa"/>
            <w:bottom w:w="15" w:type="dxa"/>
            <w:right w:w="15" w:type="dxa"/>
          </w:tblCellMar>
        </w:tblPrEx>
        <w:trPr>
          <w:tblCellSpacing w:w="15" w:type="dxa"/>
        </w:trPr>
        <w:tc>
          <w:tcPr>
            <w:tcW w:w="0" w:type="auto"/>
            <w:vAlign w:val="center"/>
          </w:tcPr>
          <w:p w14:paraId="6788534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Interviews</w:t>
            </w:r>
          </w:p>
        </w:tc>
        <w:tc>
          <w:tcPr>
            <w:tcW w:w="0" w:type="auto"/>
            <w:vAlign w:val="center"/>
          </w:tcPr>
          <w:p w14:paraId="2DC55F2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Four groups of stakeholders: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Local leaders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Local people</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Policymakers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Experts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Total</w:t>
            </w:r>
          </w:p>
        </w:tc>
        <w:tc>
          <w:tcPr>
            <w:tcW w:w="0" w:type="auto"/>
            <w:vAlign w:val="center"/>
          </w:tcPr>
          <w:p w14:paraId="7FE9DC5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15</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15</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5</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5</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40</w:t>
            </w:r>
          </w:p>
        </w:tc>
        <w:tc>
          <w:tcPr>
            <w:tcW w:w="0" w:type="auto"/>
            <w:vAlign w:val="center"/>
          </w:tcPr>
          <w:p w14:paraId="4A57221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Snowball sampling method</w:t>
            </w:r>
          </w:p>
        </w:tc>
      </w:tr>
      <w:tr w14:paraId="3088A650">
        <w:tblPrEx>
          <w:tblCellMar>
            <w:top w:w="15" w:type="dxa"/>
            <w:left w:w="15" w:type="dxa"/>
            <w:bottom w:w="15" w:type="dxa"/>
            <w:right w:w="15" w:type="dxa"/>
          </w:tblCellMar>
        </w:tblPrEx>
        <w:trPr>
          <w:tblCellSpacing w:w="15" w:type="dxa"/>
        </w:trPr>
        <w:tc>
          <w:tcPr>
            <w:tcW w:w="0" w:type="auto"/>
            <w:vAlign w:val="center"/>
          </w:tcPr>
          <w:p w14:paraId="7C7586B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FGDs</w:t>
            </w:r>
          </w:p>
        </w:tc>
        <w:tc>
          <w:tcPr>
            <w:tcW w:w="0" w:type="auto"/>
            <w:vAlign w:val="center"/>
          </w:tcPr>
          <w:p w14:paraId="6DDAD73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Four groups of stakeholders: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Local leaders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Local people</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Policymakers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Experts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Total</w:t>
            </w:r>
          </w:p>
        </w:tc>
        <w:tc>
          <w:tcPr>
            <w:tcW w:w="0" w:type="auto"/>
            <w:vAlign w:val="center"/>
          </w:tcPr>
          <w:p w14:paraId="7DFEE89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15</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15</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5</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5</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40</w:t>
            </w:r>
          </w:p>
        </w:tc>
        <w:tc>
          <w:tcPr>
            <w:tcW w:w="0" w:type="auto"/>
            <w:vAlign w:val="center"/>
          </w:tcPr>
          <w:p w14:paraId="76D17B1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Snowball sampling method</w:t>
            </w:r>
          </w:p>
        </w:tc>
      </w:tr>
      <w:tr w14:paraId="2CABAD51">
        <w:tblPrEx>
          <w:tblCellMar>
            <w:top w:w="15" w:type="dxa"/>
            <w:left w:w="15" w:type="dxa"/>
            <w:bottom w:w="15" w:type="dxa"/>
            <w:right w:w="15" w:type="dxa"/>
          </w:tblCellMar>
        </w:tblPrEx>
        <w:trPr>
          <w:tblCellSpacing w:w="15" w:type="dxa"/>
        </w:trPr>
        <w:tc>
          <w:tcPr>
            <w:tcW w:w="0" w:type="auto"/>
            <w:vAlign w:val="center"/>
          </w:tcPr>
          <w:p w14:paraId="392E200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Household questionnaire survey</w:t>
            </w:r>
          </w:p>
        </w:tc>
        <w:tc>
          <w:tcPr>
            <w:tcW w:w="0" w:type="auto"/>
            <w:vAlign w:val="center"/>
          </w:tcPr>
          <w:p w14:paraId="4F1F8E5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Three communities local to the selected forest reserves:</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Doma Forest Reserve</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Risha Forest Reserve</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Odu Forest Reserve</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Total</w:t>
            </w:r>
          </w:p>
        </w:tc>
        <w:tc>
          <w:tcPr>
            <w:tcW w:w="0" w:type="auto"/>
            <w:vAlign w:val="center"/>
          </w:tcPr>
          <w:p w14:paraId="0229CD9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84</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84</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b/>
                <w:bCs/>
                <w:sz w:val="24"/>
                <w:szCs w:val="24"/>
              </w:rPr>
              <w:t>252</w:t>
            </w:r>
          </w:p>
        </w:tc>
        <w:tc>
          <w:tcPr>
            <w:tcW w:w="0" w:type="auto"/>
            <w:vAlign w:val="center"/>
          </w:tcPr>
          <w:p w14:paraId="13D817B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Multi-stage sampling method</w:t>
            </w:r>
          </w:p>
        </w:tc>
      </w:tr>
    </w:tbl>
    <w:p w14:paraId="262CEAC9">
      <w:pPr>
        <w:spacing w:line="480" w:lineRule="auto"/>
        <w:jc w:val="both"/>
        <w:rPr>
          <w:rFonts w:hint="default" w:ascii="Times New Roman" w:hAnsi="Times New Roman" w:cs="Times New Roman"/>
          <w:sz w:val="24"/>
          <w:szCs w:val="24"/>
        </w:rPr>
      </w:pPr>
    </w:p>
    <w:p w14:paraId="2285FA5B">
      <w:pPr>
        <w:spacing w:line="48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Household Survey</w:t>
      </w:r>
    </w:p>
    <w:p w14:paraId="37CCF21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survey comprised a set of structured questions, which were specifically designed to gather insights from the local community living near the forest reserves. The primary goal of the household survey was to capture a comprehensive range of perspectives from the targeted gazetted forest communities. The household survey was purposefully designed to survey a large population, providing a robust basis for analyzing the communities’ views. A total of 252 respondents were surveyed, offering a substantial dataset for qualitative and quantitative analysis. While this number suggests a strong basis for inference, the study encountered significant difficulties in obtaining accurate population figures for the villages and communities around the reserves. This limited the ability to define a precise sampling frame and, consequently, to verify the representativeness of the sample through probabilistic methods. Nevertheless, a sample size of 252 households aligns with established practices in community-based environmental and social research. For instance, Israel (1992) recommends a minimum sample size of 200–250 for populations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up to 100,000 to achieve a ±6.5% margin of error at a 95% confidence level in social research surveys.</w:t>
      </w:r>
    </w:p>
    <w:p w14:paraId="619FED5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Similarly, Guest et al. (2006) suggest that a sample of 100–200 is sufficient to reach data saturation in community-level qualitative studies, especially when the population is relatively homogenous in terms of socioeconomic and cultural characteristics. However, future studies could benefit from conducting a priori power analysis or using design effect adjustments to account for clustering or stratification in the sampling process. Despite the limitations in defining the exact population size, the number of households surveyed in this study remains consistent with methodological norms in comparable research contexts and provides a credible foundation for understanding community perceptions related to the forest reserves.</w:t>
      </w:r>
    </w:p>
    <w:p w14:paraId="5E2BCA9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Due to the lack of precise data and figures regarding the villages and communities surrounding the forest reserves, it was challenging to determine a valid sample. As the population of the study area is unknown, a multi-stage sampling approach was employed to select respondents for the questionnaire (Muhati, Olago, &amp; Olaka, 2018; Munthali et al., 2019). First, one Local Government Area with a gazetted forest reserve was purposefully picked from each of the State's three geopolitical zones, ensuring a balanced and comprehensive coverage of the State. The inclusion and exclusion criteria were carefully designed to select representative, accessible, and legally recognised forests, providing a robust basis for analysing ecological and socio-economic dynamics. Covering all three zones enhances the relevance and applicability of the study's findings, contributing valuable insights for forest conservation and management across Nasarawa State. Second, three communities and villages within each of the selected forest reserve areas were selected from the list of communities in the Local Government Area. The selected communities have a link and right to the gazetted forest for each of these reserves. Distance from the forest reserves was considered likely to affect the frequency of forest resource access and level of reliance on forest resources, therefore, the distance of the communities from the gazetted forest boundary was set between 1 and 5 km. Three communities within each selected forest reserve area were chosen from a list of all the communities in the Local Government Areas. Doma forest villages included Doma, Dogon Kurmi, and Yelwa Doma. Risha forest selected villages were Risha, Nggazu and Tidde Rinze while the Odu forest villages were Karmo Mission, Karmo Sabo and Karmo Oguwa. The household survey was conducted during June and July 2022 in the wet season. As some of the participants could not adequately read and write in English, questions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were translated into the Hausa language with assistance from the field research team. All participants were adults (over 18 years old), and their informed verbal consent was obtained.</w:t>
      </w:r>
    </w:p>
    <w:p w14:paraId="1F932D9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collectors spoke directly with respondents at the point of collection. However, measures were taken to ensure the confidentiality and privacy of the information obtained, several safeguards were implemented. These included conducting interviews in private settings where conversations could not be overheard, anonymizing all data during transcription and analysis, and securely storing both physical and digital records in accordance with ethical research standards and data protection regulations.</w:t>
      </w:r>
    </w:p>
    <w:p w14:paraId="04BCB50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Three research assistants were recruited and trained on standardization of procedures, diverse perspectives in identifying and clarifying any subjective interpretations. This enabled a balanced approach and shared understanding of data collection protocols to minimize bias and ensured data was collected in a consistent manner. The household survey was administered face-to-face in English and Hausa when required, with respondents’ answers recorded in hard copy.</w:t>
      </w:r>
    </w:p>
    <w:p w14:paraId="20AB9BC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activities of the research assistants were supervised by the first author. Since some of the respondents agreed to be contacted by giving their phone numbers, a random sample of participants across six villages was called to verify if they participated. The responses from the participants were tallied with the hardcopy household survey completed by the research assistants. The research field team met together every day, both before and after the data collection, to reconcile, back up, and discuss any challenges that arose in the field activities.</w:t>
      </w:r>
    </w:p>
    <w:p w14:paraId="053BC5EB">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i/>
          <w:iCs/>
          <w:sz w:val="24"/>
          <w:szCs w:val="24"/>
        </w:rPr>
        <w:t>Key Informant Interviews (KIIs)</w:t>
      </w:r>
    </w:p>
    <w:p w14:paraId="0EE5CC3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KIIs were conducted to obtain in-depth insights from individuals possessing substantial knowledge, experience, and expertise in forest use, management, and conservation. A total of 40 stakeholder participants were recruited through the snowball sampling technique, facilitated by community leaders and local contacts.</w:t>
      </w:r>
    </w:p>
    <w:p w14:paraId="6CA4FCD3">
      <w:pPr>
        <w:spacing w:before="100" w:beforeAutospacing="1" w:after="100" w:afterAutospacing="1" w:line="240" w:lineRule="auto"/>
        <w:outlineLvl w:val="2"/>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Table 2. Stakeholder groups involved in KIIs and FGDs and their descriptions</w:t>
      </w:r>
    </w:p>
    <w:tbl>
      <w:tblPr>
        <w:tblStyle w:val="6"/>
        <w:tblW w:w="0" w:type="auto"/>
        <w:tblCellSpacing w:w="15" w:type="dxa"/>
        <w:tblInd w:w="0" w:type="dxa"/>
        <w:tblLayout w:type="autofit"/>
        <w:tblCellMar>
          <w:top w:w="15" w:type="dxa"/>
          <w:left w:w="15" w:type="dxa"/>
          <w:bottom w:w="15" w:type="dxa"/>
          <w:right w:w="15" w:type="dxa"/>
        </w:tblCellMar>
      </w:tblPr>
      <w:tblGrid>
        <w:gridCol w:w="1601"/>
        <w:gridCol w:w="8841"/>
      </w:tblGrid>
      <w:tr w14:paraId="30A73A61">
        <w:trPr>
          <w:tblHeader/>
          <w:tblCellSpacing w:w="15" w:type="dxa"/>
        </w:trPr>
        <w:tc>
          <w:tcPr>
            <w:tcW w:w="0" w:type="auto"/>
            <w:vAlign w:val="center"/>
          </w:tcPr>
          <w:p w14:paraId="40D63970">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Stakeholder group</w:t>
            </w:r>
          </w:p>
        </w:tc>
        <w:tc>
          <w:tcPr>
            <w:tcW w:w="0" w:type="auto"/>
            <w:vAlign w:val="center"/>
          </w:tcPr>
          <w:p w14:paraId="6422E8B7">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Description</w:t>
            </w:r>
          </w:p>
        </w:tc>
      </w:tr>
      <w:tr w14:paraId="072D600C">
        <w:tblPrEx>
          <w:tblCellMar>
            <w:top w:w="15" w:type="dxa"/>
            <w:left w:w="15" w:type="dxa"/>
            <w:bottom w:w="15" w:type="dxa"/>
            <w:right w:w="15" w:type="dxa"/>
          </w:tblCellMar>
        </w:tblPrEx>
        <w:trPr>
          <w:tblCellSpacing w:w="15" w:type="dxa"/>
        </w:trPr>
        <w:tc>
          <w:tcPr>
            <w:tcW w:w="0" w:type="auto"/>
            <w:vAlign w:val="center"/>
          </w:tcPr>
          <w:p w14:paraId="4777CBD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Local people</w:t>
            </w:r>
          </w:p>
        </w:tc>
        <w:tc>
          <w:tcPr>
            <w:tcW w:w="0" w:type="auto"/>
            <w:vAlign w:val="center"/>
          </w:tcPr>
          <w:p w14:paraId="7898A804">
            <w:pPr>
              <w:keepNext w:val="0"/>
              <w:keepLines w:val="0"/>
              <w:suppressLineNumbers w:val="0"/>
              <w:spacing w:beforeAutospacing="0" w:after="0" w:afterAutospacing="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Forest users in the communities who interact frequently with forests for resources that support their livelihoods, including farmers, hunters, charcoal producers, and timber contractors.</w:t>
            </w:r>
          </w:p>
        </w:tc>
      </w:tr>
      <w:tr w14:paraId="0E227FAA">
        <w:tblPrEx>
          <w:tblCellMar>
            <w:top w:w="15" w:type="dxa"/>
            <w:left w:w="15" w:type="dxa"/>
            <w:bottom w:w="15" w:type="dxa"/>
            <w:right w:w="15" w:type="dxa"/>
          </w:tblCellMar>
        </w:tblPrEx>
        <w:trPr>
          <w:tblCellSpacing w:w="15" w:type="dxa"/>
        </w:trPr>
        <w:tc>
          <w:tcPr>
            <w:tcW w:w="0" w:type="auto"/>
            <w:vAlign w:val="center"/>
          </w:tcPr>
          <w:p w14:paraId="63B4089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Community leaders</w:t>
            </w:r>
          </w:p>
        </w:tc>
        <w:tc>
          <w:tcPr>
            <w:tcW w:w="0" w:type="auto"/>
            <w:vAlign w:val="center"/>
          </w:tcPr>
          <w:p w14:paraId="3120E20E">
            <w:pPr>
              <w:keepNext w:val="0"/>
              <w:keepLines w:val="0"/>
              <w:suppressLineNumbers w:val="0"/>
              <w:spacing w:beforeAutospacing="0" w:after="0" w:afterAutospacing="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Responsible for protecting the local environment through management of forest use, land ownership and disputes, and local regulations. This group includes traditional rulers, village heads, youth leaders, women leaders, and market leaders.</w:t>
            </w:r>
          </w:p>
        </w:tc>
      </w:tr>
      <w:tr w14:paraId="76EE2F7A">
        <w:tblPrEx>
          <w:tblCellMar>
            <w:top w:w="15" w:type="dxa"/>
            <w:left w:w="15" w:type="dxa"/>
            <w:bottom w:w="15" w:type="dxa"/>
            <w:right w:w="15" w:type="dxa"/>
          </w:tblCellMar>
        </w:tblPrEx>
        <w:trPr>
          <w:tblCellSpacing w:w="15" w:type="dxa"/>
        </w:trPr>
        <w:tc>
          <w:tcPr>
            <w:tcW w:w="0" w:type="auto"/>
            <w:vAlign w:val="center"/>
          </w:tcPr>
          <w:p w14:paraId="07176B5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Government officials</w:t>
            </w:r>
          </w:p>
        </w:tc>
        <w:tc>
          <w:tcPr>
            <w:tcW w:w="0" w:type="auto"/>
            <w:vAlign w:val="center"/>
          </w:tcPr>
          <w:p w14:paraId="139B8DE3">
            <w:pPr>
              <w:keepNext w:val="0"/>
              <w:keepLines w:val="0"/>
              <w:suppressLineNumbers w:val="0"/>
              <w:spacing w:beforeAutospacing="0" w:after="0" w:afterAutospacing="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Custodians who monitor and analyse forest uses, generate funds for government, maintain forest-designated areas, record forest activities, and enforce forest laws. Participants were from the Nasarawa State Ministry of Environment and Natural Resources.</w:t>
            </w:r>
          </w:p>
        </w:tc>
      </w:tr>
      <w:tr w14:paraId="18309D5A">
        <w:tblPrEx>
          <w:tblCellMar>
            <w:top w:w="15" w:type="dxa"/>
            <w:left w:w="15" w:type="dxa"/>
            <w:bottom w:w="15" w:type="dxa"/>
            <w:right w:w="15" w:type="dxa"/>
          </w:tblCellMar>
        </w:tblPrEx>
        <w:trPr>
          <w:tblCellSpacing w:w="15" w:type="dxa"/>
        </w:trPr>
        <w:tc>
          <w:tcPr>
            <w:tcW w:w="0" w:type="auto"/>
            <w:vAlign w:val="center"/>
          </w:tcPr>
          <w:p w14:paraId="716C77E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Experts</w:t>
            </w:r>
          </w:p>
        </w:tc>
        <w:tc>
          <w:tcPr>
            <w:tcW w:w="0" w:type="auto"/>
            <w:vAlign w:val="center"/>
          </w:tcPr>
          <w:p w14:paraId="3F956714">
            <w:pPr>
              <w:keepNext w:val="0"/>
              <w:keepLines w:val="0"/>
              <w:suppressLineNumbers w:val="0"/>
              <w:spacing w:beforeAutospacing="0" w:after="0" w:afterAutospacing="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Independent specialists who advocate for sustainable forest and land use, advise on forest policy implementation, and emphasize forests’ roles in environmental sustainability. Includes land-use planners, environmentalists, geographers, and foresters from academic and forestry institutions.</w:t>
            </w:r>
          </w:p>
        </w:tc>
      </w:tr>
    </w:tbl>
    <w:p w14:paraId="24597F28">
      <w:pPr>
        <w:spacing w:line="480" w:lineRule="auto"/>
        <w:jc w:val="both"/>
        <w:rPr>
          <w:rFonts w:hint="default" w:ascii="Times New Roman" w:hAnsi="Times New Roman" w:cs="Times New Roman"/>
          <w:sz w:val="24"/>
          <w:szCs w:val="24"/>
        </w:rPr>
      </w:pPr>
    </w:p>
    <w:p w14:paraId="3F3D730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selection of local community groups was based on their experience in utilizing forest resources, their knowledge of land use changes, and their active participation in forest-related activities (refer to Tables 1 and 2). Semi-structured interviews were conducted in English and Hausa, allowing participants to share their perspectives on the significance and benefits of ecosystem services provided by the gazetted forests. Hausa responses were subsequently translated into English for analysis. These interviews provided valuable qualitative data to understand the complexities of forest ecosystems and their importance to local communities from the gazetted forest areas.</w:t>
      </w:r>
    </w:p>
    <w:p w14:paraId="5535F23B">
      <w:pPr>
        <w:spacing w:line="48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Focus Group Discussions (FGDs)</w:t>
      </w:r>
    </w:p>
    <w:p w14:paraId="0BF09E0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complement the household surveys and KIIs, eight FGDs were conducted with community members representing the same stakeholder groups involved in the KIIs (see Tables 1 and 2).</w:t>
      </w:r>
    </w:p>
    <w:p w14:paraId="5684405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FGDs were conducted to promote in-depth engagement and dialogue, allowing participants to express shared perceptions, experiences, and discussions regarding the significance and conservation of forest ecosystem services. The same individuals who participated in the Key Informant Interviews (KIIs) were invited to join the FGDs, ensuring continuity and cost-efficiency in participant recruitment. Their prior exposure to the subject matter enhanced the depth of engagement and enabled validation and triangulation of the findings. This methodological approach proved valuable for gaining insights into community dynamics, prevailing social norms, and areas of stakeholder agreement or divergence.</w:t>
      </w:r>
    </w:p>
    <w:p w14:paraId="33D485F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discussions were conducted in both English and Hausa to ensure participants could engage in their preferred language. Consent was obtained from all participants for audio recording. Field notes were also taken to capture non-verbal cues, contextual factors and other observations. This provided a comprehensive dataset, facilitating a detailed and nuanced analysis of the participants’ responses. Audio recordings were subsequently translated from Hausa into English and transcribed for analysis. Ethical approval was obtained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from the Environment and Geography Department Ethical Review Committee at the University of York, UK, prior to research commencing.</w:t>
      </w:r>
    </w:p>
    <w:p w14:paraId="60366C21">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Data Analysis</w:t>
      </w:r>
    </w:p>
    <w:p w14:paraId="6518353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were analysed using statistical packages for social science (SPSS) IBM Version 29 and NVivo software was used to generate descriptive statistics, code themes and extract relevant narrative data analyses. The process started with the use of Microsoft Excel to create spreadsheets to facilitate the creation of a structured database of variables, allowing for the systematic entry of information. This included entering the quantitative data collected from the household questionnaires. The descriptive and inferential statistics were generated in SPSS and summarised in tables, providing a comprehensive report of all quantitative information. To examine the association between categorical variables (demography factor and perceptions) for the respondents, a chi-square test of independence was conducted. This test assesses whether observed frequencies differ significantly from expected frequencies under the assumption of independence (Appendix A, Table 1). Statistical significance was determined using a standard alpha level of .05.</w:t>
      </w:r>
    </w:p>
    <w:p w14:paraId="6B04A08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qualitative data from KIIs and FGDs were coded and analysed using NVivo software. This qualitative analytical process followed a grounded theory-informed framework, consistent with the constructivist approach advocated by Charmaz (2006; 2021). The analysis proceeded in two distinct but interlinked stages.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the first stage, open coding was employed without limiting the number of codes. This exploratory phase sought to remain as close to the data as possible, generating numerous preliminary categories that captured participants’ experiences, perceptions, and values. This coding process was inductive in nature, allowing themes to emerge organically from the data. In line with Charmaz (2021) and Ganesha &amp; Aithal (2022), coding was iterative, with researchers continuously comparing incidents, identifying patterns, and refining category boundaries.  Relationship  diagrams and mind maps were  developed to visualize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interconnections between codes, concepts, and categories, assisting in the development of overarching themes.</w:t>
      </w:r>
    </w:p>
    <w:p w14:paraId="7C8C16E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second stage of analysis involved focused coding, in which the most significant and frequently occurring initial codes were retained, refined, or merged to form broader themes. This phase prioritized conceptual coherence and analytical depth, enabling the research team to distil nuanced insights that aligned closely with the study’s objectives. Redundant or weakly supported codes were eliminated, and thematic hierarchies were created to structure the findings meaningfully. Direct quotes from participants, as extracted through NVivo, were used to support the narrative of the research storylines, based on each theme’s categories, in the presentation of findings. This approach preserves participants’ voices and substantiates thematic interpretations. Both the quantitative and qualitative components of the study were analysed with methodological clarity and coherence, thereby enriching the reliability, validity, and interpretive strength of the study’s results and conclusions.</w:t>
      </w:r>
    </w:p>
    <w:p w14:paraId="402697EB">
      <w:pPr>
        <w:spacing w:line="480" w:lineRule="auto"/>
        <w:jc w:val="both"/>
        <w:rPr>
          <w:rFonts w:hint="default" w:ascii="Times New Roman" w:hAnsi="Times New Roman" w:cs="Times New Roman"/>
          <w:sz w:val="24"/>
          <w:szCs w:val="24"/>
        </w:rPr>
      </w:pPr>
    </w:p>
    <w:p w14:paraId="40781FE4">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Results Community perceptions of options for the benefit of the gazetted forest reserve to individuals in the state.</w:t>
      </w:r>
    </w:p>
    <w:p w14:paraId="295FF742">
      <w:pPr>
        <w:spacing w:line="48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The results presented in Table 3 reflect community perceptions of the benefits provided by the gazetted forest reserves in different regions of the state (Doma, Odu, and Risha), capturing the perceived importance of benefits such as edible fruits, income, agriculture, medicinal plants, bush meat, traditional worship, and climate regulation. The percentage responses under each category (Very Important, Less Important, Not Important and I don't know) reveal the level of significance attributed by the communities to these benefits. Only those variables receiving responses in at least one community are shown.</w:t>
      </w:r>
    </w:p>
    <w:p w14:paraId="77CF4A96">
      <w:pPr>
        <w:spacing w:before="100" w:beforeAutospacing="1" w:after="100" w:afterAutospacing="1" w:line="240" w:lineRule="auto"/>
        <w:outlineLvl w:val="2"/>
        <w:rPr>
          <w:rFonts w:hint="default" w:ascii="Times New Roman" w:hAnsi="Times New Roman" w:eastAsia="Times New Roman" w:cs="Times New Roman"/>
          <w:sz w:val="24"/>
          <w:szCs w:val="24"/>
        </w:rPr>
      </w:pPr>
      <w:r>
        <w:rPr>
          <w:rFonts w:hint="default" w:ascii="Times New Roman" w:hAnsi="Times New Roman" w:cs="Times New Roman"/>
          <w:b/>
          <w:bCs/>
          <w:sz w:val="24"/>
          <w:szCs w:val="24"/>
        </w:rPr>
        <w:t>Table 3. Community perceptions of the importance of different types of benefits from the gazetted forest reserve to individuals in the state.</w:t>
      </w:r>
    </w:p>
    <w:tbl>
      <w:tblPr>
        <w:tblStyle w:val="6"/>
        <w:tblW w:w="9675" w:type="dxa"/>
        <w:tblCellSpacing w:w="15" w:type="dxa"/>
        <w:tblInd w:w="0" w:type="dxa"/>
        <w:tblLayout w:type="autofit"/>
        <w:tblCellMar>
          <w:top w:w="15" w:type="dxa"/>
          <w:left w:w="15" w:type="dxa"/>
          <w:bottom w:w="15" w:type="dxa"/>
          <w:right w:w="15" w:type="dxa"/>
        </w:tblCellMar>
      </w:tblPr>
      <w:tblGrid>
        <w:gridCol w:w="2385"/>
        <w:gridCol w:w="1710"/>
        <w:gridCol w:w="1440"/>
        <w:gridCol w:w="1492"/>
        <w:gridCol w:w="1298"/>
        <w:gridCol w:w="1350"/>
      </w:tblGrid>
      <w:tr w14:paraId="4228844A">
        <w:tblPrEx>
          <w:tblCellMar>
            <w:top w:w="15" w:type="dxa"/>
            <w:left w:w="15" w:type="dxa"/>
            <w:bottom w:w="15" w:type="dxa"/>
            <w:right w:w="15" w:type="dxa"/>
          </w:tblCellMar>
        </w:tblPrEx>
        <w:trPr>
          <w:tblHeader/>
          <w:tblCellSpacing w:w="15" w:type="dxa"/>
        </w:trPr>
        <w:tc>
          <w:tcPr>
            <w:tcW w:w="2340" w:type="dxa"/>
            <w:vAlign w:val="center"/>
          </w:tcPr>
          <w:p w14:paraId="003D7958">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Variable</w:t>
            </w:r>
          </w:p>
        </w:tc>
        <w:tc>
          <w:tcPr>
            <w:tcW w:w="1680" w:type="dxa"/>
            <w:vAlign w:val="center"/>
          </w:tcPr>
          <w:p w14:paraId="002CFD32">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Response</w:t>
            </w:r>
          </w:p>
        </w:tc>
        <w:tc>
          <w:tcPr>
            <w:tcW w:w="1410" w:type="dxa"/>
            <w:vAlign w:val="center"/>
          </w:tcPr>
          <w:p w14:paraId="48320107">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Doma n (%)</w:t>
            </w:r>
          </w:p>
        </w:tc>
        <w:tc>
          <w:tcPr>
            <w:tcW w:w="1462" w:type="dxa"/>
            <w:vAlign w:val="center"/>
          </w:tcPr>
          <w:p w14:paraId="22B6B45A">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Risha n (%)</w:t>
            </w:r>
          </w:p>
        </w:tc>
        <w:tc>
          <w:tcPr>
            <w:tcW w:w="1268" w:type="dxa"/>
            <w:vAlign w:val="center"/>
          </w:tcPr>
          <w:p w14:paraId="3F122A48">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Odu n (%)</w:t>
            </w:r>
          </w:p>
        </w:tc>
        <w:tc>
          <w:tcPr>
            <w:tcW w:w="1305" w:type="dxa"/>
            <w:vAlign w:val="center"/>
          </w:tcPr>
          <w:p w14:paraId="3F0311E0">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Total n (%)</w:t>
            </w:r>
          </w:p>
        </w:tc>
      </w:tr>
      <w:tr w14:paraId="18C6F18B">
        <w:tblPrEx>
          <w:tblCellMar>
            <w:top w:w="15" w:type="dxa"/>
            <w:left w:w="15" w:type="dxa"/>
            <w:bottom w:w="15" w:type="dxa"/>
            <w:right w:w="15" w:type="dxa"/>
          </w:tblCellMar>
        </w:tblPrEx>
        <w:trPr>
          <w:tblCellSpacing w:w="15" w:type="dxa"/>
        </w:trPr>
        <w:tc>
          <w:tcPr>
            <w:tcW w:w="2340" w:type="dxa"/>
            <w:vAlign w:val="center"/>
          </w:tcPr>
          <w:p w14:paraId="4DA62E2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Edible fruits</w:t>
            </w:r>
          </w:p>
        </w:tc>
        <w:tc>
          <w:tcPr>
            <w:tcW w:w="1680" w:type="dxa"/>
            <w:vAlign w:val="center"/>
          </w:tcPr>
          <w:p w14:paraId="04CDE48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410" w:type="dxa"/>
            <w:vAlign w:val="center"/>
          </w:tcPr>
          <w:p w14:paraId="338D36A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80 (95)</w:t>
            </w:r>
          </w:p>
        </w:tc>
        <w:tc>
          <w:tcPr>
            <w:tcW w:w="1462" w:type="dxa"/>
            <w:vAlign w:val="center"/>
          </w:tcPr>
          <w:p w14:paraId="107297A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268" w:type="dxa"/>
            <w:vAlign w:val="center"/>
          </w:tcPr>
          <w:p w14:paraId="5598143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65C3276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248 (98)</w:t>
            </w:r>
          </w:p>
        </w:tc>
      </w:tr>
      <w:tr w14:paraId="4F74E74E">
        <w:tblPrEx>
          <w:tblCellMar>
            <w:top w:w="15" w:type="dxa"/>
            <w:left w:w="15" w:type="dxa"/>
            <w:bottom w:w="15" w:type="dxa"/>
            <w:right w:w="15" w:type="dxa"/>
          </w:tblCellMar>
        </w:tblPrEx>
        <w:trPr>
          <w:tblCellSpacing w:w="15" w:type="dxa"/>
        </w:trPr>
        <w:tc>
          <w:tcPr>
            <w:tcW w:w="2340" w:type="dxa"/>
            <w:vAlign w:val="center"/>
          </w:tcPr>
          <w:p w14:paraId="0341E16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48C529D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410" w:type="dxa"/>
            <w:vAlign w:val="center"/>
          </w:tcPr>
          <w:p w14:paraId="0A1C2B0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(4)</w:t>
            </w:r>
          </w:p>
        </w:tc>
        <w:tc>
          <w:tcPr>
            <w:tcW w:w="1462" w:type="dxa"/>
            <w:vAlign w:val="center"/>
          </w:tcPr>
          <w:p w14:paraId="0409ED4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68" w:type="dxa"/>
            <w:vAlign w:val="center"/>
          </w:tcPr>
          <w:p w14:paraId="2F444AF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5AC571A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(1)</w:t>
            </w:r>
          </w:p>
        </w:tc>
      </w:tr>
      <w:tr w14:paraId="260FF866">
        <w:tblPrEx>
          <w:tblCellMar>
            <w:top w:w="15" w:type="dxa"/>
            <w:left w:w="15" w:type="dxa"/>
            <w:bottom w:w="15" w:type="dxa"/>
            <w:right w:w="15" w:type="dxa"/>
          </w:tblCellMar>
        </w:tblPrEx>
        <w:trPr>
          <w:tblCellSpacing w:w="15" w:type="dxa"/>
        </w:trPr>
        <w:tc>
          <w:tcPr>
            <w:tcW w:w="2340" w:type="dxa"/>
            <w:vAlign w:val="center"/>
          </w:tcPr>
          <w:p w14:paraId="7EDD6BE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4F1BD8F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410" w:type="dxa"/>
            <w:vAlign w:val="center"/>
          </w:tcPr>
          <w:p w14:paraId="174F13F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462" w:type="dxa"/>
            <w:vAlign w:val="center"/>
          </w:tcPr>
          <w:p w14:paraId="1C1197B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68" w:type="dxa"/>
            <w:vAlign w:val="center"/>
          </w:tcPr>
          <w:p w14:paraId="75CC49A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5D05A5F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r>
      <w:tr w14:paraId="14A09BA4">
        <w:tblPrEx>
          <w:tblCellMar>
            <w:top w:w="15" w:type="dxa"/>
            <w:left w:w="15" w:type="dxa"/>
            <w:bottom w:w="15" w:type="dxa"/>
            <w:right w:w="15" w:type="dxa"/>
          </w:tblCellMar>
        </w:tblPrEx>
        <w:trPr>
          <w:tblCellSpacing w:w="15" w:type="dxa"/>
        </w:trPr>
        <w:tc>
          <w:tcPr>
            <w:tcW w:w="2340" w:type="dxa"/>
            <w:vAlign w:val="center"/>
          </w:tcPr>
          <w:p w14:paraId="2C5D9D0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Income</w:t>
            </w:r>
          </w:p>
        </w:tc>
        <w:tc>
          <w:tcPr>
            <w:tcW w:w="1680" w:type="dxa"/>
            <w:vAlign w:val="center"/>
          </w:tcPr>
          <w:p w14:paraId="43DC627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410" w:type="dxa"/>
            <w:vAlign w:val="center"/>
          </w:tcPr>
          <w:p w14:paraId="58701E6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78 (93)</w:t>
            </w:r>
          </w:p>
        </w:tc>
        <w:tc>
          <w:tcPr>
            <w:tcW w:w="1462" w:type="dxa"/>
            <w:vAlign w:val="center"/>
          </w:tcPr>
          <w:p w14:paraId="568EC9A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268" w:type="dxa"/>
            <w:vAlign w:val="center"/>
          </w:tcPr>
          <w:p w14:paraId="2B2E9BE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2688882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246 (98)</w:t>
            </w:r>
          </w:p>
        </w:tc>
      </w:tr>
      <w:tr w14:paraId="0C7A1F62">
        <w:tblPrEx>
          <w:tblCellMar>
            <w:top w:w="15" w:type="dxa"/>
            <w:left w:w="15" w:type="dxa"/>
            <w:bottom w:w="15" w:type="dxa"/>
            <w:right w:w="15" w:type="dxa"/>
          </w:tblCellMar>
        </w:tblPrEx>
        <w:trPr>
          <w:tblCellSpacing w:w="15" w:type="dxa"/>
        </w:trPr>
        <w:tc>
          <w:tcPr>
            <w:tcW w:w="2340" w:type="dxa"/>
            <w:vAlign w:val="center"/>
          </w:tcPr>
          <w:p w14:paraId="6A6DC99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1ED2AA3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410" w:type="dxa"/>
            <w:vAlign w:val="center"/>
          </w:tcPr>
          <w:p w14:paraId="58E04BF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 (7)</w:t>
            </w:r>
          </w:p>
        </w:tc>
        <w:tc>
          <w:tcPr>
            <w:tcW w:w="1462" w:type="dxa"/>
            <w:vAlign w:val="center"/>
          </w:tcPr>
          <w:p w14:paraId="53E1487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68" w:type="dxa"/>
            <w:vAlign w:val="center"/>
          </w:tcPr>
          <w:p w14:paraId="0C13BA6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295DC08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 (2)</w:t>
            </w:r>
          </w:p>
        </w:tc>
      </w:tr>
      <w:tr w14:paraId="188472D8">
        <w:tblPrEx>
          <w:tblCellMar>
            <w:top w:w="15" w:type="dxa"/>
            <w:left w:w="15" w:type="dxa"/>
            <w:bottom w:w="15" w:type="dxa"/>
            <w:right w:w="15" w:type="dxa"/>
          </w:tblCellMar>
        </w:tblPrEx>
        <w:trPr>
          <w:tblCellSpacing w:w="15" w:type="dxa"/>
        </w:trPr>
        <w:tc>
          <w:tcPr>
            <w:tcW w:w="2340" w:type="dxa"/>
            <w:vAlign w:val="center"/>
          </w:tcPr>
          <w:p w14:paraId="149F4FB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Agriculture</w:t>
            </w:r>
          </w:p>
        </w:tc>
        <w:tc>
          <w:tcPr>
            <w:tcW w:w="1680" w:type="dxa"/>
            <w:vAlign w:val="center"/>
          </w:tcPr>
          <w:p w14:paraId="12F67E0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410" w:type="dxa"/>
            <w:vAlign w:val="center"/>
          </w:tcPr>
          <w:p w14:paraId="6A0EBAF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82 (98)</w:t>
            </w:r>
          </w:p>
        </w:tc>
        <w:tc>
          <w:tcPr>
            <w:tcW w:w="1462" w:type="dxa"/>
            <w:vAlign w:val="center"/>
          </w:tcPr>
          <w:p w14:paraId="477C88F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 (99)</w:t>
            </w:r>
          </w:p>
        </w:tc>
        <w:tc>
          <w:tcPr>
            <w:tcW w:w="1268" w:type="dxa"/>
            <w:vAlign w:val="center"/>
          </w:tcPr>
          <w:p w14:paraId="4A6ADCC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7842CEA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249 (98)</w:t>
            </w:r>
          </w:p>
        </w:tc>
      </w:tr>
      <w:tr w14:paraId="1634E759">
        <w:tblPrEx>
          <w:tblCellMar>
            <w:top w:w="15" w:type="dxa"/>
            <w:left w:w="15" w:type="dxa"/>
            <w:bottom w:w="15" w:type="dxa"/>
            <w:right w:w="15" w:type="dxa"/>
          </w:tblCellMar>
        </w:tblPrEx>
        <w:trPr>
          <w:tblCellSpacing w:w="15" w:type="dxa"/>
        </w:trPr>
        <w:tc>
          <w:tcPr>
            <w:tcW w:w="2340" w:type="dxa"/>
            <w:vAlign w:val="center"/>
          </w:tcPr>
          <w:p w14:paraId="197EC42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5EA947C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410" w:type="dxa"/>
            <w:vAlign w:val="center"/>
          </w:tcPr>
          <w:p w14:paraId="7F6C01D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462" w:type="dxa"/>
            <w:vAlign w:val="center"/>
          </w:tcPr>
          <w:p w14:paraId="3A47955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268" w:type="dxa"/>
            <w:vAlign w:val="center"/>
          </w:tcPr>
          <w:p w14:paraId="785780C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2AE7A53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(1)</w:t>
            </w:r>
          </w:p>
        </w:tc>
      </w:tr>
      <w:tr w14:paraId="04576A95">
        <w:tblPrEx>
          <w:tblCellMar>
            <w:top w:w="15" w:type="dxa"/>
            <w:left w:w="15" w:type="dxa"/>
            <w:bottom w:w="15" w:type="dxa"/>
            <w:right w:w="15" w:type="dxa"/>
          </w:tblCellMar>
        </w:tblPrEx>
        <w:trPr>
          <w:tblCellSpacing w:w="15" w:type="dxa"/>
        </w:trPr>
        <w:tc>
          <w:tcPr>
            <w:tcW w:w="2340" w:type="dxa"/>
            <w:vAlign w:val="center"/>
          </w:tcPr>
          <w:p w14:paraId="74F535D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1D15855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410" w:type="dxa"/>
            <w:vAlign w:val="center"/>
          </w:tcPr>
          <w:p w14:paraId="350856A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462" w:type="dxa"/>
            <w:vAlign w:val="center"/>
          </w:tcPr>
          <w:p w14:paraId="0D1FD0D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68" w:type="dxa"/>
            <w:vAlign w:val="center"/>
          </w:tcPr>
          <w:p w14:paraId="2028001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7A237EA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r>
      <w:tr w14:paraId="7BB562E4">
        <w:tblPrEx>
          <w:tblCellMar>
            <w:top w:w="15" w:type="dxa"/>
            <w:left w:w="15" w:type="dxa"/>
            <w:bottom w:w="15" w:type="dxa"/>
            <w:right w:w="15" w:type="dxa"/>
          </w:tblCellMar>
        </w:tblPrEx>
        <w:trPr>
          <w:tblCellSpacing w:w="15" w:type="dxa"/>
        </w:trPr>
        <w:tc>
          <w:tcPr>
            <w:tcW w:w="2340" w:type="dxa"/>
            <w:vAlign w:val="center"/>
          </w:tcPr>
          <w:p w14:paraId="4773BA6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Medicinal plants</w:t>
            </w:r>
          </w:p>
        </w:tc>
        <w:tc>
          <w:tcPr>
            <w:tcW w:w="1680" w:type="dxa"/>
            <w:vAlign w:val="center"/>
          </w:tcPr>
          <w:p w14:paraId="30314B2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410" w:type="dxa"/>
            <w:vAlign w:val="center"/>
          </w:tcPr>
          <w:p w14:paraId="60E5A4C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74 (88)</w:t>
            </w:r>
          </w:p>
        </w:tc>
        <w:tc>
          <w:tcPr>
            <w:tcW w:w="1462" w:type="dxa"/>
            <w:vAlign w:val="center"/>
          </w:tcPr>
          <w:p w14:paraId="50877D1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72 (86)</w:t>
            </w:r>
          </w:p>
        </w:tc>
        <w:tc>
          <w:tcPr>
            <w:tcW w:w="1268" w:type="dxa"/>
            <w:vAlign w:val="center"/>
          </w:tcPr>
          <w:p w14:paraId="7E8D285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 (99)</w:t>
            </w:r>
          </w:p>
        </w:tc>
        <w:tc>
          <w:tcPr>
            <w:tcW w:w="1305" w:type="dxa"/>
            <w:vAlign w:val="center"/>
          </w:tcPr>
          <w:p w14:paraId="3D3C41C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163 (91)</w:t>
            </w:r>
          </w:p>
        </w:tc>
      </w:tr>
      <w:tr w14:paraId="1ECAD54E">
        <w:tblPrEx>
          <w:tblCellMar>
            <w:top w:w="15" w:type="dxa"/>
            <w:left w:w="15" w:type="dxa"/>
            <w:bottom w:w="15" w:type="dxa"/>
            <w:right w:w="15" w:type="dxa"/>
          </w:tblCellMar>
        </w:tblPrEx>
        <w:trPr>
          <w:tblCellSpacing w:w="15" w:type="dxa"/>
        </w:trPr>
        <w:tc>
          <w:tcPr>
            <w:tcW w:w="2340" w:type="dxa"/>
            <w:vAlign w:val="center"/>
          </w:tcPr>
          <w:p w14:paraId="7377BB4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538591B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410" w:type="dxa"/>
            <w:vAlign w:val="center"/>
          </w:tcPr>
          <w:p w14:paraId="4F09B0F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10 (12)</w:t>
            </w:r>
          </w:p>
        </w:tc>
        <w:tc>
          <w:tcPr>
            <w:tcW w:w="1462" w:type="dxa"/>
            <w:vAlign w:val="center"/>
          </w:tcPr>
          <w:p w14:paraId="3FC3E62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12 (14)</w:t>
            </w:r>
          </w:p>
        </w:tc>
        <w:tc>
          <w:tcPr>
            <w:tcW w:w="1268" w:type="dxa"/>
            <w:vAlign w:val="center"/>
          </w:tcPr>
          <w:p w14:paraId="1ADB80B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05" w:type="dxa"/>
            <w:vAlign w:val="center"/>
          </w:tcPr>
          <w:p w14:paraId="014C8C1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23 (9)</w:t>
            </w:r>
          </w:p>
        </w:tc>
      </w:tr>
      <w:tr w14:paraId="71AC4E88">
        <w:tblPrEx>
          <w:tblCellMar>
            <w:top w:w="15" w:type="dxa"/>
            <w:left w:w="15" w:type="dxa"/>
            <w:bottom w:w="15" w:type="dxa"/>
            <w:right w:w="15" w:type="dxa"/>
          </w:tblCellMar>
        </w:tblPrEx>
        <w:trPr>
          <w:tblCellSpacing w:w="15" w:type="dxa"/>
        </w:trPr>
        <w:tc>
          <w:tcPr>
            <w:tcW w:w="2340" w:type="dxa"/>
            <w:vAlign w:val="center"/>
          </w:tcPr>
          <w:p w14:paraId="1F0442A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Bush meat</w:t>
            </w:r>
          </w:p>
        </w:tc>
        <w:tc>
          <w:tcPr>
            <w:tcW w:w="1680" w:type="dxa"/>
            <w:vAlign w:val="center"/>
          </w:tcPr>
          <w:p w14:paraId="2DCE669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410" w:type="dxa"/>
            <w:vAlign w:val="center"/>
          </w:tcPr>
          <w:p w14:paraId="5A1F295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79 (95)</w:t>
            </w:r>
          </w:p>
        </w:tc>
        <w:tc>
          <w:tcPr>
            <w:tcW w:w="1462" w:type="dxa"/>
            <w:vAlign w:val="center"/>
          </w:tcPr>
          <w:p w14:paraId="660DAA1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67 (80)</w:t>
            </w:r>
          </w:p>
        </w:tc>
        <w:tc>
          <w:tcPr>
            <w:tcW w:w="1268" w:type="dxa"/>
            <w:vAlign w:val="center"/>
          </w:tcPr>
          <w:p w14:paraId="4556538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189678C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230 (91)</w:t>
            </w:r>
          </w:p>
        </w:tc>
      </w:tr>
      <w:tr w14:paraId="2ED79F6A">
        <w:tblPrEx>
          <w:tblCellMar>
            <w:top w:w="15" w:type="dxa"/>
            <w:left w:w="15" w:type="dxa"/>
            <w:bottom w:w="15" w:type="dxa"/>
            <w:right w:w="15" w:type="dxa"/>
          </w:tblCellMar>
        </w:tblPrEx>
        <w:trPr>
          <w:tblCellSpacing w:w="15" w:type="dxa"/>
        </w:trPr>
        <w:tc>
          <w:tcPr>
            <w:tcW w:w="2340" w:type="dxa"/>
            <w:vAlign w:val="center"/>
          </w:tcPr>
          <w:p w14:paraId="47A9CD1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3B591BA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410" w:type="dxa"/>
            <w:vAlign w:val="center"/>
          </w:tcPr>
          <w:p w14:paraId="0BBEFC3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 (5)</w:t>
            </w:r>
          </w:p>
        </w:tc>
        <w:tc>
          <w:tcPr>
            <w:tcW w:w="1462" w:type="dxa"/>
            <w:vAlign w:val="center"/>
          </w:tcPr>
          <w:p w14:paraId="28B258A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16 (19)</w:t>
            </w:r>
          </w:p>
        </w:tc>
        <w:tc>
          <w:tcPr>
            <w:tcW w:w="1268" w:type="dxa"/>
            <w:vAlign w:val="center"/>
          </w:tcPr>
          <w:p w14:paraId="7726A06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012BF66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21 (8)</w:t>
            </w:r>
          </w:p>
        </w:tc>
      </w:tr>
      <w:tr w14:paraId="75F5621E">
        <w:tblPrEx>
          <w:tblCellMar>
            <w:top w:w="15" w:type="dxa"/>
            <w:left w:w="15" w:type="dxa"/>
            <w:bottom w:w="15" w:type="dxa"/>
            <w:right w:w="15" w:type="dxa"/>
          </w:tblCellMar>
        </w:tblPrEx>
        <w:trPr>
          <w:tblCellSpacing w:w="15" w:type="dxa"/>
        </w:trPr>
        <w:tc>
          <w:tcPr>
            <w:tcW w:w="2340" w:type="dxa"/>
            <w:vAlign w:val="center"/>
          </w:tcPr>
          <w:p w14:paraId="30951ED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5821C90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410" w:type="dxa"/>
            <w:vAlign w:val="center"/>
          </w:tcPr>
          <w:p w14:paraId="02F665F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462" w:type="dxa"/>
            <w:vAlign w:val="center"/>
          </w:tcPr>
          <w:p w14:paraId="58C2A41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268" w:type="dxa"/>
            <w:vAlign w:val="center"/>
          </w:tcPr>
          <w:p w14:paraId="1357E1E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337C039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r>
      <w:tr w14:paraId="58687C6C">
        <w:tblPrEx>
          <w:tblCellMar>
            <w:top w:w="15" w:type="dxa"/>
            <w:left w:w="15" w:type="dxa"/>
            <w:bottom w:w="15" w:type="dxa"/>
            <w:right w:w="15" w:type="dxa"/>
          </w:tblCellMar>
        </w:tblPrEx>
        <w:trPr>
          <w:tblCellSpacing w:w="15" w:type="dxa"/>
        </w:trPr>
        <w:tc>
          <w:tcPr>
            <w:tcW w:w="2340" w:type="dxa"/>
            <w:vAlign w:val="center"/>
          </w:tcPr>
          <w:p w14:paraId="588F993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Place of traditional worship</w:t>
            </w:r>
          </w:p>
        </w:tc>
        <w:tc>
          <w:tcPr>
            <w:tcW w:w="1680" w:type="dxa"/>
            <w:vAlign w:val="center"/>
          </w:tcPr>
          <w:p w14:paraId="56BAD50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410" w:type="dxa"/>
            <w:vAlign w:val="center"/>
          </w:tcPr>
          <w:p w14:paraId="5E0DDCC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26 (31)</w:t>
            </w:r>
          </w:p>
        </w:tc>
        <w:tc>
          <w:tcPr>
            <w:tcW w:w="1462" w:type="dxa"/>
            <w:vAlign w:val="center"/>
          </w:tcPr>
          <w:p w14:paraId="4E4E876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41 (49)</w:t>
            </w:r>
          </w:p>
        </w:tc>
        <w:tc>
          <w:tcPr>
            <w:tcW w:w="1268" w:type="dxa"/>
            <w:vAlign w:val="center"/>
          </w:tcPr>
          <w:p w14:paraId="0332361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68 (88)</w:t>
            </w:r>
          </w:p>
        </w:tc>
        <w:tc>
          <w:tcPr>
            <w:tcW w:w="1305" w:type="dxa"/>
            <w:vAlign w:val="center"/>
          </w:tcPr>
          <w:p w14:paraId="3C78346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149 (59)</w:t>
            </w:r>
          </w:p>
        </w:tc>
      </w:tr>
      <w:tr w14:paraId="05183BBB">
        <w:tblPrEx>
          <w:tblCellMar>
            <w:top w:w="15" w:type="dxa"/>
            <w:left w:w="15" w:type="dxa"/>
            <w:bottom w:w="15" w:type="dxa"/>
            <w:right w:w="15" w:type="dxa"/>
          </w:tblCellMar>
        </w:tblPrEx>
        <w:trPr>
          <w:tblCellSpacing w:w="15" w:type="dxa"/>
        </w:trPr>
        <w:tc>
          <w:tcPr>
            <w:tcW w:w="2340" w:type="dxa"/>
            <w:vAlign w:val="center"/>
          </w:tcPr>
          <w:p w14:paraId="54D4ED9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5829121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410" w:type="dxa"/>
            <w:vAlign w:val="center"/>
          </w:tcPr>
          <w:p w14:paraId="14A3E5D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40 (48)</w:t>
            </w:r>
          </w:p>
        </w:tc>
        <w:tc>
          <w:tcPr>
            <w:tcW w:w="1462" w:type="dxa"/>
            <w:vAlign w:val="center"/>
          </w:tcPr>
          <w:p w14:paraId="45DA424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 (8)</w:t>
            </w:r>
          </w:p>
        </w:tc>
        <w:tc>
          <w:tcPr>
            <w:tcW w:w="1268" w:type="dxa"/>
            <w:vAlign w:val="center"/>
          </w:tcPr>
          <w:p w14:paraId="094AAB0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305" w:type="dxa"/>
            <w:vAlign w:val="center"/>
          </w:tcPr>
          <w:p w14:paraId="0CBD5ED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49 (20)</w:t>
            </w:r>
          </w:p>
        </w:tc>
      </w:tr>
      <w:tr w14:paraId="72E53FD7">
        <w:tblPrEx>
          <w:tblCellMar>
            <w:top w:w="15" w:type="dxa"/>
            <w:left w:w="15" w:type="dxa"/>
            <w:bottom w:w="15" w:type="dxa"/>
            <w:right w:w="15" w:type="dxa"/>
          </w:tblCellMar>
        </w:tblPrEx>
        <w:trPr>
          <w:tblCellSpacing w:w="15" w:type="dxa"/>
        </w:trPr>
        <w:tc>
          <w:tcPr>
            <w:tcW w:w="2340" w:type="dxa"/>
            <w:vAlign w:val="center"/>
          </w:tcPr>
          <w:p w14:paraId="15FCDAC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21C85BF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410" w:type="dxa"/>
            <w:vAlign w:val="center"/>
          </w:tcPr>
          <w:p w14:paraId="630D2A9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18 (21)</w:t>
            </w:r>
          </w:p>
        </w:tc>
        <w:tc>
          <w:tcPr>
            <w:tcW w:w="1462" w:type="dxa"/>
            <w:vAlign w:val="center"/>
          </w:tcPr>
          <w:p w14:paraId="45E0458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36 (43)</w:t>
            </w:r>
          </w:p>
        </w:tc>
        <w:tc>
          <w:tcPr>
            <w:tcW w:w="1268" w:type="dxa"/>
            <w:vAlign w:val="center"/>
          </w:tcPr>
          <w:p w14:paraId="2C09CC0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1C2EFCD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54 (21)</w:t>
            </w:r>
          </w:p>
        </w:tc>
      </w:tr>
      <w:tr w14:paraId="284C257A">
        <w:tblPrEx>
          <w:tblCellMar>
            <w:top w:w="15" w:type="dxa"/>
            <w:left w:w="15" w:type="dxa"/>
            <w:bottom w:w="15" w:type="dxa"/>
            <w:right w:w="15" w:type="dxa"/>
          </w:tblCellMar>
        </w:tblPrEx>
        <w:trPr>
          <w:tblCellSpacing w:w="15" w:type="dxa"/>
        </w:trPr>
        <w:tc>
          <w:tcPr>
            <w:tcW w:w="2340" w:type="dxa"/>
            <w:vAlign w:val="center"/>
          </w:tcPr>
          <w:p w14:paraId="70C1555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Regulating climate change</w:t>
            </w:r>
          </w:p>
        </w:tc>
        <w:tc>
          <w:tcPr>
            <w:tcW w:w="1680" w:type="dxa"/>
            <w:vAlign w:val="center"/>
          </w:tcPr>
          <w:p w14:paraId="5CCD366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410" w:type="dxa"/>
            <w:vAlign w:val="center"/>
          </w:tcPr>
          <w:p w14:paraId="398A344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58 (98)</w:t>
            </w:r>
          </w:p>
        </w:tc>
        <w:tc>
          <w:tcPr>
            <w:tcW w:w="1462" w:type="dxa"/>
            <w:vAlign w:val="center"/>
          </w:tcPr>
          <w:p w14:paraId="2308DC8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82 (98)</w:t>
            </w:r>
          </w:p>
        </w:tc>
        <w:tc>
          <w:tcPr>
            <w:tcW w:w="1268" w:type="dxa"/>
            <w:vAlign w:val="center"/>
          </w:tcPr>
          <w:p w14:paraId="4D98165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68 (81)</w:t>
            </w:r>
          </w:p>
        </w:tc>
        <w:tc>
          <w:tcPr>
            <w:tcW w:w="1305" w:type="dxa"/>
            <w:vAlign w:val="center"/>
          </w:tcPr>
          <w:p w14:paraId="4C4F052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232 (92)</w:t>
            </w:r>
          </w:p>
        </w:tc>
      </w:tr>
      <w:tr w14:paraId="4DB1DD5C">
        <w:tblPrEx>
          <w:tblCellMar>
            <w:top w:w="15" w:type="dxa"/>
            <w:left w:w="15" w:type="dxa"/>
            <w:bottom w:w="15" w:type="dxa"/>
            <w:right w:w="15" w:type="dxa"/>
          </w:tblCellMar>
        </w:tblPrEx>
        <w:trPr>
          <w:tblCellSpacing w:w="15" w:type="dxa"/>
        </w:trPr>
        <w:tc>
          <w:tcPr>
            <w:tcW w:w="2340" w:type="dxa"/>
            <w:vAlign w:val="center"/>
          </w:tcPr>
          <w:p w14:paraId="61AC562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3D781D0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410" w:type="dxa"/>
            <w:vAlign w:val="center"/>
          </w:tcPr>
          <w:p w14:paraId="1F7B13B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462" w:type="dxa"/>
            <w:vAlign w:val="center"/>
          </w:tcPr>
          <w:p w14:paraId="0DB337F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268" w:type="dxa"/>
            <w:vAlign w:val="center"/>
          </w:tcPr>
          <w:p w14:paraId="20A673A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16 (19)</w:t>
            </w:r>
          </w:p>
        </w:tc>
        <w:tc>
          <w:tcPr>
            <w:tcW w:w="1305" w:type="dxa"/>
            <w:vAlign w:val="center"/>
          </w:tcPr>
          <w:p w14:paraId="6EDBFFC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18 (7)</w:t>
            </w:r>
          </w:p>
        </w:tc>
      </w:tr>
      <w:tr w14:paraId="352F605C">
        <w:tblPrEx>
          <w:tblCellMar>
            <w:top w:w="15" w:type="dxa"/>
            <w:left w:w="15" w:type="dxa"/>
            <w:bottom w:w="15" w:type="dxa"/>
            <w:right w:w="15" w:type="dxa"/>
          </w:tblCellMar>
        </w:tblPrEx>
        <w:trPr>
          <w:tblCellSpacing w:w="15" w:type="dxa"/>
        </w:trPr>
        <w:tc>
          <w:tcPr>
            <w:tcW w:w="2340" w:type="dxa"/>
            <w:vAlign w:val="center"/>
          </w:tcPr>
          <w:p w14:paraId="529E146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41F165B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410" w:type="dxa"/>
            <w:vAlign w:val="center"/>
          </w:tcPr>
          <w:p w14:paraId="66AC93D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462" w:type="dxa"/>
            <w:vAlign w:val="center"/>
          </w:tcPr>
          <w:p w14:paraId="4C2A275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268" w:type="dxa"/>
            <w:vAlign w:val="center"/>
          </w:tcPr>
          <w:p w14:paraId="1835BD2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5CEC95E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(1)</w:t>
            </w:r>
          </w:p>
        </w:tc>
      </w:tr>
    </w:tbl>
    <w:p w14:paraId="775E1E16">
      <w:pPr>
        <w:spacing w:line="480" w:lineRule="auto"/>
        <w:jc w:val="both"/>
        <w:rPr>
          <w:rFonts w:hint="default" w:ascii="Times New Roman" w:hAnsi="Times New Roman" w:cs="Times New Roman"/>
          <w:sz w:val="24"/>
          <w:szCs w:val="24"/>
        </w:rPr>
      </w:pPr>
    </w:p>
    <w:p w14:paraId="5B77575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KII insights are in line with the household results revealing the benefits that these forest reserves provide to individual members of the community. For instance, one participant revealed:</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rPr>
        <w:t>"The forest reserve provides essential resources and is a livelihood source for our community. It plays a vital role in agriculture, with fertile land supporting the cultivation of crops such as yams, beans, rice, maize, and guinea corn. We harvest edible fruits and products such as palm kernel, shea butter, locust beans, and bushmeat. The forest supplies herbs for traditional medicine, timber, and tall grasses for constructing shelters and roofing. It also holds cultural significance, offering security and spiritual protection to some individual people in the community and so on…."</w:t>
      </w:r>
      <w:r>
        <w:rPr>
          <w:rFonts w:hint="default" w:ascii="Times New Roman" w:hAnsi="Times New Roman" w:cs="Times New Roman"/>
          <w:sz w:val="24"/>
          <w:szCs w:val="24"/>
        </w:rPr>
        <w:t xml:space="preserve"> (Doma Local leader FGD, 002, July 2022).</w:t>
      </w:r>
    </w:p>
    <w:p w14:paraId="73CDB6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participant added; “</w:t>
      </w:r>
      <w:r>
        <w:rPr>
          <w:rFonts w:hint="default" w:ascii="Times New Roman" w:hAnsi="Times New Roman" w:cs="Times New Roman"/>
          <w:i/>
          <w:iCs/>
          <w:sz w:val="24"/>
          <w:szCs w:val="24"/>
        </w:rPr>
        <w:t>It serves as a source of rain to the community, which has an impact on the abundant yield of farming activities such agricultural products for the livelihood of the community and society</w:t>
      </w:r>
      <w:r>
        <w:rPr>
          <w:rFonts w:hint="default" w:ascii="Times New Roman" w:hAnsi="Times New Roman" w:cs="Times New Roman"/>
          <w:sz w:val="24"/>
          <w:szCs w:val="24"/>
        </w:rPr>
        <w:t>” (Odu Local People KII 004, June 2022). During the FGD in Odu community, a further participant expressed that: “</w:t>
      </w:r>
      <w:r>
        <w:rPr>
          <w:rFonts w:hint="default" w:ascii="Times New Roman" w:hAnsi="Times New Roman" w:cs="Times New Roman"/>
          <w:i/>
          <w:iCs/>
          <w:sz w:val="24"/>
          <w:szCs w:val="24"/>
        </w:rPr>
        <w:t>This forest reserve is a source of traditional worship for spiritual protection, as individuals seek ancestral support for personal problems and cultural demands. It helps protect the community against attacks and disease outbreaks, being a place for ancestral worship. It also provides individuals with medical herbs for treating sickness. Other benefits include edible fruits and drinking water</w:t>
      </w:r>
      <w:r>
        <w:rPr>
          <w:rFonts w:hint="default" w:ascii="Times New Roman" w:hAnsi="Times New Roman" w:cs="Times New Roman"/>
          <w:sz w:val="24"/>
          <w:szCs w:val="24"/>
        </w:rPr>
        <w:t xml:space="preserve">” (Odu Local People KII 004, June 2022). </w:t>
      </w:r>
      <w:r>
        <w:rPr>
          <w:rFonts w:hint="default" w:ascii="Times New Roman" w:hAnsi="Times New Roman" w:cs="Times New Roman"/>
          <w:b w:val="0"/>
          <w:bCs w:val="0"/>
          <w:sz w:val="24"/>
          <w:szCs w:val="24"/>
        </w:rPr>
        <w:t>A participant from the Risha reserve community said:</w:t>
      </w:r>
    </w:p>
    <w:p w14:paraId="553E118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i/>
          <w:iCs/>
          <w:sz w:val="24"/>
          <w:szCs w:val="24"/>
        </w:rPr>
        <w:t>The forest reserves benefit us as individuals and the community by providing essential resources that support livelihoods. They offer food, medicinal herbs, and raw materials such as timber and charcoal, which contribute to supplement income generation to our community. Also, it serves as a protection place for spiritual worship for the traditionalists to maintain cultural activities of the community but is not of much importance to an individual or community, only for some people who choose to believe in this tradition</w:t>
      </w:r>
      <w:r>
        <w:rPr>
          <w:rFonts w:hint="default" w:ascii="Times New Roman" w:hAnsi="Times New Roman" w:cs="Times New Roman"/>
          <w:sz w:val="24"/>
          <w:szCs w:val="24"/>
        </w:rPr>
        <w:t>” (Risha Local People FGD 003, June 2022).</w:t>
      </w:r>
    </w:p>
    <w:p w14:paraId="2F2DC47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results show a high percentage (89%) of respondents (Table 3) across all communities view edible fruits as a very important benefit. This suggests a strong reliance on the forest for food resources. This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perception may be influenced by the level of dependency on forest products; for example, individuals or households that engage more directly in forest-based livelihoods such as foraging, hunting, or small-scale trade are likely to place higher value on edible fruits. Additionally, proximity to the forest could also play a role in shaping this perception, as communities living closer to forest boundaries may have greater access to these resources, thereby reinforcing their importance in daily nutrition and sustenance.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Income was perceived as very important (79%), indicating that the forest plays a significant role in the local economy. This economic reliance is especially pronounced among individuals engaged in activities such as the collection and sale of non-timber forest products (NTFPs), artisanal crafts, or small-scale logging. Such groups likely perceive the forest as a consistent and accessible source of livelihood. Moreover, the benefit of agriculture was perceived as very important (81%), highlighting the forest's crucial role in supporting agricultural activities. However, this does not imply that deforestation would yield the same benefits, as the forest provides essential ecosystem services that sustain agriculture. These include the maintenance of soil fertility, pollination, water regulation, and pest control, which are particularly vital for subsistence farmers in forest-adjacent communities.</w:t>
      </w:r>
    </w:p>
    <w:p w14:paraId="50A513D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substantial number of the community-identified and perceived medicinal plants were deemed very important by respondents, underlining the forest's role in traditional medicine and healthcare. This importance may be heightened among older populations or those with limited access to formal healthcare services, for whom traditional remedies remain the primary or supplementary treatment options. Similarly, the benefit of bush meat was recognized as very important, reflecting its importance as a protein source. Communities with limited access to market-based animal protein may place a higher value on bush meat, making it not only a cultural but also a nutritional necessity. Meanwhile, traditional worship, perceived as very important by some of the respondents, shows the cultural significance of the protected forest (Table 3), while the regulation of climate change was perceived as very important, highlighting an awareness of environmental services provided by the forest. This awareness could be driven by recent climate variability experiences, where forest-related knowledge and local observations inform the community’s recognition</w:t>
      </w:r>
    </w:p>
    <w:p w14:paraId="2212A3C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of the forest’s buffering role against extreme weather events.</w:t>
      </w:r>
    </w:p>
    <w:p w14:paraId="3B41AC8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results show a high percentage (89%) of respondents across all communities view edible fruits as a very important benefit. This suggests a strong reliance on the forest for food resources. Income was perceived as very important (79%) indicating that the forest plays a significant role in the local economy. Moreover, the benefit of agriculture was perceived as very important (81%), highlighting the forest's crucial role in supporting agricultural activities. However, this does not imply that deforestation would yield the same benefits, as the forest provides essential ecosystem services that sustain agriculture. A substantial number of the community-identified and perceived medicinal plants were deemed very important by respondents, underlining the forest's role in traditional medicine and healthcare. Similarly, the benefit of bush meat was recognized as very important, reflecting its importance as a protein source. Meanwhile, traditional worship, perceived as very important by some of the respondents, shows the cultural significance of the protected forest (Table 3), while the regulation of climate change was perceived as very important, highlighting an awareness of environmental services provided by the forest.</w:t>
      </w:r>
    </w:p>
    <w:p w14:paraId="09EE94E1">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Community perceptions of options for the benefit of the gazetted forest reserve to the wider society</w:t>
      </w:r>
    </w:p>
    <w:p w14:paraId="229520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Understanding how the communities perceive the benefits from the gazetted forest reserves to wider society is important, as it can help to understand the local communities' perception and knowledge about this forest at a wider scale, with the implications for environmental management, conservation policy, and community engagement strategies. </w:t>
      </w:r>
    </w:p>
    <w:p w14:paraId="3465EC5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Community perceptions regarding the benefits of the gazetted forest to society are presented in Table 4.</w:t>
      </w:r>
    </w:p>
    <w:p w14:paraId="07DCAF15">
      <w:pPr>
        <w:spacing w:before="100" w:beforeAutospacing="1" w:after="100" w:afterAutospacing="1" w:line="240" w:lineRule="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4. Community perceptions of the benefits of gazetted forest reserves to the wider society</w:t>
      </w:r>
    </w:p>
    <w:tbl>
      <w:tblPr>
        <w:tblStyle w:val="6"/>
        <w:tblW w:w="9855" w:type="dxa"/>
        <w:tblCellSpacing w:w="15" w:type="dxa"/>
        <w:tblInd w:w="0" w:type="dxa"/>
        <w:tblLayout w:type="autofit"/>
        <w:tblCellMar>
          <w:top w:w="15" w:type="dxa"/>
          <w:left w:w="15" w:type="dxa"/>
          <w:bottom w:w="15" w:type="dxa"/>
          <w:right w:w="15" w:type="dxa"/>
        </w:tblCellMar>
      </w:tblPr>
      <w:tblGrid>
        <w:gridCol w:w="2745"/>
        <w:gridCol w:w="1710"/>
        <w:gridCol w:w="1397"/>
        <w:gridCol w:w="1393"/>
        <w:gridCol w:w="1260"/>
        <w:gridCol w:w="1350"/>
      </w:tblGrid>
      <w:tr w14:paraId="77FB3DBF">
        <w:tblPrEx>
          <w:tblCellMar>
            <w:top w:w="15" w:type="dxa"/>
            <w:left w:w="15" w:type="dxa"/>
            <w:bottom w:w="15" w:type="dxa"/>
            <w:right w:w="15" w:type="dxa"/>
          </w:tblCellMar>
        </w:tblPrEx>
        <w:trPr>
          <w:tblHeader/>
          <w:tblCellSpacing w:w="15" w:type="dxa"/>
        </w:trPr>
        <w:tc>
          <w:tcPr>
            <w:tcW w:w="2700" w:type="dxa"/>
            <w:vAlign w:val="center"/>
          </w:tcPr>
          <w:p w14:paraId="0059020A">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Variable</w:t>
            </w:r>
          </w:p>
        </w:tc>
        <w:tc>
          <w:tcPr>
            <w:tcW w:w="1680" w:type="dxa"/>
            <w:vAlign w:val="center"/>
          </w:tcPr>
          <w:p w14:paraId="6F0CC34B">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Response</w:t>
            </w:r>
          </w:p>
        </w:tc>
        <w:tc>
          <w:tcPr>
            <w:tcW w:w="1367" w:type="dxa"/>
            <w:vAlign w:val="center"/>
          </w:tcPr>
          <w:p w14:paraId="14F054AA">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Doma n (%)</w:t>
            </w:r>
          </w:p>
        </w:tc>
        <w:tc>
          <w:tcPr>
            <w:tcW w:w="1363" w:type="dxa"/>
            <w:vAlign w:val="center"/>
          </w:tcPr>
          <w:p w14:paraId="200E75D4">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Risha n (%)</w:t>
            </w:r>
          </w:p>
        </w:tc>
        <w:tc>
          <w:tcPr>
            <w:tcW w:w="1230" w:type="dxa"/>
            <w:vAlign w:val="center"/>
          </w:tcPr>
          <w:p w14:paraId="280A7F26">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Odu n (%)</w:t>
            </w:r>
          </w:p>
        </w:tc>
        <w:tc>
          <w:tcPr>
            <w:tcW w:w="1305" w:type="dxa"/>
            <w:vAlign w:val="center"/>
          </w:tcPr>
          <w:p w14:paraId="6625B123">
            <w:pPr>
              <w:keepNext w:val="0"/>
              <w:keepLines w:val="0"/>
              <w:suppressLineNumbers w:val="0"/>
              <w:spacing w:beforeAutospacing="0" w:after="0" w:afterAutospacing="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Total n (%)</w:t>
            </w:r>
          </w:p>
        </w:tc>
      </w:tr>
      <w:tr w14:paraId="4D936EBD">
        <w:tblPrEx>
          <w:tblCellMar>
            <w:top w:w="15" w:type="dxa"/>
            <w:left w:w="15" w:type="dxa"/>
            <w:bottom w:w="15" w:type="dxa"/>
            <w:right w:w="15" w:type="dxa"/>
          </w:tblCellMar>
        </w:tblPrEx>
        <w:trPr>
          <w:tblCellSpacing w:w="15" w:type="dxa"/>
        </w:trPr>
        <w:tc>
          <w:tcPr>
            <w:tcW w:w="2700" w:type="dxa"/>
            <w:vAlign w:val="center"/>
          </w:tcPr>
          <w:p w14:paraId="0EFB34B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 source of rainfall</w:t>
            </w:r>
          </w:p>
        </w:tc>
        <w:tc>
          <w:tcPr>
            <w:tcW w:w="1680" w:type="dxa"/>
            <w:vAlign w:val="center"/>
          </w:tcPr>
          <w:p w14:paraId="7215718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1D2C874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82 (98)</w:t>
            </w:r>
          </w:p>
        </w:tc>
        <w:tc>
          <w:tcPr>
            <w:tcW w:w="1363" w:type="dxa"/>
            <w:vAlign w:val="center"/>
          </w:tcPr>
          <w:p w14:paraId="68076F6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230" w:type="dxa"/>
            <w:vAlign w:val="center"/>
          </w:tcPr>
          <w:p w14:paraId="10E1F65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 (99)</w:t>
            </w:r>
          </w:p>
        </w:tc>
        <w:tc>
          <w:tcPr>
            <w:tcW w:w="1305" w:type="dxa"/>
            <w:vAlign w:val="center"/>
          </w:tcPr>
          <w:p w14:paraId="08101E7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249 (98)</w:t>
            </w:r>
          </w:p>
        </w:tc>
      </w:tr>
      <w:tr w14:paraId="2A0D8E3F">
        <w:tblPrEx>
          <w:tblCellMar>
            <w:top w:w="15" w:type="dxa"/>
            <w:left w:w="15" w:type="dxa"/>
            <w:bottom w:w="15" w:type="dxa"/>
            <w:right w:w="15" w:type="dxa"/>
          </w:tblCellMar>
        </w:tblPrEx>
        <w:trPr>
          <w:tblCellSpacing w:w="15" w:type="dxa"/>
        </w:trPr>
        <w:tc>
          <w:tcPr>
            <w:tcW w:w="2700" w:type="dxa"/>
            <w:vAlign w:val="center"/>
          </w:tcPr>
          <w:p w14:paraId="41216FA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5F6D22B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77D8828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6F4B1A9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30" w:type="dxa"/>
            <w:vAlign w:val="center"/>
          </w:tcPr>
          <w:p w14:paraId="672A11A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05" w:type="dxa"/>
            <w:vAlign w:val="center"/>
          </w:tcPr>
          <w:p w14:paraId="472DFF2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(1)</w:t>
            </w:r>
          </w:p>
        </w:tc>
      </w:tr>
      <w:tr w14:paraId="7FDAAC13">
        <w:tblPrEx>
          <w:tblCellMar>
            <w:top w:w="15" w:type="dxa"/>
            <w:left w:w="15" w:type="dxa"/>
            <w:bottom w:w="15" w:type="dxa"/>
            <w:right w:w="15" w:type="dxa"/>
          </w:tblCellMar>
        </w:tblPrEx>
        <w:trPr>
          <w:tblCellSpacing w:w="15" w:type="dxa"/>
        </w:trPr>
        <w:tc>
          <w:tcPr>
            <w:tcW w:w="2700" w:type="dxa"/>
            <w:vAlign w:val="center"/>
          </w:tcPr>
          <w:p w14:paraId="3EE77B0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28D646D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367" w:type="dxa"/>
            <w:vAlign w:val="center"/>
          </w:tcPr>
          <w:p w14:paraId="609E243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63" w:type="dxa"/>
            <w:vAlign w:val="center"/>
          </w:tcPr>
          <w:p w14:paraId="03933A3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30" w:type="dxa"/>
            <w:vAlign w:val="center"/>
          </w:tcPr>
          <w:p w14:paraId="411BC51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37699AE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r>
      <w:tr w14:paraId="04BC3C71">
        <w:tblPrEx>
          <w:tblCellMar>
            <w:top w:w="15" w:type="dxa"/>
            <w:left w:w="15" w:type="dxa"/>
            <w:bottom w:w="15" w:type="dxa"/>
            <w:right w:w="15" w:type="dxa"/>
          </w:tblCellMar>
        </w:tblPrEx>
        <w:trPr>
          <w:tblCellSpacing w:w="15" w:type="dxa"/>
        </w:trPr>
        <w:tc>
          <w:tcPr>
            <w:tcW w:w="2700" w:type="dxa"/>
            <w:vAlign w:val="center"/>
          </w:tcPr>
          <w:p w14:paraId="2401A58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3239F54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 don’t know</w:t>
            </w:r>
          </w:p>
        </w:tc>
        <w:tc>
          <w:tcPr>
            <w:tcW w:w="1367" w:type="dxa"/>
            <w:vAlign w:val="center"/>
          </w:tcPr>
          <w:p w14:paraId="2A53859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3D70D15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30" w:type="dxa"/>
            <w:vAlign w:val="center"/>
          </w:tcPr>
          <w:p w14:paraId="4CF5F18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22F6DB1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r>
      <w:tr w14:paraId="17DFEE4D">
        <w:tblPrEx>
          <w:tblCellMar>
            <w:top w:w="15" w:type="dxa"/>
            <w:left w:w="15" w:type="dxa"/>
            <w:bottom w:w="15" w:type="dxa"/>
            <w:right w:w="15" w:type="dxa"/>
          </w:tblCellMar>
        </w:tblPrEx>
        <w:trPr>
          <w:tblCellSpacing w:w="15" w:type="dxa"/>
        </w:trPr>
        <w:tc>
          <w:tcPr>
            <w:tcW w:w="2700" w:type="dxa"/>
            <w:vAlign w:val="center"/>
          </w:tcPr>
          <w:p w14:paraId="515957B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Supporting land fertility</w:t>
            </w:r>
          </w:p>
        </w:tc>
        <w:tc>
          <w:tcPr>
            <w:tcW w:w="1680" w:type="dxa"/>
            <w:vAlign w:val="center"/>
          </w:tcPr>
          <w:p w14:paraId="510D7C4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341DE71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63" w:type="dxa"/>
            <w:vAlign w:val="center"/>
          </w:tcPr>
          <w:p w14:paraId="0CDA82D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230" w:type="dxa"/>
            <w:vAlign w:val="center"/>
          </w:tcPr>
          <w:p w14:paraId="36E03A4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1C8B70E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252 (100)</w:t>
            </w:r>
          </w:p>
        </w:tc>
      </w:tr>
      <w:tr w14:paraId="477E7D86">
        <w:tblPrEx>
          <w:tblCellMar>
            <w:top w:w="15" w:type="dxa"/>
            <w:left w:w="15" w:type="dxa"/>
            <w:bottom w:w="15" w:type="dxa"/>
            <w:right w:w="15" w:type="dxa"/>
          </w:tblCellMar>
        </w:tblPrEx>
        <w:trPr>
          <w:tblCellSpacing w:w="15" w:type="dxa"/>
        </w:trPr>
        <w:tc>
          <w:tcPr>
            <w:tcW w:w="2700" w:type="dxa"/>
            <w:vAlign w:val="center"/>
          </w:tcPr>
          <w:p w14:paraId="6DC1099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Protecting biodiversity</w:t>
            </w:r>
          </w:p>
        </w:tc>
        <w:tc>
          <w:tcPr>
            <w:tcW w:w="1680" w:type="dxa"/>
            <w:vAlign w:val="center"/>
          </w:tcPr>
          <w:p w14:paraId="27537CC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2DD1501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63" w:type="dxa"/>
            <w:vAlign w:val="center"/>
          </w:tcPr>
          <w:p w14:paraId="16F233D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230" w:type="dxa"/>
            <w:vAlign w:val="center"/>
          </w:tcPr>
          <w:p w14:paraId="1738837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638C6EC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252 (100)</w:t>
            </w:r>
          </w:p>
        </w:tc>
      </w:tr>
      <w:tr w14:paraId="41720EBA">
        <w:tblPrEx>
          <w:tblCellMar>
            <w:top w:w="15" w:type="dxa"/>
            <w:left w:w="15" w:type="dxa"/>
            <w:bottom w:w="15" w:type="dxa"/>
            <w:right w:w="15" w:type="dxa"/>
          </w:tblCellMar>
        </w:tblPrEx>
        <w:trPr>
          <w:tblCellSpacing w:w="15" w:type="dxa"/>
        </w:trPr>
        <w:tc>
          <w:tcPr>
            <w:tcW w:w="2700" w:type="dxa"/>
            <w:vAlign w:val="center"/>
          </w:tcPr>
          <w:p w14:paraId="6C3B593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Supplementing income</w:t>
            </w:r>
          </w:p>
        </w:tc>
        <w:tc>
          <w:tcPr>
            <w:tcW w:w="1680" w:type="dxa"/>
            <w:vAlign w:val="center"/>
          </w:tcPr>
          <w:p w14:paraId="4AC969F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714B970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 (99)</w:t>
            </w:r>
          </w:p>
        </w:tc>
        <w:tc>
          <w:tcPr>
            <w:tcW w:w="1363" w:type="dxa"/>
            <w:vAlign w:val="center"/>
          </w:tcPr>
          <w:p w14:paraId="564003E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81 (97)</w:t>
            </w:r>
          </w:p>
        </w:tc>
        <w:tc>
          <w:tcPr>
            <w:tcW w:w="1230" w:type="dxa"/>
            <w:vAlign w:val="center"/>
          </w:tcPr>
          <w:p w14:paraId="4347494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0ECC582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248 (98)</w:t>
            </w:r>
          </w:p>
        </w:tc>
      </w:tr>
      <w:tr w14:paraId="06F26F96">
        <w:tblPrEx>
          <w:tblCellMar>
            <w:top w:w="15" w:type="dxa"/>
            <w:left w:w="15" w:type="dxa"/>
            <w:bottom w:w="15" w:type="dxa"/>
            <w:right w:w="15" w:type="dxa"/>
          </w:tblCellMar>
        </w:tblPrEx>
        <w:trPr>
          <w:tblCellSpacing w:w="15" w:type="dxa"/>
        </w:trPr>
        <w:tc>
          <w:tcPr>
            <w:tcW w:w="2700" w:type="dxa"/>
            <w:vAlign w:val="center"/>
          </w:tcPr>
          <w:p w14:paraId="6022C7E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6A76B15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42AF687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50D94A8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230" w:type="dxa"/>
            <w:vAlign w:val="center"/>
          </w:tcPr>
          <w:p w14:paraId="00061A7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7510273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(1)</w:t>
            </w:r>
          </w:p>
        </w:tc>
      </w:tr>
      <w:tr w14:paraId="43150FBD">
        <w:tblPrEx>
          <w:tblCellMar>
            <w:top w:w="15" w:type="dxa"/>
            <w:left w:w="15" w:type="dxa"/>
            <w:bottom w:w="15" w:type="dxa"/>
            <w:right w:w="15" w:type="dxa"/>
          </w:tblCellMar>
        </w:tblPrEx>
        <w:trPr>
          <w:tblCellSpacing w:w="15" w:type="dxa"/>
        </w:trPr>
        <w:tc>
          <w:tcPr>
            <w:tcW w:w="2700" w:type="dxa"/>
            <w:vAlign w:val="center"/>
          </w:tcPr>
          <w:p w14:paraId="1974522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0D1FC48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367" w:type="dxa"/>
            <w:vAlign w:val="center"/>
          </w:tcPr>
          <w:p w14:paraId="69E5FB9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63" w:type="dxa"/>
            <w:vAlign w:val="center"/>
          </w:tcPr>
          <w:p w14:paraId="68CCBBC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230" w:type="dxa"/>
            <w:vAlign w:val="center"/>
          </w:tcPr>
          <w:p w14:paraId="4786AD9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33DFEDF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r>
      <w:tr w14:paraId="6E4B8C96">
        <w:tblPrEx>
          <w:tblCellMar>
            <w:top w:w="15" w:type="dxa"/>
            <w:left w:w="15" w:type="dxa"/>
            <w:bottom w:w="15" w:type="dxa"/>
            <w:right w:w="15" w:type="dxa"/>
          </w:tblCellMar>
        </w:tblPrEx>
        <w:trPr>
          <w:tblCellSpacing w:w="15" w:type="dxa"/>
        </w:trPr>
        <w:tc>
          <w:tcPr>
            <w:tcW w:w="2700" w:type="dxa"/>
            <w:vAlign w:val="center"/>
          </w:tcPr>
          <w:p w14:paraId="3839B6C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 source of hardwood</w:t>
            </w:r>
          </w:p>
        </w:tc>
        <w:tc>
          <w:tcPr>
            <w:tcW w:w="1680" w:type="dxa"/>
            <w:vAlign w:val="center"/>
          </w:tcPr>
          <w:p w14:paraId="408AFA8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3137AB3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63" w:type="dxa"/>
            <w:vAlign w:val="center"/>
          </w:tcPr>
          <w:p w14:paraId="4156C72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78 (97)</w:t>
            </w:r>
          </w:p>
        </w:tc>
        <w:tc>
          <w:tcPr>
            <w:tcW w:w="1230" w:type="dxa"/>
            <w:vAlign w:val="center"/>
          </w:tcPr>
          <w:p w14:paraId="2C68996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603F9CD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246 (98)</w:t>
            </w:r>
          </w:p>
        </w:tc>
      </w:tr>
      <w:tr w14:paraId="68680B7C">
        <w:tblPrEx>
          <w:tblCellMar>
            <w:top w:w="15" w:type="dxa"/>
            <w:left w:w="15" w:type="dxa"/>
            <w:bottom w:w="15" w:type="dxa"/>
            <w:right w:w="15" w:type="dxa"/>
          </w:tblCellMar>
        </w:tblPrEx>
        <w:trPr>
          <w:tblCellSpacing w:w="15" w:type="dxa"/>
        </w:trPr>
        <w:tc>
          <w:tcPr>
            <w:tcW w:w="2700" w:type="dxa"/>
            <w:vAlign w:val="center"/>
          </w:tcPr>
          <w:p w14:paraId="78FFBA5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23EDBD9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604A36D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63" w:type="dxa"/>
            <w:vAlign w:val="center"/>
          </w:tcPr>
          <w:p w14:paraId="6A2348A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 (7)</w:t>
            </w:r>
          </w:p>
        </w:tc>
        <w:tc>
          <w:tcPr>
            <w:tcW w:w="1230" w:type="dxa"/>
            <w:vAlign w:val="center"/>
          </w:tcPr>
          <w:p w14:paraId="48F1CAA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304A732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 (2)</w:t>
            </w:r>
          </w:p>
        </w:tc>
      </w:tr>
      <w:tr w14:paraId="15EC3202">
        <w:tblPrEx>
          <w:tblCellMar>
            <w:top w:w="15" w:type="dxa"/>
            <w:left w:w="15" w:type="dxa"/>
            <w:bottom w:w="15" w:type="dxa"/>
            <w:right w:w="15" w:type="dxa"/>
          </w:tblCellMar>
        </w:tblPrEx>
        <w:trPr>
          <w:tblCellSpacing w:w="15" w:type="dxa"/>
        </w:trPr>
        <w:tc>
          <w:tcPr>
            <w:tcW w:w="2700" w:type="dxa"/>
            <w:vAlign w:val="center"/>
          </w:tcPr>
          <w:p w14:paraId="0AB0A2D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 source of medicinal plants</w:t>
            </w:r>
          </w:p>
        </w:tc>
        <w:tc>
          <w:tcPr>
            <w:tcW w:w="1680" w:type="dxa"/>
            <w:vAlign w:val="center"/>
          </w:tcPr>
          <w:p w14:paraId="02BCB93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74119CB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75 (89)</w:t>
            </w:r>
          </w:p>
        </w:tc>
        <w:tc>
          <w:tcPr>
            <w:tcW w:w="1363" w:type="dxa"/>
            <w:vAlign w:val="center"/>
          </w:tcPr>
          <w:p w14:paraId="0B0D332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73 (87)</w:t>
            </w:r>
          </w:p>
        </w:tc>
        <w:tc>
          <w:tcPr>
            <w:tcW w:w="1230" w:type="dxa"/>
            <w:vAlign w:val="center"/>
          </w:tcPr>
          <w:p w14:paraId="0FFF7C1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80 (95)</w:t>
            </w:r>
          </w:p>
        </w:tc>
        <w:tc>
          <w:tcPr>
            <w:tcW w:w="1305" w:type="dxa"/>
            <w:vAlign w:val="center"/>
          </w:tcPr>
          <w:p w14:paraId="5CF7D1D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228 (91)</w:t>
            </w:r>
          </w:p>
        </w:tc>
      </w:tr>
      <w:tr w14:paraId="3CF7BC0F">
        <w:tblPrEx>
          <w:tblCellMar>
            <w:top w:w="15" w:type="dxa"/>
            <w:left w:w="15" w:type="dxa"/>
            <w:bottom w:w="15" w:type="dxa"/>
            <w:right w:w="15" w:type="dxa"/>
          </w:tblCellMar>
        </w:tblPrEx>
        <w:trPr>
          <w:tblCellSpacing w:w="15" w:type="dxa"/>
        </w:trPr>
        <w:tc>
          <w:tcPr>
            <w:tcW w:w="2700" w:type="dxa"/>
            <w:vAlign w:val="center"/>
          </w:tcPr>
          <w:p w14:paraId="63B4EBB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1EFC3ED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3A87157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9 (11)</w:t>
            </w:r>
          </w:p>
        </w:tc>
        <w:tc>
          <w:tcPr>
            <w:tcW w:w="1363" w:type="dxa"/>
            <w:vAlign w:val="center"/>
          </w:tcPr>
          <w:p w14:paraId="0EEA5B2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11 (13)</w:t>
            </w:r>
          </w:p>
        </w:tc>
        <w:tc>
          <w:tcPr>
            <w:tcW w:w="1230" w:type="dxa"/>
            <w:vAlign w:val="center"/>
          </w:tcPr>
          <w:p w14:paraId="7F8ECC2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 (5)</w:t>
            </w:r>
          </w:p>
        </w:tc>
        <w:tc>
          <w:tcPr>
            <w:tcW w:w="1305" w:type="dxa"/>
            <w:vAlign w:val="center"/>
          </w:tcPr>
          <w:p w14:paraId="21E1357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 (9)</w:t>
            </w:r>
          </w:p>
        </w:tc>
      </w:tr>
      <w:tr w14:paraId="672CA9CE">
        <w:tblPrEx>
          <w:tblCellMar>
            <w:top w:w="15" w:type="dxa"/>
            <w:left w:w="15" w:type="dxa"/>
            <w:bottom w:w="15" w:type="dxa"/>
            <w:right w:w="15" w:type="dxa"/>
          </w:tblCellMar>
        </w:tblPrEx>
        <w:trPr>
          <w:tblCellSpacing w:w="15" w:type="dxa"/>
        </w:trPr>
        <w:tc>
          <w:tcPr>
            <w:tcW w:w="2700" w:type="dxa"/>
            <w:vAlign w:val="center"/>
          </w:tcPr>
          <w:p w14:paraId="4CD52AA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 source of bush meat</w:t>
            </w:r>
          </w:p>
        </w:tc>
        <w:tc>
          <w:tcPr>
            <w:tcW w:w="1680" w:type="dxa"/>
            <w:vAlign w:val="center"/>
          </w:tcPr>
          <w:p w14:paraId="679E0CF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039A795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72 (86)</w:t>
            </w:r>
          </w:p>
        </w:tc>
        <w:tc>
          <w:tcPr>
            <w:tcW w:w="1363" w:type="dxa"/>
            <w:vAlign w:val="center"/>
          </w:tcPr>
          <w:p w14:paraId="62FDCB7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74 (88)</w:t>
            </w:r>
          </w:p>
        </w:tc>
        <w:tc>
          <w:tcPr>
            <w:tcW w:w="1230" w:type="dxa"/>
            <w:vAlign w:val="center"/>
          </w:tcPr>
          <w:p w14:paraId="11C5740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72 (98)</w:t>
            </w:r>
          </w:p>
        </w:tc>
        <w:tc>
          <w:tcPr>
            <w:tcW w:w="1305" w:type="dxa"/>
            <w:vAlign w:val="center"/>
          </w:tcPr>
          <w:p w14:paraId="3C0FE13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228 (90)</w:t>
            </w:r>
          </w:p>
        </w:tc>
      </w:tr>
      <w:tr w14:paraId="12042B43">
        <w:tblPrEx>
          <w:tblCellMar>
            <w:top w:w="15" w:type="dxa"/>
            <w:left w:w="15" w:type="dxa"/>
            <w:bottom w:w="15" w:type="dxa"/>
            <w:right w:w="15" w:type="dxa"/>
          </w:tblCellMar>
        </w:tblPrEx>
        <w:trPr>
          <w:tblCellSpacing w:w="15" w:type="dxa"/>
        </w:trPr>
        <w:tc>
          <w:tcPr>
            <w:tcW w:w="2700" w:type="dxa"/>
            <w:vAlign w:val="center"/>
          </w:tcPr>
          <w:p w14:paraId="6ED6BF4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79D8E83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06FF4DA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12 (14)</w:t>
            </w:r>
          </w:p>
        </w:tc>
        <w:tc>
          <w:tcPr>
            <w:tcW w:w="1363" w:type="dxa"/>
            <w:vAlign w:val="center"/>
          </w:tcPr>
          <w:p w14:paraId="5A73623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 (10)</w:t>
            </w:r>
          </w:p>
        </w:tc>
        <w:tc>
          <w:tcPr>
            <w:tcW w:w="1230" w:type="dxa"/>
            <w:vAlign w:val="center"/>
          </w:tcPr>
          <w:p w14:paraId="37DD411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305" w:type="dxa"/>
            <w:vAlign w:val="center"/>
          </w:tcPr>
          <w:p w14:paraId="5AFE64D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22 (9)</w:t>
            </w:r>
          </w:p>
        </w:tc>
      </w:tr>
      <w:tr w14:paraId="06C40570">
        <w:tblPrEx>
          <w:tblCellMar>
            <w:top w:w="15" w:type="dxa"/>
            <w:left w:w="15" w:type="dxa"/>
            <w:bottom w:w="15" w:type="dxa"/>
            <w:right w:w="15" w:type="dxa"/>
          </w:tblCellMar>
        </w:tblPrEx>
        <w:trPr>
          <w:tblCellSpacing w:w="15" w:type="dxa"/>
        </w:trPr>
        <w:tc>
          <w:tcPr>
            <w:tcW w:w="2700" w:type="dxa"/>
            <w:vAlign w:val="center"/>
          </w:tcPr>
          <w:p w14:paraId="505ACBB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0671B09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367" w:type="dxa"/>
            <w:vAlign w:val="center"/>
          </w:tcPr>
          <w:p w14:paraId="6A88DCF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63" w:type="dxa"/>
            <w:vAlign w:val="center"/>
          </w:tcPr>
          <w:p w14:paraId="098D751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230" w:type="dxa"/>
            <w:vAlign w:val="center"/>
          </w:tcPr>
          <w:p w14:paraId="7F1BEEC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6587F7A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(1)</w:t>
            </w:r>
          </w:p>
        </w:tc>
      </w:tr>
      <w:tr w14:paraId="292E7265">
        <w:tblPrEx>
          <w:tblCellMar>
            <w:top w:w="15" w:type="dxa"/>
            <w:left w:w="15" w:type="dxa"/>
            <w:bottom w:w="15" w:type="dxa"/>
            <w:right w:w="15" w:type="dxa"/>
          </w:tblCellMar>
        </w:tblPrEx>
        <w:trPr>
          <w:tblCellSpacing w:w="15" w:type="dxa"/>
        </w:trPr>
        <w:tc>
          <w:tcPr>
            <w:tcW w:w="2700" w:type="dxa"/>
            <w:vAlign w:val="center"/>
          </w:tcPr>
          <w:p w14:paraId="79EA511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 source of edible items</w:t>
            </w:r>
          </w:p>
        </w:tc>
        <w:tc>
          <w:tcPr>
            <w:tcW w:w="1680" w:type="dxa"/>
            <w:vAlign w:val="center"/>
          </w:tcPr>
          <w:p w14:paraId="2159EF8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723E7AC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 (99)</w:t>
            </w:r>
          </w:p>
        </w:tc>
        <w:tc>
          <w:tcPr>
            <w:tcW w:w="1363" w:type="dxa"/>
            <w:vAlign w:val="center"/>
          </w:tcPr>
          <w:p w14:paraId="427656A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81 (96)</w:t>
            </w:r>
          </w:p>
        </w:tc>
        <w:tc>
          <w:tcPr>
            <w:tcW w:w="1230" w:type="dxa"/>
            <w:vAlign w:val="center"/>
          </w:tcPr>
          <w:p w14:paraId="5F8254A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32376C1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248 (98)</w:t>
            </w:r>
          </w:p>
        </w:tc>
      </w:tr>
      <w:tr w14:paraId="55EB2349">
        <w:tblPrEx>
          <w:tblCellMar>
            <w:top w:w="15" w:type="dxa"/>
            <w:left w:w="15" w:type="dxa"/>
            <w:bottom w:w="15" w:type="dxa"/>
            <w:right w:w="15" w:type="dxa"/>
          </w:tblCellMar>
        </w:tblPrEx>
        <w:trPr>
          <w:tblCellSpacing w:w="15" w:type="dxa"/>
        </w:trPr>
        <w:tc>
          <w:tcPr>
            <w:tcW w:w="2700" w:type="dxa"/>
            <w:vAlign w:val="center"/>
          </w:tcPr>
          <w:p w14:paraId="7937940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4694FD9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3BDC752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55D95ED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(4)</w:t>
            </w:r>
          </w:p>
        </w:tc>
        <w:tc>
          <w:tcPr>
            <w:tcW w:w="1230" w:type="dxa"/>
            <w:vAlign w:val="center"/>
          </w:tcPr>
          <w:p w14:paraId="137E6DD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1D6BBD8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 (2)</w:t>
            </w:r>
          </w:p>
        </w:tc>
      </w:tr>
      <w:tr w14:paraId="07ECBCBA">
        <w:tblPrEx>
          <w:tblCellMar>
            <w:top w:w="15" w:type="dxa"/>
            <w:left w:w="15" w:type="dxa"/>
            <w:bottom w:w="15" w:type="dxa"/>
            <w:right w:w="15" w:type="dxa"/>
          </w:tblCellMar>
        </w:tblPrEx>
        <w:trPr>
          <w:tblCellSpacing w:w="15" w:type="dxa"/>
        </w:trPr>
        <w:tc>
          <w:tcPr>
            <w:tcW w:w="2700" w:type="dxa"/>
            <w:vAlign w:val="center"/>
          </w:tcPr>
          <w:p w14:paraId="1C0CCDC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 source of fuelwood/charcoal</w:t>
            </w:r>
          </w:p>
        </w:tc>
        <w:tc>
          <w:tcPr>
            <w:tcW w:w="1680" w:type="dxa"/>
            <w:vAlign w:val="center"/>
          </w:tcPr>
          <w:p w14:paraId="16762C7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5501EA9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81 (97)</w:t>
            </w:r>
          </w:p>
        </w:tc>
        <w:tc>
          <w:tcPr>
            <w:tcW w:w="1363" w:type="dxa"/>
            <w:vAlign w:val="center"/>
          </w:tcPr>
          <w:p w14:paraId="0EA4040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 (99)</w:t>
            </w:r>
          </w:p>
        </w:tc>
        <w:tc>
          <w:tcPr>
            <w:tcW w:w="1230" w:type="dxa"/>
            <w:vAlign w:val="center"/>
          </w:tcPr>
          <w:p w14:paraId="47D7C51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78 (97)</w:t>
            </w:r>
          </w:p>
        </w:tc>
        <w:tc>
          <w:tcPr>
            <w:tcW w:w="1305" w:type="dxa"/>
            <w:vAlign w:val="center"/>
          </w:tcPr>
          <w:p w14:paraId="0472C08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242 (96)</w:t>
            </w:r>
          </w:p>
        </w:tc>
      </w:tr>
      <w:tr w14:paraId="4EE225DE">
        <w:tblPrEx>
          <w:tblCellMar>
            <w:top w:w="15" w:type="dxa"/>
            <w:left w:w="15" w:type="dxa"/>
            <w:bottom w:w="15" w:type="dxa"/>
            <w:right w:w="15" w:type="dxa"/>
          </w:tblCellMar>
        </w:tblPrEx>
        <w:trPr>
          <w:tblCellSpacing w:w="15" w:type="dxa"/>
        </w:trPr>
        <w:tc>
          <w:tcPr>
            <w:tcW w:w="2700" w:type="dxa"/>
            <w:vAlign w:val="center"/>
          </w:tcPr>
          <w:p w14:paraId="747D710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4804A3D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033B7A1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(3)</w:t>
            </w:r>
          </w:p>
        </w:tc>
        <w:tc>
          <w:tcPr>
            <w:tcW w:w="1363" w:type="dxa"/>
            <w:vAlign w:val="center"/>
          </w:tcPr>
          <w:p w14:paraId="1C9B7CA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230" w:type="dxa"/>
            <w:vAlign w:val="center"/>
          </w:tcPr>
          <w:p w14:paraId="41D21B2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 (7)</w:t>
            </w:r>
          </w:p>
        </w:tc>
        <w:tc>
          <w:tcPr>
            <w:tcW w:w="1305" w:type="dxa"/>
            <w:vAlign w:val="center"/>
          </w:tcPr>
          <w:p w14:paraId="711AB32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10 (4)</w:t>
            </w:r>
          </w:p>
        </w:tc>
      </w:tr>
      <w:tr w14:paraId="1055D69F">
        <w:tblPrEx>
          <w:tblCellMar>
            <w:top w:w="15" w:type="dxa"/>
            <w:left w:w="15" w:type="dxa"/>
            <w:bottom w:w="15" w:type="dxa"/>
            <w:right w:w="15" w:type="dxa"/>
          </w:tblCellMar>
        </w:tblPrEx>
        <w:trPr>
          <w:tblCellSpacing w:w="15" w:type="dxa"/>
        </w:trPr>
        <w:tc>
          <w:tcPr>
            <w:tcW w:w="2700" w:type="dxa"/>
            <w:vAlign w:val="center"/>
          </w:tcPr>
          <w:p w14:paraId="0517D25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 source of fibres</w:t>
            </w:r>
          </w:p>
        </w:tc>
        <w:tc>
          <w:tcPr>
            <w:tcW w:w="1680" w:type="dxa"/>
            <w:vAlign w:val="center"/>
          </w:tcPr>
          <w:p w14:paraId="0EF08AC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74F3232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70 (84)</w:t>
            </w:r>
          </w:p>
        </w:tc>
        <w:tc>
          <w:tcPr>
            <w:tcW w:w="1363" w:type="dxa"/>
            <w:vAlign w:val="center"/>
          </w:tcPr>
          <w:p w14:paraId="6445D780">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74 (88)</w:t>
            </w:r>
          </w:p>
        </w:tc>
        <w:tc>
          <w:tcPr>
            <w:tcW w:w="1230" w:type="dxa"/>
            <w:vAlign w:val="center"/>
          </w:tcPr>
          <w:p w14:paraId="51618BD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82 (97)</w:t>
            </w:r>
          </w:p>
        </w:tc>
        <w:tc>
          <w:tcPr>
            <w:tcW w:w="1305" w:type="dxa"/>
            <w:vAlign w:val="center"/>
          </w:tcPr>
          <w:p w14:paraId="716A537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226 (89)</w:t>
            </w:r>
          </w:p>
        </w:tc>
      </w:tr>
      <w:tr w14:paraId="1E81BF58">
        <w:tblPrEx>
          <w:tblCellMar>
            <w:top w:w="15" w:type="dxa"/>
            <w:left w:w="15" w:type="dxa"/>
            <w:bottom w:w="15" w:type="dxa"/>
            <w:right w:w="15" w:type="dxa"/>
          </w:tblCellMar>
        </w:tblPrEx>
        <w:trPr>
          <w:tblCellSpacing w:w="15" w:type="dxa"/>
        </w:trPr>
        <w:tc>
          <w:tcPr>
            <w:tcW w:w="2700" w:type="dxa"/>
            <w:vAlign w:val="center"/>
          </w:tcPr>
          <w:p w14:paraId="144A250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5363CA2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1A2ACD5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13 (15)</w:t>
            </w:r>
          </w:p>
        </w:tc>
        <w:tc>
          <w:tcPr>
            <w:tcW w:w="1363" w:type="dxa"/>
            <w:vAlign w:val="center"/>
          </w:tcPr>
          <w:p w14:paraId="7AACD0D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10 (12)</w:t>
            </w:r>
          </w:p>
        </w:tc>
        <w:tc>
          <w:tcPr>
            <w:tcW w:w="1230" w:type="dxa"/>
            <w:vAlign w:val="center"/>
          </w:tcPr>
          <w:p w14:paraId="327564E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305" w:type="dxa"/>
            <w:vAlign w:val="center"/>
          </w:tcPr>
          <w:p w14:paraId="6670C59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25 (10)</w:t>
            </w:r>
          </w:p>
        </w:tc>
      </w:tr>
      <w:tr w14:paraId="7A6905B7">
        <w:tblPrEx>
          <w:tblCellMar>
            <w:top w:w="15" w:type="dxa"/>
            <w:left w:w="15" w:type="dxa"/>
            <w:bottom w:w="15" w:type="dxa"/>
            <w:right w:w="15" w:type="dxa"/>
          </w:tblCellMar>
        </w:tblPrEx>
        <w:trPr>
          <w:tblCellSpacing w:w="15" w:type="dxa"/>
        </w:trPr>
        <w:tc>
          <w:tcPr>
            <w:tcW w:w="2700" w:type="dxa"/>
            <w:vAlign w:val="center"/>
          </w:tcPr>
          <w:p w14:paraId="23AAD25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2DD35EE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367" w:type="dxa"/>
            <w:vAlign w:val="center"/>
          </w:tcPr>
          <w:p w14:paraId="213472C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0705F93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30" w:type="dxa"/>
            <w:vAlign w:val="center"/>
          </w:tcPr>
          <w:p w14:paraId="14EEFFC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3A7F59B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r>
      <w:tr w14:paraId="158A17EF">
        <w:tblPrEx>
          <w:tblCellMar>
            <w:top w:w="15" w:type="dxa"/>
            <w:left w:w="15" w:type="dxa"/>
            <w:bottom w:w="15" w:type="dxa"/>
            <w:right w:w="15" w:type="dxa"/>
          </w:tblCellMar>
        </w:tblPrEx>
        <w:trPr>
          <w:tblCellSpacing w:w="15" w:type="dxa"/>
        </w:trPr>
        <w:tc>
          <w:tcPr>
            <w:tcW w:w="2700" w:type="dxa"/>
            <w:vAlign w:val="center"/>
          </w:tcPr>
          <w:p w14:paraId="4C32886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Religious purpose</w:t>
            </w:r>
          </w:p>
        </w:tc>
        <w:tc>
          <w:tcPr>
            <w:tcW w:w="1680" w:type="dxa"/>
            <w:vAlign w:val="center"/>
          </w:tcPr>
          <w:p w14:paraId="106DF61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110ED01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21 (25)</w:t>
            </w:r>
          </w:p>
        </w:tc>
        <w:tc>
          <w:tcPr>
            <w:tcW w:w="1363" w:type="dxa"/>
            <w:vAlign w:val="center"/>
          </w:tcPr>
          <w:p w14:paraId="7CF33D7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63 (75)</w:t>
            </w:r>
          </w:p>
        </w:tc>
        <w:tc>
          <w:tcPr>
            <w:tcW w:w="1230" w:type="dxa"/>
            <w:vAlign w:val="center"/>
          </w:tcPr>
          <w:p w14:paraId="2B68B7E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82 (98)</w:t>
            </w:r>
          </w:p>
        </w:tc>
        <w:tc>
          <w:tcPr>
            <w:tcW w:w="1305" w:type="dxa"/>
            <w:vAlign w:val="center"/>
          </w:tcPr>
          <w:p w14:paraId="1087B3D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166 (66)</w:t>
            </w:r>
          </w:p>
        </w:tc>
      </w:tr>
      <w:tr w14:paraId="16497989">
        <w:tblPrEx>
          <w:tblCellMar>
            <w:top w:w="15" w:type="dxa"/>
            <w:left w:w="15" w:type="dxa"/>
            <w:bottom w:w="15" w:type="dxa"/>
            <w:right w:w="15" w:type="dxa"/>
          </w:tblCellMar>
        </w:tblPrEx>
        <w:trPr>
          <w:tblCellSpacing w:w="15" w:type="dxa"/>
        </w:trPr>
        <w:tc>
          <w:tcPr>
            <w:tcW w:w="2700" w:type="dxa"/>
            <w:vAlign w:val="center"/>
          </w:tcPr>
          <w:p w14:paraId="2393A1A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4769DBE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5DEB5A3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60 (71)</w:t>
            </w:r>
          </w:p>
        </w:tc>
        <w:tc>
          <w:tcPr>
            <w:tcW w:w="1363" w:type="dxa"/>
            <w:vAlign w:val="center"/>
          </w:tcPr>
          <w:p w14:paraId="5A3DB7A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15 (18)</w:t>
            </w:r>
          </w:p>
        </w:tc>
        <w:tc>
          <w:tcPr>
            <w:tcW w:w="1230" w:type="dxa"/>
            <w:vAlign w:val="center"/>
          </w:tcPr>
          <w:p w14:paraId="03A0460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305" w:type="dxa"/>
            <w:vAlign w:val="center"/>
          </w:tcPr>
          <w:p w14:paraId="58E571B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77 (30)</w:t>
            </w:r>
          </w:p>
        </w:tc>
      </w:tr>
      <w:tr w14:paraId="01B06BCC">
        <w:tblPrEx>
          <w:tblCellMar>
            <w:top w:w="15" w:type="dxa"/>
            <w:left w:w="15" w:type="dxa"/>
            <w:bottom w:w="15" w:type="dxa"/>
            <w:right w:w="15" w:type="dxa"/>
          </w:tblCellMar>
        </w:tblPrEx>
        <w:trPr>
          <w:tblCellSpacing w:w="15" w:type="dxa"/>
        </w:trPr>
        <w:tc>
          <w:tcPr>
            <w:tcW w:w="2700" w:type="dxa"/>
            <w:vAlign w:val="center"/>
          </w:tcPr>
          <w:p w14:paraId="1C0C4E8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605F85B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367" w:type="dxa"/>
            <w:vAlign w:val="center"/>
          </w:tcPr>
          <w:p w14:paraId="58E70C5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(4)</w:t>
            </w:r>
          </w:p>
        </w:tc>
        <w:tc>
          <w:tcPr>
            <w:tcW w:w="1363" w:type="dxa"/>
            <w:vAlign w:val="center"/>
          </w:tcPr>
          <w:p w14:paraId="1DED6B7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6 (7)</w:t>
            </w:r>
          </w:p>
        </w:tc>
        <w:tc>
          <w:tcPr>
            <w:tcW w:w="1230" w:type="dxa"/>
            <w:vAlign w:val="center"/>
          </w:tcPr>
          <w:p w14:paraId="7009AEB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3145A91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10 (4)</w:t>
            </w:r>
          </w:p>
        </w:tc>
      </w:tr>
      <w:tr w14:paraId="14B73DC2">
        <w:tblPrEx>
          <w:tblCellMar>
            <w:top w:w="15" w:type="dxa"/>
            <w:left w:w="15" w:type="dxa"/>
            <w:bottom w:w="15" w:type="dxa"/>
            <w:right w:w="15" w:type="dxa"/>
          </w:tblCellMar>
        </w:tblPrEx>
        <w:trPr>
          <w:tblCellSpacing w:w="15" w:type="dxa"/>
        </w:trPr>
        <w:tc>
          <w:tcPr>
            <w:tcW w:w="2700" w:type="dxa"/>
            <w:vAlign w:val="center"/>
          </w:tcPr>
          <w:p w14:paraId="4C7B034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Helping with climate change</w:t>
            </w:r>
          </w:p>
        </w:tc>
        <w:tc>
          <w:tcPr>
            <w:tcW w:w="1680" w:type="dxa"/>
            <w:vAlign w:val="center"/>
          </w:tcPr>
          <w:p w14:paraId="3C81C5F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7CA969A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78 (94)</w:t>
            </w:r>
          </w:p>
        </w:tc>
        <w:tc>
          <w:tcPr>
            <w:tcW w:w="1363" w:type="dxa"/>
            <w:vAlign w:val="center"/>
          </w:tcPr>
          <w:p w14:paraId="17AB65E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50 (60)</w:t>
            </w:r>
          </w:p>
        </w:tc>
        <w:tc>
          <w:tcPr>
            <w:tcW w:w="1230" w:type="dxa"/>
            <w:vAlign w:val="center"/>
          </w:tcPr>
          <w:p w14:paraId="5F863FF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29683C8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212 (84)</w:t>
            </w:r>
          </w:p>
        </w:tc>
      </w:tr>
      <w:tr w14:paraId="260E0FBA">
        <w:tblPrEx>
          <w:tblCellMar>
            <w:top w:w="15" w:type="dxa"/>
            <w:left w:w="15" w:type="dxa"/>
            <w:bottom w:w="15" w:type="dxa"/>
            <w:right w:w="15" w:type="dxa"/>
          </w:tblCellMar>
        </w:tblPrEx>
        <w:trPr>
          <w:tblCellSpacing w:w="15" w:type="dxa"/>
        </w:trPr>
        <w:tc>
          <w:tcPr>
            <w:tcW w:w="2700" w:type="dxa"/>
            <w:vAlign w:val="center"/>
          </w:tcPr>
          <w:p w14:paraId="3710EAD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6E1DC3B9">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1298F518">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(4)</w:t>
            </w:r>
          </w:p>
        </w:tc>
        <w:tc>
          <w:tcPr>
            <w:tcW w:w="1363" w:type="dxa"/>
            <w:vAlign w:val="center"/>
          </w:tcPr>
          <w:p w14:paraId="0097F40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16 (19)</w:t>
            </w:r>
          </w:p>
        </w:tc>
        <w:tc>
          <w:tcPr>
            <w:tcW w:w="1230" w:type="dxa"/>
            <w:vAlign w:val="center"/>
          </w:tcPr>
          <w:p w14:paraId="50C23EE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4431E82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 (8)</w:t>
            </w:r>
          </w:p>
        </w:tc>
      </w:tr>
      <w:tr w14:paraId="52AF0280">
        <w:tblPrEx>
          <w:tblCellMar>
            <w:top w:w="15" w:type="dxa"/>
            <w:left w:w="15" w:type="dxa"/>
            <w:bottom w:w="15" w:type="dxa"/>
            <w:right w:w="15" w:type="dxa"/>
          </w:tblCellMar>
        </w:tblPrEx>
        <w:trPr>
          <w:tblCellSpacing w:w="15" w:type="dxa"/>
        </w:trPr>
        <w:tc>
          <w:tcPr>
            <w:tcW w:w="2700" w:type="dxa"/>
            <w:vAlign w:val="center"/>
          </w:tcPr>
          <w:p w14:paraId="494D977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7E3F1EA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367" w:type="dxa"/>
            <w:vAlign w:val="center"/>
          </w:tcPr>
          <w:p w14:paraId="16E3C65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363" w:type="dxa"/>
            <w:vAlign w:val="center"/>
          </w:tcPr>
          <w:p w14:paraId="418B04A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18 (21)</w:t>
            </w:r>
          </w:p>
        </w:tc>
        <w:tc>
          <w:tcPr>
            <w:tcW w:w="1230" w:type="dxa"/>
            <w:vAlign w:val="center"/>
          </w:tcPr>
          <w:p w14:paraId="66CF3B9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42F944B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20 (8)</w:t>
            </w:r>
          </w:p>
        </w:tc>
      </w:tr>
      <w:tr w14:paraId="0DBD0161">
        <w:tblPrEx>
          <w:tblCellMar>
            <w:top w:w="15" w:type="dxa"/>
            <w:left w:w="15" w:type="dxa"/>
            <w:bottom w:w="15" w:type="dxa"/>
            <w:right w:w="15" w:type="dxa"/>
          </w:tblCellMar>
        </w:tblPrEx>
        <w:trPr>
          <w:tblCellSpacing w:w="15" w:type="dxa"/>
        </w:trPr>
        <w:tc>
          <w:tcPr>
            <w:tcW w:w="2700" w:type="dxa"/>
            <w:vAlign w:val="center"/>
          </w:tcPr>
          <w:p w14:paraId="2C7DEF3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Educational purpose</w:t>
            </w:r>
          </w:p>
        </w:tc>
        <w:tc>
          <w:tcPr>
            <w:tcW w:w="1680" w:type="dxa"/>
            <w:vAlign w:val="center"/>
          </w:tcPr>
          <w:p w14:paraId="6A08451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602DD7B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81 (97)</w:t>
            </w:r>
          </w:p>
        </w:tc>
        <w:tc>
          <w:tcPr>
            <w:tcW w:w="1363" w:type="dxa"/>
            <w:vAlign w:val="center"/>
          </w:tcPr>
          <w:p w14:paraId="098797E1">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 (99)</w:t>
            </w:r>
          </w:p>
        </w:tc>
        <w:tc>
          <w:tcPr>
            <w:tcW w:w="1230" w:type="dxa"/>
            <w:vAlign w:val="center"/>
          </w:tcPr>
          <w:p w14:paraId="41AD11F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305" w:type="dxa"/>
            <w:vAlign w:val="center"/>
          </w:tcPr>
          <w:p w14:paraId="061B91C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248 (97)</w:t>
            </w:r>
          </w:p>
        </w:tc>
      </w:tr>
      <w:tr w14:paraId="439741A6">
        <w:tblPrEx>
          <w:tblCellMar>
            <w:top w:w="15" w:type="dxa"/>
            <w:left w:w="15" w:type="dxa"/>
            <w:bottom w:w="15" w:type="dxa"/>
            <w:right w:w="15" w:type="dxa"/>
          </w:tblCellMar>
        </w:tblPrEx>
        <w:trPr>
          <w:tblCellSpacing w:w="15" w:type="dxa"/>
        </w:trPr>
        <w:tc>
          <w:tcPr>
            <w:tcW w:w="2700" w:type="dxa"/>
            <w:vAlign w:val="center"/>
          </w:tcPr>
          <w:p w14:paraId="09324DE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1D77024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534BC79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42347DA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230" w:type="dxa"/>
            <w:vAlign w:val="center"/>
          </w:tcPr>
          <w:p w14:paraId="4085244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414BC0C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(1)</w:t>
            </w:r>
          </w:p>
        </w:tc>
      </w:tr>
      <w:tr w14:paraId="3CC6BD54">
        <w:tblPrEx>
          <w:tblCellMar>
            <w:top w:w="15" w:type="dxa"/>
            <w:left w:w="15" w:type="dxa"/>
            <w:bottom w:w="15" w:type="dxa"/>
            <w:right w:w="15" w:type="dxa"/>
          </w:tblCellMar>
        </w:tblPrEx>
        <w:trPr>
          <w:tblCellSpacing w:w="15" w:type="dxa"/>
        </w:trPr>
        <w:tc>
          <w:tcPr>
            <w:tcW w:w="2700" w:type="dxa"/>
            <w:vAlign w:val="center"/>
          </w:tcPr>
          <w:p w14:paraId="14E3618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3093F6A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Not important</w:t>
            </w:r>
          </w:p>
        </w:tc>
        <w:tc>
          <w:tcPr>
            <w:tcW w:w="1367" w:type="dxa"/>
            <w:vAlign w:val="center"/>
          </w:tcPr>
          <w:p w14:paraId="5EAB2AF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659C20C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30" w:type="dxa"/>
            <w:vAlign w:val="center"/>
          </w:tcPr>
          <w:p w14:paraId="628A12F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72E4312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r>
      <w:tr w14:paraId="2B32D0F8">
        <w:tblPrEx>
          <w:tblCellMar>
            <w:top w:w="15" w:type="dxa"/>
            <w:left w:w="15" w:type="dxa"/>
            <w:bottom w:w="15" w:type="dxa"/>
            <w:right w:w="15" w:type="dxa"/>
          </w:tblCellMar>
        </w:tblPrEx>
        <w:trPr>
          <w:tblCellSpacing w:w="15" w:type="dxa"/>
        </w:trPr>
        <w:tc>
          <w:tcPr>
            <w:tcW w:w="2700" w:type="dxa"/>
            <w:vAlign w:val="center"/>
          </w:tcPr>
          <w:p w14:paraId="22854F8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088D9C7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 don’t know</w:t>
            </w:r>
          </w:p>
        </w:tc>
        <w:tc>
          <w:tcPr>
            <w:tcW w:w="1367" w:type="dxa"/>
            <w:vAlign w:val="center"/>
          </w:tcPr>
          <w:p w14:paraId="400A426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3128B1D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30" w:type="dxa"/>
            <w:vAlign w:val="center"/>
          </w:tcPr>
          <w:p w14:paraId="3A08153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05" w:type="dxa"/>
            <w:vAlign w:val="center"/>
          </w:tcPr>
          <w:p w14:paraId="5767976A">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r>
      <w:tr w14:paraId="4CA36B26">
        <w:tblPrEx>
          <w:tblCellMar>
            <w:top w:w="15" w:type="dxa"/>
            <w:left w:w="15" w:type="dxa"/>
            <w:bottom w:w="15" w:type="dxa"/>
            <w:right w:w="15" w:type="dxa"/>
          </w:tblCellMar>
        </w:tblPrEx>
        <w:trPr>
          <w:tblCellSpacing w:w="15" w:type="dxa"/>
        </w:trPr>
        <w:tc>
          <w:tcPr>
            <w:tcW w:w="2700" w:type="dxa"/>
            <w:vAlign w:val="center"/>
          </w:tcPr>
          <w:p w14:paraId="3A82B923">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Recreational benefits</w:t>
            </w:r>
          </w:p>
        </w:tc>
        <w:tc>
          <w:tcPr>
            <w:tcW w:w="1680" w:type="dxa"/>
            <w:vAlign w:val="center"/>
          </w:tcPr>
          <w:p w14:paraId="5C3FD57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Very important</w:t>
            </w:r>
          </w:p>
        </w:tc>
        <w:tc>
          <w:tcPr>
            <w:tcW w:w="1367" w:type="dxa"/>
            <w:vAlign w:val="center"/>
          </w:tcPr>
          <w:p w14:paraId="5A463914">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83 (99)</w:t>
            </w:r>
          </w:p>
        </w:tc>
        <w:tc>
          <w:tcPr>
            <w:tcW w:w="1363" w:type="dxa"/>
            <w:vAlign w:val="center"/>
          </w:tcPr>
          <w:p w14:paraId="6E465FE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84 (100)</w:t>
            </w:r>
          </w:p>
        </w:tc>
        <w:tc>
          <w:tcPr>
            <w:tcW w:w="1230" w:type="dxa"/>
            <w:vAlign w:val="center"/>
          </w:tcPr>
          <w:p w14:paraId="325DA0BC">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80 (95)</w:t>
            </w:r>
          </w:p>
        </w:tc>
        <w:tc>
          <w:tcPr>
            <w:tcW w:w="1305" w:type="dxa"/>
            <w:vAlign w:val="center"/>
          </w:tcPr>
          <w:p w14:paraId="38305B9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247 (98)</w:t>
            </w:r>
          </w:p>
        </w:tc>
      </w:tr>
      <w:tr w14:paraId="3D884D42">
        <w:tblPrEx>
          <w:tblCellMar>
            <w:top w:w="15" w:type="dxa"/>
            <w:left w:w="15" w:type="dxa"/>
            <w:bottom w:w="15" w:type="dxa"/>
            <w:right w:w="15" w:type="dxa"/>
          </w:tblCellMar>
        </w:tblPrEx>
        <w:trPr>
          <w:tblCellSpacing w:w="15" w:type="dxa"/>
        </w:trPr>
        <w:tc>
          <w:tcPr>
            <w:tcW w:w="2700" w:type="dxa"/>
            <w:vAlign w:val="center"/>
          </w:tcPr>
          <w:p w14:paraId="5D8BAA7D">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739E242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Less important</w:t>
            </w:r>
          </w:p>
        </w:tc>
        <w:tc>
          <w:tcPr>
            <w:tcW w:w="1367" w:type="dxa"/>
            <w:vAlign w:val="center"/>
          </w:tcPr>
          <w:p w14:paraId="37A4AB4E">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 (1)</w:t>
            </w:r>
          </w:p>
        </w:tc>
        <w:tc>
          <w:tcPr>
            <w:tcW w:w="1363" w:type="dxa"/>
            <w:vAlign w:val="center"/>
          </w:tcPr>
          <w:p w14:paraId="5C7A3D35">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30" w:type="dxa"/>
            <w:vAlign w:val="center"/>
          </w:tcPr>
          <w:p w14:paraId="041B8AF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305" w:type="dxa"/>
            <w:vAlign w:val="center"/>
          </w:tcPr>
          <w:p w14:paraId="1093FA6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 (1)</w:t>
            </w:r>
          </w:p>
        </w:tc>
      </w:tr>
      <w:tr w14:paraId="6251366C">
        <w:tblPrEx>
          <w:tblCellMar>
            <w:top w:w="15" w:type="dxa"/>
            <w:left w:w="15" w:type="dxa"/>
            <w:bottom w:w="15" w:type="dxa"/>
            <w:right w:w="15" w:type="dxa"/>
          </w:tblCellMar>
        </w:tblPrEx>
        <w:trPr>
          <w:tblCellSpacing w:w="15" w:type="dxa"/>
        </w:trPr>
        <w:tc>
          <w:tcPr>
            <w:tcW w:w="2700" w:type="dxa"/>
            <w:vAlign w:val="center"/>
          </w:tcPr>
          <w:p w14:paraId="717E57F2">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p>
        </w:tc>
        <w:tc>
          <w:tcPr>
            <w:tcW w:w="1680" w:type="dxa"/>
            <w:vAlign w:val="center"/>
          </w:tcPr>
          <w:p w14:paraId="6214E757">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 don’t know</w:t>
            </w:r>
          </w:p>
        </w:tc>
        <w:tc>
          <w:tcPr>
            <w:tcW w:w="1367" w:type="dxa"/>
            <w:vAlign w:val="center"/>
          </w:tcPr>
          <w:p w14:paraId="13ABA29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363" w:type="dxa"/>
            <w:vAlign w:val="center"/>
          </w:tcPr>
          <w:p w14:paraId="439D8EFB">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 (0)</w:t>
            </w:r>
          </w:p>
        </w:tc>
        <w:tc>
          <w:tcPr>
            <w:tcW w:w="1230" w:type="dxa"/>
            <w:vAlign w:val="center"/>
          </w:tcPr>
          <w:p w14:paraId="481A9FE6">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(2)</w:t>
            </w:r>
          </w:p>
        </w:tc>
        <w:tc>
          <w:tcPr>
            <w:tcW w:w="1305" w:type="dxa"/>
            <w:vAlign w:val="center"/>
          </w:tcPr>
          <w:p w14:paraId="39175B1F">
            <w:pPr>
              <w:keepNext w:val="0"/>
              <w:keepLines w:val="0"/>
              <w:suppressLineNumbers w:val="0"/>
              <w:spacing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(1)</w:t>
            </w:r>
          </w:p>
        </w:tc>
      </w:tr>
    </w:tbl>
    <w:p w14:paraId="3A00C4D5">
      <w:pPr>
        <w:spacing w:line="480" w:lineRule="auto"/>
        <w:jc w:val="both"/>
        <w:rPr>
          <w:rFonts w:hint="default" w:ascii="Times New Roman" w:hAnsi="Times New Roman" w:cs="Times New Roman"/>
          <w:sz w:val="24"/>
          <w:szCs w:val="24"/>
        </w:rPr>
      </w:pPr>
    </w:p>
    <w:p w14:paraId="193A2A3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revealed a clear trend across the study communities: most respondents recognised forests as a crucial source of rainfall. This indicates a strong awareness of the role forests play in regulating the local climate and providing important environmental benefits to wider society. For example, in a KII, the interviewee revealed that: “</w:t>
      </w:r>
      <w:r>
        <w:rPr>
          <w:rFonts w:hint="default" w:ascii="Times New Roman" w:hAnsi="Times New Roman" w:cs="Times New Roman"/>
          <w:i/>
          <w:iCs/>
          <w:sz w:val="24"/>
          <w:szCs w:val="24"/>
        </w:rPr>
        <w:t>The forest reserve benefits our community with edible fruits, economy trees for use, timbers for construction, shelter, bush meat, and medical herbs. It also helps regulate weather and climate of the community and contribute to society</w:t>
      </w:r>
      <w:r>
        <w:rPr>
          <w:rFonts w:hint="default" w:ascii="Times New Roman" w:hAnsi="Times New Roman" w:cs="Times New Roman"/>
          <w:sz w:val="24"/>
          <w:szCs w:val="24"/>
        </w:rPr>
        <w:t>” (Doma Local leader KII 002, June 2022). Another insight from the FGDs further elaborated that: “T</w:t>
      </w:r>
      <w:r>
        <w:rPr>
          <w:rFonts w:hint="default" w:ascii="Times New Roman" w:hAnsi="Times New Roman" w:cs="Times New Roman"/>
          <w:i/>
          <w:iCs/>
          <w:sz w:val="24"/>
          <w:szCs w:val="24"/>
        </w:rPr>
        <w:t>he forest reserves are very important to society because</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rPr>
        <w:t>they provide food for society, agricultural products to different parts of the country, people come in to buy farm produce such as maize, groundnut and melon etc. It serves as a source of rainfall, and it influences carbon dioxide for the community and society</w:t>
      </w:r>
      <w:r>
        <w:rPr>
          <w:rFonts w:hint="default" w:ascii="Times New Roman" w:hAnsi="Times New Roman" w:cs="Times New Roman"/>
          <w:sz w:val="24"/>
          <w:szCs w:val="24"/>
        </w:rPr>
        <w:t>” (Risha Local People FGD 003, June 2022). In addition, a stakeholder in one of the FGDs said: “</w:t>
      </w:r>
      <w:r>
        <w:rPr>
          <w:rFonts w:hint="default" w:ascii="Times New Roman" w:hAnsi="Times New Roman" w:cs="Times New Roman"/>
          <w:i/>
          <w:iCs/>
          <w:sz w:val="24"/>
          <w:szCs w:val="24"/>
        </w:rPr>
        <w:t>The site serves multiple protective functions for the community. It acts as a sanctuary for ancestral veneration, safeguarding against external threats. Additionally, it offers defence against the spread of illnesses. The location also functions as a source of rainfall for the area, which significantly influences the bountiful harvest of farming endeavours. These agricultural yields are crucial for sustaining the livelihoods of both the local community and the broader society</w:t>
      </w:r>
      <w:r>
        <w:rPr>
          <w:rFonts w:hint="default" w:ascii="Times New Roman" w:hAnsi="Times New Roman" w:cs="Times New Roman"/>
          <w:sz w:val="24"/>
          <w:szCs w:val="24"/>
        </w:rPr>
        <w:t>” (Doma Local People FGD 004, June 2022).</w:t>
      </w:r>
    </w:p>
    <w:p w14:paraId="73FF9B4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participant further revealed that “</w:t>
      </w:r>
      <w:r>
        <w:rPr>
          <w:rFonts w:hint="default" w:ascii="Times New Roman" w:hAnsi="Times New Roman" w:cs="Times New Roman"/>
          <w:i/>
          <w:iCs/>
          <w:sz w:val="24"/>
          <w:szCs w:val="24"/>
        </w:rPr>
        <w:t>Gazetted forests help in preserving biodiversity, which is useful for tourism activities; [the forest] provides food and non-food materials resources and regulates climate change for society</w:t>
      </w:r>
      <w:r>
        <w:rPr>
          <w:rFonts w:hint="default" w:ascii="Times New Roman" w:hAnsi="Times New Roman" w:cs="Times New Roman"/>
          <w:sz w:val="24"/>
          <w:szCs w:val="24"/>
        </w:rPr>
        <w:t>” (Doma Local leader KII, 002, July 2022). Another participant explained that "</w:t>
      </w:r>
      <w:r>
        <w:rPr>
          <w:rFonts w:hint="default" w:ascii="Times New Roman" w:hAnsi="Times New Roman" w:cs="Times New Roman"/>
          <w:i/>
          <w:iCs/>
          <w:sz w:val="24"/>
          <w:szCs w:val="24"/>
        </w:rPr>
        <w:t>The forest reserve helps people from other places by providing local herbs [medical] to cure diseases and solve problems; provides bush meat we sold to other societies for livelihood. It helps reduce atmospheric carbon dioxide and serves as the home of biodiversity, particularly endangered species, also plays a vital environmental role on conservation. It is also a source of timber for shelter and construction, harvested and sold to wider societies</w:t>
      </w:r>
      <w:r>
        <w:rPr>
          <w:rFonts w:hint="default" w:ascii="Times New Roman" w:hAnsi="Times New Roman" w:cs="Times New Roman"/>
          <w:sz w:val="24"/>
          <w:szCs w:val="24"/>
        </w:rPr>
        <w:t xml:space="preserve"> " (Odu Local leader FGD, 002, July 2022).</w:t>
      </w:r>
    </w:p>
    <w:p w14:paraId="7110B92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perceptions and evidence of understanding suggest that the community is likely aware of the broader ecological services provided by forests. Like rainfall, a substantial number of respondents (93%) consider the forest very important for maintaining soil fertility (Table 4). This points to a recognition of the forest’s contribution to sustainable agriculture and land productivity.</w:t>
      </w:r>
    </w:p>
    <w:p w14:paraId="7832F23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showed a high percentage (92%) of respondents who view biodiversity protection as very important. This finding reflects an awareness of the forest's role in sustaining diverse species, which is crucial for ecosystem resilience, and suggests that the environmental benefits of the forests are very important to the communities and wider society.</w:t>
      </w:r>
    </w:p>
    <w:p w14:paraId="7C20498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 analysis suggests that individuals who are more dependent on forest products for their livelihoods as those involved in harvesting non-timber forest products or practicing agroforestry tend to place a higher value on biodiversity protection. This may stem from a direct understanding that biodiversity underpins the availability of various forest resources. In addition, respondents living closer to forest boundaries or actively engaged in forest-based activities showed stronger support for biodiversity conservation, implying that proximity and direct interaction with the forest enhance ecological awareness.</w:t>
      </w:r>
    </w:p>
    <w:p w14:paraId="43D3E5A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economic benefits were substantial, as communities noted the supplemental income (67%). While people view the forest as very important for supplementing income, a notable minority (32%) rated it as important, indicating that the economic benefits, though recognized, may not be as universally crucial as environmental benefits. This disparity may relate to economic diversification, as individuals with alternative income sources or employment outside forest-related sectors may not prioritize the forest’s economic contributions as highly.</w:t>
      </w:r>
    </w:p>
    <w:p w14:paraId="017AA8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Similarly, the very important rating for hardwood stands out, showing that timber resources are valued but perhaps not uniformly across the community. Substantial numbers of respondents (65%) viewed the forest as very important for providing fuelwood, which is critical in many rural areas for energy needs to the wider society. However, the presence of a sizable group (31%) who see it as just ‘important’ may indicate a diversification of energy sources or varying dependence on forest resources. Households with access to alternative energy sources (e.g., gas or electricity) or those located farther from accessible forest areas were more likely to rate fuelwood provision as less critical. This suggests a shift in energy use patterns among certain segments of the community.</w:t>
      </w:r>
    </w:p>
    <w:p w14:paraId="4E06CD8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Findings indicate that the forest provides significant cultural and social benefits, particularly for religious purposes. However, opinions on this benefit vary. A large proportion (55%) of respondents consider the forest to be very important for religious activities, particularly in Odu Forest, while others see it as merely important for the community and society. A notable minority (15%) perceive it as less important or not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important at all. Differences in cultural or ethnic background, as well as generational shifts in spiritual practices, may account for this variation in perceived religious value.</w:t>
      </w:r>
    </w:p>
    <w:p w14:paraId="4B8F1A8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Recreational benefits are highly valued by people (78%) who see leisure and tourism opportunities as an important role of the forest, while others may not view these benefits as equally important (Table 4). Those residing near forest areas that have developed ecotourism infrastructure were more likely to perceive these benefits positively. In contrast, respondents from regions lacking such amenities may undervalue recreational functions due to limited exposure or direct benefit.</w:t>
      </w:r>
    </w:p>
    <w:p w14:paraId="2A11E3F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rating of forest fibres as very important by a notable majority (65%) of the community suggests that the community heavily relies on these forest resources for materials such as clothing, construction, or other products derived from fibres for local and beyond their community.</w:t>
      </w:r>
    </w:p>
    <w:p w14:paraId="6C75C4D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deeper look indicates that this valuation is highest among traditional artisans and households engaged in local manufacturing and crafts, who directly rely on fibre products. Communities with stronger cultural heritage linked to forest-based materials also reflected higher appreciation for these resources.</w:t>
      </w:r>
    </w:p>
    <w:p w14:paraId="1FD906D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 overwhelming (85%) of respondents (Table 4) perceived the forest as very important for education, indicating a strong recognition of the forest as a resource for learning and knowledge transmission. This can be seen as an opportunity for enhancing community-based environmental education programs, supporting community development.</w:t>
      </w:r>
    </w:p>
    <w:p w14:paraId="3E9D349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perception was especially high among younger respondents and those with children in local schools, highlighting the forest’s perceived relevance in formal and informal education. It also underscores the potential role of forests in promoting intergenerational knowledge transfer.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While their perceptions of the forest as crucial for climate change mitigation is high (several of the respondents view it as very important), there is variability, with some seeing it as less important or even not important (see Table 4). This variation could be due to differences in exposure to climate-related education or awareness programs. Respondents actively engaged with NGOs or community-based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environmental groups exhibited a more consistent recognition of the forest’s role in climate regulation.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Conversely, individuals without such exposure were more likely to undervalue this global ecosystem service.</w:t>
      </w:r>
    </w:p>
    <w:p w14:paraId="594928EE">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Community respondent demographic factors and their perceptions on ecosystem services across the three study forests.</w:t>
      </w:r>
    </w:p>
    <w:p w14:paraId="5218FC1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determine whether demographic characteristics such as age, sex, education level, and income are significantly associated with community perceptions about forest ecosystem benefits and conservation. A Chi-square test of independence was conducted to examine the association (Appendix A Table 1). Statistical significance was determined using a standard alpha level of .05, where (p &lt; 0.05) indicates a significant association, while (p &gt; 0.05), indicates not statistically significant.</w:t>
      </w:r>
    </w:p>
    <w:p w14:paraId="4A2E1DA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statistically significant association was observed between Sex and Land Conversion perception (χ² = 17.01, p = 0.0007). This suggests that males and females significantly differ in their views on land conversion as a forest-related issue. Other combinations (e.g., Education level vs. forest benefit of edible fruits, age range vs. medicinal plant use) also showed significant associations, indicating that perception of forest-related benefits and threats is not uniform across demographic groups. Most other demographic- perception relationships (e.g., Sex vs. income source forest, or marital Status vs. climate regulation) were not statistically significant (p &gt; 0.05), indicating relative consistency in perceptions across those groups for their response to individual perspective.</w:t>
      </w:r>
    </w:p>
    <w:p w14:paraId="3031857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the demographic characteristics and their perception for the importance and benefits of forests to wider society (Appendix A Table 2). Most of the tested combinations resulted in p-values greater than 0.05, indicating that there is no statistically significant association between those specific demographic variables and the corresponding perception indicators. For example, the relationship between Sex and Perceived importance of the forest yielded a chi-square statistic of 9.794 and a p-value of 0.1336, which is not significant. This suggests that perceptions about forest benefits (e.g., medicinal plants, fuelwood, biodiversity) tend to be uniform across different demographic groups, implying broad consensus on forest</w:t>
      </w:r>
    </w:p>
    <w:p w14:paraId="0C7F8CF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importance regardless of age, sex, occupation, or income level. Since perceptions are consistent across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demographics, public awareness campaigns and conservation policies can be designed at a general population level, rather than targeting specific demographic groups. However, many other perceptions showed non-significant results (p ≥ 0.05), indicating they did not vary significantly with demographic factors (e.g., climate change often had very high p-values across demographics, indicating a shared perception). While several forest benefits like green leaves, charcoal, religious purposes, etc., were not significantly affected by sex, marital status, or household composition. These imply that demographic factors like age, education, occupation, and income significantly influence people's understanding of forest benefits. Moreover, recreational use of forests is particularly sensitive to sex, marital status, and education. Education shows the strongest overall association, especially with perceptions of rain, fuelwood, and recreation. Policy and awareness campaigns should be tailored by demographic segment to be more effective, for instance, highlighting educational and environmental benefits more to those with lower formal education and promoting recreational forest uses differently across gender and marital groups.</w:t>
      </w:r>
    </w:p>
    <w:p w14:paraId="6712B929">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Regional differences across the three forests (Doma, Risha and Odu)</w:t>
      </w:r>
    </w:p>
    <w:p w14:paraId="66217CFD">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Comparing forests and community responses across these regions helps to uncover the socio-economic diversity within the state, revealing how different communities adapt and prioritise natural resources and ecosystem services. This insight is of paramount importance for the formulation of forest management and development policies tailored to address the specific requirements and contextual factors of each region.</w:t>
      </w:r>
      <w:r>
        <w:rPr>
          <w:rFonts w:hint="default" w:ascii="Times New Roman" w:hAnsi="Times New Roman" w:cs="Times New Roman"/>
          <w:sz w:val="24"/>
          <w:szCs w:val="24"/>
          <w:lang w:val="en-US"/>
        </w:rPr>
        <w:t xml:space="preserve"> </w:t>
      </w:r>
    </w:p>
    <w:p w14:paraId="503AD88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terms of comparison across the state, the perception of forests as an economic supplement varies among regions. In Risha and Odu, a higher percentage of respondents consider forest-derived income very important compared to Doma (Tables 3 and 4). This suggests regional differences in economic reliance on forest resources, potentially influenced by market access, ecological factors, or cultural preferences for specific forest products. In Risha and Odu, proximity to forest resources and better-developed forest product value chains may contribute to increased economic engagement, while in Doma, limited market integration or alternative livelihood options could explain the lower dependence. Cultural attitudes towards harvesting and trading forest products may also play a role, possibly shaped by traditional norms or local governance</w:t>
      </w:r>
    </w:p>
    <w:p w14:paraId="6D8C848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practices. While these forests contribute to livelihoods through activities such as timber extraction, tourism, and non-timber forest products, the extent of economic dependence differs. Additionally, perceptions of edible benefits, such as fruits and nuts, are rated highly in all three regions, though availability may not be uniform. These variations highlight how forest management, ecological characteristics, and local economic structures shape the perceived value of forests, underscoring the need for sustainable approaches that balance economic benefits with conservation.</w:t>
      </w:r>
    </w:p>
    <w:p w14:paraId="1118603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is limited variation in perception between the three forest communities regarding the role of the forests in supporting agricultural activities. While a notable number of respondents from both the Risha and Doma communities consider this benefit as very important, an even higher number in Odu perceive this benefit (Table 3), indicating that all three communities show a strong recognition of this aspect. The slight differences could indicate how the forests support agricultural activities, such as through soil fertility, provision of organic materials, or other ecosystem services beneficial to farming (e.g. pollination). These differences might also be reflective of variations in agricultural systems across the regions: for instance, Odu's farming communities may engage in agroforestry or shifting cultivation more intensively, integrating forest resources directly into their farming practices, whereas Doma might practice more open-field agriculture with less forest interaction. Differences in land tenure systems and local forest-use rights could further influence how forests are perceived in terms of agricultural benefits. However, it remains unclear whether agricultural activities within the forest involve deforestation or occur alongside existing tree cover. A notable proportion of respondents perceived the role of the forest as a source of rainfall and as very important to the community and the society (Table 4). This uniformity signifies a collective understanding and acknowledgement of the ecological and educational roles of these forests across diverse regions. All of the respondents (Table 4) from all three forest sites considered land fertility and biodiversity protection as critical to their community and broader society.</w:t>
      </w:r>
    </w:p>
    <w:p w14:paraId="5F2961E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Communities have a strong dependence on the land for agricultural production and a recognition of the intrinsic value of biodiversity, which was perceived by over 70% of respondents across the forest sites. However, Odu stands out in considering medicinal plants as very important, with a substantially greater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number of respondents perceiving it as very important than in the other communities. This suggests a more profound reliance on traditional medicinal resources in Odu, which may be due to cultural practices or more limited access to modern healthcare facilities. It is also likely that the biodiversity in Odu supports a wider variety of medicinal plant species, possibly due to ecological richness or forest structure. Moreover, Odu's stronger engagement with indigenous knowledge systems and less integration with formal healthcare services may reinforce the value placed on medicinal plants. This could also reflect differences in biodiversity or the presence of culturally significant medicinal plants. Similarly, the importance of bush meat is notably higher in Odu compared to Doma and Risha. This could indicate a cultural variation in preference for bush meat in these areas. The substantial difference in bushmeat benefits suggests that hunting or the availability of wildlife for consumption may not be the same in all three forests. Odu’s higher valuation may stem from both cultural norms that support wild meat consumption and ecological conditions that allow for greater access to wildlife. Conversely, stronger enforcement of conservation policies or wildlife depletion in Doma and Risha might suppress both availability and reliance.</w:t>
      </w:r>
    </w:p>
    <w:p w14:paraId="047C5E7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Considering differences in perceptions of the benefits of forests for traditional worship, there is some variation, with respondents in Odu placing a much higher importance level on this benefit than Doma and Risha. Similarly, perceptions of the importance of religious purposes are highest in Odu, which may indicate stronger cultural or religious connections to the forest in this area. Doma, by contrast, has a lower percentage considering this benefit very important, with a substantial portion considering it less important, particularly to wider society (Table 3 and 4). This suggests that traditional worship practices tied to the forest are more prevalent or valued in Odu and indicates that not all communities perceive the same cultural significance of the forest. The historical role of sacred groves or ancestral sites within the Odu forest might contribute to this difference, reflecting deeper spiritual linkages and cultural heritage. In contrast, Doma and Risha may have experienced greater secularisation or disruption of traditional practices, possibly due to migration, religious transformation, or forest encroachment. This could be linked to varying indigenous practices, sacred sites, or cultural heritage associated with each forest.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Though participants in all three forest areas considered climate regulation as being very important, this was demonstrated most strongly in Risha. Perceptions of climate regulation benefits show the greatest disparity among the forests. In Risha, the community views this as very important. Additionally, the opinion percentages of Doma and Odu regarding the importance of this issue for global society drop respectively. This decline may be attributed to varying levels of environmental awareness or the more visible effects of climate change in certain regions of the state. Risha’s stronger response might be due to observable climate variability impacting farming or water access, or higher exposure to climate-related education programs or NGO involvement. Conversely, in Doma and Odu, localised concerns such as livelihood security or cultural needs may take precedence over broader environmental narratives, limiting the perceived urgency of climate issues. For example, the lower recognition from the response of participants in these forest areas might suggest less awareness or less direct experience with climate change impacts, or it could reflect a different prioritisation of environmental issues.</w:t>
      </w:r>
    </w:p>
    <w:p w14:paraId="3C03AB0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Educational purposes are highly valued across all sites, with little variation across communities. This consistency suggests a common understanding of the forests' role in education, possibly as a source of environmental learning or traditional knowledge that the community perceived as important for local and societal benefit. Recreational benefits, however, show a slight variation, with Risha respondents valuing this benefit more highly than those in Doma and Odu. This difference could be influenced by the availability and use of forest areas for recreation, which might be more developed or accessible in Risha. Risha may have better forest infrastructure, access paths, or community initiatives that promote recreation or ecotourism. Additionally, socioeconomic conditions may allow residents in Risha more leisure time or interest in recreational use, whereas in Doma and Odu, subsistence needs might limit recreational engagement.</w:t>
      </w:r>
    </w:p>
    <w:p w14:paraId="1564F70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broad implication of this study is that gazetted forests are valued highly for their ecosystem services across all locations, but the specific importance of these services varies depending on the local community's culture, economic dependence on forest products, and environmental conditions. Political structures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governance frameworks may also influence perceptions. For instance, decentralized forest governance 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community-led forest management may foster a stronger sense of ownership and thus influence the perceived value of forest services. Where governance is weak or access is contested, benefits may be undervalued or misperceived.</w:t>
      </w:r>
    </w:p>
    <w:p w14:paraId="7154170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novel aspects of this study is the consideration of cultural ecosystem services as a critical dimension: the contrast in attitudes towards traditional worship suggests that cultural ecosystem services are a significant yet often overlooked dimension in forest management. Odu, with its higher emphasis on spiritual and cultural connections, demonstrates how cultural identity can be intrinsically linked with forest ecosystems.</w:t>
      </w:r>
    </w:p>
    <w:p w14:paraId="59516F5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analysis shows that the community perceptions of the various benefits provided by the three forests to the wider society are substantially different for most categories. The forests are seen as offering varying degrees of ecosystem services and resources, and this could be due to ecological, cultural, or management differences between them. A more nuanced appreciation of these interacting factors ecology, culture, economy, and governance provides a foundation for understanding why perceptions differ across regions. Therefore, while variation exists in the perceived diverse benefits provided by the three forests across communities, only a subset of these differences are substantial. These findings underscore the importance of customized management and conservation strategies that consider the unique attributes of each forest. By doing so, stakeholders can ensure that these forests continue to provide essential services to both local communities and the environment.</w:t>
      </w:r>
    </w:p>
    <w:p w14:paraId="39C4722B">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Discussion</w:t>
      </w:r>
    </w:p>
    <w:p w14:paraId="68F81E9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highlights valuable insights into the socio-ecological relationships within the local communities’ fringes around the protected gazetted forest by providing their perceptions and ratings of the importance of ecosystem benefits, both to them and to wider society. Across the three forests, differences in perceptions were notable. This study is the first research conducted in the study area that emphasises local perceptions of the benefits (e.g., cultural, economic, ecological), highlighting social and ecological dimensions of forest conservation, particularly in gazetted forests, addressing the strong regulating, supporting, and cultural roles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they fulfil. These findings are consistent with studies from Ghana and India, where sacred groves and spiritual practices contribute meaningfully to conservation and community cohesion (Aniah et al., 2014; Kandari et al., 2014). The differences observed across the Nigerian forest communities are indicative of how socio-cultural identity and livelihood strategies influence ecological priorities. Such results underscore the need for site-specific, culturally sensitive conservation frameworks that go beyond one-size-fits-all policies.</w:t>
      </w:r>
    </w:p>
    <w:p w14:paraId="49A37B56">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Findings indicate that provisioning ecosystem services, including edible fruits, timber, sources of income and agricultural produce, were perceived as very important benefits to individuals and were rated similarly across the three forest community sites. These findings align with previous research demonstrating that communities in developing regions prioritize tangible forest benefits that directly support their livelihoods (Sourokou &amp; Vodouhe, 2024; Zhang et al., 2016; Mazibuko, 2013). Differences in perception, particularly regarding medicinal plants, bushmeat, and traditional worship, underscore the influence of cultural and economic structures in shaping community priorities (Galán-Guevara, 2024; Lhoest et al., 2019; Cuni- Sanchez et al., 2019). This is consistent with studies in Ghana and India that found sacred groves and religious customs playing a crucial role in biodiversity conservation and environmental stewardship (Aniah et al., 2014; Kandari et al., 2014).</w:t>
      </w:r>
      <w:r>
        <w:rPr>
          <w:rFonts w:hint="default" w:ascii="Times New Roman" w:hAnsi="Times New Roman" w:cs="Times New Roman"/>
          <w:sz w:val="24"/>
          <w:szCs w:val="24"/>
          <w:lang w:val="en-US"/>
        </w:rPr>
        <w:t xml:space="preserve"> </w:t>
      </w:r>
    </w:p>
    <w:p w14:paraId="138835D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differences observed across the Nigerian forest communities are indicative of how socio-cultural identity and livelihood strategies influence ecological priorities. Such results underscore the need for site- specific, culturally sensitive conservation frameworks that go beyond one-size-fits-all policies. For example, most people indicated that traditional worship is considered very important in the Odu Forest, whereas it was seen as less important in Doma and not an important benefit to the Risha forest for individuals or the community. This highlights the need for localized conservation strategies that account for specific community values. These findings also reinforce the importance of integrating cultural ecosystem services into conservation frameworks, as seen in Malaysia, China, and South Africa, where cultural and recreational values significantly influence forest conservation efforts (Gao et al., 2018; Son et</w:t>
      </w:r>
    </w:p>
    <w:p w14:paraId="3A34CBC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al., 2024).</w:t>
      </w:r>
    </w:p>
    <w:p w14:paraId="4DD5D0D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from other locations have also highlighted variations, such as the emphasis on regulating services in Mekelle, Ethiopia, shaped by socioeconomic activities (Zeratsion et al., 2024), and the prioritization of water supply and habitat maintenance in Colombia, influenced by ecological knowledge (Higuera et al., 2012). Similarly, rural communities in South Africa value provisioning services, while urban populations focus on tourism and employment opportunities (Constant &amp; Taylor, 2020; Khater &amp; Faik, 2024). These differences underscore the complexity of community perceptions and the necessity of integrating local values into forest management strategies.</w:t>
      </w:r>
    </w:p>
    <w:p w14:paraId="459F7DC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regional differences, commonalities emerge, such as the shared commitment to restoring biodiversity and ecosystem services in South Africa (Constant &amp; Taylor, 2020) and the high willingness to conserve cloud forests in Colombia (Higuera et al., 2012). Sacred groves in Ghana and India, for instance, have been key to biodiversity conservation due to cultural and religious beliefs (Aniah et al., 2014; Kandari et al., 2014). Likewise, socio-demographic factors influence preferences for ecosystem services such as climate regulation, clean water, and biodiversity conservation (Lefeuvre et al., 2021; Aromolaran et al., 2021).</w:t>
      </w:r>
    </w:p>
    <w:p w14:paraId="41A2939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Nigerian context, the importance of community engagement in policy-making cannot be overstated. The study identifies a crucial gap: although local communities are primary beneficiaries of ecosystem services, they are often marginal in conservation decision-making. Translating local priorities such as medicinal plant usage or traditional spiritual practices into actionable policy remains a significant challenge. However, doing so can significantly enhance the relevance and uptake of conservation strategies (Ray et al., 2022; Galán-Guevara, 2024; Chunwate et al., 2025). For instance, in South Africa, integrating community livelihoods with conservation efforts has fostered a shared commitment to biodiversity restoration (Constant &amp; Taylor, 2020; Aromolaran et al., 2021). Similarly, in central Colombia, strong ecological awareness has translated into a willingness to invest in conservation efforts (Higuera et al., 2013).</w:t>
      </w:r>
    </w:p>
    <w:p w14:paraId="5268A89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critical research gap was nevertheless identified in that while communities perceive and prioritize ecosystem services in gazetted forests, conservation policies are often implemented with limited local engagement. Translating site-specific community perceptions into actionable policy remains a challenge. Aligning conservation efforts with cultural practices such as traditional worship or medicinal plant use can enhance community participation and conservation success (Galán-Guevara, 2024; Ray et al., 2022; Gai et al., 2024).</w:t>
      </w:r>
    </w:p>
    <w:p w14:paraId="67FE0D0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from this study will help policymakers to prioritize conservation efforts in forests most valued by communities, whether for income generation, climate regulation, or cultural significance. Additionally, understanding local dependency on ecosystem services will inform more inclusive and effective land-use policies. For example, policymakers might use this information to prioritize reforestation or conservation efforts in forests that are particularly effective at regulating climate. Additionally, poverty and reliance on agriculture in North Central Nigeria may affect how communities perceive and prioritize forest ecosystem services (Okunlola &amp; Akinyele, 2014; Ayoola Oni &amp; Adenike Adepoju, 2014; Ajibade &amp; Omotesho, 2024). Although the concept of ecosystem services is well-established in science, the knowledge and perception of local communities, the main beneficiaries, remains unclear (Salazar et al., 2024; Eyassu, 2021). To deepen the analysis, the study could the dependency of communities on forests in North Central Nigeria, especially for agriculture and subsistence, further emphasizes the role of forest resources in poverty alleviation and food security (Okunlola &amp; Akinyele, 2014; Ayoola Oni &amp; Adenike Adepoju, 2014; Ajibade &amp; Omotesho, 2024). Yet, while the concept of ecosystem services is well-documented in scientific literature, there remains a disconnect between academic definitions and local understandings (Salazar et al., 2024; Eyassu, 2021). Bridging this gap through participatory research and integrated land-use planning is essential. Site-specific information for conservation and management is necessary. The study provides important information about ecosystem services for decision-makers to better understand the dependency of local communities on ecosystem services, so that they can incorporate the perceptions of stakeholders and develop better land use policy. Policymakers, community stakeholders and forest managers must integrate these diverse perceptions into conservation strategies to ensure the effective management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sustainability of gazetted forests (Stone &amp; Nyaupane, 2014; Khater &amp; Faik, 2024; Gai et al., 2024; Son et al., 2024).</w:t>
      </w:r>
    </w:p>
    <w:p w14:paraId="73DFCAB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the study underscores the multifaceted value of the forest reserve at the local community level, showing that it provides a range of essential benefits, from sustenance to cultural identity and environmental services and that the forest plays multiple key roles in supporting community development. Community perceptions of the importance of ecosystem services from protected and gazetted forests vary locally, regionally and globally, reflecting diverse socio-economic, cultural, and ecological contexts. These findings reinforce the need for inclusive, locally informed, and adaptive conservation strategies that integrate socio-cultural, ecological, and economic dimensions. By aligning local perceptions with global conservation objectives, policymakers and forest managers can develop more effective and equitable approaches to managing protected areas, ensuring both ecological integrity and community well-being, conservation and sustainability importance.</w:t>
      </w:r>
    </w:p>
    <w:p w14:paraId="48571224">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Conclusion</w:t>
      </w:r>
    </w:p>
    <w:p w14:paraId="4A37F6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management of protected forests for conservation and sustainability must account for the diverse and often complex ways in which local communities interact with and depend on forest ecosystems. In North Central Nigeria, forests serve not only as sources of tangible goods such as building materials, food, and medicinal resources, but also as repositories of cultural values, spiritual significance, and social identity. As such, conservation policies and activities must align with local priorities and perceptions to ensure long- term engagement and effectiveness. A participatory approach that respects and integrates local knowledge systems, cultural practices, and economic dependencies is essential for fostering community ownership of conservation efforts. To enhance the effectiveness of such strategies, it is critical to provide clear, actionable policy recommendations for policymakers, forest managers, and local stakeholders. This includes developing mechanisms to explicitly incorporate cultural values such as traditional worship and sacred groves into forest management frameworks. For example, protected areas could formally recognize and collaborate with traditional custodians of forest lands, incorporating customary laws and rituals into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conservation protocols. Furthermore, the scalability of community-based forest management (CBFM) must be addressed by identifying successful pilot models and outlining pathways for replication across different socio-ecological contexts. This involves capacity-building, equitable benefit-sharing mechanisms, and institutional support that can help overcome policy implementation challenges such as weak enforcement, limited funding, and conflicts over land tenure.</w:t>
      </w:r>
    </w:p>
    <w:p w14:paraId="65CDEA2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Ultimately, the success of forest conservation initiatives in Nigeria and similar contexts hinges on their ability to resonate with local populations. By grounding conservation in the socio-cultural realities of communities, policymakers can ensure that efforts to preserve forest ecosystems are not only ecologically effective but also socially equitable and sustainable. Future research should further explore frameworks for integrating indigenous governance systems with formal conservation policies and assess the long-term socio-economic impacts of participatory forest management strategies.</w:t>
      </w:r>
    </w:p>
    <w:p w14:paraId="554E97BA">
      <w:pPr>
        <w:spacing w:line="480" w:lineRule="auto"/>
        <w:jc w:val="both"/>
        <w:rPr>
          <w:rFonts w:hint="default" w:ascii="Times New Roman" w:hAnsi="Times New Roman" w:cs="Times New Roman"/>
          <w:sz w:val="24"/>
          <w:szCs w:val="24"/>
        </w:rPr>
      </w:pPr>
    </w:p>
    <w:p w14:paraId="0CFB494C">
      <w:pPr>
        <w:pStyle w:val="2"/>
        <w:jc w:val="both"/>
        <w:rPr>
          <w:rFonts w:hint="default" w:ascii="Times New Roman" w:hAnsi="Times New Roman" w:cs="Times New Roman"/>
          <w:sz w:val="24"/>
          <w:szCs w:val="24"/>
        </w:rPr>
      </w:pPr>
      <w:r>
        <w:rPr>
          <w:rFonts w:hint="default" w:ascii="Times New Roman" w:hAnsi="Times New Roman" w:cs="Times New Roman"/>
          <w:sz w:val="24"/>
          <w:szCs w:val="24"/>
        </w:rPr>
        <w:t>References</w:t>
      </w:r>
    </w:p>
    <w:p w14:paraId="47C297D1">
      <w:pPr>
        <w:keepNext w:val="0"/>
        <w:keepLines w:val="0"/>
        <w:widowControl/>
        <w:suppressLineNumbers w:val="0"/>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p>
    <w:p w14:paraId="1AB4203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Agbedahin, A. V. (2019). Sustainable development, education for sustainable development, and the </w:t>
      </w:r>
    </w:p>
    <w:p w14:paraId="6C5EB50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2030 agenda for sustainable development: Emergence, efficacy, eminence, and future. </w:t>
      </w:r>
    </w:p>
    <w:p w14:paraId="2C8CFA46">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Sustainable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27</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669–680. https://doi.org/10.1002/sd.1931 </w:t>
      </w:r>
    </w:p>
    <w:p w14:paraId="14BF4B6A">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Ahrens, D., Benedikter, S., &amp; Giessen, L. (2025). Rethinking synergies and trade-offs at the </w:t>
      </w:r>
    </w:p>
    <w:p w14:paraId="01F6E39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forest-sustainable development goals (SDGs) nexus: A systematic review.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Sustainable </w:t>
      </w:r>
    </w:p>
    <w:p w14:paraId="154E981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Advance online publication.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33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5069–5090. https://doi.org/10.1002/sd.3372 </w:t>
      </w:r>
    </w:p>
    <w:p w14:paraId="712FE69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Ajibade, E., &amp; Omotesho, O. A. (2024). Is agriculture still the mainstay of rural economies? Insights </w:t>
      </w:r>
    </w:p>
    <w:p w14:paraId="595EEAE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from ultra-poor households in North-Central Nigeria.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Asian Journal of Agricultural Extension, </w:t>
      </w:r>
    </w:p>
    <w:p w14:paraId="7F5DD13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Economics &amp; Sociology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42</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(5), 141–159. </w:t>
      </w:r>
    </w:p>
    <w:p w14:paraId="2700288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Andrade, G. S. M., &amp; Rhodes, J. R. (2012). Protected areas and local communities: An inevitable </w:t>
      </w:r>
    </w:p>
    <w:p w14:paraId="766E4B7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partnership toward successful conservation strategies?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Ecology and Society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17</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https://doi.org/ </w:t>
      </w:r>
    </w:p>
    <w:p w14:paraId="5E72E2E8">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10.5751/ES-05216-170414 </w:t>
      </w:r>
    </w:p>
    <w:p w14:paraId="1E07CBE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Aniah, P., Aasoglenang, A. T., &amp; Bonye, S. Z. (2014). Behind the myth: Indigenous knowledge and </w:t>
      </w:r>
    </w:p>
    <w:p w14:paraId="79F7046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belief systems in natural resource conservation in North East Ghana.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International Journal of </w:t>
      </w:r>
    </w:p>
    <w:p w14:paraId="2455973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Environmental Protection and Policy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2</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(3), 104–112. </w:t>
      </w:r>
    </w:p>
    <w:p w14:paraId="0228390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Aromolaran, A. K., Alarima, C. I., Salami, W. A., Fakoya, E. O., Adesodun, J. K., Sodiya, C. I., Fabusoro, E., &amp; Apantaku, S. O. (2021). Degradation of agricultural land: Evidence from non-farm livelihood </w:t>
      </w:r>
    </w:p>
    <w:p w14:paraId="03406A9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sites in Ogun State, Southwest Nigeria.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52</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 225–243. https://doi.org/ </w:t>
      </w:r>
    </w:p>
    <w:p w14:paraId="4EDC99C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10.1080/15575330.2020.1863995 </w:t>
      </w:r>
    </w:p>
    <w:p w14:paraId="1195DF6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Ayoola Oni, O., &amp; Adenike Adepoju, T. (2014). Analysis of rural households’ wellbeing in Nigeria: </w:t>
      </w:r>
    </w:p>
    <w:p w14:paraId="6FA9AEFA">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 capability approach.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International Journal of Social Economics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41</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(9), 760–779. https://doi.org/ </w:t>
      </w:r>
    </w:p>
    <w:p w14:paraId="161EA0D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10.1108/IJSE-02-2013-0034 </w:t>
      </w:r>
    </w:p>
    <w:p w14:paraId="5368A3E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Blaise, G. C., &amp; Allred, S. B. (2022). Trees for livelihoods: Exploring the relationship between commu</w:t>
      </w:r>
    </w:p>
    <w:p w14:paraId="5DE1944D">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nity agroforestry and community capitals in rural Haiti.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(5), 544–565. </w:t>
      </w:r>
    </w:p>
    <w:p w14:paraId="7E288457">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https://doi.org/10.1080/15575330.2021.1998168 </w:t>
      </w:r>
    </w:p>
    <w:p w14:paraId="50D6578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Borrini-Feyerabend, G., &amp; Hill, R. (2015). Governance for the conservation of nature. In G. L. Worboys, </w:t>
      </w:r>
    </w:p>
    <w:p w14:paraId="5A5DEBA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 Lockwood, A. Kothari, S. Feary, &amp; I. Pulsford (Eds.),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Protected Area Governance and Management </w:t>
      </w:r>
    </w:p>
    <w:p w14:paraId="62663AD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(Vol. 7, pp. 169–206). ANU Press. https://doi.org/10.22459/PAGM.04.2015 </w:t>
      </w:r>
    </w:p>
    <w:p w14:paraId="2BF3ED0D">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p>
    <w:p w14:paraId="288D25F8">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Charmaz, K. (2006).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Constructing grounded theory: A practical guide through qualitative analysis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Sage. </w:t>
      </w:r>
    </w:p>
    <w:p w14:paraId="3BEEB02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Charmaz, K. (2021). The genesis, grounds, and growth of constructivist grounded theory. In J. M. </w:t>
      </w:r>
    </w:p>
    <w:p w14:paraId="4B9921F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Morse, B. J. Bowers, K. Charmaz, A. E. Clarke, J. Corbin, C. J. Porr, &amp; P. N. Stern (Eds.),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Developing </w:t>
      </w:r>
    </w:p>
    <w:p w14:paraId="33DB8366">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Grounded Theory: The Second Generation Revisited </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(2nd ed., pp. 153–187). Routledge. </w:t>
      </w:r>
    </w:p>
    <w:p w14:paraId="64D84CE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Chunwate, B. T., Marchant, R. A., Jew, E. K. K., &amp; Stringer, L. C. (2025a). Understanding local </w:t>
      </w:r>
    </w:p>
    <w:p w14:paraId="31BB4F2A">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perspectives on the trajectory and drivers of gazetted forest reserve change in Nasarawa State, </w:t>
      </w:r>
    </w:p>
    <w:p w14:paraId="77619EDE">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North Central Nigeria.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The Land</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14</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(7), 1450. https://doi.org/10.3390/land14071450 </w:t>
      </w:r>
    </w:p>
    <w:p w14:paraId="59DCD6C0">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Chunwate, B. T., Marchant, R. A., Jew, E. K., &amp; Stringer, L. C. (2025b). Forest cover and land use change </w:t>
      </w:r>
    </w:p>
    <w:p w14:paraId="7FD2DF8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trajectories within gazetted forest reserves in Nasarawa State, North Central Nigeria (1966-2020). </w:t>
      </w:r>
    </w:p>
    <w:p w14:paraId="01DD40C9">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Trees, Forests and People</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100963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100963. https://doi.org/10.1016/j.tfp.2025.100963 </w:t>
      </w:r>
    </w:p>
    <w:p w14:paraId="6923B0B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Chunwate, B. T., Yahaya, S., Samaila, I. K., &amp; Ja’afaru, S. W. (2019). Analysis of urban land use and land </w:t>
      </w:r>
    </w:p>
    <w:p w14:paraId="2EBB791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cover change for sustainable development: A case of Lafia, Nasarawa State, Nigeria.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Journal of </w:t>
      </w:r>
    </w:p>
    <w:p w14:paraId="30FEEE04">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Geographic Information System</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11</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(3), 347–358. https://doi.org/10.4236/jgis.2019.113021 </w:t>
      </w:r>
    </w:p>
    <w:p w14:paraId="6138612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Chunwate, B. T., Yerima, Y. S., &amp; Samuel, A. (2021). Analysis of land-use conflict between farmers and </w:t>
      </w:r>
    </w:p>
    <w:p w14:paraId="6FC360D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pastoralists in Gwagwalada area council of Abuja, Nigeria.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Global Journal of Science Frontier </w:t>
      </w:r>
    </w:p>
    <w:p w14:paraId="6C11E0F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Research: H Environmental &amp; Earth Science</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21</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49–55. https://journalofscience.org/index.php/ </w:t>
      </w:r>
    </w:p>
    <w:p w14:paraId="64C1B1FE">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GJSFR/article/view/2952 </w:t>
      </w:r>
    </w:p>
    <w:p w14:paraId="6E765C6A">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Constant, N. L., &amp; Taylor, P. J. (2020). Restoring the forest revives our culture: Ecosystem services and </w:t>
      </w:r>
    </w:p>
    <w:p w14:paraId="0DB5CF3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values for ecological restoration across the rural-urban nexus in South Africa.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Forest Policy and </w:t>
      </w:r>
    </w:p>
    <w:p w14:paraId="786B115F">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Economics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118</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102222. https://doi.org/10.1016/j.forpol.2020.102222 </w:t>
      </w:r>
    </w:p>
    <w:p w14:paraId="4D55579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Convention on Biological Diversity. (2022). Decisions adopted at the 15th meeting of the conference </w:t>
      </w:r>
    </w:p>
    <w:p w14:paraId="4B6E3AD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of the parties to the convention on biological diversity (COP-15) and associated documents. </w:t>
      </w:r>
    </w:p>
    <w:p w14:paraId="6A12ACE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Montréal/China. https://www.protectedplanet.net/en/resources/decisions-of-the-convention</w:t>
      </w:r>
    </w:p>
    <w:p w14:paraId="1FB5A15B">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on-biological-diversity-relevant-to-the-wdpa </w:t>
      </w:r>
    </w:p>
    <w:p w14:paraId="1EDB44A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Cuni-Sanchez, A., Ngute, A. S. K., Sonké, B., Sainge, M. N., Burgess, N. D., Klein, J. A., &amp; Marchant, R. </w:t>
      </w:r>
    </w:p>
    <w:p w14:paraId="512EFC1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(2019). The importance of livelihood strategy and ethnicity in forest ecosystem services’ percep</w:t>
      </w:r>
    </w:p>
    <w:p w14:paraId="0125BBF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tions by local communities in north-western Cameroon.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Ecosystem Services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40</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101000. https:// </w:t>
      </w:r>
    </w:p>
    <w:p w14:paraId="46B44B2F">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doi.org/10.1016/j.ecoser.2019.101000 </w:t>
      </w:r>
    </w:p>
    <w:p w14:paraId="3B36A268">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Dudley, N. (2008).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Guidelines for applying protected area management categories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IUCN. </w:t>
      </w:r>
    </w:p>
    <w:p w14:paraId="476C1A3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Eyassu, A. (2021). Ecosystem services, local people perception and preferences in Chilimo Forest of </w:t>
      </w:r>
    </w:p>
    <w:p w14:paraId="12BB7F4B">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Ethiopia.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American Journal of Environmental Protection</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8</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127–135. </w:t>
      </w:r>
    </w:p>
    <w:p w14:paraId="03D2FDF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FAO. (2020).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Global forest resources assessment, 2020: Terms and definitions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Food and Agriculture </w:t>
      </w:r>
    </w:p>
    <w:p w14:paraId="62C3FCD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Organization of the United Nations. </w:t>
      </w:r>
    </w:p>
    <w:p w14:paraId="119AE12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Federal Ministry of Environment. (2015).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Federal Republic of Nigeria national biodiversity strategy and </w:t>
      </w:r>
    </w:p>
    <w:p w14:paraId="5AED6066">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action plan</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Federal Ministry of Environment, Nigeria. </w:t>
      </w:r>
    </w:p>
    <w:p w14:paraId="7938E6E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Gai, M. Y., Hassan, M. L., Empidi, A. V. A., Juraimi, U. F., Noorazman, N. M., &amp; Emang, D. (2024). Public perceptions on the importance of ecosystem services from vulnerable forest: A case study of </w:t>
      </w:r>
    </w:p>
    <w:p w14:paraId="2FBE449A">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Ampang Forest Reserve, Selangor, Malaysia.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Journal Manajemen Hutan Tropika</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30</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61–61. </w:t>
      </w:r>
    </w:p>
    <w:p w14:paraId="40A28AB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Galán-Guevara, C. (2024). Understanding change in traditional sustainable livelihoods: A complex </w:t>
      </w:r>
    </w:p>
    <w:p w14:paraId="41AC973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socio-ecological system in an indigenous community in Mexico.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 Journal</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p>
    <w:p w14:paraId="4CDC37CE">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59</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(3), 495–513. https://doi.org/10.1093/cdj/bsad010 </w:t>
      </w:r>
    </w:p>
    <w:p w14:paraId="0AFB19C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Ganesha, H. R., &amp; Aithal, P. S. (2022). How to choose an appropriate research data collection method </w:t>
      </w:r>
    </w:p>
    <w:p w14:paraId="500C6B9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among various research data collection methods during Ph.D. program in India?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International </w:t>
      </w:r>
    </w:p>
    <w:p w14:paraId="306DF5E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Journal of Management, Technology, and Social Sciences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7</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 455–489. https://doi.org/10.47992/ </w:t>
      </w:r>
    </w:p>
    <w:p w14:paraId="03FAEAD8">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ijmts.2581.6012.0233 </w:t>
      </w:r>
    </w:p>
    <w:p w14:paraId="43AABA4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Gao, H., Xiao, Y., Van Koppen, C. S. A., &amp; Ouyang, Z. (2018). Local perceptions of ecosystem services </w:t>
      </w:r>
    </w:p>
    <w:p w14:paraId="0FD35B1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and protection of culturally protected forests in Southeast China.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Ecosystem Health &amp; </w:t>
      </w:r>
    </w:p>
    <w:p w14:paraId="07891997">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Sustainability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4</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(12), 299–309. https://doi.org/10.1080/20964129.2018.1546126 </w:t>
      </w:r>
    </w:p>
    <w:p w14:paraId="390DFD8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Garekae, H., Thakadu, O. T., &amp; Lepetu, J. (2017). Socio-economic factors influencing household forest </w:t>
      </w:r>
    </w:p>
    <w:p w14:paraId="134CA58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dependency in Chobe enclave, Botswana.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Ecological Processes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6</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https://doi.org/10.1186/ </w:t>
      </w:r>
    </w:p>
    <w:p w14:paraId="3D6F106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s13717-017-0107-3 </w:t>
      </w:r>
    </w:p>
    <w:p w14:paraId="19043AC0">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p>
    <w:p w14:paraId="58EDE50D">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Gbamwuan, A. (2022). Farmer-herder conflicts and the socio-economic predicaments of women in </w:t>
      </w:r>
    </w:p>
    <w:p w14:paraId="0991F3A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North Central Nigeria.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Advances in Social Sciences Research Journal</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9</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(6), 90–105. https://doi.org/ </w:t>
      </w:r>
    </w:p>
    <w:p w14:paraId="4E1083B9">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10.14738/assrj.96.11318 </w:t>
      </w:r>
    </w:p>
    <w:p w14:paraId="317EB64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Guarino, A., Barbieri, I., Compare, C., &amp; Albanesi, C. (2023). Facilitating assets-based development in </w:t>
      </w:r>
    </w:p>
    <w:p w14:paraId="2D1E2F0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rural communities through service-learning.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 Journal</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58</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(3), 512–538. </w:t>
      </w:r>
    </w:p>
    <w:p w14:paraId="02415CA3">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https://doi.org/10.1093/cdj/bsac017 </w:t>
      </w:r>
    </w:p>
    <w:p w14:paraId="4933AD2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Guest, G., Bunce, A., &amp; Johnson, L. (2006). How many interviews are enough?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Field Methods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18</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w:t>
      </w:r>
    </w:p>
    <w:p w14:paraId="6243F9CA">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59–82. https://doi.org/10.1177/1525822X05279903 </w:t>
      </w:r>
    </w:p>
    <w:p w14:paraId="62B5C87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Halisçelik, E., &amp; Soytas, M. A. (2019). Sustainable development from millennium 2015 to sustainable </w:t>
      </w:r>
    </w:p>
    <w:p w14:paraId="2426ACD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development goals 2030.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Sustainable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27</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545–572. https://doi.org/10.1002/sd. </w:t>
      </w:r>
    </w:p>
    <w:p w14:paraId="18A4F14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1921 </w:t>
      </w:r>
    </w:p>
    <w:p w14:paraId="4BAA84F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Hetemäki, L., D’Amato, D., Giurca, A., &amp; Hurmekoski, E. (2024). Synergies and trade-offs in the </w:t>
      </w:r>
    </w:p>
    <w:p w14:paraId="4A1355D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European forest bioeconomy research: State of the art and the way forward.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Forest Policy and </w:t>
      </w:r>
    </w:p>
    <w:p w14:paraId="5BEAD028">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Economics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163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103204. https://doi.org/10.1016/j.forpol.2024.103204 </w:t>
      </w:r>
    </w:p>
    <w:p w14:paraId="4EF9B740">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Higuera, D., Martín-López, B., &amp; Sánchez-Jabba, A. (2012). Social preferences towards ecosystem </w:t>
      </w:r>
    </w:p>
    <w:p w14:paraId="3273064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services provided by cloud forests in the Neotropics: Implications for conservation strategies. </w:t>
      </w:r>
    </w:p>
    <w:p w14:paraId="3CD6B973">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Regional Environmental Change</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861–872. https://doi.org/10.1007/s10113-012-0379-1 </w:t>
      </w:r>
    </w:p>
    <w:p w14:paraId="061F0180">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Higuera, D., Martín-López, B., &amp; Sánchez-Jabba, A. (2013). Social preferences towards ecosystem </w:t>
      </w:r>
    </w:p>
    <w:p w14:paraId="3984BA2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services provided by cloud forests in the Neotropics: Implications for conservation strategies. </w:t>
      </w:r>
    </w:p>
    <w:p w14:paraId="0FF212F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Regional Environmental Change</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861–872. https://doi.org/10.1007/s10113-012-0379-1 </w:t>
      </w:r>
    </w:p>
    <w:p w14:paraId="09C0321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24 </w:t>
      </w:r>
    </w:p>
    <w:p w14:paraId="1BEF357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Hoffmann, S. (2022). Challenges and opportunities of area-based conservation in reaching biodi</w:t>
      </w:r>
    </w:p>
    <w:p w14:paraId="597FDB4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versity and sustainability goals.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Biodiversity and Conservation</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31</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 325–352. https://doi.org/10. </w:t>
      </w:r>
    </w:p>
    <w:p w14:paraId="698EA1F3">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1007/s10531-021-02340-2 </w:t>
      </w:r>
    </w:p>
    <w:p w14:paraId="592BAA7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Ihemezie, E. J., Stringer, L. C., &amp; Dallimer, M. (2022). Understanding the diversity of values under</w:t>
      </w:r>
    </w:p>
    <w:p w14:paraId="09237A3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pinning forest conservation.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Biological Conservation</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274</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109734. https://doi.org/10.1016/j.bio </w:t>
      </w:r>
    </w:p>
    <w:p w14:paraId="17FC27F2">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con.2022.109734 </w:t>
      </w:r>
    </w:p>
    <w:p w14:paraId="6641B40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Inuwa, N., Adamu, S., Sani, M. B., &amp; Modibbo, H. U. (2022). Natural resource and economic growth </w:t>
      </w:r>
    </w:p>
    <w:p w14:paraId="177FE8C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nexus in Nigeria: A disaggregated approach.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Letters in Spatial and Resource Sciences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17–37. </w:t>
      </w:r>
    </w:p>
    <w:p w14:paraId="17DC9E72">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https://doi.org/10.1007/s12076-021-00291-4 </w:t>
      </w:r>
    </w:p>
    <w:p w14:paraId="0670C06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Israel, G. D. (1992).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Determining sample size. University of Florida cooperative extension service</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p>
    <w:p w14:paraId="647A9889">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Institute of Food and Agriculture Sciences, EDIS. </w:t>
      </w:r>
    </w:p>
    <w:p w14:paraId="5A44DA4D">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Ite, U. E., &amp; Adams, W. M. (1998). Forest conversion, conservation and forestry in Cross River State, </w:t>
      </w:r>
    </w:p>
    <w:p w14:paraId="56AC9361">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Nigeria.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Applied Geography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18</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301–314. https://doi.org/10.1016/S0143-6228(98)00023-X </w:t>
      </w:r>
    </w:p>
    <w:p w14:paraId="50AA8D9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Kandari, L. S., Bisht, V. K., Bhardwaj, M., &amp; Thakur, A. K. (2014). Conservation and management of </w:t>
      </w:r>
    </w:p>
    <w:p w14:paraId="53681BF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sacred groves, myths and beliefs of tribal communities: A case study from North-India. </w:t>
      </w:r>
    </w:p>
    <w:p w14:paraId="2EEE68C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Environmental Systems Research</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1–10. https://doi.org/10.1186/s40068-014-0016-8 </w:t>
      </w:r>
    </w:p>
    <w:p w14:paraId="120E4FD7">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p>
    <w:p w14:paraId="7576310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Khater, M., &amp; Faik, M. (2024). Tourism as a catalyst for resilience: Strategies for building sustainable </w:t>
      </w:r>
    </w:p>
    <w:p w14:paraId="78443C7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and adaptive communities.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56</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 1–17. https://doi.org/10.1080/ </w:t>
      </w:r>
    </w:p>
    <w:p w14:paraId="711B98B5">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15575330.2024.2382174 </w:t>
      </w:r>
    </w:p>
    <w:p w14:paraId="74853E0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Lefeuvre, N. B., Keller, N., Plagnat-Cantoreggi, P., Godoong, E., Dray, A., &amp; Philipson, C. D. (2022). The </w:t>
      </w:r>
    </w:p>
    <w:p w14:paraId="4833C02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value of logged tropical forests: A study of ecosystem services in Sabah, Borneo.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Environmental </w:t>
      </w:r>
    </w:p>
    <w:p w14:paraId="61395129">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Science and Policy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128</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56–67. https://doi.org/10.1016/j.envsci.2021.11.003 </w:t>
      </w:r>
    </w:p>
    <w:p w14:paraId="574FF97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Lhoest, S., Dufr</w:t>
      </w:r>
      <w:r>
        <w:rPr>
          <w:rFonts w:hint="default" w:ascii="Times New Roman" w:hAnsi="Times New Roman" w:eastAsia="SimSun" w:cs="Times New Roman"/>
          <w:color w:val="000000" w:themeColor="text1"/>
          <w:kern w:val="0"/>
          <w:sz w:val="24"/>
          <w:szCs w:val="24"/>
          <w:lang w:val="en-US" w:eastAsia="zh-CN" w:bidi="ar"/>
          <w14:textFill>
            <w14:solidFill>
              <w14:schemeClr w14:val="tx1"/>
            </w14:solidFill>
          </w14:textFill>
        </w:rPr>
        <w:t>ê</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ne, M., Vermeulen, C., Oszwald, J., Doucet, J.-L., &amp; Fayolle, A. (2019). Perceptions of </w:t>
      </w:r>
    </w:p>
    <w:p w14:paraId="034FF61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ecosystem services provided by tropical forests to local populations in Cameroon.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Ecosystem </w:t>
      </w:r>
    </w:p>
    <w:p w14:paraId="5233CF8D">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Services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38</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100956. https://doi.org/10.1016/j.ecoser.2019.100956 </w:t>
      </w:r>
    </w:p>
    <w:p w14:paraId="263B378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Li, Q., Ge, Y., &amp; Sayer, J. A. (2023). Challenges to implementing the Kunming-Montreal Global </w:t>
      </w:r>
    </w:p>
    <w:p w14:paraId="7A6AE4C0">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Biodiversity Framework.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The Land</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12</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(12), 2166. https://doi.org/10.3390/land12122166 </w:t>
      </w:r>
    </w:p>
    <w:p w14:paraId="495F392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Lyman, M. W., Grimm, C., &amp; Evans, J. R. (2014). Community forests as a wealth creation strategy for </w:t>
      </w:r>
    </w:p>
    <w:p w14:paraId="452DD44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rural communities.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45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(5), 474–489. https://doi.org/10.1080/15575330. </w:t>
      </w:r>
    </w:p>
    <w:p w14:paraId="3FD5D743">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2014.951374 </w:t>
      </w:r>
    </w:p>
    <w:p w14:paraId="78B6E1FD">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Mahama, T. A., &amp; Maharjan, K. L. (2019). Determining the nature and spatial-temporal changes of the </w:t>
      </w:r>
    </w:p>
    <w:p w14:paraId="348F65F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livelihood asset pentagon and its relationship with livelihood opportunities in Ghana.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Community </w:t>
      </w:r>
    </w:p>
    <w:p w14:paraId="28A10C7A">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50</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460–483. https://doi.org/10.1080/15575330.2019.1642929 </w:t>
      </w:r>
    </w:p>
    <w:p w14:paraId="6612864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Mazibuko, S. (2013). Understanding underdevelopment through the sustainable livelihoods </w:t>
      </w:r>
    </w:p>
    <w:p w14:paraId="60AE56F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approach.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44</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 173–187. https://doi.org/10.1080/15575330.2012. </w:t>
      </w:r>
    </w:p>
    <w:p w14:paraId="528B262D">
      <w:pPr>
        <w:keepNext w:val="0"/>
        <w:keepLines w:val="0"/>
        <w:widowControl/>
        <w:suppressLineNumbers w:val="0"/>
        <w:spacing w:line="240" w:lineRule="auto"/>
        <w:jc w:val="both"/>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683798 </w:t>
      </w:r>
    </w:p>
    <w:p w14:paraId="359AD21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Mbaya, L. A., &amp; Hashidu, M. S. (2017). Status of forest reserves (savanna woodland) biodiversity and </w:t>
      </w:r>
    </w:p>
    <w:p w14:paraId="51A21C9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rural livelihoods in Gombe State.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International Journal of Biodiversity and Conservation</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6</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(12), </w:t>
      </w:r>
    </w:p>
    <w:p w14:paraId="3A584F1A">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2173–2192. </w:t>
      </w:r>
    </w:p>
    <w:p w14:paraId="6539C1C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Meijaard, E., Abram, N. K., Wells, J. A., Pellier, A. S., Ancrenaz, M., Gaveau, D. L. A., Runting, R. K., &amp; </w:t>
      </w:r>
    </w:p>
    <w:p w14:paraId="2D26A9D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Mengersen, K. (2013). People’s perceptions about the importance of forests on Borneo.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PLOS ONE</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p>
    <w:p w14:paraId="231325E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8</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(9), e73008. https://doi.org/10.1371/journal.pone.0072420 </w:t>
      </w:r>
    </w:p>
    <w:p w14:paraId="2E1E333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Moutouama, F. T., Biaou, S. S. H., Kyereh, B., Asante, W. A., &amp; Natta, A. K. (2019). Factors shaping local </w:t>
      </w:r>
    </w:p>
    <w:p w14:paraId="43D2BE1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people’s perception of ecosystem services in the Atacora Chain of Mountains, a biodiversity </w:t>
      </w:r>
    </w:p>
    <w:p w14:paraId="1E346F2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hotspot in northern Benin.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Journal of Ethnobiology and Ethnomedicine</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1–10. https://doi. </w:t>
      </w:r>
    </w:p>
    <w:p w14:paraId="6BDE285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org/10.1186/s13002-019-0317-0 </w:t>
      </w:r>
    </w:p>
    <w:p w14:paraId="691DB7C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Muhati, G. L., Olago, D., &amp; Olaka, L. (2018). Land use and land cover changes in a sub-humid montane </w:t>
      </w:r>
    </w:p>
    <w:p w14:paraId="7813E0F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forest in an arid setting: A case study of the Marsabit Forest Reserve in northern Kenya.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Global </w:t>
      </w:r>
    </w:p>
    <w:p w14:paraId="3789DB9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Ecology and Conservation</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16</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e00512. https://doi.org/10.1016/j.gecco.2018.e00512 </w:t>
      </w:r>
    </w:p>
    <w:p w14:paraId="1F95272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Munthali, M. G., Davis, N., Adeola, A. M., Botai, J. O., Kamwi, J. M., Chisale, H. L. W., &amp; Orimoogunje, O. </w:t>
      </w:r>
    </w:p>
    <w:p w14:paraId="4A7149D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 I. (2019). Local perception of drivers of land-use and land-cover change dynamics across Dedza </w:t>
      </w:r>
    </w:p>
    <w:p w14:paraId="04E029A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district, Central Malawi region.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Sustainability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11</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(3), 1–25. https://doi.org/10.3390/su11030832 </w:t>
      </w:r>
    </w:p>
    <w:p w14:paraId="236E8F9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Okunlola, O. A., &amp; Akinyele, A. O. (2014). Sustainable management of the Nigerian forests for poverty </w:t>
      </w:r>
    </w:p>
    <w:p w14:paraId="6249898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alleviation.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Journal of Agriculture, Forestry and the Social Sciences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12</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176–181. https://doi.org/ </w:t>
      </w:r>
    </w:p>
    <w:p w14:paraId="41A9784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10.4314/joafss.v12i1.19 </w:t>
      </w:r>
    </w:p>
    <w:p w14:paraId="4BF657E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Olaniyi, O. E., Akinsorotan, O. A., Zakaria, M., Martins, C. O., Adebola, S. I., &amp; Oyelowo, O. J. (2019). </w:t>
      </w:r>
    </w:p>
    <w:p w14:paraId="01DAADC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Taking the edge off host communities’ dependence on protected areas in Nigeria. In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International </w:t>
      </w:r>
    </w:p>
    <w:p w14:paraId="4E2DB7D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Conference on Biodiversity (ICB 2018), November 11–13, 2018, Pagoh Higher Education Hub, Pagoh, </w:t>
      </w:r>
    </w:p>
    <w:p w14:paraId="7138E64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Johor, Malaysia. IOP Conference Series: Earth and Environmental Science </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(Vol. 269, pp. 012039). </w:t>
      </w:r>
    </w:p>
    <w:p w14:paraId="6A47B0D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https://doi.org/10.1088/1755-1315/269/1/012039 </w:t>
      </w:r>
    </w:p>
    <w:p w14:paraId="42B6EB7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Oliver, M. D., &amp; Stout, M. (2022). Examining natural resource management through a community </w:t>
      </w:r>
    </w:p>
    <w:p w14:paraId="67D40DA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development theoretical lens.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 130–149. https://doi.org/10.1080/ </w:t>
      </w:r>
    </w:p>
    <w:p w14:paraId="45E2FD6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15575330.2021.1946575 </w:t>
      </w:r>
    </w:p>
    <w:p w14:paraId="56EAE4F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Ray, P., Dnyanoba, K. R., Rajesh, P. P., Dattatray, K. A., &amp; Kumar, S. (2022). Importance of sacred groves </w:t>
      </w:r>
    </w:p>
    <w:p w14:paraId="2CDEAB4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in conservation of medicinal plants.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Medico-Biowealth of India</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45–52. https://doi.org/10.5281/ </w:t>
      </w:r>
    </w:p>
    <w:p w14:paraId="0F33CD7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zenodo.5939747 </w:t>
      </w:r>
    </w:p>
    <w:p w14:paraId="231153A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Roongtawanreongsri, S., &amp; Boonkaew, R. (2022). Adopting the ecovillage concept to shape </w:t>
      </w:r>
    </w:p>
    <w:p w14:paraId="76B1043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 traditional bureaucratic village into a more sustainable community in Thailand.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Community </w:t>
      </w:r>
    </w:p>
    <w:p w14:paraId="14D92770">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53</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(5), 525–543. https://doi.org/10.1080/15575330.2021.1966062 </w:t>
      </w:r>
    </w:p>
    <w:p w14:paraId="2E1AC87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Sahoo, G., Mishra, P., Wani, A. M., Sharma, A., Patra, D., Mishra, D., &amp; Behera, M. (2023). Impact of </w:t>
      </w:r>
    </w:p>
    <w:p w14:paraId="6A420100">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climate change on livelihood security and biodiversity – Issues and mitigation strategies. In C. B. </w:t>
      </w:r>
    </w:p>
    <w:p w14:paraId="6233C3A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Pande, K. N. Moharir, S. K. Singh, Q. B. Pham, &amp; A. Elbeltagi (Eds.),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Climate Change Impacts on </w:t>
      </w:r>
    </w:p>
    <w:p w14:paraId="13B4010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Natural Resources, Ecosystems and Agricultural Systems </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(pp. 1–27). Springer. </w:t>
      </w:r>
    </w:p>
    <w:p w14:paraId="1593D11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Salazar, K., Church, S. P., Prokopy, L., Ma, Z., Beaulieu, L., &amp; Phillips, R. (2024). The need for proactive </w:t>
      </w:r>
    </w:p>
    <w:p w14:paraId="5B27BBE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environmental planning in local government: Examining challenges and pathways forward in </w:t>
      </w:r>
    </w:p>
    <w:p w14:paraId="6C31B85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Indiana.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56</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 1–29. https://doi.org/10.1080/15575330.2024.2382207 </w:t>
      </w:r>
    </w:p>
    <w:p w14:paraId="25DF061A">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Shrestha, K., Shakya, B., Adhikari, B., Nepal, M., &amp; Shaoliang, Y. (2023). Ecosystem services valuation </w:t>
      </w:r>
    </w:p>
    <w:p w14:paraId="1AC8F1D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for conservation and development decisions: A review of valuation studies and tools in the Far </w:t>
      </w:r>
    </w:p>
    <w:p w14:paraId="21CE3273">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Eastern Himalaya.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Ecosystem Services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61</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101526. https://doi.org/10.1016/j.ecoser.2023.101526 </w:t>
      </w:r>
    </w:p>
    <w:p w14:paraId="5AAECE7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Smith, R., Guevara, O., Wenzel, L., Dudley, N., Petrone-Mendoza, V., Cadena, M., &amp; Rhodes, A. (2018). </w:t>
      </w:r>
    </w:p>
    <w:p w14:paraId="0E96FABA">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Ensuring co-benefits for biodiversity, climate change and sustainable development. In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Handbo</w:t>
      </w:r>
      <w:bookmarkStart w:id="1" w:name="_GoBack"/>
      <w:bookmarkEnd w:id="1"/>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ok </w:t>
      </w:r>
    </w:p>
    <w:p w14:paraId="5D4F6D2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of climate change and biodiversity </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(pp. 151–166). Springer. </w:t>
      </w:r>
    </w:p>
    <w:p w14:paraId="3F77E56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Smith, R., Guevara, O., Wenzel, L., Dudley, N., Petrone-Mendoza, V., Cadena, M., &amp; Rhodes, A. (2018). </w:t>
      </w:r>
    </w:p>
    <w:p w14:paraId="42AB7EA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Ensuring co-benefits for biodiversity, climate change and sustainable development. In W. Leal </w:t>
      </w:r>
    </w:p>
    <w:p w14:paraId="1F4E648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Filho, J. Barbir, &amp; R. Preziosi (Eds.),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 xml:space="preserve">Handbook of climate change and biodiversity </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(pp. 151–166). </w:t>
      </w:r>
    </w:p>
    <w:p w14:paraId="5B668320">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Springer. </w:t>
      </w:r>
    </w:p>
    <w:p w14:paraId="40C1C06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Son, Y.-G., Lee, Y., &amp; Jo, J.-H. (2024). Residents’ willingness to pay for forest ecosystem services based </w:t>
      </w:r>
    </w:p>
    <w:p w14:paraId="1AD90CFD">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on forest ownership classification in South Korea.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Forests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(3), 551. https://doi.org/10.3390/ </w:t>
      </w:r>
    </w:p>
    <w:p w14:paraId="25BA42EE">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f15030551 </w:t>
      </w:r>
    </w:p>
    <w:p w14:paraId="77372460">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Sourokou, R., &amp; Vodouhe, F. G. (2024). Local perceptions of forest-based ecosystem services in Benin, </w:t>
      </w:r>
    </w:p>
    <w:p w14:paraId="0324C9B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West Africa.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American Journal of Agriculture and Forestry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12</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113–128. https://doi.org/10. </w:t>
      </w:r>
    </w:p>
    <w:p w14:paraId="4036513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11648/j.ajaf.20241202.16 </w:t>
      </w:r>
    </w:p>
    <w:p w14:paraId="13E4B1B8">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Stone, M. T., &amp; Nyaupane, G. (2014). Rethinking community in community-based natural resource </w:t>
      </w:r>
    </w:p>
    <w:p w14:paraId="3F6915E4">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management.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45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17–31. https://doi.org/10.1080/15575330.2013. </w:t>
      </w:r>
    </w:p>
    <w:p w14:paraId="6F4C805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844192 </w:t>
      </w:r>
    </w:p>
    <w:p w14:paraId="4DBF2B2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Sung, H., &amp; Phillips, R. G. (2018). Indicators and community well-being: Exploring a relational </w:t>
      </w:r>
    </w:p>
    <w:p w14:paraId="2442E80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framework.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International Journal of Community Well-Being</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1</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63–79. https://doi.org/10.1007/ </w:t>
      </w:r>
    </w:p>
    <w:p w14:paraId="0F2ADC0A">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s42413-018-0006-0 </w:t>
      </w:r>
    </w:p>
    <w:p w14:paraId="23627756">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Talmage, C. A., Allgood, B., Ashdown, B. K., Brennan, A., Hill, S., Trevan, E., &amp; Waugh, J. (2022). </w:t>
      </w:r>
    </w:p>
    <w:p w14:paraId="29B6B20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Tethering natural capital and cultural capital for a more sustainable post-COVID-19 world. </w:t>
      </w:r>
    </w:p>
    <w:p w14:paraId="4F91748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International Journal of Community Well-Being</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(3), 1–22. https://doi.org/10.1007/s42413-021- </w:t>
      </w:r>
    </w:p>
    <w:p w14:paraId="1FB40BF9">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00151-5 </w:t>
      </w:r>
    </w:p>
    <w:p w14:paraId="7B8576B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Ward, C., Stringer, L., &amp; Holmes, G. (2018). Changing governance, changing inequalities: Protected </w:t>
      </w:r>
    </w:p>
    <w:p w14:paraId="35CA88E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area co-management and access to forest ecosystem services: A Madagascar case study. </w:t>
      </w:r>
    </w:p>
    <w:p w14:paraId="58FD5A9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Ecosystem Services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30</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137–148. https://doi.org/10.1016/j.ecoser.2018.01.014 </w:t>
      </w:r>
    </w:p>
    <w:p w14:paraId="762BFFC2">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26 </w:t>
      </w:r>
    </w:p>
    <w:p w14:paraId="28A1F221">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Wilson, S. E., &amp; Flint, C. G. (2024). Connectedness and wellbeing: Community and nature-based </w:t>
      </w:r>
    </w:p>
    <w:p w14:paraId="3CE9D7A0">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connection in the context of Utah’s rapid growth.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Community Development</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(4), 498–514. </w:t>
      </w:r>
    </w:p>
    <w:p w14:paraId="73973CEB">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https://doi.org/10.1080/15575330.2023.2286442 </w:t>
      </w:r>
    </w:p>
    <w:p w14:paraId="71A50DBC">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Zeratsion, B. T., Gebreslassie, A., Gebrewahid, Y., Berhe, D. H., Manaye, A., Gebru, K. M., &amp; Kifle, B. </w:t>
      </w:r>
    </w:p>
    <w:p w14:paraId="717A63BD">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(2024). Community perceptions towards the ecosystem services of urban forests in Mekelle, </w:t>
      </w:r>
    </w:p>
    <w:p w14:paraId="790055B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Tigray, Ethiopia.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Discover Sustainability</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5</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(1), 166. https://doi.org/10.1007/s43621-024-00384-2 </w:t>
      </w:r>
    </w:p>
    <w:p w14:paraId="300EFF37">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Zhang, W., Kato, E., Bhandary, P., Nkonya, E., Ibrahim, H. I., Agbonlahor, M., Ibrahim, H. Y., &amp; Cox, C. </w:t>
      </w:r>
    </w:p>
    <w:p w14:paraId="7047BB0F">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(2016). Awareness and perceptions of ecosystem services in relation to land use types: Evidence </w:t>
      </w:r>
    </w:p>
    <w:p w14:paraId="325BDEC5">
      <w:pPr>
        <w:keepNext w:val="0"/>
        <w:keepLines w:val="0"/>
        <w:widowControl/>
        <w:suppressLineNumbers w:val="0"/>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from rural communities in Nigeria.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Ecosystem Services</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eastAsia="MyriadPro-It" w:cs="Times New Roman"/>
          <w:i/>
          <w:iCs/>
          <w:color w:val="000000" w:themeColor="text1"/>
          <w:kern w:val="0"/>
          <w:sz w:val="24"/>
          <w:szCs w:val="24"/>
          <w:lang w:val="en-US" w:eastAsia="zh-CN" w:bidi="ar"/>
          <w14:textFill>
            <w14:solidFill>
              <w14:schemeClr w14:val="tx1"/>
            </w14:solidFill>
          </w14:textFill>
        </w:rPr>
        <w:t>22</w:t>
      </w: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 150–160. https://doi.org/10.1016/j. </w:t>
      </w:r>
    </w:p>
    <w:p w14:paraId="5889A5DB">
      <w:pPr>
        <w:keepNext w:val="0"/>
        <w:keepLines w:val="0"/>
        <w:widowControl/>
        <w:suppressLineNumbers w:val="0"/>
        <w:spacing w:line="240" w:lineRule="auto"/>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eastAsia="MyriadPro" w:cs="Times New Roman"/>
          <w:color w:val="000000" w:themeColor="text1"/>
          <w:kern w:val="0"/>
          <w:sz w:val="24"/>
          <w:szCs w:val="24"/>
          <w:lang w:val="en-US" w:eastAsia="zh-CN" w:bidi="ar"/>
          <w14:textFill>
            <w14:solidFill>
              <w14:schemeClr w14:val="tx1"/>
            </w14:solidFill>
          </w14:textFill>
        </w:rPr>
        <w:t xml:space="preserve">ecoser.2016.10.011 </w:t>
      </w:r>
    </w:p>
    <w:p w14:paraId="27E8DD5F">
      <w:pPr>
        <w:pStyle w:val="7"/>
        <w:spacing w:before="274" w:line="240" w:lineRule="auto"/>
        <w:ind w:right="135"/>
        <w:jc w:val="both"/>
        <w:rPr>
          <w:rFonts w:hint="default" w:ascii="Times New Roman" w:hAnsi="Times New Roman" w:cs="Times New Roman"/>
          <w:b/>
          <w:bCs/>
          <w:sz w:val="24"/>
          <w:szCs w:val="24"/>
          <w:lang w:val="en-US"/>
        </w:rPr>
      </w:pPr>
    </w:p>
    <w:p w14:paraId="40DD7B89">
      <w:pPr>
        <w:pStyle w:val="7"/>
        <w:spacing w:before="274" w:line="240" w:lineRule="auto"/>
        <w:ind w:right="135"/>
        <w:jc w:val="both"/>
        <w:rPr>
          <w:rFonts w:hint="default" w:ascii="Times New Roman" w:hAnsi="Times New Roman" w:cs="Times New Roman"/>
          <w:b/>
          <w:bCs/>
          <w:sz w:val="24"/>
          <w:szCs w:val="24"/>
          <w:lang w:val="en-US"/>
        </w:rPr>
      </w:pPr>
    </w:p>
    <w:p w14:paraId="56526F99">
      <w:pPr>
        <w:pStyle w:val="7"/>
        <w:spacing w:before="274" w:line="360" w:lineRule="auto"/>
        <w:ind w:right="135"/>
        <w:jc w:val="both"/>
        <w:rPr>
          <w:rFonts w:hint="default" w:ascii="Times New Roman" w:hAnsi="Times New Roman" w:cs="Times New Roman"/>
          <w:b/>
          <w:bCs/>
          <w:sz w:val="24"/>
          <w:szCs w:val="24"/>
          <w:lang w:val="en-US"/>
        </w:rPr>
      </w:pPr>
    </w:p>
    <w:p w14:paraId="39AB6DAA">
      <w:pPr>
        <w:pStyle w:val="7"/>
        <w:spacing w:before="274" w:line="360" w:lineRule="auto"/>
        <w:ind w:right="135"/>
        <w:jc w:val="both"/>
        <w:rPr>
          <w:rFonts w:hint="default" w:ascii="Times New Roman" w:hAnsi="Times New Roman" w:cs="Times New Roman"/>
          <w:b/>
          <w:bCs/>
          <w:sz w:val="24"/>
          <w:szCs w:val="24"/>
          <w:lang w:val="en-US"/>
        </w:rPr>
      </w:pPr>
    </w:p>
    <w:p w14:paraId="6496F4EB">
      <w:pPr>
        <w:pStyle w:val="7"/>
        <w:spacing w:before="274" w:line="360" w:lineRule="auto"/>
        <w:ind w:right="135"/>
        <w:jc w:val="both"/>
        <w:rPr>
          <w:rFonts w:hint="default" w:ascii="Times New Roman" w:hAnsi="Times New Roman" w:cs="Times New Roman"/>
          <w:b/>
          <w:bCs/>
          <w:sz w:val="24"/>
          <w:szCs w:val="24"/>
          <w:lang w:val="en-US"/>
        </w:rPr>
      </w:pPr>
    </w:p>
    <w:p w14:paraId="353860D6">
      <w:pPr>
        <w:pStyle w:val="7"/>
        <w:spacing w:before="274" w:line="360" w:lineRule="auto"/>
        <w:ind w:right="135"/>
        <w:jc w:val="both"/>
        <w:rPr>
          <w:rFonts w:hint="default" w:ascii="Times New Roman" w:hAnsi="Times New Roman" w:cs="Times New Roman"/>
          <w:b/>
          <w:bCs/>
          <w:sz w:val="24"/>
          <w:szCs w:val="24"/>
          <w:lang w:val="en-US"/>
        </w:rPr>
      </w:pPr>
    </w:p>
    <w:p w14:paraId="4C8AB047">
      <w:pPr>
        <w:pStyle w:val="7"/>
        <w:spacing w:before="274" w:line="360" w:lineRule="auto"/>
        <w:ind w:right="135"/>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Appendix</w:t>
      </w:r>
    </w:p>
    <w:p w14:paraId="6A5D4014">
      <w:pPr>
        <w:keepNext w:val="0"/>
        <w:keepLines w:val="0"/>
        <w:widowControl/>
        <w:suppressLineNumbers w:val="0"/>
        <w:spacing w:before="0" w:beforeAutospacing="1" w:after="0" w:afterAutospacing="1" w:line="240" w:lineRule="auto"/>
        <w:ind w:left="0" w:right="0"/>
        <w:jc w:val="left"/>
        <w:outlineLvl w:val="1"/>
        <w:rPr>
          <w:rFonts w:hint="default" w:ascii="Times New Roman" w:hAnsi="Times New Roman" w:eastAsia="Times New Roman" w:cs="Times New Roman"/>
          <w:b/>
          <w:bCs/>
          <w:kern w:val="0"/>
          <w:sz w:val="24"/>
          <w:szCs w:val="24"/>
          <w:lang w:val="en-US" w:eastAsia="zh-CN" w:bidi="ar"/>
        </w:rPr>
      </w:pPr>
      <w:r>
        <w:rPr>
          <w:rFonts w:hint="default" w:ascii="Times New Roman" w:hAnsi="Times New Roman" w:eastAsia="Times New Roman" w:cs="Times New Roman"/>
          <w:b/>
          <w:bCs/>
          <w:kern w:val="0"/>
          <w:sz w:val="24"/>
          <w:szCs w:val="24"/>
          <w:lang w:val="en-US" w:eastAsia="zh-CN" w:bidi="ar"/>
        </w:rPr>
        <w:t>Appendix A. Table 1. Summary of chi-square test results for respondent demographic characteristics and community perceptions regarding forest ecosystem services benefits to individuals in the community</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29"/>
        <w:gridCol w:w="3006"/>
        <w:gridCol w:w="1170"/>
        <w:gridCol w:w="990"/>
        <w:gridCol w:w="1620"/>
      </w:tblGrid>
      <w:tr w14:paraId="5872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Header/>
          <w:tblCellSpacing w:w="15" w:type="dxa"/>
        </w:trPr>
        <w:tc>
          <w:tcPr>
            <w:tcW w:w="0" w:type="auto"/>
            <w:shd w:val="clear" w:color="auto" w:fill="auto"/>
            <w:tcMar>
              <w:top w:w="15" w:type="dxa"/>
              <w:left w:w="15" w:type="dxa"/>
              <w:bottom w:w="15" w:type="dxa"/>
              <w:right w:w="15" w:type="dxa"/>
            </w:tcMar>
            <w:vAlign w:val="center"/>
          </w:tcPr>
          <w:p w14:paraId="33C6D60A">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Demographic variable</w:t>
            </w:r>
          </w:p>
        </w:tc>
        <w:tc>
          <w:tcPr>
            <w:tcW w:w="2976" w:type="dxa"/>
            <w:shd w:val="clear" w:color="auto" w:fill="auto"/>
            <w:tcMar>
              <w:top w:w="15" w:type="dxa"/>
              <w:left w:w="15" w:type="dxa"/>
              <w:bottom w:w="15" w:type="dxa"/>
              <w:right w:w="15" w:type="dxa"/>
            </w:tcMar>
            <w:vAlign w:val="center"/>
          </w:tcPr>
          <w:p w14:paraId="0326914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Perception variable</w:t>
            </w:r>
          </w:p>
        </w:tc>
        <w:tc>
          <w:tcPr>
            <w:tcW w:w="1140" w:type="dxa"/>
            <w:shd w:val="clear" w:color="auto" w:fill="auto"/>
            <w:tcMar>
              <w:top w:w="15" w:type="dxa"/>
              <w:left w:w="15" w:type="dxa"/>
              <w:bottom w:w="15" w:type="dxa"/>
              <w:right w:w="15" w:type="dxa"/>
            </w:tcMar>
            <w:vAlign w:val="center"/>
          </w:tcPr>
          <w:p w14:paraId="233AE8B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χ²</w:t>
            </w:r>
          </w:p>
        </w:tc>
        <w:tc>
          <w:tcPr>
            <w:tcW w:w="960" w:type="dxa"/>
            <w:shd w:val="clear" w:color="auto" w:fill="auto"/>
            <w:tcMar>
              <w:top w:w="15" w:type="dxa"/>
              <w:left w:w="15" w:type="dxa"/>
              <w:bottom w:w="15" w:type="dxa"/>
              <w:right w:w="15" w:type="dxa"/>
            </w:tcMar>
            <w:vAlign w:val="center"/>
          </w:tcPr>
          <w:p w14:paraId="4CE501F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df</w:t>
            </w:r>
          </w:p>
        </w:tc>
        <w:tc>
          <w:tcPr>
            <w:tcW w:w="1575" w:type="dxa"/>
            <w:shd w:val="clear" w:color="auto" w:fill="auto"/>
            <w:tcMar>
              <w:top w:w="15" w:type="dxa"/>
              <w:left w:w="15" w:type="dxa"/>
              <w:bottom w:w="15" w:type="dxa"/>
              <w:right w:w="15" w:type="dxa"/>
            </w:tcMar>
            <w:vAlign w:val="center"/>
          </w:tcPr>
          <w:p w14:paraId="1188868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p</w:t>
            </w:r>
          </w:p>
        </w:tc>
      </w:tr>
      <w:tr w14:paraId="3893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47B17A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p>
          <w:p w14:paraId="18F7C19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2976" w:type="dxa"/>
            <w:shd w:val="clear" w:color="auto" w:fill="auto"/>
            <w:tcMar>
              <w:top w:w="15" w:type="dxa"/>
              <w:left w:w="15" w:type="dxa"/>
              <w:bottom w:w="15" w:type="dxa"/>
              <w:right w:w="15" w:type="dxa"/>
            </w:tcMar>
            <w:vAlign w:val="center"/>
          </w:tcPr>
          <w:p w14:paraId="221E48D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Forest edible benefit</w:t>
            </w:r>
          </w:p>
        </w:tc>
        <w:tc>
          <w:tcPr>
            <w:tcW w:w="1140" w:type="dxa"/>
            <w:shd w:val="clear" w:color="auto" w:fill="auto"/>
            <w:tcMar>
              <w:top w:w="15" w:type="dxa"/>
              <w:left w:w="15" w:type="dxa"/>
              <w:bottom w:w="15" w:type="dxa"/>
              <w:right w:w="15" w:type="dxa"/>
            </w:tcMar>
            <w:vAlign w:val="center"/>
          </w:tcPr>
          <w:p w14:paraId="2FDA1EC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6.82</w:t>
            </w:r>
          </w:p>
        </w:tc>
        <w:tc>
          <w:tcPr>
            <w:tcW w:w="960" w:type="dxa"/>
            <w:shd w:val="clear" w:color="auto" w:fill="auto"/>
            <w:tcMar>
              <w:top w:w="15" w:type="dxa"/>
              <w:left w:w="15" w:type="dxa"/>
              <w:bottom w:w="15" w:type="dxa"/>
              <w:right w:w="15" w:type="dxa"/>
            </w:tcMar>
            <w:vAlign w:val="center"/>
          </w:tcPr>
          <w:p w14:paraId="31965B4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5E001CA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0.0779</w:t>
            </w:r>
          </w:p>
        </w:tc>
      </w:tr>
      <w:tr w14:paraId="3B42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0ABD83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2976" w:type="dxa"/>
            <w:shd w:val="clear" w:color="auto" w:fill="auto"/>
            <w:tcMar>
              <w:top w:w="15" w:type="dxa"/>
              <w:left w:w="15" w:type="dxa"/>
              <w:bottom w:w="15" w:type="dxa"/>
              <w:right w:w="15" w:type="dxa"/>
            </w:tcMar>
            <w:vAlign w:val="center"/>
          </w:tcPr>
          <w:p w14:paraId="49991E5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 forest</w:t>
            </w:r>
          </w:p>
        </w:tc>
        <w:tc>
          <w:tcPr>
            <w:tcW w:w="1140" w:type="dxa"/>
            <w:shd w:val="clear" w:color="auto" w:fill="auto"/>
            <w:tcMar>
              <w:top w:w="15" w:type="dxa"/>
              <w:left w:w="15" w:type="dxa"/>
              <w:bottom w:w="15" w:type="dxa"/>
              <w:right w:w="15" w:type="dxa"/>
            </w:tcMar>
            <w:vAlign w:val="center"/>
          </w:tcPr>
          <w:p w14:paraId="61537DF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1.41</w:t>
            </w:r>
          </w:p>
        </w:tc>
        <w:tc>
          <w:tcPr>
            <w:tcW w:w="960" w:type="dxa"/>
            <w:shd w:val="clear" w:color="auto" w:fill="auto"/>
            <w:tcMar>
              <w:top w:w="15" w:type="dxa"/>
              <w:left w:w="15" w:type="dxa"/>
              <w:bottom w:w="15" w:type="dxa"/>
              <w:right w:w="15" w:type="dxa"/>
            </w:tcMar>
            <w:vAlign w:val="center"/>
          </w:tcPr>
          <w:p w14:paraId="118A01B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w:t>
            </w:r>
          </w:p>
        </w:tc>
        <w:tc>
          <w:tcPr>
            <w:tcW w:w="1575" w:type="dxa"/>
            <w:shd w:val="clear" w:color="auto" w:fill="auto"/>
            <w:tcMar>
              <w:top w:w="15" w:type="dxa"/>
              <w:left w:w="15" w:type="dxa"/>
              <w:bottom w:w="15" w:type="dxa"/>
              <w:right w:w="15" w:type="dxa"/>
            </w:tcMar>
            <w:vAlign w:val="center"/>
          </w:tcPr>
          <w:p w14:paraId="0D76806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0.4943</w:t>
            </w:r>
          </w:p>
        </w:tc>
      </w:tr>
      <w:tr w14:paraId="089D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5F399B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2976" w:type="dxa"/>
            <w:shd w:val="clear" w:color="auto" w:fill="auto"/>
            <w:tcMar>
              <w:top w:w="15" w:type="dxa"/>
              <w:left w:w="15" w:type="dxa"/>
              <w:bottom w:w="15" w:type="dxa"/>
              <w:right w:w="15" w:type="dxa"/>
            </w:tcMar>
            <w:vAlign w:val="center"/>
          </w:tcPr>
          <w:p w14:paraId="114E58F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Land conversion</w:t>
            </w:r>
          </w:p>
        </w:tc>
        <w:tc>
          <w:tcPr>
            <w:tcW w:w="1140" w:type="dxa"/>
            <w:shd w:val="clear" w:color="auto" w:fill="auto"/>
            <w:tcMar>
              <w:top w:w="15" w:type="dxa"/>
              <w:left w:w="15" w:type="dxa"/>
              <w:bottom w:w="15" w:type="dxa"/>
              <w:right w:w="15" w:type="dxa"/>
            </w:tcMar>
            <w:vAlign w:val="center"/>
          </w:tcPr>
          <w:p w14:paraId="4E0ADC5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17.01</w:t>
            </w:r>
          </w:p>
        </w:tc>
        <w:tc>
          <w:tcPr>
            <w:tcW w:w="960" w:type="dxa"/>
            <w:shd w:val="clear" w:color="auto" w:fill="auto"/>
            <w:tcMar>
              <w:top w:w="15" w:type="dxa"/>
              <w:left w:w="15" w:type="dxa"/>
              <w:bottom w:w="15" w:type="dxa"/>
              <w:right w:w="15" w:type="dxa"/>
            </w:tcMar>
            <w:vAlign w:val="center"/>
          </w:tcPr>
          <w:p w14:paraId="6E4A03E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595D776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0.0007</w:t>
            </w:r>
          </w:p>
        </w:tc>
      </w:tr>
      <w:tr w14:paraId="1A92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650933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2976" w:type="dxa"/>
            <w:shd w:val="clear" w:color="auto" w:fill="auto"/>
            <w:tcMar>
              <w:top w:w="15" w:type="dxa"/>
              <w:left w:w="15" w:type="dxa"/>
              <w:bottom w:w="15" w:type="dxa"/>
              <w:right w:w="15" w:type="dxa"/>
            </w:tcMar>
            <w:vAlign w:val="center"/>
          </w:tcPr>
          <w:p w14:paraId="3452ABF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1140" w:type="dxa"/>
            <w:shd w:val="clear" w:color="auto" w:fill="auto"/>
            <w:tcMar>
              <w:top w:w="15" w:type="dxa"/>
              <w:left w:w="15" w:type="dxa"/>
              <w:bottom w:w="15" w:type="dxa"/>
              <w:right w:w="15" w:type="dxa"/>
            </w:tcMar>
            <w:vAlign w:val="center"/>
          </w:tcPr>
          <w:p w14:paraId="2737D23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6.31</w:t>
            </w:r>
          </w:p>
        </w:tc>
        <w:tc>
          <w:tcPr>
            <w:tcW w:w="960" w:type="dxa"/>
            <w:shd w:val="clear" w:color="auto" w:fill="auto"/>
            <w:tcMar>
              <w:top w:w="15" w:type="dxa"/>
              <w:left w:w="15" w:type="dxa"/>
              <w:bottom w:w="15" w:type="dxa"/>
              <w:right w:w="15" w:type="dxa"/>
            </w:tcMar>
            <w:vAlign w:val="center"/>
          </w:tcPr>
          <w:p w14:paraId="12B11A2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4CF32BB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0.0976</w:t>
            </w:r>
          </w:p>
        </w:tc>
      </w:tr>
      <w:tr w14:paraId="6EA9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9D5332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2976" w:type="dxa"/>
            <w:shd w:val="clear" w:color="auto" w:fill="auto"/>
            <w:tcMar>
              <w:top w:w="15" w:type="dxa"/>
              <w:left w:w="15" w:type="dxa"/>
              <w:bottom w:w="15" w:type="dxa"/>
              <w:right w:w="15" w:type="dxa"/>
            </w:tcMar>
            <w:vAlign w:val="center"/>
          </w:tcPr>
          <w:p w14:paraId="65D2A19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1140" w:type="dxa"/>
            <w:shd w:val="clear" w:color="auto" w:fill="auto"/>
            <w:tcMar>
              <w:top w:w="15" w:type="dxa"/>
              <w:left w:w="15" w:type="dxa"/>
              <w:bottom w:w="15" w:type="dxa"/>
              <w:right w:w="15" w:type="dxa"/>
            </w:tcMar>
            <w:vAlign w:val="center"/>
          </w:tcPr>
          <w:p w14:paraId="2300196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4.34</w:t>
            </w:r>
          </w:p>
        </w:tc>
        <w:tc>
          <w:tcPr>
            <w:tcW w:w="960" w:type="dxa"/>
            <w:shd w:val="clear" w:color="auto" w:fill="auto"/>
            <w:tcMar>
              <w:top w:w="15" w:type="dxa"/>
              <w:left w:w="15" w:type="dxa"/>
              <w:bottom w:w="15" w:type="dxa"/>
              <w:right w:w="15" w:type="dxa"/>
            </w:tcMar>
            <w:vAlign w:val="center"/>
          </w:tcPr>
          <w:p w14:paraId="7BB3133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564DA1E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0.2274</w:t>
            </w:r>
          </w:p>
        </w:tc>
      </w:tr>
      <w:tr w14:paraId="1079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B63A2D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2976" w:type="dxa"/>
            <w:shd w:val="clear" w:color="auto" w:fill="auto"/>
            <w:tcMar>
              <w:top w:w="15" w:type="dxa"/>
              <w:left w:w="15" w:type="dxa"/>
              <w:bottom w:w="15" w:type="dxa"/>
              <w:right w:w="15" w:type="dxa"/>
            </w:tcMar>
            <w:vAlign w:val="center"/>
          </w:tcPr>
          <w:p w14:paraId="2CD74B4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Traditional worship</w:t>
            </w:r>
          </w:p>
        </w:tc>
        <w:tc>
          <w:tcPr>
            <w:tcW w:w="1140" w:type="dxa"/>
            <w:shd w:val="clear" w:color="auto" w:fill="auto"/>
            <w:tcMar>
              <w:top w:w="15" w:type="dxa"/>
              <w:left w:w="15" w:type="dxa"/>
              <w:bottom w:w="15" w:type="dxa"/>
              <w:right w:w="15" w:type="dxa"/>
            </w:tcMar>
            <w:vAlign w:val="center"/>
          </w:tcPr>
          <w:p w14:paraId="4829A64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0.77</w:t>
            </w:r>
          </w:p>
        </w:tc>
        <w:tc>
          <w:tcPr>
            <w:tcW w:w="960" w:type="dxa"/>
            <w:shd w:val="clear" w:color="auto" w:fill="auto"/>
            <w:tcMar>
              <w:top w:w="15" w:type="dxa"/>
              <w:left w:w="15" w:type="dxa"/>
              <w:bottom w:w="15" w:type="dxa"/>
              <w:right w:w="15" w:type="dxa"/>
            </w:tcMar>
            <w:vAlign w:val="center"/>
          </w:tcPr>
          <w:p w14:paraId="6412533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29ACF48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0.8562</w:t>
            </w:r>
          </w:p>
        </w:tc>
      </w:tr>
      <w:tr w14:paraId="18B8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B37174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2976" w:type="dxa"/>
            <w:shd w:val="clear" w:color="auto" w:fill="auto"/>
            <w:tcMar>
              <w:top w:w="15" w:type="dxa"/>
              <w:left w:w="15" w:type="dxa"/>
              <w:bottom w:w="15" w:type="dxa"/>
              <w:right w:w="15" w:type="dxa"/>
            </w:tcMar>
            <w:vAlign w:val="center"/>
          </w:tcPr>
          <w:p w14:paraId="5CC4839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regulation</w:t>
            </w:r>
          </w:p>
        </w:tc>
        <w:tc>
          <w:tcPr>
            <w:tcW w:w="1140" w:type="dxa"/>
            <w:shd w:val="clear" w:color="auto" w:fill="auto"/>
            <w:tcMar>
              <w:top w:w="15" w:type="dxa"/>
              <w:left w:w="15" w:type="dxa"/>
              <w:bottom w:w="15" w:type="dxa"/>
              <w:right w:w="15" w:type="dxa"/>
            </w:tcMar>
            <w:vAlign w:val="center"/>
          </w:tcPr>
          <w:p w14:paraId="27A6CAA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1.53</w:t>
            </w:r>
          </w:p>
        </w:tc>
        <w:tc>
          <w:tcPr>
            <w:tcW w:w="960" w:type="dxa"/>
            <w:shd w:val="clear" w:color="auto" w:fill="auto"/>
            <w:tcMar>
              <w:top w:w="15" w:type="dxa"/>
              <w:left w:w="15" w:type="dxa"/>
              <w:bottom w:w="15" w:type="dxa"/>
              <w:right w:w="15" w:type="dxa"/>
            </w:tcMar>
            <w:vAlign w:val="center"/>
          </w:tcPr>
          <w:p w14:paraId="76AF7DB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7EFB9E7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0.6743</w:t>
            </w:r>
          </w:p>
        </w:tc>
      </w:tr>
      <w:tr w14:paraId="2AA5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4B2D90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2976" w:type="dxa"/>
            <w:shd w:val="clear" w:color="auto" w:fill="auto"/>
            <w:tcMar>
              <w:top w:w="15" w:type="dxa"/>
              <w:left w:w="15" w:type="dxa"/>
              <w:bottom w:w="15" w:type="dxa"/>
              <w:right w:w="15" w:type="dxa"/>
            </w:tcMar>
            <w:vAlign w:val="center"/>
          </w:tcPr>
          <w:p w14:paraId="6362E94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Forest benefit</w:t>
            </w:r>
          </w:p>
        </w:tc>
        <w:tc>
          <w:tcPr>
            <w:tcW w:w="1140" w:type="dxa"/>
            <w:shd w:val="clear" w:color="auto" w:fill="auto"/>
            <w:tcMar>
              <w:top w:w="15" w:type="dxa"/>
              <w:left w:w="15" w:type="dxa"/>
              <w:bottom w:w="15" w:type="dxa"/>
              <w:right w:w="15" w:type="dxa"/>
            </w:tcMar>
            <w:vAlign w:val="center"/>
          </w:tcPr>
          <w:p w14:paraId="7429FD2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9.11</w:t>
            </w:r>
          </w:p>
        </w:tc>
        <w:tc>
          <w:tcPr>
            <w:tcW w:w="960" w:type="dxa"/>
            <w:shd w:val="clear" w:color="auto" w:fill="auto"/>
            <w:tcMar>
              <w:top w:w="15" w:type="dxa"/>
              <w:left w:w="15" w:type="dxa"/>
              <w:bottom w:w="15" w:type="dxa"/>
              <w:right w:w="15" w:type="dxa"/>
            </w:tcMar>
            <w:vAlign w:val="center"/>
          </w:tcPr>
          <w:p w14:paraId="0EBBE13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1575" w:type="dxa"/>
            <w:shd w:val="clear" w:color="auto" w:fill="auto"/>
            <w:tcMar>
              <w:top w:w="15" w:type="dxa"/>
              <w:left w:w="15" w:type="dxa"/>
              <w:bottom w:w="15" w:type="dxa"/>
              <w:right w:w="15" w:type="dxa"/>
            </w:tcMar>
            <w:vAlign w:val="center"/>
          </w:tcPr>
          <w:p w14:paraId="00BE9E8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0.4272</w:t>
            </w:r>
          </w:p>
        </w:tc>
      </w:tr>
      <w:tr w14:paraId="2EF2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85BAE7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2976" w:type="dxa"/>
            <w:shd w:val="clear" w:color="auto" w:fill="auto"/>
            <w:tcMar>
              <w:top w:w="15" w:type="dxa"/>
              <w:left w:w="15" w:type="dxa"/>
              <w:bottom w:w="15" w:type="dxa"/>
              <w:right w:w="15" w:type="dxa"/>
            </w:tcMar>
            <w:vAlign w:val="center"/>
          </w:tcPr>
          <w:p w14:paraId="3C0A304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 forest</w:t>
            </w:r>
          </w:p>
        </w:tc>
        <w:tc>
          <w:tcPr>
            <w:tcW w:w="1140" w:type="dxa"/>
            <w:shd w:val="clear" w:color="auto" w:fill="auto"/>
            <w:tcMar>
              <w:top w:w="15" w:type="dxa"/>
              <w:left w:w="15" w:type="dxa"/>
              <w:bottom w:w="15" w:type="dxa"/>
              <w:right w:w="15" w:type="dxa"/>
            </w:tcMar>
            <w:vAlign w:val="center"/>
          </w:tcPr>
          <w:p w14:paraId="227DC5F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3.35</w:t>
            </w:r>
          </w:p>
        </w:tc>
        <w:tc>
          <w:tcPr>
            <w:tcW w:w="960" w:type="dxa"/>
            <w:shd w:val="clear" w:color="auto" w:fill="auto"/>
            <w:tcMar>
              <w:top w:w="15" w:type="dxa"/>
              <w:left w:w="15" w:type="dxa"/>
              <w:bottom w:w="15" w:type="dxa"/>
              <w:right w:w="15" w:type="dxa"/>
            </w:tcMar>
            <w:vAlign w:val="center"/>
          </w:tcPr>
          <w:p w14:paraId="136A2E6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1575" w:type="dxa"/>
            <w:shd w:val="clear" w:color="auto" w:fill="auto"/>
            <w:tcMar>
              <w:top w:w="15" w:type="dxa"/>
              <w:left w:w="15" w:type="dxa"/>
              <w:bottom w:w="15" w:type="dxa"/>
              <w:right w:w="15" w:type="dxa"/>
            </w:tcMar>
            <w:vAlign w:val="center"/>
          </w:tcPr>
          <w:p w14:paraId="789E80E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0.7639</w:t>
            </w:r>
          </w:p>
        </w:tc>
      </w:tr>
      <w:tr w14:paraId="44DF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03E45A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2976" w:type="dxa"/>
            <w:shd w:val="clear" w:color="auto" w:fill="auto"/>
            <w:tcMar>
              <w:top w:w="15" w:type="dxa"/>
              <w:left w:w="15" w:type="dxa"/>
              <w:bottom w:w="15" w:type="dxa"/>
              <w:right w:w="15" w:type="dxa"/>
            </w:tcMar>
            <w:vAlign w:val="center"/>
          </w:tcPr>
          <w:p w14:paraId="4741BD0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Land conversion</w:t>
            </w:r>
          </w:p>
        </w:tc>
        <w:tc>
          <w:tcPr>
            <w:tcW w:w="1140" w:type="dxa"/>
            <w:shd w:val="clear" w:color="auto" w:fill="auto"/>
            <w:tcMar>
              <w:top w:w="15" w:type="dxa"/>
              <w:left w:w="15" w:type="dxa"/>
              <w:bottom w:w="15" w:type="dxa"/>
              <w:right w:w="15" w:type="dxa"/>
            </w:tcMar>
            <w:vAlign w:val="center"/>
          </w:tcPr>
          <w:p w14:paraId="322533B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10.50</w:t>
            </w:r>
          </w:p>
        </w:tc>
        <w:tc>
          <w:tcPr>
            <w:tcW w:w="960" w:type="dxa"/>
            <w:shd w:val="clear" w:color="auto" w:fill="auto"/>
            <w:tcMar>
              <w:top w:w="15" w:type="dxa"/>
              <w:left w:w="15" w:type="dxa"/>
              <w:bottom w:w="15" w:type="dxa"/>
              <w:right w:w="15" w:type="dxa"/>
            </w:tcMar>
            <w:vAlign w:val="center"/>
          </w:tcPr>
          <w:p w14:paraId="1A9BACA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1575" w:type="dxa"/>
            <w:shd w:val="clear" w:color="auto" w:fill="auto"/>
            <w:tcMar>
              <w:top w:w="15" w:type="dxa"/>
              <w:left w:w="15" w:type="dxa"/>
              <w:bottom w:w="15" w:type="dxa"/>
              <w:right w:w="15" w:type="dxa"/>
            </w:tcMar>
            <w:vAlign w:val="center"/>
          </w:tcPr>
          <w:p w14:paraId="4F381A7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0.3116</w:t>
            </w:r>
          </w:p>
        </w:tc>
      </w:tr>
      <w:tr w14:paraId="6C76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936626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2976" w:type="dxa"/>
            <w:shd w:val="clear" w:color="auto" w:fill="auto"/>
            <w:tcMar>
              <w:top w:w="15" w:type="dxa"/>
              <w:left w:w="15" w:type="dxa"/>
              <w:bottom w:w="15" w:type="dxa"/>
              <w:right w:w="15" w:type="dxa"/>
            </w:tcMar>
            <w:vAlign w:val="center"/>
          </w:tcPr>
          <w:p w14:paraId="43973BC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1140" w:type="dxa"/>
            <w:shd w:val="clear" w:color="auto" w:fill="auto"/>
            <w:tcMar>
              <w:top w:w="15" w:type="dxa"/>
              <w:left w:w="15" w:type="dxa"/>
              <w:bottom w:w="15" w:type="dxa"/>
              <w:right w:w="15" w:type="dxa"/>
            </w:tcMar>
            <w:vAlign w:val="center"/>
          </w:tcPr>
          <w:p w14:paraId="00DB9AD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10.00</w:t>
            </w:r>
          </w:p>
        </w:tc>
        <w:tc>
          <w:tcPr>
            <w:tcW w:w="960" w:type="dxa"/>
            <w:shd w:val="clear" w:color="auto" w:fill="auto"/>
            <w:tcMar>
              <w:top w:w="15" w:type="dxa"/>
              <w:left w:w="15" w:type="dxa"/>
              <w:bottom w:w="15" w:type="dxa"/>
              <w:right w:w="15" w:type="dxa"/>
            </w:tcMar>
            <w:vAlign w:val="center"/>
          </w:tcPr>
          <w:p w14:paraId="21FAFA3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1575" w:type="dxa"/>
            <w:shd w:val="clear" w:color="auto" w:fill="auto"/>
            <w:tcMar>
              <w:top w:w="15" w:type="dxa"/>
              <w:left w:w="15" w:type="dxa"/>
              <w:bottom w:w="15" w:type="dxa"/>
              <w:right w:w="15" w:type="dxa"/>
            </w:tcMar>
            <w:vAlign w:val="center"/>
          </w:tcPr>
          <w:p w14:paraId="1E85468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0.3506</w:t>
            </w:r>
          </w:p>
        </w:tc>
      </w:tr>
      <w:tr w14:paraId="0039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6F3F3A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2976" w:type="dxa"/>
            <w:shd w:val="clear" w:color="auto" w:fill="auto"/>
            <w:tcMar>
              <w:top w:w="15" w:type="dxa"/>
              <w:left w:w="15" w:type="dxa"/>
              <w:bottom w:w="15" w:type="dxa"/>
              <w:right w:w="15" w:type="dxa"/>
            </w:tcMar>
            <w:vAlign w:val="center"/>
          </w:tcPr>
          <w:p w14:paraId="3F80DF8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1140" w:type="dxa"/>
            <w:shd w:val="clear" w:color="auto" w:fill="auto"/>
            <w:tcMar>
              <w:top w:w="15" w:type="dxa"/>
              <w:left w:w="15" w:type="dxa"/>
              <w:bottom w:w="15" w:type="dxa"/>
              <w:right w:w="15" w:type="dxa"/>
            </w:tcMar>
            <w:vAlign w:val="center"/>
          </w:tcPr>
          <w:p w14:paraId="27D9F25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12.53</w:t>
            </w:r>
          </w:p>
        </w:tc>
        <w:tc>
          <w:tcPr>
            <w:tcW w:w="960" w:type="dxa"/>
            <w:shd w:val="clear" w:color="auto" w:fill="auto"/>
            <w:tcMar>
              <w:top w:w="15" w:type="dxa"/>
              <w:left w:w="15" w:type="dxa"/>
              <w:bottom w:w="15" w:type="dxa"/>
              <w:right w:w="15" w:type="dxa"/>
            </w:tcMar>
            <w:vAlign w:val="center"/>
          </w:tcPr>
          <w:p w14:paraId="568166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1575" w:type="dxa"/>
            <w:shd w:val="clear" w:color="auto" w:fill="auto"/>
            <w:tcMar>
              <w:top w:w="15" w:type="dxa"/>
              <w:left w:w="15" w:type="dxa"/>
              <w:bottom w:w="15" w:type="dxa"/>
              <w:right w:w="15" w:type="dxa"/>
            </w:tcMar>
            <w:vAlign w:val="center"/>
          </w:tcPr>
          <w:p w14:paraId="2E0EA40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0.1851</w:t>
            </w:r>
          </w:p>
        </w:tc>
      </w:tr>
      <w:tr w14:paraId="09CB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83E6E7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2976" w:type="dxa"/>
            <w:shd w:val="clear" w:color="auto" w:fill="auto"/>
            <w:tcMar>
              <w:top w:w="15" w:type="dxa"/>
              <w:left w:w="15" w:type="dxa"/>
              <w:bottom w:w="15" w:type="dxa"/>
              <w:right w:w="15" w:type="dxa"/>
            </w:tcMar>
            <w:vAlign w:val="center"/>
          </w:tcPr>
          <w:p w14:paraId="69E15F5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Traditional worship</w:t>
            </w:r>
          </w:p>
        </w:tc>
        <w:tc>
          <w:tcPr>
            <w:tcW w:w="1140" w:type="dxa"/>
            <w:shd w:val="clear" w:color="auto" w:fill="auto"/>
            <w:tcMar>
              <w:top w:w="15" w:type="dxa"/>
              <w:left w:w="15" w:type="dxa"/>
              <w:bottom w:w="15" w:type="dxa"/>
              <w:right w:w="15" w:type="dxa"/>
            </w:tcMar>
            <w:vAlign w:val="center"/>
          </w:tcPr>
          <w:p w14:paraId="2F4F9AD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11.68</w:t>
            </w:r>
          </w:p>
        </w:tc>
        <w:tc>
          <w:tcPr>
            <w:tcW w:w="960" w:type="dxa"/>
            <w:shd w:val="clear" w:color="auto" w:fill="auto"/>
            <w:tcMar>
              <w:top w:w="15" w:type="dxa"/>
              <w:left w:w="15" w:type="dxa"/>
              <w:bottom w:w="15" w:type="dxa"/>
              <w:right w:w="15" w:type="dxa"/>
            </w:tcMar>
            <w:vAlign w:val="center"/>
          </w:tcPr>
          <w:p w14:paraId="4CEB79E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1575" w:type="dxa"/>
            <w:shd w:val="clear" w:color="auto" w:fill="auto"/>
            <w:tcMar>
              <w:top w:w="15" w:type="dxa"/>
              <w:left w:w="15" w:type="dxa"/>
              <w:bottom w:w="15" w:type="dxa"/>
              <w:right w:w="15" w:type="dxa"/>
            </w:tcMar>
            <w:vAlign w:val="center"/>
          </w:tcPr>
          <w:p w14:paraId="5E38B4F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0.2317</w:t>
            </w:r>
          </w:p>
        </w:tc>
      </w:tr>
      <w:tr w14:paraId="0353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4DEB06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2976" w:type="dxa"/>
            <w:shd w:val="clear" w:color="auto" w:fill="auto"/>
            <w:tcMar>
              <w:top w:w="15" w:type="dxa"/>
              <w:left w:w="15" w:type="dxa"/>
              <w:bottom w:w="15" w:type="dxa"/>
              <w:right w:w="15" w:type="dxa"/>
            </w:tcMar>
            <w:vAlign w:val="center"/>
          </w:tcPr>
          <w:p w14:paraId="749BC7D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regulation</w:t>
            </w:r>
          </w:p>
        </w:tc>
        <w:tc>
          <w:tcPr>
            <w:tcW w:w="1140" w:type="dxa"/>
            <w:shd w:val="clear" w:color="auto" w:fill="auto"/>
            <w:tcMar>
              <w:top w:w="15" w:type="dxa"/>
              <w:left w:w="15" w:type="dxa"/>
              <w:bottom w:w="15" w:type="dxa"/>
              <w:right w:w="15" w:type="dxa"/>
            </w:tcMar>
            <w:vAlign w:val="center"/>
          </w:tcPr>
          <w:p w14:paraId="67308B4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6.83</w:t>
            </w:r>
          </w:p>
        </w:tc>
        <w:tc>
          <w:tcPr>
            <w:tcW w:w="960" w:type="dxa"/>
            <w:shd w:val="clear" w:color="auto" w:fill="auto"/>
            <w:tcMar>
              <w:top w:w="15" w:type="dxa"/>
              <w:left w:w="15" w:type="dxa"/>
              <w:bottom w:w="15" w:type="dxa"/>
              <w:right w:w="15" w:type="dxa"/>
            </w:tcMar>
            <w:vAlign w:val="center"/>
          </w:tcPr>
          <w:p w14:paraId="22AF24F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1575" w:type="dxa"/>
            <w:shd w:val="clear" w:color="auto" w:fill="auto"/>
            <w:tcMar>
              <w:top w:w="15" w:type="dxa"/>
              <w:left w:w="15" w:type="dxa"/>
              <w:bottom w:w="15" w:type="dxa"/>
              <w:right w:w="15" w:type="dxa"/>
            </w:tcMar>
            <w:vAlign w:val="center"/>
          </w:tcPr>
          <w:p w14:paraId="4D9AE74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0.6546</w:t>
            </w:r>
          </w:p>
        </w:tc>
      </w:tr>
      <w:tr w14:paraId="24FA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C79210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2976" w:type="dxa"/>
            <w:shd w:val="clear" w:color="auto" w:fill="auto"/>
            <w:tcMar>
              <w:top w:w="15" w:type="dxa"/>
              <w:left w:w="15" w:type="dxa"/>
              <w:bottom w:w="15" w:type="dxa"/>
              <w:right w:w="15" w:type="dxa"/>
            </w:tcMar>
            <w:vAlign w:val="center"/>
          </w:tcPr>
          <w:p w14:paraId="120D2C2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Forest benefit</w:t>
            </w:r>
          </w:p>
        </w:tc>
        <w:tc>
          <w:tcPr>
            <w:tcW w:w="1140" w:type="dxa"/>
            <w:shd w:val="clear" w:color="auto" w:fill="auto"/>
            <w:tcMar>
              <w:top w:w="15" w:type="dxa"/>
              <w:left w:w="15" w:type="dxa"/>
              <w:bottom w:w="15" w:type="dxa"/>
              <w:right w:w="15" w:type="dxa"/>
            </w:tcMar>
            <w:vAlign w:val="center"/>
          </w:tcPr>
          <w:p w14:paraId="16BC7DE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1.65</w:t>
            </w:r>
          </w:p>
        </w:tc>
        <w:tc>
          <w:tcPr>
            <w:tcW w:w="960" w:type="dxa"/>
            <w:shd w:val="clear" w:color="auto" w:fill="auto"/>
            <w:tcMar>
              <w:top w:w="15" w:type="dxa"/>
              <w:left w:w="15" w:type="dxa"/>
              <w:bottom w:w="15" w:type="dxa"/>
              <w:right w:w="15" w:type="dxa"/>
            </w:tcMar>
            <w:vAlign w:val="center"/>
          </w:tcPr>
          <w:p w14:paraId="105BA47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1B731E9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0.9998</w:t>
            </w:r>
          </w:p>
        </w:tc>
      </w:tr>
      <w:tr w14:paraId="7BE0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6115DB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2976" w:type="dxa"/>
            <w:shd w:val="clear" w:color="auto" w:fill="auto"/>
            <w:tcMar>
              <w:top w:w="15" w:type="dxa"/>
              <w:left w:w="15" w:type="dxa"/>
              <w:bottom w:w="15" w:type="dxa"/>
              <w:right w:w="15" w:type="dxa"/>
            </w:tcMar>
            <w:vAlign w:val="center"/>
          </w:tcPr>
          <w:p w14:paraId="27166C1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 forest</w:t>
            </w:r>
          </w:p>
        </w:tc>
        <w:tc>
          <w:tcPr>
            <w:tcW w:w="1140" w:type="dxa"/>
            <w:shd w:val="clear" w:color="auto" w:fill="auto"/>
            <w:tcMar>
              <w:top w:w="15" w:type="dxa"/>
              <w:left w:w="15" w:type="dxa"/>
              <w:bottom w:w="15" w:type="dxa"/>
              <w:right w:w="15" w:type="dxa"/>
            </w:tcMar>
            <w:vAlign w:val="center"/>
          </w:tcPr>
          <w:p w14:paraId="5732567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6.42</w:t>
            </w:r>
          </w:p>
        </w:tc>
        <w:tc>
          <w:tcPr>
            <w:tcW w:w="960" w:type="dxa"/>
            <w:shd w:val="clear" w:color="auto" w:fill="auto"/>
            <w:tcMar>
              <w:top w:w="15" w:type="dxa"/>
              <w:left w:w="15" w:type="dxa"/>
              <w:bottom w:w="15" w:type="dxa"/>
              <w:right w:w="15" w:type="dxa"/>
            </w:tcMar>
            <w:vAlign w:val="center"/>
          </w:tcPr>
          <w:p w14:paraId="1EF4F73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w:t>
            </w:r>
          </w:p>
        </w:tc>
        <w:tc>
          <w:tcPr>
            <w:tcW w:w="1575" w:type="dxa"/>
            <w:shd w:val="clear" w:color="auto" w:fill="auto"/>
            <w:tcMar>
              <w:top w:w="15" w:type="dxa"/>
              <w:left w:w="15" w:type="dxa"/>
              <w:bottom w:w="15" w:type="dxa"/>
              <w:right w:w="15" w:type="dxa"/>
            </w:tcMar>
            <w:vAlign w:val="center"/>
          </w:tcPr>
          <w:p w14:paraId="3A27C15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0.6001</w:t>
            </w:r>
          </w:p>
        </w:tc>
      </w:tr>
      <w:tr w14:paraId="39C9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AD6FAE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2976" w:type="dxa"/>
            <w:shd w:val="clear" w:color="auto" w:fill="auto"/>
            <w:tcMar>
              <w:top w:w="15" w:type="dxa"/>
              <w:left w:w="15" w:type="dxa"/>
              <w:bottom w:w="15" w:type="dxa"/>
              <w:right w:w="15" w:type="dxa"/>
            </w:tcMar>
            <w:vAlign w:val="center"/>
          </w:tcPr>
          <w:p w14:paraId="7786380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Land conversion</w:t>
            </w:r>
          </w:p>
        </w:tc>
        <w:tc>
          <w:tcPr>
            <w:tcW w:w="1140" w:type="dxa"/>
            <w:shd w:val="clear" w:color="auto" w:fill="auto"/>
            <w:tcMar>
              <w:top w:w="15" w:type="dxa"/>
              <w:left w:w="15" w:type="dxa"/>
              <w:bottom w:w="15" w:type="dxa"/>
              <w:right w:w="15" w:type="dxa"/>
            </w:tcMar>
            <w:vAlign w:val="center"/>
          </w:tcPr>
          <w:p w14:paraId="7DA12B6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2.72</w:t>
            </w:r>
          </w:p>
        </w:tc>
        <w:tc>
          <w:tcPr>
            <w:tcW w:w="960" w:type="dxa"/>
            <w:shd w:val="clear" w:color="auto" w:fill="auto"/>
            <w:tcMar>
              <w:top w:w="15" w:type="dxa"/>
              <w:left w:w="15" w:type="dxa"/>
              <w:bottom w:w="15" w:type="dxa"/>
              <w:right w:w="15" w:type="dxa"/>
            </w:tcMar>
            <w:vAlign w:val="center"/>
          </w:tcPr>
          <w:p w14:paraId="34003F7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4894F95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0.9972</w:t>
            </w:r>
          </w:p>
        </w:tc>
      </w:tr>
      <w:tr w14:paraId="5CEA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73BFDD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2976" w:type="dxa"/>
            <w:shd w:val="clear" w:color="auto" w:fill="auto"/>
            <w:tcMar>
              <w:top w:w="15" w:type="dxa"/>
              <w:left w:w="15" w:type="dxa"/>
              <w:bottom w:w="15" w:type="dxa"/>
              <w:right w:w="15" w:type="dxa"/>
            </w:tcMar>
            <w:vAlign w:val="center"/>
          </w:tcPr>
          <w:p w14:paraId="7683191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1140" w:type="dxa"/>
            <w:shd w:val="clear" w:color="auto" w:fill="auto"/>
            <w:tcMar>
              <w:top w:w="15" w:type="dxa"/>
              <w:left w:w="15" w:type="dxa"/>
              <w:bottom w:w="15" w:type="dxa"/>
              <w:right w:w="15" w:type="dxa"/>
            </w:tcMar>
            <w:vAlign w:val="center"/>
          </w:tcPr>
          <w:p w14:paraId="07C7E2C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5.23</w:t>
            </w:r>
          </w:p>
        </w:tc>
        <w:tc>
          <w:tcPr>
            <w:tcW w:w="960" w:type="dxa"/>
            <w:shd w:val="clear" w:color="auto" w:fill="auto"/>
            <w:tcMar>
              <w:top w:w="15" w:type="dxa"/>
              <w:left w:w="15" w:type="dxa"/>
              <w:bottom w:w="15" w:type="dxa"/>
              <w:right w:w="15" w:type="dxa"/>
            </w:tcMar>
            <w:vAlign w:val="center"/>
          </w:tcPr>
          <w:p w14:paraId="1991F49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4EB8D63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0.9499</w:t>
            </w:r>
          </w:p>
        </w:tc>
      </w:tr>
      <w:tr w14:paraId="0944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E65B1C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2976" w:type="dxa"/>
            <w:shd w:val="clear" w:color="auto" w:fill="auto"/>
            <w:tcMar>
              <w:top w:w="15" w:type="dxa"/>
              <w:left w:w="15" w:type="dxa"/>
              <w:bottom w:w="15" w:type="dxa"/>
              <w:right w:w="15" w:type="dxa"/>
            </w:tcMar>
            <w:vAlign w:val="center"/>
          </w:tcPr>
          <w:p w14:paraId="67063AF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1140" w:type="dxa"/>
            <w:shd w:val="clear" w:color="auto" w:fill="auto"/>
            <w:tcMar>
              <w:top w:w="15" w:type="dxa"/>
              <w:left w:w="15" w:type="dxa"/>
              <w:bottom w:w="15" w:type="dxa"/>
              <w:right w:w="15" w:type="dxa"/>
            </w:tcMar>
            <w:vAlign w:val="center"/>
          </w:tcPr>
          <w:p w14:paraId="4087CB5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4.29</w:t>
            </w:r>
          </w:p>
        </w:tc>
        <w:tc>
          <w:tcPr>
            <w:tcW w:w="960" w:type="dxa"/>
            <w:shd w:val="clear" w:color="auto" w:fill="auto"/>
            <w:tcMar>
              <w:top w:w="15" w:type="dxa"/>
              <w:left w:w="15" w:type="dxa"/>
              <w:bottom w:w="15" w:type="dxa"/>
              <w:right w:w="15" w:type="dxa"/>
            </w:tcMar>
            <w:vAlign w:val="center"/>
          </w:tcPr>
          <w:p w14:paraId="06D59FD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7F29264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0.9777</w:t>
            </w:r>
          </w:p>
        </w:tc>
      </w:tr>
      <w:tr w14:paraId="2227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D09B97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2976" w:type="dxa"/>
            <w:shd w:val="clear" w:color="auto" w:fill="auto"/>
            <w:tcMar>
              <w:top w:w="15" w:type="dxa"/>
              <w:left w:w="15" w:type="dxa"/>
              <w:bottom w:w="15" w:type="dxa"/>
              <w:right w:w="15" w:type="dxa"/>
            </w:tcMar>
            <w:vAlign w:val="center"/>
          </w:tcPr>
          <w:p w14:paraId="5E2C396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Traditional worship</w:t>
            </w:r>
          </w:p>
        </w:tc>
        <w:tc>
          <w:tcPr>
            <w:tcW w:w="1140" w:type="dxa"/>
            <w:shd w:val="clear" w:color="auto" w:fill="auto"/>
            <w:tcMar>
              <w:top w:w="15" w:type="dxa"/>
              <w:left w:w="15" w:type="dxa"/>
              <w:bottom w:w="15" w:type="dxa"/>
              <w:right w:w="15" w:type="dxa"/>
            </w:tcMar>
            <w:vAlign w:val="center"/>
          </w:tcPr>
          <w:p w14:paraId="729586E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14.36</w:t>
            </w:r>
          </w:p>
        </w:tc>
        <w:tc>
          <w:tcPr>
            <w:tcW w:w="960" w:type="dxa"/>
            <w:shd w:val="clear" w:color="auto" w:fill="auto"/>
            <w:tcMar>
              <w:top w:w="15" w:type="dxa"/>
              <w:left w:w="15" w:type="dxa"/>
              <w:bottom w:w="15" w:type="dxa"/>
              <w:right w:w="15" w:type="dxa"/>
            </w:tcMar>
            <w:vAlign w:val="center"/>
          </w:tcPr>
          <w:p w14:paraId="2729D32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7B712EA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0.2785</w:t>
            </w:r>
          </w:p>
        </w:tc>
      </w:tr>
      <w:tr w14:paraId="08B8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40D49F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2976" w:type="dxa"/>
            <w:shd w:val="clear" w:color="auto" w:fill="auto"/>
            <w:tcMar>
              <w:top w:w="15" w:type="dxa"/>
              <w:left w:w="15" w:type="dxa"/>
              <w:bottom w:w="15" w:type="dxa"/>
              <w:right w:w="15" w:type="dxa"/>
            </w:tcMar>
            <w:vAlign w:val="center"/>
          </w:tcPr>
          <w:p w14:paraId="7500901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regulation</w:t>
            </w:r>
          </w:p>
        </w:tc>
        <w:tc>
          <w:tcPr>
            <w:tcW w:w="1140" w:type="dxa"/>
            <w:shd w:val="clear" w:color="auto" w:fill="auto"/>
            <w:tcMar>
              <w:top w:w="15" w:type="dxa"/>
              <w:left w:w="15" w:type="dxa"/>
              <w:bottom w:w="15" w:type="dxa"/>
              <w:right w:w="15" w:type="dxa"/>
            </w:tcMar>
            <w:vAlign w:val="center"/>
          </w:tcPr>
          <w:p w14:paraId="7AEDD19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6.93</w:t>
            </w:r>
          </w:p>
        </w:tc>
        <w:tc>
          <w:tcPr>
            <w:tcW w:w="960" w:type="dxa"/>
            <w:shd w:val="clear" w:color="auto" w:fill="auto"/>
            <w:tcMar>
              <w:top w:w="15" w:type="dxa"/>
              <w:left w:w="15" w:type="dxa"/>
              <w:bottom w:w="15" w:type="dxa"/>
              <w:right w:w="15" w:type="dxa"/>
            </w:tcMar>
            <w:vAlign w:val="center"/>
          </w:tcPr>
          <w:p w14:paraId="09B09D0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5AEFF79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0.8622</w:t>
            </w:r>
          </w:p>
        </w:tc>
      </w:tr>
      <w:tr w14:paraId="7DFB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0E0D9C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w:t>
            </w:r>
          </w:p>
        </w:tc>
        <w:tc>
          <w:tcPr>
            <w:tcW w:w="2976" w:type="dxa"/>
            <w:shd w:val="clear" w:color="auto" w:fill="auto"/>
            <w:tcMar>
              <w:top w:w="15" w:type="dxa"/>
              <w:left w:w="15" w:type="dxa"/>
              <w:bottom w:w="15" w:type="dxa"/>
              <w:right w:w="15" w:type="dxa"/>
            </w:tcMar>
            <w:vAlign w:val="center"/>
          </w:tcPr>
          <w:p w14:paraId="6E9DC1B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Forest benefit</w:t>
            </w:r>
          </w:p>
        </w:tc>
        <w:tc>
          <w:tcPr>
            <w:tcW w:w="1140" w:type="dxa"/>
            <w:shd w:val="clear" w:color="auto" w:fill="auto"/>
            <w:tcMar>
              <w:top w:w="15" w:type="dxa"/>
              <w:left w:w="15" w:type="dxa"/>
              <w:bottom w:w="15" w:type="dxa"/>
              <w:right w:w="15" w:type="dxa"/>
            </w:tcMar>
            <w:vAlign w:val="center"/>
          </w:tcPr>
          <w:p w14:paraId="33C1E9F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0.81</w:t>
            </w:r>
          </w:p>
        </w:tc>
        <w:tc>
          <w:tcPr>
            <w:tcW w:w="960" w:type="dxa"/>
            <w:shd w:val="clear" w:color="auto" w:fill="auto"/>
            <w:tcMar>
              <w:top w:w="15" w:type="dxa"/>
              <w:left w:w="15" w:type="dxa"/>
              <w:bottom w:w="15" w:type="dxa"/>
              <w:right w:w="15" w:type="dxa"/>
            </w:tcMar>
            <w:vAlign w:val="center"/>
          </w:tcPr>
          <w:p w14:paraId="3FCE637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11614FE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0.8463</w:t>
            </w:r>
          </w:p>
        </w:tc>
      </w:tr>
      <w:tr w14:paraId="27E9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35BC44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w:t>
            </w:r>
          </w:p>
        </w:tc>
        <w:tc>
          <w:tcPr>
            <w:tcW w:w="2976" w:type="dxa"/>
            <w:shd w:val="clear" w:color="auto" w:fill="auto"/>
            <w:tcMar>
              <w:top w:w="15" w:type="dxa"/>
              <w:left w:w="15" w:type="dxa"/>
              <w:bottom w:w="15" w:type="dxa"/>
              <w:right w:w="15" w:type="dxa"/>
            </w:tcMar>
            <w:vAlign w:val="center"/>
          </w:tcPr>
          <w:p w14:paraId="2F0F52F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 forest</w:t>
            </w:r>
          </w:p>
        </w:tc>
        <w:tc>
          <w:tcPr>
            <w:tcW w:w="1140" w:type="dxa"/>
            <w:shd w:val="clear" w:color="auto" w:fill="auto"/>
            <w:tcMar>
              <w:top w:w="15" w:type="dxa"/>
              <w:left w:w="15" w:type="dxa"/>
              <w:bottom w:w="15" w:type="dxa"/>
              <w:right w:w="15" w:type="dxa"/>
            </w:tcMar>
            <w:vAlign w:val="center"/>
          </w:tcPr>
          <w:p w14:paraId="1FEF99D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1.63</w:t>
            </w:r>
          </w:p>
        </w:tc>
        <w:tc>
          <w:tcPr>
            <w:tcW w:w="960" w:type="dxa"/>
            <w:shd w:val="clear" w:color="auto" w:fill="auto"/>
            <w:tcMar>
              <w:top w:w="15" w:type="dxa"/>
              <w:left w:w="15" w:type="dxa"/>
              <w:bottom w:w="15" w:type="dxa"/>
              <w:right w:w="15" w:type="dxa"/>
            </w:tcMar>
            <w:vAlign w:val="center"/>
          </w:tcPr>
          <w:p w14:paraId="26A3A5C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w:t>
            </w:r>
          </w:p>
        </w:tc>
        <w:tc>
          <w:tcPr>
            <w:tcW w:w="1575" w:type="dxa"/>
            <w:shd w:val="clear" w:color="auto" w:fill="auto"/>
            <w:tcMar>
              <w:top w:w="15" w:type="dxa"/>
              <w:left w:w="15" w:type="dxa"/>
              <w:bottom w:w="15" w:type="dxa"/>
              <w:right w:w="15" w:type="dxa"/>
            </w:tcMar>
            <w:vAlign w:val="center"/>
          </w:tcPr>
          <w:p w14:paraId="30CDF0B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0.4430</w:t>
            </w:r>
          </w:p>
        </w:tc>
      </w:tr>
      <w:tr w14:paraId="1AFA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1CB4A6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w:t>
            </w:r>
          </w:p>
        </w:tc>
        <w:tc>
          <w:tcPr>
            <w:tcW w:w="2976" w:type="dxa"/>
            <w:shd w:val="clear" w:color="auto" w:fill="auto"/>
            <w:tcMar>
              <w:top w:w="15" w:type="dxa"/>
              <w:left w:w="15" w:type="dxa"/>
              <w:bottom w:w="15" w:type="dxa"/>
              <w:right w:w="15" w:type="dxa"/>
            </w:tcMar>
            <w:vAlign w:val="center"/>
          </w:tcPr>
          <w:p w14:paraId="42E74C3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Land conversion</w:t>
            </w:r>
          </w:p>
        </w:tc>
        <w:tc>
          <w:tcPr>
            <w:tcW w:w="1140" w:type="dxa"/>
            <w:shd w:val="clear" w:color="auto" w:fill="auto"/>
            <w:tcMar>
              <w:top w:w="15" w:type="dxa"/>
              <w:left w:w="15" w:type="dxa"/>
              <w:bottom w:w="15" w:type="dxa"/>
              <w:right w:w="15" w:type="dxa"/>
            </w:tcMar>
            <w:vAlign w:val="center"/>
          </w:tcPr>
          <w:p w14:paraId="6493A73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0.52</w:t>
            </w:r>
          </w:p>
        </w:tc>
        <w:tc>
          <w:tcPr>
            <w:tcW w:w="960" w:type="dxa"/>
            <w:shd w:val="clear" w:color="auto" w:fill="auto"/>
            <w:tcMar>
              <w:top w:w="15" w:type="dxa"/>
              <w:left w:w="15" w:type="dxa"/>
              <w:bottom w:w="15" w:type="dxa"/>
              <w:right w:w="15" w:type="dxa"/>
            </w:tcMar>
            <w:vAlign w:val="center"/>
          </w:tcPr>
          <w:p w14:paraId="4D30308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0AF51A9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0.9143</w:t>
            </w:r>
          </w:p>
        </w:tc>
      </w:tr>
      <w:tr w14:paraId="41F3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B5F23F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w:t>
            </w:r>
          </w:p>
        </w:tc>
        <w:tc>
          <w:tcPr>
            <w:tcW w:w="2976" w:type="dxa"/>
            <w:shd w:val="clear" w:color="auto" w:fill="auto"/>
            <w:tcMar>
              <w:top w:w="15" w:type="dxa"/>
              <w:left w:w="15" w:type="dxa"/>
              <w:bottom w:w="15" w:type="dxa"/>
              <w:right w:w="15" w:type="dxa"/>
            </w:tcMar>
            <w:vAlign w:val="center"/>
          </w:tcPr>
          <w:p w14:paraId="73742D1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1140" w:type="dxa"/>
            <w:shd w:val="clear" w:color="auto" w:fill="auto"/>
            <w:tcMar>
              <w:top w:w="15" w:type="dxa"/>
              <w:left w:w="15" w:type="dxa"/>
              <w:bottom w:w="15" w:type="dxa"/>
              <w:right w:w="15" w:type="dxa"/>
            </w:tcMar>
            <w:vAlign w:val="center"/>
          </w:tcPr>
          <w:p w14:paraId="36555F0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1.67</w:t>
            </w:r>
          </w:p>
        </w:tc>
        <w:tc>
          <w:tcPr>
            <w:tcW w:w="960" w:type="dxa"/>
            <w:shd w:val="clear" w:color="auto" w:fill="auto"/>
            <w:tcMar>
              <w:top w:w="15" w:type="dxa"/>
              <w:left w:w="15" w:type="dxa"/>
              <w:bottom w:w="15" w:type="dxa"/>
              <w:right w:w="15" w:type="dxa"/>
            </w:tcMar>
            <w:vAlign w:val="center"/>
          </w:tcPr>
          <w:p w14:paraId="0839C1C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78AEC0A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0.6436</w:t>
            </w:r>
          </w:p>
        </w:tc>
      </w:tr>
      <w:tr w14:paraId="470C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107D17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w:t>
            </w:r>
          </w:p>
        </w:tc>
        <w:tc>
          <w:tcPr>
            <w:tcW w:w="2976" w:type="dxa"/>
            <w:shd w:val="clear" w:color="auto" w:fill="auto"/>
            <w:tcMar>
              <w:top w:w="15" w:type="dxa"/>
              <w:left w:w="15" w:type="dxa"/>
              <w:bottom w:w="15" w:type="dxa"/>
              <w:right w:w="15" w:type="dxa"/>
            </w:tcMar>
            <w:vAlign w:val="center"/>
          </w:tcPr>
          <w:p w14:paraId="4C23CA4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1140" w:type="dxa"/>
            <w:shd w:val="clear" w:color="auto" w:fill="auto"/>
            <w:tcMar>
              <w:top w:w="15" w:type="dxa"/>
              <w:left w:w="15" w:type="dxa"/>
              <w:bottom w:w="15" w:type="dxa"/>
              <w:right w:w="15" w:type="dxa"/>
            </w:tcMar>
            <w:vAlign w:val="center"/>
          </w:tcPr>
          <w:p w14:paraId="33CD0D7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1.71</w:t>
            </w:r>
          </w:p>
        </w:tc>
        <w:tc>
          <w:tcPr>
            <w:tcW w:w="960" w:type="dxa"/>
            <w:shd w:val="clear" w:color="auto" w:fill="auto"/>
            <w:tcMar>
              <w:top w:w="15" w:type="dxa"/>
              <w:left w:w="15" w:type="dxa"/>
              <w:bottom w:w="15" w:type="dxa"/>
              <w:right w:w="15" w:type="dxa"/>
            </w:tcMar>
            <w:vAlign w:val="center"/>
          </w:tcPr>
          <w:p w14:paraId="7EF0A86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30200C0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0.6350</w:t>
            </w:r>
          </w:p>
        </w:tc>
      </w:tr>
      <w:tr w14:paraId="74C4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3F8723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w:t>
            </w:r>
          </w:p>
        </w:tc>
        <w:tc>
          <w:tcPr>
            <w:tcW w:w="2976" w:type="dxa"/>
            <w:shd w:val="clear" w:color="auto" w:fill="auto"/>
            <w:tcMar>
              <w:top w:w="15" w:type="dxa"/>
              <w:left w:w="15" w:type="dxa"/>
              <w:bottom w:w="15" w:type="dxa"/>
              <w:right w:w="15" w:type="dxa"/>
            </w:tcMar>
            <w:vAlign w:val="center"/>
          </w:tcPr>
          <w:p w14:paraId="0E8BCB3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Traditional worship</w:t>
            </w:r>
          </w:p>
        </w:tc>
        <w:tc>
          <w:tcPr>
            <w:tcW w:w="1140" w:type="dxa"/>
            <w:shd w:val="clear" w:color="auto" w:fill="auto"/>
            <w:tcMar>
              <w:top w:w="15" w:type="dxa"/>
              <w:left w:w="15" w:type="dxa"/>
              <w:bottom w:w="15" w:type="dxa"/>
              <w:right w:w="15" w:type="dxa"/>
            </w:tcMar>
            <w:vAlign w:val="center"/>
          </w:tcPr>
          <w:p w14:paraId="79871F8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1.79</w:t>
            </w:r>
          </w:p>
        </w:tc>
        <w:tc>
          <w:tcPr>
            <w:tcW w:w="960" w:type="dxa"/>
            <w:shd w:val="clear" w:color="auto" w:fill="auto"/>
            <w:tcMar>
              <w:top w:w="15" w:type="dxa"/>
              <w:left w:w="15" w:type="dxa"/>
              <w:bottom w:w="15" w:type="dxa"/>
              <w:right w:w="15" w:type="dxa"/>
            </w:tcMar>
            <w:vAlign w:val="center"/>
          </w:tcPr>
          <w:p w14:paraId="6C8FA6A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5E5A15C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0.6180</w:t>
            </w:r>
          </w:p>
        </w:tc>
      </w:tr>
      <w:tr w14:paraId="4B41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A2EE6F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w:t>
            </w:r>
          </w:p>
        </w:tc>
        <w:tc>
          <w:tcPr>
            <w:tcW w:w="2976" w:type="dxa"/>
            <w:shd w:val="clear" w:color="auto" w:fill="auto"/>
            <w:tcMar>
              <w:top w:w="15" w:type="dxa"/>
              <w:left w:w="15" w:type="dxa"/>
              <w:bottom w:w="15" w:type="dxa"/>
              <w:right w:w="15" w:type="dxa"/>
            </w:tcMar>
            <w:vAlign w:val="center"/>
          </w:tcPr>
          <w:p w14:paraId="17DA46E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regulation</w:t>
            </w:r>
          </w:p>
        </w:tc>
        <w:tc>
          <w:tcPr>
            <w:tcW w:w="1140" w:type="dxa"/>
            <w:shd w:val="clear" w:color="auto" w:fill="auto"/>
            <w:tcMar>
              <w:top w:w="15" w:type="dxa"/>
              <w:left w:w="15" w:type="dxa"/>
              <w:bottom w:w="15" w:type="dxa"/>
              <w:right w:w="15" w:type="dxa"/>
            </w:tcMar>
            <w:vAlign w:val="center"/>
          </w:tcPr>
          <w:p w14:paraId="0742801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0.31</w:t>
            </w:r>
          </w:p>
        </w:tc>
        <w:tc>
          <w:tcPr>
            <w:tcW w:w="960" w:type="dxa"/>
            <w:shd w:val="clear" w:color="auto" w:fill="auto"/>
            <w:tcMar>
              <w:top w:w="15" w:type="dxa"/>
              <w:left w:w="15" w:type="dxa"/>
              <w:bottom w:w="15" w:type="dxa"/>
              <w:right w:w="15" w:type="dxa"/>
            </w:tcMar>
            <w:vAlign w:val="center"/>
          </w:tcPr>
          <w:p w14:paraId="3F1F635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1575" w:type="dxa"/>
            <w:shd w:val="clear" w:color="auto" w:fill="auto"/>
            <w:tcMar>
              <w:top w:w="15" w:type="dxa"/>
              <w:left w:w="15" w:type="dxa"/>
              <w:bottom w:w="15" w:type="dxa"/>
              <w:right w:w="15" w:type="dxa"/>
            </w:tcMar>
            <w:vAlign w:val="center"/>
          </w:tcPr>
          <w:p w14:paraId="6F49EA4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0.9588</w:t>
            </w:r>
          </w:p>
        </w:tc>
      </w:tr>
      <w:tr w14:paraId="1A6C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F16845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2976" w:type="dxa"/>
            <w:shd w:val="clear" w:color="auto" w:fill="auto"/>
            <w:tcMar>
              <w:top w:w="15" w:type="dxa"/>
              <w:left w:w="15" w:type="dxa"/>
              <w:bottom w:w="15" w:type="dxa"/>
              <w:right w:w="15" w:type="dxa"/>
            </w:tcMar>
            <w:vAlign w:val="center"/>
          </w:tcPr>
          <w:p w14:paraId="6548400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Forest benefit</w:t>
            </w:r>
          </w:p>
        </w:tc>
        <w:tc>
          <w:tcPr>
            <w:tcW w:w="1140" w:type="dxa"/>
            <w:shd w:val="clear" w:color="auto" w:fill="auto"/>
            <w:tcMar>
              <w:top w:w="15" w:type="dxa"/>
              <w:left w:w="15" w:type="dxa"/>
              <w:bottom w:w="15" w:type="dxa"/>
              <w:right w:w="15" w:type="dxa"/>
            </w:tcMar>
            <w:vAlign w:val="center"/>
          </w:tcPr>
          <w:p w14:paraId="6ED8537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10.58</w:t>
            </w:r>
          </w:p>
        </w:tc>
        <w:tc>
          <w:tcPr>
            <w:tcW w:w="960" w:type="dxa"/>
            <w:shd w:val="clear" w:color="auto" w:fill="auto"/>
            <w:tcMar>
              <w:top w:w="15" w:type="dxa"/>
              <w:left w:w="15" w:type="dxa"/>
              <w:bottom w:w="15" w:type="dxa"/>
              <w:right w:w="15" w:type="dxa"/>
            </w:tcMar>
            <w:vAlign w:val="center"/>
          </w:tcPr>
          <w:p w14:paraId="610A75B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59CAC21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0.5656</w:t>
            </w:r>
          </w:p>
        </w:tc>
      </w:tr>
      <w:tr w14:paraId="36D9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6D2A0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2976" w:type="dxa"/>
            <w:shd w:val="clear" w:color="auto" w:fill="auto"/>
            <w:tcMar>
              <w:top w:w="15" w:type="dxa"/>
              <w:left w:w="15" w:type="dxa"/>
              <w:bottom w:w="15" w:type="dxa"/>
              <w:right w:w="15" w:type="dxa"/>
            </w:tcMar>
            <w:vAlign w:val="center"/>
          </w:tcPr>
          <w:p w14:paraId="0B72407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 forest</w:t>
            </w:r>
          </w:p>
        </w:tc>
        <w:tc>
          <w:tcPr>
            <w:tcW w:w="1140" w:type="dxa"/>
            <w:shd w:val="clear" w:color="auto" w:fill="auto"/>
            <w:tcMar>
              <w:top w:w="15" w:type="dxa"/>
              <w:left w:w="15" w:type="dxa"/>
              <w:bottom w:w="15" w:type="dxa"/>
              <w:right w:w="15" w:type="dxa"/>
            </w:tcMar>
            <w:vAlign w:val="center"/>
          </w:tcPr>
          <w:p w14:paraId="3DF57BC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9.95</w:t>
            </w:r>
          </w:p>
        </w:tc>
        <w:tc>
          <w:tcPr>
            <w:tcW w:w="960" w:type="dxa"/>
            <w:shd w:val="clear" w:color="auto" w:fill="auto"/>
            <w:tcMar>
              <w:top w:w="15" w:type="dxa"/>
              <w:left w:w="15" w:type="dxa"/>
              <w:bottom w:w="15" w:type="dxa"/>
              <w:right w:w="15" w:type="dxa"/>
            </w:tcMar>
            <w:vAlign w:val="center"/>
          </w:tcPr>
          <w:p w14:paraId="5509CC7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w:t>
            </w:r>
          </w:p>
        </w:tc>
        <w:tc>
          <w:tcPr>
            <w:tcW w:w="1575" w:type="dxa"/>
            <w:shd w:val="clear" w:color="auto" w:fill="auto"/>
            <w:tcMar>
              <w:top w:w="15" w:type="dxa"/>
              <w:left w:w="15" w:type="dxa"/>
              <w:bottom w:w="15" w:type="dxa"/>
              <w:right w:w="15" w:type="dxa"/>
            </w:tcMar>
            <w:vAlign w:val="center"/>
          </w:tcPr>
          <w:p w14:paraId="39BE1E8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0.2683</w:t>
            </w:r>
          </w:p>
        </w:tc>
      </w:tr>
      <w:tr w14:paraId="09E0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30FE38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2976" w:type="dxa"/>
            <w:shd w:val="clear" w:color="auto" w:fill="auto"/>
            <w:tcMar>
              <w:top w:w="15" w:type="dxa"/>
              <w:left w:w="15" w:type="dxa"/>
              <w:bottom w:w="15" w:type="dxa"/>
              <w:right w:w="15" w:type="dxa"/>
            </w:tcMar>
            <w:vAlign w:val="center"/>
          </w:tcPr>
          <w:p w14:paraId="0658308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Land conversion</w:t>
            </w:r>
          </w:p>
        </w:tc>
        <w:tc>
          <w:tcPr>
            <w:tcW w:w="1140" w:type="dxa"/>
            <w:shd w:val="clear" w:color="auto" w:fill="auto"/>
            <w:tcMar>
              <w:top w:w="15" w:type="dxa"/>
              <w:left w:w="15" w:type="dxa"/>
              <w:bottom w:w="15" w:type="dxa"/>
              <w:right w:w="15" w:type="dxa"/>
            </w:tcMar>
            <w:vAlign w:val="center"/>
          </w:tcPr>
          <w:p w14:paraId="5F6D789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12.56</w:t>
            </w:r>
          </w:p>
        </w:tc>
        <w:tc>
          <w:tcPr>
            <w:tcW w:w="960" w:type="dxa"/>
            <w:shd w:val="clear" w:color="auto" w:fill="auto"/>
            <w:tcMar>
              <w:top w:w="15" w:type="dxa"/>
              <w:left w:w="15" w:type="dxa"/>
              <w:bottom w:w="15" w:type="dxa"/>
              <w:right w:w="15" w:type="dxa"/>
            </w:tcMar>
            <w:vAlign w:val="center"/>
          </w:tcPr>
          <w:p w14:paraId="7A28144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0813D81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0.4020</w:t>
            </w:r>
          </w:p>
        </w:tc>
      </w:tr>
      <w:tr w14:paraId="28CB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D9D589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2976" w:type="dxa"/>
            <w:shd w:val="clear" w:color="auto" w:fill="auto"/>
            <w:tcMar>
              <w:top w:w="15" w:type="dxa"/>
              <w:left w:w="15" w:type="dxa"/>
              <w:bottom w:w="15" w:type="dxa"/>
              <w:right w:w="15" w:type="dxa"/>
            </w:tcMar>
            <w:vAlign w:val="center"/>
          </w:tcPr>
          <w:p w14:paraId="42FDCBD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1140" w:type="dxa"/>
            <w:shd w:val="clear" w:color="auto" w:fill="auto"/>
            <w:tcMar>
              <w:top w:w="15" w:type="dxa"/>
              <w:left w:w="15" w:type="dxa"/>
              <w:bottom w:w="15" w:type="dxa"/>
              <w:right w:w="15" w:type="dxa"/>
            </w:tcMar>
            <w:vAlign w:val="center"/>
          </w:tcPr>
          <w:p w14:paraId="48D9FA0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14.50</w:t>
            </w:r>
          </w:p>
        </w:tc>
        <w:tc>
          <w:tcPr>
            <w:tcW w:w="960" w:type="dxa"/>
            <w:shd w:val="clear" w:color="auto" w:fill="auto"/>
            <w:tcMar>
              <w:top w:w="15" w:type="dxa"/>
              <w:left w:w="15" w:type="dxa"/>
              <w:bottom w:w="15" w:type="dxa"/>
              <w:right w:w="15" w:type="dxa"/>
            </w:tcMar>
            <w:vAlign w:val="center"/>
          </w:tcPr>
          <w:p w14:paraId="10DF293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40DF684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0.2698</w:t>
            </w:r>
          </w:p>
        </w:tc>
      </w:tr>
      <w:tr w14:paraId="294C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EE1E6C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2976" w:type="dxa"/>
            <w:shd w:val="clear" w:color="auto" w:fill="auto"/>
            <w:tcMar>
              <w:top w:w="15" w:type="dxa"/>
              <w:left w:w="15" w:type="dxa"/>
              <w:bottom w:w="15" w:type="dxa"/>
              <w:right w:w="15" w:type="dxa"/>
            </w:tcMar>
            <w:vAlign w:val="center"/>
          </w:tcPr>
          <w:p w14:paraId="2C6B4A5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1140" w:type="dxa"/>
            <w:shd w:val="clear" w:color="auto" w:fill="auto"/>
            <w:tcMar>
              <w:top w:w="15" w:type="dxa"/>
              <w:left w:w="15" w:type="dxa"/>
              <w:bottom w:w="15" w:type="dxa"/>
              <w:right w:w="15" w:type="dxa"/>
            </w:tcMar>
            <w:vAlign w:val="center"/>
          </w:tcPr>
          <w:p w14:paraId="4C06C00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8.62</w:t>
            </w:r>
          </w:p>
        </w:tc>
        <w:tc>
          <w:tcPr>
            <w:tcW w:w="960" w:type="dxa"/>
            <w:shd w:val="clear" w:color="auto" w:fill="auto"/>
            <w:tcMar>
              <w:top w:w="15" w:type="dxa"/>
              <w:left w:w="15" w:type="dxa"/>
              <w:bottom w:w="15" w:type="dxa"/>
              <w:right w:w="15" w:type="dxa"/>
            </w:tcMar>
            <w:vAlign w:val="center"/>
          </w:tcPr>
          <w:p w14:paraId="4AE252D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01946A4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0.7346</w:t>
            </w:r>
          </w:p>
        </w:tc>
      </w:tr>
      <w:tr w14:paraId="13C0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FBB136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2976" w:type="dxa"/>
            <w:shd w:val="clear" w:color="auto" w:fill="auto"/>
            <w:tcMar>
              <w:top w:w="15" w:type="dxa"/>
              <w:left w:w="15" w:type="dxa"/>
              <w:bottom w:w="15" w:type="dxa"/>
              <w:right w:w="15" w:type="dxa"/>
            </w:tcMar>
            <w:vAlign w:val="center"/>
          </w:tcPr>
          <w:p w14:paraId="69E5E87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Traditional worship</w:t>
            </w:r>
          </w:p>
        </w:tc>
        <w:tc>
          <w:tcPr>
            <w:tcW w:w="1140" w:type="dxa"/>
            <w:shd w:val="clear" w:color="auto" w:fill="auto"/>
            <w:tcMar>
              <w:top w:w="15" w:type="dxa"/>
              <w:left w:w="15" w:type="dxa"/>
              <w:bottom w:w="15" w:type="dxa"/>
              <w:right w:w="15" w:type="dxa"/>
            </w:tcMar>
            <w:vAlign w:val="center"/>
          </w:tcPr>
          <w:p w14:paraId="2A82F7D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14.30</w:t>
            </w:r>
          </w:p>
        </w:tc>
        <w:tc>
          <w:tcPr>
            <w:tcW w:w="960" w:type="dxa"/>
            <w:shd w:val="clear" w:color="auto" w:fill="auto"/>
            <w:tcMar>
              <w:top w:w="15" w:type="dxa"/>
              <w:left w:w="15" w:type="dxa"/>
              <w:bottom w:w="15" w:type="dxa"/>
              <w:right w:w="15" w:type="dxa"/>
            </w:tcMar>
            <w:vAlign w:val="center"/>
          </w:tcPr>
          <w:p w14:paraId="46A8C67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59A76DF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0.2818</w:t>
            </w:r>
          </w:p>
        </w:tc>
      </w:tr>
      <w:tr w14:paraId="29B6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893BA2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2976" w:type="dxa"/>
            <w:shd w:val="clear" w:color="auto" w:fill="auto"/>
            <w:tcMar>
              <w:top w:w="15" w:type="dxa"/>
              <w:left w:w="15" w:type="dxa"/>
              <w:bottom w:w="15" w:type="dxa"/>
              <w:right w:w="15" w:type="dxa"/>
            </w:tcMar>
            <w:vAlign w:val="center"/>
          </w:tcPr>
          <w:p w14:paraId="6892354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regulation</w:t>
            </w:r>
          </w:p>
        </w:tc>
        <w:tc>
          <w:tcPr>
            <w:tcW w:w="1140" w:type="dxa"/>
            <w:shd w:val="clear" w:color="auto" w:fill="auto"/>
            <w:tcMar>
              <w:top w:w="15" w:type="dxa"/>
              <w:left w:w="15" w:type="dxa"/>
              <w:bottom w:w="15" w:type="dxa"/>
              <w:right w:w="15" w:type="dxa"/>
            </w:tcMar>
            <w:vAlign w:val="center"/>
          </w:tcPr>
          <w:p w14:paraId="49BB0B4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5.92</w:t>
            </w:r>
          </w:p>
        </w:tc>
        <w:tc>
          <w:tcPr>
            <w:tcW w:w="960" w:type="dxa"/>
            <w:shd w:val="clear" w:color="auto" w:fill="auto"/>
            <w:tcMar>
              <w:top w:w="15" w:type="dxa"/>
              <w:left w:w="15" w:type="dxa"/>
              <w:bottom w:w="15" w:type="dxa"/>
              <w:right w:w="15" w:type="dxa"/>
            </w:tcMar>
            <w:vAlign w:val="center"/>
          </w:tcPr>
          <w:p w14:paraId="2D87303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2958BA7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0.9203</w:t>
            </w:r>
          </w:p>
        </w:tc>
      </w:tr>
      <w:tr w14:paraId="624A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C72682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2976" w:type="dxa"/>
            <w:shd w:val="clear" w:color="auto" w:fill="auto"/>
            <w:tcMar>
              <w:top w:w="15" w:type="dxa"/>
              <w:left w:w="15" w:type="dxa"/>
              <w:bottom w:w="15" w:type="dxa"/>
              <w:right w:w="15" w:type="dxa"/>
            </w:tcMar>
            <w:vAlign w:val="center"/>
          </w:tcPr>
          <w:p w14:paraId="344949B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Forest benefit</w:t>
            </w:r>
          </w:p>
        </w:tc>
        <w:tc>
          <w:tcPr>
            <w:tcW w:w="1140" w:type="dxa"/>
            <w:shd w:val="clear" w:color="auto" w:fill="auto"/>
            <w:tcMar>
              <w:top w:w="15" w:type="dxa"/>
              <w:left w:w="15" w:type="dxa"/>
              <w:bottom w:w="15" w:type="dxa"/>
              <w:right w:w="15" w:type="dxa"/>
            </w:tcMar>
            <w:vAlign w:val="center"/>
          </w:tcPr>
          <w:p w14:paraId="7952F5F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16.12</w:t>
            </w:r>
          </w:p>
        </w:tc>
        <w:tc>
          <w:tcPr>
            <w:tcW w:w="960" w:type="dxa"/>
            <w:shd w:val="clear" w:color="auto" w:fill="auto"/>
            <w:tcMar>
              <w:top w:w="15" w:type="dxa"/>
              <w:left w:w="15" w:type="dxa"/>
              <w:bottom w:w="15" w:type="dxa"/>
              <w:right w:w="15" w:type="dxa"/>
            </w:tcMar>
            <w:vAlign w:val="center"/>
          </w:tcPr>
          <w:p w14:paraId="03B2916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1575" w:type="dxa"/>
            <w:shd w:val="clear" w:color="auto" w:fill="auto"/>
            <w:tcMar>
              <w:top w:w="15" w:type="dxa"/>
              <w:left w:w="15" w:type="dxa"/>
              <w:bottom w:w="15" w:type="dxa"/>
              <w:right w:w="15" w:type="dxa"/>
            </w:tcMar>
            <w:vAlign w:val="center"/>
          </w:tcPr>
          <w:p w14:paraId="14FECBD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0.5842</w:t>
            </w:r>
          </w:p>
        </w:tc>
      </w:tr>
      <w:tr w14:paraId="0674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12938A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2976" w:type="dxa"/>
            <w:shd w:val="clear" w:color="auto" w:fill="auto"/>
            <w:tcMar>
              <w:top w:w="15" w:type="dxa"/>
              <w:left w:w="15" w:type="dxa"/>
              <w:bottom w:w="15" w:type="dxa"/>
              <w:right w:w="15" w:type="dxa"/>
            </w:tcMar>
            <w:vAlign w:val="center"/>
          </w:tcPr>
          <w:p w14:paraId="18F45F0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 forest</w:t>
            </w:r>
          </w:p>
        </w:tc>
        <w:tc>
          <w:tcPr>
            <w:tcW w:w="1140" w:type="dxa"/>
            <w:shd w:val="clear" w:color="auto" w:fill="auto"/>
            <w:tcMar>
              <w:top w:w="15" w:type="dxa"/>
              <w:left w:w="15" w:type="dxa"/>
              <w:bottom w:w="15" w:type="dxa"/>
              <w:right w:w="15" w:type="dxa"/>
            </w:tcMar>
            <w:vAlign w:val="center"/>
          </w:tcPr>
          <w:p w14:paraId="7086E6A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8.35</w:t>
            </w:r>
          </w:p>
        </w:tc>
        <w:tc>
          <w:tcPr>
            <w:tcW w:w="960" w:type="dxa"/>
            <w:shd w:val="clear" w:color="auto" w:fill="auto"/>
            <w:tcMar>
              <w:top w:w="15" w:type="dxa"/>
              <w:left w:w="15" w:type="dxa"/>
              <w:bottom w:w="15" w:type="dxa"/>
              <w:right w:w="15" w:type="dxa"/>
            </w:tcMar>
            <w:vAlign w:val="center"/>
          </w:tcPr>
          <w:p w14:paraId="629D02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1575" w:type="dxa"/>
            <w:shd w:val="clear" w:color="auto" w:fill="auto"/>
            <w:tcMar>
              <w:top w:w="15" w:type="dxa"/>
              <w:left w:w="15" w:type="dxa"/>
              <w:bottom w:w="15" w:type="dxa"/>
              <w:right w:w="15" w:type="dxa"/>
            </w:tcMar>
            <w:vAlign w:val="center"/>
          </w:tcPr>
          <w:p w14:paraId="445C452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0.7574</w:t>
            </w:r>
          </w:p>
        </w:tc>
      </w:tr>
      <w:tr w14:paraId="1DDE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3928C0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2976" w:type="dxa"/>
            <w:shd w:val="clear" w:color="auto" w:fill="auto"/>
            <w:tcMar>
              <w:top w:w="15" w:type="dxa"/>
              <w:left w:w="15" w:type="dxa"/>
              <w:bottom w:w="15" w:type="dxa"/>
              <w:right w:w="15" w:type="dxa"/>
            </w:tcMar>
            <w:vAlign w:val="center"/>
          </w:tcPr>
          <w:p w14:paraId="467A098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Land conversion</w:t>
            </w:r>
          </w:p>
        </w:tc>
        <w:tc>
          <w:tcPr>
            <w:tcW w:w="1140" w:type="dxa"/>
            <w:shd w:val="clear" w:color="auto" w:fill="auto"/>
            <w:tcMar>
              <w:top w:w="15" w:type="dxa"/>
              <w:left w:w="15" w:type="dxa"/>
              <w:bottom w:w="15" w:type="dxa"/>
              <w:right w:w="15" w:type="dxa"/>
            </w:tcMar>
            <w:vAlign w:val="center"/>
          </w:tcPr>
          <w:p w14:paraId="2202562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30.53</w:t>
            </w:r>
          </w:p>
        </w:tc>
        <w:tc>
          <w:tcPr>
            <w:tcW w:w="960" w:type="dxa"/>
            <w:shd w:val="clear" w:color="auto" w:fill="auto"/>
            <w:tcMar>
              <w:top w:w="15" w:type="dxa"/>
              <w:left w:w="15" w:type="dxa"/>
              <w:bottom w:w="15" w:type="dxa"/>
              <w:right w:w="15" w:type="dxa"/>
            </w:tcMar>
            <w:vAlign w:val="center"/>
          </w:tcPr>
          <w:p w14:paraId="22897DD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1575" w:type="dxa"/>
            <w:shd w:val="clear" w:color="auto" w:fill="auto"/>
            <w:tcMar>
              <w:top w:w="15" w:type="dxa"/>
              <w:left w:w="15" w:type="dxa"/>
              <w:bottom w:w="15" w:type="dxa"/>
              <w:right w:w="15" w:type="dxa"/>
            </w:tcMar>
            <w:vAlign w:val="center"/>
          </w:tcPr>
          <w:p w14:paraId="30FEE46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0.0326</w:t>
            </w:r>
          </w:p>
        </w:tc>
      </w:tr>
      <w:tr w14:paraId="6A8F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3EED6B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2976" w:type="dxa"/>
            <w:shd w:val="clear" w:color="auto" w:fill="auto"/>
            <w:tcMar>
              <w:top w:w="15" w:type="dxa"/>
              <w:left w:w="15" w:type="dxa"/>
              <w:bottom w:w="15" w:type="dxa"/>
              <w:right w:w="15" w:type="dxa"/>
            </w:tcMar>
            <w:vAlign w:val="center"/>
          </w:tcPr>
          <w:p w14:paraId="7E2BEF2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1140" w:type="dxa"/>
            <w:shd w:val="clear" w:color="auto" w:fill="auto"/>
            <w:tcMar>
              <w:top w:w="15" w:type="dxa"/>
              <w:left w:w="15" w:type="dxa"/>
              <w:bottom w:w="15" w:type="dxa"/>
              <w:right w:w="15" w:type="dxa"/>
            </w:tcMar>
            <w:vAlign w:val="center"/>
          </w:tcPr>
          <w:p w14:paraId="2E8E421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17.26</w:t>
            </w:r>
          </w:p>
        </w:tc>
        <w:tc>
          <w:tcPr>
            <w:tcW w:w="960" w:type="dxa"/>
            <w:shd w:val="clear" w:color="auto" w:fill="auto"/>
            <w:tcMar>
              <w:top w:w="15" w:type="dxa"/>
              <w:left w:w="15" w:type="dxa"/>
              <w:bottom w:w="15" w:type="dxa"/>
              <w:right w:w="15" w:type="dxa"/>
            </w:tcMar>
            <w:vAlign w:val="center"/>
          </w:tcPr>
          <w:p w14:paraId="3AC3E6D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1575" w:type="dxa"/>
            <w:shd w:val="clear" w:color="auto" w:fill="auto"/>
            <w:tcMar>
              <w:top w:w="15" w:type="dxa"/>
              <w:left w:w="15" w:type="dxa"/>
              <w:bottom w:w="15" w:type="dxa"/>
              <w:right w:w="15" w:type="dxa"/>
            </w:tcMar>
            <w:vAlign w:val="center"/>
          </w:tcPr>
          <w:p w14:paraId="088B0B6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0.5055</w:t>
            </w:r>
          </w:p>
        </w:tc>
      </w:tr>
      <w:tr w14:paraId="01C6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45EE55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2976" w:type="dxa"/>
            <w:shd w:val="clear" w:color="auto" w:fill="auto"/>
            <w:tcMar>
              <w:top w:w="15" w:type="dxa"/>
              <w:left w:w="15" w:type="dxa"/>
              <w:bottom w:w="15" w:type="dxa"/>
              <w:right w:w="15" w:type="dxa"/>
            </w:tcMar>
            <w:vAlign w:val="center"/>
          </w:tcPr>
          <w:p w14:paraId="3C9E7E9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1140" w:type="dxa"/>
            <w:shd w:val="clear" w:color="auto" w:fill="auto"/>
            <w:tcMar>
              <w:top w:w="15" w:type="dxa"/>
              <w:left w:w="15" w:type="dxa"/>
              <w:bottom w:w="15" w:type="dxa"/>
              <w:right w:w="15" w:type="dxa"/>
            </w:tcMar>
            <w:vAlign w:val="center"/>
          </w:tcPr>
          <w:p w14:paraId="74F251D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9.98</w:t>
            </w:r>
          </w:p>
        </w:tc>
        <w:tc>
          <w:tcPr>
            <w:tcW w:w="960" w:type="dxa"/>
            <w:shd w:val="clear" w:color="auto" w:fill="auto"/>
            <w:tcMar>
              <w:top w:w="15" w:type="dxa"/>
              <w:left w:w="15" w:type="dxa"/>
              <w:bottom w:w="15" w:type="dxa"/>
              <w:right w:w="15" w:type="dxa"/>
            </w:tcMar>
            <w:vAlign w:val="center"/>
          </w:tcPr>
          <w:p w14:paraId="40BCD01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1575" w:type="dxa"/>
            <w:shd w:val="clear" w:color="auto" w:fill="auto"/>
            <w:tcMar>
              <w:top w:w="15" w:type="dxa"/>
              <w:left w:w="15" w:type="dxa"/>
              <w:bottom w:w="15" w:type="dxa"/>
              <w:right w:w="15" w:type="dxa"/>
            </w:tcMar>
            <w:vAlign w:val="center"/>
          </w:tcPr>
          <w:p w14:paraId="018A433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0.9327</w:t>
            </w:r>
          </w:p>
        </w:tc>
      </w:tr>
      <w:tr w14:paraId="1F3B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DAF6F6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2976" w:type="dxa"/>
            <w:shd w:val="clear" w:color="auto" w:fill="auto"/>
            <w:tcMar>
              <w:top w:w="15" w:type="dxa"/>
              <w:left w:w="15" w:type="dxa"/>
              <w:bottom w:w="15" w:type="dxa"/>
              <w:right w:w="15" w:type="dxa"/>
            </w:tcMar>
            <w:vAlign w:val="center"/>
          </w:tcPr>
          <w:p w14:paraId="4DD1FA7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Traditional worship</w:t>
            </w:r>
          </w:p>
        </w:tc>
        <w:tc>
          <w:tcPr>
            <w:tcW w:w="1140" w:type="dxa"/>
            <w:shd w:val="clear" w:color="auto" w:fill="auto"/>
            <w:tcMar>
              <w:top w:w="15" w:type="dxa"/>
              <w:left w:w="15" w:type="dxa"/>
              <w:bottom w:w="15" w:type="dxa"/>
              <w:right w:w="15" w:type="dxa"/>
            </w:tcMar>
            <w:vAlign w:val="center"/>
          </w:tcPr>
          <w:p w14:paraId="7448181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24.68</w:t>
            </w:r>
          </w:p>
        </w:tc>
        <w:tc>
          <w:tcPr>
            <w:tcW w:w="960" w:type="dxa"/>
            <w:shd w:val="clear" w:color="auto" w:fill="auto"/>
            <w:tcMar>
              <w:top w:w="15" w:type="dxa"/>
              <w:left w:w="15" w:type="dxa"/>
              <w:bottom w:w="15" w:type="dxa"/>
              <w:right w:w="15" w:type="dxa"/>
            </w:tcMar>
            <w:vAlign w:val="center"/>
          </w:tcPr>
          <w:p w14:paraId="021E89E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1575" w:type="dxa"/>
            <w:shd w:val="clear" w:color="auto" w:fill="auto"/>
            <w:tcMar>
              <w:top w:w="15" w:type="dxa"/>
              <w:left w:w="15" w:type="dxa"/>
              <w:bottom w:w="15" w:type="dxa"/>
              <w:right w:w="15" w:type="dxa"/>
            </w:tcMar>
            <w:vAlign w:val="center"/>
          </w:tcPr>
          <w:p w14:paraId="0ED1B8F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0.1341</w:t>
            </w:r>
          </w:p>
        </w:tc>
      </w:tr>
      <w:tr w14:paraId="7315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6F74C1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2976" w:type="dxa"/>
            <w:shd w:val="clear" w:color="auto" w:fill="auto"/>
            <w:tcMar>
              <w:top w:w="15" w:type="dxa"/>
              <w:left w:w="15" w:type="dxa"/>
              <w:bottom w:w="15" w:type="dxa"/>
              <w:right w:w="15" w:type="dxa"/>
            </w:tcMar>
            <w:vAlign w:val="center"/>
          </w:tcPr>
          <w:p w14:paraId="2F6E1D6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regulation</w:t>
            </w:r>
          </w:p>
        </w:tc>
        <w:tc>
          <w:tcPr>
            <w:tcW w:w="1140" w:type="dxa"/>
            <w:shd w:val="clear" w:color="auto" w:fill="auto"/>
            <w:tcMar>
              <w:top w:w="15" w:type="dxa"/>
              <w:left w:w="15" w:type="dxa"/>
              <w:bottom w:w="15" w:type="dxa"/>
              <w:right w:w="15" w:type="dxa"/>
            </w:tcMar>
            <w:vAlign w:val="center"/>
          </w:tcPr>
          <w:p w14:paraId="3295532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27.29</w:t>
            </w:r>
          </w:p>
        </w:tc>
        <w:tc>
          <w:tcPr>
            <w:tcW w:w="960" w:type="dxa"/>
            <w:shd w:val="clear" w:color="auto" w:fill="auto"/>
            <w:tcMar>
              <w:top w:w="15" w:type="dxa"/>
              <w:left w:w="15" w:type="dxa"/>
              <w:bottom w:w="15" w:type="dxa"/>
              <w:right w:w="15" w:type="dxa"/>
            </w:tcMar>
            <w:vAlign w:val="center"/>
          </w:tcPr>
          <w:p w14:paraId="59B16EA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1575" w:type="dxa"/>
            <w:shd w:val="clear" w:color="auto" w:fill="auto"/>
            <w:tcMar>
              <w:top w:w="15" w:type="dxa"/>
              <w:left w:w="15" w:type="dxa"/>
              <w:bottom w:w="15" w:type="dxa"/>
              <w:right w:w="15" w:type="dxa"/>
            </w:tcMar>
            <w:vAlign w:val="center"/>
          </w:tcPr>
          <w:p w14:paraId="45FDB85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0.0738</w:t>
            </w:r>
          </w:p>
        </w:tc>
      </w:tr>
      <w:tr w14:paraId="520D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03F513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Occupation</w:t>
            </w:r>
          </w:p>
        </w:tc>
        <w:tc>
          <w:tcPr>
            <w:tcW w:w="2976" w:type="dxa"/>
            <w:shd w:val="clear" w:color="auto" w:fill="auto"/>
            <w:tcMar>
              <w:top w:w="15" w:type="dxa"/>
              <w:left w:w="15" w:type="dxa"/>
              <w:bottom w:w="15" w:type="dxa"/>
              <w:right w:w="15" w:type="dxa"/>
            </w:tcMar>
            <w:vAlign w:val="center"/>
          </w:tcPr>
          <w:p w14:paraId="4AE5B15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Forest benefit</w:t>
            </w:r>
          </w:p>
        </w:tc>
        <w:tc>
          <w:tcPr>
            <w:tcW w:w="1140" w:type="dxa"/>
            <w:shd w:val="clear" w:color="auto" w:fill="auto"/>
            <w:tcMar>
              <w:top w:w="15" w:type="dxa"/>
              <w:left w:w="15" w:type="dxa"/>
              <w:bottom w:w="15" w:type="dxa"/>
              <w:right w:w="15" w:type="dxa"/>
            </w:tcMar>
            <w:vAlign w:val="center"/>
          </w:tcPr>
          <w:p w14:paraId="0A3D7DE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142.61</w:t>
            </w:r>
          </w:p>
        </w:tc>
        <w:tc>
          <w:tcPr>
            <w:tcW w:w="960" w:type="dxa"/>
            <w:shd w:val="clear" w:color="auto" w:fill="auto"/>
            <w:tcMar>
              <w:top w:w="15" w:type="dxa"/>
              <w:left w:w="15" w:type="dxa"/>
              <w:bottom w:w="15" w:type="dxa"/>
              <w:right w:w="15" w:type="dxa"/>
            </w:tcMar>
            <w:vAlign w:val="center"/>
          </w:tcPr>
          <w:p w14:paraId="7FB199F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1575" w:type="dxa"/>
            <w:shd w:val="clear" w:color="auto" w:fill="auto"/>
            <w:tcMar>
              <w:top w:w="15" w:type="dxa"/>
              <w:left w:w="15" w:type="dxa"/>
              <w:bottom w:w="15" w:type="dxa"/>
              <w:right w:w="15" w:type="dxa"/>
            </w:tcMar>
            <w:vAlign w:val="center"/>
          </w:tcPr>
          <w:p w14:paraId="4B3D21B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0.0000</w:t>
            </w:r>
          </w:p>
        </w:tc>
      </w:tr>
      <w:tr w14:paraId="73B0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B61951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Occupation</w:t>
            </w:r>
          </w:p>
        </w:tc>
        <w:tc>
          <w:tcPr>
            <w:tcW w:w="2976" w:type="dxa"/>
            <w:shd w:val="clear" w:color="auto" w:fill="auto"/>
            <w:tcMar>
              <w:top w:w="15" w:type="dxa"/>
              <w:left w:w="15" w:type="dxa"/>
              <w:bottom w:w="15" w:type="dxa"/>
              <w:right w:w="15" w:type="dxa"/>
            </w:tcMar>
            <w:vAlign w:val="center"/>
          </w:tcPr>
          <w:p w14:paraId="44AA77A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 forest</w:t>
            </w:r>
          </w:p>
        </w:tc>
        <w:tc>
          <w:tcPr>
            <w:tcW w:w="1140" w:type="dxa"/>
            <w:shd w:val="clear" w:color="auto" w:fill="auto"/>
            <w:tcMar>
              <w:top w:w="15" w:type="dxa"/>
              <w:left w:w="15" w:type="dxa"/>
              <w:bottom w:w="15" w:type="dxa"/>
              <w:right w:w="15" w:type="dxa"/>
            </w:tcMar>
            <w:vAlign w:val="center"/>
          </w:tcPr>
          <w:p w14:paraId="69E0A0B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18.96</w:t>
            </w:r>
          </w:p>
        </w:tc>
        <w:tc>
          <w:tcPr>
            <w:tcW w:w="960" w:type="dxa"/>
            <w:shd w:val="clear" w:color="auto" w:fill="auto"/>
            <w:tcMar>
              <w:top w:w="15" w:type="dxa"/>
              <w:left w:w="15" w:type="dxa"/>
              <w:bottom w:w="15" w:type="dxa"/>
              <w:right w:w="15" w:type="dxa"/>
            </w:tcMar>
            <w:vAlign w:val="center"/>
          </w:tcPr>
          <w:p w14:paraId="7D4AC6C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w:t>
            </w:r>
          </w:p>
        </w:tc>
        <w:tc>
          <w:tcPr>
            <w:tcW w:w="1575" w:type="dxa"/>
            <w:shd w:val="clear" w:color="auto" w:fill="auto"/>
            <w:tcMar>
              <w:top w:w="15" w:type="dxa"/>
              <w:left w:w="15" w:type="dxa"/>
              <w:bottom w:w="15" w:type="dxa"/>
              <w:right w:w="15" w:type="dxa"/>
            </w:tcMar>
            <w:vAlign w:val="center"/>
          </w:tcPr>
          <w:p w14:paraId="0DC3659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0.2708</w:t>
            </w:r>
          </w:p>
        </w:tc>
      </w:tr>
      <w:tr w14:paraId="4508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D0C37B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Occupation</w:t>
            </w:r>
          </w:p>
        </w:tc>
        <w:tc>
          <w:tcPr>
            <w:tcW w:w="2976" w:type="dxa"/>
            <w:shd w:val="clear" w:color="auto" w:fill="auto"/>
            <w:tcMar>
              <w:top w:w="15" w:type="dxa"/>
              <w:left w:w="15" w:type="dxa"/>
              <w:bottom w:w="15" w:type="dxa"/>
              <w:right w:w="15" w:type="dxa"/>
            </w:tcMar>
            <w:vAlign w:val="center"/>
          </w:tcPr>
          <w:p w14:paraId="436ACB5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Land conversion</w:t>
            </w:r>
          </w:p>
        </w:tc>
        <w:tc>
          <w:tcPr>
            <w:tcW w:w="1140" w:type="dxa"/>
            <w:shd w:val="clear" w:color="auto" w:fill="auto"/>
            <w:tcMar>
              <w:top w:w="15" w:type="dxa"/>
              <w:left w:w="15" w:type="dxa"/>
              <w:bottom w:w="15" w:type="dxa"/>
              <w:right w:w="15" w:type="dxa"/>
            </w:tcMar>
            <w:vAlign w:val="center"/>
          </w:tcPr>
          <w:p w14:paraId="2E5069E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30.48</w:t>
            </w:r>
          </w:p>
        </w:tc>
        <w:tc>
          <w:tcPr>
            <w:tcW w:w="960" w:type="dxa"/>
            <w:shd w:val="clear" w:color="auto" w:fill="auto"/>
            <w:tcMar>
              <w:top w:w="15" w:type="dxa"/>
              <w:left w:w="15" w:type="dxa"/>
              <w:bottom w:w="15" w:type="dxa"/>
              <w:right w:w="15" w:type="dxa"/>
            </w:tcMar>
            <w:vAlign w:val="center"/>
          </w:tcPr>
          <w:p w14:paraId="1858D0C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1575" w:type="dxa"/>
            <w:shd w:val="clear" w:color="auto" w:fill="auto"/>
            <w:tcMar>
              <w:top w:w="15" w:type="dxa"/>
              <w:left w:w="15" w:type="dxa"/>
              <w:bottom w:w="15" w:type="dxa"/>
              <w:right w:w="15" w:type="dxa"/>
            </w:tcMar>
            <w:vAlign w:val="center"/>
          </w:tcPr>
          <w:p w14:paraId="20631C4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0.1693</w:t>
            </w:r>
          </w:p>
        </w:tc>
      </w:tr>
      <w:tr w14:paraId="3F96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10EAD9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Occupation</w:t>
            </w:r>
          </w:p>
        </w:tc>
        <w:tc>
          <w:tcPr>
            <w:tcW w:w="2976" w:type="dxa"/>
            <w:shd w:val="clear" w:color="auto" w:fill="auto"/>
            <w:tcMar>
              <w:top w:w="15" w:type="dxa"/>
              <w:left w:w="15" w:type="dxa"/>
              <w:bottom w:w="15" w:type="dxa"/>
              <w:right w:w="15" w:type="dxa"/>
            </w:tcMar>
            <w:vAlign w:val="center"/>
          </w:tcPr>
          <w:p w14:paraId="3AF0CEC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1140" w:type="dxa"/>
            <w:shd w:val="clear" w:color="auto" w:fill="auto"/>
            <w:tcMar>
              <w:top w:w="15" w:type="dxa"/>
              <w:left w:w="15" w:type="dxa"/>
              <w:bottom w:w="15" w:type="dxa"/>
              <w:right w:w="15" w:type="dxa"/>
            </w:tcMar>
            <w:vAlign w:val="center"/>
          </w:tcPr>
          <w:p w14:paraId="38B32FF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24.24</w:t>
            </w:r>
          </w:p>
        </w:tc>
        <w:tc>
          <w:tcPr>
            <w:tcW w:w="960" w:type="dxa"/>
            <w:shd w:val="clear" w:color="auto" w:fill="auto"/>
            <w:tcMar>
              <w:top w:w="15" w:type="dxa"/>
              <w:left w:w="15" w:type="dxa"/>
              <w:bottom w:w="15" w:type="dxa"/>
              <w:right w:w="15" w:type="dxa"/>
            </w:tcMar>
            <w:vAlign w:val="center"/>
          </w:tcPr>
          <w:p w14:paraId="6F5B677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1575" w:type="dxa"/>
            <w:shd w:val="clear" w:color="auto" w:fill="auto"/>
            <w:tcMar>
              <w:top w:w="15" w:type="dxa"/>
              <w:left w:w="15" w:type="dxa"/>
              <w:bottom w:w="15" w:type="dxa"/>
              <w:right w:w="15" w:type="dxa"/>
            </w:tcMar>
            <w:vAlign w:val="center"/>
          </w:tcPr>
          <w:p w14:paraId="74664A8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0.4478</w:t>
            </w:r>
          </w:p>
        </w:tc>
      </w:tr>
      <w:tr w14:paraId="3523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7B4D6F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Occupation</w:t>
            </w:r>
          </w:p>
        </w:tc>
        <w:tc>
          <w:tcPr>
            <w:tcW w:w="2976" w:type="dxa"/>
            <w:shd w:val="clear" w:color="auto" w:fill="auto"/>
            <w:tcMar>
              <w:top w:w="15" w:type="dxa"/>
              <w:left w:w="15" w:type="dxa"/>
              <w:bottom w:w="15" w:type="dxa"/>
              <w:right w:w="15" w:type="dxa"/>
            </w:tcMar>
            <w:vAlign w:val="center"/>
          </w:tcPr>
          <w:p w14:paraId="4D9C770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1140" w:type="dxa"/>
            <w:shd w:val="clear" w:color="auto" w:fill="auto"/>
            <w:tcMar>
              <w:top w:w="15" w:type="dxa"/>
              <w:left w:w="15" w:type="dxa"/>
              <w:bottom w:w="15" w:type="dxa"/>
              <w:right w:w="15" w:type="dxa"/>
            </w:tcMar>
            <w:vAlign w:val="center"/>
          </w:tcPr>
          <w:p w14:paraId="3FBA58E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264.16</w:t>
            </w:r>
          </w:p>
        </w:tc>
        <w:tc>
          <w:tcPr>
            <w:tcW w:w="960" w:type="dxa"/>
            <w:shd w:val="clear" w:color="auto" w:fill="auto"/>
            <w:tcMar>
              <w:top w:w="15" w:type="dxa"/>
              <w:left w:w="15" w:type="dxa"/>
              <w:bottom w:w="15" w:type="dxa"/>
              <w:right w:w="15" w:type="dxa"/>
            </w:tcMar>
            <w:vAlign w:val="center"/>
          </w:tcPr>
          <w:p w14:paraId="5103C73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1575" w:type="dxa"/>
            <w:shd w:val="clear" w:color="auto" w:fill="auto"/>
            <w:tcMar>
              <w:top w:w="15" w:type="dxa"/>
              <w:left w:w="15" w:type="dxa"/>
              <w:bottom w:w="15" w:type="dxa"/>
              <w:right w:w="15" w:type="dxa"/>
            </w:tcMar>
            <w:vAlign w:val="center"/>
          </w:tcPr>
          <w:p w14:paraId="64F03F4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0.0000</w:t>
            </w:r>
          </w:p>
        </w:tc>
      </w:tr>
      <w:tr w14:paraId="7C42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1633A1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Occupation</w:t>
            </w:r>
          </w:p>
        </w:tc>
        <w:tc>
          <w:tcPr>
            <w:tcW w:w="2976" w:type="dxa"/>
            <w:shd w:val="clear" w:color="auto" w:fill="auto"/>
            <w:tcMar>
              <w:top w:w="15" w:type="dxa"/>
              <w:left w:w="15" w:type="dxa"/>
              <w:bottom w:w="15" w:type="dxa"/>
              <w:right w:w="15" w:type="dxa"/>
            </w:tcMar>
            <w:vAlign w:val="center"/>
          </w:tcPr>
          <w:p w14:paraId="0AE9CAE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Traditional worship</w:t>
            </w:r>
          </w:p>
        </w:tc>
        <w:tc>
          <w:tcPr>
            <w:tcW w:w="1140" w:type="dxa"/>
            <w:shd w:val="clear" w:color="auto" w:fill="auto"/>
            <w:tcMar>
              <w:top w:w="15" w:type="dxa"/>
              <w:left w:w="15" w:type="dxa"/>
              <w:bottom w:w="15" w:type="dxa"/>
              <w:right w:w="15" w:type="dxa"/>
            </w:tcMar>
            <w:vAlign w:val="center"/>
          </w:tcPr>
          <w:p w14:paraId="7FE0E5B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36.05</w:t>
            </w:r>
          </w:p>
        </w:tc>
        <w:tc>
          <w:tcPr>
            <w:tcW w:w="960" w:type="dxa"/>
            <w:shd w:val="clear" w:color="auto" w:fill="auto"/>
            <w:tcMar>
              <w:top w:w="15" w:type="dxa"/>
              <w:left w:w="15" w:type="dxa"/>
              <w:bottom w:w="15" w:type="dxa"/>
              <w:right w:w="15" w:type="dxa"/>
            </w:tcMar>
            <w:vAlign w:val="center"/>
          </w:tcPr>
          <w:p w14:paraId="6B9421D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1575" w:type="dxa"/>
            <w:shd w:val="clear" w:color="auto" w:fill="auto"/>
            <w:tcMar>
              <w:top w:w="15" w:type="dxa"/>
              <w:left w:w="15" w:type="dxa"/>
              <w:bottom w:w="15" w:type="dxa"/>
              <w:right w:w="15" w:type="dxa"/>
            </w:tcMar>
            <w:vAlign w:val="center"/>
          </w:tcPr>
          <w:p w14:paraId="7210725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0.0543</w:t>
            </w:r>
          </w:p>
        </w:tc>
      </w:tr>
      <w:tr w14:paraId="446A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12A744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Occupation</w:t>
            </w:r>
          </w:p>
        </w:tc>
        <w:tc>
          <w:tcPr>
            <w:tcW w:w="2976" w:type="dxa"/>
            <w:shd w:val="clear" w:color="auto" w:fill="auto"/>
            <w:tcMar>
              <w:top w:w="15" w:type="dxa"/>
              <w:left w:w="15" w:type="dxa"/>
              <w:bottom w:w="15" w:type="dxa"/>
              <w:right w:w="15" w:type="dxa"/>
            </w:tcMar>
            <w:vAlign w:val="center"/>
          </w:tcPr>
          <w:p w14:paraId="472918C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regulation</w:t>
            </w:r>
          </w:p>
        </w:tc>
        <w:tc>
          <w:tcPr>
            <w:tcW w:w="1140" w:type="dxa"/>
            <w:shd w:val="clear" w:color="auto" w:fill="auto"/>
            <w:tcMar>
              <w:top w:w="15" w:type="dxa"/>
              <w:left w:w="15" w:type="dxa"/>
              <w:bottom w:w="15" w:type="dxa"/>
              <w:right w:w="15" w:type="dxa"/>
            </w:tcMar>
            <w:vAlign w:val="center"/>
          </w:tcPr>
          <w:p w14:paraId="211A35D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23.83</w:t>
            </w:r>
          </w:p>
        </w:tc>
        <w:tc>
          <w:tcPr>
            <w:tcW w:w="960" w:type="dxa"/>
            <w:shd w:val="clear" w:color="auto" w:fill="auto"/>
            <w:tcMar>
              <w:top w:w="15" w:type="dxa"/>
              <w:left w:w="15" w:type="dxa"/>
              <w:bottom w:w="15" w:type="dxa"/>
              <w:right w:w="15" w:type="dxa"/>
            </w:tcMar>
            <w:vAlign w:val="center"/>
          </w:tcPr>
          <w:p w14:paraId="38B4C3A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1575" w:type="dxa"/>
            <w:shd w:val="clear" w:color="auto" w:fill="auto"/>
            <w:tcMar>
              <w:top w:w="15" w:type="dxa"/>
              <w:left w:w="15" w:type="dxa"/>
              <w:bottom w:w="15" w:type="dxa"/>
              <w:right w:w="15" w:type="dxa"/>
            </w:tcMar>
            <w:vAlign w:val="center"/>
          </w:tcPr>
          <w:p w14:paraId="7188D8B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0.4711</w:t>
            </w:r>
          </w:p>
        </w:tc>
      </w:tr>
      <w:tr w14:paraId="607D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EF4F47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 level</w:t>
            </w:r>
          </w:p>
        </w:tc>
        <w:tc>
          <w:tcPr>
            <w:tcW w:w="2976" w:type="dxa"/>
            <w:shd w:val="clear" w:color="auto" w:fill="auto"/>
            <w:tcMar>
              <w:top w:w="15" w:type="dxa"/>
              <w:left w:w="15" w:type="dxa"/>
              <w:bottom w:w="15" w:type="dxa"/>
              <w:right w:w="15" w:type="dxa"/>
            </w:tcMar>
            <w:vAlign w:val="center"/>
          </w:tcPr>
          <w:p w14:paraId="04EA529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Forest benefit</w:t>
            </w:r>
          </w:p>
        </w:tc>
        <w:tc>
          <w:tcPr>
            <w:tcW w:w="1140" w:type="dxa"/>
            <w:shd w:val="clear" w:color="auto" w:fill="auto"/>
            <w:tcMar>
              <w:top w:w="15" w:type="dxa"/>
              <w:left w:w="15" w:type="dxa"/>
              <w:bottom w:w="15" w:type="dxa"/>
              <w:right w:w="15" w:type="dxa"/>
            </w:tcMar>
            <w:vAlign w:val="center"/>
          </w:tcPr>
          <w:p w14:paraId="3E4F278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13.31</w:t>
            </w:r>
          </w:p>
        </w:tc>
        <w:tc>
          <w:tcPr>
            <w:tcW w:w="960" w:type="dxa"/>
            <w:shd w:val="clear" w:color="auto" w:fill="auto"/>
            <w:tcMar>
              <w:top w:w="15" w:type="dxa"/>
              <w:left w:w="15" w:type="dxa"/>
              <w:bottom w:w="15" w:type="dxa"/>
              <w:right w:w="15" w:type="dxa"/>
            </w:tcMar>
            <w:vAlign w:val="center"/>
          </w:tcPr>
          <w:p w14:paraId="0CBD4DA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1575" w:type="dxa"/>
            <w:shd w:val="clear" w:color="auto" w:fill="auto"/>
            <w:tcMar>
              <w:top w:w="15" w:type="dxa"/>
              <w:left w:w="15" w:type="dxa"/>
              <w:bottom w:w="15" w:type="dxa"/>
              <w:right w:w="15" w:type="dxa"/>
            </w:tcMar>
            <w:vAlign w:val="center"/>
          </w:tcPr>
          <w:p w14:paraId="3ECA4F4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0.8973</w:t>
            </w:r>
          </w:p>
        </w:tc>
      </w:tr>
      <w:tr w14:paraId="405F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9C9766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 level</w:t>
            </w:r>
          </w:p>
        </w:tc>
        <w:tc>
          <w:tcPr>
            <w:tcW w:w="2976" w:type="dxa"/>
            <w:shd w:val="clear" w:color="auto" w:fill="auto"/>
            <w:tcMar>
              <w:top w:w="15" w:type="dxa"/>
              <w:left w:w="15" w:type="dxa"/>
              <w:bottom w:w="15" w:type="dxa"/>
              <w:right w:w="15" w:type="dxa"/>
            </w:tcMar>
            <w:vAlign w:val="center"/>
          </w:tcPr>
          <w:p w14:paraId="712833C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Income source forest</w:t>
            </w:r>
          </w:p>
        </w:tc>
        <w:tc>
          <w:tcPr>
            <w:tcW w:w="1140" w:type="dxa"/>
            <w:shd w:val="clear" w:color="auto" w:fill="auto"/>
            <w:tcMar>
              <w:top w:w="15" w:type="dxa"/>
              <w:left w:w="15" w:type="dxa"/>
              <w:bottom w:w="15" w:type="dxa"/>
              <w:right w:w="15" w:type="dxa"/>
            </w:tcMar>
            <w:vAlign w:val="center"/>
          </w:tcPr>
          <w:p w14:paraId="1AD9591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12.30</w:t>
            </w:r>
          </w:p>
        </w:tc>
        <w:tc>
          <w:tcPr>
            <w:tcW w:w="960" w:type="dxa"/>
            <w:shd w:val="clear" w:color="auto" w:fill="auto"/>
            <w:tcMar>
              <w:top w:w="15" w:type="dxa"/>
              <w:left w:w="15" w:type="dxa"/>
              <w:bottom w:w="15" w:type="dxa"/>
              <w:right w:w="15" w:type="dxa"/>
            </w:tcMar>
            <w:vAlign w:val="center"/>
          </w:tcPr>
          <w:p w14:paraId="681C49D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w:t>
            </w:r>
          </w:p>
        </w:tc>
        <w:tc>
          <w:tcPr>
            <w:tcW w:w="1575" w:type="dxa"/>
            <w:shd w:val="clear" w:color="auto" w:fill="auto"/>
            <w:tcMar>
              <w:top w:w="15" w:type="dxa"/>
              <w:left w:w="15" w:type="dxa"/>
              <w:bottom w:w="15" w:type="dxa"/>
              <w:right w:w="15" w:type="dxa"/>
            </w:tcMar>
            <w:vAlign w:val="center"/>
          </w:tcPr>
          <w:p w14:paraId="620D7A1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0.5825</w:t>
            </w:r>
          </w:p>
        </w:tc>
      </w:tr>
      <w:tr w14:paraId="726D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9B3676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 level</w:t>
            </w:r>
          </w:p>
        </w:tc>
        <w:tc>
          <w:tcPr>
            <w:tcW w:w="2976" w:type="dxa"/>
            <w:shd w:val="clear" w:color="auto" w:fill="auto"/>
            <w:tcMar>
              <w:top w:w="15" w:type="dxa"/>
              <w:left w:w="15" w:type="dxa"/>
              <w:bottom w:w="15" w:type="dxa"/>
              <w:right w:w="15" w:type="dxa"/>
            </w:tcMar>
            <w:vAlign w:val="center"/>
          </w:tcPr>
          <w:p w14:paraId="4EB22CD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Land conversion</w:t>
            </w:r>
          </w:p>
        </w:tc>
        <w:tc>
          <w:tcPr>
            <w:tcW w:w="1140" w:type="dxa"/>
            <w:shd w:val="clear" w:color="auto" w:fill="auto"/>
            <w:tcMar>
              <w:top w:w="15" w:type="dxa"/>
              <w:left w:w="15" w:type="dxa"/>
              <w:bottom w:w="15" w:type="dxa"/>
              <w:right w:w="15" w:type="dxa"/>
            </w:tcMar>
            <w:vAlign w:val="center"/>
          </w:tcPr>
          <w:p w14:paraId="4E78E6D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27.44</w:t>
            </w:r>
          </w:p>
        </w:tc>
        <w:tc>
          <w:tcPr>
            <w:tcW w:w="960" w:type="dxa"/>
            <w:shd w:val="clear" w:color="auto" w:fill="auto"/>
            <w:tcMar>
              <w:top w:w="15" w:type="dxa"/>
              <w:left w:w="15" w:type="dxa"/>
              <w:bottom w:w="15" w:type="dxa"/>
              <w:right w:w="15" w:type="dxa"/>
            </w:tcMar>
            <w:vAlign w:val="center"/>
          </w:tcPr>
          <w:p w14:paraId="532D77A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1575" w:type="dxa"/>
            <w:shd w:val="clear" w:color="auto" w:fill="auto"/>
            <w:tcMar>
              <w:top w:w="15" w:type="dxa"/>
              <w:left w:w="15" w:type="dxa"/>
              <w:bottom w:w="15" w:type="dxa"/>
              <w:right w:w="15" w:type="dxa"/>
            </w:tcMar>
            <w:vAlign w:val="center"/>
          </w:tcPr>
          <w:p w14:paraId="0EB9FE8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0.1569</w:t>
            </w:r>
          </w:p>
        </w:tc>
      </w:tr>
      <w:tr w14:paraId="1456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CEDE0A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 level</w:t>
            </w:r>
          </w:p>
        </w:tc>
        <w:tc>
          <w:tcPr>
            <w:tcW w:w="2976" w:type="dxa"/>
            <w:shd w:val="clear" w:color="auto" w:fill="auto"/>
            <w:tcMar>
              <w:top w:w="15" w:type="dxa"/>
              <w:left w:w="15" w:type="dxa"/>
              <w:bottom w:w="15" w:type="dxa"/>
              <w:right w:w="15" w:type="dxa"/>
            </w:tcMar>
            <w:vAlign w:val="center"/>
          </w:tcPr>
          <w:p w14:paraId="68E2A8C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1140" w:type="dxa"/>
            <w:shd w:val="clear" w:color="auto" w:fill="auto"/>
            <w:tcMar>
              <w:top w:w="15" w:type="dxa"/>
              <w:left w:w="15" w:type="dxa"/>
              <w:bottom w:w="15" w:type="dxa"/>
              <w:right w:w="15" w:type="dxa"/>
            </w:tcMar>
            <w:vAlign w:val="center"/>
          </w:tcPr>
          <w:p w14:paraId="32E0F85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13.99</w:t>
            </w:r>
          </w:p>
        </w:tc>
        <w:tc>
          <w:tcPr>
            <w:tcW w:w="960" w:type="dxa"/>
            <w:shd w:val="clear" w:color="auto" w:fill="auto"/>
            <w:tcMar>
              <w:top w:w="15" w:type="dxa"/>
              <w:left w:w="15" w:type="dxa"/>
              <w:bottom w:w="15" w:type="dxa"/>
              <w:right w:w="15" w:type="dxa"/>
            </w:tcMar>
            <w:vAlign w:val="center"/>
          </w:tcPr>
          <w:p w14:paraId="530CD44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1575" w:type="dxa"/>
            <w:shd w:val="clear" w:color="auto" w:fill="auto"/>
            <w:tcMar>
              <w:top w:w="15" w:type="dxa"/>
              <w:left w:w="15" w:type="dxa"/>
              <w:bottom w:w="15" w:type="dxa"/>
              <w:right w:w="15" w:type="dxa"/>
            </w:tcMar>
            <w:vAlign w:val="center"/>
          </w:tcPr>
          <w:p w14:paraId="32D6F70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0.8699</w:t>
            </w:r>
          </w:p>
        </w:tc>
      </w:tr>
      <w:tr w14:paraId="65F6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269763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 level</w:t>
            </w:r>
          </w:p>
        </w:tc>
        <w:tc>
          <w:tcPr>
            <w:tcW w:w="2976" w:type="dxa"/>
            <w:shd w:val="clear" w:color="auto" w:fill="auto"/>
            <w:tcMar>
              <w:top w:w="15" w:type="dxa"/>
              <w:left w:w="15" w:type="dxa"/>
              <w:bottom w:w="15" w:type="dxa"/>
              <w:right w:w="15" w:type="dxa"/>
            </w:tcMar>
            <w:vAlign w:val="center"/>
          </w:tcPr>
          <w:p w14:paraId="662AC01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1140" w:type="dxa"/>
            <w:shd w:val="clear" w:color="auto" w:fill="auto"/>
            <w:tcMar>
              <w:top w:w="15" w:type="dxa"/>
              <w:left w:w="15" w:type="dxa"/>
              <w:bottom w:w="15" w:type="dxa"/>
              <w:right w:w="15" w:type="dxa"/>
            </w:tcMar>
            <w:vAlign w:val="center"/>
          </w:tcPr>
          <w:p w14:paraId="769239F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16.16</w:t>
            </w:r>
          </w:p>
        </w:tc>
        <w:tc>
          <w:tcPr>
            <w:tcW w:w="960" w:type="dxa"/>
            <w:shd w:val="clear" w:color="auto" w:fill="auto"/>
            <w:tcMar>
              <w:top w:w="15" w:type="dxa"/>
              <w:left w:w="15" w:type="dxa"/>
              <w:bottom w:w="15" w:type="dxa"/>
              <w:right w:w="15" w:type="dxa"/>
            </w:tcMar>
            <w:vAlign w:val="center"/>
          </w:tcPr>
          <w:p w14:paraId="62C530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1575" w:type="dxa"/>
            <w:shd w:val="clear" w:color="auto" w:fill="auto"/>
            <w:tcMar>
              <w:top w:w="15" w:type="dxa"/>
              <w:left w:w="15" w:type="dxa"/>
              <w:bottom w:w="15" w:type="dxa"/>
              <w:right w:w="15" w:type="dxa"/>
            </w:tcMar>
            <w:vAlign w:val="center"/>
          </w:tcPr>
          <w:p w14:paraId="4BFC7E1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0.7606</w:t>
            </w:r>
          </w:p>
        </w:tc>
      </w:tr>
      <w:tr w14:paraId="2BD8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BDF10C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 level</w:t>
            </w:r>
          </w:p>
        </w:tc>
        <w:tc>
          <w:tcPr>
            <w:tcW w:w="2976" w:type="dxa"/>
            <w:shd w:val="clear" w:color="auto" w:fill="auto"/>
            <w:tcMar>
              <w:top w:w="15" w:type="dxa"/>
              <w:left w:w="15" w:type="dxa"/>
              <w:bottom w:w="15" w:type="dxa"/>
              <w:right w:w="15" w:type="dxa"/>
            </w:tcMar>
            <w:vAlign w:val="center"/>
          </w:tcPr>
          <w:p w14:paraId="5E9D88A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Traditional worship</w:t>
            </w:r>
          </w:p>
        </w:tc>
        <w:tc>
          <w:tcPr>
            <w:tcW w:w="1140" w:type="dxa"/>
            <w:shd w:val="clear" w:color="auto" w:fill="auto"/>
            <w:tcMar>
              <w:top w:w="15" w:type="dxa"/>
              <w:left w:w="15" w:type="dxa"/>
              <w:bottom w:w="15" w:type="dxa"/>
              <w:right w:w="15" w:type="dxa"/>
            </w:tcMar>
            <w:vAlign w:val="center"/>
          </w:tcPr>
          <w:p w14:paraId="3D953C1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27.14</w:t>
            </w:r>
          </w:p>
        </w:tc>
        <w:tc>
          <w:tcPr>
            <w:tcW w:w="960" w:type="dxa"/>
            <w:shd w:val="clear" w:color="auto" w:fill="auto"/>
            <w:tcMar>
              <w:top w:w="15" w:type="dxa"/>
              <w:left w:w="15" w:type="dxa"/>
              <w:bottom w:w="15" w:type="dxa"/>
              <w:right w:w="15" w:type="dxa"/>
            </w:tcMar>
            <w:vAlign w:val="center"/>
          </w:tcPr>
          <w:p w14:paraId="48612B6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1575" w:type="dxa"/>
            <w:shd w:val="clear" w:color="auto" w:fill="auto"/>
            <w:tcMar>
              <w:top w:w="15" w:type="dxa"/>
              <w:left w:w="15" w:type="dxa"/>
              <w:bottom w:w="15" w:type="dxa"/>
              <w:right w:w="15" w:type="dxa"/>
            </w:tcMar>
            <w:vAlign w:val="center"/>
          </w:tcPr>
          <w:p w14:paraId="047AC9F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0.1661</w:t>
            </w:r>
          </w:p>
        </w:tc>
      </w:tr>
      <w:tr w14:paraId="1988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171148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 level</w:t>
            </w:r>
          </w:p>
        </w:tc>
        <w:tc>
          <w:tcPr>
            <w:tcW w:w="2976" w:type="dxa"/>
            <w:shd w:val="clear" w:color="auto" w:fill="auto"/>
            <w:tcMar>
              <w:top w:w="15" w:type="dxa"/>
              <w:left w:w="15" w:type="dxa"/>
              <w:bottom w:w="15" w:type="dxa"/>
              <w:right w:w="15" w:type="dxa"/>
            </w:tcMar>
            <w:vAlign w:val="center"/>
          </w:tcPr>
          <w:p w14:paraId="68B9A2E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regulation</w:t>
            </w:r>
          </w:p>
        </w:tc>
        <w:tc>
          <w:tcPr>
            <w:tcW w:w="1140" w:type="dxa"/>
            <w:shd w:val="clear" w:color="auto" w:fill="auto"/>
            <w:tcMar>
              <w:top w:w="15" w:type="dxa"/>
              <w:left w:w="15" w:type="dxa"/>
              <w:bottom w:w="15" w:type="dxa"/>
              <w:right w:w="15" w:type="dxa"/>
            </w:tcMar>
            <w:vAlign w:val="center"/>
          </w:tcPr>
          <w:p w14:paraId="0F2C34E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23.54</w:t>
            </w:r>
          </w:p>
        </w:tc>
        <w:tc>
          <w:tcPr>
            <w:tcW w:w="960" w:type="dxa"/>
            <w:shd w:val="clear" w:color="auto" w:fill="auto"/>
            <w:tcMar>
              <w:top w:w="15" w:type="dxa"/>
              <w:left w:w="15" w:type="dxa"/>
              <w:bottom w:w="15" w:type="dxa"/>
              <w:right w:w="15" w:type="dxa"/>
            </w:tcMar>
            <w:vAlign w:val="center"/>
          </w:tcPr>
          <w:p w14:paraId="7B2307D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1575" w:type="dxa"/>
            <w:shd w:val="clear" w:color="auto" w:fill="auto"/>
            <w:tcMar>
              <w:top w:w="15" w:type="dxa"/>
              <w:left w:w="15" w:type="dxa"/>
              <w:bottom w:w="15" w:type="dxa"/>
              <w:right w:w="15" w:type="dxa"/>
            </w:tcMar>
            <w:vAlign w:val="center"/>
          </w:tcPr>
          <w:p w14:paraId="596D18D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0.3157</w:t>
            </w:r>
          </w:p>
        </w:tc>
      </w:tr>
    </w:tbl>
    <w:p w14:paraId="22D8FEE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068D9D4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3C84395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56835F9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11FCD67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01190CF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73124C8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36C15B9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0934D1D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5AC21FE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34D8F95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1D99ADE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7DB5002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3A795E6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7E40918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1529CA8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29C51EE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193C5C4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5AC7652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2D40586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06471F2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1FD90DE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0D9F59F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503B2B3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lang w:val="en-US"/>
        </w:rPr>
      </w:pPr>
    </w:p>
    <w:p w14:paraId="500EC782">
      <w:pPr>
        <w:keepNext w:val="0"/>
        <w:keepLines w:val="0"/>
        <w:widowControl/>
        <w:suppressLineNumbers w:val="0"/>
        <w:spacing w:before="0" w:beforeAutospacing="1" w:after="0" w:afterAutospacing="1" w:line="240" w:lineRule="auto"/>
        <w:ind w:left="0" w:right="0"/>
        <w:jc w:val="left"/>
        <w:outlineLvl w:val="2"/>
        <w:rPr>
          <w:rFonts w:hint="default" w:ascii="Times New Roman" w:hAnsi="Times New Roman" w:eastAsia="Times New Roman" w:cs="Times New Roman"/>
          <w:b/>
          <w:bCs/>
          <w:kern w:val="0"/>
          <w:sz w:val="24"/>
          <w:szCs w:val="24"/>
          <w:lang w:val="en-US" w:eastAsia="zh-CN" w:bidi="ar"/>
        </w:rPr>
      </w:pPr>
    </w:p>
    <w:p w14:paraId="7DDB2A8B">
      <w:pPr>
        <w:keepNext w:val="0"/>
        <w:keepLines w:val="0"/>
        <w:widowControl/>
        <w:suppressLineNumbers w:val="0"/>
        <w:spacing w:before="0" w:beforeAutospacing="1" w:after="0" w:afterAutospacing="1" w:line="240" w:lineRule="auto"/>
        <w:ind w:left="0" w:right="0"/>
        <w:jc w:val="left"/>
        <w:outlineLvl w:val="2"/>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b/>
          <w:bCs/>
          <w:kern w:val="0"/>
          <w:sz w:val="24"/>
          <w:szCs w:val="24"/>
          <w:lang w:val="en-US" w:eastAsia="zh-CN" w:bidi="ar"/>
        </w:rPr>
        <w:t>Appendix A. Table 1</w:t>
      </w:r>
      <w:r>
        <w:rPr>
          <w:rFonts w:hint="default" w:ascii="Times New Roman" w:hAnsi="Times New Roman" w:cs="Times New Roman"/>
          <w:b/>
          <w:bCs/>
          <w:kern w:val="0"/>
          <w:sz w:val="24"/>
          <w:szCs w:val="24"/>
          <w:lang w:val="en-US" w:eastAsia="zh-CN" w:bidi="ar"/>
        </w:rPr>
        <w:t>.</w:t>
      </w:r>
      <w:r>
        <w:rPr>
          <w:rFonts w:hint="default" w:ascii="Times New Roman" w:hAnsi="Times New Roman" w:eastAsia="Times New Roman" w:cs="Times New Roman"/>
          <w:b/>
          <w:bCs/>
          <w:kern w:val="0"/>
          <w:sz w:val="24"/>
          <w:szCs w:val="24"/>
          <w:lang w:val="en-US" w:eastAsia="zh-CN" w:bidi="ar"/>
        </w:rPr>
        <w:t xml:space="preserve"> Summary of chi-square test results for respondent demographic characteristics and community perceptions regarding forest ecosystem services benefits for the wider society</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6"/>
        <w:gridCol w:w="5461"/>
        <w:gridCol w:w="720"/>
        <w:gridCol w:w="300"/>
        <w:gridCol w:w="735"/>
      </w:tblGrid>
      <w:tr w14:paraId="4762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Header/>
          <w:tblCellSpacing w:w="15" w:type="dxa"/>
        </w:trPr>
        <w:tc>
          <w:tcPr>
            <w:tcW w:w="0" w:type="auto"/>
            <w:shd w:val="clear" w:color="auto" w:fill="auto"/>
            <w:tcMar>
              <w:top w:w="15" w:type="dxa"/>
              <w:left w:w="15" w:type="dxa"/>
              <w:bottom w:w="15" w:type="dxa"/>
              <w:right w:w="15" w:type="dxa"/>
            </w:tcMar>
            <w:vAlign w:val="center"/>
          </w:tcPr>
          <w:p w14:paraId="58E94C79">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Demographic variable</w:t>
            </w:r>
          </w:p>
        </w:tc>
        <w:tc>
          <w:tcPr>
            <w:tcW w:w="0" w:type="auto"/>
            <w:shd w:val="clear" w:color="auto" w:fill="auto"/>
            <w:tcMar>
              <w:top w:w="15" w:type="dxa"/>
              <w:left w:w="15" w:type="dxa"/>
              <w:bottom w:w="15" w:type="dxa"/>
              <w:right w:w="15" w:type="dxa"/>
            </w:tcMar>
            <w:vAlign w:val="center"/>
          </w:tcPr>
          <w:p w14:paraId="5FC07224">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Perception variable</w:t>
            </w:r>
          </w:p>
        </w:tc>
        <w:tc>
          <w:tcPr>
            <w:tcW w:w="0" w:type="auto"/>
            <w:shd w:val="clear" w:color="auto" w:fill="auto"/>
            <w:tcMar>
              <w:top w:w="15" w:type="dxa"/>
              <w:left w:w="15" w:type="dxa"/>
              <w:bottom w:w="15" w:type="dxa"/>
              <w:right w:w="15" w:type="dxa"/>
            </w:tcMar>
            <w:vAlign w:val="center"/>
          </w:tcPr>
          <w:p w14:paraId="5D2A2E49">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χ²</w:t>
            </w:r>
          </w:p>
        </w:tc>
        <w:tc>
          <w:tcPr>
            <w:tcW w:w="0" w:type="auto"/>
            <w:shd w:val="clear" w:color="auto" w:fill="auto"/>
            <w:tcMar>
              <w:top w:w="15" w:type="dxa"/>
              <w:left w:w="15" w:type="dxa"/>
              <w:bottom w:w="15" w:type="dxa"/>
              <w:right w:w="15" w:type="dxa"/>
            </w:tcMar>
            <w:vAlign w:val="center"/>
          </w:tcPr>
          <w:p w14:paraId="67F2DD6C">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df</w:t>
            </w:r>
          </w:p>
        </w:tc>
        <w:tc>
          <w:tcPr>
            <w:tcW w:w="0" w:type="auto"/>
            <w:shd w:val="clear" w:color="auto" w:fill="auto"/>
            <w:tcMar>
              <w:top w:w="15" w:type="dxa"/>
              <w:left w:w="15" w:type="dxa"/>
              <w:bottom w:w="15" w:type="dxa"/>
              <w:right w:w="15" w:type="dxa"/>
            </w:tcMar>
            <w:vAlign w:val="center"/>
          </w:tcPr>
          <w:p w14:paraId="4E5173E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kern w:val="0"/>
                <w:sz w:val="24"/>
                <w:szCs w:val="24"/>
                <w:lang w:val="en-US" w:eastAsia="zh-CN" w:bidi="ar"/>
              </w:rPr>
              <w:t>p</w:t>
            </w:r>
          </w:p>
        </w:tc>
      </w:tr>
      <w:tr w14:paraId="3964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EB33F9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4933C8E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Importance and benefits of forest to wider society: source of rain</w:t>
            </w:r>
          </w:p>
        </w:tc>
        <w:tc>
          <w:tcPr>
            <w:tcW w:w="0" w:type="auto"/>
            <w:shd w:val="clear" w:color="auto" w:fill="auto"/>
            <w:tcMar>
              <w:top w:w="15" w:type="dxa"/>
              <w:left w:w="15" w:type="dxa"/>
              <w:bottom w:w="15" w:type="dxa"/>
              <w:right w:w="15" w:type="dxa"/>
            </w:tcMar>
            <w:vAlign w:val="center"/>
          </w:tcPr>
          <w:p w14:paraId="17D0135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9.79</w:t>
            </w:r>
          </w:p>
        </w:tc>
        <w:tc>
          <w:tcPr>
            <w:tcW w:w="0" w:type="auto"/>
            <w:shd w:val="clear" w:color="auto" w:fill="auto"/>
            <w:tcMar>
              <w:top w:w="15" w:type="dxa"/>
              <w:left w:w="15" w:type="dxa"/>
              <w:bottom w:w="15" w:type="dxa"/>
              <w:right w:w="15" w:type="dxa"/>
            </w:tcMar>
            <w:vAlign w:val="center"/>
          </w:tcPr>
          <w:p w14:paraId="2153514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03D734C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0.1336</w:t>
            </w:r>
          </w:p>
        </w:tc>
      </w:tr>
      <w:tr w14:paraId="63EA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147AC2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0A533A3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0" w:type="auto"/>
            <w:shd w:val="clear" w:color="auto" w:fill="auto"/>
            <w:tcMar>
              <w:top w:w="15" w:type="dxa"/>
              <w:left w:w="15" w:type="dxa"/>
              <w:bottom w:w="15" w:type="dxa"/>
              <w:right w:w="15" w:type="dxa"/>
            </w:tcMar>
            <w:vAlign w:val="center"/>
          </w:tcPr>
          <w:p w14:paraId="25A2F08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6.93</w:t>
            </w:r>
          </w:p>
        </w:tc>
        <w:tc>
          <w:tcPr>
            <w:tcW w:w="0" w:type="auto"/>
            <w:shd w:val="clear" w:color="auto" w:fill="auto"/>
            <w:tcMar>
              <w:top w:w="15" w:type="dxa"/>
              <w:left w:w="15" w:type="dxa"/>
              <w:bottom w:w="15" w:type="dxa"/>
              <w:right w:w="15" w:type="dxa"/>
            </w:tcMar>
            <w:vAlign w:val="center"/>
          </w:tcPr>
          <w:p w14:paraId="4C98516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5AFE15D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0.3272</w:t>
            </w:r>
          </w:p>
        </w:tc>
      </w:tr>
      <w:tr w14:paraId="47F3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AD82F0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1F30BCD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0" w:type="auto"/>
            <w:shd w:val="clear" w:color="auto" w:fill="auto"/>
            <w:tcMar>
              <w:top w:w="15" w:type="dxa"/>
              <w:left w:w="15" w:type="dxa"/>
              <w:bottom w:w="15" w:type="dxa"/>
              <w:right w:w="15" w:type="dxa"/>
            </w:tcMar>
            <w:vAlign w:val="center"/>
          </w:tcPr>
          <w:p w14:paraId="5701B56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5.09</w:t>
            </w:r>
          </w:p>
        </w:tc>
        <w:tc>
          <w:tcPr>
            <w:tcW w:w="0" w:type="auto"/>
            <w:shd w:val="clear" w:color="auto" w:fill="auto"/>
            <w:tcMar>
              <w:top w:w="15" w:type="dxa"/>
              <w:left w:w="15" w:type="dxa"/>
              <w:bottom w:w="15" w:type="dxa"/>
              <w:right w:w="15" w:type="dxa"/>
            </w:tcMar>
            <w:vAlign w:val="center"/>
          </w:tcPr>
          <w:p w14:paraId="7AEB321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4</w:t>
            </w:r>
          </w:p>
        </w:tc>
        <w:tc>
          <w:tcPr>
            <w:tcW w:w="0" w:type="auto"/>
            <w:shd w:val="clear" w:color="auto" w:fill="auto"/>
            <w:tcMar>
              <w:top w:w="15" w:type="dxa"/>
              <w:left w:w="15" w:type="dxa"/>
              <w:bottom w:w="15" w:type="dxa"/>
              <w:right w:w="15" w:type="dxa"/>
            </w:tcMar>
            <w:vAlign w:val="center"/>
          </w:tcPr>
          <w:p w14:paraId="54F898F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0.2782</w:t>
            </w:r>
          </w:p>
        </w:tc>
      </w:tr>
      <w:tr w14:paraId="2F41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68EDD8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5A5429D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Edible items from forest (fruit, yam, green leaves)</w:t>
            </w:r>
          </w:p>
        </w:tc>
        <w:tc>
          <w:tcPr>
            <w:tcW w:w="0" w:type="auto"/>
            <w:shd w:val="clear" w:color="auto" w:fill="auto"/>
            <w:tcMar>
              <w:top w:w="15" w:type="dxa"/>
              <w:left w:w="15" w:type="dxa"/>
              <w:bottom w:w="15" w:type="dxa"/>
              <w:right w:w="15" w:type="dxa"/>
            </w:tcMar>
            <w:vAlign w:val="center"/>
          </w:tcPr>
          <w:p w14:paraId="0FE91B1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9.32</w:t>
            </w:r>
          </w:p>
        </w:tc>
        <w:tc>
          <w:tcPr>
            <w:tcW w:w="0" w:type="auto"/>
            <w:shd w:val="clear" w:color="auto" w:fill="auto"/>
            <w:tcMar>
              <w:top w:w="15" w:type="dxa"/>
              <w:left w:w="15" w:type="dxa"/>
              <w:bottom w:w="15" w:type="dxa"/>
              <w:right w:w="15" w:type="dxa"/>
            </w:tcMar>
            <w:vAlign w:val="center"/>
          </w:tcPr>
          <w:p w14:paraId="764E1B9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0BD5163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0.1566</w:t>
            </w:r>
          </w:p>
        </w:tc>
      </w:tr>
      <w:tr w14:paraId="5B2E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1F6743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455E4BB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Fuelwood/charcoal</w:t>
            </w:r>
          </w:p>
        </w:tc>
        <w:tc>
          <w:tcPr>
            <w:tcW w:w="0" w:type="auto"/>
            <w:shd w:val="clear" w:color="auto" w:fill="auto"/>
            <w:tcMar>
              <w:top w:w="15" w:type="dxa"/>
              <w:left w:w="15" w:type="dxa"/>
              <w:bottom w:w="15" w:type="dxa"/>
              <w:right w:w="15" w:type="dxa"/>
            </w:tcMar>
            <w:vAlign w:val="center"/>
          </w:tcPr>
          <w:p w14:paraId="7C1A8CC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2.37</w:t>
            </w:r>
          </w:p>
        </w:tc>
        <w:tc>
          <w:tcPr>
            <w:tcW w:w="0" w:type="auto"/>
            <w:shd w:val="clear" w:color="auto" w:fill="auto"/>
            <w:tcMar>
              <w:top w:w="15" w:type="dxa"/>
              <w:left w:w="15" w:type="dxa"/>
              <w:bottom w:w="15" w:type="dxa"/>
              <w:right w:w="15" w:type="dxa"/>
            </w:tcMar>
            <w:vAlign w:val="center"/>
          </w:tcPr>
          <w:p w14:paraId="181DD83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4</w:t>
            </w:r>
          </w:p>
        </w:tc>
        <w:tc>
          <w:tcPr>
            <w:tcW w:w="0" w:type="auto"/>
            <w:shd w:val="clear" w:color="auto" w:fill="auto"/>
            <w:tcMar>
              <w:top w:w="15" w:type="dxa"/>
              <w:left w:w="15" w:type="dxa"/>
              <w:bottom w:w="15" w:type="dxa"/>
              <w:right w:w="15" w:type="dxa"/>
            </w:tcMar>
            <w:vAlign w:val="center"/>
          </w:tcPr>
          <w:p w14:paraId="193BED7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0.6677</w:t>
            </w:r>
          </w:p>
        </w:tc>
      </w:tr>
      <w:tr w14:paraId="5EB1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931084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5CB2A30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Fibres</w:t>
            </w:r>
          </w:p>
        </w:tc>
        <w:tc>
          <w:tcPr>
            <w:tcW w:w="0" w:type="auto"/>
            <w:shd w:val="clear" w:color="auto" w:fill="auto"/>
            <w:tcMar>
              <w:top w:w="15" w:type="dxa"/>
              <w:left w:w="15" w:type="dxa"/>
              <w:bottom w:w="15" w:type="dxa"/>
              <w:right w:w="15" w:type="dxa"/>
            </w:tcMar>
            <w:vAlign w:val="center"/>
          </w:tcPr>
          <w:p w14:paraId="5892B60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5.63</w:t>
            </w:r>
          </w:p>
        </w:tc>
        <w:tc>
          <w:tcPr>
            <w:tcW w:w="0" w:type="auto"/>
            <w:shd w:val="clear" w:color="auto" w:fill="auto"/>
            <w:tcMar>
              <w:top w:w="15" w:type="dxa"/>
              <w:left w:w="15" w:type="dxa"/>
              <w:bottom w:w="15" w:type="dxa"/>
              <w:right w:w="15" w:type="dxa"/>
            </w:tcMar>
            <w:vAlign w:val="center"/>
          </w:tcPr>
          <w:p w14:paraId="4E473A8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6AA93EE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0.4663</w:t>
            </w:r>
          </w:p>
        </w:tc>
      </w:tr>
      <w:tr w14:paraId="4EC1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5805CD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4A04B02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Religious purpose</w:t>
            </w:r>
          </w:p>
        </w:tc>
        <w:tc>
          <w:tcPr>
            <w:tcW w:w="0" w:type="auto"/>
            <w:shd w:val="clear" w:color="auto" w:fill="auto"/>
            <w:tcMar>
              <w:top w:w="15" w:type="dxa"/>
              <w:left w:w="15" w:type="dxa"/>
              <w:bottom w:w="15" w:type="dxa"/>
              <w:right w:w="15" w:type="dxa"/>
            </w:tcMar>
            <w:vAlign w:val="center"/>
          </w:tcPr>
          <w:p w14:paraId="0AADAEB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6.54</w:t>
            </w:r>
          </w:p>
        </w:tc>
        <w:tc>
          <w:tcPr>
            <w:tcW w:w="0" w:type="auto"/>
            <w:shd w:val="clear" w:color="auto" w:fill="auto"/>
            <w:tcMar>
              <w:top w:w="15" w:type="dxa"/>
              <w:left w:w="15" w:type="dxa"/>
              <w:bottom w:w="15" w:type="dxa"/>
              <w:right w:w="15" w:type="dxa"/>
            </w:tcMar>
            <w:vAlign w:val="center"/>
          </w:tcPr>
          <w:p w14:paraId="0B09F68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5D86285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0.3658</w:t>
            </w:r>
          </w:p>
        </w:tc>
      </w:tr>
      <w:tr w14:paraId="40BB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572176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0B749BC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change</w:t>
            </w:r>
          </w:p>
        </w:tc>
        <w:tc>
          <w:tcPr>
            <w:tcW w:w="0" w:type="auto"/>
            <w:shd w:val="clear" w:color="auto" w:fill="auto"/>
            <w:tcMar>
              <w:top w:w="15" w:type="dxa"/>
              <w:left w:w="15" w:type="dxa"/>
              <w:bottom w:w="15" w:type="dxa"/>
              <w:right w:w="15" w:type="dxa"/>
            </w:tcMar>
            <w:vAlign w:val="center"/>
          </w:tcPr>
          <w:p w14:paraId="6B308C4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3.15</w:t>
            </w:r>
          </w:p>
        </w:tc>
        <w:tc>
          <w:tcPr>
            <w:tcW w:w="0" w:type="auto"/>
            <w:shd w:val="clear" w:color="auto" w:fill="auto"/>
            <w:tcMar>
              <w:top w:w="15" w:type="dxa"/>
              <w:left w:w="15" w:type="dxa"/>
              <w:bottom w:w="15" w:type="dxa"/>
              <w:right w:w="15" w:type="dxa"/>
            </w:tcMar>
            <w:vAlign w:val="center"/>
          </w:tcPr>
          <w:p w14:paraId="6196DFC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60CD5B8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0.7898</w:t>
            </w:r>
          </w:p>
        </w:tc>
      </w:tr>
      <w:tr w14:paraId="47FD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795726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63ECE7D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Educational purpose</w:t>
            </w:r>
          </w:p>
        </w:tc>
        <w:tc>
          <w:tcPr>
            <w:tcW w:w="0" w:type="auto"/>
            <w:shd w:val="clear" w:color="auto" w:fill="auto"/>
            <w:tcMar>
              <w:top w:w="15" w:type="dxa"/>
              <w:left w:w="15" w:type="dxa"/>
              <w:bottom w:w="15" w:type="dxa"/>
              <w:right w:w="15" w:type="dxa"/>
            </w:tcMar>
            <w:vAlign w:val="center"/>
          </w:tcPr>
          <w:p w14:paraId="068641A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3.43</w:t>
            </w:r>
          </w:p>
        </w:tc>
        <w:tc>
          <w:tcPr>
            <w:tcW w:w="0" w:type="auto"/>
            <w:shd w:val="clear" w:color="auto" w:fill="auto"/>
            <w:tcMar>
              <w:top w:w="15" w:type="dxa"/>
              <w:left w:w="15" w:type="dxa"/>
              <w:bottom w:w="15" w:type="dxa"/>
              <w:right w:w="15" w:type="dxa"/>
            </w:tcMar>
            <w:vAlign w:val="center"/>
          </w:tcPr>
          <w:p w14:paraId="1D83ADC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164334C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0.7529</w:t>
            </w:r>
          </w:p>
        </w:tc>
      </w:tr>
      <w:tr w14:paraId="597D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03EB94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Sex</w:t>
            </w:r>
          </w:p>
        </w:tc>
        <w:tc>
          <w:tcPr>
            <w:tcW w:w="0" w:type="auto"/>
            <w:shd w:val="clear" w:color="auto" w:fill="auto"/>
            <w:tcMar>
              <w:top w:w="15" w:type="dxa"/>
              <w:left w:w="15" w:type="dxa"/>
              <w:bottom w:w="15" w:type="dxa"/>
              <w:right w:w="15" w:type="dxa"/>
            </w:tcMar>
            <w:vAlign w:val="center"/>
          </w:tcPr>
          <w:p w14:paraId="55D88B4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Recreational</w:t>
            </w:r>
          </w:p>
        </w:tc>
        <w:tc>
          <w:tcPr>
            <w:tcW w:w="0" w:type="auto"/>
            <w:shd w:val="clear" w:color="auto" w:fill="auto"/>
            <w:tcMar>
              <w:top w:w="15" w:type="dxa"/>
              <w:left w:w="15" w:type="dxa"/>
              <w:bottom w:w="15" w:type="dxa"/>
              <w:right w:w="15" w:type="dxa"/>
            </w:tcMar>
            <w:vAlign w:val="center"/>
          </w:tcPr>
          <w:p w14:paraId="43C9703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14.23</w:t>
            </w:r>
          </w:p>
        </w:tc>
        <w:tc>
          <w:tcPr>
            <w:tcW w:w="0" w:type="auto"/>
            <w:shd w:val="clear" w:color="auto" w:fill="auto"/>
            <w:tcMar>
              <w:top w:w="15" w:type="dxa"/>
              <w:left w:w="15" w:type="dxa"/>
              <w:bottom w:w="15" w:type="dxa"/>
              <w:right w:w="15" w:type="dxa"/>
            </w:tcMar>
            <w:vAlign w:val="center"/>
          </w:tcPr>
          <w:p w14:paraId="03D8309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07354B5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0.0271</w:t>
            </w:r>
          </w:p>
        </w:tc>
      </w:tr>
      <w:tr w14:paraId="055B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E733B6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0570EAB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Source of rain</w:t>
            </w:r>
          </w:p>
        </w:tc>
        <w:tc>
          <w:tcPr>
            <w:tcW w:w="0" w:type="auto"/>
            <w:shd w:val="clear" w:color="auto" w:fill="auto"/>
            <w:tcMar>
              <w:top w:w="15" w:type="dxa"/>
              <w:left w:w="15" w:type="dxa"/>
              <w:bottom w:w="15" w:type="dxa"/>
              <w:right w:w="15" w:type="dxa"/>
            </w:tcMar>
            <w:vAlign w:val="center"/>
          </w:tcPr>
          <w:p w14:paraId="0075767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2.49</w:t>
            </w:r>
          </w:p>
        </w:tc>
        <w:tc>
          <w:tcPr>
            <w:tcW w:w="0" w:type="auto"/>
            <w:shd w:val="clear" w:color="auto" w:fill="auto"/>
            <w:tcMar>
              <w:top w:w="15" w:type="dxa"/>
              <w:left w:w="15" w:type="dxa"/>
              <w:bottom w:w="15" w:type="dxa"/>
              <w:right w:w="15" w:type="dxa"/>
            </w:tcMar>
            <w:vAlign w:val="center"/>
          </w:tcPr>
          <w:p w14:paraId="024C4B6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0" w:type="auto"/>
            <w:shd w:val="clear" w:color="auto" w:fill="auto"/>
            <w:tcMar>
              <w:top w:w="15" w:type="dxa"/>
              <w:left w:w="15" w:type="dxa"/>
              <w:bottom w:w="15" w:type="dxa"/>
              <w:right w:w="15" w:type="dxa"/>
            </w:tcMar>
            <w:vAlign w:val="center"/>
          </w:tcPr>
          <w:p w14:paraId="3919FDD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0.9811</w:t>
            </w:r>
          </w:p>
        </w:tc>
      </w:tr>
      <w:tr w14:paraId="6287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ABFFBE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1E2C0CD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0" w:type="auto"/>
            <w:shd w:val="clear" w:color="auto" w:fill="auto"/>
            <w:tcMar>
              <w:top w:w="15" w:type="dxa"/>
              <w:left w:w="15" w:type="dxa"/>
              <w:bottom w:w="15" w:type="dxa"/>
              <w:right w:w="15" w:type="dxa"/>
            </w:tcMar>
            <w:vAlign w:val="center"/>
          </w:tcPr>
          <w:p w14:paraId="4D6ECB1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8.93</w:t>
            </w:r>
          </w:p>
        </w:tc>
        <w:tc>
          <w:tcPr>
            <w:tcW w:w="0" w:type="auto"/>
            <w:shd w:val="clear" w:color="auto" w:fill="auto"/>
            <w:tcMar>
              <w:top w:w="15" w:type="dxa"/>
              <w:left w:w="15" w:type="dxa"/>
              <w:bottom w:w="15" w:type="dxa"/>
              <w:right w:w="15" w:type="dxa"/>
            </w:tcMar>
            <w:vAlign w:val="center"/>
          </w:tcPr>
          <w:p w14:paraId="5726199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0" w:type="auto"/>
            <w:shd w:val="clear" w:color="auto" w:fill="auto"/>
            <w:tcMar>
              <w:top w:w="15" w:type="dxa"/>
              <w:left w:w="15" w:type="dxa"/>
              <w:bottom w:w="15" w:type="dxa"/>
              <w:right w:w="15" w:type="dxa"/>
            </w:tcMar>
            <w:vAlign w:val="center"/>
          </w:tcPr>
          <w:p w14:paraId="4525B0E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0.4434</w:t>
            </w:r>
          </w:p>
        </w:tc>
      </w:tr>
      <w:tr w14:paraId="133A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445BAC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2F5A64B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0" w:type="auto"/>
            <w:shd w:val="clear" w:color="auto" w:fill="auto"/>
            <w:tcMar>
              <w:top w:w="15" w:type="dxa"/>
              <w:left w:w="15" w:type="dxa"/>
              <w:bottom w:w="15" w:type="dxa"/>
              <w:right w:w="15" w:type="dxa"/>
            </w:tcMar>
            <w:vAlign w:val="center"/>
          </w:tcPr>
          <w:p w14:paraId="64DB73C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14.81</w:t>
            </w:r>
          </w:p>
        </w:tc>
        <w:tc>
          <w:tcPr>
            <w:tcW w:w="0" w:type="auto"/>
            <w:shd w:val="clear" w:color="auto" w:fill="auto"/>
            <w:tcMar>
              <w:top w:w="15" w:type="dxa"/>
              <w:left w:w="15" w:type="dxa"/>
              <w:bottom w:w="15" w:type="dxa"/>
              <w:right w:w="15" w:type="dxa"/>
            </w:tcMar>
            <w:vAlign w:val="center"/>
          </w:tcPr>
          <w:p w14:paraId="07A4062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5D82624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0.0218</w:t>
            </w:r>
          </w:p>
        </w:tc>
      </w:tr>
      <w:tr w14:paraId="7A89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553F8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38D4315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Edible items from forest (fruit, yam, green leaves)</w:t>
            </w:r>
          </w:p>
        </w:tc>
        <w:tc>
          <w:tcPr>
            <w:tcW w:w="0" w:type="auto"/>
            <w:shd w:val="clear" w:color="auto" w:fill="auto"/>
            <w:tcMar>
              <w:top w:w="15" w:type="dxa"/>
              <w:left w:w="15" w:type="dxa"/>
              <w:bottom w:w="15" w:type="dxa"/>
              <w:right w:w="15" w:type="dxa"/>
            </w:tcMar>
            <w:vAlign w:val="center"/>
          </w:tcPr>
          <w:p w14:paraId="0DEB988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7.11</w:t>
            </w:r>
          </w:p>
        </w:tc>
        <w:tc>
          <w:tcPr>
            <w:tcW w:w="0" w:type="auto"/>
            <w:shd w:val="clear" w:color="auto" w:fill="auto"/>
            <w:tcMar>
              <w:top w:w="15" w:type="dxa"/>
              <w:left w:w="15" w:type="dxa"/>
              <w:bottom w:w="15" w:type="dxa"/>
              <w:right w:w="15" w:type="dxa"/>
            </w:tcMar>
            <w:vAlign w:val="center"/>
          </w:tcPr>
          <w:p w14:paraId="59AD8B1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0" w:type="auto"/>
            <w:shd w:val="clear" w:color="auto" w:fill="auto"/>
            <w:tcMar>
              <w:top w:w="15" w:type="dxa"/>
              <w:left w:w="15" w:type="dxa"/>
              <w:bottom w:w="15" w:type="dxa"/>
              <w:right w:w="15" w:type="dxa"/>
            </w:tcMar>
            <w:vAlign w:val="center"/>
          </w:tcPr>
          <w:p w14:paraId="3A617AE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0.6256</w:t>
            </w:r>
          </w:p>
        </w:tc>
      </w:tr>
      <w:tr w14:paraId="3DF4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A45030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59B33C8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Fuelwood/charcoal</w:t>
            </w:r>
          </w:p>
        </w:tc>
        <w:tc>
          <w:tcPr>
            <w:tcW w:w="0" w:type="auto"/>
            <w:shd w:val="clear" w:color="auto" w:fill="auto"/>
            <w:tcMar>
              <w:top w:w="15" w:type="dxa"/>
              <w:left w:w="15" w:type="dxa"/>
              <w:bottom w:w="15" w:type="dxa"/>
              <w:right w:w="15" w:type="dxa"/>
            </w:tcMar>
            <w:vAlign w:val="center"/>
          </w:tcPr>
          <w:p w14:paraId="72BBD22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7.19</w:t>
            </w:r>
          </w:p>
        </w:tc>
        <w:tc>
          <w:tcPr>
            <w:tcW w:w="0" w:type="auto"/>
            <w:shd w:val="clear" w:color="auto" w:fill="auto"/>
            <w:tcMar>
              <w:top w:w="15" w:type="dxa"/>
              <w:left w:w="15" w:type="dxa"/>
              <w:bottom w:w="15" w:type="dxa"/>
              <w:right w:w="15" w:type="dxa"/>
            </w:tcMar>
            <w:vAlign w:val="center"/>
          </w:tcPr>
          <w:p w14:paraId="2CEF15F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0" w:type="auto"/>
            <w:shd w:val="clear" w:color="auto" w:fill="auto"/>
            <w:tcMar>
              <w:top w:w="15" w:type="dxa"/>
              <w:left w:w="15" w:type="dxa"/>
              <w:bottom w:w="15" w:type="dxa"/>
              <w:right w:w="15" w:type="dxa"/>
            </w:tcMar>
            <w:vAlign w:val="center"/>
          </w:tcPr>
          <w:p w14:paraId="7AB6870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0.3033</w:t>
            </w:r>
          </w:p>
        </w:tc>
      </w:tr>
      <w:tr w14:paraId="4D8F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DC07DE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71FED74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Fibres</w:t>
            </w:r>
          </w:p>
        </w:tc>
        <w:tc>
          <w:tcPr>
            <w:tcW w:w="0" w:type="auto"/>
            <w:shd w:val="clear" w:color="auto" w:fill="auto"/>
            <w:tcMar>
              <w:top w:w="15" w:type="dxa"/>
              <w:left w:w="15" w:type="dxa"/>
              <w:bottom w:w="15" w:type="dxa"/>
              <w:right w:w="15" w:type="dxa"/>
            </w:tcMar>
            <w:vAlign w:val="center"/>
          </w:tcPr>
          <w:p w14:paraId="1B60B21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17.35</w:t>
            </w:r>
          </w:p>
        </w:tc>
        <w:tc>
          <w:tcPr>
            <w:tcW w:w="0" w:type="auto"/>
            <w:shd w:val="clear" w:color="auto" w:fill="auto"/>
            <w:tcMar>
              <w:top w:w="15" w:type="dxa"/>
              <w:left w:w="15" w:type="dxa"/>
              <w:bottom w:w="15" w:type="dxa"/>
              <w:right w:w="15" w:type="dxa"/>
            </w:tcMar>
            <w:vAlign w:val="center"/>
          </w:tcPr>
          <w:p w14:paraId="5171751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0" w:type="auto"/>
            <w:shd w:val="clear" w:color="auto" w:fill="auto"/>
            <w:tcMar>
              <w:top w:w="15" w:type="dxa"/>
              <w:left w:w="15" w:type="dxa"/>
              <w:bottom w:w="15" w:type="dxa"/>
              <w:right w:w="15" w:type="dxa"/>
            </w:tcMar>
            <w:vAlign w:val="center"/>
          </w:tcPr>
          <w:p w14:paraId="694042D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0.0436</w:t>
            </w:r>
          </w:p>
        </w:tc>
      </w:tr>
      <w:tr w14:paraId="2A8C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9A8B05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6A125BA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Religious purpose</w:t>
            </w:r>
          </w:p>
        </w:tc>
        <w:tc>
          <w:tcPr>
            <w:tcW w:w="0" w:type="auto"/>
            <w:shd w:val="clear" w:color="auto" w:fill="auto"/>
            <w:tcMar>
              <w:top w:w="15" w:type="dxa"/>
              <w:left w:w="15" w:type="dxa"/>
              <w:bottom w:w="15" w:type="dxa"/>
              <w:right w:w="15" w:type="dxa"/>
            </w:tcMar>
            <w:vAlign w:val="center"/>
          </w:tcPr>
          <w:p w14:paraId="5A9FB48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11.26</w:t>
            </w:r>
          </w:p>
        </w:tc>
        <w:tc>
          <w:tcPr>
            <w:tcW w:w="0" w:type="auto"/>
            <w:shd w:val="clear" w:color="auto" w:fill="auto"/>
            <w:tcMar>
              <w:top w:w="15" w:type="dxa"/>
              <w:left w:w="15" w:type="dxa"/>
              <w:bottom w:w="15" w:type="dxa"/>
              <w:right w:w="15" w:type="dxa"/>
            </w:tcMar>
            <w:vAlign w:val="center"/>
          </w:tcPr>
          <w:p w14:paraId="1A522E1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0" w:type="auto"/>
            <w:shd w:val="clear" w:color="auto" w:fill="auto"/>
            <w:tcMar>
              <w:top w:w="15" w:type="dxa"/>
              <w:left w:w="15" w:type="dxa"/>
              <w:bottom w:w="15" w:type="dxa"/>
              <w:right w:w="15" w:type="dxa"/>
            </w:tcMar>
            <w:vAlign w:val="center"/>
          </w:tcPr>
          <w:p w14:paraId="1738188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0.2583</w:t>
            </w:r>
          </w:p>
        </w:tc>
      </w:tr>
      <w:tr w14:paraId="6C60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76661F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6304B91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change</w:t>
            </w:r>
          </w:p>
        </w:tc>
        <w:tc>
          <w:tcPr>
            <w:tcW w:w="0" w:type="auto"/>
            <w:shd w:val="clear" w:color="auto" w:fill="auto"/>
            <w:tcMar>
              <w:top w:w="15" w:type="dxa"/>
              <w:left w:w="15" w:type="dxa"/>
              <w:bottom w:w="15" w:type="dxa"/>
              <w:right w:w="15" w:type="dxa"/>
            </w:tcMar>
            <w:vAlign w:val="center"/>
          </w:tcPr>
          <w:p w14:paraId="7EEAE5E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6.85</w:t>
            </w:r>
          </w:p>
        </w:tc>
        <w:tc>
          <w:tcPr>
            <w:tcW w:w="0" w:type="auto"/>
            <w:shd w:val="clear" w:color="auto" w:fill="auto"/>
            <w:tcMar>
              <w:top w:w="15" w:type="dxa"/>
              <w:left w:w="15" w:type="dxa"/>
              <w:bottom w:w="15" w:type="dxa"/>
              <w:right w:w="15" w:type="dxa"/>
            </w:tcMar>
            <w:vAlign w:val="center"/>
          </w:tcPr>
          <w:p w14:paraId="6B63FA0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0" w:type="auto"/>
            <w:shd w:val="clear" w:color="auto" w:fill="auto"/>
            <w:tcMar>
              <w:top w:w="15" w:type="dxa"/>
              <w:left w:w="15" w:type="dxa"/>
              <w:bottom w:w="15" w:type="dxa"/>
              <w:right w:w="15" w:type="dxa"/>
            </w:tcMar>
            <w:vAlign w:val="center"/>
          </w:tcPr>
          <w:p w14:paraId="3CB42B8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0.6527</w:t>
            </w:r>
          </w:p>
        </w:tc>
      </w:tr>
      <w:tr w14:paraId="1B5D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A5FF13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7FD0AAF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Educational purpose</w:t>
            </w:r>
          </w:p>
        </w:tc>
        <w:tc>
          <w:tcPr>
            <w:tcW w:w="0" w:type="auto"/>
            <w:shd w:val="clear" w:color="auto" w:fill="auto"/>
            <w:tcMar>
              <w:top w:w="15" w:type="dxa"/>
              <w:left w:w="15" w:type="dxa"/>
              <w:bottom w:w="15" w:type="dxa"/>
              <w:right w:w="15" w:type="dxa"/>
            </w:tcMar>
            <w:vAlign w:val="center"/>
          </w:tcPr>
          <w:p w14:paraId="70463EA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19.95</w:t>
            </w:r>
          </w:p>
        </w:tc>
        <w:tc>
          <w:tcPr>
            <w:tcW w:w="0" w:type="auto"/>
            <w:shd w:val="clear" w:color="auto" w:fill="auto"/>
            <w:tcMar>
              <w:top w:w="15" w:type="dxa"/>
              <w:left w:w="15" w:type="dxa"/>
              <w:bottom w:w="15" w:type="dxa"/>
              <w:right w:w="15" w:type="dxa"/>
            </w:tcMar>
            <w:vAlign w:val="center"/>
          </w:tcPr>
          <w:p w14:paraId="42604A0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0" w:type="auto"/>
            <w:shd w:val="clear" w:color="auto" w:fill="auto"/>
            <w:tcMar>
              <w:top w:w="15" w:type="dxa"/>
              <w:left w:w="15" w:type="dxa"/>
              <w:bottom w:w="15" w:type="dxa"/>
              <w:right w:w="15" w:type="dxa"/>
            </w:tcMar>
            <w:vAlign w:val="center"/>
          </w:tcPr>
          <w:p w14:paraId="016EB7E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0.0182</w:t>
            </w:r>
          </w:p>
        </w:tc>
      </w:tr>
      <w:tr w14:paraId="0F9E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869671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Age range</w:t>
            </w:r>
          </w:p>
        </w:tc>
        <w:tc>
          <w:tcPr>
            <w:tcW w:w="0" w:type="auto"/>
            <w:shd w:val="clear" w:color="auto" w:fill="auto"/>
            <w:tcMar>
              <w:top w:w="15" w:type="dxa"/>
              <w:left w:w="15" w:type="dxa"/>
              <w:bottom w:w="15" w:type="dxa"/>
              <w:right w:w="15" w:type="dxa"/>
            </w:tcMar>
            <w:vAlign w:val="center"/>
          </w:tcPr>
          <w:p w14:paraId="35DEB28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Recreational</w:t>
            </w:r>
          </w:p>
        </w:tc>
        <w:tc>
          <w:tcPr>
            <w:tcW w:w="0" w:type="auto"/>
            <w:shd w:val="clear" w:color="auto" w:fill="auto"/>
            <w:tcMar>
              <w:top w:w="15" w:type="dxa"/>
              <w:left w:w="15" w:type="dxa"/>
              <w:bottom w:w="15" w:type="dxa"/>
              <w:right w:w="15" w:type="dxa"/>
            </w:tcMar>
            <w:vAlign w:val="center"/>
          </w:tcPr>
          <w:p w14:paraId="02611CA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12.72</w:t>
            </w:r>
          </w:p>
        </w:tc>
        <w:tc>
          <w:tcPr>
            <w:tcW w:w="0" w:type="auto"/>
            <w:shd w:val="clear" w:color="auto" w:fill="auto"/>
            <w:tcMar>
              <w:top w:w="15" w:type="dxa"/>
              <w:left w:w="15" w:type="dxa"/>
              <w:bottom w:w="15" w:type="dxa"/>
              <w:right w:w="15" w:type="dxa"/>
            </w:tcMar>
            <w:vAlign w:val="center"/>
          </w:tcPr>
          <w:p w14:paraId="0CC0DF6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0" w:type="auto"/>
            <w:shd w:val="clear" w:color="auto" w:fill="auto"/>
            <w:tcMar>
              <w:top w:w="15" w:type="dxa"/>
              <w:left w:w="15" w:type="dxa"/>
              <w:bottom w:w="15" w:type="dxa"/>
              <w:right w:w="15" w:type="dxa"/>
            </w:tcMar>
            <w:vAlign w:val="center"/>
          </w:tcPr>
          <w:p w14:paraId="659043F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0.1756</w:t>
            </w:r>
          </w:p>
        </w:tc>
      </w:tr>
      <w:tr w14:paraId="6686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67A32C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0C49331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Source of rain</w:t>
            </w:r>
          </w:p>
        </w:tc>
        <w:tc>
          <w:tcPr>
            <w:tcW w:w="0" w:type="auto"/>
            <w:shd w:val="clear" w:color="auto" w:fill="auto"/>
            <w:tcMar>
              <w:top w:w="15" w:type="dxa"/>
              <w:left w:w="15" w:type="dxa"/>
              <w:bottom w:w="15" w:type="dxa"/>
              <w:right w:w="15" w:type="dxa"/>
            </w:tcMar>
            <w:vAlign w:val="center"/>
          </w:tcPr>
          <w:p w14:paraId="2F73051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0.79</w:t>
            </w:r>
          </w:p>
        </w:tc>
        <w:tc>
          <w:tcPr>
            <w:tcW w:w="0" w:type="auto"/>
            <w:shd w:val="clear" w:color="auto" w:fill="auto"/>
            <w:tcMar>
              <w:top w:w="15" w:type="dxa"/>
              <w:left w:w="15" w:type="dxa"/>
              <w:bottom w:w="15" w:type="dxa"/>
              <w:right w:w="15" w:type="dxa"/>
            </w:tcMar>
            <w:vAlign w:val="center"/>
          </w:tcPr>
          <w:p w14:paraId="6B8CBE3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719D3F4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1.000</w:t>
            </w:r>
          </w:p>
        </w:tc>
      </w:tr>
      <w:tr w14:paraId="059F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B963AC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69DBB04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0" w:type="auto"/>
            <w:shd w:val="clear" w:color="auto" w:fill="auto"/>
            <w:tcMar>
              <w:top w:w="15" w:type="dxa"/>
              <w:left w:w="15" w:type="dxa"/>
              <w:bottom w:w="15" w:type="dxa"/>
              <w:right w:w="15" w:type="dxa"/>
            </w:tcMar>
            <w:vAlign w:val="center"/>
          </w:tcPr>
          <w:p w14:paraId="566EAEE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4.38</w:t>
            </w:r>
          </w:p>
        </w:tc>
        <w:tc>
          <w:tcPr>
            <w:tcW w:w="0" w:type="auto"/>
            <w:shd w:val="clear" w:color="auto" w:fill="auto"/>
            <w:tcMar>
              <w:top w:w="15" w:type="dxa"/>
              <w:left w:w="15" w:type="dxa"/>
              <w:bottom w:w="15" w:type="dxa"/>
              <w:right w:w="15" w:type="dxa"/>
            </w:tcMar>
            <w:vAlign w:val="center"/>
          </w:tcPr>
          <w:p w14:paraId="2ECE51E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075A1CA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0.9755</w:t>
            </w:r>
          </w:p>
        </w:tc>
      </w:tr>
      <w:tr w14:paraId="5EAE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4E9976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027AE59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0" w:type="auto"/>
            <w:shd w:val="clear" w:color="auto" w:fill="auto"/>
            <w:tcMar>
              <w:top w:w="15" w:type="dxa"/>
              <w:left w:w="15" w:type="dxa"/>
              <w:bottom w:w="15" w:type="dxa"/>
              <w:right w:w="15" w:type="dxa"/>
            </w:tcMar>
            <w:vAlign w:val="center"/>
          </w:tcPr>
          <w:p w14:paraId="4A08FCF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11.56</w:t>
            </w:r>
          </w:p>
        </w:tc>
        <w:tc>
          <w:tcPr>
            <w:tcW w:w="0" w:type="auto"/>
            <w:shd w:val="clear" w:color="auto" w:fill="auto"/>
            <w:tcMar>
              <w:top w:w="15" w:type="dxa"/>
              <w:left w:w="15" w:type="dxa"/>
              <w:bottom w:w="15" w:type="dxa"/>
              <w:right w:w="15" w:type="dxa"/>
            </w:tcMar>
            <w:vAlign w:val="center"/>
          </w:tcPr>
          <w:p w14:paraId="0BBCF68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w:t>
            </w:r>
          </w:p>
        </w:tc>
        <w:tc>
          <w:tcPr>
            <w:tcW w:w="0" w:type="auto"/>
            <w:shd w:val="clear" w:color="auto" w:fill="auto"/>
            <w:tcMar>
              <w:top w:w="15" w:type="dxa"/>
              <w:left w:w="15" w:type="dxa"/>
              <w:bottom w:w="15" w:type="dxa"/>
              <w:right w:w="15" w:type="dxa"/>
            </w:tcMar>
            <w:vAlign w:val="center"/>
          </w:tcPr>
          <w:p w14:paraId="5B3EA51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0.1717</w:t>
            </w:r>
          </w:p>
        </w:tc>
      </w:tr>
      <w:tr w14:paraId="0027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36A315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3FE1BDA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Edible items from forest (fruit, yam, green leaves)</w:t>
            </w:r>
          </w:p>
        </w:tc>
        <w:tc>
          <w:tcPr>
            <w:tcW w:w="0" w:type="auto"/>
            <w:shd w:val="clear" w:color="auto" w:fill="auto"/>
            <w:tcMar>
              <w:top w:w="15" w:type="dxa"/>
              <w:left w:w="15" w:type="dxa"/>
              <w:bottom w:w="15" w:type="dxa"/>
              <w:right w:w="15" w:type="dxa"/>
            </w:tcMar>
            <w:vAlign w:val="center"/>
          </w:tcPr>
          <w:p w14:paraId="04DE20C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2.54</w:t>
            </w:r>
          </w:p>
        </w:tc>
        <w:tc>
          <w:tcPr>
            <w:tcW w:w="0" w:type="auto"/>
            <w:shd w:val="clear" w:color="auto" w:fill="auto"/>
            <w:tcMar>
              <w:top w:w="15" w:type="dxa"/>
              <w:left w:w="15" w:type="dxa"/>
              <w:bottom w:w="15" w:type="dxa"/>
              <w:right w:w="15" w:type="dxa"/>
            </w:tcMar>
            <w:vAlign w:val="center"/>
          </w:tcPr>
          <w:p w14:paraId="3062C79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111ECE0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0.998</w:t>
            </w:r>
          </w:p>
        </w:tc>
      </w:tr>
      <w:tr w14:paraId="2037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6207B7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7B8345F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Fuelwood/charcoal</w:t>
            </w:r>
          </w:p>
        </w:tc>
        <w:tc>
          <w:tcPr>
            <w:tcW w:w="0" w:type="auto"/>
            <w:shd w:val="clear" w:color="auto" w:fill="auto"/>
            <w:tcMar>
              <w:top w:w="15" w:type="dxa"/>
              <w:left w:w="15" w:type="dxa"/>
              <w:bottom w:w="15" w:type="dxa"/>
              <w:right w:w="15" w:type="dxa"/>
            </w:tcMar>
            <w:vAlign w:val="center"/>
          </w:tcPr>
          <w:p w14:paraId="20AA8B0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7.62</w:t>
            </w:r>
          </w:p>
        </w:tc>
        <w:tc>
          <w:tcPr>
            <w:tcW w:w="0" w:type="auto"/>
            <w:shd w:val="clear" w:color="auto" w:fill="auto"/>
            <w:tcMar>
              <w:top w:w="15" w:type="dxa"/>
              <w:left w:w="15" w:type="dxa"/>
              <w:bottom w:w="15" w:type="dxa"/>
              <w:right w:w="15" w:type="dxa"/>
            </w:tcMar>
            <w:vAlign w:val="center"/>
          </w:tcPr>
          <w:p w14:paraId="6863977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w:t>
            </w:r>
          </w:p>
        </w:tc>
        <w:tc>
          <w:tcPr>
            <w:tcW w:w="0" w:type="auto"/>
            <w:shd w:val="clear" w:color="auto" w:fill="auto"/>
            <w:tcMar>
              <w:top w:w="15" w:type="dxa"/>
              <w:left w:w="15" w:type="dxa"/>
              <w:bottom w:w="15" w:type="dxa"/>
              <w:right w:w="15" w:type="dxa"/>
            </w:tcMar>
            <w:vAlign w:val="center"/>
          </w:tcPr>
          <w:p w14:paraId="0CA271C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0.472</w:t>
            </w:r>
          </w:p>
        </w:tc>
      </w:tr>
      <w:tr w14:paraId="715E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EF89D0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02D043B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Fibres</w:t>
            </w:r>
          </w:p>
        </w:tc>
        <w:tc>
          <w:tcPr>
            <w:tcW w:w="0" w:type="auto"/>
            <w:shd w:val="clear" w:color="auto" w:fill="auto"/>
            <w:tcMar>
              <w:top w:w="15" w:type="dxa"/>
              <w:left w:w="15" w:type="dxa"/>
              <w:bottom w:w="15" w:type="dxa"/>
              <w:right w:w="15" w:type="dxa"/>
            </w:tcMar>
            <w:vAlign w:val="center"/>
          </w:tcPr>
          <w:p w14:paraId="60C0CC8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12.12</w:t>
            </w:r>
          </w:p>
        </w:tc>
        <w:tc>
          <w:tcPr>
            <w:tcW w:w="0" w:type="auto"/>
            <w:shd w:val="clear" w:color="auto" w:fill="auto"/>
            <w:tcMar>
              <w:top w:w="15" w:type="dxa"/>
              <w:left w:w="15" w:type="dxa"/>
              <w:bottom w:w="15" w:type="dxa"/>
              <w:right w:w="15" w:type="dxa"/>
            </w:tcMar>
            <w:vAlign w:val="center"/>
          </w:tcPr>
          <w:p w14:paraId="56A6C2C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25B69A9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0.4363</w:t>
            </w:r>
          </w:p>
        </w:tc>
      </w:tr>
      <w:tr w14:paraId="2FAA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FA0FB2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5089B0C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Religious purpose</w:t>
            </w:r>
          </w:p>
        </w:tc>
        <w:tc>
          <w:tcPr>
            <w:tcW w:w="0" w:type="auto"/>
            <w:shd w:val="clear" w:color="auto" w:fill="auto"/>
            <w:tcMar>
              <w:top w:w="15" w:type="dxa"/>
              <w:left w:w="15" w:type="dxa"/>
              <w:bottom w:w="15" w:type="dxa"/>
              <w:right w:w="15" w:type="dxa"/>
            </w:tcMar>
            <w:vAlign w:val="center"/>
          </w:tcPr>
          <w:p w14:paraId="4B68F13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11.50</w:t>
            </w:r>
          </w:p>
        </w:tc>
        <w:tc>
          <w:tcPr>
            <w:tcW w:w="0" w:type="auto"/>
            <w:shd w:val="clear" w:color="auto" w:fill="auto"/>
            <w:tcMar>
              <w:top w:w="15" w:type="dxa"/>
              <w:left w:w="15" w:type="dxa"/>
              <w:bottom w:w="15" w:type="dxa"/>
              <w:right w:w="15" w:type="dxa"/>
            </w:tcMar>
            <w:vAlign w:val="center"/>
          </w:tcPr>
          <w:p w14:paraId="703E1EA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770549D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0.4864</w:t>
            </w:r>
          </w:p>
        </w:tc>
      </w:tr>
      <w:tr w14:paraId="5AF7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BC3CBD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0315BE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change</w:t>
            </w:r>
          </w:p>
        </w:tc>
        <w:tc>
          <w:tcPr>
            <w:tcW w:w="0" w:type="auto"/>
            <w:shd w:val="clear" w:color="auto" w:fill="auto"/>
            <w:tcMar>
              <w:top w:w="15" w:type="dxa"/>
              <w:left w:w="15" w:type="dxa"/>
              <w:bottom w:w="15" w:type="dxa"/>
              <w:right w:w="15" w:type="dxa"/>
            </w:tcMar>
            <w:vAlign w:val="center"/>
          </w:tcPr>
          <w:p w14:paraId="2145937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4.80</w:t>
            </w:r>
          </w:p>
        </w:tc>
        <w:tc>
          <w:tcPr>
            <w:tcW w:w="0" w:type="auto"/>
            <w:shd w:val="clear" w:color="auto" w:fill="auto"/>
            <w:tcMar>
              <w:top w:w="15" w:type="dxa"/>
              <w:left w:w="15" w:type="dxa"/>
              <w:bottom w:w="15" w:type="dxa"/>
              <w:right w:w="15" w:type="dxa"/>
            </w:tcMar>
            <w:vAlign w:val="center"/>
          </w:tcPr>
          <w:p w14:paraId="633B028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613EACE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0.9643</w:t>
            </w:r>
          </w:p>
        </w:tc>
      </w:tr>
      <w:tr w14:paraId="6A77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C0D24D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6C54D22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Educational purpose</w:t>
            </w:r>
          </w:p>
        </w:tc>
        <w:tc>
          <w:tcPr>
            <w:tcW w:w="0" w:type="auto"/>
            <w:shd w:val="clear" w:color="auto" w:fill="auto"/>
            <w:tcMar>
              <w:top w:w="15" w:type="dxa"/>
              <w:left w:w="15" w:type="dxa"/>
              <w:bottom w:w="15" w:type="dxa"/>
              <w:right w:w="15" w:type="dxa"/>
            </w:tcMar>
            <w:vAlign w:val="center"/>
          </w:tcPr>
          <w:p w14:paraId="516223E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1.15</w:t>
            </w:r>
          </w:p>
        </w:tc>
        <w:tc>
          <w:tcPr>
            <w:tcW w:w="0" w:type="auto"/>
            <w:shd w:val="clear" w:color="auto" w:fill="auto"/>
            <w:tcMar>
              <w:top w:w="15" w:type="dxa"/>
              <w:left w:w="15" w:type="dxa"/>
              <w:bottom w:w="15" w:type="dxa"/>
              <w:right w:w="15" w:type="dxa"/>
            </w:tcMar>
            <w:vAlign w:val="center"/>
          </w:tcPr>
          <w:p w14:paraId="1389A4D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1CA8014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1.000</w:t>
            </w:r>
          </w:p>
        </w:tc>
      </w:tr>
      <w:tr w14:paraId="205E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4F3FE8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Marital status</w:t>
            </w:r>
          </w:p>
        </w:tc>
        <w:tc>
          <w:tcPr>
            <w:tcW w:w="0" w:type="auto"/>
            <w:shd w:val="clear" w:color="auto" w:fill="auto"/>
            <w:tcMar>
              <w:top w:w="15" w:type="dxa"/>
              <w:left w:w="15" w:type="dxa"/>
              <w:bottom w:w="15" w:type="dxa"/>
              <w:right w:w="15" w:type="dxa"/>
            </w:tcMar>
            <w:vAlign w:val="center"/>
          </w:tcPr>
          <w:p w14:paraId="32BF451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Recreational</w:t>
            </w:r>
          </w:p>
        </w:tc>
        <w:tc>
          <w:tcPr>
            <w:tcW w:w="0" w:type="auto"/>
            <w:shd w:val="clear" w:color="auto" w:fill="auto"/>
            <w:tcMar>
              <w:top w:w="15" w:type="dxa"/>
              <w:left w:w="15" w:type="dxa"/>
              <w:bottom w:w="15" w:type="dxa"/>
              <w:right w:w="15" w:type="dxa"/>
            </w:tcMar>
            <w:vAlign w:val="center"/>
          </w:tcPr>
          <w:p w14:paraId="0414219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37.48</w:t>
            </w:r>
          </w:p>
        </w:tc>
        <w:tc>
          <w:tcPr>
            <w:tcW w:w="0" w:type="auto"/>
            <w:shd w:val="clear" w:color="auto" w:fill="auto"/>
            <w:tcMar>
              <w:top w:w="15" w:type="dxa"/>
              <w:left w:w="15" w:type="dxa"/>
              <w:bottom w:w="15" w:type="dxa"/>
              <w:right w:w="15" w:type="dxa"/>
            </w:tcMar>
            <w:vAlign w:val="center"/>
          </w:tcPr>
          <w:p w14:paraId="2A6020C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56D982D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0.0002</w:t>
            </w:r>
          </w:p>
        </w:tc>
      </w:tr>
      <w:tr w14:paraId="0A7D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1C1DF2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2F1D03C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Source of rain</w:t>
            </w:r>
          </w:p>
        </w:tc>
        <w:tc>
          <w:tcPr>
            <w:tcW w:w="0" w:type="auto"/>
            <w:shd w:val="clear" w:color="auto" w:fill="auto"/>
            <w:tcMar>
              <w:top w:w="15" w:type="dxa"/>
              <w:left w:w="15" w:type="dxa"/>
              <w:bottom w:w="15" w:type="dxa"/>
              <w:right w:w="15" w:type="dxa"/>
            </w:tcMar>
            <w:vAlign w:val="center"/>
          </w:tcPr>
          <w:p w14:paraId="2AE0233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9.04</w:t>
            </w:r>
          </w:p>
        </w:tc>
        <w:tc>
          <w:tcPr>
            <w:tcW w:w="0" w:type="auto"/>
            <w:shd w:val="clear" w:color="auto" w:fill="auto"/>
            <w:tcMar>
              <w:top w:w="15" w:type="dxa"/>
              <w:left w:w="15" w:type="dxa"/>
              <w:bottom w:w="15" w:type="dxa"/>
              <w:right w:w="15" w:type="dxa"/>
            </w:tcMar>
            <w:vAlign w:val="center"/>
          </w:tcPr>
          <w:p w14:paraId="47582AC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0" w:type="auto"/>
            <w:shd w:val="clear" w:color="auto" w:fill="auto"/>
            <w:tcMar>
              <w:top w:w="15" w:type="dxa"/>
              <w:left w:w="15" w:type="dxa"/>
              <w:bottom w:w="15" w:type="dxa"/>
              <w:right w:w="15" w:type="dxa"/>
            </w:tcMar>
            <w:vAlign w:val="center"/>
          </w:tcPr>
          <w:p w14:paraId="735BEA5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0.0288</w:t>
            </w:r>
          </w:p>
        </w:tc>
      </w:tr>
      <w:tr w14:paraId="1465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0C5C4A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1E99C74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0" w:type="auto"/>
            <w:shd w:val="clear" w:color="auto" w:fill="auto"/>
            <w:tcMar>
              <w:top w:w="15" w:type="dxa"/>
              <w:left w:w="15" w:type="dxa"/>
              <w:bottom w:w="15" w:type="dxa"/>
              <w:right w:w="15" w:type="dxa"/>
            </w:tcMar>
            <w:vAlign w:val="center"/>
          </w:tcPr>
          <w:p w14:paraId="50B895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4.46</w:t>
            </w:r>
          </w:p>
        </w:tc>
        <w:tc>
          <w:tcPr>
            <w:tcW w:w="0" w:type="auto"/>
            <w:shd w:val="clear" w:color="auto" w:fill="auto"/>
            <w:tcMar>
              <w:top w:w="15" w:type="dxa"/>
              <w:left w:w="15" w:type="dxa"/>
              <w:bottom w:w="15" w:type="dxa"/>
              <w:right w:w="15" w:type="dxa"/>
            </w:tcMar>
            <w:vAlign w:val="center"/>
          </w:tcPr>
          <w:p w14:paraId="2DDBF53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0" w:type="auto"/>
            <w:shd w:val="clear" w:color="auto" w:fill="auto"/>
            <w:tcMar>
              <w:top w:w="15" w:type="dxa"/>
              <w:left w:w="15" w:type="dxa"/>
              <w:bottom w:w="15" w:type="dxa"/>
              <w:right w:w="15" w:type="dxa"/>
            </w:tcMar>
            <w:vAlign w:val="center"/>
          </w:tcPr>
          <w:p w14:paraId="380B31A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0.2159</w:t>
            </w:r>
          </w:p>
        </w:tc>
      </w:tr>
      <w:tr w14:paraId="56E2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4FC2A5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71FBC41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0" w:type="auto"/>
            <w:shd w:val="clear" w:color="auto" w:fill="auto"/>
            <w:tcMar>
              <w:top w:w="15" w:type="dxa"/>
              <w:left w:w="15" w:type="dxa"/>
              <w:bottom w:w="15" w:type="dxa"/>
              <w:right w:w="15" w:type="dxa"/>
            </w:tcMar>
            <w:vAlign w:val="center"/>
          </w:tcPr>
          <w:p w14:paraId="6AD71D0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1.48</w:t>
            </w:r>
          </w:p>
        </w:tc>
        <w:tc>
          <w:tcPr>
            <w:tcW w:w="0" w:type="auto"/>
            <w:shd w:val="clear" w:color="auto" w:fill="auto"/>
            <w:tcMar>
              <w:top w:w="15" w:type="dxa"/>
              <w:left w:w="15" w:type="dxa"/>
              <w:bottom w:w="15" w:type="dxa"/>
              <w:right w:w="15" w:type="dxa"/>
            </w:tcMar>
            <w:vAlign w:val="center"/>
          </w:tcPr>
          <w:p w14:paraId="1218082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w:t>
            </w:r>
          </w:p>
        </w:tc>
        <w:tc>
          <w:tcPr>
            <w:tcW w:w="0" w:type="auto"/>
            <w:shd w:val="clear" w:color="auto" w:fill="auto"/>
            <w:tcMar>
              <w:top w:w="15" w:type="dxa"/>
              <w:left w:w="15" w:type="dxa"/>
              <w:bottom w:w="15" w:type="dxa"/>
              <w:right w:w="15" w:type="dxa"/>
            </w:tcMar>
            <w:vAlign w:val="center"/>
          </w:tcPr>
          <w:p w14:paraId="58DF54F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0.4773</w:t>
            </w:r>
          </w:p>
        </w:tc>
      </w:tr>
      <w:tr w14:paraId="2957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0E3893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39C82F8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Edible items from forest (fruit, yam, green leaves)</w:t>
            </w:r>
          </w:p>
        </w:tc>
        <w:tc>
          <w:tcPr>
            <w:tcW w:w="0" w:type="auto"/>
            <w:shd w:val="clear" w:color="auto" w:fill="auto"/>
            <w:tcMar>
              <w:top w:w="15" w:type="dxa"/>
              <w:left w:w="15" w:type="dxa"/>
              <w:bottom w:w="15" w:type="dxa"/>
              <w:right w:w="15" w:type="dxa"/>
            </w:tcMar>
            <w:vAlign w:val="center"/>
          </w:tcPr>
          <w:p w14:paraId="6CCC111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2.40</w:t>
            </w:r>
          </w:p>
        </w:tc>
        <w:tc>
          <w:tcPr>
            <w:tcW w:w="0" w:type="auto"/>
            <w:shd w:val="clear" w:color="auto" w:fill="auto"/>
            <w:tcMar>
              <w:top w:w="15" w:type="dxa"/>
              <w:left w:w="15" w:type="dxa"/>
              <w:bottom w:w="15" w:type="dxa"/>
              <w:right w:w="15" w:type="dxa"/>
            </w:tcMar>
            <w:vAlign w:val="center"/>
          </w:tcPr>
          <w:p w14:paraId="035032F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0" w:type="auto"/>
            <w:shd w:val="clear" w:color="auto" w:fill="auto"/>
            <w:tcMar>
              <w:top w:w="15" w:type="dxa"/>
              <w:left w:w="15" w:type="dxa"/>
              <w:bottom w:w="15" w:type="dxa"/>
              <w:right w:w="15" w:type="dxa"/>
            </w:tcMar>
            <w:vAlign w:val="center"/>
          </w:tcPr>
          <w:p w14:paraId="347E41A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0.4943</w:t>
            </w:r>
          </w:p>
        </w:tc>
      </w:tr>
      <w:tr w14:paraId="3FB0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DE1BBA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33FC7D6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Fuelwood/charcoal</w:t>
            </w:r>
          </w:p>
        </w:tc>
        <w:tc>
          <w:tcPr>
            <w:tcW w:w="0" w:type="auto"/>
            <w:shd w:val="clear" w:color="auto" w:fill="auto"/>
            <w:tcMar>
              <w:top w:w="15" w:type="dxa"/>
              <w:left w:w="15" w:type="dxa"/>
              <w:bottom w:w="15" w:type="dxa"/>
              <w:right w:w="15" w:type="dxa"/>
            </w:tcMar>
            <w:vAlign w:val="center"/>
          </w:tcPr>
          <w:p w14:paraId="2BF2BB2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3.62</w:t>
            </w:r>
          </w:p>
        </w:tc>
        <w:tc>
          <w:tcPr>
            <w:tcW w:w="0" w:type="auto"/>
            <w:shd w:val="clear" w:color="auto" w:fill="auto"/>
            <w:tcMar>
              <w:top w:w="15" w:type="dxa"/>
              <w:left w:w="15" w:type="dxa"/>
              <w:bottom w:w="15" w:type="dxa"/>
              <w:right w:w="15" w:type="dxa"/>
            </w:tcMar>
            <w:vAlign w:val="center"/>
          </w:tcPr>
          <w:p w14:paraId="7AABAEE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w:t>
            </w:r>
          </w:p>
        </w:tc>
        <w:tc>
          <w:tcPr>
            <w:tcW w:w="0" w:type="auto"/>
            <w:shd w:val="clear" w:color="auto" w:fill="auto"/>
            <w:tcMar>
              <w:top w:w="15" w:type="dxa"/>
              <w:left w:w="15" w:type="dxa"/>
              <w:bottom w:w="15" w:type="dxa"/>
              <w:right w:w="15" w:type="dxa"/>
            </w:tcMar>
            <w:vAlign w:val="center"/>
          </w:tcPr>
          <w:p w14:paraId="1124ADC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0.1637</w:t>
            </w:r>
          </w:p>
        </w:tc>
      </w:tr>
      <w:tr w14:paraId="5D00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2E2C4F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050719E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Fibres</w:t>
            </w:r>
          </w:p>
        </w:tc>
        <w:tc>
          <w:tcPr>
            <w:tcW w:w="0" w:type="auto"/>
            <w:shd w:val="clear" w:color="auto" w:fill="auto"/>
            <w:tcMar>
              <w:top w:w="15" w:type="dxa"/>
              <w:left w:w="15" w:type="dxa"/>
              <w:bottom w:w="15" w:type="dxa"/>
              <w:right w:w="15" w:type="dxa"/>
            </w:tcMar>
            <w:vAlign w:val="center"/>
          </w:tcPr>
          <w:p w14:paraId="4A9E382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3.33</w:t>
            </w:r>
          </w:p>
        </w:tc>
        <w:tc>
          <w:tcPr>
            <w:tcW w:w="0" w:type="auto"/>
            <w:shd w:val="clear" w:color="auto" w:fill="auto"/>
            <w:tcMar>
              <w:top w:w="15" w:type="dxa"/>
              <w:left w:w="15" w:type="dxa"/>
              <w:bottom w:w="15" w:type="dxa"/>
              <w:right w:w="15" w:type="dxa"/>
            </w:tcMar>
            <w:vAlign w:val="center"/>
          </w:tcPr>
          <w:p w14:paraId="6D91D47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0" w:type="auto"/>
            <w:shd w:val="clear" w:color="auto" w:fill="auto"/>
            <w:tcMar>
              <w:top w:w="15" w:type="dxa"/>
              <w:left w:w="15" w:type="dxa"/>
              <w:bottom w:w="15" w:type="dxa"/>
              <w:right w:w="15" w:type="dxa"/>
            </w:tcMar>
            <w:vAlign w:val="center"/>
          </w:tcPr>
          <w:p w14:paraId="1FF962E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0.3433</w:t>
            </w:r>
          </w:p>
        </w:tc>
      </w:tr>
      <w:tr w14:paraId="6570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563960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71E31AC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Religious purpose</w:t>
            </w:r>
          </w:p>
        </w:tc>
        <w:tc>
          <w:tcPr>
            <w:tcW w:w="0" w:type="auto"/>
            <w:shd w:val="clear" w:color="auto" w:fill="auto"/>
            <w:tcMar>
              <w:top w:w="15" w:type="dxa"/>
              <w:left w:w="15" w:type="dxa"/>
              <w:bottom w:w="15" w:type="dxa"/>
              <w:right w:w="15" w:type="dxa"/>
            </w:tcMar>
            <w:vAlign w:val="center"/>
          </w:tcPr>
          <w:p w14:paraId="316591E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1.27</w:t>
            </w:r>
          </w:p>
        </w:tc>
        <w:tc>
          <w:tcPr>
            <w:tcW w:w="0" w:type="auto"/>
            <w:shd w:val="clear" w:color="auto" w:fill="auto"/>
            <w:tcMar>
              <w:top w:w="15" w:type="dxa"/>
              <w:left w:w="15" w:type="dxa"/>
              <w:bottom w:w="15" w:type="dxa"/>
              <w:right w:w="15" w:type="dxa"/>
            </w:tcMar>
            <w:vAlign w:val="center"/>
          </w:tcPr>
          <w:p w14:paraId="35EFD35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0" w:type="auto"/>
            <w:shd w:val="clear" w:color="auto" w:fill="auto"/>
            <w:tcMar>
              <w:top w:w="15" w:type="dxa"/>
              <w:left w:w="15" w:type="dxa"/>
              <w:bottom w:w="15" w:type="dxa"/>
              <w:right w:w="15" w:type="dxa"/>
            </w:tcMar>
            <w:vAlign w:val="center"/>
          </w:tcPr>
          <w:p w14:paraId="5B32D14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0.7356</w:t>
            </w:r>
          </w:p>
        </w:tc>
      </w:tr>
      <w:tr w14:paraId="055C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9BFD2C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20557F4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change</w:t>
            </w:r>
          </w:p>
        </w:tc>
        <w:tc>
          <w:tcPr>
            <w:tcW w:w="0" w:type="auto"/>
            <w:shd w:val="clear" w:color="auto" w:fill="auto"/>
            <w:tcMar>
              <w:top w:w="15" w:type="dxa"/>
              <w:left w:w="15" w:type="dxa"/>
              <w:bottom w:w="15" w:type="dxa"/>
              <w:right w:w="15" w:type="dxa"/>
            </w:tcMar>
            <w:vAlign w:val="center"/>
          </w:tcPr>
          <w:p w14:paraId="7181CDD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1.40</w:t>
            </w:r>
          </w:p>
        </w:tc>
        <w:tc>
          <w:tcPr>
            <w:tcW w:w="0" w:type="auto"/>
            <w:shd w:val="clear" w:color="auto" w:fill="auto"/>
            <w:tcMar>
              <w:top w:w="15" w:type="dxa"/>
              <w:left w:w="15" w:type="dxa"/>
              <w:bottom w:w="15" w:type="dxa"/>
              <w:right w:w="15" w:type="dxa"/>
            </w:tcMar>
            <w:vAlign w:val="center"/>
          </w:tcPr>
          <w:p w14:paraId="28E50CD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0" w:type="auto"/>
            <w:shd w:val="clear" w:color="auto" w:fill="auto"/>
            <w:tcMar>
              <w:top w:w="15" w:type="dxa"/>
              <w:left w:w="15" w:type="dxa"/>
              <w:bottom w:w="15" w:type="dxa"/>
              <w:right w:w="15" w:type="dxa"/>
            </w:tcMar>
            <w:vAlign w:val="center"/>
          </w:tcPr>
          <w:p w14:paraId="070F675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0.7060</w:t>
            </w:r>
          </w:p>
        </w:tc>
      </w:tr>
      <w:tr w14:paraId="56C6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E9D73E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744E38F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Educational purpose</w:t>
            </w:r>
          </w:p>
        </w:tc>
        <w:tc>
          <w:tcPr>
            <w:tcW w:w="0" w:type="auto"/>
            <w:shd w:val="clear" w:color="auto" w:fill="auto"/>
            <w:tcMar>
              <w:top w:w="15" w:type="dxa"/>
              <w:left w:w="15" w:type="dxa"/>
              <w:bottom w:w="15" w:type="dxa"/>
              <w:right w:w="15" w:type="dxa"/>
            </w:tcMar>
            <w:vAlign w:val="center"/>
          </w:tcPr>
          <w:p w14:paraId="08E8192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0.22</w:t>
            </w:r>
          </w:p>
        </w:tc>
        <w:tc>
          <w:tcPr>
            <w:tcW w:w="0" w:type="auto"/>
            <w:shd w:val="clear" w:color="auto" w:fill="auto"/>
            <w:tcMar>
              <w:top w:w="15" w:type="dxa"/>
              <w:left w:w="15" w:type="dxa"/>
              <w:bottom w:w="15" w:type="dxa"/>
              <w:right w:w="15" w:type="dxa"/>
            </w:tcMar>
            <w:vAlign w:val="center"/>
          </w:tcPr>
          <w:p w14:paraId="50C79AA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0" w:type="auto"/>
            <w:shd w:val="clear" w:color="auto" w:fill="auto"/>
            <w:tcMar>
              <w:top w:w="15" w:type="dxa"/>
              <w:left w:w="15" w:type="dxa"/>
              <w:bottom w:w="15" w:type="dxa"/>
              <w:right w:w="15" w:type="dxa"/>
            </w:tcMar>
            <w:vAlign w:val="center"/>
          </w:tcPr>
          <w:p w14:paraId="1F39244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0.9747</w:t>
            </w:r>
          </w:p>
        </w:tc>
      </w:tr>
      <w:tr w14:paraId="74C3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E82655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generating income</w:t>
            </w:r>
          </w:p>
        </w:tc>
        <w:tc>
          <w:tcPr>
            <w:tcW w:w="0" w:type="auto"/>
            <w:shd w:val="clear" w:color="auto" w:fill="auto"/>
            <w:tcMar>
              <w:top w:w="15" w:type="dxa"/>
              <w:left w:w="15" w:type="dxa"/>
              <w:bottom w:w="15" w:type="dxa"/>
              <w:right w:w="15" w:type="dxa"/>
            </w:tcMar>
            <w:vAlign w:val="center"/>
          </w:tcPr>
          <w:p w14:paraId="09E4BE7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Recreational</w:t>
            </w:r>
          </w:p>
        </w:tc>
        <w:tc>
          <w:tcPr>
            <w:tcW w:w="0" w:type="auto"/>
            <w:shd w:val="clear" w:color="auto" w:fill="auto"/>
            <w:tcMar>
              <w:top w:w="15" w:type="dxa"/>
              <w:left w:w="15" w:type="dxa"/>
              <w:bottom w:w="15" w:type="dxa"/>
              <w:right w:w="15" w:type="dxa"/>
            </w:tcMar>
            <w:vAlign w:val="center"/>
          </w:tcPr>
          <w:p w14:paraId="25FEC56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1.15</w:t>
            </w:r>
          </w:p>
        </w:tc>
        <w:tc>
          <w:tcPr>
            <w:tcW w:w="0" w:type="auto"/>
            <w:shd w:val="clear" w:color="auto" w:fill="auto"/>
            <w:tcMar>
              <w:top w:w="15" w:type="dxa"/>
              <w:left w:w="15" w:type="dxa"/>
              <w:bottom w:w="15" w:type="dxa"/>
              <w:right w:w="15" w:type="dxa"/>
            </w:tcMar>
            <w:vAlign w:val="center"/>
          </w:tcPr>
          <w:p w14:paraId="5BC2EF9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0" w:type="auto"/>
            <w:shd w:val="clear" w:color="auto" w:fill="auto"/>
            <w:tcMar>
              <w:top w:w="15" w:type="dxa"/>
              <w:left w:w="15" w:type="dxa"/>
              <w:bottom w:w="15" w:type="dxa"/>
              <w:right w:w="15" w:type="dxa"/>
            </w:tcMar>
            <w:vAlign w:val="center"/>
          </w:tcPr>
          <w:p w14:paraId="21BF2EE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0.7646</w:t>
            </w:r>
          </w:p>
        </w:tc>
      </w:tr>
      <w:tr w14:paraId="3938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767006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05AFB09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Source of rain</w:t>
            </w:r>
          </w:p>
        </w:tc>
        <w:tc>
          <w:tcPr>
            <w:tcW w:w="0" w:type="auto"/>
            <w:shd w:val="clear" w:color="auto" w:fill="auto"/>
            <w:tcMar>
              <w:top w:w="15" w:type="dxa"/>
              <w:left w:w="15" w:type="dxa"/>
              <w:bottom w:w="15" w:type="dxa"/>
              <w:right w:w="15" w:type="dxa"/>
            </w:tcMar>
            <w:vAlign w:val="center"/>
          </w:tcPr>
          <w:p w14:paraId="61BDD50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10.33</w:t>
            </w:r>
          </w:p>
        </w:tc>
        <w:tc>
          <w:tcPr>
            <w:tcW w:w="0" w:type="auto"/>
            <w:shd w:val="clear" w:color="auto" w:fill="auto"/>
            <w:tcMar>
              <w:top w:w="15" w:type="dxa"/>
              <w:left w:w="15" w:type="dxa"/>
              <w:bottom w:w="15" w:type="dxa"/>
              <w:right w:w="15" w:type="dxa"/>
            </w:tcMar>
            <w:vAlign w:val="center"/>
          </w:tcPr>
          <w:p w14:paraId="3B1A649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2BD06D7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0.5874</w:t>
            </w:r>
          </w:p>
        </w:tc>
      </w:tr>
      <w:tr w14:paraId="6583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8BBDD1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3B66604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0" w:type="auto"/>
            <w:shd w:val="clear" w:color="auto" w:fill="auto"/>
            <w:tcMar>
              <w:top w:w="15" w:type="dxa"/>
              <w:left w:w="15" w:type="dxa"/>
              <w:bottom w:w="15" w:type="dxa"/>
              <w:right w:w="15" w:type="dxa"/>
            </w:tcMar>
            <w:vAlign w:val="center"/>
          </w:tcPr>
          <w:p w14:paraId="22676C6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11.10</w:t>
            </w:r>
          </w:p>
        </w:tc>
        <w:tc>
          <w:tcPr>
            <w:tcW w:w="0" w:type="auto"/>
            <w:shd w:val="clear" w:color="auto" w:fill="auto"/>
            <w:tcMar>
              <w:top w:w="15" w:type="dxa"/>
              <w:left w:w="15" w:type="dxa"/>
              <w:bottom w:w="15" w:type="dxa"/>
              <w:right w:w="15" w:type="dxa"/>
            </w:tcMar>
            <w:vAlign w:val="center"/>
          </w:tcPr>
          <w:p w14:paraId="4A93E73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3F532A5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0.5204</w:t>
            </w:r>
          </w:p>
        </w:tc>
      </w:tr>
      <w:tr w14:paraId="4422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A15EDB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09CD3BA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0" w:type="auto"/>
            <w:shd w:val="clear" w:color="auto" w:fill="auto"/>
            <w:tcMar>
              <w:top w:w="15" w:type="dxa"/>
              <w:left w:w="15" w:type="dxa"/>
              <w:bottom w:w="15" w:type="dxa"/>
              <w:right w:w="15" w:type="dxa"/>
            </w:tcMar>
            <w:vAlign w:val="center"/>
          </w:tcPr>
          <w:p w14:paraId="3F46DFF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10.52</w:t>
            </w:r>
          </w:p>
        </w:tc>
        <w:tc>
          <w:tcPr>
            <w:tcW w:w="0" w:type="auto"/>
            <w:shd w:val="clear" w:color="auto" w:fill="auto"/>
            <w:tcMar>
              <w:top w:w="15" w:type="dxa"/>
              <w:left w:w="15" w:type="dxa"/>
              <w:bottom w:w="15" w:type="dxa"/>
              <w:right w:w="15" w:type="dxa"/>
            </w:tcMar>
            <w:vAlign w:val="center"/>
          </w:tcPr>
          <w:p w14:paraId="26A5D68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w:t>
            </w:r>
          </w:p>
        </w:tc>
        <w:tc>
          <w:tcPr>
            <w:tcW w:w="0" w:type="auto"/>
            <w:shd w:val="clear" w:color="auto" w:fill="auto"/>
            <w:tcMar>
              <w:top w:w="15" w:type="dxa"/>
              <w:left w:w="15" w:type="dxa"/>
              <w:bottom w:w="15" w:type="dxa"/>
              <w:right w:w="15" w:type="dxa"/>
            </w:tcMar>
            <w:vAlign w:val="center"/>
          </w:tcPr>
          <w:p w14:paraId="44EF491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0.2304</w:t>
            </w:r>
          </w:p>
        </w:tc>
      </w:tr>
      <w:tr w14:paraId="3237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381ED0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0690DEB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Edible items from forest (fruit, yam, green leaves)</w:t>
            </w:r>
          </w:p>
        </w:tc>
        <w:tc>
          <w:tcPr>
            <w:tcW w:w="0" w:type="auto"/>
            <w:shd w:val="clear" w:color="auto" w:fill="auto"/>
            <w:tcMar>
              <w:top w:w="15" w:type="dxa"/>
              <w:left w:w="15" w:type="dxa"/>
              <w:bottom w:w="15" w:type="dxa"/>
              <w:right w:w="15" w:type="dxa"/>
            </w:tcMar>
            <w:vAlign w:val="center"/>
          </w:tcPr>
          <w:p w14:paraId="7572388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10.66</w:t>
            </w:r>
          </w:p>
        </w:tc>
        <w:tc>
          <w:tcPr>
            <w:tcW w:w="0" w:type="auto"/>
            <w:shd w:val="clear" w:color="auto" w:fill="auto"/>
            <w:tcMar>
              <w:top w:w="15" w:type="dxa"/>
              <w:left w:w="15" w:type="dxa"/>
              <w:bottom w:w="15" w:type="dxa"/>
              <w:right w:w="15" w:type="dxa"/>
            </w:tcMar>
            <w:vAlign w:val="center"/>
          </w:tcPr>
          <w:p w14:paraId="26E2DF1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5CE2CEC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0.5585</w:t>
            </w:r>
          </w:p>
        </w:tc>
      </w:tr>
      <w:tr w14:paraId="4D57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42BA1F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7C30850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Fuelwood/charcoal</w:t>
            </w:r>
          </w:p>
        </w:tc>
        <w:tc>
          <w:tcPr>
            <w:tcW w:w="0" w:type="auto"/>
            <w:shd w:val="clear" w:color="auto" w:fill="auto"/>
            <w:tcMar>
              <w:top w:w="15" w:type="dxa"/>
              <w:left w:w="15" w:type="dxa"/>
              <w:bottom w:w="15" w:type="dxa"/>
              <w:right w:w="15" w:type="dxa"/>
            </w:tcMar>
            <w:vAlign w:val="center"/>
          </w:tcPr>
          <w:p w14:paraId="0C3107E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3.28</w:t>
            </w:r>
          </w:p>
        </w:tc>
        <w:tc>
          <w:tcPr>
            <w:tcW w:w="0" w:type="auto"/>
            <w:shd w:val="clear" w:color="auto" w:fill="auto"/>
            <w:tcMar>
              <w:top w:w="15" w:type="dxa"/>
              <w:left w:w="15" w:type="dxa"/>
              <w:bottom w:w="15" w:type="dxa"/>
              <w:right w:w="15" w:type="dxa"/>
            </w:tcMar>
            <w:vAlign w:val="center"/>
          </w:tcPr>
          <w:p w14:paraId="113E959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w:t>
            </w:r>
          </w:p>
        </w:tc>
        <w:tc>
          <w:tcPr>
            <w:tcW w:w="0" w:type="auto"/>
            <w:shd w:val="clear" w:color="auto" w:fill="auto"/>
            <w:tcMar>
              <w:top w:w="15" w:type="dxa"/>
              <w:left w:w="15" w:type="dxa"/>
              <w:bottom w:w="15" w:type="dxa"/>
              <w:right w:w="15" w:type="dxa"/>
            </w:tcMar>
            <w:vAlign w:val="center"/>
          </w:tcPr>
          <w:p w14:paraId="2B443B1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0.9155</w:t>
            </w:r>
          </w:p>
        </w:tc>
      </w:tr>
      <w:tr w14:paraId="0401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73439D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5870ADE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Fibres</w:t>
            </w:r>
          </w:p>
        </w:tc>
        <w:tc>
          <w:tcPr>
            <w:tcW w:w="0" w:type="auto"/>
            <w:shd w:val="clear" w:color="auto" w:fill="auto"/>
            <w:tcMar>
              <w:top w:w="15" w:type="dxa"/>
              <w:left w:w="15" w:type="dxa"/>
              <w:bottom w:w="15" w:type="dxa"/>
              <w:right w:w="15" w:type="dxa"/>
            </w:tcMar>
            <w:vAlign w:val="center"/>
          </w:tcPr>
          <w:p w14:paraId="59F39E7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14.65</w:t>
            </w:r>
          </w:p>
        </w:tc>
        <w:tc>
          <w:tcPr>
            <w:tcW w:w="0" w:type="auto"/>
            <w:shd w:val="clear" w:color="auto" w:fill="auto"/>
            <w:tcMar>
              <w:top w:w="15" w:type="dxa"/>
              <w:left w:w="15" w:type="dxa"/>
              <w:bottom w:w="15" w:type="dxa"/>
              <w:right w:w="15" w:type="dxa"/>
            </w:tcMar>
            <w:vAlign w:val="center"/>
          </w:tcPr>
          <w:p w14:paraId="773C880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4DDC57D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0.2612</w:t>
            </w:r>
          </w:p>
        </w:tc>
      </w:tr>
      <w:tr w14:paraId="0A80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79910B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0CF2EAE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Religious purpose</w:t>
            </w:r>
          </w:p>
        </w:tc>
        <w:tc>
          <w:tcPr>
            <w:tcW w:w="0" w:type="auto"/>
            <w:shd w:val="clear" w:color="auto" w:fill="auto"/>
            <w:tcMar>
              <w:top w:w="15" w:type="dxa"/>
              <w:left w:w="15" w:type="dxa"/>
              <w:bottom w:w="15" w:type="dxa"/>
              <w:right w:w="15" w:type="dxa"/>
            </w:tcMar>
            <w:vAlign w:val="center"/>
          </w:tcPr>
          <w:p w14:paraId="4B56A35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8.90</w:t>
            </w:r>
          </w:p>
        </w:tc>
        <w:tc>
          <w:tcPr>
            <w:tcW w:w="0" w:type="auto"/>
            <w:shd w:val="clear" w:color="auto" w:fill="auto"/>
            <w:tcMar>
              <w:top w:w="15" w:type="dxa"/>
              <w:left w:w="15" w:type="dxa"/>
              <w:bottom w:w="15" w:type="dxa"/>
              <w:right w:w="15" w:type="dxa"/>
            </w:tcMar>
            <w:vAlign w:val="center"/>
          </w:tcPr>
          <w:p w14:paraId="78D412E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5E1BC91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0.7117</w:t>
            </w:r>
          </w:p>
        </w:tc>
      </w:tr>
      <w:tr w14:paraId="5122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40D6DF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4FB9875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change</w:t>
            </w:r>
          </w:p>
        </w:tc>
        <w:tc>
          <w:tcPr>
            <w:tcW w:w="0" w:type="auto"/>
            <w:shd w:val="clear" w:color="auto" w:fill="auto"/>
            <w:tcMar>
              <w:top w:w="15" w:type="dxa"/>
              <w:left w:w="15" w:type="dxa"/>
              <w:bottom w:w="15" w:type="dxa"/>
              <w:right w:w="15" w:type="dxa"/>
            </w:tcMar>
            <w:vAlign w:val="center"/>
          </w:tcPr>
          <w:p w14:paraId="44BBF19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23.19</w:t>
            </w:r>
          </w:p>
        </w:tc>
        <w:tc>
          <w:tcPr>
            <w:tcW w:w="0" w:type="auto"/>
            <w:shd w:val="clear" w:color="auto" w:fill="auto"/>
            <w:tcMar>
              <w:top w:w="15" w:type="dxa"/>
              <w:left w:w="15" w:type="dxa"/>
              <w:bottom w:w="15" w:type="dxa"/>
              <w:right w:w="15" w:type="dxa"/>
            </w:tcMar>
            <w:vAlign w:val="center"/>
          </w:tcPr>
          <w:p w14:paraId="52866AD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6EF4E80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0.0262</w:t>
            </w:r>
          </w:p>
        </w:tc>
      </w:tr>
      <w:tr w14:paraId="2B8E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0FA7D0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097D488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Educational purpose</w:t>
            </w:r>
          </w:p>
        </w:tc>
        <w:tc>
          <w:tcPr>
            <w:tcW w:w="0" w:type="auto"/>
            <w:shd w:val="clear" w:color="auto" w:fill="auto"/>
            <w:tcMar>
              <w:top w:w="15" w:type="dxa"/>
              <w:left w:w="15" w:type="dxa"/>
              <w:bottom w:w="15" w:type="dxa"/>
              <w:right w:w="15" w:type="dxa"/>
            </w:tcMar>
            <w:vAlign w:val="center"/>
          </w:tcPr>
          <w:p w14:paraId="5C14E9B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10.23</w:t>
            </w:r>
          </w:p>
        </w:tc>
        <w:tc>
          <w:tcPr>
            <w:tcW w:w="0" w:type="auto"/>
            <w:shd w:val="clear" w:color="auto" w:fill="auto"/>
            <w:tcMar>
              <w:top w:w="15" w:type="dxa"/>
              <w:left w:w="15" w:type="dxa"/>
              <w:bottom w:w="15" w:type="dxa"/>
              <w:right w:w="15" w:type="dxa"/>
            </w:tcMar>
            <w:vAlign w:val="center"/>
          </w:tcPr>
          <w:p w14:paraId="5840866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538A5A8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0.5961</w:t>
            </w:r>
          </w:p>
        </w:tc>
      </w:tr>
      <w:tr w14:paraId="3F9A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29CD82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Households in compound</w:t>
            </w:r>
          </w:p>
        </w:tc>
        <w:tc>
          <w:tcPr>
            <w:tcW w:w="0" w:type="auto"/>
            <w:shd w:val="clear" w:color="auto" w:fill="auto"/>
            <w:tcMar>
              <w:top w:w="15" w:type="dxa"/>
              <w:left w:w="15" w:type="dxa"/>
              <w:bottom w:w="15" w:type="dxa"/>
              <w:right w:w="15" w:type="dxa"/>
            </w:tcMar>
            <w:vAlign w:val="center"/>
          </w:tcPr>
          <w:p w14:paraId="7A38710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Recreational</w:t>
            </w:r>
          </w:p>
        </w:tc>
        <w:tc>
          <w:tcPr>
            <w:tcW w:w="0" w:type="auto"/>
            <w:shd w:val="clear" w:color="auto" w:fill="auto"/>
            <w:tcMar>
              <w:top w:w="15" w:type="dxa"/>
              <w:left w:w="15" w:type="dxa"/>
              <w:bottom w:w="15" w:type="dxa"/>
              <w:right w:w="15" w:type="dxa"/>
            </w:tcMar>
            <w:vAlign w:val="center"/>
          </w:tcPr>
          <w:p w14:paraId="01E2D29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15.97</w:t>
            </w:r>
          </w:p>
        </w:tc>
        <w:tc>
          <w:tcPr>
            <w:tcW w:w="0" w:type="auto"/>
            <w:shd w:val="clear" w:color="auto" w:fill="auto"/>
            <w:tcMar>
              <w:top w:w="15" w:type="dxa"/>
              <w:left w:w="15" w:type="dxa"/>
              <w:bottom w:w="15" w:type="dxa"/>
              <w:right w:w="15" w:type="dxa"/>
            </w:tcMar>
            <w:vAlign w:val="center"/>
          </w:tcPr>
          <w:p w14:paraId="650AF84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6731BB2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0.1925</w:t>
            </w:r>
          </w:p>
        </w:tc>
      </w:tr>
      <w:tr w14:paraId="2310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10C0C4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0A599FB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Source of rain</w:t>
            </w:r>
          </w:p>
        </w:tc>
        <w:tc>
          <w:tcPr>
            <w:tcW w:w="0" w:type="auto"/>
            <w:shd w:val="clear" w:color="auto" w:fill="auto"/>
            <w:tcMar>
              <w:top w:w="15" w:type="dxa"/>
              <w:left w:w="15" w:type="dxa"/>
              <w:bottom w:w="15" w:type="dxa"/>
              <w:right w:w="15" w:type="dxa"/>
            </w:tcMar>
            <w:vAlign w:val="center"/>
          </w:tcPr>
          <w:p w14:paraId="1E2E76B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37.87</w:t>
            </w:r>
          </w:p>
        </w:tc>
        <w:tc>
          <w:tcPr>
            <w:tcW w:w="0" w:type="auto"/>
            <w:shd w:val="clear" w:color="auto" w:fill="auto"/>
            <w:tcMar>
              <w:top w:w="15" w:type="dxa"/>
              <w:left w:w="15" w:type="dxa"/>
              <w:bottom w:w="15" w:type="dxa"/>
              <w:right w:w="15" w:type="dxa"/>
            </w:tcMar>
            <w:vAlign w:val="center"/>
          </w:tcPr>
          <w:p w14:paraId="288A24E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0" w:type="auto"/>
            <w:shd w:val="clear" w:color="auto" w:fill="auto"/>
            <w:tcMar>
              <w:top w:w="15" w:type="dxa"/>
              <w:left w:w="15" w:type="dxa"/>
              <w:bottom w:w="15" w:type="dxa"/>
              <w:right w:w="15" w:type="dxa"/>
            </w:tcMar>
            <w:vAlign w:val="center"/>
          </w:tcPr>
          <w:p w14:paraId="6373D82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0.004</w:t>
            </w:r>
          </w:p>
        </w:tc>
      </w:tr>
      <w:tr w14:paraId="6B21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9DB62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39EF99E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0" w:type="auto"/>
            <w:shd w:val="clear" w:color="auto" w:fill="auto"/>
            <w:tcMar>
              <w:top w:w="15" w:type="dxa"/>
              <w:left w:w="15" w:type="dxa"/>
              <w:bottom w:w="15" w:type="dxa"/>
              <w:right w:w="15" w:type="dxa"/>
            </w:tcMar>
            <w:vAlign w:val="center"/>
          </w:tcPr>
          <w:p w14:paraId="2A9871A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27.10</w:t>
            </w:r>
          </w:p>
        </w:tc>
        <w:tc>
          <w:tcPr>
            <w:tcW w:w="0" w:type="auto"/>
            <w:shd w:val="clear" w:color="auto" w:fill="auto"/>
            <w:tcMar>
              <w:top w:w="15" w:type="dxa"/>
              <w:left w:w="15" w:type="dxa"/>
              <w:bottom w:w="15" w:type="dxa"/>
              <w:right w:w="15" w:type="dxa"/>
            </w:tcMar>
            <w:vAlign w:val="center"/>
          </w:tcPr>
          <w:p w14:paraId="39AEDC2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0" w:type="auto"/>
            <w:shd w:val="clear" w:color="auto" w:fill="auto"/>
            <w:tcMar>
              <w:top w:w="15" w:type="dxa"/>
              <w:left w:w="15" w:type="dxa"/>
              <w:bottom w:w="15" w:type="dxa"/>
              <w:right w:w="15" w:type="dxa"/>
            </w:tcMar>
            <w:vAlign w:val="center"/>
          </w:tcPr>
          <w:p w14:paraId="0219900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0.0771</w:t>
            </w:r>
          </w:p>
        </w:tc>
      </w:tr>
      <w:tr w14:paraId="033A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75E1C5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2973068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0" w:type="auto"/>
            <w:shd w:val="clear" w:color="auto" w:fill="auto"/>
            <w:tcMar>
              <w:top w:w="15" w:type="dxa"/>
              <w:left w:w="15" w:type="dxa"/>
              <w:bottom w:w="15" w:type="dxa"/>
              <w:right w:w="15" w:type="dxa"/>
            </w:tcMar>
            <w:vAlign w:val="center"/>
          </w:tcPr>
          <w:p w14:paraId="3065778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18.42</w:t>
            </w:r>
          </w:p>
        </w:tc>
        <w:tc>
          <w:tcPr>
            <w:tcW w:w="0" w:type="auto"/>
            <w:shd w:val="clear" w:color="auto" w:fill="auto"/>
            <w:tcMar>
              <w:top w:w="15" w:type="dxa"/>
              <w:left w:w="15" w:type="dxa"/>
              <w:bottom w:w="15" w:type="dxa"/>
              <w:right w:w="15" w:type="dxa"/>
            </w:tcMar>
            <w:vAlign w:val="center"/>
          </w:tcPr>
          <w:p w14:paraId="6ACABC7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3903987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0.1036</w:t>
            </w:r>
          </w:p>
        </w:tc>
      </w:tr>
      <w:tr w14:paraId="390E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E76710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4FFF225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Edible items from forest (fruit, yam, green leaves)</w:t>
            </w:r>
          </w:p>
        </w:tc>
        <w:tc>
          <w:tcPr>
            <w:tcW w:w="0" w:type="auto"/>
            <w:shd w:val="clear" w:color="auto" w:fill="auto"/>
            <w:tcMar>
              <w:top w:w="15" w:type="dxa"/>
              <w:left w:w="15" w:type="dxa"/>
              <w:bottom w:w="15" w:type="dxa"/>
              <w:right w:w="15" w:type="dxa"/>
            </w:tcMar>
            <w:vAlign w:val="center"/>
          </w:tcPr>
          <w:p w14:paraId="7840613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26.24</w:t>
            </w:r>
          </w:p>
        </w:tc>
        <w:tc>
          <w:tcPr>
            <w:tcW w:w="0" w:type="auto"/>
            <w:shd w:val="clear" w:color="auto" w:fill="auto"/>
            <w:tcMar>
              <w:top w:w="15" w:type="dxa"/>
              <w:left w:w="15" w:type="dxa"/>
              <w:bottom w:w="15" w:type="dxa"/>
              <w:right w:w="15" w:type="dxa"/>
            </w:tcMar>
            <w:vAlign w:val="center"/>
          </w:tcPr>
          <w:p w14:paraId="3B059C4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0" w:type="auto"/>
            <w:shd w:val="clear" w:color="auto" w:fill="auto"/>
            <w:tcMar>
              <w:top w:w="15" w:type="dxa"/>
              <w:left w:w="15" w:type="dxa"/>
              <w:bottom w:w="15" w:type="dxa"/>
              <w:right w:w="15" w:type="dxa"/>
            </w:tcMar>
            <w:vAlign w:val="center"/>
          </w:tcPr>
          <w:p w14:paraId="4E572EE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0.0943</w:t>
            </w:r>
          </w:p>
        </w:tc>
      </w:tr>
      <w:tr w14:paraId="6F1C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37407B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3BC9A3A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Fuelwood/charcoal</w:t>
            </w:r>
          </w:p>
        </w:tc>
        <w:tc>
          <w:tcPr>
            <w:tcW w:w="0" w:type="auto"/>
            <w:shd w:val="clear" w:color="auto" w:fill="auto"/>
            <w:tcMar>
              <w:top w:w="15" w:type="dxa"/>
              <w:left w:w="15" w:type="dxa"/>
              <w:bottom w:w="15" w:type="dxa"/>
              <w:right w:w="15" w:type="dxa"/>
            </w:tcMar>
            <w:vAlign w:val="center"/>
          </w:tcPr>
          <w:p w14:paraId="4E8733C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16.80</w:t>
            </w:r>
          </w:p>
        </w:tc>
        <w:tc>
          <w:tcPr>
            <w:tcW w:w="0" w:type="auto"/>
            <w:shd w:val="clear" w:color="auto" w:fill="auto"/>
            <w:tcMar>
              <w:top w:w="15" w:type="dxa"/>
              <w:left w:w="15" w:type="dxa"/>
              <w:bottom w:w="15" w:type="dxa"/>
              <w:right w:w="15" w:type="dxa"/>
            </w:tcMar>
            <w:vAlign w:val="center"/>
          </w:tcPr>
          <w:p w14:paraId="5DA4519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12</w:t>
            </w:r>
          </w:p>
        </w:tc>
        <w:tc>
          <w:tcPr>
            <w:tcW w:w="0" w:type="auto"/>
            <w:shd w:val="clear" w:color="auto" w:fill="auto"/>
            <w:tcMar>
              <w:top w:w="15" w:type="dxa"/>
              <w:left w:w="15" w:type="dxa"/>
              <w:bottom w:w="15" w:type="dxa"/>
              <w:right w:w="15" w:type="dxa"/>
            </w:tcMar>
            <w:vAlign w:val="center"/>
          </w:tcPr>
          <w:p w14:paraId="33EBA87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0.1574</w:t>
            </w:r>
          </w:p>
        </w:tc>
      </w:tr>
      <w:tr w14:paraId="0C51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EB976A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33041A9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Fibres</w:t>
            </w:r>
          </w:p>
        </w:tc>
        <w:tc>
          <w:tcPr>
            <w:tcW w:w="0" w:type="auto"/>
            <w:shd w:val="clear" w:color="auto" w:fill="auto"/>
            <w:tcMar>
              <w:top w:w="15" w:type="dxa"/>
              <w:left w:w="15" w:type="dxa"/>
              <w:bottom w:w="15" w:type="dxa"/>
              <w:right w:w="15" w:type="dxa"/>
            </w:tcMar>
            <w:vAlign w:val="center"/>
          </w:tcPr>
          <w:p w14:paraId="061CEB7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30.64</w:t>
            </w:r>
          </w:p>
        </w:tc>
        <w:tc>
          <w:tcPr>
            <w:tcW w:w="0" w:type="auto"/>
            <w:shd w:val="clear" w:color="auto" w:fill="auto"/>
            <w:tcMar>
              <w:top w:w="15" w:type="dxa"/>
              <w:left w:w="15" w:type="dxa"/>
              <w:bottom w:w="15" w:type="dxa"/>
              <w:right w:w="15" w:type="dxa"/>
            </w:tcMar>
            <w:vAlign w:val="center"/>
          </w:tcPr>
          <w:p w14:paraId="64CA1BA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0" w:type="auto"/>
            <w:shd w:val="clear" w:color="auto" w:fill="auto"/>
            <w:tcMar>
              <w:top w:w="15" w:type="dxa"/>
              <w:left w:w="15" w:type="dxa"/>
              <w:bottom w:w="15" w:type="dxa"/>
              <w:right w:w="15" w:type="dxa"/>
            </w:tcMar>
            <w:vAlign w:val="center"/>
          </w:tcPr>
          <w:p w14:paraId="4E2726F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0.0317</w:t>
            </w:r>
          </w:p>
        </w:tc>
      </w:tr>
      <w:tr w14:paraId="3B44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E82CF1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5813B5E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Religious purpose</w:t>
            </w:r>
          </w:p>
        </w:tc>
        <w:tc>
          <w:tcPr>
            <w:tcW w:w="0" w:type="auto"/>
            <w:shd w:val="clear" w:color="auto" w:fill="auto"/>
            <w:tcMar>
              <w:top w:w="15" w:type="dxa"/>
              <w:left w:w="15" w:type="dxa"/>
              <w:bottom w:w="15" w:type="dxa"/>
              <w:right w:w="15" w:type="dxa"/>
            </w:tcMar>
            <w:vAlign w:val="center"/>
          </w:tcPr>
          <w:p w14:paraId="01C3A21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26.10</w:t>
            </w:r>
          </w:p>
        </w:tc>
        <w:tc>
          <w:tcPr>
            <w:tcW w:w="0" w:type="auto"/>
            <w:shd w:val="clear" w:color="auto" w:fill="auto"/>
            <w:tcMar>
              <w:top w:w="15" w:type="dxa"/>
              <w:left w:w="15" w:type="dxa"/>
              <w:bottom w:w="15" w:type="dxa"/>
              <w:right w:w="15" w:type="dxa"/>
            </w:tcMar>
            <w:vAlign w:val="center"/>
          </w:tcPr>
          <w:p w14:paraId="74C8B02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0" w:type="auto"/>
            <w:shd w:val="clear" w:color="auto" w:fill="auto"/>
            <w:tcMar>
              <w:top w:w="15" w:type="dxa"/>
              <w:left w:w="15" w:type="dxa"/>
              <w:bottom w:w="15" w:type="dxa"/>
              <w:right w:w="15" w:type="dxa"/>
            </w:tcMar>
            <w:vAlign w:val="center"/>
          </w:tcPr>
          <w:p w14:paraId="2B11ECA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0.0975</w:t>
            </w:r>
          </w:p>
        </w:tc>
      </w:tr>
      <w:tr w14:paraId="4C7C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20564E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46841DB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change</w:t>
            </w:r>
          </w:p>
        </w:tc>
        <w:tc>
          <w:tcPr>
            <w:tcW w:w="0" w:type="auto"/>
            <w:shd w:val="clear" w:color="auto" w:fill="auto"/>
            <w:tcMar>
              <w:top w:w="15" w:type="dxa"/>
              <w:left w:w="15" w:type="dxa"/>
              <w:bottom w:w="15" w:type="dxa"/>
              <w:right w:w="15" w:type="dxa"/>
            </w:tcMar>
            <w:vAlign w:val="center"/>
          </w:tcPr>
          <w:p w14:paraId="71C4858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10.17</w:t>
            </w:r>
          </w:p>
        </w:tc>
        <w:tc>
          <w:tcPr>
            <w:tcW w:w="0" w:type="auto"/>
            <w:shd w:val="clear" w:color="auto" w:fill="auto"/>
            <w:tcMar>
              <w:top w:w="15" w:type="dxa"/>
              <w:left w:w="15" w:type="dxa"/>
              <w:bottom w:w="15" w:type="dxa"/>
              <w:right w:w="15" w:type="dxa"/>
            </w:tcMar>
            <w:vAlign w:val="center"/>
          </w:tcPr>
          <w:p w14:paraId="25962D1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0" w:type="auto"/>
            <w:shd w:val="clear" w:color="auto" w:fill="auto"/>
            <w:tcMar>
              <w:top w:w="15" w:type="dxa"/>
              <w:left w:w="15" w:type="dxa"/>
              <w:bottom w:w="15" w:type="dxa"/>
              <w:right w:w="15" w:type="dxa"/>
            </w:tcMar>
            <w:vAlign w:val="center"/>
          </w:tcPr>
          <w:p w14:paraId="21AF947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0.9261</w:t>
            </w:r>
          </w:p>
        </w:tc>
      </w:tr>
      <w:tr w14:paraId="62E7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AD710F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24B1078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Educational purpose</w:t>
            </w:r>
          </w:p>
        </w:tc>
        <w:tc>
          <w:tcPr>
            <w:tcW w:w="0" w:type="auto"/>
            <w:shd w:val="clear" w:color="auto" w:fill="auto"/>
            <w:tcMar>
              <w:top w:w="15" w:type="dxa"/>
              <w:left w:w="15" w:type="dxa"/>
              <w:bottom w:w="15" w:type="dxa"/>
              <w:right w:w="15" w:type="dxa"/>
            </w:tcMar>
            <w:vAlign w:val="center"/>
          </w:tcPr>
          <w:p w14:paraId="51E8EC4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16.03</w:t>
            </w:r>
          </w:p>
        </w:tc>
        <w:tc>
          <w:tcPr>
            <w:tcW w:w="0" w:type="auto"/>
            <w:shd w:val="clear" w:color="auto" w:fill="auto"/>
            <w:tcMar>
              <w:top w:w="15" w:type="dxa"/>
              <w:left w:w="15" w:type="dxa"/>
              <w:bottom w:w="15" w:type="dxa"/>
              <w:right w:w="15" w:type="dxa"/>
            </w:tcMar>
            <w:vAlign w:val="center"/>
          </w:tcPr>
          <w:p w14:paraId="01A9F53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0" w:type="auto"/>
            <w:shd w:val="clear" w:color="auto" w:fill="auto"/>
            <w:tcMar>
              <w:top w:w="15" w:type="dxa"/>
              <w:left w:w="15" w:type="dxa"/>
              <w:bottom w:w="15" w:type="dxa"/>
              <w:right w:w="15" w:type="dxa"/>
            </w:tcMar>
            <w:vAlign w:val="center"/>
          </w:tcPr>
          <w:p w14:paraId="612F8FC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0.5902</w:t>
            </w:r>
          </w:p>
        </w:tc>
      </w:tr>
      <w:tr w14:paraId="5A94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BA9F5C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Monthly income range</w:t>
            </w:r>
          </w:p>
        </w:tc>
        <w:tc>
          <w:tcPr>
            <w:tcW w:w="0" w:type="auto"/>
            <w:shd w:val="clear" w:color="auto" w:fill="auto"/>
            <w:tcMar>
              <w:top w:w="15" w:type="dxa"/>
              <w:left w:w="15" w:type="dxa"/>
              <w:bottom w:w="15" w:type="dxa"/>
              <w:right w:w="15" w:type="dxa"/>
            </w:tcMar>
            <w:vAlign w:val="center"/>
          </w:tcPr>
          <w:p w14:paraId="1F65B28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Recreational</w:t>
            </w:r>
          </w:p>
        </w:tc>
        <w:tc>
          <w:tcPr>
            <w:tcW w:w="0" w:type="auto"/>
            <w:shd w:val="clear" w:color="auto" w:fill="auto"/>
            <w:tcMar>
              <w:top w:w="15" w:type="dxa"/>
              <w:left w:w="15" w:type="dxa"/>
              <w:bottom w:w="15" w:type="dxa"/>
              <w:right w:w="15" w:type="dxa"/>
            </w:tcMar>
            <w:vAlign w:val="center"/>
          </w:tcPr>
          <w:p w14:paraId="1588437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22.89</w:t>
            </w:r>
          </w:p>
        </w:tc>
        <w:tc>
          <w:tcPr>
            <w:tcW w:w="0" w:type="auto"/>
            <w:shd w:val="clear" w:color="auto" w:fill="auto"/>
            <w:tcMar>
              <w:top w:w="15" w:type="dxa"/>
              <w:left w:w="15" w:type="dxa"/>
              <w:bottom w:w="15" w:type="dxa"/>
              <w:right w:w="15" w:type="dxa"/>
            </w:tcMar>
            <w:vAlign w:val="center"/>
          </w:tcPr>
          <w:p w14:paraId="68C2C05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18</w:t>
            </w:r>
          </w:p>
        </w:tc>
        <w:tc>
          <w:tcPr>
            <w:tcW w:w="0" w:type="auto"/>
            <w:shd w:val="clear" w:color="auto" w:fill="auto"/>
            <w:tcMar>
              <w:top w:w="15" w:type="dxa"/>
              <w:left w:w="15" w:type="dxa"/>
              <w:bottom w:w="15" w:type="dxa"/>
              <w:right w:w="15" w:type="dxa"/>
            </w:tcMar>
            <w:vAlign w:val="center"/>
          </w:tcPr>
          <w:p w14:paraId="1E0DC2C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0.1948</w:t>
            </w:r>
          </w:p>
        </w:tc>
      </w:tr>
      <w:tr w14:paraId="5294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4BA6219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4843455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Source of rain</w:t>
            </w:r>
          </w:p>
        </w:tc>
        <w:tc>
          <w:tcPr>
            <w:tcW w:w="0" w:type="auto"/>
            <w:shd w:val="clear" w:color="auto" w:fill="auto"/>
            <w:tcMar>
              <w:top w:w="15" w:type="dxa"/>
              <w:left w:w="15" w:type="dxa"/>
              <w:bottom w:w="15" w:type="dxa"/>
              <w:right w:w="15" w:type="dxa"/>
            </w:tcMar>
            <w:vAlign w:val="center"/>
          </w:tcPr>
          <w:p w14:paraId="733F213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42.47</w:t>
            </w:r>
          </w:p>
        </w:tc>
        <w:tc>
          <w:tcPr>
            <w:tcW w:w="0" w:type="auto"/>
            <w:shd w:val="clear" w:color="auto" w:fill="auto"/>
            <w:tcMar>
              <w:top w:w="15" w:type="dxa"/>
              <w:left w:w="15" w:type="dxa"/>
              <w:bottom w:w="15" w:type="dxa"/>
              <w:right w:w="15" w:type="dxa"/>
            </w:tcMar>
            <w:vAlign w:val="center"/>
          </w:tcPr>
          <w:p w14:paraId="7692165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0" w:type="auto"/>
            <w:shd w:val="clear" w:color="auto" w:fill="auto"/>
            <w:tcMar>
              <w:top w:w="15" w:type="dxa"/>
              <w:left w:w="15" w:type="dxa"/>
              <w:bottom w:w="15" w:type="dxa"/>
              <w:right w:w="15" w:type="dxa"/>
            </w:tcMar>
            <w:vAlign w:val="center"/>
          </w:tcPr>
          <w:p w14:paraId="59ED533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0.0114</w:t>
            </w:r>
          </w:p>
        </w:tc>
      </w:tr>
      <w:tr w14:paraId="21FA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132234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75373CD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0" w:type="auto"/>
            <w:shd w:val="clear" w:color="auto" w:fill="auto"/>
            <w:tcMar>
              <w:top w:w="15" w:type="dxa"/>
              <w:left w:w="15" w:type="dxa"/>
              <w:bottom w:w="15" w:type="dxa"/>
              <w:right w:w="15" w:type="dxa"/>
            </w:tcMar>
            <w:vAlign w:val="center"/>
          </w:tcPr>
          <w:p w14:paraId="62D2E07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26.97</w:t>
            </w:r>
          </w:p>
        </w:tc>
        <w:tc>
          <w:tcPr>
            <w:tcW w:w="0" w:type="auto"/>
            <w:shd w:val="clear" w:color="auto" w:fill="auto"/>
            <w:tcMar>
              <w:top w:w="15" w:type="dxa"/>
              <w:left w:w="15" w:type="dxa"/>
              <w:bottom w:w="15" w:type="dxa"/>
              <w:right w:w="15" w:type="dxa"/>
            </w:tcMar>
            <w:vAlign w:val="center"/>
          </w:tcPr>
          <w:p w14:paraId="03B42EE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0" w:type="auto"/>
            <w:shd w:val="clear" w:color="auto" w:fill="auto"/>
            <w:tcMar>
              <w:top w:w="15" w:type="dxa"/>
              <w:left w:w="15" w:type="dxa"/>
              <w:bottom w:w="15" w:type="dxa"/>
              <w:right w:w="15" w:type="dxa"/>
            </w:tcMar>
            <w:vAlign w:val="center"/>
          </w:tcPr>
          <w:p w14:paraId="63CE3BF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0.3061</w:t>
            </w:r>
          </w:p>
        </w:tc>
      </w:tr>
      <w:tr w14:paraId="01F8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92A652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110B4D4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0" w:type="auto"/>
            <w:shd w:val="clear" w:color="auto" w:fill="auto"/>
            <w:tcMar>
              <w:top w:w="15" w:type="dxa"/>
              <w:left w:w="15" w:type="dxa"/>
              <w:bottom w:w="15" w:type="dxa"/>
              <w:right w:w="15" w:type="dxa"/>
            </w:tcMar>
            <w:vAlign w:val="center"/>
          </w:tcPr>
          <w:p w14:paraId="07A5D93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31.40</w:t>
            </w:r>
          </w:p>
        </w:tc>
        <w:tc>
          <w:tcPr>
            <w:tcW w:w="0" w:type="auto"/>
            <w:shd w:val="clear" w:color="auto" w:fill="auto"/>
            <w:tcMar>
              <w:top w:w="15" w:type="dxa"/>
              <w:left w:w="15" w:type="dxa"/>
              <w:bottom w:w="15" w:type="dxa"/>
              <w:right w:w="15" w:type="dxa"/>
            </w:tcMar>
            <w:vAlign w:val="center"/>
          </w:tcPr>
          <w:p w14:paraId="1C349E5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w:t>
            </w:r>
          </w:p>
        </w:tc>
        <w:tc>
          <w:tcPr>
            <w:tcW w:w="0" w:type="auto"/>
            <w:shd w:val="clear" w:color="auto" w:fill="auto"/>
            <w:tcMar>
              <w:top w:w="15" w:type="dxa"/>
              <w:left w:w="15" w:type="dxa"/>
              <w:bottom w:w="15" w:type="dxa"/>
              <w:right w:w="15" w:type="dxa"/>
            </w:tcMar>
            <w:vAlign w:val="center"/>
          </w:tcPr>
          <w:p w14:paraId="6CB30E0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0.0120</w:t>
            </w:r>
          </w:p>
        </w:tc>
      </w:tr>
      <w:tr w14:paraId="5ED7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03BD2B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7FE1A4B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Edible items from forest (fruit, yam, green leaves)</w:t>
            </w:r>
          </w:p>
        </w:tc>
        <w:tc>
          <w:tcPr>
            <w:tcW w:w="0" w:type="auto"/>
            <w:shd w:val="clear" w:color="auto" w:fill="auto"/>
            <w:tcMar>
              <w:top w:w="15" w:type="dxa"/>
              <w:left w:w="15" w:type="dxa"/>
              <w:bottom w:w="15" w:type="dxa"/>
              <w:right w:w="15" w:type="dxa"/>
            </w:tcMar>
            <w:vAlign w:val="center"/>
          </w:tcPr>
          <w:p w14:paraId="7FE7FC7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10.72</w:t>
            </w:r>
          </w:p>
        </w:tc>
        <w:tc>
          <w:tcPr>
            <w:tcW w:w="0" w:type="auto"/>
            <w:shd w:val="clear" w:color="auto" w:fill="auto"/>
            <w:tcMar>
              <w:top w:w="15" w:type="dxa"/>
              <w:left w:w="15" w:type="dxa"/>
              <w:bottom w:w="15" w:type="dxa"/>
              <w:right w:w="15" w:type="dxa"/>
            </w:tcMar>
            <w:vAlign w:val="center"/>
          </w:tcPr>
          <w:p w14:paraId="0F64828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0" w:type="auto"/>
            <w:shd w:val="clear" w:color="auto" w:fill="auto"/>
            <w:tcMar>
              <w:top w:w="15" w:type="dxa"/>
              <w:left w:w="15" w:type="dxa"/>
              <w:bottom w:w="15" w:type="dxa"/>
              <w:right w:w="15" w:type="dxa"/>
            </w:tcMar>
            <w:vAlign w:val="center"/>
          </w:tcPr>
          <w:p w14:paraId="0EAA87A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0.9909</w:t>
            </w:r>
          </w:p>
        </w:tc>
      </w:tr>
      <w:tr w14:paraId="60B5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089183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6008F82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Fuelwood/charcoal</w:t>
            </w:r>
          </w:p>
        </w:tc>
        <w:tc>
          <w:tcPr>
            <w:tcW w:w="0" w:type="auto"/>
            <w:shd w:val="clear" w:color="auto" w:fill="auto"/>
            <w:tcMar>
              <w:top w:w="15" w:type="dxa"/>
              <w:left w:w="15" w:type="dxa"/>
              <w:bottom w:w="15" w:type="dxa"/>
              <w:right w:w="15" w:type="dxa"/>
            </w:tcMar>
            <w:vAlign w:val="center"/>
          </w:tcPr>
          <w:p w14:paraId="37F09FA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14.60</w:t>
            </w:r>
          </w:p>
        </w:tc>
        <w:tc>
          <w:tcPr>
            <w:tcW w:w="0" w:type="auto"/>
            <w:shd w:val="clear" w:color="auto" w:fill="auto"/>
            <w:tcMar>
              <w:top w:w="15" w:type="dxa"/>
              <w:left w:w="15" w:type="dxa"/>
              <w:bottom w:w="15" w:type="dxa"/>
              <w:right w:w="15" w:type="dxa"/>
            </w:tcMar>
            <w:vAlign w:val="center"/>
          </w:tcPr>
          <w:p w14:paraId="1C3AF23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16</w:t>
            </w:r>
          </w:p>
        </w:tc>
        <w:tc>
          <w:tcPr>
            <w:tcW w:w="0" w:type="auto"/>
            <w:shd w:val="clear" w:color="auto" w:fill="auto"/>
            <w:tcMar>
              <w:top w:w="15" w:type="dxa"/>
              <w:left w:w="15" w:type="dxa"/>
              <w:bottom w:w="15" w:type="dxa"/>
              <w:right w:w="15" w:type="dxa"/>
            </w:tcMar>
            <w:vAlign w:val="center"/>
          </w:tcPr>
          <w:p w14:paraId="3000FCA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0.5543</w:t>
            </w:r>
          </w:p>
        </w:tc>
      </w:tr>
      <w:tr w14:paraId="1392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2F1EF5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46E19B8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Fibres</w:t>
            </w:r>
          </w:p>
        </w:tc>
        <w:tc>
          <w:tcPr>
            <w:tcW w:w="0" w:type="auto"/>
            <w:shd w:val="clear" w:color="auto" w:fill="auto"/>
            <w:tcMar>
              <w:top w:w="15" w:type="dxa"/>
              <w:left w:w="15" w:type="dxa"/>
              <w:bottom w:w="15" w:type="dxa"/>
              <w:right w:w="15" w:type="dxa"/>
            </w:tcMar>
            <w:vAlign w:val="center"/>
          </w:tcPr>
          <w:p w14:paraId="29C247B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27.94</w:t>
            </w:r>
          </w:p>
        </w:tc>
        <w:tc>
          <w:tcPr>
            <w:tcW w:w="0" w:type="auto"/>
            <w:shd w:val="clear" w:color="auto" w:fill="auto"/>
            <w:tcMar>
              <w:top w:w="15" w:type="dxa"/>
              <w:left w:w="15" w:type="dxa"/>
              <w:bottom w:w="15" w:type="dxa"/>
              <w:right w:w="15" w:type="dxa"/>
            </w:tcMar>
            <w:vAlign w:val="center"/>
          </w:tcPr>
          <w:p w14:paraId="1BAF768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0" w:type="auto"/>
            <w:shd w:val="clear" w:color="auto" w:fill="auto"/>
            <w:tcMar>
              <w:top w:w="15" w:type="dxa"/>
              <w:left w:w="15" w:type="dxa"/>
              <w:bottom w:w="15" w:type="dxa"/>
              <w:right w:w="15" w:type="dxa"/>
            </w:tcMar>
            <w:vAlign w:val="center"/>
          </w:tcPr>
          <w:p w14:paraId="78B58E3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0.2626</w:t>
            </w:r>
          </w:p>
        </w:tc>
      </w:tr>
      <w:tr w14:paraId="4F1F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2244A1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252C861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Religious purpose</w:t>
            </w:r>
          </w:p>
        </w:tc>
        <w:tc>
          <w:tcPr>
            <w:tcW w:w="0" w:type="auto"/>
            <w:shd w:val="clear" w:color="auto" w:fill="auto"/>
            <w:tcMar>
              <w:top w:w="15" w:type="dxa"/>
              <w:left w:w="15" w:type="dxa"/>
              <w:bottom w:w="15" w:type="dxa"/>
              <w:right w:w="15" w:type="dxa"/>
            </w:tcMar>
            <w:vAlign w:val="center"/>
          </w:tcPr>
          <w:p w14:paraId="2FDCF32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24.78</w:t>
            </w:r>
          </w:p>
        </w:tc>
        <w:tc>
          <w:tcPr>
            <w:tcW w:w="0" w:type="auto"/>
            <w:shd w:val="clear" w:color="auto" w:fill="auto"/>
            <w:tcMar>
              <w:top w:w="15" w:type="dxa"/>
              <w:left w:w="15" w:type="dxa"/>
              <w:bottom w:w="15" w:type="dxa"/>
              <w:right w:w="15" w:type="dxa"/>
            </w:tcMar>
            <w:vAlign w:val="center"/>
          </w:tcPr>
          <w:p w14:paraId="28C952D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0" w:type="auto"/>
            <w:shd w:val="clear" w:color="auto" w:fill="auto"/>
            <w:tcMar>
              <w:top w:w="15" w:type="dxa"/>
              <w:left w:w="15" w:type="dxa"/>
              <w:bottom w:w="15" w:type="dxa"/>
              <w:right w:w="15" w:type="dxa"/>
            </w:tcMar>
            <w:vAlign w:val="center"/>
          </w:tcPr>
          <w:p w14:paraId="18CF146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0.4180</w:t>
            </w:r>
          </w:p>
        </w:tc>
      </w:tr>
      <w:tr w14:paraId="2A1F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394E51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02CA781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change</w:t>
            </w:r>
          </w:p>
        </w:tc>
        <w:tc>
          <w:tcPr>
            <w:tcW w:w="0" w:type="auto"/>
            <w:shd w:val="clear" w:color="auto" w:fill="auto"/>
            <w:tcMar>
              <w:top w:w="15" w:type="dxa"/>
              <w:left w:w="15" w:type="dxa"/>
              <w:bottom w:w="15" w:type="dxa"/>
              <w:right w:w="15" w:type="dxa"/>
            </w:tcMar>
            <w:vAlign w:val="center"/>
          </w:tcPr>
          <w:p w14:paraId="39CB00C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10.01</w:t>
            </w:r>
          </w:p>
        </w:tc>
        <w:tc>
          <w:tcPr>
            <w:tcW w:w="0" w:type="auto"/>
            <w:shd w:val="clear" w:color="auto" w:fill="auto"/>
            <w:tcMar>
              <w:top w:w="15" w:type="dxa"/>
              <w:left w:w="15" w:type="dxa"/>
              <w:bottom w:w="15" w:type="dxa"/>
              <w:right w:w="15" w:type="dxa"/>
            </w:tcMar>
            <w:vAlign w:val="center"/>
          </w:tcPr>
          <w:p w14:paraId="0ECED001">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0" w:type="auto"/>
            <w:shd w:val="clear" w:color="auto" w:fill="auto"/>
            <w:tcMar>
              <w:top w:w="15" w:type="dxa"/>
              <w:left w:w="15" w:type="dxa"/>
              <w:bottom w:w="15" w:type="dxa"/>
              <w:right w:w="15" w:type="dxa"/>
            </w:tcMar>
            <w:vAlign w:val="center"/>
          </w:tcPr>
          <w:p w14:paraId="07684F7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0.9945</w:t>
            </w:r>
          </w:p>
        </w:tc>
      </w:tr>
      <w:tr w14:paraId="58E4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1BD06C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67A0329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Educational purpose</w:t>
            </w:r>
          </w:p>
        </w:tc>
        <w:tc>
          <w:tcPr>
            <w:tcW w:w="0" w:type="auto"/>
            <w:shd w:val="clear" w:color="auto" w:fill="auto"/>
            <w:tcMar>
              <w:top w:w="15" w:type="dxa"/>
              <w:left w:w="15" w:type="dxa"/>
              <w:bottom w:w="15" w:type="dxa"/>
              <w:right w:w="15" w:type="dxa"/>
            </w:tcMar>
            <w:vAlign w:val="center"/>
          </w:tcPr>
          <w:p w14:paraId="57DFBC0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75.96</w:t>
            </w:r>
          </w:p>
        </w:tc>
        <w:tc>
          <w:tcPr>
            <w:tcW w:w="0" w:type="auto"/>
            <w:shd w:val="clear" w:color="auto" w:fill="auto"/>
            <w:tcMar>
              <w:top w:w="15" w:type="dxa"/>
              <w:left w:w="15" w:type="dxa"/>
              <w:bottom w:w="15" w:type="dxa"/>
              <w:right w:w="15" w:type="dxa"/>
            </w:tcMar>
            <w:vAlign w:val="center"/>
          </w:tcPr>
          <w:p w14:paraId="2C3459E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0" w:type="auto"/>
            <w:shd w:val="clear" w:color="auto" w:fill="auto"/>
            <w:tcMar>
              <w:top w:w="15" w:type="dxa"/>
              <w:left w:w="15" w:type="dxa"/>
              <w:bottom w:w="15" w:type="dxa"/>
              <w:right w:w="15" w:type="dxa"/>
            </w:tcMar>
            <w:vAlign w:val="center"/>
          </w:tcPr>
          <w:p w14:paraId="448355D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0.0000</w:t>
            </w:r>
          </w:p>
        </w:tc>
      </w:tr>
      <w:tr w14:paraId="4538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A0487A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Main occupation</w:t>
            </w:r>
          </w:p>
        </w:tc>
        <w:tc>
          <w:tcPr>
            <w:tcW w:w="0" w:type="auto"/>
            <w:shd w:val="clear" w:color="auto" w:fill="auto"/>
            <w:tcMar>
              <w:top w:w="15" w:type="dxa"/>
              <w:left w:w="15" w:type="dxa"/>
              <w:bottom w:w="15" w:type="dxa"/>
              <w:right w:w="15" w:type="dxa"/>
            </w:tcMar>
            <w:vAlign w:val="center"/>
          </w:tcPr>
          <w:p w14:paraId="28DBBF9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Recreational</w:t>
            </w:r>
          </w:p>
        </w:tc>
        <w:tc>
          <w:tcPr>
            <w:tcW w:w="0" w:type="auto"/>
            <w:shd w:val="clear" w:color="auto" w:fill="auto"/>
            <w:tcMar>
              <w:top w:w="15" w:type="dxa"/>
              <w:left w:w="15" w:type="dxa"/>
              <w:bottom w:w="15" w:type="dxa"/>
              <w:right w:w="15" w:type="dxa"/>
            </w:tcMar>
            <w:vAlign w:val="center"/>
          </w:tcPr>
          <w:p w14:paraId="669A4FC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31.13</w:t>
            </w:r>
          </w:p>
        </w:tc>
        <w:tc>
          <w:tcPr>
            <w:tcW w:w="0" w:type="auto"/>
            <w:shd w:val="clear" w:color="auto" w:fill="auto"/>
            <w:tcMar>
              <w:top w:w="15" w:type="dxa"/>
              <w:left w:w="15" w:type="dxa"/>
              <w:bottom w:w="15" w:type="dxa"/>
              <w:right w:w="15" w:type="dxa"/>
            </w:tcMar>
            <w:vAlign w:val="center"/>
          </w:tcPr>
          <w:p w14:paraId="3598C56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24</w:t>
            </w:r>
          </w:p>
        </w:tc>
        <w:tc>
          <w:tcPr>
            <w:tcW w:w="0" w:type="auto"/>
            <w:shd w:val="clear" w:color="auto" w:fill="auto"/>
            <w:tcMar>
              <w:top w:w="15" w:type="dxa"/>
              <w:left w:w="15" w:type="dxa"/>
              <w:bottom w:w="15" w:type="dxa"/>
              <w:right w:w="15" w:type="dxa"/>
            </w:tcMar>
            <w:vAlign w:val="center"/>
          </w:tcPr>
          <w:p w14:paraId="36FA5B6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0.1500</w:t>
            </w:r>
          </w:p>
        </w:tc>
      </w:tr>
      <w:tr w14:paraId="1F65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6F2E126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62C09EF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Source of rain</w:t>
            </w:r>
          </w:p>
        </w:tc>
        <w:tc>
          <w:tcPr>
            <w:tcW w:w="0" w:type="auto"/>
            <w:shd w:val="clear" w:color="auto" w:fill="auto"/>
            <w:tcMar>
              <w:top w:w="15" w:type="dxa"/>
              <w:left w:w="15" w:type="dxa"/>
              <w:bottom w:w="15" w:type="dxa"/>
              <w:right w:w="15" w:type="dxa"/>
            </w:tcMar>
            <w:vAlign w:val="center"/>
          </w:tcPr>
          <w:p w14:paraId="12F8026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52.04</w:t>
            </w:r>
          </w:p>
        </w:tc>
        <w:tc>
          <w:tcPr>
            <w:tcW w:w="0" w:type="auto"/>
            <w:shd w:val="clear" w:color="auto" w:fill="auto"/>
            <w:tcMar>
              <w:top w:w="15" w:type="dxa"/>
              <w:left w:w="15" w:type="dxa"/>
              <w:bottom w:w="15" w:type="dxa"/>
              <w:right w:w="15" w:type="dxa"/>
            </w:tcMar>
            <w:vAlign w:val="center"/>
          </w:tcPr>
          <w:p w14:paraId="149DAB8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0" w:type="auto"/>
            <w:shd w:val="clear" w:color="auto" w:fill="auto"/>
            <w:tcMar>
              <w:top w:w="15" w:type="dxa"/>
              <w:left w:w="15" w:type="dxa"/>
              <w:bottom w:w="15" w:type="dxa"/>
              <w:right w:w="15" w:type="dxa"/>
            </w:tcMar>
            <w:vAlign w:val="center"/>
          </w:tcPr>
          <w:p w14:paraId="5BD2F25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0.0002</w:t>
            </w:r>
          </w:p>
        </w:tc>
      </w:tr>
      <w:tr w14:paraId="3060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11F60C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048F40E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Medicinal plant</w:t>
            </w:r>
          </w:p>
        </w:tc>
        <w:tc>
          <w:tcPr>
            <w:tcW w:w="0" w:type="auto"/>
            <w:shd w:val="clear" w:color="auto" w:fill="auto"/>
            <w:tcMar>
              <w:top w:w="15" w:type="dxa"/>
              <w:left w:w="15" w:type="dxa"/>
              <w:bottom w:w="15" w:type="dxa"/>
              <w:right w:w="15" w:type="dxa"/>
            </w:tcMar>
            <w:vAlign w:val="center"/>
          </w:tcPr>
          <w:p w14:paraId="287E15B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33.41</w:t>
            </w:r>
          </w:p>
        </w:tc>
        <w:tc>
          <w:tcPr>
            <w:tcW w:w="0" w:type="auto"/>
            <w:shd w:val="clear" w:color="auto" w:fill="auto"/>
            <w:tcMar>
              <w:top w:w="15" w:type="dxa"/>
              <w:left w:w="15" w:type="dxa"/>
              <w:bottom w:w="15" w:type="dxa"/>
              <w:right w:w="15" w:type="dxa"/>
            </w:tcMar>
            <w:vAlign w:val="center"/>
          </w:tcPr>
          <w:p w14:paraId="557AA5D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0" w:type="auto"/>
            <w:shd w:val="clear" w:color="auto" w:fill="auto"/>
            <w:tcMar>
              <w:top w:w="15" w:type="dxa"/>
              <w:left w:w="15" w:type="dxa"/>
              <w:bottom w:w="15" w:type="dxa"/>
              <w:right w:w="15" w:type="dxa"/>
            </w:tcMar>
            <w:vAlign w:val="center"/>
          </w:tcPr>
          <w:p w14:paraId="34C384FD">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0.0418</w:t>
            </w:r>
          </w:p>
        </w:tc>
      </w:tr>
      <w:tr w14:paraId="4188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27EAF1D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7612D91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Bush meat</w:t>
            </w:r>
          </w:p>
        </w:tc>
        <w:tc>
          <w:tcPr>
            <w:tcW w:w="0" w:type="auto"/>
            <w:shd w:val="clear" w:color="auto" w:fill="auto"/>
            <w:tcMar>
              <w:top w:w="15" w:type="dxa"/>
              <w:left w:w="15" w:type="dxa"/>
              <w:bottom w:w="15" w:type="dxa"/>
              <w:right w:w="15" w:type="dxa"/>
            </w:tcMar>
            <w:vAlign w:val="center"/>
          </w:tcPr>
          <w:p w14:paraId="3DC7229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22.52</w:t>
            </w:r>
          </w:p>
        </w:tc>
        <w:tc>
          <w:tcPr>
            <w:tcW w:w="0" w:type="auto"/>
            <w:shd w:val="clear" w:color="auto" w:fill="auto"/>
            <w:tcMar>
              <w:top w:w="15" w:type="dxa"/>
              <w:left w:w="15" w:type="dxa"/>
              <w:bottom w:w="15" w:type="dxa"/>
              <w:right w:w="15" w:type="dxa"/>
            </w:tcMar>
            <w:vAlign w:val="center"/>
          </w:tcPr>
          <w:p w14:paraId="203A4F2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w:t>
            </w:r>
          </w:p>
        </w:tc>
        <w:tc>
          <w:tcPr>
            <w:tcW w:w="0" w:type="auto"/>
            <w:shd w:val="clear" w:color="auto" w:fill="auto"/>
            <w:tcMar>
              <w:top w:w="15" w:type="dxa"/>
              <w:left w:w="15" w:type="dxa"/>
              <w:bottom w:w="15" w:type="dxa"/>
              <w:right w:w="15" w:type="dxa"/>
            </w:tcMar>
            <w:vAlign w:val="center"/>
          </w:tcPr>
          <w:p w14:paraId="0E0F56F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0.0685</w:t>
            </w:r>
          </w:p>
        </w:tc>
      </w:tr>
      <w:tr w14:paraId="74E5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CBF7B6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0CE1C026">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Edible items from forest (fruit, yam, green leaves)</w:t>
            </w:r>
          </w:p>
        </w:tc>
        <w:tc>
          <w:tcPr>
            <w:tcW w:w="0" w:type="auto"/>
            <w:shd w:val="clear" w:color="auto" w:fill="auto"/>
            <w:tcMar>
              <w:top w:w="15" w:type="dxa"/>
              <w:left w:w="15" w:type="dxa"/>
              <w:bottom w:w="15" w:type="dxa"/>
              <w:right w:w="15" w:type="dxa"/>
            </w:tcMar>
            <w:vAlign w:val="center"/>
          </w:tcPr>
          <w:p w14:paraId="50B440C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17.58</w:t>
            </w:r>
          </w:p>
        </w:tc>
        <w:tc>
          <w:tcPr>
            <w:tcW w:w="0" w:type="auto"/>
            <w:shd w:val="clear" w:color="auto" w:fill="auto"/>
            <w:tcMar>
              <w:top w:w="15" w:type="dxa"/>
              <w:left w:w="15" w:type="dxa"/>
              <w:bottom w:w="15" w:type="dxa"/>
              <w:right w:w="15" w:type="dxa"/>
            </w:tcMar>
            <w:vAlign w:val="center"/>
          </w:tcPr>
          <w:p w14:paraId="0320C75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0" w:type="auto"/>
            <w:shd w:val="clear" w:color="auto" w:fill="auto"/>
            <w:tcMar>
              <w:top w:w="15" w:type="dxa"/>
              <w:left w:w="15" w:type="dxa"/>
              <w:bottom w:w="15" w:type="dxa"/>
              <w:right w:w="15" w:type="dxa"/>
            </w:tcMar>
            <w:vAlign w:val="center"/>
          </w:tcPr>
          <w:p w14:paraId="443F8D3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0.6751</w:t>
            </w:r>
          </w:p>
        </w:tc>
      </w:tr>
      <w:tr w14:paraId="63D9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25B89F0">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309F306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Fuelwood/charcoal</w:t>
            </w:r>
          </w:p>
        </w:tc>
        <w:tc>
          <w:tcPr>
            <w:tcW w:w="0" w:type="auto"/>
            <w:shd w:val="clear" w:color="auto" w:fill="auto"/>
            <w:tcMar>
              <w:top w:w="15" w:type="dxa"/>
              <w:left w:w="15" w:type="dxa"/>
              <w:bottom w:w="15" w:type="dxa"/>
              <w:right w:w="15" w:type="dxa"/>
            </w:tcMar>
            <w:vAlign w:val="center"/>
          </w:tcPr>
          <w:p w14:paraId="221EE53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27.04</w:t>
            </w:r>
          </w:p>
        </w:tc>
        <w:tc>
          <w:tcPr>
            <w:tcW w:w="0" w:type="auto"/>
            <w:shd w:val="clear" w:color="auto" w:fill="auto"/>
            <w:tcMar>
              <w:top w:w="15" w:type="dxa"/>
              <w:left w:w="15" w:type="dxa"/>
              <w:bottom w:w="15" w:type="dxa"/>
              <w:right w:w="15" w:type="dxa"/>
            </w:tcMar>
            <w:vAlign w:val="center"/>
          </w:tcPr>
          <w:p w14:paraId="094968E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14</w:t>
            </w:r>
          </w:p>
        </w:tc>
        <w:tc>
          <w:tcPr>
            <w:tcW w:w="0" w:type="auto"/>
            <w:shd w:val="clear" w:color="auto" w:fill="auto"/>
            <w:tcMar>
              <w:top w:w="15" w:type="dxa"/>
              <w:left w:w="15" w:type="dxa"/>
              <w:bottom w:w="15" w:type="dxa"/>
              <w:right w:w="15" w:type="dxa"/>
            </w:tcMar>
            <w:vAlign w:val="center"/>
          </w:tcPr>
          <w:p w14:paraId="50E8EDE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0.0190</w:t>
            </w:r>
          </w:p>
        </w:tc>
      </w:tr>
      <w:tr w14:paraId="6272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5179D4E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4842A91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Fibres</w:t>
            </w:r>
          </w:p>
        </w:tc>
        <w:tc>
          <w:tcPr>
            <w:tcW w:w="0" w:type="auto"/>
            <w:shd w:val="clear" w:color="auto" w:fill="auto"/>
            <w:tcMar>
              <w:top w:w="15" w:type="dxa"/>
              <w:left w:w="15" w:type="dxa"/>
              <w:bottom w:w="15" w:type="dxa"/>
              <w:right w:w="15" w:type="dxa"/>
            </w:tcMar>
            <w:vAlign w:val="center"/>
          </w:tcPr>
          <w:p w14:paraId="4CD3A79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17.86</w:t>
            </w:r>
          </w:p>
        </w:tc>
        <w:tc>
          <w:tcPr>
            <w:tcW w:w="0" w:type="auto"/>
            <w:shd w:val="clear" w:color="auto" w:fill="auto"/>
            <w:tcMar>
              <w:top w:w="15" w:type="dxa"/>
              <w:left w:w="15" w:type="dxa"/>
              <w:bottom w:w="15" w:type="dxa"/>
              <w:right w:w="15" w:type="dxa"/>
            </w:tcMar>
            <w:vAlign w:val="center"/>
          </w:tcPr>
          <w:p w14:paraId="1051240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0" w:type="auto"/>
            <w:shd w:val="clear" w:color="auto" w:fill="auto"/>
            <w:tcMar>
              <w:top w:w="15" w:type="dxa"/>
              <w:left w:w="15" w:type="dxa"/>
              <w:bottom w:w="15" w:type="dxa"/>
              <w:right w:w="15" w:type="dxa"/>
            </w:tcMar>
            <w:vAlign w:val="center"/>
          </w:tcPr>
          <w:p w14:paraId="058F089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0.6582</w:t>
            </w:r>
          </w:p>
        </w:tc>
      </w:tr>
      <w:tr w14:paraId="5BBD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1CA212C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4127C88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Religious purpose</w:t>
            </w:r>
          </w:p>
        </w:tc>
        <w:tc>
          <w:tcPr>
            <w:tcW w:w="0" w:type="auto"/>
            <w:shd w:val="clear" w:color="auto" w:fill="auto"/>
            <w:tcMar>
              <w:top w:w="15" w:type="dxa"/>
              <w:left w:w="15" w:type="dxa"/>
              <w:bottom w:w="15" w:type="dxa"/>
              <w:right w:w="15" w:type="dxa"/>
            </w:tcMar>
            <w:vAlign w:val="center"/>
          </w:tcPr>
          <w:p w14:paraId="5000C84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13.26</w:t>
            </w:r>
          </w:p>
        </w:tc>
        <w:tc>
          <w:tcPr>
            <w:tcW w:w="0" w:type="auto"/>
            <w:shd w:val="clear" w:color="auto" w:fill="auto"/>
            <w:tcMar>
              <w:top w:w="15" w:type="dxa"/>
              <w:left w:w="15" w:type="dxa"/>
              <w:bottom w:w="15" w:type="dxa"/>
              <w:right w:w="15" w:type="dxa"/>
            </w:tcMar>
            <w:vAlign w:val="center"/>
          </w:tcPr>
          <w:p w14:paraId="0A0BA26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0" w:type="auto"/>
            <w:shd w:val="clear" w:color="auto" w:fill="auto"/>
            <w:tcMar>
              <w:top w:w="15" w:type="dxa"/>
              <w:left w:w="15" w:type="dxa"/>
              <w:bottom w:w="15" w:type="dxa"/>
              <w:right w:w="15" w:type="dxa"/>
            </w:tcMar>
            <w:vAlign w:val="center"/>
          </w:tcPr>
          <w:p w14:paraId="0F51CB1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0.8992</w:t>
            </w:r>
          </w:p>
        </w:tc>
      </w:tr>
      <w:tr w14:paraId="3DB2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0482E0EB">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28F04855">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Climate change</w:t>
            </w:r>
          </w:p>
        </w:tc>
        <w:tc>
          <w:tcPr>
            <w:tcW w:w="0" w:type="auto"/>
            <w:shd w:val="clear" w:color="auto" w:fill="auto"/>
            <w:tcMar>
              <w:top w:w="15" w:type="dxa"/>
              <w:left w:w="15" w:type="dxa"/>
              <w:bottom w:w="15" w:type="dxa"/>
              <w:right w:w="15" w:type="dxa"/>
            </w:tcMar>
            <w:vAlign w:val="center"/>
          </w:tcPr>
          <w:p w14:paraId="1B363B9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26.38</w:t>
            </w:r>
          </w:p>
        </w:tc>
        <w:tc>
          <w:tcPr>
            <w:tcW w:w="0" w:type="auto"/>
            <w:shd w:val="clear" w:color="auto" w:fill="auto"/>
            <w:tcMar>
              <w:top w:w="15" w:type="dxa"/>
              <w:left w:w="15" w:type="dxa"/>
              <w:bottom w:w="15" w:type="dxa"/>
              <w:right w:w="15" w:type="dxa"/>
            </w:tcMar>
            <w:vAlign w:val="center"/>
          </w:tcPr>
          <w:p w14:paraId="36713819">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0" w:type="auto"/>
            <w:shd w:val="clear" w:color="auto" w:fill="auto"/>
            <w:tcMar>
              <w:top w:w="15" w:type="dxa"/>
              <w:left w:w="15" w:type="dxa"/>
              <w:bottom w:w="15" w:type="dxa"/>
              <w:right w:w="15" w:type="dxa"/>
            </w:tcMar>
            <w:vAlign w:val="center"/>
          </w:tcPr>
          <w:p w14:paraId="4EB722B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0.1925</w:t>
            </w:r>
          </w:p>
        </w:tc>
      </w:tr>
      <w:tr w14:paraId="156F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78783E9F">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7F12AD5E">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Educational purpose</w:t>
            </w:r>
          </w:p>
        </w:tc>
        <w:tc>
          <w:tcPr>
            <w:tcW w:w="0" w:type="auto"/>
            <w:shd w:val="clear" w:color="auto" w:fill="auto"/>
            <w:tcMar>
              <w:top w:w="15" w:type="dxa"/>
              <w:left w:w="15" w:type="dxa"/>
              <w:bottom w:w="15" w:type="dxa"/>
              <w:right w:w="15" w:type="dxa"/>
            </w:tcMar>
            <w:vAlign w:val="center"/>
          </w:tcPr>
          <w:p w14:paraId="654A6DE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34.33</w:t>
            </w:r>
          </w:p>
        </w:tc>
        <w:tc>
          <w:tcPr>
            <w:tcW w:w="0" w:type="auto"/>
            <w:shd w:val="clear" w:color="auto" w:fill="auto"/>
            <w:tcMar>
              <w:top w:w="15" w:type="dxa"/>
              <w:left w:w="15" w:type="dxa"/>
              <w:bottom w:w="15" w:type="dxa"/>
              <w:right w:w="15" w:type="dxa"/>
            </w:tcMar>
            <w:vAlign w:val="center"/>
          </w:tcPr>
          <w:p w14:paraId="51E04E38">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0" w:type="auto"/>
            <w:shd w:val="clear" w:color="auto" w:fill="auto"/>
            <w:tcMar>
              <w:top w:w="15" w:type="dxa"/>
              <w:left w:w="15" w:type="dxa"/>
              <w:bottom w:w="15" w:type="dxa"/>
              <w:right w:w="15" w:type="dxa"/>
            </w:tcMar>
            <w:vAlign w:val="center"/>
          </w:tcPr>
          <w:p w14:paraId="76ACDFF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0.0334</w:t>
            </w:r>
          </w:p>
        </w:tc>
      </w:tr>
      <w:tr w14:paraId="3577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15" w:type="dxa"/>
        </w:trPr>
        <w:tc>
          <w:tcPr>
            <w:tcW w:w="0" w:type="auto"/>
            <w:shd w:val="clear" w:color="auto" w:fill="auto"/>
            <w:tcMar>
              <w:top w:w="15" w:type="dxa"/>
              <w:left w:w="15" w:type="dxa"/>
              <w:bottom w:w="15" w:type="dxa"/>
              <w:right w:w="15" w:type="dxa"/>
            </w:tcMar>
            <w:vAlign w:val="center"/>
          </w:tcPr>
          <w:p w14:paraId="381A8F77">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Highest education level in household</w:t>
            </w:r>
          </w:p>
        </w:tc>
        <w:tc>
          <w:tcPr>
            <w:tcW w:w="0" w:type="auto"/>
            <w:shd w:val="clear" w:color="auto" w:fill="auto"/>
            <w:tcMar>
              <w:top w:w="15" w:type="dxa"/>
              <w:left w:w="15" w:type="dxa"/>
              <w:bottom w:w="15" w:type="dxa"/>
              <w:right w:w="15" w:type="dxa"/>
            </w:tcMar>
            <w:vAlign w:val="center"/>
          </w:tcPr>
          <w:p w14:paraId="1824EB6C">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Recreational</w:t>
            </w:r>
          </w:p>
        </w:tc>
        <w:tc>
          <w:tcPr>
            <w:tcW w:w="0" w:type="auto"/>
            <w:shd w:val="clear" w:color="auto" w:fill="auto"/>
            <w:tcMar>
              <w:top w:w="15" w:type="dxa"/>
              <w:left w:w="15" w:type="dxa"/>
              <w:bottom w:w="15" w:type="dxa"/>
              <w:right w:w="15" w:type="dxa"/>
            </w:tcMar>
            <w:vAlign w:val="center"/>
          </w:tcPr>
          <w:p w14:paraId="616AC884">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262.84</w:t>
            </w:r>
          </w:p>
        </w:tc>
        <w:tc>
          <w:tcPr>
            <w:tcW w:w="0" w:type="auto"/>
            <w:shd w:val="clear" w:color="auto" w:fill="auto"/>
            <w:tcMar>
              <w:top w:w="15" w:type="dxa"/>
              <w:left w:w="15" w:type="dxa"/>
              <w:bottom w:w="15" w:type="dxa"/>
              <w:right w:w="15" w:type="dxa"/>
            </w:tcMar>
            <w:vAlign w:val="center"/>
          </w:tcPr>
          <w:p w14:paraId="50E13702">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21</w:t>
            </w:r>
          </w:p>
        </w:tc>
        <w:tc>
          <w:tcPr>
            <w:tcW w:w="0" w:type="auto"/>
            <w:shd w:val="clear" w:color="auto" w:fill="auto"/>
            <w:tcMar>
              <w:top w:w="15" w:type="dxa"/>
              <w:left w:w="15" w:type="dxa"/>
              <w:bottom w:w="15" w:type="dxa"/>
              <w:right w:w="15" w:type="dxa"/>
            </w:tcMar>
            <w:vAlign w:val="center"/>
          </w:tcPr>
          <w:p w14:paraId="4656DB73">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kern w:val="0"/>
                <w:sz w:val="24"/>
                <w:szCs w:val="24"/>
                <w:lang w:val="en-US" w:eastAsia="zh-CN" w:bidi="ar"/>
              </w:rPr>
              <w:t>0.0000</w:t>
            </w:r>
          </w:p>
        </w:tc>
      </w:tr>
    </w:tbl>
    <w:p w14:paraId="6BF35C1B">
      <w:pPr>
        <w:rPr>
          <w:rFonts w:hint="default" w:ascii="Times New Roman" w:hAnsi="Times New Roman" w:cs="Times New Roman"/>
          <w:i w:val="0"/>
          <w:iCs w:val="0"/>
          <w:sz w:val="24"/>
          <w:szCs w:val="24"/>
        </w:rPr>
      </w:pPr>
    </w:p>
    <w:p w14:paraId="66885B0A">
      <w:pPr>
        <w:rPr>
          <w:rFonts w:hint="default" w:ascii="Times New Roman" w:hAnsi="Times New Roman" w:eastAsia="SimSun" w:cs="Times New Roman"/>
          <w:sz w:val="24"/>
          <w:szCs w:val="24"/>
        </w:rPr>
      </w:pPr>
      <w:r>
        <w:rPr>
          <w:rFonts w:hint="default" w:ascii="Times New Roman" w:hAnsi="Times New Roman" w:cs="Times New Roman"/>
          <w:i w:val="0"/>
          <w:iCs w:val="0"/>
          <w:sz w:val="24"/>
          <w:szCs w:val="24"/>
        </w:rPr>
        <w:t>Note</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p-values indicate statistically significant relationships (</w:t>
      </w:r>
      <w:r>
        <w:rPr>
          <w:rStyle w:val="8"/>
          <w:rFonts w:hint="default" w:ascii="Times New Roman" w:hAnsi="Times New Roman" w:eastAsia="SimSun" w:cs="Times New Roman"/>
          <w:sz w:val="24"/>
          <w:szCs w:val="24"/>
        </w:rPr>
        <w:t>p</w:t>
      </w:r>
      <w:r>
        <w:rPr>
          <w:rFonts w:hint="default" w:ascii="Times New Roman" w:hAnsi="Times New Roman" w:eastAsia="SimSun" w:cs="Times New Roman"/>
          <w:sz w:val="24"/>
          <w:szCs w:val="24"/>
        </w:rPr>
        <w:t xml:space="preserve"> &lt; .05).</w:t>
      </w:r>
    </w:p>
    <w:p w14:paraId="21CBD517">
      <w:pPr>
        <w:rPr>
          <w:rFonts w:hint="default" w:ascii="Times New Roman" w:hAnsi="Times New Roman" w:cs="Times New Roman"/>
          <w:sz w:val="24"/>
          <w:szCs w:val="24"/>
        </w:rPr>
      </w:pPr>
      <w:r>
        <w:rPr>
          <w:rFonts w:hint="default" w:ascii="Times New Roman" w:hAnsi="Times New Roman" w:cs="Times New Roman"/>
          <w:sz w:val="24"/>
          <w:szCs w:val="24"/>
        </w:rPr>
        <w:t xml:space="preserve"> χ² = Chi-square statistic; df = degrees of freedom.</w:t>
      </w:r>
      <w:r>
        <w:rPr>
          <w:rFonts w:hint="default" w:ascii="Times New Roman" w:hAnsi="Times New Roman" w:cs="Times New Roman"/>
          <w:sz w:val="24"/>
          <w:szCs w:val="24"/>
        </w:rPr>
        <w:br w:type="textWrapping"/>
      </w:r>
    </w:p>
    <w:sectPr>
      <w:footerReference r:id="rId5" w:type="default"/>
      <w:pgSz w:w="11910" w:h="16840"/>
      <w:pgMar w:top="1060" w:right="708" w:bottom="1180" w:left="850" w:header="0"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MyriadPro">
    <w:altName w:val="ESRI AMFM Electric"/>
    <w:panose1 w:val="00000000000000000000"/>
    <w:charset w:val="00"/>
    <w:family w:val="auto"/>
    <w:pitch w:val="default"/>
    <w:sig w:usb0="00000000" w:usb1="00000000" w:usb2="00000000" w:usb3="00000000" w:csb0="00000000" w:csb1="00000000"/>
  </w:font>
  <w:font w:name="MyriadPro-I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B814">
    <w:pPr>
      <w:pStyle w:val="7"/>
      <w:spacing w:line="14" w:lineRule="auto"/>
      <w:jc w:val="left"/>
      <w:rPr>
        <w:sz w:val="20"/>
      </w:rPr>
    </w:pPr>
    <w:r>
      <w:rPr>
        <w:sz w:val="20"/>
      </w:rPr>
      <mc:AlternateContent>
        <mc:Choice Requires="wps">
          <w:drawing>
            <wp:anchor distT="0" distB="0" distL="0" distR="0" simplePos="0" relativeHeight="251659264" behindDoc="1" locked="0" layoutInCell="1" allowOverlap="1">
              <wp:simplePos x="0" y="0"/>
              <wp:positionH relativeFrom="page">
                <wp:posOffset>6876415</wp:posOffset>
              </wp:positionH>
              <wp:positionV relativeFrom="page">
                <wp:posOffset>9921240</wp:posOffset>
              </wp:positionV>
              <wp:extent cx="203200"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203200" cy="165100"/>
                      </a:xfrm>
                      <a:prstGeom prst="rect">
                        <a:avLst/>
                      </a:prstGeom>
                    </wps:spPr>
                    <wps:txbx>
                      <w:txbxContent>
                        <w:p w14:paraId="4F77660E">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28</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41.45pt;margin-top:781.2pt;height:13pt;width:16pt;mso-position-horizontal-relative:page;mso-position-vertical-relative:page;z-index:-251657216;mso-width-relative:page;mso-height-relative:page;" filled="f" stroked="f" coordsize="21600,21600" o:gfxdata="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Cb&#10;3q7bAAAADwEAAA8AAAAAAAAAAQAgAAAAIgAAAGRycy9kb3ducmV2LnhtbFBLAQIUABQAAAAIAIdO&#10;4kA6H+l9rgEAAHMDAAAOAAAAAAAAAAEAIAAAACoBAABkcnMvZTJvRG9jLnhtbFBLBQYAAAAABgAG&#10;AFkBAABKBQAAAAA=&#10;">
              <v:fill on="f" focussize="0,0"/>
              <v:stroke on="f"/>
              <v:imagedata o:title=""/>
              <o:lock v:ext="edit" aspectratio="f"/>
              <v:textbox inset="0mm,0mm,0mm,0mm">
                <w:txbxContent>
                  <w:p w14:paraId="4F77660E">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28</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042A3CE5"/>
    <w:rsid w:val="087B4A9F"/>
    <w:rsid w:val="0E422ED9"/>
    <w:rsid w:val="109323BA"/>
    <w:rsid w:val="170F2A2D"/>
    <w:rsid w:val="1E0A051B"/>
    <w:rsid w:val="20F074A2"/>
    <w:rsid w:val="2892771D"/>
    <w:rsid w:val="28AA1076"/>
    <w:rsid w:val="2BCE30AF"/>
    <w:rsid w:val="2BD7398E"/>
    <w:rsid w:val="2F1A12AE"/>
    <w:rsid w:val="3F531CF1"/>
    <w:rsid w:val="482F30C4"/>
    <w:rsid w:val="4D707E29"/>
    <w:rsid w:val="52F93394"/>
    <w:rsid w:val="5B82385B"/>
    <w:rsid w:val="5F6D226A"/>
    <w:rsid w:val="64325BA0"/>
    <w:rsid w:val="65F01C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jc w:val="both"/>
      <w:outlineLvl w:val="1"/>
    </w:pPr>
    <w:rPr>
      <w:rFonts w:ascii="Times New Roman" w:hAnsi="Times New Roman" w:eastAsia="Times New Roman" w:cs="Times New Roman"/>
      <w:b/>
      <w:bCs/>
      <w:sz w:val="24"/>
      <w:szCs w:val="24"/>
      <w:lang w:val="en-US" w:eastAsia="en-US" w:bidi="ar-SA"/>
    </w:rPr>
  </w:style>
  <w:style w:type="paragraph" w:styleId="3">
    <w:name w:val="heading 2"/>
    <w:basedOn w:val="1"/>
    <w:link w:val="15"/>
    <w:qFormat/>
    <w:uiPriority w:val="1"/>
    <w:pPr>
      <w:jc w:val="both"/>
      <w:outlineLvl w:val="2"/>
    </w:pPr>
    <w:rPr>
      <w:rFonts w:ascii="Times New Roman" w:hAnsi="Times New Roman" w:eastAsia="Times New Roman" w:cs="Times New Roman"/>
      <w:b/>
      <w:bCs/>
      <w:i/>
      <w:iCs/>
      <w:sz w:val="24"/>
      <w:szCs w:val="24"/>
      <w:lang w:val="en-US" w:eastAsia="en-US" w:bidi="ar-SA"/>
    </w:rPr>
  </w:style>
  <w:style w:type="paragraph" w:styleId="4">
    <w:name w:val="heading 3"/>
    <w:basedOn w:val="1"/>
    <w:next w:val="1"/>
    <w:link w:val="16"/>
    <w:semiHidden/>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200" w:afterAutospacing="0" w:line="276" w:lineRule="auto"/>
      <w:ind w:left="0" w:right="0"/>
    </w:pPr>
    <w:rPr>
      <w:rFonts w:hint="eastAsia" w:ascii="Calibri" w:hAnsi="Calibri" w:eastAsia="Times New Roman" w:cs="Times New Roman"/>
      <w:sz w:val="22"/>
      <w:szCs w:val="22"/>
    </w:rPr>
    <w:tblPr>
      <w:tblCellMar>
        <w:top w:w="0" w:type="dxa"/>
        <w:left w:w="108" w:type="dxa"/>
        <w:bottom w:w="0" w:type="dxa"/>
        <w:right w:w="108" w:type="dxa"/>
      </w:tblCellMar>
    </w:tblPr>
  </w:style>
  <w:style w:type="paragraph" w:styleId="7">
    <w:name w:val="Body Text"/>
    <w:basedOn w:val="1"/>
    <w:qFormat/>
    <w:uiPriority w:val="1"/>
    <w:pPr>
      <w:jc w:val="both"/>
    </w:pPr>
    <w:rPr>
      <w:rFonts w:ascii="Times New Roman" w:hAnsi="Times New Roman" w:eastAsia="Times New Roman" w:cs="Times New Roman"/>
      <w:sz w:val="24"/>
      <w:szCs w:val="24"/>
      <w:lang w:val="en-US" w:eastAsia="en-US" w:bidi="ar-SA"/>
    </w:rPr>
  </w:style>
  <w:style w:type="character" w:styleId="8">
    <w:name w:val="Emphasis"/>
    <w:basedOn w:val="5"/>
    <w:qFormat/>
    <w:uiPriority w:val="0"/>
    <w:rPr>
      <w:i/>
      <w:iCs/>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5"/>
    <w:qFormat/>
    <w:uiPriority w:val="0"/>
    <w:rPr>
      <w:color w:val="0000FF"/>
      <w:u w:val="single"/>
    </w:r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rPr>
      <w:lang w:val="en-US" w:eastAsia="en-US" w:bidi="ar-SA"/>
    </w:rPr>
  </w:style>
  <w:style w:type="paragraph" w:customStyle="1" w:styleId="14">
    <w:name w:val="Table Paragraph"/>
    <w:basedOn w:val="1"/>
    <w:qFormat/>
    <w:uiPriority w:val="1"/>
    <w:pPr>
      <w:spacing w:line="248" w:lineRule="exact"/>
    </w:pPr>
    <w:rPr>
      <w:rFonts w:ascii="Times New Roman" w:hAnsi="Times New Roman" w:eastAsia="Times New Roman" w:cs="Times New Roman"/>
      <w:lang w:val="en-US" w:eastAsia="en-US" w:bidi="ar-SA"/>
    </w:rPr>
  </w:style>
  <w:style w:type="character" w:customStyle="1" w:styleId="15">
    <w:name w:val="Heading 2 Char"/>
    <w:link w:val="3"/>
    <w:qFormat/>
    <w:uiPriority w:val="0"/>
    <w:rPr>
      <w:rFonts w:hint="default" w:ascii="Times New Roman" w:hAnsi="Times New Roman" w:eastAsia="Times New Roman" w:cs="Times New Roman"/>
      <w:b/>
      <w:bCs/>
      <w:sz w:val="36"/>
      <w:szCs w:val="36"/>
    </w:rPr>
  </w:style>
  <w:style w:type="character" w:customStyle="1" w:styleId="16">
    <w:name w:val="Heading 3 Char"/>
    <w:link w:val="4"/>
    <w:qFormat/>
    <w:uiPriority w:val="0"/>
    <w:rPr>
      <w:rFonts w:hint="default"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TotalTime>19</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2025-09-19T06:42:00Z</dcterms:created>
  <dc:creator>Banki Chunwate</dc:creator>
  <cp:lastModifiedBy>Banki Chunwate</cp:lastModifiedBy>
  <dcterms:modified xsi:type="dcterms:W3CDTF">2025-12-18T14:59:25Z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2025-09-19T00:00:00Z</vt:filetime>
  </property>
  <property fmtid="{D5CDD505-2E9C-101B-9397-08002B2CF9AE}" pid="5" name="Producer">
    <vt:lpwstr>3-Heights(TM) PDF Security Shell 4.8.25.2 (http://www.pdf-tools.com)</vt:lpwstr>
  </property>
  <property fmtid="{D5CDD505-2E9C-101B-9397-08002B2CF9AE}" pid="6" name="KSOProductBuildVer">
    <vt:lpwstr>1033-12.2.0.23155</vt:lpwstr>
  </property>
  <property fmtid="{D5CDD505-2E9C-101B-9397-08002B2CF9AE}" pid="7" name="ICV">
    <vt:lpwstr>E5A6D9E53EB24044A58DE74D97776FCB_12</vt:lpwstr>
  </property>
</Properties>
</file>