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B2BE0" w14:textId="4A6AB98E" w:rsidR="00DE0FEA" w:rsidRPr="00F87417" w:rsidRDefault="00DE0FEA" w:rsidP="006C0E5F">
      <w:pPr>
        <w:pBdr>
          <w:top w:val="single" w:sz="12" w:space="1" w:color="000000"/>
          <w:bottom w:val="single" w:sz="12" w:space="1" w:color="000000"/>
        </w:pBdr>
        <w:spacing w:line="276" w:lineRule="auto"/>
        <w:jc w:val="center"/>
        <w:rPr>
          <w:rFonts w:eastAsia="Times New Roman" w:cs="Times New Roman"/>
          <w:b/>
          <w:bCs/>
          <w:szCs w:val="24"/>
          <w:lang w:eastAsia="en-GB"/>
        </w:rPr>
      </w:pPr>
      <w:r w:rsidRPr="00DE0FEA">
        <w:rPr>
          <w:rFonts w:eastAsia="Times New Roman" w:cs="Times New Roman"/>
          <w:bCs/>
          <w:szCs w:val="24"/>
          <w:lang w:eastAsia="en-GB"/>
        </w:rPr>
        <w:t xml:space="preserve">Analysis </w:t>
      </w:r>
      <w:r w:rsidR="00482722">
        <w:rPr>
          <w:rFonts w:eastAsia="Times New Roman" w:cs="Times New Roman"/>
          <w:bCs/>
          <w:szCs w:val="24"/>
          <w:lang w:eastAsia="en-GB"/>
        </w:rPr>
        <w:t xml:space="preserve">article  </w:t>
      </w:r>
      <w:r>
        <w:rPr>
          <w:rFonts w:eastAsia="Times New Roman" w:cs="Times New Roman"/>
          <w:bCs/>
          <w:szCs w:val="24"/>
          <w:lang w:eastAsia="en-GB"/>
        </w:rPr>
        <w:t xml:space="preserve">                          </w:t>
      </w:r>
      <w:r w:rsidRPr="00DE0FEA">
        <w:rPr>
          <w:rFonts w:eastAsia="Times New Roman" w:cs="Times New Roman"/>
          <w:bCs/>
          <w:szCs w:val="24"/>
          <w:lang w:eastAsia="en-GB"/>
        </w:rPr>
        <w:tab/>
      </w:r>
      <w:r>
        <w:rPr>
          <w:rFonts w:eastAsia="Times New Roman" w:cs="Times New Roman"/>
          <w:b/>
          <w:szCs w:val="24"/>
          <w:lang w:eastAsia="en-GB"/>
        </w:rPr>
        <w:t xml:space="preserve">      </w:t>
      </w:r>
      <w:r w:rsidRPr="00FD0B65">
        <w:rPr>
          <w:rFonts w:eastAsia="Times New Roman" w:cs="Times New Roman"/>
          <w:b/>
          <w:szCs w:val="24"/>
          <w:lang w:eastAsia="en-GB"/>
        </w:rPr>
        <w:tab/>
      </w:r>
      <w:r w:rsidRPr="00FD0B65">
        <w:rPr>
          <w:rFonts w:eastAsia="Times New Roman" w:cs="Times New Roman"/>
          <w:b/>
          <w:szCs w:val="24"/>
          <w:lang w:eastAsia="en-GB"/>
        </w:rPr>
        <w:tab/>
      </w:r>
      <w:r w:rsidR="00CD7809">
        <w:rPr>
          <w:rFonts w:eastAsia="Times New Roman" w:cs="Times New Roman"/>
          <w:b/>
          <w:szCs w:val="24"/>
          <w:lang w:eastAsia="en-GB"/>
        </w:rPr>
        <w:t xml:space="preserve"> </w:t>
      </w:r>
      <w:r w:rsidR="00F87417">
        <w:rPr>
          <w:rFonts w:eastAsia="Times New Roman" w:cs="Times New Roman"/>
          <w:szCs w:val="24"/>
          <w:lang w:eastAsia="en-GB"/>
        </w:rPr>
        <w:t>Forthcoming in</w:t>
      </w:r>
      <w:r w:rsidR="00CD7809">
        <w:rPr>
          <w:rFonts w:eastAsia="Times New Roman" w:cs="Times New Roman"/>
          <w:szCs w:val="24"/>
          <w:lang w:eastAsia="en-GB"/>
        </w:rPr>
        <w:t xml:space="preserve"> </w:t>
      </w:r>
      <w:r w:rsidRPr="00F87417">
        <w:rPr>
          <w:rFonts w:eastAsia="Times New Roman" w:cs="Times New Roman"/>
          <w:b/>
          <w:bCs/>
          <w:i/>
          <w:iCs/>
          <w:szCs w:val="24"/>
          <w:lang w:eastAsia="en-GB"/>
        </w:rPr>
        <w:t>Public Law</w:t>
      </w:r>
      <w:r w:rsidR="00F87417">
        <w:rPr>
          <w:rFonts w:eastAsia="Times New Roman" w:cs="Times New Roman"/>
          <w:b/>
          <w:bCs/>
          <w:i/>
          <w:iCs/>
          <w:szCs w:val="24"/>
          <w:lang w:eastAsia="en-GB"/>
        </w:rPr>
        <w:t xml:space="preserve"> </w:t>
      </w:r>
      <w:r w:rsidR="00F87417">
        <w:rPr>
          <w:rFonts w:eastAsia="Times New Roman" w:cs="Times New Roman"/>
          <w:b/>
          <w:bCs/>
          <w:szCs w:val="24"/>
          <w:lang w:eastAsia="en-GB"/>
        </w:rPr>
        <w:t>2026 (July)</w:t>
      </w:r>
    </w:p>
    <w:p w14:paraId="1DCF2B09" w14:textId="77777777" w:rsidR="00DE0FEA" w:rsidRPr="00FD0B65" w:rsidRDefault="00DE0FEA" w:rsidP="006C0E5F">
      <w:pPr>
        <w:spacing w:line="276" w:lineRule="auto"/>
        <w:jc w:val="center"/>
        <w:rPr>
          <w:rFonts w:eastAsia="Times New Roman" w:cs="Times New Roman"/>
          <w:sz w:val="36"/>
          <w:szCs w:val="36"/>
          <w:lang w:eastAsia="en-GB"/>
        </w:rPr>
      </w:pPr>
    </w:p>
    <w:p w14:paraId="1FB85562" w14:textId="77777777" w:rsidR="001D30C9" w:rsidRDefault="005F347C" w:rsidP="006C0E5F">
      <w:pPr>
        <w:spacing w:after="0" w:line="276" w:lineRule="auto"/>
        <w:jc w:val="center"/>
        <w:rPr>
          <w:rFonts w:eastAsia="Times New Roman" w:cs="Times New Roman"/>
          <w:sz w:val="36"/>
          <w:szCs w:val="36"/>
          <w:lang w:eastAsia="en-GB"/>
        </w:rPr>
      </w:pPr>
      <w:r>
        <w:rPr>
          <w:rFonts w:eastAsia="Times New Roman" w:cs="Times New Roman"/>
          <w:sz w:val="36"/>
          <w:szCs w:val="36"/>
          <w:lang w:eastAsia="en-GB"/>
        </w:rPr>
        <w:t>Discrimination in the L</w:t>
      </w:r>
      <w:r w:rsidR="00E42AE6">
        <w:rPr>
          <w:rFonts w:eastAsia="Times New Roman" w:cs="Times New Roman"/>
          <w:sz w:val="36"/>
          <w:szCs w:val="36"/>
          <w:lang w:eastAsia="en-GB"/>
        </w:rPr>
        <w:t>ocal Welfare State</w:t>
      </w:r>
      <w:r w:rsidR="001D30C9">
        <w:rPr>
          <w:rFonts w:eastAsia="Times New Roman" w:cs="Times New Roman"/>
          <w:sz w:val="36"/>
          <w:szCs w:val="36"/>
          <w:lang w:eastAsia="en-GB"/>
        </w:rPr>
        <w:t xml:space="preserve"> </w:t>
      </w:r>
    </w:p>
    <w:p w14:paraId="2FB2B915" w14:textId="391CC4D8" w:rsidR="00DE0FEA" w:rsidRDefault="001D30C9" w:rsidP="006C0E5F">
      <w:pPr>
        <w:spacing w:after="0" w:line="276" w:lineRule="auto"/>
        <w:jc w:val="center"/>
        <w:rPr>
          <w:rFonts w:eastAsia="Times New Roman" w:cs="Times New Roman"/>
          <w:sz w:val="36"/>
          <w:szCs w:val="36"/>
          <w:lang w:eastAsia="en-GB"/>
        </w:rPr>
      </w:pPr>
      <w:r>
        <w:rPr>
          <w:rFonts w:eastAsia="Times New Roman" w:cs="Times New Roman"/>
          <w:sz w:val="36"/>
          <w:szCs w:val="36"/>
          <w:lang w:eastAsia="en-GB"/>
        </w:rPr>
        <w:t>(Case Comment)</w:t>
      </w:r>
    </w:p>
    <w:p w14:paraId="4455A0D1" w14:textId="77777777" w:rsidR="004C6DD0" w:rsidRDefault="004C6DD0" w:rsidP="006C0E5F">
      <w:pPr>
        <w:spacing w:after="0" w:line="276" w:lineRule="auto"/>
        <w:jc w:val="center"/>
        <w:rPr>
          <w:rFonts w:eastAsia="Times New Roman" w:cs="Times New Roman"/>
          <w:sz w:val="36"/>
          <w:szCs w:val="36"/>
          <w:lang w:eastAsia="en-GB"/>
        </w:rPr>
      </w:pPr>
    </w:p>
    <w:p w14:paraId="457FA08F" w14:textId="40F737F6" w:rsidR="004C6DD0" w:rsidRPr="004C6DD0" w:rsidRDefault="004C6DD0" w:rsidP="006C0E5F">
      <w:pPr>
        <w:spacing w:after="0" w:line="276" w:lineRule="auto"/>
        <w:jc w:val="center"/>
        <w:rPr>
          <w:rFonts w:eastAsia="Times New Roman" w:cs="Times New Roman"/>
          <w:sz w:val="28"/>
          <w:szCs w:val="28"/>
          <w:lang w:eastAsia="en-GB"/>
        </w:rPr>
      </w:pPr>
      <w:r w:rsidRPr="004C6DD0">
        <w:rPr>
          <w:rFonts w:eastAsia="Times New Roman" w:cs="Times New Roman"/>
          <w:sz w:val="28"/>
          <w:szCs w:val="28"/>
          <w:lang w:eastAsia="en-GB"/>
        </w:rPr>
        <w:t>Dr Jed Meers</w:t>
      </w:r>
      <w:r>
        <w:rPr>
          <w:rFonts w:eastAsia="Times New Roman" w:cs="Times New Roman"/>
          <w:sz w:val="28"/>
          <w:szCs w:val="28"/>
          <w:lang w:eastAsia="en-GB"/>
        </w:rPr>
        <w:t>*</w:t>
      </w:r>
    </w:p>
    <w:p w14:paraId="28549280" w14:textId="77777777" w:rsidR="00DE0FEA" w:rsidRPr="00FD0B65" w:rsidRDefault="00DE0FEA" w:rsidP="006C0E5F">
      <w:pPr>
        <w:spacing w:after="0" w:line="276" w:lineRule="auto"/>
        <w:rPr>
          <w:rFonts w:eastAsia="Times New Roman" w:cs="Times New Roman"/>
          <w:szCs w:val="24"/>
          <w:lang w:eastAsia="en-GB"/>
        </w:rPr>
      </w:pPr>
    </w:p>
    <w:p w14:paraId="3C182811" w14:textId="55AD390B" w:rsidR="00DE0FEA" w:rsidRDefault="00300C11" w:rsidP="006C0E5F">
      <w:pPr>
        <w:spacing w:line="276" w:lineRule="auto"/>
        <w:ind w:left="567" w:right="379"/>
        <w:jc w:val="both"/>
        <w:rPr>
          <w:rFonts w:ascii="Garamond" w:eastAsia="Garamond" w:hAnsi="Garamond" w:cs="Garamond"/>
          <w:szCs w:val="24"/>
          <w:lang w:eastAsia="en-GB"/>
        </w:rPr>
      </w:pPr>
      <w:r w:rsidRPr="00300C11">
        <w:rPr>
          <w:rFonts w:ascii="Garamond" w:eastAsia="Garamond" w:hAnsi="Garamond" w:cs="Garamond"/>
          <w:i/>
          <w:iCs/>
          <w:lang w:eastAsia="en-GB"/>
        </w:rPr>
        <w:t xml:space="preserve">R (LL and AU) </w:t>
      </w:r>
      <w:r w:rsidRPr="00965CB1">
        <w:rPr>
          <w:rFonts w:ascii="Garamond" w:eastAsia="Garamond" w:hAnsi="Garamond" w:cs="Garamond"/>
          <w:lang w:eastAsia="en-GB"/>
        </w:rPr>
        <w:t>v</w:t>
      </w:r>
      <w:r w:rsidRPr="00300C11">
        <w:rPr>
          <w:rFonts w:ascii="Garamond" w:eastAsia="Garamond" w:hAnsi="Garamond" w:cs="Garamond"/>
          <w:i/>
          <w:iCs/>
          <w:lang w:eastAsia="en-GB"/>
        </w:rPr>
        <w:t xml:space="preserve"> Trafford Metropolitan Council</w:t>
      </w:r>
      <w:r w:rsidRPr="00300C11">
        <w:rPr>
          <w:rFonts w:ascii="Garamond" w:eastAsia="Garamond" w:hAnsi="Garamond" w:cs="Garamond"/>
          <w:lang w:eastAsia="en-GB"/>
        </w:rPr>
        <w:t xml:space="preserve"> [2025] EWHC 2380 (Admin) represents the most comprehensive judicial scrutiny of a local welfare scheme to date. The claimants succeeded on all grounds: Trafford's Council Tax Reduction Scheme was unlawfully adopted, breached the Public Sector Equality Duty, was irrational, and contravened </w:t>
      </w:r>
      <w:r w:rsidR="00CC1E2A" w:rsidRPr="00CC1E2A">
        <w:rPr>
          <w:rFonts w:ascii="Garamond" w:eastAsia="Garamond" w:hAnsi="Garamond" w:cs="Garamond"/>
          <w:lang w:eastAsia="en-GB"/>
        </w:rPr>
        <w:t>ss.15 and 19 of the Equality Act 2010</w:t>
      </w:r>
      <w:r w:rsidRPr="00300C11">
        <w:rPr>
          <w:rFonts w:ascii="Garamond" w:eastAsia="Garamond" w:hAnsi="Garamond" w:cs="Garamond"/>
          <w:lang w:eastAsia="en-GB"/>
        </w:rPr>
        <w:t xml:space="preserve">. Trafford illustrates the broader public law challenges posed by the localisation of council tax support since 2013. </w:t>
      </w:r>
      <w:r w:rsidR="009B3D86">
        <w:rPr>
          <w:rFonts w:ascii="Garamond" w:eastAsia="Garamond" w:hAnsi="Garamond" w:cs="Garamond"/>
          <w:lang w:eastAsia="en-GB"/>
        </w:rPr>
        <w:t>Instead of one national benefit, there are now</w:t>
      </w:r>
      <w:r w:rsidRPr="00300C11">
        <w:rPr>
          <w:rFonts w:ascii="Garamond" w:eastAsia="Garamond" w:hAnsi="Garamond" w:cs="Garamond"/>
          <w:lang w:eastAsia="en-GB"/>
        </w:rPr>
        <w:t xml:space="preserve"> 296 separate </w:t>
      </w:r>
      <w:r w:rsidR="00C87DA3">
        <w:rPr>
          <w:rFonts w:ascii="Garamond" w:eastAsia="Garamond" w:hAnsi="Garamond" w:cs="Garamond"/>
          <w:lang w:eastAsia="en-GB"/>
        </w:rPr>
        <w:t xml:space="preserve">means-tested </w:t>
      </w:r>
      <w:r w:rsidRPr="00300C11">
        <w:rPr>
          <w:rFonts w:ascii="Garamond" w:eastAsia="Garamond" w:hAnsi="Garamond" w:cs="Garamond"/>
          <w:lang w:eastAsia="en-GB"/>
        </w:rPr>
        <w:t>schemes operating across England</w:t>
      </w:r>
      <w:r w:rsidR="006C0E5F">
        <w:rPr>
          <w:rFonts w:ascii="Garamond" w:eastAsia="Garamond" w:hAnsi="Garamond" w:cs="Garamond"/>
          <w:lang w:eastAsia="en-GB"/>
        </w:rPr>
        <w:t>. W</w:t>
      </w:r>
      <w:r w:rsidR="007975B3">
        <w:rPr>
          <w:rFonts w:ascii="Garamond" w:eastAsia="Garamond" w:hAnsi="Garamond" w:cs="Garamond"/>
          <w:lang w:eastAsia="en-GB"/>
        </w:rPr>
        <w:t>ith each having its own</w:t>
      </w:r>
      <w:r w:rsidRPr="00300C11">
        <w:rPr>
          <w:rFonts w:ascii="Garamond" w:eastAsia="Garamond" w:hAnsi="Garamond" w:cs="Garamond"/>
          <w:lang w:eastAsia="en-GB"/>
        </w:rPr>
        <w:t xml:space="preserve"> eligibility criteria and administration, the risks of unlawful, discriminatory, and irrational decision-making are considerable. This case comment argues that</w:t>
      </w:r>
      <w:r>
        <w:rPr>
          <w:rFonts w:ascii="Garamond" w:eastAsia="Garamond" w:hAnsi="Garamond" w:cs="Garamond"/>
          <w:lang w:eastAsia="en-GB"/>
        </w:rPr>
        <w:t xml:space="preserve"> Trafford illustrates how</w:t>
      </w:r>
      <w:r w:rsidRPr="00300C11">
        <w:rPr>
          <w:rFonts w:ascii="Garamond" w:eastAsia="Garamond" w:hAnsi="Garamond" w:cs="Garamond"/>
          <w:lang w:eastAsia="en-GB"/>
        </w:rPr>
        <w:t xml:space="preserve"> the localisation of council tax support generates risks that outweigh its purported benefits</w:t>
      </w:r>
      <w:r w:rsidR="00822EAF">
        <w:rPr>
          <w:rFonts w:ascii="Garamond" w:eastAsia="Garamond" w:hAnsi="Garamond" w:cs="Garamond"/>
          <w:lang w:eastAsia="en-GB"/>
        </w:rPr>
        <w:t xml:space="preserve"> </w:t>
      </w:r>
      <w:r w:rsidRPr="00300C11">
        <w:rPr>
          <w:rFonts w:ascii="Garamond" w:eastAsia="Garamond" w:hAnsi="Garamond" w:cs="Garamond"/>
          <w:lang w:eastAsia="en-GB"/>
        </w:rPr>
        <w:t xml:space="preserve">and </w:t>
      </w:r>
      <w:r w:rsidR="00230FF0">
        <w:rPr>
          <w:rFonts w:ascii="Garamond" w:eastAsia="Garamond" w:hAnsi="Garamond" w:cs="Garamond"/>
          <w:lang w:eastAsia="en-GB"/>
        </w:rPr>
        <w:t xml:space="preserve">adds further weight to the argument that </w:t>
      </w:r>
      <w:r w:rsidRPr="00300C11">
        <w:rPr>
          <w:rFonts w:ascii="Garamond" w:eastAsia="Garamond" w:hAnsi="Garamond" w:cs="Garamond"/>
          <w:lang w:eastAsia="en-GB"/>
        </w:rPr>
        <w:t>council tax support should be restored as a national benefit.</w:t>
      </w:r>
    </w:p>
    <w:p w14:paraId="05C5E999" w14:textId="6E2A8041" w:rsidR="00DE0FEA" w:rsidRDefault="00DE0FEA" w:rsidP="006C0E5F">
      <w:pPr>
        <w:spacing w:line="276" w:lineRule="auto"/>
        <w:ind w:left="567" w:right="521"/>
        <w:jc w:val="both"/>
        <w:rPr>
          <w:rFonts w:ascii="Garamond" w:eastAsia="Garamond" w:hAnsi="Garamond" w:cs="Garamond"/>
          <w:szCs w:val="24"/>
          <w:lang w:eastAsia="en-GB"/>
        </w:rPr>
      </w:pPr>
      <w:r>
        <w:rPr>
          <w:rFonts w:ascii="Garamond" w:eastAsia="Garamond" w:hAnsi="Garamond" w:cs="Garamond"/>
          <w:b/>
          <w:bCs/>
          <w:szCs w:val="24"/>
          <w:lang w:eastAsia="en-GB"/>
        </w:rPr>
        <w:t xml:space="preserve">Keywords: </w:t>
      </w:r>
      <w:r>
        <w:rPr>
          <w:rFonts w:ascii="Garamond" w:eastAsia="Garamond" w:hAnsi="Garamond" w:cs="Garamond"/>
          <w:szCs w:val="24"/>
          <w:lang w:eastAsia="en-GB"/>
        </w:rPr>
        <w:t>Discrimination, Local Government, Equality Act 2010, Council Tax Support, Local Welfare.</w:t>
      </w:r>
    </w:p>
    <w:p w14:paraId="333FE6A8" w14:textId="750FA90C" w:rsidR="00487245" w:rsidRDefault="00487245" w:rsidP="006C0E5F">
      <w:pPr>
        <w:spacing w:line="276" w:lineRule="auto"/>
        <w:jc w:val="both"/>
        <w:rPr>
          <w:rFonts w:eastAsia="Times New Roman" w:cs="Times New Roman"/>
          <w:color w:val="000000"/>
          <w:szCs w:val="24"/>
        </w:rPr>
      </w:pPr>
    </w:p>
    <w:p w14:paraId="315CB8C0" w14:textId="41076DFA" w:rsidR="00410380" w:rsidRDefault="00657B05" w:rsidP="006C0E5F">
      <w:pPr>
        <w:spacing w:line="276" w:lineRule="auto"/>
        <w:jc w:val="both"/>
        <w:rPr>
          <w:rFonts w:eastAsia="Times New Roman" w:cs="Times New Roman"/>
          <w:color w:val="000000"/>
          <w:szCs w:val="24"/>
        </w:rPr>
      </w:pPr>
      <w:r w:rsidRPr="00657B05">
        <w:rPr>
          <w:rFonts w:eastAsia="Times New Roman" w:cs="Times New Roman"/>
          <w:color w:val="000000"/>
          <w:szCs w:val="24"/>
        </w:rPr>
        <w:t>Local authorities in England find themselves caught between two increasingly irreconcilable pressures</w:t>
      </w:r>
      <w:r>
        <w:rPr>
          <w:rFonts w:eastAsia="Times New Roman" w:cs="Times New Roman"/>
          <w:color w:val="000000"/>
          <w:szCs w:val="24"/>
        </w:rPr>
        <w:t xml:space="preserve">. </w:t>
      </w:r>
      <w:r w:rsidR="00141CE6">
        <w:rPr>
          <w:rFonts w:eastAsia="Times New Roman" w:cs="Times New Roman"/>
          <w:color w:val="000000"/>
          <w:szCs w:val="24"/>
        </w:rPr>
        <w:t>First, a funding crisis that makes them ever more reliant on council tax receipts from residents who increasing</w:t>
      </w:r>
      <w:r w:rsidR="00792ACB">
        <w:rPr>
          <w:rFonts w:eastAsia="Times New Roman" w:cs="Times New Roman"/>
          <w:color w:val="000000"/>
          <w:szCs w:val="24"/>
        </w:rPr>
        <w:t>ly</w:t>
      </w:r>
      <w:r w:rsidR="00141CE6">
        <w:rPr>
          <w:rFonts w:eastAsia="Times New Roman" w:cs="Times New Roman"/>
          <w:color w:val="000000"/>
          <w:szCs w:val="24"/>
        </w:rPr>
        <w:t xml:space="preserve"> </w:t>
      </w:r>
      <w:r w:rsidR="00A2763F">
        <w:rPr>
          <w:rFonts w:eastAsia="Times New Roman" w:cs="Times New Roman"/>
          <w:color w:val="000000"/>
          <w:szCs w:val="24"/>
        </w:rPr>
        <w:t>can</w:t>
      </w:r>
      <w:r w:rsidR="00141CE6">
        <w:rPr>
          <w:rFonts w:eastAsia="Times New Roman" w:cs="Times New Roman"/>
          <w:color w:val="000000"/>
          <w:szCs w:val="24"/>
        </w:rPr>
        <w:t>not afford to pay</w:t>
      </w:r>
      <w:r w:rsidR="00792ACB">
        <w:rPr>
          <w:rFonts w:eastAsia="Times New Roman" w:cs="Times New Roman"/>
          <w:color w:val="000000"/>
          <w:szCs w:val="24"/>
        </w:rPr>
        <w:t xml:space="preserve"> them</w:t>
      </w:r>
      <w:r w:rsidR="00141CE6">
        <w:rPr>
          <w:rFonts w:eastAsia="Times New Roman" w:cs="Times New Roman"/>
          <w:color w:val="000000"/>
          <w:szCs w:val="24"/>
        </w:rPr>
        <w:t xml:space="preserve">. </w:t>
      </w:r>
      <w:r w:rsidR="00410380" w:rsidRPr="00487245">
        <w:rPr>
          <w:rFonts w:eastAsia="Times New Roman" w:cs="Times New Roman"/>
          <w:color w:val="000000"/>
          <w:szCs w:val="24"/>
        </w:rPr>
        <w:t xml:space="preserve">In England alone, council tax arrears </w:t>
      </w:r>
      <w:r w:rsidR="00D47BE6">
        <w:rPr>
          <w:rFonts w:eastAsia="Times New Roman" w:cs="Times New Roman"/>
          <w:color w:val="000000"/>
          <w:szCs w:val="24"/>
        </w:rPr>
        <w:t>have topped</w:t>
      </w:r>
      <w:r w:rsidR="00410380" w:rsidRPr="00487245">
        <w:rPr>
          <w:rFonts w:eastAsia="Times New Roman" w:cs="Times New Roman"/>
          <w:color w:val="000000"/>
          <w:szCs w:val="24"/>
        </w:rPr>
        <w:t xml:space="preserve"> £6 billion</w:t>
      </w:r>
      <w:r w:rsidR="00D84FD1">
        <w:rPr>
          <w:rFonts w:eastAsia="Times New Roman" w:cs="Times New Roman"/>
          <w:color w:val="000000"/>
          <w:szCs w:val="24"/>
        </w:rPr>
        <w:t>;</w:t>
      </w:r>
      <w:r w:rsidR="00410380" w:rsidRPr="00487245">
        <w:rPr>
          <w:rFonts w:eastAsia="Times New Roman" w:cs="Times New Roman"/>
          <w:color w:val="000000"/>
          <w:szCs w:val="24"/>
        </w:rPr>
        <w:t xml:space="preserve"> double that owed in 2019/20 and a figure increasing by £10 million every week.</w:t>
      </w:r>
      <w:r w:rsidR="00410380">
        <w:rPr>
          <w:rStyle w:val="FootnoteReference"/>
          <w:rFonts w:eastAsia="Times New Roman" w:cs="Times New Roman"/>
          <w:color w:val="000000"/>
          <w:szCs w:val="24"/>
        </w:rPr>
        <w:footnoteReference w:id="1"/>
      </w:r>
      <w:r w:rsidR="00410380" w:rsidRPr="00487245">
        <w:rPr>
          <w:rFonts w:eastAsia="Times New Roman" w:cs="Times New Roman"/>
          <w:color w:val="000000"/>
          <w:szCs w:val="24"/>
        </w:rPr>
        <w:t xml:space="preserve"> </w:t>
      </w:r>
      <w:r w:rsidR="00D47BE6">
        <w:rPr>
          <w:rFonts w:eastAsia="Times New Roman" w:cs="Times New Roman"/>
          <w:color w:val="000000"/>
          <w:szCs w:val="24"/>
        </w:rPr>
        <w:t>B</w:t>
      </w:r>
      <w:r w:rsidR="00410380" w:rsidRPr="00487245">
        <w:rPr>
          <w:rFonts w:eastAsia="Times New Roman" w:cs="Times New Roman"/>
          <w:color w:val="000000"/>
          <w:szCs w:val="24"/>
        </w:rPr>
        <w:t>ills have increased and continue to grow</w:t>
      </w:r>
      <w:r w:rsidR="00FD5389">
        <w:rPr>
          <w:rFonts w:eastAsia="Times New Roman" w:cs="Times New Roman"/>
          <w:color w:val="000000"/>
          <w:szCs w:val="24"/>
        </w:rPr>
        <w:t>. T</w:t>
      </w:r>
      <w:r w:rsidR="00410380" w:rsidRPr="00487245">
        <w:rPr>
          <w:rFonts w:eastAsia="Times New Roman" w:cs="Times New Roman"/>
          <w:color w:val="000000"/>
          <w:szCs w:val="24"/>
        </w:rPr>
        <w:t>he average Band D property in England pays £2,171 per year in 2024/25 compared to £1,141 in 2009/10.</w:t>
      </w:r>
      <w:r w:rsidR="009C3565">
        <w:rPr>
          <w:rStyle w:val="FootnoteReference"/>
          <w:rFonts w:eastAsia="Times New Roman" w:cs="Times New Roman"/>
          <w:color w:val="000000"/>
          <w:szCs w:val="24"/>
        </w:rPr>
        <w:footnoteReference w:id="2"/>
      </w:r>
      <w:r w:rsidR="00410380" w:rsidRPr="00487245">
        <w:rPr>
          <w:rFonts w:eastAsia="Times New Roman" w:cs="Times New Roman"/>
          <w:color w:val="000000"/>
          <w:szCs w:val="24"/>
        </w:rPr>
        <w:t xml:space="preserve"> </w:t>
      </w:r>
      <w:r w:rsidR="00EA6F08">
        <w:rPr>
          <w:rFonts w:eastAsia="Times New Roman" w:cs="Times New Roman"/>
          <w:color w:val="000000"/>
          <w:szCs w:val="24"/>
        </w:rPr>
        <w:t>T</w:t>
      </w:r>
      <w:r w:rsidR="00410380" w:rsidRPr="00487245">
        <w:rPr>
          <w:rFonts w:eastAsia="Times New Roman" w:cs="Times New Roman"/>
          <w:color w:val="000000"/>
          <w:szCs w:val="24"/>
        </w:rPr>
        <w:t xml:space="preserve">he story of the last decade for </w:t>
      </w:r>
      <w:r w:rsidR="00057A3F">
        <w:rPr>
          <w:rFonts w:eastAsia="Times New Roman" w:cs="Times New Roman"/>
          <w:color w:val="000000"/>
          <w:szCs w:val="24"/>
        </w:rPr>
        <w:t>“</w:t>
      </w:r>
      <w:r w:rsidR="00410380" w:rsidRPr="00487245">
        <w:rPr>
          <w:rFonts w:eastAsia="Times New Roman" w:cs="Times New Roman"/>
          <w:color w:val="000000"/>
          <w:szCs w:val="24"/>
        </w:rPr>
        <w:t>Britain’s primary property tax</w:t>
      </w:r>
      <w:r w:rsidR="00057A3F">
        <w:rPr>
          <w:rFonts w:eastAsia="Times New Roman" w:cs="Times New Roman"/>
          <w:color w:val="000000"/>
          <w:szCs w:val="24"/>
        </w:rPr>
        <w:t>”</w:t>
      </w:r>
      <w:r w:rsidR="00410380" w:rsidRPr="00487245">
        <w:rPr>
          <w:rFonts w:eastAsia="Times New Roman" w:cs="Times New Roman"/>
          <w:color w:val="000000"/>
          <w:szCs w:val="24"/>
        </w:rPr>
        <w:t xml:space="preserve"> is a system struggling under the pressures facing both Local Government and the households on which it</w:t>
      </w:r>
      <w:r w:rsidR="00410380" w:rsidRPr="00487245">
        <w:rPr>
          <w:rFonts w:eastAsia="Times New Roman" w:cs="Times New Roman"/>
          <w:szCs w:val="24"/>
        </w:rPr>
        <w:t xml:space="preserve"> i</w:t>
      </w:r>
      <w:r w:rsidR="00410380" w:rsidRPr="00487245">
        <w:rPr>
          <w:rFonts w:eastAsia="Times New Roman" w:cs="Times New Roman"/>
          <w:color w:val="000000"/>
          <w:szCs w:val="24"/>
        </w:rPr>
        <w:t>s levied.</w:t>
      </w:r>
      <w:r w:rsidR="009C3565">
        <w:rPr>
          <w:rStyle w:val="FootnoteReference"/>
          <w:rFonts w:eastAsia="Times New Roman" w:cs="Times New Roman"/>
          <w:color w:val="000000"/>
          <w:szCs w:val="24"/>
        </w:rPr>
        <w:footnoteReference w:id="3"/>
      </w:r>
      <w:r w:rsidR="00C943C2">
        <w:rPr>
          <w:rFonts w:eastAsia="Times New Roman" w:cs="Times New Roman"/>
          <w:color w:val="000000"/>
          <w:szCs w:val="24"/>
        </w:rPr>
        <w:t xml:space="preserve"> </w:t>
      </w:r>
      <w:r w:rsidR="000978AA">
        <w:rPr>
          <w:rFonts w:eastAsia="Times New Roman" w:cs="Times New Roman"/>
          <w:color w:val="000000"/>
          <w:szCs w:val="24"/>
        </w:rPr>
        <w:t>Second, t</w:t>
      </w:r>
      <w:r w:rsidR="00441FFB">
        <w:rPr>
          <w:rFonts w:eastAsia="Times New Roman" w:cs="Times New Roman"/>
          <w:color w:val="000000"/>
          <w:szCs w:val="24"/>
        </w:rPr>
        <w:t xml:space="preserve">his ongoing (and for some authorities, </w:t>
      </w:r>
      <w:r w:rsidR="00E77AD3">
        <w:rPr>
          <w:rFonts w:eastAsia="Times New Roman" w:cs="Times New Roman"/>
          <w:color w:val="000000"/>
          <w:szCs w:val="24"/>
        </w:rPr>
        <w:t xml:space="preserve">significantly </w:t>
      </w:r>
      <w:r w:rsidR="00441FFB">
        <w:rPr>
          <w:rFonts w:eastAsia="Times New Roman" w:cs="Times New Roman"/>
          <w:color w:val="000000"/>
          <w:szCs w:val="24"/>
        </w:rPr>
        <w:t xml:space="preserve">worsening) funding crisis sits alongside a shifting role for </w:t>
      </w:r>
      <w:r w:rsidR="00DB6F66">
        <w:rPr>
          <w:rFonts w:eastAsia="Times New Roman" w:cs="Times New Roman"/>
          <w:color w:val="000000"/>
          <w:szCs w:val="24"/>
        </w:rPr>
        <w:lastRenderedPageBreak/>
        <w:t>l</w:t>
      </w:r>
      <w:r w:rsidR="00441FFB">
        <w:rPr>
          <w:rFonts w:eastAsia="Times New Roman" w:cs="Times New Roman"/>
          <w:color w:val="000000"/>
          <w:szCs w:val="24"/>
        </w:rPr>
        <w:t xml:space="preserve">ocal </w:t>
      </w:r>
      <w:r w:rsidR="00DB6F66">
        <w:rPr>
          <w:rFonts w:eastAsia="Times New Roman" w:cs="Times New Roman"/>
          <w:color w:val="000000"/>
          <w:szCs w:val="24"/>
        </w:rPr>
        <w:t>a</w:t>
      </w:r>
      <w:r w:rsidR="00441FFB">
        <w:rPr>
          <w:rFonts w:eastAsia="Times New Roman" w:cs="Times New Roman"/>
          <w:color w:val="000000"/>
          <w:szCs w:val="24"/>
        </w:rPr>
        <w:t xml:space="preserve">uthorities in the design and delivery of the welfare state. Since 2013, English </w:t>
      </w:r>
      <w:r w:rsidR="00DB6F66">
        <w:rPr>
          <w:rFonts w:eastAsia="Times New Roman" w:cs="Times New Roman"/>
          <w:color w:val="000000"/>
          <w:szCs w:val="24"/>
        </w:rPr>
        <w:t>l</w:t>
      </w:r>
      <w:r w:rsidR="00441FFB">
        <w:rPr>
          <w:rFonts w:eastAsia="Times New Roman" w:cs="Times New Roman"/>
          <w:color w:val="000000"/>
          <w:szCs w:val="24"/>
        </w:rPr>
        <w:t xml:space="preserve">ocal </w:t>
      </w:r>
      <w:r w:rsidR="00DB6F66">
        <w:rPr>
          <w:rFonts w:eastAsia="Times New Roman" w:cs="Times New Roman"/>
          <w:color w:val="000000"/>
          <w:szCs w:val="24"/>
        </w:rPr>
        <w:t>a</w:t>
      </w:r>
      <w:r w:rsidR="00441FFB">
        <w:rPr>
          <w:rFonts w:eastAsia="Times New Roman" w:cs="Times New Roman"/>
          <w:color w:val="000000"/>
          <w:szCs w:val="24"/>
        </w:rPr>
        <w:t xml:space="preserve">uthorities have become increasingly responsible not just </w:t>
      </w:r>
      <w:r w:rsidR="00B74739">
        <w:rPr>
          <w:rFonts w:eastAsia="Times New Roman" w:cs="Times New Roman"/>
          <w:color w:val="000000"/>
          <w:szCs w:val="24"/>
        </w:rPr>
        <w:t xml:space="preserve">for the kind of welfare support </w:t>
      </w:r>
      <w:r w:rsidR="00FF54EA">
        <w:rPr>
          <w:rFonts w:eastAsia="Times New Roman" w:cs="Times New Roman"/>
          <w:color w:val="000000"/>
          <w:szCs w:val="24"/>
        </w:rPr>
        <w:t xml:space="preserve">which has long </w:t>
      </w:r>
      <w:r w:rsidR="000A7CBC">
        <w:rPr>
          <w:rFonts w:eastAsia="Times New Roman" w:cs="Times New Roman"/>
          <w:color w:val="000000"/>
          <w:szCs w:val="24"/>
        </w:rPr>
        <w:t xml:space="preserve">caught the attention </w:t>
      </w:r>
      <w:r w:rsidR="00FF54EA">
        <w:rPr>
          <w:rFonts w:eastAsia="Times New Roman" w:cs="Times New Roman"/>
          <w:color w:val="000000"/>
          <w:szCs w:val="24"/>
        </w:rPr>
        <w:t xml:space="preserve">of public law scholars </w:t>
      </w:r>
      <w:r w:rsidR="00B74739">
        <w:rPr>
          <w:rFonts w:eastAsia="Times New Roman" w:cs="Times New Roman"/>
          <w:color w:val="000000"/>
          <w:szCs w:val="24"/>
        </w:rPr>
        <w:t xml:space="preserve">– homelessness </w:t>
      </w:r>
      <w:r w:rsidR="00273AFE">
        <w:rPr>
          <w:rFonts w:eastAsia="Times New Roman" w:cs="Times New Roman"/>
          <w:color w:val="000000"/>
          <w:szCs w:val="24"/>
        </w:rPr>
        <w:t>provision</w:t>
      </w:r>
      <w:r w:rsidR="002032FE">
        <w:rPr>
          <w:rFonts w:eastAsia="Times New Roman" w:cs="Times New Roman"/>
          <w:color w:val="000000"/>
          <w:szCs w:val="24"/>
        </w:rPr>
        <w:t>,</w:t>
      </w:r>
      <w:r w:rsidR="00EE07EE">
        <w:rPr>
          <w:rFonts w:eastAsia="Times New Roman" w:cs="Times New Roman"/>
          <w:color w:val="000000"/>
          <w:szCs w:val="24"/>
        </w:rPr>
        <w:t xml:space="preserve"> </w:t>
      </w:r>
      <w:r w:rsidR="00EE07EE" w:rsidRPr="00EE07EE">
        <w:rPr>
          <w:rFonts w:eastAsia="Times New Roman" w:cs="Times New Roman"/>
          <w:color w:val="000000"/>
          <w:szCs w:val="24"/>
        </w:rPr>
        <w:t>Special Educational Needs and Disabilities</w:t>
      </w:r>
      <w:r w:rsidR="00EE07EE">
        <w:rPr>
          <w:rFonts w:eastAsia="Times New Roman" w:cs="Times New Roman"/>
          <w:color w:val="000000"/>
          <w:szCs w:val="24"/>
        </w:rPr>
        <w:t xml:space="preserve"> </w:t>
      </w:r>
      <w:r w:rsidR="00BD2D77">
        <w:rPr>
          <w:rFonts w:eastAsia="Times New Roman" w:cs="Times New Roman"/>
          <w:color w:val="000000"/>
          <w:szCs w:val="24"/>
        </w:rPr>
        <w:t>decision-making</w:t>
      </w:r>
      <w:r w:rsidR="00EE07EE">
        <w:rPr>
          <w:rFonts w:eastAsia="Times New Roman" w:cs="Times New Roman"/>
          <w:color w:val="000000"/>
          <w:szCs w:val="24"/>
        </w:rPr>
        <w:t xml:space="preserve"> (</w:t>
      </w:r>
      <w:r w:rsidR="00AF2483">
        <w:rPr>
          <w:rFonts w:eastAsia="Times New Roman" w:cs="Times New Roman"/>
          <w:color w:val="000000"/>
          <w:szCs w:val="24"/>
        </w:rPr>
        <w:t>SEND</w:t>
      </w:r>
      <w:r w:rsidR="00EE07EE">
        <w:rPr>
          <w:rFonts w:eastAsia="Times New Roman" w:cs="Times New Roman"/>
          <w:color w:val="000000"/>
          <w:szCs w:val="24"/>
        </w:rPr>
        <w:t>),</w:t>
      </w:r>
      <w:r w:rsidR="002032FE">
        <w:rPr>
          <w:rFonts w:eastAsia="Times New Roman" w:cs="Times New Roman"/>
          <w:color w:val="000000"/>
          <w:szCs w:val="24"/>
        </w:rPr>
        <w:t xml:space="preserve"> and social care</w:t>
      </w:r>
      <w:r w:rsidR="00AF2483">
        <w:rPr>
          <w:rFonts w:eastAsia="Times New Roman" w:cs="Times New Roman"/>
          <w:color w:val="000000"/>
          <w:szCs w:val="24"/>
        </w:rPr>
        <w:t>, in particular</w:t>
      </w:r>
      <w:r w:rsidR="00B74739">
        <w:rPr>
          <w:rFonts w:eastAsia="Times New Roman" w:cs="Times New Roman"/>
          <w:color w:val="000000"/>
          <w:szCs w:val="24"/>
        </w:rPr>
        <w:t xml:space="preserve"> – but also for a smorgasbord of </w:t>
      </w:r>
      <w:r w:rsidR="00141CE6">
        <w:rPr>
          <w:rFonts w:eastAsia="Times New Roman" w:cs="Times New Roman"/>
          <w:color w:val="000000"/>
          <w:szCs w:val="24"/>
        </w:rPr>
        <w:t xml:space="preserve">other schemes </w:t>
      </w:r>
      <w:r w:rsidR="00CA74D0">
        <w:rPr>
          <w:rFonts w:eastAsia="Times New Roman" w:cs="Times New Roman"/>
          <w:color w:val="000000"/>
          <w:szCs w:val="24"/>
        </w:rPr>
        <w:t>that</w:t>
      </w:r>
      <w:r w:rsidR="002F5BD2">
        <w:rPr>
          <w:rFonts w:eastAsia="Times New Roman" w:cs="Times New Roman"/>
          <w:color w:val="000000"/>
          <w:szCs w:val="24"/>
        </w:rPr>
        <w:t xml:space="preserve"> sit alongside central means-tested entitlement.</w:t>
      </w:r>
      <w:r w:rsidR="001C3DE0">
        <w:rPr>
          <w:rFonts w:eastAsia="Times New Roman" w:cs="Times New Roman"/>
          <w:color w:val="000000"/>
          <w:szCs w:val="24"/>
        </w:rPr>
        <w:t xml:space="preserve"> </w:t>
      </w:r>
      <w:r w:rsidR="003659A3">
        <w:rPr>
          <w:rFonts w:eastAsia="Times New Roman" w:cs="Times New Roman"/>
          <w:color w:val="000000"/>
          <w:szCs w:val="24"/>
        </w:rPr>
        <w:t>The reforms in the wake of the Welfare Reform Act 2012</w:t>
      </w:r>
      <w:r w:rsidR="00BE1F5E">
        <w:rPr>
          <w:rFonts w:eastAsia="Times New Roman" w:cs="Times New Roman"/>
          <w:color w:val="000000"/>
          <w:szCs w:val="24"/>
        </w:rPr>
        <w:t xml:space="preserve"> increased the role played by existing locally administered schemes – such as Discretionary Housing Payments – and </w:t>
      </w:r>
      <w:r w:rsidR="005C5DBE">
        <w:rPr>
          <w:rFonts w:eastAsia="Times New Roman" w:cs="Times New Roman"/>
          <w:color w:val="000000"/>
          <w:szCs w:val="24"/>
        </w:rPr>
        <w:t>abolish</w:t>
      </w:r>
      <w:r w:rsidR="001D30C9">
        <w:rPr>
          <w:rFonts w:eastAsia="Times New Roman" w:cs="Times New Roman"/>
          <w:color w:val="000000"/>
          <w:szCs w:val="24"/>
        </w:rPr>
        <w:t>ed</w:t>
      </w:r>
      <w:r w:rsidR="005C5DBE">
        <w:rPr>
          <w:rFonts w:eastAsia="Times New Roman" w:cs="Times New Roman"/>
          <w:color w:val="000000"/>
          <w:szCs w:val="24"/>
        </w:rPr>
        <w:t xml:space="preserve"> national Council Tax Benefit</w:t>
      </w:r>
      <w:r w:rsidR="001D30C9">
        <w:rPr>
          <w:rFonts w:eastAsia="Times New Roman" w:cs="Times New Roman"/>
          <w:color w:val="000000"/>
          <w:szCs w:val="24"/>
        </w:rPr>
        <w:t>,</w:t>
      </w:r>
      <w:r w:rsidR="005C5DBE">
        <w:rPr>
          <w:rFonts w:eastAsia="Times New Roman" w:cs="Times New Roman"/>
          <w:color w:val="000000"/>
          <w:szCs w:val="24"/>
        </w:rPr>
        <w:t xml:space="preserve"> replacing it with a locally designed and delivered Council Tax </w:t>
      </w:r>
      <w:r w:rsidR="00C93A37">
        <w:rPr>
          <w:rFonts w:eastAsia="Times New Roman" w:cs="Times New Roman"/>
          <w:color w:val="000000"/>
          <w:szCs w:val="24"/>
        </w:rPr>
        <w:t>Reduction S</w:t>
      </w:r>
      <w:r w:rsidR="005C5DBE">
        <w:rPr>
          <w:rFonts w:eastAsia="Times New Roman" w:cs="Times New Roman"/>
          <w:color w:val="000000"/>
          <w:szCs w:val="24"/>
        </w:rPr>
        <w:t>cheme</w:t>
      </w:r>
      <w:r w:rsidR="00C93A37">
        <w:rPr>
          <w:rFonts w:eastAsia="Times New Roman" w:cs="Times New Roman"/>
          <w:color w:val="000000"/>
          <w:szCs w:val="24"/>
        </w:rPr>
        <w:t xml:space="preserve"> (CTRS)</w:t>
      </w:r>
      <w:r w:rsidR="00550733">
        <w:rPr>
          <w:rFonts w:eastAsia="Times New Roman" w:cs="Times New Roman"/>
          <w:color w:val="000000"/>
          <w:szCs w:val="24"/>
        </w:rPr>
        <w:t>.</w:t>
      </w:r>
      <w:r w:rsidR="00131F19">
        <w:rPr>
          <w:rStyle w:val="FootnoteReference"/>
          <w:rFonts w:eastAsia="Times New Roman" w:cs="Times New Roman"/>
          <w:color w:val="000000"/>
          <w:szCs w:val="24"/>
        </w:rPr>
        <w:footnoteReference w:id="4"/>
      </w:r>
    </w:p>
    <w:p w14:paraId="463B138B" w14:textId="3A3DB3D0" w:rsidR="00BE1F5E" w:rsidRDefault="00C747E7" w:rsidP="006C0E5F">
      <w:pPr>
        <w:spacing w:line="276" w:lineRule="auto"/>
        <w:jc w:val="both"/>
        <w:rPr>
          <w:rFonts w:eastAsia="Times New Roman" w:cs="Times New Roman"/>
          <w:color w:val="000000"/>
          <w:szCs w:val="24"/>
        </w:rPr>
      </w:pPr>
      <w:r>
        <w:rPr>
          <w:rFonts w:eastAsia="Times New Roman" w:cs="Times New Roman"/>
          <w:color w:val="000000"/>
          <w:szCs w:val="24"/>
        </w:rPr>
        <w:t>What emerges</w:t>
      </w:r>
      <w:r w:rsidR="009B6BD6">
        <w:rPr>
          <w:rFonts w:eastAsia="Times New Roman" w:cs="Times New Roman"/>
          <w:color w:val="000000"/>
          <w:szCs w:val="24"/>
        </w:rPr>
        <w:t xml:space="preserve"> are </w:t>
      </w:r>
      <w:r w:rsidR="00DB6F66">
        <w:rPr>
          <w:rFonts w:eastAsia="Times New Roman" w:cs="Times New Roman"/>
          <w:color w:val="000000"/>
          <w:szCs w:val="24"/>
        </w:rPr>
        <w:t>l</w:t>
      </w:r>
      <w:r w:rsidR="009B6BD6">
        <w:rPr>
          <w:rFonts w:eastAsia="Times New Roman" w:cs="Times New Roman"/>
          <w:color w:val="000000"/>
          <w:szCs w:val="24"/>
        </w:rPr>
        <w:t xml:space="preserve">ocal </w:t>
      </w:r>
      <w:r w:rsidR="00DB6F66">
        <w:rPr>
          <w:rFonts w:eastAsia="Times New Roman" w:cs="Times New Roman"/>
          <w:color w:val="000000"/>
          <w:szCs w:val="24"/>
        </w:rPr>
        <w:t>a</w:t>
      </w:r>
      <w:r w:rsidR="009B6BD6">
        <w:rPr>
          <w:rFonts w:eastAsia="Times New Roman" w:cs="Times New Roman"/>
          <w:color w:val="000000"/>
          <w:szCs w:val="24"/>
        </w:rPr>
        <w:t xml:space="preserve">uthorities </w:t>
      </w:r>
      <w:r w:rsidR="00341F78">
        <w:rPr>
          <w:rFonts w:eastAsia="Times New Roman" w:cs="Times New Roman"/>
          <w:color w:val="000000"/>
          <w:szCs w:val="24"/>
        </w:rPr>
        <w:t xml:space="preserve">who </w:t>
      </w:r>
      <w:r w:rsidR="00341F78" w:rsidRPr="00341F78">
        <w:rPr>
          <w:rFonts w:eastAsia="Times New Roman" w:cs="Times New Roman"/>
          <w:color w:val="000000"/>
          <w:szCs w:val="24"/>
        </w:rPr>
        <w:t xml:space="preserve">are simultaneously more dependent on revenue from financially strained residents whilst bearing greater responsibility for supporting those same </w:t>
      </w:r>
      <w:r w:rsidR="00D926F8">
        <w:rPr>
          <w:rFonts w:eastAsia="Times New Roman" w:cs="Times New Roman"/>
          <w:color w:val="000000"/>
          <w:szCs w:val="24"/>
        </w:rPr>
        <w:t>people</w:t>
      </w:r>
      <w:r w:rsidR="00341F78" w:rsidRPr="00341F78">
        <w:rPr>
          <w:rFonts w:eastAsia="Times New Roman" w:cs="Times New Roman"/>
          <w:color w:val="000000"/>
          <w:szCs w:val="24"/>
        </w:rPr>
        <w:t xml:space="preserve"> through locally</w:t>
      </w:r>
      <w:r w:rsidR="005D25AA">
        <w:rPr>
          <w:rFonts w:eastAsia="Times New Roman" w:cs="Times New Roman"/>
          <w:color w:val="000000"/>
          <w:szCs w:val="24"/>
        </w:rPr>
        <w:t xml:space="preserve"> designed</w:t>
      </w:r>
      <w:r w:rsidR="00341F78" w:rsidRPr="00341F78">
        <w:rPr>
          <w:rFonts w:eastAsia="Times New Roman" w:cs="Times New Roman"/>
          <w:color w:val="000000"/>
          <w:szCs w:val="24"/>
        </w:rPr>
        <w:t xml:space="preserve"> </w:t>
      </w:r>
      <w:r w:rsidR="00A2763F">
        <w:rPr>
          <w:rFonts w:eastAsia="Times New Roman" w:cs="Times New Roman"/>
          <w:color w:val="000000"/>
          <w:szCs w:val="24"/>
        </w:rPr>
        <w:t xml:space="preserve">and delivered </w:t>
      </w:r>
      <w:r w:rsidR="00341F78" w:rsidRPr="00341F78">
        <w:rPr>
          <w:rFonts w:eastAsia="Times New Roman" w:cs="Times New Roman"/>
          <w:color w:val="000000"/>
          <w:szCs w:val="24"/>
        </w:rPr>
        <w:t>welfare schemes</w:t>
      </w:r>
      <w:r w:rsidR="009B04D3">
        <w:rPr>
          <w:rFonts w:eastAsia="Times New Roman" w:cs="Times New Roman"/>
          <w:color w:val="000000"/>
          <w:szCs w:val="24"/>
        </w:rPr>
        <w:t>.</w:t>
      </w:r>
      <w:r w:rsidR="00161817">
        <w:rPr>
          <w:rFonts w:eastAsia="Times New Roman" w:cs="Times New Roman"/>
          <w:color w:val="000000"/>
          <w:szCs w:val="24"/>
        </w:rPr>
        <w:t xml:space="preserve"> </w:t>
      </w:r>
      <w:r w:rsidR="008C3DDC">
        <w:rPr>
          <w:rFonts w:eastAsia="Times New Roman" w:cs="Times New Roman"/>
          <w:color w:val="000000"/>
          <w:szCs w:val="24"/>
        </w:rPr>
        <w:t xml:space="preserve">This </w:t>
      </w:r>
      <w:r w:rsidR="00057A3F">
        <w:rPr>
          <w:rFonts w:eastAsia="Times New Roman" w:cs="Times New Roman"/>
          <w:color w:val="000000"/>
          <w:szCs w:val="24"/>
        </w:rPr>
        <w:t>“</w:t>
      </w:r>
      <w:r w:rsidR="008C3DDC">
        <w:rPr>
          <w:rFonts w:eastAsia="Times New Roman" w:cs="Times New Roman"/>
          <w:color w:val="000000"/>
          <w:szCs w:val="24"/>
        </w:rPr>
        <w:t>local welfare state</w:t>
      </w:r>
      <w:r w:rsidR="00057A3F">
        <w:rPr>
          <w:rFonts w:eastAsia="Times New Roman" w:cs="Times New Roman"/>
          <w:color w:val="000000"/>
          <w:szCs w:val="24"/>
        </w:rPr>
        <w:t>”</w:t>
      </w:r>
      <w:r w:rsidR="003A5FE9">
        <w:rPr>
          <w:rFonts w:eastAsia="Times New Roman" w:cs="Times New Roman"/>
          <w:color w:val="000000"/>
          <w:szCs w:val="24"/>
        </w:rPr>
        <w:t>,</w:t>
      </w:r>
      <w:r w:rsidR="008C3DDC">
        <w:rPr>
          <w:rFonts w:eastAsia="Times New Roman" w:cs="Times New Roman"/>
          <w:color w:val="000000"/>
          <w:szCs w:val="24"/>
        </w:rPr>
        <w:t xml:space="preserve"> sitting alongside </w:t>
      </w:r>
      <w:r w:rsidR="002267F1">
        <w:rPr>
          <w:rFonts w:eastAsia="Times New Roman" w:cs="Times New Roman"/>
          <w:color w:val="000000"/>
          <w:szCs w:val="24"/>
        </w:rPr>
        <w:t>centralised entitlement</w:t>
      </w:r>
      <w:r w:rsidR="003A5FE9">
        <w:rPr>
          <w:rFonts w:eastAsia="Times New Roman" w:cs="Times New Roman"/>
          <w:color w:val="000000"/>
          <w:szCs w:val="24"/>
        </w:rPr>
        <w:t xml:space="preserve">, </w:t>
      </w:r>
      <w:r w:rsidR="0057439E">
        <w:rPr>
          <w:rFonts w:eastAsia="Times New Roman" w:cs="Times New Roman"/>
          <w:color w:val="000000"/>
          <w:szCs w:val="24"/>
        </w:rPr>
        <w:t xml:space="preserve">is </w:t>
      </w:r>
      <w:r w:rsidR="00057A3F">
        <w:rPr>
          <w:rFonts w:eastAsia="Times New Roman" w:cs="Times New Roman"/>
          <w:color w:val="000000"/>
          <w:szCs w:val="24"/>
        </w:rPr>
        <w:t>“</w:t>
      </w:r>
      <w:r w:rsidR="0057439E" w:rsidRPr="0057439E">
        <w:rPr>
          <w:rFonts w:eastAsia="Times New Roman" w:cs="Times New Roman"/>
          <w:color w:val="000000"/>
          <w:szCs w:val="24"/>
        </w:rPr>
        <w:t>not well-understood</w:t>
      </w:r>
      <w:r w:rsidR="00057A3F">
        <w:rPr>
          <w:rFonts w:eastAsia="Times New Roman" w:cs="Times New Roman"/>
          <w:color w:val="000000"/>
          <w:szCs w:val="24"/>
        </w:rPr>
        <w:t>”</w:t>
      </w:r>
      <w:r w:rsidR="0057439E">
        <w:rPr>
          <w:rFonts w:eastAsia="Times New Roman" w:cs="Times New Roman"/>
          <w:color w:val="000000"/>
          <w:szCs w:val="24"/>
        </w:rPr>
        <w:t xml:space="preserve"> and is </w:t>
      </w:r>
      <w:r w:rsidR="00057A3F">
        <w:rPr>
          <w:rFonts w:eastAsia="Times New Roman" w:cs="Times New Roman"/>
          <w:color w:val="000000"/>
          <w:szCs w:val="24"/>
        </w:rPr>
        <w:t>“</w:t>
      </w:r>
      <w:r w:rsidR="0057439E">
        <w:rPr>
          <w:rFonts w:eastAsia="Times New Roman" w:cs="Times New Roman"/>
          <w:color w:val="000000"/>
          <w:szCs w:val="24"/>
        </w:rPr>
        <w:t>often overlooked</w:t>
      </w:r>
      <w:r w:rsidR="00057A3F">
        <w:rPr>
          <w:rFonts w:eastAsia="Times New Roman" w:cs="Times New Roman"/>
          <w:color w:val="000000"/>
          <w:szCs w:val="24"/>
        </w:rPr>
        <w:t>”</w:t>
      </w:r>
      <w:r w:rsidR="007679F1">
        <w:rPr>
          <w:rFonts w:eastAsia="Times New Roman" w:cs="Times New Roman"/>
          <w:color w:val="000000"/>
          <w:szCs w:val="24"/>
        </w:rPr>
        <w:t xml:space="preserve">, even by </w:t>
      </w:r>
      <w:r w:rsidR="00A26282">
        <w:rPr>
          <w:rFonts w:eastAsia="Times New Roman" w:cs="Times New Roman"/>
          <w:color w:val="000000"/>
          <w:szCs w:val="24"/>
        </w:rPr>
        <w:t>researchers and institutions</w:t>
      </w:r>
      <w:r w:rsidR="007679F1">
        <w:rPr>
          <w:rFonts w:eastAsia="Times New Roman" w:cs="Times New Roman"/>
          <w:color w:val="000000"/>
          <w:szCs w:val="24"/>
        </w:rPr>
        <w:t xml:space="preserve"> with a</w:t>
      </w:r>
      <w:r w:rsidR="00A26282">
        <w:rPr>
          <w:rFonts w:eastAsia="Times New Roman" w:cs="Times New Roman"/>
          <w:color w:val="000000"/>
          <w:szCs w:val="24"/>
        </w:rPr>
        <w:t>n otherwise</w:t>
      </w:r>
      <w:r w:rsidR="007679F1">
        <w:rPr>
          <w:rFonts w:eastAsia="Times New Roman" w:cs="Times New Roman"/>
          <w:color w:val="000000"/>
          <w:szCs w:val="24"/>
        </w:rPr>
        <w:t xml:space="preserve"> keen interest in social security support</w:t>
      </w:r>
      <w:r w:rsidR="0057439E">
        <w:rPr>
          <w:rFonts w:eastAsia="Times New Roman" w:cs="Times New Roman"/>
          <w:color w:val="000000"/>
          <w:szCs w:val="24"/>
        </w:rPr>
        <w:t>.</w:t>
      </w:r>
      <w:bookmarkStart w:id="0" w:name="_Ref209261746"/>
      <w:r w:rsidR="00F74EA6">
        <w:rPr>
          <w:rStyle w:val="FootnoteReference"/>
          <w:rFonts w:eastAsia="Times New Roman" w:cs="Times New Roman"/>
          <w:color w:val="000000"/>
          <w:szCs w:val="24"/>
        </w:rPr>
        <w:footnoteReference w:id="5"/>
      </w:r>
      <w:bookmarkEnd w:id="0"/>
      <w:r w:rsidR="0057439E">
        <w:rPr>
          <w:rFonts w:eastAsia="Times New Roman" w:cs="Times New Roman"/>
          <w:color w:val="000000"/>
          <w:szCs w:val="24"/>
        </w:rPr>
        <w:t xml:space="preserve"> </w:t>
      </w:r>
      <w:r w:rsidR="006E1706">
        <w:rPr>
          <w:rFonts w:eastAsia="Times New Roman" w:cs="Times New Roman"/>
          <w:color w:val="000000"/>
          <w:szCs w:val="24"/>
        </w:rPr>
        <w:t>Similarly, g</w:t>
      </w:r>
      <w:r w:rsidR="005E6EE9">
        <w:rPr>
          <w:rFonts w:eastAsia="Times New Roman" w:cs="Times New Roman"/>
          <w:color w:val="000000"/>
          <w:szCs w:val="24"/>
        </w:rPr>
        <w:t xml:space="preserve">iven the challenges in bringing these schemes to court, judicial attention has been </w:t>
      </w:r>
      <w:r w:rsidR="00A2763F">
        <w:rPr>
          <w:rFonts w:eastAsia="Times New Roman" w:cs="Times New Roman"/>
          <w:color w:val="000000"/>
          <w:szCs w:val="24"/>
        </w:rPr>
        <w:t>almost non-existent in comparison to reforms to the centralised welfare state.</w:t>
      </w:r>
    </w:p>
    <w:p w14:paraId="49DDE0DF" w14:textId="6262AC11" w:rsidR="00EB44AF" w:rsidRDefault="00210C38" w:rsidP="006C0E5F">
      <w:pPr>
        <w:spacing w:line="276" w:lineRule="auto"/>
        <w:jc w:val="both"/>
        <w:rPr>
          <w:rFonts w:eastAsia="Times New Roman" w:cs="Times New Roman"/>
          <w:color w:val="000000"/>
          <w:szCs w:val="24"/>
        </w:rPr>
      </w:pPr>
      <w:r>
        <w:rPr>
          <w:rFonts w:eastAsia="Times New Roman" w:cs="Times New Roman"/>
          <w:color w:val="000000"/>
          <w:szCs w:val="24"/>
        </w:rPr>
        <w:t xml:space="preserve">This </w:t>
      </w:r>
      <w:r w:rsidR="0076070F">
        <w:rPr>
          <w:rFonts w:eastAsia="Times New Roman" w:cs="Times New Roman"/>
          <w:color w:val="000000"/>
          <w:szCs w:val="24"/>
        </w:rPr>
        <w:t xml:space="preserve">case comment </w:t>
      </w:r>
      <w:r>
        <w:rPr>
          <w:rFonts w:eastAsia="Times New Roman" w:cs="Times New Roman"/>
          <w:color w:val="000000"/>
          <w:szCs w:val="24"/>
        </w:rPr>
        <w:t xml:space="preserve">focuses </w:t>
      </w:r>
      <w:r w:rsidR="0040109C">
        <w:rPr>
          <w:rFonts w:eastAsia="Times New Roman" w:cs="Times New Roman"/>
          <w:color w:val="000000"/>
          <w:szCs w:val="24"/>
        </w:rPr>
        <w:t>on</w:t>
      </w:r>
      <w:r w:rsidR="006E1706">
        <w:rPr>
          <w:rFonts w:eastAsia="Times New Roman" w:cs="Times New Roman"/>
          <w:color w:val="000000"/>
          <w:szCs w:val="24"/>
        </w:rPr>
        <w:t xml:space="preserve"> an exception: </w:t>
      </w:r>
      <w:r w:rsidR="00DF536E" w:rsidRPr="00DF536E">
        <w:rPr>
          <w:rFonts w:eastAsia="Times New Roman" w:cs="Times New Roman"/>
          <w:i/>
          <w:iCs/>
          <w:color w:val="000000"/>
          <w:szCs w:val="24"/>
        </w:rPr>
        <w:t>R (on the application of) LL and AU v Trafford Metropolitan Council</w:t>
      </w:r>
      <w:r w:rsidR="00DF797F" w:rsidRPr="004526EA">
        <w:rPr>
          <w:rStyle w:val="FootnoteReference"/>
          <w:rFonts w:eastAsia="Times New Roman" w:cs="Times New Roman"/>
          <w:color w:val="000000"/>
          <w:szCs w:val="24"/>
        </w:rPr>
        <w:footnoteReference w:id="6"/>
      </w:r>
      <w:r w:rsidR="006E1706">
        <w:rPr>
          <w:rFonts w:eastAsia="Times New Roman" w:cs="Times New Roman"/>
          <w:color w:val="000000"/>
          <w:szCs w:val="24"/>
        </w:rPr>
        <w:t xml:space="preserve"> is the most detailed</w:t>
      </w:r>
      <w:r w:rsidR="00C943C2">
        <w:rPr>
          <w:rFonts w:eastAsia="Times New Roman" w:cs="Times New Roman"/>
          <w:color w:val="000000"/>
          <w:szCs w:val="24"/>
        </w:rPr>
        <w:t xml:space="preserve"> judicial</w:t>
      </w:r>
      <w:r w:rsidR="006E1706">
        <w:rPr>
          <w:rFonts w:eastAsia="Times New Roman" w:cs="Times New Roman"/>
          <w:color w:val="000000"/>
          <w:szCs w:val="24"/>
        </w:rPr>
        <w:t xml:space="preserve"> interrogation of a local welfare scheme to date</w:t>
      </w:r>
      <w:r w:rsidR="00DF536E">
        <w:rPr>
          <w:rFonts w:eastAsia="Times New Roman" w:cs="Times New Roman"/>
          <w:color w:val="000000"/>
          <w:szCs w:val="24"/>
        </w:rPr>
        <w:t>.</w:t>
      </w:r>
      <w:r w:rsidR="00CB6EA6">
        <w:rPr>
          <w:rFonts w:eastAsia="Times New Roman" w:cs="Times New Roman"/>
          <w:color w:val="000000"/>
          <w:szCs w:val="24"/>
        </w:rPr>
        <w:t xml:space="preserve"> </w:t>
      </w:r>
      <w:r w:rsidR="005051DB">
        <w:rPr>
          <w:rFonts w:eastAsia="Times New Roman" w:cs="Times New Roman"/>
          <w:color w:val="000000"/>
          <w:szCs w:val="24"/>
        </w:rPr>
        <w:t xml:space="preserve">It is unusual both </w:t>
      </w:r>
      <w:r w:rsidR="002979A4">
        <w:rPr>
          <w:rFonts w:eastAsia="Times New Roman" w:cs="Times New Roman"/>
          <w:color w:val="000000"/>
          <w:szCs w:val="24"/>
        </w:rPr>
        <w:t xml:space="preserve">as an example of a challenge to a </w:t>
      </w:r>
      <w:r w:rsidR="00553B2F">
        <w:rPr>
          <w:rFonts w:eastAsia="Times New Roman" w:cs="Times New Roman"/>
          <w:color w:val="000000"/>
          <w:szCs w:val="24"/>
        </w:rPr>
        <w:t>CTRS</w:t>
      </w:r>
      <w:r w:rsidR="002979A4">
        <w:rPr>
          <w:rFonts w:eastAsia="Times New Roman" w:cs="Times New Roman"/>
          <w:color w:val="000000"/>
          <w:szCs w:val="24"/>
        </w:rPr>
        <w:t xml:space="preserve"> making it to court and</w:t>
      </w:r>
      <w:r w:rsidR="005051DB">
        <w:rPr>
          <w:rFonts w:eastAsia="Times New Roman" w:cs="Times New Roman"/>
          <w:color w:val="000000"/>
          <w:szCs w:val="24"/>
        </w:rPr>
        <w:t xml:space="preserve"> because of the claimants’ clean sweep of grounds: Trafford’s scheme was unlawfully adopted, breached the Public Sector Equality Duty,</w:t>
      </w:r>
      <w:r w:rsidR="00EB44AF">
        <w:rPr>
          <w:rFonts w:eastAsia="Times New Roman" w:cs="Times New Roman"/>
          <w:color w:val="000000"/>
          <w:szCs w:val="24"/>
        </w:rPr>
        <w:t xml:space="preserve"> was irrational</w:t>
      </w:r>
      <w:r w:rsidR="00BE1D5D">
        <w:rPr>
          <w:rFonts w:eastAsia="Times New Roman" w:cs="Times New Roman"/>
          <w:color w:val="000000"/>
          <w:szCs w:val="24"/>
        </w:rPr>
        <w:t>,</w:t>
      </w:r>
      <w:r w:rsidR="005051DB">
        <w:rPr>
          <w:rFonts w:eastAsia="Times New Roman" w:cs="Times New Roman"/>
          <w:color w:val="000000"/>
          <w:szCs w:val="24"/>
        </w:rPr>
        <w:t xml:space="preserve"> and contrary to s</w:t>
      </w:r>
      <w:r w:rsidR="009170ED">
        <w:rPr>
          <w:rFonts w:eastAsia="Times New Roman" w:cs="Times New Roman"/>
          <w:color w:val="000000"/>
          <w:szCs w:val="24"/>
        </w:rPr>
        <w:t>ections</w:t>
      </w:r>
      <w:r w:rsidR="005051DB">
        <w:rPr>
          <w:rFonts w:eastAsia="Times New Roman" w:cs="Times New Roman"/>
          <w:color w:val="000000"/>
          <w:szCs w:val="24"/>
        </w:rPr>
        <w:t xml:space="preserve"> 15 and 19 of the Equality Act 2010.</w:t>
      </w:r>
    </w:p>
    <w:p w14:paraId="7E2A3E97" w14:textId="6CD61B0F" w:rsidR="001A2BE9" w:rsidRPr="00D47BE6" w:rsidRDefault="00152044" w:rsidP="006C0E5F">
      <w:pPr>
        <w:spacing w:line="276" w:lineRule="auto"/>
        <w:jc w:val="both"/>
        <w:rPr>
          <w:rFonts w:eastAsia="Times New Roman" w:cs="Times New Roman"/>
          <w:color w:val="000000"/>
          <w:szCs w:val="24"/>
        </w:rPr>
      </w:pPr>
      <w:r>
        <w:rPr>
          <w:rFonts w:eastAsia="Times New Roman" w:cs="Times New Roman"/>
          <w:i/>
          <w:iCs/>
          <w:color w:val="000000"/>
          <w:szCs w:val="24"/>
        </w:rPr>
        <w:t>Trafford</w:t>
      </w:r>
      <w:r w:rsidR="00EB44AF">
        <w:rPr>
          <w:rFonts w:eastAsia="Times New Roman" w:cs="Times New Roman"/>
          <w:color w:val="000000"/>
          <w:szCs w:val="24"/>
        </w:rPr>
        <w:t xml:space="preserve"> illustrates </w:t>
      </w:r>
      <w:r w:rsidR="00C74A13">
        <w:rPr>
          <w:rFonts w:eastAsia="Times New Roman" w:cs="Times New Roman"/>
          <w:color w:val="000000"/>
          <w:szCs w:val="24"/>
        </w:rPr>
        <w:t>how this growing role for local welfare</w:t>
      </w:r>
      <w:r w:rsidR="006E1706">
        <w:rPr>
          <w:rFonts w:eastAsia="Times New Roman" w:cs="Times New Roman"/>
          <w:color w:val="000000"/>
          <w:szCs w:val="24"/>
        </w:rPr>
        <w:t xml:space="preserve"> schemes</w:t>
      </w:r>
      <w:r w:rsidR="00C74A13">
        <w:rPr>
          <w:rFonts w:eastAsia="Times New Roman" w:cs="Times New Roman"/>
          <w:color w:val="000000"/>
          <w:szCs w:val="24"/>
        </w:rPr>
        <w:t xml:space="preserve"> poses </w:t>
      </w:r>
      <w:r w:rsidR="000C2C4D">
        <w:rPr>
          <w:rFonts w:eastAsia="Times New Roman" w:cs="Times New Roman"/>
          <w:color w:val="000000"/>
          <w:szCs w:val="24"/>
        </w:rPr>
        <w:t>several</w:t>
      </w:r>
      <w:r w:rsidR="00C74A13">
        <w:rPr>
          <w:rFonts w:eastAsia="Times New Roman" w:cs="Times New Roman"/>
          <w:color w:val="000000"/>
          <w:szCs w:val="24"/>
        </w:rPr>
        <w:t xml:space="preserve"> pressing public law challenges</w:t>
      </w:r>
      <w:r w:rsidR="00EB44AF">
        <w:rPr>
          <w:rFonts w:eastAsia="Times New Roman" w:cs="Times New Roman"/>
          <w:color w:val="000000"/>
          <w:szCs w:val="24"/>
        </w:rPr>
        <w:t xml:space="preserve">. </w:t>
      </w:r>
      <w:r w:rsidR="000C572D">
        <w:rPr>
          <w:rFonts w:eastAsia="Times New Roman" w:cs="Times New Roman"/>
          <w:color w:val="000000"/>
          <w:szCs w:val="24"/>
        </w:rPr>
        <w:t>Prior to 2013, n</w:t>
      </w:r>
      <w:r w:rsidR="00044061">
        <w:rPr>
          <w:rFonts w:eastAsia="Times New Roman" w:cs="Times New Roman"/>
          <w:color w:val="000000"/>
          <w:szCs w:val="24"/>
        </w:rPr>
        <w:t>ational Council Tax Benefit had</w:t>
      </w:r>
      <w:r w:rsidR="00EB44AF">
        <w:rPr>
          <w:rFonts w:eastAsia="Times New Roman" w:cs="Times New Roman"/>
          <w:color w:val="000000"/>
          <w:szCs w:val="24"/>
        </w:rPr>
        <w:t xml:space="preserve"> </w:t>
      </w:r>
      <w:r w:rsidR="00553B2F">
        <w:rPr>
          <w:rFonts w:eastAsia="Times New Roman" w:cs="Times New Roman"/>
          <w:color w:val="000000"/>
          <w:szCs w:val="24"/>
        </w:rPr>
        <w:t xml:space="preserve">one </w:t>
      </w:r>
      <w:r w:rsidR="00044061">
        <w:rPr>
          <w:rFonts w:eastAsia="Times New Roman" w:cs="Times New Roman"/>
          <w:color w:val="000000"/>
          <w:szCs w:val="24"/>
        </w:rPr>
        <w:t xml:space="preserve">nationally </w:t>
      </w:r>
      <w:r w:rsidR="00EB44AF">
        <w:rPr>
          <w:rFonts w:eastAsia="Times New Roman" w:cs="Times New Roman"/>
          <w:color w:val="000000"/>
          <w:szCs w:val="24"/>
        </w:rPr>
        <w:t xml:space="preserve">set eligibility criteria, application process and administration. </w:t>
      </w:r>
      <w:r w:rsidR="00F864A8">
        <w:rPr>
          <w:rFonts w:eastAsia="Times New Roman" w:cs="Times New Roman"/>
          <w:color w:val="000000"/>
          <w:szCs w:val="24"/>
        </w:rPr>
        <w:t>Now</w:t>
      </w:r>
      <w:r w:rsidR="006E1706">
        <w:rPr>
          <w:rFonts w:eastAsia="Times New Roman" w:cs="Times New Roman"/>
          <w:color w:val="000000"/>
          <w:szCs w:val="24"/>
        </w:rPr>
        <w:t xml:space="preserve"> – following its localisation - </w:t>
      </w:r>
      <w:r w:rsidR="00EB44AF">
        <w:rPr>
          <w:rFonts w:eastAsia="Times New Roman" w:cs="Times New Roman"/>
          <w:color w:val="000000"/>
          <w:szCs w:val="24"/>
        </w:rPr>
        <w:t xml:space="preserve">296 separate </w:t>
      </w:r>
      <w:r w:rsidR="00D03F04">
        <w:rPr>
          <w:rFonts w:eastAsia="Times New Roman" w:cs="Times New Roman"/>
          <w:color w:val="000000"/>
          <w:szCs w:val="24"/>
        </w:rPr>
        <w:t>billing</w:t>
      </w:r>
      <w:r w:rsidR="00C72276">
        <w:rPr>
          <w:rFonts w:eastAsia="Times New Roman" w:cs="Times New Roman"/>
          <w:color w:val="000000"/>
          <w:szCs w:val="24"/>
        </w:rPr>
        <w:t xml:space="preserve"> </w:t>
      </w:r>
      <w:r w:rsidR="00EB44AF">
        <w:rPr>
          <w:rFonts w:eastAsia="Times New Roman" w:cs="Times New Roman"/>
          <w:color w:val="000000"/>
          <w:szCs w:val="24"/>
        </w:rPr>
        <w:t>authorities design and administer their own schemes, leading to huge variation across the country. Poor design, buggy software, a lack of due process</w:t>
      </w:r>
      <w:r w:rsidR="00DA4B59">
        <w:rPr>
          <w:rFonts w:eastAsia="Times New Roman" w:cs="Times New Roman"/>
          <w:color w:val="000000"/>
          <w:szCs w:val="24"/>
        </w:rPr>
        <w:t>,</w:t>
      </w:r>
      <w:r w:rsidR="00EB44AF">
        <w:rPr>
          <w:rFonts w:eastAsia="Times New Roman" w:cs="Times New Roman"/>
          <w:color w:val="000000"/>
          <w:szCs w:val="24"/>
        </w:rPr>
        <w:t xml:space="preserve"> and </w:t>
      </w:r>
      <w:r w:rsidR="000C572D">
        <w:rPr>
          <w:rFonts w:eastAsia="Times New Roman" w:cs="Times New Roman"/>
          <w:color w:val="000000"/>
          <w:szCs w:val="24"/>
        </w:rPr>
        <w:t>the challenges of interfacing</w:t>
      </w:r>
      <w:r w:rsidR="00EB44AF">
        <w:rPr>
          <w:rFonts w:eastAsia="Times New Roman" w:cs="Times New Roman"/>
          <w:color w:val="000000"/>
          <w:szCs w:val="24"/>
        </w:rPr>
        <w:t xml:space="preserve"> with a hugely complex </w:t>
      </w:r>
      <w:r w:rsidR="002D22AE">
        <w:rPr>
          <w:rFonts w:eastAsia="Times New Roman" w:cs="Times New Roman"/>
          <w:color w:val="000000"/>
          <w:szCs w:val="24"/>
        </w:rPr>
        <w:t xml:space="preserve">centralised </w:t>
      </w:r>
      <w:r w:rsidR="00EB44AF">
        <w:rPr>
          <w:rFonts w:eastAsia="Times New Roman" w:cs="Times New Roman"/>
          <w:color w:val="000000"/>
          <w:szCs w:val="24"/>
        </w:rPr>
        <w:t>social security system can lead to unlawful, discriminatory, or underclaimed support.</w:t>
      </w:r>
      <w:r w:rsidR="00562253">
        <w:rPr>
          <w:rFonts w:eastAsia="Times New Roman" w:cs="Times New Roman"/>
          <w:color w:val="000000"/>
          <w:szCs w:val="24"/>
        </w:rPr>
        <w:t xml:space="preserve"> </w:t>
      </w:r>
      <w:r w:rsidR="001E273F">
        <w:rPr>
          <w:rFonts w:eastAsia="Times New Roman" w:cs="Times New Roman"/>
          <w:color w:val="000000"/>
          <w:szCs w:val="24"/>
        </w:rPr>
        <w:t xml:space="preserve">The decision in </w:t>
      </w:r>
      <w:r w:rsidR="001E273F">
        <w:rPr>
          <w:rFonts w:eastAsia="Times New Roman" w:cs="Times New Roman"/>
          <w:i/>
          <w:iCs/>
          <w:color w:val="000000"/>
          <w:szCs w:val="24"/>
        </w:rPr>
        <w:t>Trafford</w:t>
      </w:r>
      <w:r w:rsidR="003A50E5">
        <w:rPr>
          <w:rFonts w:eastAsia="Times New Roman" w:cs="Times New Roman"/>
          <w:color w:val="000000"/>
          <w:szCs w:val="24"/>
        </w:rPr>
        <w:t xml:space="preserve"> lends credence to the argument that making support locally designed and delivered does not </w:t>
      </w:r>
      <w:r w:rsidR="004D65F6">
        <w:rPr>
          <w:rFonts w:eastAsia="Times New Roman" w:cs="Times New Roman"/>
          <w:color w:val="000000"/>
          <w:szCs w:val="24"/>
        </w:rPr>
        <w:t>in of itself</w:t>
      </w:r>
      <w:r w:rsidR="003A50E5">
        <w:rPr>
          <w:rFonts w:eastAsia="Times New Roman" w:cs="Times New Roman"/>
          <w:color w:val="000000"/>
          <w:szCs w:val="24"/>
        </w:rPr>
        <w:t xml:space="preserve"> reap the benefits </w:t>
      </w:r>
      <w:r w:rsidR="00951A7D">
        <w:rPr>
          <w:rFonts w:eastAsia="Times New Roman" w:cs="Times New Roman"/>
          <w:color w:val="000000"/>
          <w:szCs w:val="24"/>
        </w:rPr>
        <w:t>of local democratic accountability or local knowledge</w:t>
      </w:r>
      <w:r w:rsidR="0029596C">
        <w:rPr>
          <w:rFonts w:eastAsia="Times New Roman" w:cs="Times New Roman"/>
          <w:color w:val="000000"/>
          <w:szCs w:val="24"/>
        </w:rPr>
        <w:t>.</w:t>
      </w:r>
    </w:p>
    <w:p w14:paraId="3DC4E5F2" w14:textId="4695DC1E" w:rsidR="00683714" w:rsidRDefault="00683714" w:rsidP="006C0E5F">
      <w:pPr>
        <w:spacing w:line="276" w:lineRule="auto"/>
        <w:jc w:val="both"/>
        <w:rPr>
          <w:rFonts w:eastAsia="Times New Roman" w:cs="Times New Roman"/>
          <w:b/>
          <w:bCs/>
          <w:color w:val="000000"/>
          <w:szCs w:val="24"/>
        </w:rPr>
      </w:pPr>
      <w:r>
        <w:rPr>
          <w:rFonts w:eastAsia="Times New Roman" w:cs="Times New Roman"/>
          <w:b/>
          <w:bCs/>
          <w:color w:val="000000"/>
          <w:szCs w:val="24"/>
        </w:rPr>
        <w:t xml:space="preserve">The wild west of </w:t>
      </w:r>
      <w:r w:rsidR="00AA5B56">
        <w:rPr>
          <w:rFonts w:eastAsia="Times New Roman" w:cs="Times New Roman"/>
          <w:b/>
          <w:bCs/>
          <w:color w:val="000000"/>
          <w:szCs w:val="24"/>
        </w:rPr>
        <w:t>council tax support</w:t>
      </w:r>
    </w:p>
    <w:p w14:paraId="5EAA9A6D" w14:textId="764BABF8" w:rsidR="00010620" w:rsidRDefault="00EA265D" w:rsidP="006C0E5F">
      <w:pPr>
        <w:spacing w:line="276" w:lineRule="auto"/>
        <w:jc w:val="both"/>
        <w:rPr>
          <w:rFonts w:eastAsia="Times New Roman" w:cs="Times New Roman"/>
          <w:color w:val="000000"/>
          <w:szCs w:val="24"/>
        </w:rPr>
      </w:pPr>
      <w:r>
        <w:rPr>
          <w:rFonts w:eastAsia="Times New Roman" w:cs="Times New Roman"/>
          <w:color w:val="000000"/>
          <w:szCs w:val="24"/>
        </w:rPr>
        <w:t>Trafford Metropolitan Council</w:t>
      </w:r>
      <w:r w:rsidR="00010620">
        <w:rPr>
          <w:rFonts w:eastAsia="Times New Roman" w:cs="Times New Roman"/>
          <w:color w:val="000000"/>
          <w:szCs w:val="24"/>
        </w:rPr>
        <w:t xml:space="preserve">, </w:t>
      </w:r>
      <w:r>
        <w:rPr>
          <w:rFonts w:eastAsia="Times New Roman" w:cs="Times New Roman"/>
          <w:color w:val="000000"/>
          <w:szCs w:val="24"/>
        </w:rPr>
        <w:t>like all billing authorities</w:t>
      </w:r>
      <w:r w:rsidR="00010620">
        <w:rPr>
          <w:rFonts w:eastAsia="Times New Roman" w:cs="Times New Roman"/>
          <w:color w:val="000000"/>
          <w:szCs w:val="24"/>
        </w:rPr>
        <w:t>,</w:t>
      </w:r>
      <w:r>
        <w:rPr>
          <w:rFonts w:eastAsia="Times New Roman" w:cs="Times New Roman"/>
          <w:color w:val="000000"/>
          <w:szCs w:val="24"/>
        </w:rPr>
        <w:t xml:space="preserve"> </w:t>
      </w:r>
      <w:r w:rsidR="003F112F">
        <w:rPr>
          <w:rFonts w:eastAsia="Times New Roman" w:cs="Times New Roman"/>
          <w:color w:val="000000"/>
          <w:szCs w:val="24"/>
        </w:rPr>
        <w:t xml:space="preserve">has been obliged to operate a </w:t>
      </w:r>
      <w:r w:rsidR="0021710B">
        <w:rPr>
          <w:rFonts w:eastAsia="Times New Roman" w:cs="Times New Roman"/>
          <w:color w:val="000000"/>
          <w:szCs w:val="24"/>
        </w:rPr>
        <w:t>CTRS</w:t>
      </w:r>
      <w:r w:rsidR="003F112F">
        <w:rPr>
          <w:rFonts w:eastAsia="Times New Roman" w:cs="Times New Roman"/>
          <w:color w:val="000000"/>
          <w:szCs w:val="24"/>
        </w:rPr>
        <w:t xml:space="preserve"> </w:t>
      </w:r>
      <w:r w:rsidR="00CD1396">
        <w:rPr>
          <w:rFonts w:eastAsia="Times New Roman" w:cs="Times New Roman"/>
          <w:color w:val="000000"/>
          <w:szCs w:val="24"/>
        </w:rPr>
        <w:t>since 2013</w:t>
      </w:r>
      <w:r w:rsidR="00591C59">
        <w:rPr>
          <w:rFonts w:eastAsia="Times New Roman" w:cs="Times New Roman"/>
          <w:color w:val="000000"/>
          <w:szCs w:val="24"/>
        </w:rPr>
        <w:t>.</w:t>
      </w:r>
      <w:r w:rsidR="002944F3">
        <w:rPr>
          <w:rStyle w:val="FootnoteReference"/>
          <w:rFonts w:eastAsia="Times New Roman" w:cs="Times New Roman"/>
          <w:color w:val="000000"/>
          <w:szCs w:val="24"/>
        </w:rPr>
        <w:footnoteReference w:id="7"/>
      </w:r>
      <w:r w:rsidR="009E1116">
        <w:rPr>
          <w:rFonts w:eastAsia="Times New Roman" w:cs="Times New Roman"/>
          <w:color w:val="000000"/>
          <w:szCs w:val="24"/>
        </w:rPr>
        <w:t xml:space="preserve"> Before then, </w:t>
      </w:r>
      <w:r w:rsidR="00010620">
        <w:rPr>
          <w:rFonts w:eastAsia="Times New Roman" w:cs="Times New Roman"/>
          <w:color w:val="000000"/>
          <w:szCs w:val="24"/>
        </w:rPr>
        <w:t xml:space="preserve">the nationally designed </w:t>
      </w:r>
      <w:r w:rsidR="00591C59">
        <w:rPr>
          <w:rFonts w:eastAsia="Times New Roman" w:cs="Times New Roman"/>
          <w:color w:val="000000"/>
          <w:szCs w:val="24"/>
        </w:rPr>
        <w:t>Council Tax Benefi</w:t>
      </w:r>
      <w:r w:rsidR="00010620">
        <w:rPr>
          <w:rFonts w:eastAsia="Times New Roman" w:cs="Times New Roman"/>
          <w:color w:val="000000"/>
          <w:szCs w:val="24"/>
        </w:rPr>
        <w:t xml:space="preserve">t </w:t>
      </w:r>
      <w:r w:rsidR="0082277D">
        <w:rPr>
          <w:rFonts w:eastAsia="Times New Roman" w:cs="Times New Roman"/>
          <w:color w:val="000000"/>
          <w:szCs w:val="24"/>
        </w:rPr>
        <w:t xml:space="preserve">would pay 100% of the </w:t>
      </w:r>
      <w:r w:rsidR="0082277D">
        <w:rPr>
          <w:rFonts w:eastAsia="Times New Roman" w:cs="Times New Roman"/>
          <w:color w:val="000000"/>
          <w:szCs w:val="24"/>
        </w:rPr>
        <w:lastRenderedPageBreak/>
        <w:t>council tax liability based</w:t>
      </w:r>
      <w:r w:rsidR="00F879A5">
        <w:rPr>
          <w:rFonts w:eastAsia="Times New Roman" w:cs="Times New Roman"/>
          <w:color w:val="000000"/>
          <w:szCs w:val="24"/>
        </w:rPr>
        <w:t xml:space="preserve"> on a means-test of a household’s income. </w:t>
      </w:r>
      <w:r w:rsidR="00EE1572">
        <w:rPr>
          <w:rFonts w:eastAsia="Times New Roman" w:cs="Times New Roman"/>
          <w:color w:val="000000"/>
          <w:szCs w:val="24"/>
        </w:rPr>
        <w:t>When this central benefit was abolished, the total overall budget for these payments was reduced</w:t>
      </w:r>
      <w:r w:rsidR="00B037D5">
        <w:rPr>
          <w:rFonts w:eastAsia="Times New Roman" w:cs="Times New Roman"/>
          <w:color w:val="000000"/>
          <w:szCs w:val="24"/>
        </w:rPr>
        <w:t xml:space="preserve"> by 10%</w:t>
      </w:r>
      <w:r w:rsidR="00431E50">
        <w:rPr>
          <w:rFonts w:eastAsia="Times New Roman" w:cs="Times New Roman"/>
          <w:color w:val="000000"/>
          <w:szCs w:val="24"/>
        </w:rPr>
        <w:t>, bundled into fixed grants</w:t>
      </w:r>
      <w:r w:rsidR="00EC4BA5">
        <w:rPr>
          <w:rFonts w:eastAsia="Times New Roman" w:cs="Times New Roman"/>
          <w:color w:val="000000"/>
          <w:szCs w:val="24"/>
        </w:rPr>
        <w:t>,</w:t>
      </w:r>
      <w:r w:rsidR="00431E50">
        <w:rPr>
          <w:rFonts w:eastAsia="Times New Roman" w:cs="Times New Roman"/>
          <w:color w:val="000000"/>
          <w:szCs w:val="24"/>
        </w:rPr>
        <w:t xml:space="preserve"> and </w:t>
      </w:r>
      <w:r w:rsidR="00EE1572">
        <w:rPr>
          <w:rFonts w:eastAsia="Times New Roman" w:cs="Times New Roman"/>
          <w:color w:val="000000"/>
          <w:szCs w:val="24"/>
        </w:rPr>
        <w:t xml:space="preserve">the responsibility passed down to </w:t>
      </w:r>
      <w:r w:rsidR="00DB6F66">
        <w:rPr>
          <w:rFonts w:eastAsia="Times New Roman" w:cs="Times New Roman"/>
          <w:color w:val="000000"/>
          <w:szCs w:val="24"/>
        </w:rPr>
        <w:t>l</w:t>
      </w:r>
      <w:r w:rsidR="00EE1572">
        <w:rPr>
          <w:rFonts w:eastAsia="Times New Roman" w:cs="Times New Roman"/>
          <w:color w:val="000000"/>
          <w:szCs w:val="24"/>
        </w:rPr>
        <w:t xml:space="preserve">ocal </w:t>
      </w:r>
      <w:r w:rsidR="00DB6F66">
        <w:rPr>
          <w:rFonts w:eastAsia="Times New Roman" w:cs="Times New Roman"/>
          <w:color w:val="000000"/>
          <w:szCs w:val="24"/>
        </w:rPr>
        <w:t>a</w:t>
      </w:r>
      <w:r w:rsidR="00EE1572">
        <w:rPr>
          <w:rFonts w:eastAsia="Times New Roman" w:cs="Times New Roman"/>
          <w:color w:val="000000"/>
          <w:szCs w:val="24"/>
        </w:rPr>
        <w:t xml:space="preserve">uthorities themselves to come up with their own schemes in line with the supporting regulations – a kind of </w:t>
      </w:r>
      <w:r w:rsidR="00057A3F">
        <w:rPr>
          <w:rFonts w:eastAsia="Times New Roman" w:cs="Times New Roman"/>
          <w:color w:val="000000"/>
          <w:szCs w:val="24"/>
        </w:rPr>
        <w:t>“</w:t>
      </w:r>
      <w:r w:rsidR="00EE1572">
        <w:rPr>
          <w:rFonts w:eastAsia="Times New Roman" w:cs="Times New Roman"/>
          <w:color w:val="000000"/>
          <w:szCs w:val="24"/>
        </w:rPr>
        <w:t>cut and devolve</w:t>
      </w:r>
      <w:r w:rsidR="00057A3F">
        <w:rPr>
          <w:rFonts w:eastAsia="Times New Roman" w:cs="Times New Roman"/>
          <w:color w:val="000000"/>
          <w:szCs w:val="24"/>
        </w:rPr>
        <w:t>”</w:t>
      </w:r>
      <w:r w:rsidR="00A11688">
        <w:rPr>
          <w:rFonts w:eastAsia="Times New Roman" w:cs="Times New Roman"/>
          <w:color w:val="000000"/>
          <w:szCs w:val="24"/>
        </w:rPr>
        <w:t xml:space="preserve"> approach to </w:t>
      </w:r>
      <w:r w:rsidR="00480625">
        <w:rPr>
          <w:rFonts w:eastAsia="Times New Roman" w:cs="Times New Roman"/>
          <w:color w:val="000000"/>
          <w:szCs w:val="24"/>
        </w:rPr>
        <w:t>helping people with their council tax</w:t>
      </w:r>
      <w:r w:rsidR="00EE1572">
        <w:rPr>
          <w:rFonts w:eastAsia="Times New Roman" w:cs="Times New Roman"/>
          <w:color w:val="000000"/>
          <w:szCs w:val="24"/>
        </w:rPr>
        <w:t>.</w:t>
      </w:r>
      <w:r w:rsidR="00803F67">
        <w:rPr>
          <w:rStyle w:val="FootnoteReference"/>
          <w:rFonts w:eastAsia="Times New Roman" w:cs="Times New Roman"/>
          <w:color w:val="000000"/>
          <w:szCs w:val="24"/>
        </w:rPr>
        <w:footnoteReference w:id="8"/>
      </w:r>
    </w:p>
    <w:p w14:paraId="164F4FDE" w14:textId="144CAC90" w:rsidR="00180394" w:rsidRDefault="00BF7181" w:rsidP="006C0E5F">
      <w:pPr>
        <w:spacing w:line="276" w:lineRule="auto"/>
        <w:jc w:val="both"/>
        <w:rPr>
          <w:rFonts w:eastAsia="Times New Roman" w:cs="Times New Roman"/>
          <w:color w:val="000000"/>
          <w:szCs w:val="24"/>
        </w:rPr>
      </w:pPr>
      <w:r>
        <w:rPr>
          <w:rFonts w:eastAsia="Times New Roman" w:cs="Times New Roman"/>
          <w:color w:val="000000"/>
          <w:szCs w:val="24"/>
        </w:rPr>
        <w:t>What has emerged</w:t>
      </w:r>
      <w:r w:rsidR="00256026">
        <w:rPr>
          <w:rFonts w:eastAsia="Times New Roman" w:cs="Times New Roman"/>
          <w:color w:val="000000"/>
          <w:szCs w:val="24"/>
        </w:rPr>
        <w:t xml:space="preserve"> </w:t>
      </w:r>
      <w:r w:rsidR="00DD7467">
        <w:rPr>
          <w:rFonts w:eastAsia="Times New Roman" w:cs="Times New Roman"/>
          <w:color w:val="000000"/>
          <w:szCs w:val="24"/>
        </w:rPr>
        <w:t>are</w:t>
      </w:r>
      <w:r w:rsidR="000B6C97">
        <w:rPr>
          <w:rFonts w:eastAsia="Times New Roman" w:cs="Times New Roman"/>
          <w:color w:val="000000"/>
          <w:szCs w:val="24"/>
        </w:rPr>
        <w:t xml:space="preserve"> far more p</w:t>
      </w:r>
      <w:r w:rsidR="00F14A37">
        <w:rPr>
          <w:rFonts w:eastAsia="Times New Roman" w:cs="Times New Roman"/>
          <w:color w:val="000000"/>
          <w:szCs w:val="24"/>
        </w:rPr>
        <w:t>arsimonious</w:t>
      </w:r>
      <w:r w:rsidR="000B6C97">
        <w:rPr>
          <w:rFonts w:eastAsia="Times New Roman" w:cs="Times New Roman"/>
          <w:color w:val="000000"/>
          <w:szCs w:val="24"/>
        </w:rPr>
        <w:t xml:space="preserve"> </w:t>
      </w:r>
      <w:r w:rsidR="00DD7467">
        <w:rPr>
          <w:rFonts w:eastAsia="Times New Roman" w:cs="Times New Roman"/>
          <w:color w:val="000000"/>
          <w:szCs w:val="24"/>
        </w:rPr>
        <w:t>schemes</w:t>
      </w:r>
      <w:r w:rsidR="00B15EDE">
        <w:rPr>
          <w:rFonts w:eastAsia="Times New Roman" w:cs="Times New Roman"/>
          <w:color w:val="000000"/>
          <w:szCs w:val="24"/>
        </w:rPr>
        <w:t xml:space="preserve">, with </w:t>
      </w:r>
      <w:r w:rsidR="00256026">
        <w:rPr>
          <w:rFonts w:eastAsia="Times New Roman" w:cs="Times New Roman"/>
          <w:color w:val="000000"/>
          <w:szCs w:val="24"/>
        </w:rPr>
        <w:t xml:space="preserve">huge variation in approaches across </w:t>
      </w:r>
      <w:r w:rsidR="000B6C97">
        <w:rPr>
          <w:rFonts w:eastAsia="Times New Roman" w:cs="Times New Roman"/>
          <w:color w:val="000000"/>
          <w:szCs w:val="24"/>
        </w:rPr>
        <w:t xml:space="preserve">the </w:t>
      </w:r>
      <w:r w:rsidR="00256026">
        <w:rPr>
          <w:rFonts w:eastAsia="Times New Roman" w:cs="Times New Roman"/>
          <w:color w:val="000000"/>
          <w:szCs w:val="24"/>
        </w:rPr>
        <w:t>country.</w:t>
      </w:r>
      <w:r w:rsidR="004D2E7F">
        <w:rPr>
          <w:rFonts w:eastAsia="Times New Roman" w:cs="Times New Roman"/>
          <w:color w:val="000000"/>
          <w:szCs w:val="24"/>
        </w:rPr>
        <w:t xml:space="preserve"> As of this year, no </w:t>
      </w:r>
      <w:r w:rsidR="00DB6F66">
        <w:rPr>
          <w:rFonts w:eastAsia="Times New Roman" w:cs="Times New Roman"/>
          <w:color w:val="000000"/>
          <w:szCs w:val="24"/>
        </w:rPr>
        <w:t>l</w:t>
      </w:r>
      <w:r w:rsidR="004D2E7F">
        <w:rPr>
          <w:rFonts w:eastAsia="Times New Roman" w:cs="Times New Roman"/>
          <w:color w:val="000000"/>
          <w:szCs w:val="24"/>
        </w:rPr>
        <w:t xml:space="preserve">ocal </w:t>
      </w:r>
      <w:r w:rsidR="00DB6F66">
        <w:rPr>
          <w:rFonts w:eastAsia="Times New Roman" w:cs="Times New Roman"/>
          <w:color w:val="000000"/>
          <w:szCs w:val="24"/>
        </w:rPr>
        <w:t>a</w:t>
      </w:r>
      <w:r w:rsidR="004D2E7F">
        <w:rPr>
          <w:rFonts w:eastAsia="Times New Roman" w:cs="Times New Roman"/>
          <w:color w:val="000000"/>
          <w:szCs w:val="24"/>
        </w:rPr>
        <w:t>uthority in the country has a more generous scheme than what was available under Council Tax Benefit</w:t>
      </w:r>
      <w:r w:rsidR="005D6D95">
        <w:rPr>
          <w:rFonts w:eastAsia="Times New Roman" w:cs="Times New Roman"/>
          <w:color w:val="000000"/>
          <w:szCs w:val="24"/>
        </w:rPr>
        <w:t xml:space="preserve">. Indeed, </w:t>
      </w:r>
      <w:r w:rsidR="004D2E7F">
        <w:rPr>
          <w:rFonts w:eastAsia="Times New Roman" w:cs="Times New Roman"/>
          <w:color w:val="000000"/>
          <w:szCs w:val="24"/>
        </w:rPr>
        <w:t>70% have reduced their maximum level of support below 100% of council tax liability</w:t>
      </w:r>
      <w:r w:rsidR="003915B7">
        <w:rPr>
          <w:rFonts w:eastAsia="Times New Roman" w:cs="Times New Roman"/>
          <w:color w:val="000000"/>
          <w:szCs w:val="24"/>
        </w:rPr>
        <w:t>. A</w:t>
      </w:r>
      <w:r w:rsidR="00B15EDE">
        <w:rPr>
          <w:rFonts w:eastAsia="Times New Roman" w:cs="Times New Roman"/>
          <w:color w:val="000000"/>
          <w:szCs w:val="24"/>
        </w:rPr>
        <w:t>cross most of the country</w:t>
      </w:r>
      <w:r w:rsidR="004D2E7F">
        <w:rPr>
          <w:rFonts w:eastAsia="Times New Roman" w:cs="Times New Roman"/>
          <w:color w:val="000000"/>
          <w:szCs w:val="24"/>
        </w:rPr>
        <w:t>, even the poorest households will pay some council tax, regardless of their income.</w:t>
      </w:r>
      <w:r w:rsidR="00B15EDE">
        <w:rPr>
          <w:rStyle w:val="FootnoteReference"/>
          <w:rFonts w:eastAsia="Times New Roman" w:cs="Times New Roman"/>
          <w:color w:val="000000"/>
          <w:szCs w:val="24"/>
        </w:rPr>
        <w:footnoteReference w:id="9"/>
      </w:r>
      <w:r w:rsidR="004D2E7F">
        <w:rPr>
          <w:rFonts w:eastAsia="Times New Roman" w:cs="Times New Roman"/>
          <w:color w:val="000000"/>
          <w:szCs w:val="24"/>
        </w:rPr>
        <w:t xml:space="preserve"> As the Institute for Fiscal </w:t>
      </w:r>
      <w:r w:rsidR="00F75350">
        <w:rPr>
          <w:rFonts w:eastAsia="Times New Roman" w:cs="Times New Roman"/>
          <w:color w:val="000000"/>
          <w:szCs w:val="24"/>
        </w:rPr>
        <w:t>S</w:t>
      </w:r>
      <w:r w:rsidR="004D2E7F">
        <w:rPr>
          <w:rFonts w:eastAsia="Times New Roman" w:cs="Times New Roman"/>
          <w:color w:val="000000"/>
          <w:szCs w:val="24"/>
        </w:rPr>
        <w:t xml:space="preserve">tudies put it, </w:t>
      </w:r>
      <w:r w:rsidR="00057A3F">
        <w:rPr>
          <w:rFonts w:eastAsia="Times New Roman" w:cs="Times New Roman"/>
          <w:color w:val="000000"/>
          <w:szCs w:val="24"/>
        </w:rPr>
        <w:t>“</w:t>
      </w:r>
      <w:r w:rsidR="00180394">
        <w:rPr>
          <w:rFonts w:eastAsia="Times New Roman" w:cs="Times New Roman"/>
          <w:color w:val="000000"/>
          <w:szCs w:val="24"/>
        </w:rPr>
        <w:t>t</w:t>
      </w:r>
      <w:r w:rsidR="00180394" w:rsidRPr="00E22000">
        <w:rPr>
          <w:rFonts w:eastAsia="Times New Roman" w:cs="Times New Roman"/>
          <w:color w:val="000000"/>
          <w:szCs w:val="24"/>
        </w:rPr>
        <w:t>his is the first time since the poll tax that many of the lowest-income households have been required to pay local tax.</w:t>
      </w:r>
      <w:r w:rsidR="00057A3F">
        <w:rPr>
          <w:rFonts w:eastAsia="Times New Roman" w:cs="Times New Roman"/>
          <w:color w:val="000000"/>
          <w:szCs w:val="24"/>
        </w:rPr>
        <w:t>”</w:t>
      </w:r>
      <w:r w:rsidR="00180394">
        <w:rPr>
          <w:rStyle w:val="FootnoteReference"/>
          <w:rFonts w:eastAsia="Times New Roman" w:cs="Times New Roman"/>
          <w:color w:val="000000"/>
          <w:szCs w:val="24"/>
        </w:rPr>
        <w:footnoteReference w:id="10"/>
      </w:r>
      <w:r w:rsidR="00F825BE">
        <w:rPr>
          <w:rFonts w:eastAsia="Times New Roman" w:cs="Times New Roman"/>
          <w:color w:val="000000"/>
          <w:szCs w:val="24"/>
        </w:rPr>
        <w:t xml:space="preserve"> Variations in approach can le</w:t>
      </w:r>
      <w:r w:rsidR="00E60CEA">
        <w:rPr>
          <w:rFonts w:eastAsia="Times New Roman" w:cs="Times New Roman"/>
          <w:color w:val="000000"/>
          <w:szCs w:val="24"/>
        </w:rPr>
        <w:t>a</w:t>
      </w:r>
      <w:r w:rsidR="00F825BE">
        <w:rPr>
          <w:rFonts w:eastAsia="Times New Roman" w:cs="Times New Roman"/>
          <w:color w:val="000000"/>
          <w:szCs w:val="24"/>
        </w:rPr>
        <w:t>d to significant differences</w:t>
      </w:r>
      <w:r w:rsidR="00460B22">
        <w:rPr>
          <w:rFonts w:eastAsia="Times New Roman" w:cs="Times New Roman"/>
          <w:color w:val="000000"/>
          <w:szCs w:val="24"/>
        </w:rPr>
        <w:t xml:space="preserve"> in areas that border one another</w:t>
      </w:r>
      <w:r w:rsidR="00801AD1">
        <w:rPr>
          <w:rFonts w:eastAsia="Times New Roman" w:cs="Times New Roman"/>
          <w:color w:val="000000"/>
          <w:szCs w:val="24"/>
        </w:rPr>
        <w:t xml:space="preserve">. In Policy in Practice’s detailed review of all </w:t>
      </w:r>
      <w:r w:rsidR="00DB6F66">
        <w:rPr>
          <w:rFonts w:eastAsia="Times New Roman" w:cs="Times New Roman"/>
          <w:color w:val="000000"/>
          <w:szCs w:val="24"/>
        </w:rPr>
        <w:t>l</w:t>
      </w:r>
      <w:r w:rsidR="00801AD1">
        <w:rPr>
          <w:rFonts w:eastAsia="Times New Roman" w:cs="Times New Roman"/>
          <w:color w:val="000000"/>
          <w:szCs w:val="24"/>
        </w:rPr>
        <w:t xml:space="preserve">ocal </w:t>
      </w:r>
      <w:r w:rsidR="00DB6F66">
        <w:rPr>
          <w:rFonts w:eastAsia="Times New Roman" w:cs="Times New Roman"/>
          <w:color w:val="000000"/>
          <w:szCs w:val="24"/>
        </w:rPr>
        <w:t>a</w:t>
      </w:r>
      <w:r w:rsidR="00801AD1">
        <w:rPr>
          <w:rFonts w:eastAsia="Times New Roman" w:cs="Times New Roman"/>
          <w:color w:val="000000"/>
          <w:szCs w:val="24"/>
        </w:rPr>
        <w:t xml:space="preserve">uthority provision, </w:t>
      </w:r>
      <w:r w:rsidR="0002466E">
        <w:rPr>
          <w:rFonts w:eastAsia="Times New Roman" w:cs="Times New Roman"/>
          <w:color w:val="000000"/>
          <w:szCs w:val="24"/>
        </w:rPr>
        <w:t>they note that of the</w:t>
      </w:r>
      <w:r w:rsidR="00801AD1">
        <w:rPr>
          <w:rFonts w:eastAsia="Times New Roman" w:cs="Times New Roman"/>
          <w:color w:val="000000"/>
          <w:szCs w:val="24"/>
        </w:rPr>
        <w:t xml:space="preserve"> </w:t>
      </w:r>
      <w:r w:rsidR="00057A3F">
        <w:rPr>
          <w:rFonts w:eastAsia="Times New Roman" w:cs="Times New Roman"/>
          <w:color w:val="000000"/>
          <w:szCs w:val="24"/>
        </w:rPr>
        <w:t>“</w:t>
      </w:r>
      <w:r w:rsidR="00801AD1" w:rsidRPr="00801AD1">
        <w:rPr>
          <w:rFonts w:eastAsia="Times New Roman" w:cs="Times New Roman"/>
          <w:color w:val="000000"/>
          <w:szCs w:val="24"/>
        </w:rPr>
        <w:t>296 CTR schemes in England</w:t>
      </w:r>
      <w:r w:rsidR="0002466E">
        <w:rPr>
          <w:rFonts w:eastAsia="Times New Roman" w:cs="Times New Roman"/>
          <w:color w:val="000000"/>
          <w:szCs w:val="24"/>
        </w:rPr>
        <w:t>…</w:t>
      </w:r>
      <w:r w:rsidR="00801AD1" w:rsidRPr="00801AD1">
        <w:rPr>
          <w:rFonts w:eastAsia="Times New Roman" w:cs="Times New Roman"/>
          <w:color w:val="000000"/>
          <w:szCs w:val="24"/>
        </w:rPr>
        <w:t>no two are alike</w:t>
      </w:r>
      <w:r w:rsidR="00801AD1">
        <w:rPr>
          <w:rFonts w:eastAsia="Times New Roman" w:cs="Times New Roman"/>
          <w:color w:val="000000"/>
          <w:szCs w:val="24"/>
        </w:rPr>
        <w:t>.</w:t>
      </w:r>
      <w:bookmarkStart w:id="1" w:name="_Ref212988900"/>
      <w:r w:rsidR="00057A3F">
        <w:rPr>
          <w:rFonts w:eastAsia="Times New Roman" w:cs="Times New Roman"/>
          <w:color w:val="000000"/>
          <w:szCs w:val="24"/>
        </w:rPr>
        <w:t>”</w:t>
      </w:r>
      <w:r w:rsidR="008E4553">
        <w:rPr>
          <w:rStyle w:val="FootnoteReference"/>
          <w:rFonts w:eastAsia="Times New Roman" w:cs="Times New Roman"/>
          <w:color w:val="000000"/>
          <w:szCs w:val="24"/>
        </w:rPr>
        <w:footnoteReference w:id="11"/>
      </w:r>
      <w:bookmarkEnd w:id="1"/>
      <w:r w:rsidR="00F825BE">
        <w:rPr>
          <w:rFonts w:eastAsia="Times New Roman" w:cs="Times New Roman"/>
          <w:color w:val="000000"/>
          <w:szCs w:val="24"/>
        </w:rPr>
        <w:t xml:space="preserve"> For instance, this year a family in Doncaster receiving the maximum </w:t>
      </w:r>
      <w:r w:rsidR="00DB6F66">
        <w:rPr>
          <w:rFonts w:eastAsia="Times New Roman" w:cs="Times New Roman"/>
          <w:color w:val="000000"/>
          <w:szCs w:val="24"/>
        </w:rPr>
        <w:t>CTRS</w:t>
      </w:r>
      <w:r w:rsidR="00F825BE">
        <w:rPr>
          <w:rFonts w:eastAsia="Times New Roman" w:cs="Times New Roman"/>
          <w:color w:val="000000"/>
          <w:szCs w:val="24"/>
        </w:rPr>
        <w:t xml:space="preserve"> would pay no council tax, whereas</w:t>
      </w:r>
      <w:r w:rsidR="00787F91">
        <w:rPr>
          <w:rFonts w:eastAsia="Times New Roman" w:cs="Times New Roman"/>
          <w:color w:val="000000"/>
          <w:szCs w:val="24"/>
        </w:rPr>
        <w:t xml:space="preserve"> the same family</w:t>
      </w:r>
      <w:r w:rsidR="00F825BE">
        <w:rPr>
          <w:rFonts w:eastAsia="Times New Roman" w:cs="Times New Roman"/>
          <w:color w:val="000000"/>
          <w:szCs w:val="24"/>
        </w:rPr>
        <w:t xml:space="preserve"> a few miles away in North Lincolnshire would pay at least £1,400 per year.</w:t>
      </w:r>
      <w:r w:rsidR="001140E6">
        <w:rPr>
          <w:rStyle w:val="FootnoteReference"/>
          <w:rFonts w:eastAsia="Times New Roman" w:cs="Times New Roman"/>
          <w:color w:val="000000"/>
          <w:szCs w:val="24"/>
        </w:rPr>
        <w:footnoteReference w:id="12"/>
      </w:r>
    </w:p>
    <w:p w14:paraId="500FDF83" w14:textId="0BFE912A" w:rsidR="00D47BE6" w:rsidRPr="00D47BE6" w:rsidRDefault="007045CB" w:rsidP="006C0E5F">
      <w:pPr>
        <w:spacing w:line="276" w:lineRule="auto"/>
        <w:rPr>
          <w:rFonts w:asciiTheme="majorBidi" w:hAnsiTheme="majorBidi" w:cstheme="majorBidi"/>
          <w:szCs w:val="24"/>
        </w:rPr>
      </w:pPr>
      <w:r w:rsidRPr="00990620">
        <w:rPr>
          <w:rFonts w:asciiTheme="majorBidi" w:hAnsiTheme="majorBidi" w:cstheme="majorBidi"/>
          <w:szCs w:val="24"/>
        </w:rPr>
        <w:t>Trafford</w:t>
      </w:r>
      <w:r w:rsidR="00990620">
        <w:rPr>
          <w:rFonts w:asciiTheme="majorBidi" w:hAnsiTheme="majorBidi" w:cstheme="majorBidi"/>
          <w:szCs w:val="24"/>
        </w:rPr>
        <w:t xml:space="preserve"> Metropolitan Council is one of those who has</w:t>
      </w:r>
      <w:r>
        <w:rPr>
          <w:rFonts w:asciiTheme="majorBidi" w:hAnsiTheme="majorBidi" w:cstheme="majorBidi"/>
          <w:szCs w:val="24"/>
        </w:rPr>
        <w:t xml:space="preserve"> reduced </w:t>
      </w:r>
      <w:r w:rsidR="00990620">
        <w:rPr>
          <w:rFonts w:asciiTheme="majorBidi" w:hAnsiTheme="majorBidi" w:cstheme="majorBidi"/>
          <w:szCs w:val="24"/>
        </w:rPr>
        <w:t xml:space="preserve">the </w:t>
      </w:r>
      <w:r>
        <w:rPr>
          <w:rFonts w:asciiTheme="majorBidi" w:hAnsiTheme="majorBidi" w:cstheme="majorBidi"/>
          <w:szCs w:val="24"/>
        </w:rPr>
        <w:t>generosity</w:t>
      </w:r>
      <w:r w:rsidR="00990620">
        <w:rPr>
          <w:rFonts w:asciiTheme="majorBidi" w:hAnsiTheme="majorBidi" w:cstheme="majorBidi"/>
          <w:szCs w:val="24"/>
        </w:rPr>
        <w:t xml:space="preserve"> of its scheme</w:t>
      </w:r>
      <w:r>
        <w:rPr>
          <w:rFonts w:asciiTheme="majorBidi" w:hAnsiTheme="majorBidi" w:cstheme="majorBidi"/>
          <w:szCs w:val="24"/>
        </w:rPr>
        <w:t xml:space="preserve">. </w:t>
      </w:r>
      <w:r w:rsidRPr="007045CB">
        <w:rPr>
          <w:rFonts w:asciiTheme="majorBidi" w:hAnsiTheme="majorBidi" w:cstheme="majorBidi"/>
          <w:szCs w:val="24"/>
        </w:rPr>
        <w:t xml:space="preserve">Until 2025, the </w:t>
      </w:r>
      <w:r>
        <w:rPr>
          <w:rFonts w:asciiTheme="majorBidi" w:hAnsiTheme="majorBidi" w:cstheme="majorBidi"/>
          <w:szCs w:val="24"/>
        </w:rPr>
        <w:t>c</w:t>
      </w:r>
      <w:r w:rsidRPr="007045CB">
        <w:rPr>
          <w:rFonts w:asciiTheme="majorBidi" w:hAnsiTheme="majorBidi" w:cstheme="majorBidi"/>
          <w:szCs w:val="24"/>
        </w:rPr>
        <w:t>laimants</w:t>
      </w:r>
      <w:r>
        <w:rPr>
          <w:rFonts w:asciiTheme="majorBidi" w:hAnsiTheme="majorBidi" w:cstheme="majorBidi"/>
          <w:szCs w:val="24"/>
        </w:rPr>
        <w:t xml:space="preserve"> in this case – LL and </w:t>
      </w:r>
      <w:r w:rsidR="00C364C6">
        <w:rPr>
          <w:rFonts w:asciiTheme="majorBidi" w:hAnsiTheme="majorBidi" w:cstheme="majorBidi"/>
          <w:szCs w:val="24"/>
        </w:rPr>
        <w:t>A</w:t>
      </w:r>
      <w:r>
        <w:rPr>
          <w:rFonts w:asciiTheme="majorBidi" w:hAnsiTheme="majorBidi" w:cstheme="majorBidi"/>
          <w:szCs w:val="24"/>
        </w:rPr>
        <w:t xml:space="preserve">U – </w:t>
      </w:r>
      <w:r w:rsidRPr="007045CB">
        <w:rPr>
          <w:rFonts w:asciiTheme="majorBidi" w:hAnsiTheme="majorBidi" w:cstheme="majorBidi"/>
          <w:szCs w:val="24"/>
        </w:rPr>
        <w:t xml:space="preserve">had both received </w:t>
      </w:r>
      <w:r>
        <w:rPr>
          <w:rFonts w:asciiTheme="majorBidi" w:hAnsiTheme="majorBidi" w:cstheme="majorBidi"/>
          <w:szCs w:val="24"/>
        </w:rPr>
        <w:t xml:space="preserve">a </w:t>
      </w:r>
      <w:r w:rsidRPr="007045CB">
        <w:rPr>
          <w:rFonts w:asciiTheme="majorBidi" w:hAnsiTheme="majorBidi" w:cstheme="majorBidi"/>
          <w:szCs w:val="24"/>
        </w:rPr>
        <w:t xml:space="preserve">100% reduction to their council tax bills. In March 2025, </w:t>
      </w:r>
      <w:r>
        <w:rPr>
          <w:rFonts w:asciiTheme="majorBidi" w:hAnsiTheme="majorBidi" w:cstheme="majorBidi"/>
          <w:szCs w:val="24"/>
        </w:rPr>
        <w:t xml:space="preserve">as </w:t>
      </w:r>
      <w:r w:rsidRPr="00990620">
        <w:rPr>
          <w:rFonts w:asciiTheme="majorBidi" w:hAnsiTheme="majorBidi" w:cstheme="majorBidi"/>
          <w:szCs w:val="24"/>
        </w:rPr>
        <w:t>Trafford</w:t>
      </w:r>
      <w:r>
        <w:rPr>
          <w:rFonts w:asciiTheme="majorBidi" w:hAnsiTheme="majorBidi" w:cstheme="majorBidi"/>
          <w:i/>
          <w:iCs/>
          <w:szCs w:val="24"/>
        </w:rPr>
        <w:t xml:space="preserve"> </w:t>
      </w:r>
      <w:r>
        <w:rPr>
          <w:rFonts w:asciiTheme="majorBidi" w:hAnsiTheme="majorBidi" w:cstheme="majorBidi"/>
          <w:szCs w:val="24"/>
        </w:rPr>
        <w:t xml:space="preserve">launched their 2025/26 iteration of </w:t>
      </w:r>
      <w:r w:rsidR="00DB6F66">
        <w:rPr>
          <w:rFonts w:asciiTheme="majorBidi" w:hAnsiTheme="majorBidi" w:cstheme="majorBidi"/>
          <w:szCs w:val="24"/>
        </w:rPr>
        <w:t>CTRS</w:t>
      </w:r>
      <w:r>
        <w:rPr>
          <w:rFonts w:asciiTheme="majorBidi" w:hAnsiTheme="majorBidi" w:cstheme="majorBidi"/>
          <w:szCs w:val="24"/>
        </w:rPr>
        <w:t>, they</w:t>
      </w:r>
      <w:r w:rsidR="00990620">
        <w:rPr>
          <w:rFonts w:asciiTheme="majorBidi" w:hAnsiTheme="majorBidi" w:cstheme="majorBidi"/>
          <w:szCs w:val="24"/>
        </w:rPr>
        <w:t xml:space="preserve"> moved to being liable for the full council tax bill, a position faced by many thousands of claimants across the country</w:t>
      </w:r>
      <w:r w:rsidR="00177E38">
        <w:rPr>
          <w:rFonts w:asciiTheme="majorBidi" w:hAnsiTheme="majorBidi" w:cstheme="majorBidi"/>
          <w:szCs w:val="24"/>
        </w:rPr>
        <w:t xml:space="preserve"> as councils revisit the design of their eligibility criteria</w:t>
      </w:r>
      <w:r w:rsidR="00990620">
        <w:rPr>
          <w:rFonts w:asciiTheme="majorBidi" w:hAnsiTheme="majorBidi" w:cstheme="majorBidi"/>
          <w:szCs w:val="24"/>
        </w:rPr>
        <w:t>.</w:t>
      </w:r>
      <w:r>
        <w:rPr>
          <w:rStyle w:val="FootnoteReference"/>
          <w:rFonts w:asciiTheme="majorBidi" w:hAnsiTheme="majorBidi" w:cstheme="majorBidi"/>
          <w:szCs w:val="24"/>
        </w:rPr>
        <w:footnoteReference w:id="13"/>
      </w:r>
      <w:r w:rsidR="003915B7">
        <w:rPr>
          <w:rFonts w:asciiTheme="majorBidi" w:hAnsiTheme="majorBidi" w:cstheme="majorBidi"/>
          <w:szCs w:val="24"/>
        </w:rPr>
        <w:t xml:space="preserve"> </w:t>
      </w:r>
      <w:r w:rsidR="004A6CC1">
        <w:rPr>
          <w:rFonts w:asciiTheme="majorBidi" w:hAnsiTheme="majorBidi" w:cstheme="majorBidi"/>
          <w:szCs w:val="24"/>
        </w:rPr>
        <w:t xml:space="preserve">The case cuts across three issues: how its means-test operates, the software for its implementation, and the policy-making process. This </w:t>
      </w:r>
      <w:r w:rsidR="003915B7">
        <w:rPr>
          <w:rFonts w:asciiTheme="majorBidi" w:hAnsiTheme="majorBidi" w:cstheme="majorBidi"/>
          <w:szCs w:val="24"/>
        </w:rPr>
        <w:t>comment</w:t>
      </w:r>
      <w:r w:rsidR="004A6CC1">
        <w:rPr>
          <w:rFonts w:asciiTheme="majorBidi" w:hAnsiTheme="majorBidi" w:cstheme="majorBidi"/>
          <w:szCs w:val="24"/>
        </w:rPr>
        <w:t xml:space="preserve"> turns to each in turn.</w:t>
      </w:r>
    </w:p>
    <w:p w14:paraId="215C9C37" w14:textId="0FFA6FA5" w:rsidR="004D2E7F" w:rsidRDefault="00A136A8" w:rsidP="006C0E5F">
      <w:pPr>
        <w:spacing w:line="276" w:lineRule="auto"/>
        <w:jc w:val="both"/>
        <w:rPr>
          <w:rFonts w:eastAsia="Times New Roman" w:cs="Times New Roman"/>
          <w:b/>
          <w:bCs/>
          <w:color w:val="000000"/>
          <w:szCs w:val="24"/>
        </w:rPr>
      </w:pPr>
      <w:r>
        <w:rPr>
          <w:rFonts w:eastAsia="Times New Roman" w:cs="Times New Roman"/>
          <w:b/>
          <w:bCs/>
          <w:color w:val="000000"/>
          <w:szCs w:val="24"/>
        </w:rPr>
        <w:t>A local means</w:t>
      </w:r>
      <w:r w:rsidR="00FA10A3">
        <w:rPr>
          <w:rFonts w:eastAsia="Times New Roman" w:cs="Times New Roman"/>
          <w:b/>
          <w:bCs/>
          <w:color w:val="000000"/>
          <w:szCs w:val="24"/>
        </w:rPr>
        <w:t>-</w:t>
      </w:r>
      <w:r>
        <w:rPr>
          <w:rFonts w:eastAsia="Times New Roman" w:cs="Times New Roman"/>
          <w:b/>
          <w:bCs/>
          <w:color w:val="000000"/>
          <w:szCs w:val="24"/>
        </w:rPr>
        <w:t>test for local people</w:t>
      </w:r>
    </w:p>
    <w:p w14:paraId="2FD7ED05" w14:textId="6F755D96" w:rsidR="00554E42" w:rsidRDefault="008C7B6D" w:rsidP="006C0E5F">
      <w:pPr>
        <w:spacing w:line="276" w:lineRule="auto"/>
        <w:jc w:val="both"/>
        <w:rPr>
          <w:rFonts w:eastAsia="Times New Roman" w:cs="Times New Roman"/>
          <w:color w:val="000000"/>
          <w:szCs w:val="24"/>
        </w:rPr>
      </w:pPr>
      <w:r>
        <w:rPr>
          <w:rFonts w:eastAsia="Times New Roman" w:cs="Times New Roman"/>
          <w:color w:val="000000"/>
          <w:szCs w:val="24"/>
        </w:rPr>
        <w:t>Local welfare schemes need</w:t>
      </w:r>
      <w:r w:rsidR="00AA7729">
        <w:rPr>
          <w:rFonts w:eastAsia="Times New Roman" w:cs="Times New Roman"/>
          <w:color w:val="000000"/>
          <w:szCs w:val="24"/>
        </w:rPr>
        <w:t xml:space="preserve"> their own local means tests.</w:t>
      </w:r>
      <w:r w:rsidR="00555D05">
        <w:rPr>
          <w:rFonts w:eastAsia="Times New Roman" w:cs="Times New Roman"/>
          <w:color w:val="000000"/>
          <w:szCs w:val="24"/>
        </w:rPr>
        <w:t xml:space="preserve"> </w:t>
      </w:r>
      <w:r w:rsidR="0086329A">
        <w:rPr>
          <w:rFonts w:eastAsia="Times New Roman" w:cs="Times New Roman"/>
          <w:color w:val="000000"/>
          <w:szCs w:val="24"/>
        </w:rPr>
        <w:t>This is not as straightforward as it may first appear.</w:t>
      </w:r>
      <w:r w:rsidR="00111E07">
        <w:rPr>
          <w:rStyle w:val="FootnoteReference"/>
          <w:rFonts w:eastAsia="Times New Roman" w:cs="Times New Roman"/>
          <w:color w:val="000000"/>
          <w:szCs w:val="24"/>
        </w:rPr>
        <w:footnoteReference w:id="14"/>
      </w:r>
      <w:r w:rsidR="0086329A">
        <w:rPr>
          <w:rFonts w:eastAsia="Times New Roman" w:cs="Times New Roman"/>
          <w:color w:val="000000"/>
          <w:szCs w:val="24"/>
        </w:rPr>
        <w:t xml:space="preserve"> The benefits system is complex, people’s income (and therefore their benefits) fluctuate, their circumstances change (and therefore their entitlement), </w:t>
      </w:r>
      <w:r w:rsidR="009D7E39">
        <w:rPr>
          <w:rFonts w:eastAsia="Times New Roman" w:cs="Times New Roman"/>
          <w:color w:val="000000"/>
          <w:szCs w:val="24"/>
        </w:rPr>
        <w:t xml:space="preserve">eligibility for one benefit may depend on the entitlement </w:t>
      </w:r>
      <w:r w:rsidR="002F31F9">
        <w:rPr>
          <w:rFonts w:eastAsia="Times New Roman" w:cs="Times New Roman"/>
          <w:color w:val="000000"/>
          <w:szCs w:val="24"/>
        </w:rPr>
        <w:t>of</w:t>
      </w:r>
      <w:r w:rsidR="009D7E39">
        <w:rPr>
          <w:rFonts w:eastAsia="Times New Roman" w:cs="Times New Roman"/>
          <w:color w:val="000000"/>
          <w:szCs w:val="24"/>
        </w:rPr>
        <w:t xml:space="preserve"> another</w:t>
      </w:r>
      <w:r w:rsidR="002F31F9">
        <w:rPr>
          <w:rFonts w:eastAsia="Times New Roman" w:cs="Times New Roman"/>
          <w:color w:val="000000"/>
          <w:szCs w:val="24"/>
        </w:rPr>
        <w:t xml:space="preserve"> person</w:t>
      </w:r>
      <w:r w:rsidR="009D7E39">
        <w:rPr>
          <w:rFonts w:eastAsia="Times New Roman" w:cs="Times New Roman"/>
          <w:color w:val="000000"/>
          <w:szCs w:val="24"/>
        </w:rPr>
        <w:t xml:space="preserve"> in the same household, </w:t>
      </w:r>
      <w:r w:rsidR="0086329A">
        <w:rPr>
          <w:rFonts w:eastAsia="Times New Roman" w:cs="Times New Roman"/>
          <w:color w:val="000000"/>
          <w:szCs w:val="24"/>
        </w:rPr>
        <w:t xml:space="preserve">and data-sharing </w:t>
      </w:r>
      <w:r w:rsidR="001830ED">
        <w:rPr>
          <w:rFonts w:eastAsia="Times New Roman" w:cs="Times New Roman"/>
          <w:color w:val="000000"/>
          <w:szCs w:val="24"/>
        </w:rPr>
        <w:t xml:space="preserve">from the </w:t>
      </w:r>
      <w:r w:rsidR="0086329A">
        <w:rPr>
          <w:rFonts w:eastAsia="Times New Roman" w:cs="Times New Roman"/>
          <w:color w:val="000000"/>
          <w:szCs w:val="24"/>
        </w:rPr>
        <w:t>Department for Work and Pensions</w:t>
      </w:r>
      <w:r w:rsidR="001830ED">
        <w:rPr>
          <w:rFonts w:eastAsia="Times New Roman" w:cs="Times New Roman"/>
          <w:color w:val="000000"/>
          <w:szCs w:val="24"/>
        </w:rPr>
        <w:t xml:space="preserve"> </w:t>
      </w:r>
      <w:r w:rsidR="00092B69">
        <w:rPr>
          <w:rFonts w:eastAsia="Times New Roman" w:cs="Times New Roman"/>
          <w:color w:val="000000"/>
          <w:szCs w:val="24"/>
        </w:rPr>
        <w:t>does not have a history</w:t>
      </w:r>
      <w:r w:rsidR="001830ED">
        <w:rPr>
          <w:rFonts w:eastAsia="Times New Roman" w:cs="Times New Roman"/>
          <w:color w:val="000000"/>
          <w:szCs w:val="24"/>
        </w:rPr>
        <w:t>, as</w:t>
      </w:r>
      <w:r w:rsidR="005A730B">
        <w:rPr>
          <w:rFonts w:eastAsia="Times New Roman" w:cs="Times New Roman"/>
          <w:color w:val="000000"/>
          <w:szCs w:val="24"/>
        </w:rPr>
        <w:t xml:space="preserve"> </w:t>
      </w:r>
      <w:r w:rsidR="001830ED" w:rsidRPr="001830ED">
        <w:rPr>
          <w:rFonts w:eastAsia="Times New Roman" w:cs="Times New Roman"/>
          <w:color w:val="000000"/>
          <w:szCs w:val="24"/>
        </w:rPr>
        <w:t>Ollerenshaw</w:t>
      </w:r>
      <w:r w:rsidR="001830ED">
        <w:rPr>
          <w:rFonts w:eastAsia="Times New Roman" w:cs="Times New Roman"/>
          <w:color w:val="000000"/>
          <w:szCs w:val="24"/>
        </w:rPr>
        <w:t xml:space="preserve"> </w:t>
      </w:r>
      <w:r w:rsidR="001830ED">
        <w:rPr>
          <w:rFonts w:eastAsia="Times New Roman" w:cs="Times New Roman"/>
          <w:color w:val="000000"/>
          <w:szCs w:val="24"/>
        </w:rPr>
        <w:lastRenderedPageBreak/>
        <w:t>has put it with understatement,</w:t>
      </w:r>
      <w:r w:rsidR="00092B69">
        <w:rPr>
          <w:rFonts w:eastAsia="Times New Roman" w:cs="Times New Roman"/>
          <w:color w:val="000000"/>
          <w:szCs w:val="24"/>
        </w:rPr>
        <w:t xml:space="preserve"> of</w:t>
      </w:r>
      <w:r w:rsidR="001830ED">
        <w:rPr>
          <w:rFonts w:eastAsia="Times New Roman" w:cs="Times New Roman"/>
          <w:color w:val="000000"/>
          <w:szCs w:val="24"/>
        </w:rPr>
        <w:t xml:space="preserve"> </w:t>
      </w:r>
      <w:r w:rsidR="00057A3F">
        <w:rPr>
          <w:rFonts w:eastAsia="Times New Roman" w:cs="Times New Roman"/>
          <w:color w:val="000000"/>
          <w:szCs w:val="24"/>
        </w:rPr>
        <w:t>“</w:t>
      </w:r>
      <w:r w:rsidR="001830ED" w:rsidRPr="001830ED">
        <w:rPr>
          <w:rFonts w:eastAsia="Times New Roman" w:cs="Times New Roman"/>
          <w:color w:val="000000"/>
          <w:szCs w:val="24"/>
        </w:rPr>
        <w:t>communicating effectively or consistently with council systems</w:t>
      </w:r>
      <w:r w:rsidR="00057A3F">
        <w:rPr>
          <w:rFonts w:eastAsia="Times New Roman" w:cs="Times New Roman"/>
          <w:color w:val="000000"/>
          <w:szCs w:val="24"/>
        </w:rPr>
        <w:t>”</w:t>
      </w:r>
      <w:r w:rsidR="001830ED">
        <w:rPr>
          <w:rFonts w:eastAsia="Times New Roman" w:cs="Times New Roman"/>
          <w:color w:val="000000"/>
          <w:szCs w:val="24"/>
        </w:rPr>
        <w:t>.</w:t>
      </w:r>
      <w:r w:rsidR="00E8549C">
        <w:rPr>
          <w:rStyle w:val="FootnoteReference"/>
          <w:rFonts w:eastAsia="Times New Roman" w:cs="Times New Roman"/>
          <w:color w:val="000000"/>
          <w:szCs w:val="24"/>
        </w:rPr>
        <w:footnoteReference w:id="15"/>
      </w:r>
      <w:r w:rsidR="009D7E39">
        <w:rPr>
          <w:rFonts w:eastAsia="Times New Roman" w:cs="Times New Roman"/>
          <w:color w:val="000000"/>
          <w:szCs w:val="24"/>
        </w:rPr>
        <w:t xml:space="preserve"> </w:t>
      </w:r>
      <w:r w:rsidR="009602F0">
        <w:rPr>
          <w:rFonts w:eastAsia="Times New Roman" w:cs="Times New Roman"/>
          <w:color w:val="000000"/>
          <w:szCs w:val="24"/>
        </w:rPr>
        <w:t>If not considered carefully, l</w:t>
      </w:r>
      <w:r w:rsidR="009D7E39">
        <w:rPr>
          <w:rFonts w:eastAsia="Times New Roman" w:cs="Times New Roman"/>
          <w:color w:val="000000"/>
          <w:szCs w:val="24"/>
        </w:rPr>
        <w:t>ocally designed and administered means-tests therefore</w:t>
      </w:r>
      <w:r w:rsidR="009602F0">
        <w:rPr>
          <w:rFonts w:eastAsia="Times New Roman" w:cs="Times New Roman"/>
          <w:color w:val="000000"/>
          <w:szCs w:val="24"/>
        </w:rPr>
        <w:t xml:space="preserve"> have the potential to lead to arbitrary, inaccurate, or even discriminatory effects.</w:t>
      </w:r>
    </w:p>
    <w:p w14:paraId="366B530A" w14:textId="1FD4AEA2" w:rsidR="00A0285F" w:rsidRDefault="00D231C2" w:rsidP="006C0E5F">
      <w:pPr>
        <w:spacing w:line="276" w:lineRule="auto"/>
        <w:jc w:val="both"/>
        <w:rPr>
          <w:rFonts w:asciiTheme="majorBidi" w:hAnsiTheme="majorBidi" w:cstheme="majorBidi"/>
          <w:szCs w:val="24"/>
        </w:rPr>
      </w:pPr>
      <w:r>
        <w:rPr>
          <w:rFonts w:eastAsia="Times New Roman" w:cs="Times New Roman"/>
          <w:color w:val="000000"/>
          <w:szCs w:val="24"/>
        </w:rPr>
        <w:t xml:space="preserve">In </w:t>
      </w:r>
      <w:r>
        <w:rPr>
          <w:rFonts w:eastAsia="Times New Roman" w:cs="Times New Roman"/>
          <w:i/>
          <w:iCs/>
          <w:color w:val="000000"/>
          <w:szCs w:val="24"/>
        </w:rPr>
        <w:t>Trafford</w:t>
      </w:r>
      <w:r>
        <w:rPr>
          <w:rFonts w:eastAsia="Times New Roman" w:cs="Times New Roman"/>
          <w:color w:val="000000"/>
          <w:szCs w:val="24"/>
        </w:rPr>
        <w:t xml:space="preserve">, the key </w:t>
      </w:r>
      <w:r w:rsidR="00612180">
        <w:rPr>
          <w:rFonts w:eastAsia="Times New Roman" w:cs="Times New Roman"/>
          <w:color w:val="000000"/>
          <w:szCs w:val="24"/>
        </w:rPr>
        <w:t xml:space="preserve">concern lay with </w:t>
      </w:r>
      <w:r w:rsidR="00A26918">
        <w:rPr>
          <w:rFonts w:eastAsia="Times New Roman" w:cs="Times New Roman"/>
          <w:color w:val="000000"/>
          <w:szCs w:val="24"/>
        </w:rPr>
        <w:t>the double-counting of income.</w:t>
      </w:r>
      <w:r w:rsidR="00A52C45">
        <w:rPr>
          <w:rFonts w:eastAsia="Times New Roman" w:cs="Times New Roman"/>
          <w:color w:val="000000"/>
          <w:szCs w:val="24"/>
        </w:rPr>
        <w:t xml:space="preserve"> </w:t>
      </w:r>
      <w:r w:rsidR="00801AD1">
        <w:rPr>
          <w:rFonts w:eastAsia="Times New Roman" w:cs="Times New Roman"/>
          <w:color w:val="000000"/>
          <w:szCs w:val="24"/>
        </w:rPr>
        <w:t xml:space="preserve">In common with </w:t>
      </w:r>
      <w:r w:rsidR="008D485D">
        <w:rPr>
          <w:rFonts w:eastAsia="Times New Roman" w:cs="Times New Roman"/>
          <w:color w:val="000000"/>
          <w:szCs w:val="24"/>
        </w:rPr>
        <w:t xml:space="preserve">around 40% of </w:t>
      </w:r>
      <w:r w:rsidR="00801AD1">
        <w:rPr>
          <w:rFonts w:eastAsia="Times New Roman" w:cs="Times New Roman"/>
          <w:color w:val="000000"/>
          <w:szCs w:val="24"/>
        </w:rPr>
        <w:t xml:space="preserve">authorities in the country, Trafford Metropolitan Council operates a banded scheme for council tax support: </w:t>
      </w:r>
      <w:r w:rsidR="008D485D">
        <w:rPr>
          <w:rFonts w:eastAsia="Times New Roman" w:cs="Times New Roman"/>
          <w:color w:val="000000"/>
          <w:szCs w:val="24"/>
        </w:rPr>
        <w:t>residents are placed in an income band to determine the level of support they receive, rather than operating a tapered approach.</w:t>
      </w:r>
      <w:r w:rsidR="00CE0CBF">
        <w:rPr>
          <w:rStyle w:val="FootnoteReference"/>
          <w:rFonts w:eastAsia="Times New Roman" w:cs="Times New Roman"/>
          <w:color w:val="000000"/>
          <w:szCs w:val="24"/>
        </w:rPr>
        <w:footnoteReference w:id="16"/>
      </w:r>
      <w:r w:rsidR="00CE0CBF">
        <w:rPr>
          <w:rFonts w:eastAsia="Times New Roman" w:cs="Times New Roman"/>
          <w:color w:val="000000"/>
          <w:szCs w:val="24"/>
        </w:rPr>
        <w:t xml:space="preserve"> This has the benefit of reducing administrative costs, mak</w:t>
      </w:r>
      <w:r w:rsidR="003915B7">
        <w:rPr>
          <w:rFonts w:eastAsia="Times New Roman" w:cs="Times New Roman"/>
          <w:color w:val="000000"/>
          <w:szCs w:val="24"/>
        </w:rPr>
        <w:t>ing</w:t>
      </w:r>
      <w:r w:rsidR="00CE0CBF">
        <w:rPr>
          <w:rFonts w:eastAsia="Times New Roman" w:cs="Times New Roman"/>
          <w:color w:val="000000"/>
          <w:szCs w:val="24"/>
        </w:rPr>
        <w:t xml:space="preserve"> it easier for people to understand how much support they will get, and manag</w:t>
      </w:r>
      <w:r w:rsidR="003915B7">
        <w:rPr>
          <w:rFonts w:eastAsia="Times New Roman" w:cs="Times New Roman"/>
          <w:color w:val="000000"/>
          <w:szCs w:val="24"/>
        </w:rPr>
        <w:t>ing</w:t>
      </w:r>
      <w:r w:rsidR="00CE0CBF">
        <w:rPr>
          <w:rFonts w:eastAsia="Times New Roman" w:cs="Times New Roman"/>
          <w:color w:val="000000"/>
          <w:szCs w:val="24"/>
        </w:rPr>
        <w:t xml:space="preserve"> the fluctuations in support that can come from income volatility.</w:t>
      </w:r>
      <w:r w:rsidR="00184C64">
        <w:rPr>
          <w:rStyle w:val="FootnoteReference"/>
          <w:rFonts w:eastAsia="Times New Roman" w:cs="Times New Roman"/>
          <w:color w:val="000000"/>
          <w:szCs w:val="24"/>
        </w:rPr>
        <w:footnoteReference w:id="17"/>
      </w:r>
      <w:r w:rsidR="004643B7">
        <w:rPr>
          <w:rFonts w:eastAsia="Times New Roman" w:cs="Times New Roman"/>
          <w:color w:val="000000"/>
          <w:szCs w:val="24"/>
        </w:rPr>
        <w:t xml:space="preserve"> The scheme works by means-testing a claimant’s income, with a corresponding </w:t>
      </w:r>
      <w:r w:rsidR="004643B7" w:rsidRPr="005C0C5C">
        <w:rPr>
          <w:rFonts w:asciiTheme="majorBidi" w:hAnsiTheme="majorBidi" w:cstheme="majorBidi"/>
          <w:szCs w:val="24"/>
        </w:rPr>
        <w:t xml:space="preserve">reduction in </w:t>
      </w:r>
      <w:r w:rsidR="00DB6F66">
        <w:rPr>
          <w:rFonts w:asciiTheme="majorBidi" w:hAnsiTheme="majorBidi" w:cstheme="majorBidi"/>
          <w:szCs w:val="24"/>
        </w:rPr>
        <w:t>c</w:t>
      </w:r>
      <w:r w:rsidR="004643B7" w:rsidRPr="005C0C5C">
        <w:rPr>
          <w:rFonts w:asciiTheme="majorBidi" w:hAnsiTheme="majorBidi" w:cstheme="majorBidi"/>
          <w:szCs w:val="24"/>
        </w:rPr>
        <w:t xml:space="preserve">ouncil </w:t>
      </w:r>
      <w:r w:rsidR="00DB6F66">
        <w:rPr>
          <w:rFonts w:asciiTheme="majorBidi" w:hAnsiTheme="majorBidi" w:cstheme="majorBidi"/>
          <w:szCs w:val="24"/>
        </w:rPr>
        <w:t>t</w:t>
      </w:r>
      <w:r w:rsidR="004643B7" w:rsidRPr="005C0C5C">
        <w:rPr>
          <w:rFonts w:asciiTheme="majorBidi" w:hAnsiTheme="majorBidi" w:cstheme="majorBidi"/>
          <w:szCs w:val="24"/>
        </w:rPr>
        <w:t>ax of 100%, 75%, 50%, 25% or 0% depending on which income band their household falls into</w:t>
      </w:r>
      <w:r w:rsidR="004643B7">
        <w:rPr>
          <w:rFonts w:asciiTheme="majorBidi" w:hAnsiTheme="majorBidi" w:cstheme="majorBidi"/>
          <w:szCs w:val="24"/>
        </w:rPr>
        <w:t>.</w:t>
      </w:r>
      <w:r w:rsidR="00BB0FB8">
        <w:rPr>
          <w:rStyle w:val="FootnoteReference"/>
          <w:rFonts w:asciiTheme="majorBidi" w:hAnsiTheme="majorBidi" w:cstheme="majorBidi"/>
          <w:szCs w:val="24"/>
        </w:rPr>
        <w:footnoteReference w:id="18"/>
      </w:r>
    </w:p>
    <w:p w14:paraId="334A34FE" w14:textId="26802BD7" w:rsidR="008E363F" w:rsidRDefault="00EA470F" w:rsidP="006C0E5F">
      <w:pPr>
        <w:spacing w:line="276" w:lineRule="auto"/>
        <w:jc w:val="both"/>
        <w:rPr>
          <w:rFonts w:asciiTheme="majorBidi" w:hAnsiTheme="majorBidi" w:cstheme="majorBidi"/>
          <w:szCs w:val="24"/>
        </w:rPr>
      </w:pPr>
      <w:r>
        <w:rPr>
          <w:rFonts w:asciiTheme="majorBidi" w:hAnsiTheme="majorBidi" w:cstheme="majorBidi"/>
          <w:szCs w:val="24"/>
        </w:rPr>
        <w:t>The</w:t>
      </w:r>
      <w:r w:rsidR="008E363F">
        <w:rPr>
          <w:rFonts w:asciiTheme="majorBidi" w:hAnsiTheme="majorBidi" w:cstheme="majorBidi"/>
          <w:szCs w:val="24"/>
        </w:rPr>
        <w:t xml:space="preserve"> calculation of income </w:t>
      </w:r>
      <w:r>
        <w:rPr>
          <w:rFonts w:asciiTheme="majorBidi" w:hAnsiTheme="majorBidi" w:cstheme="majorBidi"/>
          <w:szCs w:val="24"/>
        </w:rPr>
        <w:t xml:space="preserve">is </w:t>
      </w:r>
      <w:r w:rsidR="00D13444">
        <w:rPr>
          <w:rFonts w:asciiTheme="majorBidi" w:hAnsiTheme="majorBidi" w:cstheme="majorBidi"/>
          <w:szCs w:val="24"/>
        </w:rPr>
        <w:t>where</w:t>
      </w:r>
      <w:r w:rsidR="008E363F">
        <w:rPr>
          <w:rFonts w:asciiTheme="majorBidi" w:hAnsiTheme="majorBidi" w:cstheme="majorBidi"/>
          <w:szCs w:val="24"/>
        </w:rPr>
        <w:t xml:space="preserve"> the problem </w:t>
      </w:r>
      <w:r w:rsidR="00065250">
        <w:rPr>
          <w:rFonts w:asciiTheme="majorBidi" w:hAnsiTheme="majorBidi" w:cstheme="majorBidi"/>
          <w:szCs w:val="24"/>
        </w:rPr>
        <w:t>lies</w:t>
      </w:r>
      <w:r w:rsidR="00675B6F">
        <w:rPr>
          <w:rFonts w:asciiTheme="majorBidi" w:hAnsiTheme="majorBidi" w:cstheme="majorBidi"/>
          <w:szCs w:val="24"/>
        </w:rPr>
        <w:t xml:space="preserve"> in this case</w:t>
      </w:r>
      <w:r w:rsidR="00065250">
        <w:rPr>
          <w:rFonts w:asciiTheme="majorBidi" w:hAnsiTheme="majorBidi" w:cstheme="majorBidi"/>
          <w:szCs w:val="24"/>
        </w:rPr>
        <w:t>.</w:t>
      </w:r>
      <w:r w:rsidR="00847C09">
        <w:rPr>
          <w:rFonts w:asciiTheme="majorBidi" w:hAnsiTheme="majorBidi" w:cstheme="majorBidi"/>
          <w:szCs w:val="24"/>
        </w:rPr>
        <w:t xml:space="preserve"> Residents with an income low enough to </w:t>
      </w:r>
      <w:r>
        <w:rPr>
          <w:rFonts w:asciiTheme="majorBidi" w:hAnsiTheme="majorBidi" w:cstheme="majorBidi"/>
          <w:szCs w:val="24"/>
        </w:rPr>
        <w:t>receive support under Trafford’s scheme</w:t>
      </w:r>
      <w:r w:rsidR="00847C09">
        <w:rPr>
          <w:rFonts w:asciiTheme="majorBidi" w:hAnsiTheme="majorBidi" w:cstheme="majorBidi"/>
          <w:szCs w:val="24"/>
        </w:rPr>
        <w:t xml:space="preserve"> are </w:t>
      </w:r>
      <w:r>
        <w:rPr>
          <w:rFonts w:asciiTheme="majorBidi" w:hAnsiTheme="majorBidi" w:cstheme="majorBidi"/>
          <w:szCs w:val="24"/>
        </w:rPr>
        <w:t>almost certain to be</w:t>
      </w:r>
      <w:r w:rsidR="00847C09">
        <w:rPr>
          <w:rFonts w:asciiTheme="majorBidi" w:hAnsiTheme="majorBidi" w:cstheme="majorBidi"/>
          <w:szCs w:val="24"/>
        </w:rPr>
        <w:t xml:space="preserve"> in receipt of benefits </w:t>
      </w:r>
      <w:r w:rsidR="00555D05">
        <w:rPr>
          <w:rFonts w:asciiTheme="majorBidi" w:hAnsiTheme="majorBidi" w:cstheme="majorBidi"/>
          <w:szCs w:val="24"/>
        </w:rPr>
        <w:t>(f</w:t>
      </w:r>
      <w:r w:rsidR="00847C09">
        <w:rPr>
          <w:rFonts w:asciiTheme="majorBidi" w:hAnsiTheme="majorBidi" w:cstheme="majorBidi"/>
          <w:szCs w:val="24"/>
        </w:rPr>
        <w:t>or most, the UK’s flagship working age benefit, Universal Credit</w:t>
      </w:r>
      <w:r w:rsidR="00555D05">
        <w:rPr>
          <w:rFonts w:asciiTheme="majorBidi" w:hAnsiTheme="majorBidi" w:cstheme="majorBidi"/>
          <w:szCs w:val="24"/>
        </w:rPr>
        <w:t>)</w:t>
      </w:r>
      <w:r w:rsidR="00847C09">
        <w:rPr>
          <w:rFonts w:asciiTheme="majorBidi" w:hAnsiTheme="majorBidi" w:cstheme="majorBidi"/>
          <w:szCs w:val="24"/>
        </w:rPr>
        <w:t>. This is all counted as income under the scheme</w:t>
      </w:r>
      <w:r w:rsidR="00D13444">
        <w:rPr>
          <w:rFonts w:asciiTheme="majorBidi" w:hAnsiTheme="majorBidi" w:cstheme="majorBidi"/>
          <w:szCs w:val="24"/>
        </w:rPr>
        <w:t>’s means-test</w:t>
      </w:r>
      <w:r w:rsidR="00847C09">
        <w:rPr>
          <w:rFonts w:asciiTheme="majorBidi" w:hAnsiTheme="majorBidi" w:cstheme="majorBidi"/>
          <w:szCs w:val="24"/>
        </w:rPr>
        <w:t>.</w:t>
      </w:r>
      <w:r w:rsidR="00BF499D">
        <w:rPr>
          <w:rFonts w:asciiTheme="majorBidi" w:hAnsiTheme="majorBidi" w:cstheme="majorBidi"/>
          <w:szCs w:val="24"/>
        </w:rPr>
        <w:t xml:space="preserve"> Health-related benefits – such as the health element of Universal Credit – are not counted, as they are intended to cover the costs associated with </w:t>
      </w:r>
      <w:r w:rsidR="00FA67E8">
        <w:rPr>
          <w:rFonts w:asciiTheme="majorBidi" w:hAnsiTheme="majorBidi" w:cstheme="majorBidi"/>
          <w:szCs w:val="24"/>
        </w:rPr>
        <w:t>a</w:t>
      </w:r>
      <w:r w:rsidR="00BF499D">
        <w:rPr>
          <w:rFonts w:asciiTheme="majorBidi" w:hAnsiTheme="majorBidi" w:cstheme="majorBidi"/>
          <w:szCs w:val="24"/>
        </w:rPr>
        <w:t xml:space="preserve"> health condition or disability.</w:t>
      </w:r>
      <w:r w:rsidR="00847C09">
        <w:rPr>
          <w:rFonts w:asciiTheme="majorBidi" w:hAnsiTheme="majorBidi" w:cstheme="majorBidi"/>
          <w:szCs w:val="24"/>
        </w:rPr>
        <w:t xml:space="preserve"> However, they may also be in receipt of other income alongside Universal Credit, either from elsewhere in the benefits system (such as Carers Allowance, as is the case for AU) or other non-earned income (such as a private occupational pension, as is the case for LL).</w:t>
      </w:r>
      <w:r w:rsidR="008351DD">
        <w:rPr>
          <w:rFonts w:asciiTheme="majorBidi" w:hAnsiTheme="majorBidi" w:cstheme="majorBidi"/>
          <w:szCs w:val="24"/>
        </w:rPr>
        <w:t xml:space="preserve"> </w:t>
      </w:r>
      <w:r w:rsidR="00D13444">
        <w:rPr>
          <w:rFonts w:asciiTheme="majorBidi" w:hAnsiTheme="majorBidi" w:cstheme="majorBidi"/>
          <w:szCs w:val="24"/>
        </w:rPr>
        <w:t xml:space="preserve">These payments are also treated as income as part of the means test. However, importantly, these payments also </w:t>
      </w:r>
      <w:r w:rsidR="00D13444">
        <w:rPr>
          <w:rFonts w:asciiTheme="majorBidi" w:hAnsiTheme="majorBidi" w:cstheme="majorBidi"/>
          <w:i/>
          <w:iCs/>
          <w:szCs w:val="24"/>
        </w:rPr>
        <w:t xml:space="preserve">reduce </w:t>
      </w:r>
      <w:r w:rsidR="00D13444">
        <w:rPr>
          <w:rFonts w:asciiTheme="majorBidi" w:hAnsiTheme="majorBidi" w:cstheme="majorBidi"/>
          <w:szCs w:val="24"/>
        </w:rPr>
        <w:t>Universal Credit eligibility – generally, pound for pound.</w:t>
      </w:r>
    </w:p>
    <w:p w14:paraId="08D3AF19" w14:textId="11213845" w:rsidR="00724428" w:rsidRDefault="00724428" w:rsidP="006C0E5F">
      <w:pPr>
        <w:spacing w:line="276" w:lineRule="auto"/>
        <w:jc w:val="both"/>
        <w:rPr>
          <w:rFonts w:asciiTheme="majorBidi" w:hAnsiTheme="majorBidi" w:cstheme="majorBidi"/>
          <w:szCs w:val="24"/>
        </w:rPr>
      </w:pPr>
      <w:r>
        <w:rPr>
          <w:rFonts w:asciiTheme="majorBidi" w:hAnsiTheme="majorBidi" w:cstheme="majorBidi"/>
          <w:szCs w:val="24"/>
        </w:rPr>
        <w:t>This leads claimants</w:t>
      </w:r>
      <w:r w:rsidR="00D33C30">
        <w:rPr>
          <w:rFonts w:asciiTheme="majorBidi" w:hAnsiTheme="majorBidi" w:cstheme="majorBidi"/>
          <w:szCs w:val="24"/>
        </w:rPr>
        <w:t xml:space="preserve"> with almost identical income and circumstances </w:t>
      </w:r>
      <w:r w:rsidR="00653A5B">
        <w:rPr>
          <w:rFonts w:asciiTheme="majorBidi" w:hAnsiTheme="majorBidi" w:cstheme="majorBidi"/>
          <w:szCs w:val="24"/>
        </w:rPr>
        <w:t>to receive</w:t>
      </w:r>
      <w:r w:rsidR="00D33C30">
        <w:rPr>
          <w:rFonts w:asciiTheme="majorBidi" w:hAnsiTheme="majorBidi" w:cstheme="majorBidi"/>
          <w:szCs w:val="24"/>
        </w:rPr>
        <w:t xml:space="preserve"> </w:t>
      </w:r>
      <w:r w:rsidR="00B84E6E">
        <w:rPr>
          <w:rFonts w:asciiTheme="majorBidi" w:hAnsiTheme="majorBidi" w:cstheme="majorBidi"/>
          <w:szCs w:val="24"/>
        </w:rPr>
        <w:t>completely different</w:t>
      </w:r>
      <w:r w:rsidR="00D33C30">
        <w:rPr>
          <w:rFonts w:asciiTheme="majorBidi" w:hAnsiTheme="majorBidi" w:cstheme="majorBidi"/>
          <w:szCs w:val="24"/>
        </w:rPr>
        <w:t xml:space="preserve"> treatment under </w:t>
      </w:r>
      <w:r w:rsidR="00570882">
        <w:rPr>
          <w:rFonts w:asciiTheme="majorBidi" w:hAnsiTheme="majorBidi" w:cstheme="majorBidi"/>
          <w:szCs w:val="24"/>
        </w:rPr>
        <w:t>Trafford’s</w:t>
      </w:r>
      <w:r w:rsidR="00D33C30">
        <w:rPr>
          <w:rFonts w:asciiTheme="majorBidi" w:hAnsiTheme="majorBidi" w:cstheme="majorBidi"/>
          <w:szCs w:val="24"/>
        </w:rPr>
        <w:t xml:space="preserve"> means-test</w:t>
      </w:r>
      <w:r>
        <w:rPr>
          <w:rFonts w:asciiTheme="majorBidi" w:hAnsiTheme="majorBidi" w:cstheme="majorBidi"/>
          <w:szCs w:val="24"/>
        </w:rPr>
        <w:t xml:space="preserve">. </w:t>
      </w:r>
      <w:r w:rsidR="004023F7">
        <w:rPr>
          <w:rFonts w:asciiTheme="majorBidi" w:hAnsiTheme="majorBidi" w:cstheme="majorBidi"/>
          <w:szCs w:val="24"/>
        </w:rPr>
        <w:t xml:space="preserve">To </w:t>
      </w:r>
      <w:r w:rsidR="00BC4DC7">
        <w:rPr>
          <w:rFonts w:asciiTheme="majorBidi" w:hAnsiTheme="majorBidi" w:cstheme="majorBidi"/>
          <w:szCs w:val="24"/>
        </w:rPr>
        <w:t>illustrate this issue</w:t>
      </w:r>
      <w:r w:rsidR="004023F7">
        <w:rPr>
          <w:rFonts w:asciiTheme="majorBidi" w:hAnsiTheme="majorBidi" w:cstheme="majorBidi"/>
          <w:szCs w:val="24"/>
        </w:rPr>
        <w:t>, Table One sets out two example claimants under Trafford’s scheme side by side</w:t>
      </w:r>
      <w:r w:rsidR="00CB3D32">
        <w:rPr>
          <w:rFonts w:asciiTheme="majorBidi" w:hAnsiTheme="majorBidi" w:cstheme="majorBidi"/>
          <w:szCs w:val="24"/>
        </w:rPr>
        <w:t xml:space="preserve"> </w:t>
      </w:r>
      <w:r w:rsidR="00B84E6E">
        <w:rPr>
          <w:rFonts w:asciiTheme="majorBidi" w:hAnsiTheme="majorBidi" w:cstheme="majorBidi"/>
          <w:szCs w:val="24"/>
        </w:rPr>
        <w:t>(c</w:t>
      </w:r>
      <w:r w:rsidR="00CB3D32">
        <w:rPr>
          <w:rFonts w:asciiTheme="majorBidi" w:hAnsiTheme="majorBidi" w:cstheme="majorBidi"/>
          <w:szCs w:val="24"/>
        </w:rPr>
        <w:t>laimant B has similar overall circumstances to LL in this case</w:t>
      </w:r>
      <w:r w:rsidR="00B84E6E">
        <w:rPr>
          <w:rFonts w:asciiTheme="majorBidi" w:hAnsiTheme="majorBidi" w:cstheme="majorBidi"/>
          <w:szCs w:val="24"/>
        </w:rPr>
        <w:t>)</w:t>
      </w:r>
      <w:r w:rsidR="00CB3D32">
        <w:rPr>
          <w:rFonts w:asciiTheme="majorBidi" w:hAnsiTheme="majorBidi" w:cstheme="majorBidi"/>
          <w:szCs w:val="24"/>
        </w:rPr>
        <w:t>.</w:t>
      </w:r>
      <w:r w:rsidR="00830B17">
        <w:rPr>
          <w:rStyle w:val="FootnoteReference"/>
          <w:rFonts w:asciiTheme="majorBidi" w:hAnsiTheme="majorBidi" w:cstheme="majorBidi"/>
          <w:szCs w:val="24"/>
        </w:rPr>
        <w:footnoteReference w:id="19"/>
      </w:r>
      <w:r w:rsidR="002E2423">
        <w:rPr>
          <w:rFonts w:asciiTheme="majorBidi" w:hAnsiTheme="majorBidi" w:cstheme="majorBidi"/>
          <w:szCs w:val="24"/>
        </w:rPr>
        <w:t xml:space="preserve"> Here, both claimants have exactly the same weekly income of £190.02 per week, but due to </w:t>
      </w:r>
      <w:r w:rsidR="00B84E6E">
        <w:rPr>
          <w:rFonts w:asciiTheme="majorBidi" w:hAnsiTheme="majorBidi" w:cstheme="majorBidi"/>
          <w:szCs w:val="24"/>
        </w:rPr>
        <w:t>c</w:t>
      </w:r>
      <w:r w:rsidR="002E2423">
        <w:rPr>
          <w:rFonts w:asciiTheme="majorBidi" w:hAnsiTheme="majorBidi" w:cstheme="majorBidi"/>
          <w:szCs w:val="24"/>
        </w:rPr>
        <w:t xml:space="preserve">laimant B’s </w:t>
      </w:r>
      <w:r w:rsidR="004E7AB1">
        <w:rPr>
          <w:rFonts w:asciiTheme="majorBidi" w:hAnsiTheme="majorBidi" w:cstheme="majorBidi"/>
          <w:szCs w:val="24"/>
        </w:rPr>
        <w:t>pension being deducted from their Universal Credit award, it is in effect double-counted</w:t>
      </w:r>
      <w:r w:rsidR="00FC14D7">
        <w:rPr>
          <w:rFonts w:asciiTheme="majorBidi" w:hAnsiTheme="majorBidi" w:cstheme="majorBidi"/>
          <w:szCs w:val="24"/>
        </w:rPr>
        <w:t xml:space="preserve"> under the means-test</w:t>
      </w:r>
      <w:r w:rsidR="004E7AB1">
        <w:rPr>
          <w:rFonts w:asciiTheme="majorBidi" w:hAnsiTheme="majorBidi" w:cstheme="majorBidi"/>
          <w:szCs w:val="24"/>
        </w:rPr>
        <w:t xml:space="preserve">. This </w:t>
      </w:r>
      <w:r w:rsidR="00FC14D7">
        <w:rPr>
          <w:rFonts w:asciiTheme="majorBidi" w:hAnsiTheme="majorBidi" w:cstheme="majorBidi"/>
          <w:szCs w:val="24"/>
        </w:rPr>
        <w:t xml:space="preserve">leads to </w:t>
      </w:r>
      <w:r w:rsidR="00B84E6E">
        <w:rPr>
          <w:rFonts w:asciiTheme="majorBidi" w:hAnsiTheme="majorBidi" w:cstheme="majorBidi"/>
          <w:szCs w:val="24"/>
        </w:rPr>
        <w:t>c</w:t>
      </w:r>
      <w:r w:rsidR="00FC14D7">
        <w:rPr>
          <w:rFonts w:asciiTheme="majorBidi" w:hAnsiTheme="majorBidi" w:cstheme="majorBidi"/>
          <w:szCs w:val="24"/>
        </w:rPr>
        <w:t xml:space="preserve">laimant A paying no </w:t>
      </w:r>
      <w:r w:rsidR="00DB6F66">
        <w:rPr>
          <w:rFonts w:asciiTheme="majorBidi" w:hAnsiTheme="majorBidi" w:cstheme="majorBidi"/>
          <w:szCs w:val="24"/>
        </w:rPr>
        <w:t>c</w:t>
      </w:r>
      <w:r w:rsidR="00FC14D7">
        <w:rPr>
          <w:rFonts w:asciiTheme="majorBidi" w:hAnsiTheme="majorBidi" w:cstheme="majorBidi"/>
          <w:szCs w:val="24"/>
        </w:rPr>
        <w:t xml:space="preserve">ouncil </w:t>
      </w:r>
      <w:r w:rsidR="00DB6F66">
        <w:rPr>
          <w:rFonts w:asciiTheme="majorBidi" w:hAnsiTheme="majorBidi" w:cstheme="majorBidi"/>
          <w:szCs w:val="24"/>
        </w:rPr>
        <w:t>t</w:t>
      </w:r>
      <w:r w:rsidR="00FC14D7">
        <w:rPr>
          <w:rFonts w:asciiTheme="majorBidi" w:hAnsiTheme="majorBidi" w:cstheme="majorBidi"/>
          <w:szCs w:val="24"/>
        </w:rPr>
        <w:t>ax</w:t>
      </w:r>
      <w:r w:rsidR="004E7AB1">
        <w:rPr>
          <w:rFonts w:asciiTheme="majorBidi" w:hAnsiTheme="majorBidi" w:cstheme="majorBidi"/>
          <w:szCs w:val="24"/>
        </w:rPr>
        <w:t xml:space="preserve"> under the scheme, and </w:t>
      </w:r>
      <w:r w:rsidR="00B84E6E">
        <w:rPr>
          <w:rFonts w:asciiTheme="majorBidi" w:hAnsiTheme="majorBidi" w:cstheme="majorBidi"/>
          <w:szCs w:val="24"/>
        </w:rPr>
        <w:t>c</w:t>
      </w:r>
      <w:r w:rsidR="00FC14D7">
        <w:rPr>
          <w:rFonts w:asciiTheme="majorBidi" w:hAnsiTheme="majorBidi" w:cstheme="majorBidi"/>
          <w:szCs w:val="24"/>
        </w:rPr>
        <w:t>laimant B payi</w:t>
      </w:r>
      <w:r w:rsidR="005D32C6">
        <w:rPr>
          <w:rFonts w:asciiTheme="majorBidi" w:hAnsiTheme="majorBidi" w:cstheme="majorBidi"/>
          <w:szCs w:val="24"/>
        </w:rPr>
        <w:t>ng a full bill.</w:t>
      </w:r>
    </w:p>
    <w:p w14:paraId="29007307" w14:textId="11499EA0" w:rsidR="00144B66" w:rsidRDefault="00144B66" w:rsidP="006C0E5F">
      <w:pPr>
        <w:spacing w:line="276" w:lineRule="auto"/>
        <w:rPr>
          <w:rFonts w:asciiTheme="majorBidi" w:hAnsiTheme="majorBidi" w:cstheme="majorBidi"/>
          <w:szCs w:val="24"/>
        </w:rPr>
      </w:pPr>
      <w:r>
        <w:rPr>
          <w:rFonts w:asciiTheme="majorBidi" w:hAnsiTheme="majorBidi" w:cstheme="majorBidi"/>
          <w:szCs w:val="24"/>
        </w:rPr>
        <w:br w:type="page"/>
      </w:r>
    </w:p>
    <w:p w14:paraId="505713C0" w14:textId="44D4D5F4" w:rsidR="00144B66" w:rsidRPr="00144B66" w:rsidRDefault="00144B66" w:rsidP="006C0E5F">
      <w:pPr>
        <w:spacing w:line="276" w:lineRule="auto"/>
        <w:jc w:val="both"/>
        <w:rPr>
          <w:rFonts w:asciiTheme="majorBidi" w:hAnsiTheme="majorBidi" w:cstheme="majorBidi"/>
          <w:szCs w:val="24"/>
        </w:rPr>
      </w:pPr>
      <w:r>
        <w:rPr>
          <w:rFonts w:asciiTheme="majorBidi" w:hAnsiTheme="majorBidi" w:cstheme="majorBidi"/>
          <w:b/>
          <w:bCs/>
          <w:szCs w:val="24"/>
        </w:rPr>
        <w:lastRenderedPageBreak/>
        <w:t xml:space="preserve">Table One: </w:t>
      </w:r>
      <w:r>
        <w:rPr>
          <w:rFonts w:asciiTheme="majorBidi" w:hAnsiTheme="majorBidi" w:cstheme="majorBidi"/>
          <w:szCs w:val="24"/>
        </w:rPr>
        <w:t>Comparison of two hypothetical claimants under Trafford Metropolitan Council’s CTRS scheme.</w:t>
      </w:r>
    </w:p>
    <w:tbl>
      <w:tblPr>
        <w:tblStyle w:val="TableGrid"/>
        <w:tblW w:w="0" w:type="auto"/>
        <w:tblLook w:val="04A0" w:firstRow="1" w:lastRow="0" w:firstColumn="1" w:lastColumn="0" w:noHBand="0" w:noVBand="1"/>
      </w:tblPr>
      <w:tblGrid>
        <w:gridCol w:w="3005"/>
        <w:gridCol w:w="3005"/>
        <w:gridCol w:w="3006"/>
      </w:tblGrid>
      <w:tr w:rsidR="004F0FF6" w14:paraId="1D23694F" w14:textId="77777777" w:rsidTr="002E7813">
        <w:tc>
          <w:tcPr>
            <w:tcW w:w="3005" w:type="dxa"/>
            <w:shd w:val="clear" w:color="auto" w:fill="D9D9D9" w:themeFill="background1" w:themeFillShade="D9"/>
          </w:tcPr>
          <w:p w14:paraId="7A06BD4C" w14:textId="1A012E7D" w:rsidR="004F0FF6" w:rsidRPr="002E7813" w:rsidRDefault="007F73CE" w:rsidP="006C0E5F">
            <w:pPr>
              <w:spacing w:line="276" w:lineRule="auto"/>
              <w:jc w:val="center"/>
              <w:rPr>
                <w:rFonts w:asciiTheme="majorBidi" w:hAnsiTheme="majorBidi" w:cstheme="majorBidi"/>
                <w:b/>
                <w:bCs/>
                <w:szCs w:val="24"/>
              </w:rPr>
            </w:pPr>
            <w:r>
              <w:rPr>
                <w:rFonts w:asciiTheme="majorBidi" w:hAnsiTheme="majorBidi" w:cstheme="majorBidi"/>
                <w:b/>
                <w:bCs/>
                <w:szCs w:val="24"/>
              </w:rPr>
              <w:t>Component</w:t>
            </w:r>
          </w:p>
        </w:tc>
        <w:tc>
          <w:tcPr>
            <w:tcW w:w="3005" w:type="dxa"/>
            <w:shd w:val="clear" w:color="auto" w:fill="D9D9D9" w:themeFill="background1" w:themeFillShade="D9"/>
          </w:tcPr>
          <w:p w14:paraId="6F98F355" w14:textId="0B1C5461" w:rsidR="004F0FF6" w:rsidRPr="002E7813" w:rsidRDefault="004F0FF6"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Claimant A</w:t>
            </w:r>
          </w:p>
        </w:tc>
        <w:tc>
          <w:tcPr>
            <w:tcW w:w="3006" w:type="dxa"/>
            <w:shd w:val="clear" w:color="auto" w:fill="D9D9D9" w:themeFill="background1" w:themeFillShade="D9"/>
          </w:tcPr>
          <w:p w14:paraId="59BC0547" w14:textId="7FFC6D02" w:rsidR="004F0FF6" w:rsidRPr="002E7813" w:rsidRDefault="004F0FF6"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Claimant B</w:t>
            </w:r>
          </w:p>
        </w:tc>
      </w:tr>
      <w:tr w:rsidR="004F0FF6" w14:paraId="3F392B57" w14:textId="77777777" w:rsidTr="002E7813">
        <w:tc>
          <w:tcPr>
            <w:tcW w:w="9016" w:type="dxa"/>
            <w:gridSpan w:val="3"/>
            <w:shd w:val="clear" w:color="auto" w:fill="F2F2F2" w:themeFill="background1" w:themeFillShade="F2"/>
          </w:tcPr>
          <w:p w14:paraId="5AC47E96" w14:textId="736D2D9D" w:rsidR="004F0FF6" w:rsidRPr="002E7813" w:rsidRDefault="004F0FF6"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Income breakdown</w:t>
            </w:r>
          </w:p>
        </w:tc>
      </w:tr>
      <w:tr w:rsidR="004F0FF6" w14:paraId="0549F9DC" w14:textId="77777777" w:rsidTr="002E7813">
        <w:tc>
          <w:tcPr>
            <w:tcW w:w="3005" w:type="dxa"/>
            <w:vAlign w:val="center"/>
          </w:tcPr>
          <w:p w14:paraId="0F408332" w14:textId="4E9784FD" w:rsidR="004F0FF6" w:rsidRDefault="004F0FF6" w:rsidP="006C0E5F">
            <w:pPr>
              <w:spacing w:line="276" w:lineRule="auto"/>
              <w:jc w:val="center"/>
              <w:rPr>
                <w:rFonts w:asciiTheme="majorBidi" w:hAnsiTheme="majorBidi" w:cstheme="majorBidi"/>
                <w:szCs w:val="24"/>
              </w:rPr>
            </w:pPr>
            <w:r>
              <w:rPr>
                <w:rFonts w:asciiTheme="majorBidi" w:hAnsiTheme="majorBidi" w:cstheme="majorBidi"/>
                <w:szCs w:val="24"/>
              </w:rPr>
              <w:t>Universal Credit Standard Allowance</w:t>
            </w:r>
          </w:p>
        </w:tc>
        <w:tc>
          <w:tcPr>
            <w:tcW w:w="3005" w:type="dxa"/>
            <w:vAlign w:val="center"/>
          </w:tcPr>
          <w:p w14:paraId="38F5DFCB" w14:textId="66011E13" w:rsidR="004F0FF6" w:rsidRDefault="004F0FF6" w:rsidP="006C0E5F">
            <w:pPr>
              <w:spacing w:line="276" w:lineRule="auto"/>
              <w:jc w:val="center"/>
              <w:rPr>
                <w:rFonts w:asciiTheme="majorBidi" w:hAnsiTheme="majorBidi" w:cstheme="majorBidi"/>
                <w:szCs w:val="24"/>
              </w:rPr>
            </w:pPr>
            <w:r>
              <w:rPr>
                <w:rFonts w:asciiTheme="majorBidi" w:hAnsiTheme="majorBidi" w:cstheme="majorBidi"/>
                <w:szCs w:val="24"/>
              </w:rPr>
              <w:t>£92.34 per week</w:t>
            </w:r>
          </w:p>
        </w:tc>
        <w:tc>
          <w:tcPr>
            <w:tcW w:w="3006" w:type="dxa"/>
            <w:vAlign w:val="center"/>
          </w:tcPr>
          <w:p w14:paraId="4B97454A" w14:textId="499D2F55" w:rsidR="004F0FF6" w:rsidRDefault="004F0FF6" w:rsidP="006C0E5F">
            <w:pPr>
              <w:spacing w:line="276" w:lineRule="auto"/>
              <w:jc w:val="center"/>
              <w:rPr>
                <w:rFonts w:asciiTheme="majorBidi" w:hAnsiTheme="majorBidi" w:cstheme="majorBidi"/>
                <w:szCs w:val="24"/>
              </w:rPr>
            </w:pPr>
            <w:r>
              <w:rPr>
                <w:rFonts w:asciiTheme="majorBidi" w:hAnsiTheme="majorBidi" w:cstheme="majorBidi"/>
                <w:szCs w:val="24"/>
              </w:rPr>
              <w:t xml:space="preserve">Would be </w:t>
            </w:r>
            <w:r w:rsidRPr="004F0FF6">
              <w:rPr>
                <w:rFonts w:asciiTheme="majorBidi" w:hAnsiTheme="majorBidi" w:cstheme="majorBidi"/>
                <w:szCs w:val="24"/>
              </w:rPr>
              <w:t>£92.34</w:t>
            </w:r>
            <w:r>
              <w:rPr>
                <w:rFonts w:asciiTheme="majorBidi" w:hAnsiTheme="majorBidi" w:cstheme="majorBidi"/>
                <w:szCs w:val="24"/>
              </w:rPr>
              <w:t xml:space="preserve"> per week</w:t>
            </w:r>
            <w:r w:rsidRPr="004F0FF6">
              <w:rPr>
                <w:rFonts w:asciiTheme="majorBidi" w:hAnsiTheme="majorBidi" w:cstheme="majorBidi"/>
                <w:szCs w:val="24"/>
              </w:rPr>
              <w:t xml:space="preserve"> (see actual </w:t>
            </w:r>
            <w:r>
              <w:rPr>
                <w:rFonts w:asciiTheme="majorBidi" w:hAnsiTheme="majorBidi" w:cstheme="majorBidi"/>
                <w:szCs w:val="24"/>
              </w:rPr>
              <w:t>award</w:t>
            </w:r>
            <w:r w:rsidRPr="004F0FF6">
              <w:rPr>
                <w:rFonts w:asciiTheme="majorBidi" w:hAnsiTheme="majorBidi" w:cstheme="majorBidi"/>
                <w:szCs w:val="24"/>
              </w:rPr>
              <w:t xml:space="preserve"> below)</w:t>
            </w:r>
          </w:p>
        </w:tc>
      </w:tr>
      <w:tr w:rsidR="004F0FF6" w14:paraId="6C18E6FD" w14:textId="77777777" w:rsidTr="002E7813">
        <w:tc>
          <w:tcPr>
            <w:tcW w:w="3005" w:type="dxa"/>
            <w:vAlign w:val="center"/>
          </w:tcPr>
          <w:p w14:paraId="02031576" w14:textId="72E44FF6" w:rsidR="004F0FF6" w:rsidRDefault="004F0FF6" w:rsidP="006C0E5F">
            <w:pPr>
              <w:spacing w:line="276" w:lineRule="auto"/>
              <w:jc w:val="center"/>
              <w:rPr>
                <w:rFonts w:asciiTheme="majorBidi" w:hAnsiTheme="majorBidi" w:cstheme="majorBidi"/>
                <w:szCs w:val="24"/>
              </w:rPr>
            </w:pPr>
            <w:r>
              <w:rPr>
                <w:rFonts w:asciiTheme="majorBidi" w:hAnsiTheme="majorBidi" w:cstheme="majorBidi"/>
                <w:szCs w:val="24"/>
              </w:rPr>
              <w:t>Universal Credit Health Element</w:t>
            </w:r>
          </w:p>
        </w:tc>
        <w:tc>
          <w:tcPr>
            <w:tcW w:w="3005" w:type="dxa"/>
            <w:vAlign w:val="center"/>
          </w:tcPr>
          <w:p w14:paraId="4B5B0D9C" w14:textId="24EE6FE3" w:rsidR="004F0FF6" w:rsidRDefault="004F0FF6" w:rsidP="006C0E5F">
            <w:pPr>
              <w:spacing w:line="276" w:lineRule="auto"/>
              <w:jc w:val="center"/>
              <w:rPr>
                <w:rFonts w:asciiTheme="majorBidi" w:hAnsiTheme="majorBidi" w:cstheme="majorBidi"/>
                <w:szCs w:val="24"/>
              </w:rPr>
            </w:pPr>
            <w:r w:rsidRPr="004F0FF6">
              <w:rPr>
                <w:rFonts w:asciiTheme="majorBidi" w:hAnsiTheme="majorBidi" w:cstheme="majorBidi"/>
                <w:szCs w:val="24"/>
              </w:rPr>
              <w:t>£97.68 per week</w:t>
            </w:r>
          </w:p>
        </w:tc>
        <w:tc>
          <w:tcPr>
            <w:tcW w:w="3006" w:type="dxa"/>
            <w:vAlign w:val="center"/>
          </w:tcPr>
          <w:p w14:paraId="7F25E6EC" w14:textId="3299F3B7" w:rsidR="004F0FF6" w:rsidRDefault="004F0FF6" w:rsidP="006C0E5F">
            <w:pPr>
              <w:spacing w:line="276" w:lineRule="auto"/>
              <w:jc w:val="center"/>
              <w:rPr>
                <w:rFonts w:asciiTheme="majorBidi" w:hAnsiTheme="majorBidi" w:cstheme="majorBidi"/>
                <w:szCs w:val="24"/>
              </w:rPr>
            </w:pPr>
            <w:r w:rsidRPr="004F0FF6">
              <w:rPr>
                <w:rFonts w:asciiTheme="majorBidi" w:hAnsiTheme="majorBidi" w:cstheme="majorBidi"/>
                <w:szCs w:val="24"/>
              </w:rPr>
              <w:t xml:space="preserve">Would be £97.68 (see actual </w:t>
            </w:r>
            <w:r>
              <w:rPr>
                <w:rFonts w:asciiTheme="majorBidi" w:hAnsiTheme="majorBidi" w:cstheme="majorBidi"/>
                <w:szCs w:val="24"/>
              </w:rPr>
              <w:t>award</w:t>
            </w:r>
            <w:r w:rsidRPr="004F0FF6">
              <w:rPr>
                <w:rFonts w:asciiTheme="majorBidi" w:hAnsiTheme="majorBidi" w:cstheme="majorBidi"/>
                <w:szCs w:val="24"/>
              </w:rPr>
              <w:t xml:space="preserve"> below)</w:t>
            </w:r>
          </w:p>
        </w:tc>
      </w:tr>
      <w:tr w:rsidR="004F0FF6" w14:paraId="50F223DD" w14:textId="77777777" w:rsidTr="002E7813">
        <w:tc>
          <w:tcPr>
            <w:tcW w:w="3005" w:type="dxa"/>
            <w:vAlign w:val="center"/>
          </w:tcPr>
          <w:p w14:paraId="5015B21E" w14:textId="7EFFED56" w:rsidR="004F0FF6" w:rsidRDefault="00D24EBA" w:rsidP="006C0E5F">
            <w:pPr>
              <w:spacing w:line="276" w:lineRule="auto"/>
              <w:jc w:val="center"/>
              <w:rPr>
                <w:rFonts w:asciiTheme="majorBidi" w:hAnsiTheme="majorBidi" w:cstheme="majorBidi"/>
                <w:szCs w:val="24"/>
              </w:rPr>
            </w:pPr>
            <w:r w:rsidRPr="00D24EBA">
              <w:rPr>
                <w:rFonts w:asciiTheme="majorBidi" w:hAnsiTheme="majorBidi" w:cstheme="majorBidi"/>
                <w:szCs w:val="24"/>
              </w:rPr>
              <w:t>Occupational</w:t>
            </w:r>
            <w:r>
              <w:rPr>
                <w:rFonts w:asciiTheme="majorBidi" w:hAnsiTheme="majorBidi" w:cstheme="majorBidi"/>
                <w:szCs w:val="24"/>
              </w:rPr>
              <w:t xml:space="preserve"> </w:t>
            </w:r>
            <w:r w:rsidRPr="00D24EBA">
              <w:rPr>
                <w:rFonts w:asciiTheme="majorBidi" w:hAnsiTheme="majorBidi" w:cstheme="majorBidi"/>
                <w:szCs w:val="24"/>
              </w:rPr>
              <w:t>Disability Pension</w:t>
            </w:r>
          </w:p>
        </w:tc>
        <w:tc>
          <w:tcPr>
            <w:tcW w:w="3005" w:type="dxa"/>
            <w:vAlign w:val="center"/>
          </w:tcPr>
          <w:p w14:paraId="6B5F0F66" w14:textId="4C580F47" w:rsidR="004F0FF6" w:rsidRDefault="00D24EBA" w:rsidP="006C0E5F">
            <w:pPr>
              <w:spacing w:line="276" w:lineRule="auto"/>
              <w:jc w:val="center"/>
              <w:rPr>
                <w:rFonts w:asciiTheme="majorBidi" w:hAnsiTheme="majorBidi" w:cstheme="majorBidi"/>
                <w:szCs w:val="24"/>
              </w:rPr>
            </w:pPr>
            <w:r>
              <w:rPr>
                <w:rFonts w:asciiTheme="majorBidi" w:hAnsiTheme="majorBidi" w:cstheme="majorBidi"/>
                <w:szCs w:val="24"/>
              </w:rPr>
              <w:t>N/A</w:t>
            </w:r>
          </w:p>
        </w:tc>
        <w:tc>
          <w:tcPr>
            <w:tcW w:w="3006" w:type="dxa"/>
            <w:vAlign w:val="center"/>
          </w:tcPr>
          <w:p w14:paraId="38DEA87A" w14:textId="15AB547A" w:rsidR="004F0FF6" w:rsidRDefault="00D24EBA" w:rsidP="006C0E5F">
            <w:pPr>
              <w:spacing w:line="276" w:lineRule="auto"/>
              <w:jc w:val="center"/>
              <w:rPr>
                <w:rFonts w:asciiTheme="majorBidi" w:hAnsiTheme="majorBidi" w:cstheme="majorBidi"/>
                <w:szCs w:val="24"/>
              </w:rPr>
            </w:pPr>
            <w:r>
              <w:rPr>
                <w:rFonts w:asciiTheme="majorBidi" w:hAnsiTheme="majorBidi" w:cstheme="majorBidi"/>
                <w:szCs w:val="24"/>
              </w:rPr>
              <w:t>£100 per week</w:t>
            </w:r>
          </w:p>
        </w:tc>
      </w:tr>
      <w:tr w:rsidR="004F0FF6" w14:paraId="43CC6399" w14:textId="77777777" w:rsidTr="002E7813">
        <w:tc>
          <w:tcPr>
            <w:tcW w:w="3005" w:type="dxa"/>
            <w:tcBorders>
              <w:bottom w:val="single" w:sz="18" w:space="0" w:color="auto"/>
            </w:tcBorders>
            <w:vAlign w:val="center"/>
          </w:tcPr>
          <w:p w14:paraId="29DB6E0C" w14:textId="4746F385" w:rsidR="004F0FF6" w:rsidRDefault="00D24EBA" w:rsidP="006C0E5F">
            <w:pPr>
              <w:spacing w:line="276" w:lineRule="auto"/>
              <w:jc w:val="center"/>
              <w:rPr>
                <w:rFonts w:asciiTheme="majorBidi" w:hAnsiTheme="majorBidi" w:cstheme="majorBidi"/>
                <w:szCs w:val="24"/>
              </w:rPr>
            </w:pPr>
            <w:r>
              <w:rPr>
                <w:rFonts w:asciiTheme="majorBidi" w:hAnsiTheme="majorBidi" w:cstheme="majorBidi"/>
                <w:szCs w:val="24"/>
              </w:rPr>
              <w:t>Actual Universal Credit received</w:t>
            </w:r>
          </w:p>
        </w:tc>
        <w:tc>
          <w:tcPr>
            <w:tcW w:w="3005" w:type="dxa"/>
            <w:tcBorders>
              <w:bottom w:val="single" w:sz="18" w:space="0" w:color="auto"/>
            </w:tcBorders>
            <w:vAlign w:val="center"/>
          </w:tcPr>
          <w:p w14:paraId="62198EB6" w14:textId="4AB25F96" w:rsidR="004F0FF6" w:rsidRDefault="00D24EBA" w:rsidP="006C0E5F">
            <w:pPr>
              <w:spacing w:line="276" w:lineRule="auto"/>
              <w:jc w:val="center"/>
              <w:rPr>
                <w:rFonts w:asciiTheme="majorBidi" w:hAnsiTheme="majorBidi" w:cstheme="majorBidi"/>
                <w:szCs w:val="24"/>
              </w:rPr>
            </w:pPr>
            <w:r>
              <w:rPr>
                <w:rFonts w:asciiTheme="majorBidi" w:hAnsiTheme="majorBidi" w:cstheme="majorBidi"/>
                <w:szCs w:val="24"/>
              </w:rPr>
              <w:t>£190.02 per week</w:t>
            </w:r>
          </w:p>
        </w:tc>
        <w:tc>
          <w:tcPr>
            <w:tcW w:w="3006" w:type="dxa"/>
            <w:tcBorders>
              <w:bottom w:val="single" w:sz="18" w:space="0" w:color="auto"/>
            </w:tcBorders>
            <w:vAlign w:val="center"/>
          </w:tcPr>
          <w:p w14:paraId="0984B97B" w14:textId="482034AC" w:rsidR="004F0FF6" w:rsidRDefault="00D24EBA" w:rsidP="006C0E5F">
            <w:pPr>
              <w:spacing w:line="276" w:lineRule="auto"/>
              <w:jc w:val="center"/>
              <w:rPr>
                <w:rFonts w:asciiTheme="majorBidi" w:hAnsiTheme="majorBidi" w:cstheme="majorBidi"/>
                <w:szCs w:val="24"/>
              </w:rPr>
            </w:pPr>
            <w:r>
              <w:rPr>
                <w:rFonts w:asciiTheme="majorBidi" w:hAnsiTheme="majorBidi" w:cstheme="majorBidi"/>
                <w:szCs w:val="24"/>
              </w:rPr>
              <w:t>£90.02 per week</w:t>
            </w:r>
            <w:r w:rsidR="007C30FE">
              <w:rPr>
                <w:rFonts w:asciiTheme="majorBidi" w:hAnsiTheme="majorBidi" w:cstheme="majorBidi"/>
                <w:szCs w:val="24"/>
              </w:rPr>
              <w:t xml:space="preserve"> (given the pound-for-pound reduction of Universal Credit)</w:t>
            </w:r>
          </w:p>
        </w:tc>
      </w:tr>
      <w:tr w:rsidR="00B84E6E" w14:paraId="0B9F0682" w14:textId="77777777" w:rsidTr="004A3DBB">
        <w:tc>
          <w:tcPr>
            <w:tcW w:w="3005" w:type="dxa"/>
            <w:tcBorders>
              <w:top w:val="single" w:sz="18" w:space="0" w:color="auto"/>
            </w:tcBorders>
          </w:tcPr>
          <w:p w14:paraId="4D8D8239" w14:textId="73C38B90" w:rsidR="00B84E6E" w:rsidRPr="002E7813" w:rsidRDefault="00B84E6E"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Total weekly income</w:t>
            </w:r>
          </w:p>
        </w:tc>
        <w:tc>
          <w:tcPr>
            <w:tcW w:w="6011" w:type="dxa"/>
            <w:gridSpan w:val="2"/>
            <w:tcBorders>
              <w:top w:val="single" w:sz="18" w:space="0" w:color="auto"/>
            </w:tcBorders>
          </w:tcPr>
          <w:p w14:paraId="7B807F42" w14:textId="5245DC4B" w:rsidR="00B84E6E" w:rsidRPr="002E7813" w:rsidRDefault="00B84E6E"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£190.02</w:t>
            </w:r>
          </w:p>
        </w:tc>
      </w:tr>
      <w:tr w:rsidR="002E7813" w14:paraId="57B25EBB" w14:textId="77777777" w:rsidTr="002E7813">
        <w:tc>
          <w:tcPr>
            <w:tcW w:w="9016" w:type="dxa"/>
            <w:gridSpan w:val="3"/>
            <w:shd w:val="clear" w:color="auto" w:fill="F2F2F2" w:themeFill="background1" w:themeFillShade="F2"/>
          </w:tcPr>
          <w:p w14:paraId="66C96847" w14:textId="23E48657" w:rsidR="002E7813" w:rsidRPr="002E7813" w:rsidRDefault="002E7813"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Council Tax Support Calculation</w:t>
            </w:r>
          </w:p>
        </w:tc>
      </w:tr>
      <w:tr w:rsidR="002E7813" w14:paraId="0B902AF0" w14:textId="77777777" w:rsidTr="002E7813">
        <w:tc>
          <w:tcPr>
            <w:tcW w:w="3005" w:type="dxa"/>
            <w:vAlign w:val="center"/>
          </w:tcPr>
          <w:p w14:paraId="549D2A91" w14:textId="25616342" w:rsidR="002E7813" w:rsidRDefault="002E7813" w:rsidP="006C0E5F">
            <w:pPr>
              <w:spacing w:line="276" w:lineRule="auto"/>
              <w:jc w:val="center"/>
              <w:rPr>
                <w:rFonts w:asciiTheme="majorBidi" w:hAnsiTheme="majorBidi" w:cstheme="majorBidi"/>
                <w:szCs w:val="24"/>
              </w:rPr>
            </w:pPr>
            <w:r>
              <w:rPr>
                <w:rFonts w:asciiTheme="majorBidi" w:hAnsiTheme="majorBidi" w:cstheme="majorBidi"/>
                <w:szCs w:val="24"/>
              </w:rPr>
              <w:t>Deemed income for the scheme</w:t>
            </w:r>
          </w:p>
        </w:tc>
        <w:tc>
          <w:tcPr>
            <w:tcW w:w="3005" w:type="dxa"/>
            <w:vAlign w:val="center"/>
          </w:tcPr>
          <w:p w14:paraId="30E4F713" w14:textId="77777777" w:rsidR="002E7813" w:rsidRPr="002E7813" w:rsidRDefault="002E7813" w:rsidP="006C0E5F">
            <w:pPr>
              <w:spacing w:line="276" w:lineRule="auto"/>
              <w:jc w:val="center"/>
              <w:rPr>
                <w:rFonts w:asciiTheme="majorBidi" w:hAnsiTheme="majorBidi" w:cstheme="majorBidi"/>
                <w:szCs w:val="24"/>
              </w:rPr>
            </w:pPr>
            <w:r w:rsidRPr="002E7813">
              <w:rPr>
                <w:rFonts w:asciiTheme="majorBidi" w:hAnsiTheme="majorBidi" w:cstheme="majorBidi"/>
                <w:szCs w:val="24"/>
              </w:rPr>
              <w:t>£92.34</w:t>
            </w:r>
          </w:p>
          <w:p w14:paraId="2C76F1A4" w14:textId="3151354C" w:rsidR="002E7813" w:rsidRDefault="002E7813" w:rsidP="006C0E5F">
            <w:pPr>
              <w:spacing w:line="276" w:lineRule="auto"/>
              <w:jc w:val="center"/>
              <w:rPr>
                <w:rFonts w:asciiTheme="majorBidi" w:hAnsiTheme="majorBidi" w:cstheme="majorBidi"/>
                <w:szCs w:val="24"/>
              </w:rPr>
            </w:pPr>
            <w:r w:rsidRPr="002E7813">
              <w:rPr>
                <w:rFonts w:asciiTheme="majorBidi" w:hAnsiTheme="majorBidi" w:cstheme="majorBidi"/>
                <w:szCs w:val="24"/>
              </w:rPr>
              <w:t>(U</w:t>
            </w:r>
            <w:r>
              <w:rPr>
                <w:rFonts w:asciiTheme="majorBidi" w:hAnsiTheme="majorBidi" w:cstheme="majorBidi"/>
                <w:szCs w:val="24"/>
              </w:rPr>
              <w:t>niversal Credit</w:t>
            </w:r>
            <w:r w:rsidRPr="002E7813">
              <w:rPr>
                <w:rFonts w:asciiTheme="majorBidi" w:hAnsiTheme="majorBidi" w:cstheme="majorBidi"/>
                <w:szCs w:val="24"/>
              </w:rPr>
              <w:t xml:space="preserve"> standard allowance only)</w:t>
            </w:r>
          </w:p>
        </w:tc>
        <w:tc>
          <w:tcPr>
            <w:tcW w:w="3006" w:type="dxa"/>
            <w:vAlign w:val="center"/>
          </w:tcPr>
          <w:p w14:paraId="6EDBF15B" w14:textId="77777777" w:rsidR="002E7813" w:rsidRPr="002E7813" w:rsidRDefault="002E7813" w:rsidP="006C0E5F">
            <w:pPr>
              <w:spacing w:line="276" w:lineRule="auto"/>
              <w:jc w:val="center"/>
              <w:rPr>
                <w:rFonts w:asciiTheme="majorBidi" w:hAnsiTheme="majorBidi" w:cstheme="majorBidi"/>
                <w:szCs w:val="24"/>
              </w:rPr>
            </w:pPr>
            <w:r w:rsidRPr="002E7813">
              <w:rPr>
                <w:rFonts w:asciiTheme="majorBidi" w:hAnsiTheme="majorBidi" w:cstheme="majorBidi"/>
                <w:szCs w:val="24"/>
              </w:rPr>
              <w:t>£190.02</w:t>
            </w:r>
          </w:p>
          <w:p w14:paraId="6A20E8CF" w14:textId="03D48C7C" w:rsidR="002E7813" w:rsidRDefault="002E7813" w:rsidP="006C0E5F">
            <w:pPr>
              <w:spacing w:line="276" w:lineRule="auto"/>
              <w:jc w:val="center"/>
              <w:rPr>
                <w:rFonts w:asciiTheme="majorBidi" w:hAnsiTheme="majorBidi" w:cstheme="majorBidi"/>
                <w:szCs w:val="24"/>
              </w:rPr>
            </w:pPr>
            <w:r w:rsidRPr="002E7813">
              <w:rPr>
                <w:rFonts w:asciiTheme="majorBidi" w:hAnsiTheme="majorBidi" w:cstheme="majorBidi"/>
                <w:szCs w:val="24"/>
              </w:rPr>
              <w:t>(U</w:t>
            </w:r>
            <w:r>
              <w:rPr>
                <w:rFonts w:asciiTheme="majorBidi" w:hAnsiTheme="majorBidi" w:cstheme="majorBidi"/>
                <w:szCs w:val="24"/>
              </w:rPr>
              <w:t>niversal Credit</w:t>
            </w:r>
            <w:r w:rsidRPr="002E7813">
              <w:rPr>
                <w:rFonts w:asciiTheme="majorBidi" w:hAnsiTheme="majorBidi" w:cstheme="majorBidi"/>
                <w:szCs w:val="24"/>
              </w:rPr>
              <w:t xml:space="preserve"> £90.02 + Pension £100)</w:t>
            </w:r>
          </w:p>
        </w:tc>
      </w:tr>
      <w:tr w:rsidR="002E7813" w14:paraId="1545011F" w14:textId="77777777" w:rsidTr="002E7813">
        <w:tc>
          <w:tcPr>
            <w:tcW w:w="3005" w:type="dxa"/>
            <w:tcBorders>
              <w:bottom w:val="single" w:sz="18" w:space="0" w:color="auto"/>
            </w:tcBorders>
            <w:vAlign w:val="center"/>
          </w:tcPr>
          <w:p w14:paraId="3FA4F30D" w14:textId="79747018" w:rsidR="002E7813" w:rsidRDefault="002E7813" w:rsidP="006C0E5F">
            <w:pPr>
              <w:spacing w:line="276" w:lineRule="auto"/>
              <w:jc w:val="center"/>
              <w:rPr>
                <w:rFonts w:asciiTheme="majorBidi" w:hAnsiTheme="majorBidi" w:cstheme="majorBidi"/>
                <w:szCs w:val="24"/>
              </w:rPr>
            </w:pPr>
            <w:r>
              <w:rPr>
                <w:rFonts w:asciiTheme="majorBidi" w:hAnsiTheme="majorBidi" w:cstheme="majorBidi"/>
                <w:szCs w:val="24"/>
              </w:rPr>
              <w:t>Health element included?</w:t>
            </w:r>
          </w:p>
        </w:tc>
        <w:tc>
          <w:tcPr>
            <w:tcW w:w="3005" w:type="dxa"/>
            <w:tcBorders>
              <w:bottom w:val="single" w:sz="18" w:space="0" w:color="auto"/>
            </w:tcBorders>
            <w:vAlign w:val="center"/>
          </w:tcPr>
          <w:p w14:paraId="360D0879" w14:textId="33A168FB" w:rsidR="002E7813" w:rsidRDefault="002E7813" w:rsidP="006C0E5F">
            <w:pPr>
              <w:spacing w:line="276" w:lineRule="auto"/>
              <w:jc w:val="center"/>
              <w:rPr>
                <w:rFonts w:asciiTheme="majorBidi" w:hAnsiTheme="majorBidi" w:cstheme="majorBidi"/>
                <w:szCs w:val="24"/>
              </w:rPr>
            </w:pPr>
            <w:r w:rsidRPr="002E7813">
              <w:rPr>
                <w:rFonts w:asciiTheme="majorBidi" w:hAnsiTheme="majorBidi" w:cstheme="majorBidi"/>
                <w:szCs w:val="24"/>
              </w:rPr>
              <w:t>No - excluded from calculation</w:t>
            </w:r>
          </w:p>
        </w:tc>
        <w:tc>
          <w:tcPr>
            <w:tcW w:w="3006" w:type="dxa"/>
            <w:tcBorders>
              <w:bottom w:val="single" w:sz="18" w:space="0" w:color="auto"/>
            </w:tcBorders>
            <w:vAlign w:val="center"/>
          </w:tcPr>
          <w:p w14:paraId="2D0AE020" w14:textId="6D6ECD13" w:rsidR="002E7813" w:rsidRDefault="002E7813" w:rsidP="006C0E5F">
            <w:pPr>
              <w:spacing w:line="276" w:lineRule="auto"/>
              <w:jc w:val="center"/>
              <w:rPr>
                <w:rFonts w:asciiTheme="majorBidi" w:hAnsiTheme="majorBidi" w:cstheme="majorBidi"/>
                <w:szCs w:val="24"/>
              </w:rPr>
            </w:pPr>
            <w:r w:rsidRPr="002E7813">
              <w:rPr>
                <w:rFonts w:asciiTheme="majorBidi" w:hAnsiTheme="majorBidi" w:cstheme="majorBidi"/>
                <w:szCs w:val="24"/>
              </w:rPr>
              <w:t>No - but pension counted instead</w:t>
            </w:r>
          </w:p>
        </w:tc>
      </w:tr>
      <w:tr w:rsidR="002E7813" w14:paraId="31AEA3ED" w14:textId="77777777" w:rsidTr="002E7813">
        <w:tc>
          <w:tcPr>
            <w:tcW w:w="3005" w:type="dxa"/>
            <w:tcBorders>
              <w:top w:val="single" w:sz="18" w:space="0" w:color="auto"/>
            </w:tcBorders>
            <w:vAlign w:val="center"/>
          </w:tcPr>
          <w:p w14:paraId="54CFDA73" w14:textId="229285EB" w:rsidR="002E7813" w:rsidRPr="002E7813" w:rsidRDefault="002E7813"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 xml:space="preserve">Applicable </w:t>
            </w:r>
            <w:r w:rsidR="00C93A37">
              <w:rPr>
                <w:rFonts w:asciiTheme="majorBidi" w:hAnsiTheme="majorBidi" w:cstheme="majorBidi"/>
                <w:b/>
                <w:bCs/>
                <w:szCs w:val="24"/>
              </w:rPr>
              <w:t>CTRS</w:t>
            </w:r>
          </w:p>
        </w:tc>
        <w:tc>
          <w:tcPr>
            <w:tcW w:w="3005" w:type="dxa"/>
            <w:tcBorders>
              <w:top w:val="single" w:sz="18" w:space="0" w:color="auto"/>
            </w:tcBorders>
            <w:vAlign w:val="center"/>
          </w:tcPr>
          <w:p w14:paraId="44FC3F9A" w14:textId="51240501" w:rsidR="002E7813" w:rsidRPr="002E7813" w:rsidRDefault="002E7813"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100% Reduction</w:t>
            </w:r>
          </w:p>
        </w:tc>
        <w:tc>
          <w:tcPr>
            <w:tcW w:w="3006" w:type="dxa"/>
            <w:tcBorders>
              <w:top w:val="single" w:sz="18" w:space="0" w:color="auto"/>
            </w:tcBorders>
            <w:vAlign w:val="center"/>
          </w:tcPr>
          <w:p w14:paraId="1C20CEEA" w14:textId="619BCEFE" w:rsidR="002E7813" w:rsidRPr="002E7813" w:rsidRDefault="002E7813" w:rsidP="006C0E5F">
            <w:pPr>
              <w:spacing w:line="276" w:lineRule="auto"/>
              <w:jc w:val="center"/>
              <w:rPr>
                <w:rFonts w:asciiTheme="majorBidi" w:hAnsiTheme="majorBidi" w:cstheme="majorBidi"/>
                <w:b/>
                <w:bCs/>
                <w:szCs w:val="24"/>
              </w:rPr>
            </w:pPr>
            <w:r w:rsidRPr="002E7813">
              <w:rPr>
                <w:rFonts w:asciiTheme="majorBidi" w:hAnsiTheme="majorBidi" w:cstheme="majorBidi"/>
                <w:b/>
                <w:bCs/>
                <w:szCs w:val="24"/>
              </w:rPr>
              <w:t>0% Reduction</w:t>
            </w:r>
          </w:p>
        </w:tc>
      </w:tr>
    </w:tbl>
    <w:p w14:paraId="07C9631E" w14:textId="77777777" w:rsidR="004023F7" w:rsidRDefault="004023F7" w:rsidP="006C0E5F">
      <w:pPr>
        <w:spacing w:line="276" w:lineRule="auto"/>
        <w:jc w:val="both"/>
        <w:rPr>
          <w:rFonts w:asciiTheme="majorBidi" w:hAnsiTheme="majorBidi" w:cstheme="majorBidi"/>
          <w:szCs w:val="24"/>
        </w:rPr>
      </w:pPr>
    </w:p>
    <w:p w14:paraId="3C897170" w14:textId="50D3E7D7" w:rsidR="00784407" w:rsidRDefault="00745FAD" w:rsidP="006C0E5F">
      <w:pPr>
        <w:spacing w:line="276" w:lineRule="auto"/>
        <w:jc w:val="both"/>
        <w:rPr>
          <w:rFonts w:asciiTheme="majorBidi" w:hAnsiTheme="majorBidi" w:cstheme="majorBidi"/>
          <w:szCs w:val="24"/>
        </w:rPr>
      </w:pPr>
      <w:r>
        <w:rPr>
          <w:rFonts w:asciiTheme="majorBidi" w:hAnsiTheme="majorBidi" w:cstheme="majorBidi"/>
          <w:szCs w:val="24"/>
        </w:rPr>
        <w:t xml:space="preserve">AU </w:t>
      </w:r>
      <w:r w:rsidR="003D2BBA">
        <w:rPr>
          <w:rFonts w:asciiTheme="majorBidi" w:hAnsiTheme="majorBidi" w:cstheme="majorBidi"/>
          <w:szCs w:val="24"/>
        </w:rPr>
        <w:t xml:space="preserve">suffers from a similar dynamic. She receives Carer’s Allowance which both reduces her entitlement to Universal </w:t>
      </w:r>
      <w:proofErr w:type="gramStart"/>
      <w:r w:rsidR="003D2BBA">
        <w:rPr>
          <w:rFonts w:asciiTheme="majorBidi" w:hAnsiTheme="majorBidi" w:cstheme="majorBidi"/>
          <w:szCs w:val="24"/>
        </w:rPr>
        <w:t>Credit, but</w:t>
      </w:r>
      <w:proofErr w:type="gramEnd"/>
      <w:r w:rsidR="003D2BBA">
        <w:rPr>
          <w:rFonts w:asciiTheme="majorBidi" w:hAnsiTheme="majorBidi" w:cstheme="majorBidi"/>
          <w:szCs w:val="24"/>
        </w:rPr>
        <w:t xml:space="preserve"> is nevertheless </w:t>
      </w:r>
      <w:proofErr w:type="gramStart"/>
      <w:r w:rsidR="003D2BBA">
        <w:rPr>
          <w:rFonts w:asciiTheme="majorBidi" w:hAnsiTheme="majorBidi" w:cstheme="majorBidi"/>
          <w:szCs w:val="24"/>
        </w:rPr>
        <w:t>taken into account</w:t>
      </w:r>
      <w:proofErr w:type="gramEnd"/>
      <w:r w:rsidR="003D2BBA">
        <w:rPr>
          <w:rFonts w:asciiTheme="majorBidi" w:hAnsiTheme="majorBidi" w:cstheme="majorBidi"/>
          <w:szCs w:val="24"/>
        </w:rPr>
        <w:t xml:space="preserve"> when calculating her deemed income under </w:t>
      </w:r>
      <w:r w:rsidR="00191C54">
        <w:rPr>
          <w:rFonts w:asciiTheme="majorBidi" w:hAnsiTheme="majorBidi" w:cstheme="majorBidi"/>
          <w:szCs w:val="24"/>
        </w:rPr>
        <w:t>Trafford’s</w:t>
      </w:r>
      <w:r w:rsidR="003D2BBA">
        <w:rPr>
          <w:rFonts w:asciiTheme="majorBidi" w:hAnsiTheme="majorBidi" w:cstheme="majorBidi"/>
          <w:szCs w:val="24"/>
        </w:rPr>
        <w:t xml:space="preserve"> scheme. </w:t>
      </w:r>
      <w:r w:rsidR="00C44245">
        <w:rPr>
          <w:rFonts w:asciiTheme="majorBidi" w:hAnsiTheme="majorBidi" w:cstheme="majorBidi"/>
          <w:szCs w:val="24"/>
        </w:rPr>
        <w:t>This approach was held</w:t>
      </w:r>
      <w:r w:rsidR="000B0202">
        <w:rPr>
          <w:rFonts w:asciiTheme="majorBidi" w:hAnsiTheme="majorBidi" w:cstheme="majorBidi"/>
          <w:szCs w:val="24"/>
        </w:rPr>
        <w:t xml:space="preserve"> by the court</w:t>
      </w:r>
      <w:r w:rsidR="00C44245">
        <w:rPr>
          <w:rFonts w:asciiTheme="majorBidi" w:hAnsiTheme="majorBidi" w:cstheme="majorBidi"/>
          <w:szCs w:val="24"/>
        </w:rPr>
        <w:t xml:space="preserve"> to be both irrational and </w:t>
      </w:r>
      <w:r w:rsidR="004E2DF6">
        <w:rPr>
          <w:rFonts w:asciiTheme="majorBidi" w:hAnsiTheme="majorBidi" w:cstheme="majorBidi"/>
          <w:szCs w:val="24"/>
        </w:rPr>
        <w:t xml:space="preserve">indirectly </w:t>
      </w:r>
      <w:r w:rsidR="00C44245">
        <w:rPr>
          <w:rFonts w:asciiTheme="majorBidi" w:hAnsiTheme="majorBidi" w:cstheme="majorBidi"/>
          <w:szCs w:val="24"/>
        </w:rPr>
        <w:t>discriminatory</w:t>
      </w:r>
      <w:r w:rsidR="00901959">
        <w:rPr>
          <w:rFonts w:asciiTheme="majorBidi" w:hAnsiTheme="majorBidi" w:cstheme="majorBidi"/>
          <w:szCs w:val="24"/>
        </w:rPr>
        <w:t xml:space="preserve"> (on the grounds of disability)</w:t>
      </w:r>
      <w:r w:rsidR="00C44245">
        <w:rPr>
          <w:rFonts w:asciiTheme="majorBidi" w:hAnsiTheme="majorBidi" w:cstheme="majorBidi"/>
          <w:szCs w:val="24"/>
        </w:rPr>
        <w:t xml:space="preserve"> under section 19 Equality Act 2010</w:t>
      </w:r>
      <w:r w:rsidR="00D03824">
        <w:rPr>
          <w:rFonts w:asciiTheme="majorBidi" w:hAnsiTheme="majorBidi" w:cstheme="majorBidi"/>
          <w:szCs w:val="24"/>
        </w:rPr>
        <w:t>.</w:t>
      </w:r>
      <w:r w:rsidR="00DB5F05">
        <w:rPr>
          <w:rStyle w:val="FootnoteReference"/>
          <w:rFonts w:asciiTheme="majorBidi" w:hAnsiTheme="majorBidi" w:cstheme="majorBidi"/>
          <w:szCs w:val="24"/>
        </w:rPr>
        <w:footnoteReference w:id="20"/>
      </w:r>
      <w:r w:rsidR="00901959">
        <w:rPr>
          <w:rFonts w:asciiTheme="majorBidi" w:hAnsiTheme="majorBidi" w:cstheme="majorBidi"/>
          <w:szCs w:val="24"/>
        </w:rPr>
        <w:t xml:space="preserve"> </w:t>
      </w:r>
      <w:r w:rsidR="00DB5F05">
        <w:rPr>
          <w:rFonts w:asciiTheme="majorBidi" w:hAnsiTheme="majorBidi" w:cstheme="majorBidi"/>
          <w:szCs w:val="24"/>
        </w:rPr>
        <w:t>I</w:t>
      </w:r>
      <w:r w:rsidR="00C26892">
        <w:rPr>
          <w:rFonts w:asciiTheme="majorBidi" w:hAnsiTheme="majorBidi" w:cstheme="majorBidi"/>
          <w:szCs w:val="24"/>
        </w:rPr>
        <w:t xml:space="preserve">t was not in dispute that by providing a </w:t>
      </w:r>
      <w:r w:rsidR="000B0202">
        <w:rPr>
          <w:rFonts w:asciiTheme="majorBidi" w:hAnsiTheme="majorBidi" w:cstheme="majorBidi"/>
          <w:szCs w:val="24"/>
        </w:rPr>
        <w:t>CTRS</w:t>
      </w:r>
      <w:r w:rsidR="00C26892">
        <w:rPr>
          <w:rFonts w:asciiTheme="majorBidi" w:hAnsiTheme="majorBidi" w:cstheme="majorBidi"/>
          <w:szCs w:val="24"/>
        </w:rPr>
        <w:t xml:space="preserve"> Trafford Metropolitan Council </w:t>
      </w:r>
      <w:r w:rsidR="009203D2">
        <w:rPr>
          <w:rFonts w:asciiTheme="majorBidi" w:hAnsiTheme="majorBidi" w:cstheme="majorBidi"/>
          <w:szCs w:val="24"/>
        </w:rPr>
        <w:t>is</w:t>
      </w:r>
      <w:r w:rsidR="00C26892">
        <w:rPr>
          <w:rFonts w:asciiTheme="majorBidi" w:hAnsiTheme="majorBidi" w:cstheme="majorBidi"/>
          <w:szCs w:val="24"/>
        </w:rPr>
        <w:t xml:space="preserve"> providing a service, and therefore has an obligation not to discriminate against a person in the provision of that service.</w:t>
      </w:r>
      <w:r w:rsidR="00AC2620">
        <w:rPr>
          <w:rStyle w:val="FootnoteReference"/>
          <w:rFonts w:asciiTheme="majorBidi" w:hAnsiTheme="majorBidi" w:cstheme="majorBidi"/>
          <w:szCs w:val="24"/>
        </w:rPr>
        <w:footnoteReference w:id="21"/>
      </w:r>
      <w:r w:rsidR="008F1F90">
        <w:rPr>
          <w:rFonts w:asciiTheme="majorBidi" w:hAnsiTheme="majorBidi" w:cstheme="majorBidi"/>
          <w:szCs w:val="24"/>
        </w:rPr>
        <w:t xml:space="preserve"> For </w:t>
      </w:r>
      <w:r w:rsidR="007C0A27">
        <w:rPr>
          <w:rFonts w:asciiTheme="majorBidi" w:hAnsiTheme="majorBidi" w:cstheme="majorBidi"/>
          <w:szCs w:val="24"/>
        </w:rPr>
        <w:t xml:space="preserve">LL, this was discriminatory on the grounds of disability under </w:t>
      </w:r>
      <w:r w:rsidR="00CC1E2A" w:rsidRPr="00CC1E2A">
        <w:rPr>
          <w:rFonts w:asciiTheme="majorBidi" w:hAnsiTheme="majorBidi" w:cstheme="majorBidi"/>
          <w:szCs w:val="24"/>
        </w:rPr>
        <w:t>s</w:t>
      </w:r>
      <w:r w:rsidR="00A609DC">
        <w:rPr>
          <w:rFonts w:asciiTheme="majorBidi" w:hAnsiTheme="majorBidi" w:cstheme="majorBidi"/>
          <w:szCs w:val="24"/>
        </w:rPr>
        <w:t xml:space="preserve">ection </w:t>
      </w:r>
      <w:r w:rsidR="00CC1E2A" w:rsidRPr="00CC1E2A">
        <w:rPr>
          <w:rFonts w:asciiTheme="majorBidi" w:hAnsiTheme="majorBidi" w:cstheme="majorBidi"/>
          <w:szCs w:val="24"/>
        </w:rPr>
        <w:t>15 of the Equality Act 2010</w:t>
      </w:r>
      <w:r w:rsidR="007C0A27">
        <w:rPr>
          <w:rFonts w:asciiTheme="majorBidi" w:hAnsiTheme="majorBidi" w:cstheme="majorBidi"/>
          <w:szCs w:val="24"/>
        </w:rPr>
        <w:t xml:space="preserve"> – by treating them unfavourably </w:t>
      </w:r>
      <w:r w:rsidR="00F6098D">
        <w:rPr>
          <w:rFonts w:asciiTheme="majorBidi" w:hAnsiTheme="majorBidi" w:cstheme="majorBidi"/>
          <w:szCs w:val="24"/>
        </w:rPr>
        <w:t>because of a kind of earned income that had arisen as a result of their disabilities – and indirect</w:t>
      </w:r>
      <w:r w:rsidR="003915B7">
        <w:rPr>
          <w:rFonts w:asciiTheme="majorBidi" w:hAnsiTheme="majorBidi" w:cstheme="majorBidi"/>
          <w:szCs w:val="24"/>
        </w:rPr>
        <w:t>ly</w:t>
      </w:r>
      <w:r w:rsidR="00F6098D">
        <w:rPr>
          <w:rFonts w:asciiTheme="majorBidi" w:hAnsiTheme="majorBidi" w:cstheme="majorBidi"/>
          <w:szCs w:val="24"/>
        </w:rPr>
        <w:t xml:space="preserve"> discriminat</w:t>
      </w:r>
      <w:r w:rsidR="003915B7">
        <w:rPr>
          <w:rFonts w:asciiTheme="majorBidi" w:hAnsiTheme="majorBidi" w:cstheme="majorBidi"/>
          <w:szCs w:val="24"/>
        </w:rPr>
        <w:t>ory</w:t>
      </w:r>
      <w:r w:rsidR="00F6098D">
        <w:rPr>
          <w:rFonts w:asciiTheme="majorBidi" w:hAnsiTheme="majorBidi" w:cstheme="majorBidi"/>
          <w:szCs w:val="24"/>
        </w:rPr>
        <w:t xml:space="preserve"> as a </w:t>
      </w:r>
      <w:r w:rsidR="00057A3F">
        <w:rPr>
          <w:rFonts w:asciiTheme="majorBidi" w:hAnsiTheme="majorBidi" w:cstheme="majorBidi"/>
          <w:szCs w:val="24"/>
        </w:rPr>
        <w:t>“</w:t>
      </w:r>
      <w:r w:rsidR="00F6098D" w:rsidRPr="0006555F">
        <w:rPr>
          <w:rFonts w:asciiTheme="majorBidi" w:hAnsiTheme="majorBidi" w:cstheme="majorBidi"/>
          <w:szCs w:val="24"/>
        </w:rPr>
        <w:t>provision, criterion or practice</w:t>
      </w:r>
      <w:r w:rsidR="00057A3F">
        <w:rPr>
          <w:rFonts w:asciiTheme="majorBidi" w:hAnsiTheme="majorBidi" w:cstheme="majorBidi"/>
          <w:szCs w:val="24"/>
        </w:rPr>
        <w:t>”</w:t>
      </w:r>
      <w:r w:rsidR="00F6098D" w:rsidRPr="0006555F">
        <w:rPr>
          <w:rFonts w:asciiTheme="majorBidi" w:hAnsiTheme="majorBidi" w:cstheme="majorBidi"/>
          <w:szCs w:val="24"/>
        </w:rPr>
        <w:t xml:space="preserve"> which is applied to disabled and non</w:t>
      </w:r>
      <w:r w:rsidR="0036254C">
        <w:rPr>
          <w:rFonts w:asciiTheme="majorBidi" w:hAnsiTheme="majorBidi" w:cstheme="majorBidi"/>
          <w:szCs w:val="24"/>
        </w:rPr>
        <w:t>-</w:t>
      </w:r>
      <w:r w:rsidR="00F6098D" w:rsidRPr="0006555F">
        <w:rPr>
          <w:rFonts w:asciiTheme="majorBidi" w:hAnsiTheme="majorBidi" w:cstheme="majorBidi"/>
          <w:szCs w:val="24"/>
        </w:rPr>
        <w:t xml:space="preserve">disabled people alike but one that puts LL, and disabled people in the same category, at a </w:t>
      </w:r>
      <w:r w:rsidR="00CC2119">
        <w:rPr>
          <w:rFonts w:asciiTheme="majorBidi" w:hAnsiTheme="majorBidi" w:cstheme="majorBidi"/>
          <w:szCs w:val="24"/>
        </w:rPr>
        <w:t>“</w:t>
      </w:r>
      <w:r w:rsidR="00F6098D" w:rsidRPr="0006555F">
        <w:rPr>
          <w:rFonts w:asciiTheme="majorBidi" w:hAnsiTheme="majorBidi" w:cstheme="majorBidi"/>
          <w:szCs w:val="24"/>
        </w:rPr>
        <w:t>particular disadvantage</w:t>
      </w:r>
      <w:r w:rsidR="00CC2119">
        <w:rPr>
          <w:rFonts w:asciiTheme="majorBidi" w:hAnsiTheme="majorBidi" w:cstheme="majorBidi"/>
          <w:szCs w:val="24"/>
        </w:rPr>
        <w:t>”</w:t>
      </w:r>
      <w:r w:rsidR="00F6098D" w:rsidRPr="0006555F">
        <w:rPr>
          <w:rFonts w:asciiTheme="majorBidi" w:hAnsiTheme="majorBidi" w:cstheme="majorBidi"/>
          <w:szCs w:val="24"/>
        </w:rPr>
        <w:t xml:space="preserve"> in comparison with </w:t>
      </w:r>
      <w:r w:rsidR="00331394" w:rsidRPr="0006555F">
        <w:rPr>
          <w:rFonts w:asciiTheme="majorBidi" w:hAnsiTheme="majorBidi" w:cstheme="majorBidi"/>
          <w:szCs w:val="24"/>
        </w:rPr>
        <w:t>non-disabled</w:t>
      </w:r>
      <w:r w:rsidR="00F6098D" w:rsidRPr="0006555F">
        <w:rPr>
          <w:rFonts w:asciiTheme="majorBidi" w:hAnsiTheme="majorBidi" w:cstheme="majorBidi"/>
          <w:szCs w:val="24"/>
        </w:rPr>
        <w:t xml:space="preserve"> people</w:t>
      </w:r>
      <w:r w:rsidR="00F6098D">
        <w:rPr>
          <w:rFonts w:asciiTheme="majorBidi" w:hAnsiTheme="majorBidi" w:cstheme="majorBidi"/>
          <w:szCs w:val="24"/>
        </w:rPr>
        <w:t>.</w:t>
      </w:r>
      <w:r w:rsidR="00F6098D">
        <w:rPr>
          <w:rStyle w:val="FootnoteReference"/>
          <w:rFonts w:asciiTheme="majorBidi" w:hAnsiTheme="majorBidi" w:cstheme="majorBidi"/>
          <w:szCs w:val="24"/>
        </w:rPr>
        <w:footnoteReference w:id="22"/>
      </w:r>
      <w:r w:rsidR="000529CA">
        <w:rPr>
          <w:rFonts w:asciiTheme="majorBidi" w:hAnsiTheme="majorBidi" w:cstheme="majorBidi"/>
          <w:szCs w:val="24"/>
        </w:rPr>
        <w:t xml:space="preserve"> </w:t>
      </w:r>
    </w:p>
    <w:p w14:paraId="7AD3246A" w14:textId="3F3C8B77" w:rsidR="00D263B2" w:rsidRDefault="000529CA" w:rsidP="006C0E5F">
      <w:pPr>
        <w:spacing w:line="276" w:lineRule="auto"/>
        <w:jc w:val="both"/>
        <w:rPr>
          <w:rFonts w:asciiTheme="majorBidi" w:hAnsiTheme="majorBidi" w:cstheme="majorBidi"/>
          <w:szCs w:val="24"/>
        </w:rPr>
      </w:pPr>
      <w:r>
        <w:rPr>
          <w:rFonts w:asciiTheme="majorBidi" w:hAnsiTheme="majorBidi" w:cstheme="majorBidi"/>
          <w:szCs w:val="24"/>
        </w:rPr>
        <w:t xml:space="preserve">Likewise, the scheme was indirectly discriminatory under </w:t>
      </w:r>
      <w:r w:rsidR="00D64C0E" w:rsidRPr="00D64C0E">
        <w:rPr>
          <w:rFonts w:asciiTheme="majorBidi" w:hAnsiTheme="majorBidi" w:cstheme="majorBidi"/>
          <w:szCs w:val="24"/>
        </w:rPr>
        <w:t>s</w:t>
      </w:r>
      <w:r w:rsidR="00A609DC">
        <w:rPr>
          <w:rFonts w:asciiTheme="majorBidi" w:hAnsiTheme="majorBidi" w:cstheme="majorBidi"/>
          <w:szCs w:val="24"/>
        </w:rPr>
        <w:t xml:space="preserve">ection </w:t>
      </w:r>
      <w:r w:rsidR="00D64C0E" w:rsidRPr="00D64C0E">
        <w:rPr>
          <w:rFonts w:asciiTheme="majorBidi" w:hAnsiTheme="majorBidi" w:cstheme="majorBidi"/>
          <w:szCs w:val="24"/>
        </w:rPr>
        <w:t>19A of the Equality Act 2010</w:t>
      </w:r>
      <w:r>
        <w:rPr>
          <w:rFonts w:asciiTheme="majorBidi" w:hAnsiTheme="majorBidi" w:cstheme="majorBidi"/>
          <w:szCs w:val="24"/>
        </w:rPr>
        <w:t xml:space="preserve"> by putting </w:t>
      </w:r>
      <w:r w:rsidRPr="0006555F">
        <w:rPr>
          <w:rFonts w:asciiTheme="majorBidi" w:hAnsiTheme="majorBidi" w:cstheme="majorBidi"/>
          <w:szCs w:val="24"/>
        </w:rPr>
        <w:t xml:space="preserve">disabled people generally at a </w:t>
      </w:r>
      <w:r w:rsidR="00057A3F">
        <w:rPr>
          <w:rFonts w:asciiTheme="majorBidi" w:hAnsiTheme="majorBidi" w:cstheme="majorBidi"/>
          <w:szCs w:val="24"/>
        </w:rPr>
        <w:t>“</w:t>
      </w:r>
      <w:r w:rsidRPr="0006555F">
        <w:rPr>
          <w:rFonts w:asciiTheme="majorBidi" w:hAnsiTheme="majorBidi" w:cstheme="majorBidi"/>
          <w:szCs w:val="24"/>
        </w:rPr>
        <w:t>particular disadvantage</w:t>
      </w:r>
      <w:r w:rsidR="00057A3F">
        <w:rPr>
          <w:rFonts w:asciiTheme="majorBidi" w:hAnsiTheme="majorBidi" w:cstheme="majorBidi"/>
          <w:szCs w:val="24"/>
        </w:rPr>
        <w:t>”</w:t>
      </w:r>
      <w:r w:rsidRPr="0006555F">
        <w:rPr>
          <w:rFonts w:asciiTheme="majorBidi" w:hAnsiTheme="majorBidi" w:cstheme="majorBidi"/>
          <w:szCs w:val="24"/>
        </w:rPr>
        <w:t xml:space="preserve"> in comparison with non</w:t>
      </w:r>
      <w:r w:rsidR="0046564D">
        <w:rPr>
          <w:rFonts w:asciiTheme="majorBidi" w:hAnsiTheme="majorBidi" w:cstheme="majorBidi"/>
          <w:szCs w:val="24"/>
        </w:rPr>
        <w:t>-</w:t>
      </w:r>
      <w:r w:rsidRPr="0006555F">
        <w:rPr>
          <w:rFonts w:asciiTheme="majorBidi" w:hAnsiTheme="majorBidi" w:cstheme="majorBidi"/>
          <w:szCs w:val="24"/>
        </w:rPr>
        <w:t>disabled</w:t>
      </w:r>
      <w:r>
        <w:rPr>
          <w:rFonts w:asciiTheme="majorBidi" w:hAnsiTheme="majorBidi" w:cstheme="majorBidi"/>
          <w:szCs w:val="24"/>
        </w:rPr>
        <w:t xml:space="preserve">, and for </w:t>
      </w:r>
      <w:r w:rsidRPr="0006555F">
        <w:rPr>
          <w:rFonts w:asciiTheme="majorBidi" w:hAnsiTheme="majorBidi" w:cstheme="majorBidi"/>
          <w:szCs w:val="24"/>
        </w:rPr>
        <w:t>AU</w:t>
      </w:r>
      <w:r>
        <w:rPr>
          <w:rFonts w:asciiTheme="majorBidi" w:hAnsiTheme="majorBidi" w:cstheme="majorBidi"/>
          <w:szCs w:val="24"/>
        </w:rPr>
        <w:t xml:space="preserve">, puts her at that same disadvantage </w:t>
      </w:r>
      <w:r w:rsidRPr="0006555F">
        <w:rPr>
          <w:rFonts w:asciiTheme="majorBidi" w:hAnsiTheme="majorBidi" w:cstheme="majorBidi"/>
          <w:szCs w:val="24"/>
        </w:rPr>
        <w:t>as a carer</w:t>
      </w:r>
      <w:r w:rsidR="00784407">
        <w:rPr>
          <w:rFonts w:asciiTheme="majorBidi" w:hAnsiTheme="majorBidi" w:cstheme="majorBidi"/>
          <w:szCs w:val="24"/>
        </w:rPr>
        <w:t xml:space="preserve"> by association with her daughter</w:t>
      </w:r>
      <w:r w:rsidR="00D263B2">
        <w:rPr>
          <w:rFonts w:asciiTheme="majorBidi" w:hAnsiTheme="majorBidi" w:cstheme="majorBidi"/>
          <w:szCs w:val="24"/>
        </w:rPr>
        <w:t xml:space="preserve">. This is particularly significant, as it is the first </w:t>
      </w:r>
      <w:r w:rsidR="00784407">
        <w:rPr>
          <w:rFonts w:asciiTheme="majorBidi" w:hAnsiTheme="majorBidi" w:cstheme="majorBidi"/>
          <w:szCs w:val="24"/>
        </w:rPr>
        <w:t>time a claim has been allowed</w:t>
      </w:r>
      <w:r w:rsidR="00D263B2">
        <w:rPr>
          <w:rFonts w:asciiTheme="majorBidi" w:hAnsiTheme="majorBidi" w:cstheme="majorBidi"/>
          <w:szCs w:val="24"/>
        </w:rPr>
        <w:t xml:space="preserve"> (in a </w:t>
      </w:r>
      <w:r w:rsidR="00D263B2">
        <w:rPr>
          <w:rFonts w:asciiTheme="majorBidi" w:hAnsiTheme="majorBidi" w:cstheme="majorBidi"/>
          <w:szCs w:val="24"/>
        </w:rPr>
        <w:lastRenderedPageBreak/>
        <w:t xml:space="preserve">court of record at least) </w:t>
      </w:r>
      <w:r w:rsidR="00C5777D">
        <w:rPr>
          <w:rFonts w:asciiTheme="majorBidi" w:hAnsiTheme="majorBidi" w:cstheme="majorBidi"/>
          <w:szCs w:val="24"/>
        </w:rPr>
        <w:t>via</w:t>
      </w:r>
      <w:r w:rsidR="00784407">
        <w:rPr>
          <w:rFonts w:asciiTheme="majorBidi" w:hAnsiTheme="majorBidi" w:cstheme="majorBidi"/>
          <w:szCs w:val="24"/>
        </w:rPr>
        <w:t xml:space="preserve"> s</w:t>
      </w:r>
      <w:r w:rsidR="00A609DC">
        <w:rPr>
          <w:rFonts w:asciiTheme="majorBidi" w:hAnsiTheme="majorBidi" w:cstheme="majorBidi"/>
          <w:szCs w:val="24"/>
        </w:rPr>
        <w:t xml:space="preserve">ection </w:t>
      </w:r>
      <w:r w:rsidR="00784407">
        <w:rPr>
          <w:rFonts w:asciiTheme="majorBidi" w:hAnsiTheme="majorBidi" w:cstheme="majorBidi"/>
          <w:szCs w:val="24"/>
        </w:rPr>
        <w:t>19A Equality Act 2010 on indirect associative discrimination since the provision came into force in 2024.</w:t>
      </w:r>
      <w:r w:rsidR="009A34D7">
        <w:rPr>
          <w:rStyle w:val="FootnoteReference"/>
          <w:rFonts w:asciiTheme="majorBidi" w:hAnsiTheme="majorBidi" w:cstheme="majorBidi"/>
          <w:szCs w:val="24"/>
        </w:rPr>
        <w:footnoteReference w:id="23"/>
      </w:r>
      <w:r w:rsidR="00784407">
        <w:rPr>
          <w:rFonts w:asciiTheme="majorBidi" w:hAnsiTheme="majorBidi" w:cstheme="majorBidi"/>
          <w:szCs w:val="24"/>
        </w:rPr>
        <w:t xml:space="preserve"> </w:t>
      </w:r>
      <w:r w:rsidR="0098709F">
        <w:rPr>
          <w:rFonts w:asciiTheme="majorBidi" w:hAnsiTheme="majorBidi" w:cstheme="majorBidi"/>
          <w:szCs w:val="24"/>
        </w:rPr>
        <w:t>The</w:t>
      </w:r>
      <w:r w:rsidR="00784407">
        <w:rPr>
          <w:rFonts w:asciiTheme="majorBidi" w:hAnsiTheme="majorBidi" w:cstheme="majorBidi"/>
          <w:szCs w:val="24"/>
        </w:rPr>
        <w:t>se</w:t>
      </w:r>
      <w:r w:rsidR="0098709F">
        <w:rPr>
          <w:rFonts w:asciiTheme="majorBidi" w:hAnsiTheme="majorBidi" w:cstheme="majorBidi"/>
          <w:szCs w:val="24"/>
        </w:rPr>
        <w:t xml:space="preserve"> flaws in the scheme could not be justified by Trafford as </w:t>
      </w:r>
      <w:r w:rsidR="00057A3F">
        <w:rPr>
          <w:rFonts w:asciiTheme="majorBidi" w:hAnsiTheme="majorBidi" w:cstheme="majorBidi"/>
          <w:szCs w:val="24"/>
        </w:rPr>
        <w:t>“</w:t>
      </w:r>
      <w:r w:rsidR="0098709F" w:rsidRPr="00A45447">
        <w:rPr>
          <w:rFonts w:asciiTheme="majorBidi" w:hAnsiTheme="majorBidi" w:cstheme="majorBidi"/>
          <w:szCs w:val="24"/>
        </w:rPr>
        <w:t>a proportionate means of achieving a legitimate aim</w:t>
      </w:r>
      <w:r w:rsidR="00057A3F">
        <w:rPr>
          <w:rFonts w:asciiTheme="majorBidi" w:hAnsiTheme="majorBidi" w:cstheme="majorBidi"/>
          <w:szCs w:val="24"/>
        </w:rPr>
        <w:t>”</w:t>
      </w:r>
      <w:r w:rsidR="00235D68">
        <w:rPr>
          <w:rFonts w:asciiTheme="majorBidi" w:hAnsiTheme="majorBidi" w:cstheme="majorBidi"/>
          <w:szCs w:val="24"/>
        </w:rPr>
        <w:t>. A</w:t>
      </w:r>
      <w:r w:rsidR="0098709F">
        <w:rPr>
          <w:rFonts w:asciiTheme="majorBidi" w:hAnsiTheme="majorBidi" w:cstheme="majorBidi"/>
          <w:szCs w:val="24"/>
        </w:rPr>
        <w:t xml:space="preserve">s the </w:t>
      </w:r>
      <w:r w:rsidR="001654A3">
        <w:rPr>
          <w:rFonts w:asciiTheme="majorBidi" w:hAnsiTheme="majorBidi" w:cstheme="majorBidi"/>
          <w:szCs w:val="24"/>
        </w:rPr>
        <w:t>c</w:t>
      </w:r>
      <w:r w:rsidR="0098709F">
        <w:rPr>
          <w:rFonts w:asciiTheme="majorBidi" w:hAnsiTheme="majorBidi" w:cstheme="majorBidi"/>
          <w:szCs w:val="24"/>
        </w:rPr>
        <w:t xml:space="preserve">ourt put it, the scheme was simply </w:t>
      </w:r>
      <w:r w:rsidR="00057A3F">
        <w:rPr>
          <w:rFonts w:asciiTheme="majorBidi" w:hAnsiTheme="majorBidi" w:cstheme="majorBidi"/>
          <w:szCs w:val="24"/>
        </w:rPr>
        <w:t>“</w:t>
      </w:r>
      <w:r w:rsidR="00767655" w:rsidRPr="00767655">
        <w:rPr>
          <w:rFonts w:asciiTheme="majorBidi" w:hAnsiTheme="majorBidi" w:cstheme="majorBidi"/>
          <w:szCs w:val="24"/>
        </w:rPr>
        <w:t>badly drafted</w:t>
      </w:r>
      <w:r w:rsidR="00057A3F">
        <w:rPr>
          <w:rFonts w:asciiTheme="majorBidi" w:hAnsiTheme="majorBidi" w:cstheme="majorBidi"/>
          <w:szCs w:val="24"/>
        </w:rPr>
        <w:t>”</w:t>
      </w:r>
      <w:r w:rsidR="00767655">
        <w:rPr>
          <w:rFonts w:asciiTheme="majorBidi" w:hAnsiTheme="majorBidi" w:cstheme="majorBidi"/>
          <w:szCs w:val="24"/>
        </w:rPr>
        <w:t>.</w:t>
      </w:r>
      <w:r w:rsidR="006A76CB">
        <w:rPr>
          <w:rStyle w:val="FootnoteReference"/>
          <w:rFonts w:asciiTheme="majorBidi" w:hAnsiTheme="majorBidi" w:cstheme="majorBidi"/>
          <w:szCs w:val="24"/>
        </w:rPr>
        <w:footnoteReference w:id="24"/>
      </w:r>
    </w:p>
    <w:p w14:paraId="6EC96C9E" w14:textId="10819CEA" w:rsidR="00604C78" w:rsidRDefault="00604C78" w:rsidP="006C0E5F">
      <w:pPr>
        <w:spacing w:line="276" w:lineRule="auto"/>
        <w:jc w:val="both"/>
        <w:rPr>
          <w:rFonts w:eastAsia="Times New Roman" w:cs="Times New Roman"/>
          <w:b/>
          <w:bCs/>
          <w:color w:val="000000"/>
          <w:szCs w:val="24"/>
        </w:rPr>
      </w:pPr>
      <w:r>
        <w:rPr>
          <w:rFonts w:eastAsia="Times New Roman" w:cs="Times New Roman"/>
          <w:b/>
          <w:bCs/>
          <w:color w:val="000000"/>
          <w:szCs w:val="24"/>
        </w:rPr>
        <w:t>Computer says no</w:t>
      </w:r>
    </w:p>
    <w:p w14:paraId="3E91122D" w14:textId="62D3ED16" w:rsidR="00F33CEB" w:rsidRDefault="00821C02" w:rsidP="006C0E5F">
      <w:pPr>
        <w:spacing w:line="276" w:lineRule="auto"/>
        <w:jc w:val="both"/>
        <w:rPr>
          <w:rFonts w:asciiTheme="majorBidi" w:hAnsiTheme="majorBidi" w:cstheme="majorBidi"/>
          <w:szCs w:val="24"/>
        </w:rPr>
      </w:pPr>
      <w:r>
        <w:rPr>
          <w:rFonts w:eastAsia="Times New Roman" w:cs="Times New Roman"/>
          <w:color w:val="000000"/>
          <w:szCs w:val="24"/>
        </w:rPr>
        <w:t xml:space="preserve">In common with other cases in the social security system, when there is a clear problem with payment calculations, the </w:t>
      </w:r>
      <w:r w:rsidR="00057A3F">
        <w:rPr>
          <w:rFonts w:eastAsia="Times New Roman" w:cs="Times New Roman"/>
          <w:color w:val="000000"/>
          <w:szCs w:val="24"/>
        </w:rPr>
        <w:t>“</w:t>
      </w:r>
      <w:r>
        <w:rPr>
          <w:rFonts w:eastAsia="Times New Roman" w:cs="Times New Roman"/>
          <w:color w:val="000000"/>
          <w:szCs w:val="24"/>
        </w:rPr>
        <w:t>computer system</w:t>
      </w:r>
      <w:r w:rsidR="00057A3F">
        <w:rPr>
          <w:rFonts w:eastAsia="Times New Roman" w:cs="Times New Roman"/>
          <w:color w:val="000000"/>
          <w:szCs w:val="24"/>
        </w:rPr>
        <w:t>”</w:t>
      </w:r>
      <w:r>
        <w:rPr>
          <w:rFonts w:eastAsia="Times New Roman" w:cs="Times New Roman"/>
          <w:color w:val="000000"/>
          <w:szCs w:val="24"/>
        </w:rPr>
        <w:t xml:space="preserve"> is held up as the culprit.</w:t>
      </w:r>
      <w:r w:rsidR="00CF6FA7">
        <w:rPr>
          <w:rStyle w:val="FootnoteReference"/>
          <w:rFonts w:eastAsia="Times New Roman" w:cs="Times New Roman"/>
          <w:color w:val="000000"/>
          <w:szCs w:val="24"/>
        </w:rPr>
        <w:footnoteReference w:id="25"/>
      </w:r>
      <w:r>
        <w:rPr>
          <w:rFonts w:eastAsia="Times New Roman" w:cs="Times New Roman"/>
          <w:color w:val="000000"/>
          <w:szCs w:val="24"/>
        </w:rPr>
        <w:t xml:space="preserve"> Here, </w:t>
      </w:r>
      <w:r w:rsidR="00440C9B">
        <w:rPr>
          <w:rFonts w:eastAsia="Times New Roman" w:cs="Times New Roman"/>
          <w:color w:val="000000"/>
          <w:szCs w:val="24"/>
        </w:rPr>
        <w:t>Trafford Metropolitan Council did the same</w:t>
      </w:r>
      <w:r w:rsidR="000A6679">
        <w:rPr>
          <w:rFonts w:eastAsia="Times New Roman" w:cs="Times New Roman"/>
          <w:color w:val="000000"/>
          <w:szCs w:val="24"/>
        </w:rPr>
        <w:t xml:space="preserve">, blaming the </w:t>
      </w:r>
      <w:r w:rsidR="00CC2119">
        <w:rPr>
          <w:rFonts w:eastAsia="Times New Roman" w:cs="Times New Roman"/>
          <w:color w:val="000000"/>
          <w:szCs w:val="24"/>
        </w:rPr>
        <w:t>“</w:t>
      </w:r>
      <w:r w:rsidR="000A6679" w:rsidRPr="00096F4D">
        <w:rPr>
          <w:rFonts w:asciiTheme="majorBidi" w:hAnsiTheme="majorBidi" w:cstheme="majorBidi"/>
          <w:szCs w:val="24"/>
        </w:rPr>
        <w:t>software programme which is used to calculate the appropriate reduction</w:t>
      </w:r>
      <w:r w:rsidR="00CC2119">
        <w:rPr>
          <w:rFonts w:asciiTheme="majorBidi" w:hAnsiTheme="majorBidi" w:cstheme="majorBidi"/>
          <w:szCs w:val="24"/>
        </w:rPr>
        <w:t>”</w:t>
      </w:r>
      <w:r w:rsidR="000A6679">
        <w:rPr>
          <w:rFonts w:asciiTheme="majorBidi" w:hAnsiTheme="majorBidi" w:cstheme="majorBidi"/>
          <w:szCs w:val="24"/>
        </w:rPr>
        <w:t>.</w:t>
      </w:r>
      <w:r w:rsidR="002427C8">
        <w:rPr>
          <w:rStyle w:val="FootnoteReference"/>
          <w:rFonts w:asciiTheme="majorBidi" w:hAnsiTheme="majorBidi" w:cstheme="majorBidi"/>
          <w:szCs w:val="24"/>
        </w:rPr>
        <w:footnoteReference w:id="26"/>
      </w:r>
      <w:r w:rsidR="00F5672D">
        <w:rPr>
          <w:rFonts w:asciiTheme="majorBidi" w:hAnsiTheme="majorBidi" w:cstheme="majorBidi"/>
          <w:szCs w:val="24"/>
        </w:rPr>
        <w:t xml:space="preserve"> </w:t>
      </w:r>
      <w:r w:rsidR="007C200D">
        <w:rPr>
          <w:rFonts w:asciiTheme="majorBidi" w:hAnsiTheme="majorBidi" w:cstheme="majorBidi"/>
          <w:szCs w:val="24"/>
        </w:rPr>
        <w:t>As their grounds of resistance put it:</w:t>
      </w:r>
    </w:p>
    <w:p w14:paraId="6A4AE504" w14:textId="1D70C29D" w:rsidR="007C200D" w:rsidRDefault="007C200D" w:rsidP="006C0E5F">
      <w:pPr>
        <w:spacing w:line="276" w:lineRule="auto"/>
        <w:ind w:left="709" w:right="521"/>
        <w:jc w:val="both"/>
        <w:rPr>
          <w:rFonts w:asciiTheme="majorBidi" w:hAnsiTheme="majorBidi" w:cstheme="majorBidi"/>
          <w:szCs w:val="24"/>
        </w:rPr>
      </w:pPr>
      <w:r>
        <w:rPr>
          <w:rFonts w:asciiTheme="majorBidi" w:hAnsiTheme="majorBidi" w:cstheme="majorBidi"/>
          <w:szCs w:val="24"/>
        </w:rPr>
        <w:t>…</w:t>
      </w:r>
      <w:r w:rsidRPr="00096F4D">
        <w:rPr>
          <w:rFonts w:asciiTheme="majorBidi" w:hAnsiTheme="majorBidi" w:cstheme="majorBidi"/>
          <w:szCs w:val="24"/>
        </w:rPr>
        <w:t xml:space="preserve">the current software parameters are unable to disregard </w:t>
      </w:r>
      <w:proofErr w:type="gramStart"/>
      <w:r w:rsidRPr="00096F4D">
        <w:rPr>
          <w:rFonts w:asciiTheme="majorBidi" w:hAnsiTheme="majorBidi" w:cstheme="majorBidi"/>
          <w:szCs w:val="24"/>
        </w:rPr>
        <w:t>all of</w:t>
      </w:r>
      <w:proofErr w:type="gramEnd"/>
      <w:r w:rsidRPr="00096F4D">
        <w:rPr>
          <w:rFonts w:asciiTheme="majorBidi" w:hAnsiTheme="majorBidi" w:cstheme="majorBidi"/>
          <w:szCs w:val="24"/>
        </w:rPr>
        <w:t xml:space="preserve"> the elements of </w:t>
      </w:r>
      <w:r>
        <w:rPr>
          <w:rFonts w:asciiTheme="majorBidi" w:hAnsiTheme="majorBidi" w:cstheme="majorBidi"/>
          <w:szCs w:val="24"/>
        </w:rPr>
        <w:t>[Universal Credit]</w:t>
      </w:r>
      <w:r w:rsidRPr="00096F4D">
        <w:rPr>
          <w:rFonts w:asciiTheme="majorBidi" w:hAnsiTheme="majorBidi" w:cstheme="majorBidi"/>
          <w:szCs w:val="24"/>
        </w:rPr>
        <w:t xml:space="preserve"> that are intended to be disregarded, </w:t>
      </w:r>
      <w:proofErr w:type="gramStart"/>
      <w:r w:rsidRPr="00096F4D">
        <w:rPr>
          <w:rFonts w:asciiTheme="majorBidi" w:hAnsiTheme="majorBidi" w:cstheme="majorBidi"/>
          <w:szCs w:val="24"/>
        </w:rPr>
        <w:t>in particular where</w:t>
      </w:r>
      <w:proofErr w:type="gramEnd"/>
      <w:r w:rsidRPr="00096F4D">
        <w:rPr>
          <w:rFonts w:asciiTheme="majorBidi" w:hAnsiTheme="majorBidi" w:cstheme="majorBidi"/>
          <w:szCs w:val="24"/>
        </w:rPr>
        <w:t xml:space="preserve"> the net </w:t>
      </w:r>
      <w:r>
        <w:rPr>
          <w:rFonts w:asciiTheme="majorBidi" w:hAnsiTheme="majorBidi" w:cstheme="majorBidi"/>
          <w:szCs w:val="24"/>
        </w:rPr>
        <w:t>[Universal Credit]</w:t>
      </w:r>
      <w:r w:rsidRPr="00096F4D">
        <w:rPr>
          <w:rFonts w:asciiTheme="majorBidi" w:hAnsiTheme="majorBidi" w:cstheme="majorBidi"/>
          <w:szCs w:val="24"/>
        </w:rPr>
        <w:t xml:space="preserve"> allowance is less than the total sum of the disregarded elements. This has been identified as being specific to customers who receive contributory based benefits and/or other income than their </w:t>
      </w:r>
      <w:r w:rsidR="00B465A9">
        <w:rPr>
          <w:rFonts w:asciiTheme="majorBidi" w:hAnsiTheme="majorBidi" w:cstheme="majorBidi"/>
          <w:szCs w:val="24"/>
        </w:rPr>
        <w:t>[Universal Credit]</w:t>
      </w:r>
      <w:r w:rsidRPr="00096F4D">
        <w:rPr>
          <w:rFonts w:asciiTheme="majorBidi" w:hAnsiTheme="majorBidi" w:cstheme="majorBidi"/>
          <w:szCs w:val="24"/>
        </w:rPr>
        <w:t>.</w:t>
      </w:r>
      <w:r>
        <w:rPr>
          <w:rStyle w:val="FootnoteReference"/>
          <w:rFonts w:asciiTheme="majorBidi" w:hAnsiTheme="majorBidi" w:cstheme="majorBidi"/>
          <w:szCs w:val="24"/>
        </w:rPr>
        <w:footnoteReference w:id="27"/>
      </w:r>
    </w:p>
    <w:p w14:paraId="4C7ACFC2" w14:textId="50294C6C" w:rsidR="00282060" w:rsidRPr="008D56E4" w:rsidRDefault="007C200D" w:rsidP="006C0E5F">
      <w:pPr>
        <w:spacing w:line="276" w:lineRule="auto"/>
        <w:ind w:right="-46"/>
        <w:jc w:val="both"/>
        <w:rPr>
          <w:rFonts w:asciiTheme="majorBidi" w:hAnsiTheme="majorBidi" w:cstheme="majorBidi"/>
          <w:b/>
          <w:bCs/>
          <w:szCs w:val="24"/>
        </w:rPr>
      </w:pPr>
      <w:r>
        <w:rPr>
          <w:rFonts w:eastAsia="Times New Roman" w:cs="Times New Roman"/>
          <w:color w:val="000000"/>
          <w:szCs w:val="24"/>
        </w:rPr>
        <w:t xml:space="preserve">In effect, </w:t>
      </w:r>
      <w:r w:rsidR="00461107">
        <w:rPr>
          <w:rFonts w:eastAsia="Times New Roman" w:cs="Times New Roman"/>
          <w:color w:val="000000"/>
          <w:szCs w:val="24"/>
        </w:rPr>
        <w:t>Trafford’s IT</w:t>
      </w:r>
      <w:r>
        <w:rPr>
          <w:rFonts w:eastAsia="Times New Roman" w:cs="Times New Roman"/>
          <w:color w:val="000000"/>
          <w:szCs w:val="24"/>
        </w:rPr>
        <w:t xml:space="preserve"> system is unable to accept</w:t>
      </w:r>
      <w:r w:rsidR="00267C99">
        <w:rPr>
          <w:rFonts w:eastAsia="Times New Roman" w:cs="Times New Roman"/>
          <w:color w:val="000000"/>
          <w:szCs w:val="24"/>
        </w:rPr>
        <w:t xml:space="preserve"> a wipe-out of Universal Credit allowances from disregarded forms of income.</w:t>
      </w:r>
      <w:r w:rsidR="00567972">
        <w:rPr>
          <w:rFonts w:eastAsia="Times New Roman" w:cs="Times New Roman"/>
          <w:color w:val="000000"/>
          <w:szCs w:val="24"/>
        </w:rPr>
        <w:t xml:space="preserve"> Perhaps unsurprisingly, this was</w:t>
      </w:r>
      <w:r w:rsidR="005064F7">
        <w:rPr>
          <w:rFonts w:eastAsia="Times New Roman" w:cs="Times New Roman"/>
          <w:color w:val="000000"/>
          <w:szCs w:val="24"/>
        </w:rPr>
        <w:t xml:space="preserve"> not</w:t>
      </w:r>
      <w:r w:rsidR="00567972">
        <w:rPr>
          <w:rFonts w:eastAsia="Times New Roman" w:cs="Times New Roman"/>
          <w:color w:val="000000"/>
          <w:szCs w:val="24"/>
        </w:rPr>
        <w:t xml:space="preserve"> taken as sufficient justification for the detriments in the scheme. First, even if the</w:t>
      </w:r>
      <w:r w:rsidR="00EF26E3">
        <w:rPr>
          <w:rFonts w:eastAsia="Times New Roman" w:cs="Times New Roman"/>
          <w:color w:val="000000"/>
          <w:szCs w:val="24"/>
        </w:rPr>
        <w:t xml:space="preserve"> computer</w:t>
      </w:r>
      <w:r w:rsidR="00567972">
        <w:rPr>
          <w:rFonts w:eastAsia="Times New Roman" w:cs="Times New Roman"/>
          <w:color w:val="000000"/>
          <w:szCs w:val="24"/>
        </w:rPr>
        <w:t xml:space="preserve"> system were unable to cope</w:t>
      </w:r>
      <w:r w:rsidR="00006C44">
        <w:rPr>
          <w:rFonts w:eastAsia="Times New Roman" w:cs="Times New Roman"/>
          <w:color w:val="000000"/>
          <w:szCs w:val="24"/>
        </w:rPr>
        <w:t xml:space="preserve">, all that would be needed is a </w:t>
      </w:r>
      <w:r w:rsidR="00057A3F">
        <w:rPr>
          <w:rFonts w:eastAsia="Times New Roman" w:cs="Times New Roman"/>
          <w:color w:val="000000"/>
          <w:szCs w:val="24"/>
        </w:rPr>
        <w:t>“</w:t>
      </w:r>
      <w:r w:rsidR="00006C44">
        <w:rPr>
          <w:rFonts w:eastAsia="Times New Roman" w:cs="Times New Roman"/>
          <w:color w:val="000000"/>
          <w:szCs w:val="24"/>
        </w:rPr>
        <w:t>paper exercise</w:t>
      </w:r>
      <w:r w:rsidR="00057A3F">
        <w:rPr>
          <w:rFonts w:eastAsia="Times New Roman" w:cs="Times New Roman"/>
          <w:color w:val="000000"/>
          <w:szCs w:val="24"/>
        </w:rPr>
        <w:t>”</w:t>
      </w:r>
      <w:r w:rsidR="00006C44">
        <w:rPr>
          <w:rFonts w:eastAsia="Times New Roman" w:cs="Times New Roman"/>
          <w:color w:val="000000"/>
          <w:szCs w:val="24"/>
        </w:rPr>
        <w:t xml:space="preserve"> to be carried out to calculate entitlement under the scheme.</w:t>
      </w:r>
      <w:r w:rsidR="00A61235">
        <w:rPr>
          <w:rStyle w:val="FootnoteReference"/>
          <w:rFonts w:eastAsia="Times New Roman" w:cs="Times New Roman"/>
          <w:color w:val="000000"/>
          <w:szCs w:val="24"/>
        </w:rPr>
        <w:footnoteReference w:id="28"/>
      </w:r>
      <w:r w:rsidR="00A61235">
        <w:rPr>
          <w:rFonts w:eastAsia="Times New Roman" w:cs="Times New Roman"/>
          <w:color w:val="000000"/>
          <w:szCs w:val="24"/>
        </w:rPr>
        <w:t xml:space="preserve"> </w:t>
      </w:r>
      <w:r w:rsidR="00282060">
        <w:rPr>
          <w:rFonts w:eastAsia="Times New Roman" w:cs="Times New Roman"/>
          <w:color w:val="000000"/>
          <w:szCs w:val="24"/>
        </w:rPr>
        <w:t xml:space="preserve">Although it is understandable that Trafford would want to align the </w:t>
      </w:r>
      <w:r w:rsidR="00057A3F">
        <w:rPr>
          <w:rFonts w:eastAsia="Times New Roman" w:cs="Times New Roman"/>
          <w:color w:val="000000"/>
          <w:szCs w:val="24"/>
        </w:rPr>
        <w:t>“</w:t>
      </w:r>
      <w:r w:rsidR="00282060" w:rsidRPr="00771B3C">
        <w:rPr>
          <w:rFonts w:asciiTheme="majorBidi" w:hAnsiTheme="majorBidi" w:cstheme="majorBidi"/>
          <w:szCs w:val="24"/>
        </w:rPr>
        <w:t>computer software and the Scheme itself</w:t>
      </w:r>
      <w:r w:rsidR="00057A3F">
        <w:rPr>
          <w:rFonts w:asciiTheme="majorBidi" w:hAnsiTheme="majorBidi" w:cstheme="majorBidi"/>
          <w:szCs w:val="24"/>
        </w:rPr>
        <w:t>”</w:t>
      </w:r>
      <w:r w:rsidR="00282060">
        <w:rPr>
          <w:rFonts w:asciiTheme="majorBidi" w:hAnsiTheme="majorBidi" w:cstheme="majorBidi"/>
          <w:szCs w:val="24"/>
        </w:rPr>
        <w:t>, it cannot be the case the scheme ha</w:t>
      </w:r>
      <w:r w:rsidR="00716D77">
        <w:rPr>
          <w:rFonts w:asciiTheme="majorBidi" w:hAnsiTheme="majorBidi" w:cstheme="majorBidi"/>
          <w:szCs w:val="24"/>
        </w:rPr>
        <w:t>d</w:t>
      </w:r>
      <w:r w:rsidR="00282060">
        <w:rPr>
          <w:rFonts w:asciiTheme="majorBidi" w:hAnsiTheme="majorBidi" w:cstheme="majorBidi"/>
          <w:szCs w:val="24"/>
        </w:rPr>
        <w:t xml:space="preserve"> been drafted to fit into the parameters of the software – to do so would be, as the court put it, </w:t>
      </w:r>
      <w:r w:rsidR="00057A3F">
        <w:rPr>
          <w:rFonts w:asciiTheme="majorBidi" w:hAnsiTheme="majorBidi" w:cstheme="majorBidi"/>
          <w:szCs w:val="24"/>
        </w:rPr>
        <w:t>“</w:t>
      </w:r>
      <w:r w:rsidR="00282060" w:rsidRPr="00771B3C">
        <w:rPr>
          <w:rFonts w:asciiTheme="majorBidi" w:hAnsiTheme="majorBidi" w:cstheme="majorBidi"/>
          <w:szCs w:val="24"/>
        </w:rPr>
        <w:t>a case of the tail wagging the dog</w:t>
      </w:r>
      <w:r w:rsidR="00057A3F">
        <w:rPr>
          <w:rFonts w:asciiTheme="majorBidi" w:hAnsiTheme="majorBidi" w:cstheme="majorBidi"/>
          <w:szCs w:val="24"/>
        </w:rPr>
        <w:t>”</w:t>
      </w:r>
      <w:r w:rsidR="00282060">
        <w:rPr>
          <w:rFonts w:asciiTheme="majorBidi" w:hAnsiTheme="majorBidi" w:cstheme="majorBidi"/>
          <w:szCs w:val="24"/>
        </w:rPr>
        <w:t>.</w:t>
      </w:r>
      <w:r w:rsidR="008B7980">
        <w:rPr>
          <w:rStyle w:val="FootnoteReference"/>
          <w:rFonts w:asciiTheme="majorBidi" w:hAnsiTheme="majorBidi" w:cstheme="majorBidi"/>
          <w:szCs w:val="24"/>
        </w:rPr>
        <w:footnoteReference w:id="29"/>
      </w:r>
      <w:r w:rsidR="00480BEB">
        <w:rPr>
          <w:rFonts w:asciiTheme="majorBidi" w:hAnsiTheme="majorBidi" w:cstheme="majorBidi"/>
          <w:szCs w:val="24"/>
        </w:rPr>
        <w:t xml:space="preserve"> Second, and more fund</w:t>
      </w:r>
      <w:r w:rsidR="00AC098F">
        <w:rPr>
          <w:rFonts w:asciiTheme="majorBidi" w:hAnsiTheme="majorBidi" w:cstheme="majorBidi"/>
          <w:szCs w:val="24"/>
        </w:rPr>
        <w:t>a</w:t>
      </w:r>
      <w:r w:rsidR="00480BEB">
        <w:rPr>
          <w:rFonts w:asciiTheme="majorBidi" w:hAnsiTheme="majorBidi" w:cstheme="majorBidi"/>
          <w:szCs w:val="24"/>
        </w:rPr>
        <w:t>m</w:t>
      </w:r>
      <w:r w:rsidR="00AC098F">
        <w:rPr>
          <w:rFonts w:asciiTheme="majorBidi" w:hAnsiTheme="majorBidi" w:cstheme="majorBidi"/>
          <w:szCs w:val="24"/>
        </w:rPr>
        <w:t>e</w:t>
      </w:r>
      <w:r w:rsidR="00480BEB">
        <w:rPr>
          <w:rFonts w:asciiTheme="majorBidi" w:hAnsiTheme="majorBidi" w:cstheme="majorBidi"/>
          <w:szCs w:val="24"/>
        </w:rPr>
        <w:t xml:space="preserve">ntally in this case, the problem </w:t>
      </w:r>
      <w:r w:rsidR="00573C3D">
        <w:rPr>
          <w:rFonts w:asciiTheme="majorBidi" w:hAnsiTheme="majorBidi" w:cstheme="majorBidi"/>
          <w:szCs w:val="24"/>
        </w:rPr>
        <w:t>was</w:t>
      </w:r>
      <w:r w:rsidR="00480BEB">
        <w:rPr>
          <w:rFonts w:asciiTheme="majorBidi" w:hAnsiTheme="majorBidi" w:cstheme="majorBidi"/>
          <w:szCs w:val="24"/>
        </w:rPr>
        <w:t xml:space="preserve"> with the s</w:t>
      </w:r>
      <w:r w:rsidR="00480BEB" w:rsidRPr="00E07466">
        <w:rPr>
          <w:rFonts w:asciiTheme="majorBidi" w:hAnsiTheme="majorBidi" w:cstheme="majorBidi"/>
          <w:szCs w:val="24"/>
        </w:rPr>
        <w:t xml:space="preserve">cheme itself rather than the calculation of the amount of relief by </w:t>
      </w:r>
      <w:r w:rsidR="00480BEB">
        <w:rPr>
          <w:rFonts w:asciiTheme="majorBidi" w:hAnsiTheme="majorBidi" w:cstheme="majorBidi"/>
          <w:szCs w:val="24"/>
        </w:rPr>
        <w:t>the software</w:t>
      </w:r>
      <w:r w:rsidR="008D56E4">
        <w:rPr>
          <w:rFonts w:asciiTheme="majorBidi" w:hAnsiTheme="majorBidi" w:cstheme="majorBidi"/>
          <w:szCs w:val="24"/>
        </w:rPr>
        <w:t xml:space="preserve"> – </w:t>
      </w:r>
      <w:r w:rsidR="0096521B">
        <w:rPr>
          <w:rFonts w:asciiTheme="majorBidi" w:hAnsiTheme="majorBidi" w:cstheme="majorBidi"/>
          <w:szCs w:val="24"/>
        </w:rPr>
        <w:t xml:space="preserve">even if you were to take </w:t>
      </w:r>
      <w:r w:rsidR="00CC2119">
        <w:rPr>
          <w:rFonts w:asciiTheme="majorBidi" w:hAnsiTheme="majorBidi" w:cstheme="majorBidi"/>
          <w:szCs w:val="24"/>
        </w:rPr>
        <w:t>“</w:t>
      </w:r>
      <w:r w:rsidR="008D56E4" w:rsidRPr="008D56E4">
        <w:rPr>
          <w:rFonts w:asciiTheme="majorBidi" w:hAnsiTheme="majorBidi" w:cstheme="majorBidi"/>
          <w:szCs w:val="24"/>
        </w:rPr>
        <w:t>the computer software out of the equation, and carried out the calculation of entitlement with pen and paper</w:t>
      </w:r>
      <w:r w:rsidR="00CC2119">
        <w:rPr>
          <w:rFonts w:asciiTheme="majorBidi" w:hAnsiTheme="majorBidi" w:cstheme="majorBidi"/>
          <w:szCs w:val="24"/>
        </w:rPr>
        <w:t>”</w:t>
      </w:r>
      <w:r w:rsidR="008D56E4" w:rsidRPr="008D56E4">
        <w:rPr>
          <w:rFonts w:asciiTheme="majorBidi" w:hAnsiTheme="majorBidi" w:cstheme="majorBidi"/>
          <w:szCs w:val="24"/>
        </w:rPr>
        <w:t xml:space="preserve"> then the claimants </w:t>
      </w:r>
      <w:r w:rsidR="00057A3F">
        <w:rPr>
          <w:rFonts w:asciiTheme="majorBidi" w:hAnsiTheme="majorBidi" w:cstheme="majorBidi"/>
          <w:szCs w:val="24"/>
        </w:rPr>
        <w:t>“</w:t>
      </w:r>
      <w:r w:rsidR="008D56E4" w:rsidRPr="008D56E4">
        <w:rPr>
          <w:rFonts w:asciiTheme="majorBidi" w:hAnsiTheme="majorBidi" w:cstheme="majorBidi"/>
          <w:szCs w:val="24"/>
        </w:rPr>
        <w:t>would still not qualify for full</w:t>
      </w:r>
      <w:r w:rsidR="00573C3D">
        <w:rPr>
          <w:rFonts w:asciiTheme="majorBidi" w:hAnsiTheme="majorBidi" w:cstheme="majorBidi"/>
          <w:szCs w:val="24"/>
        </w:rPr>
        <w:t xml:space="preserve"> </w:t>
      </w:r>
      <w:r w:rsidR="008D56E4" w:rsidRPr="008D56E4">
        <w:rPr>
          <w:rFonts w:asciiTheme="majorBidi" w:hAnsiTheme="majorBidi" w:cstheme="majorBidi"/>
          <w:szCs w:val="24"/>
        </w:rPr>
        <w:t>Council Tax Relief.</w:t>
      </w:r>
      <w:r w:rsidR="00057A3F">
        <w:rPr>
          <w:rFonts w:asciiTheme="majorBidi" w:hAnsiTheme="majorBidi" w:cstheme="majorBidi"/>
          <w:szCs w:val="24"/>
        </w:rPr>
        <w:t>”</w:t>
      </w:r>
      <w:r w:rsidR="008D56E4">
        <w:rPr>
          <w:rStyle w:val="FootnoteReference"/>
          <w:rFonts w:asciiTheme="majorBidi" w:hAnsiTheme="majorBidi" w:cstheme="majorBidi"/>
          <w:szCs w:val="24"/>
        </w:rPr>
        <w:footnoteReference w:id="30"/>
      </w:r>
    </w:p>
    <w:p w14:paraId="31602CF2" w14:textId="0ECA872F" w:rsidR="00AB339D" w:rsidRPr="00AB339D" w:rsidRDefault="0099138D" w:rsidP="006C0E5F">
      <w:pPr>
        <w:spacing w:line="276" w:lineRule="auto"/>
        <w:ind w:right="-46"/>
        <w:jc w:val="both"/>
        <w:rPr>
          <w:rFonts w:eastAsia="Times New Roman" w:cs="Times New Roman"/>
          <w:color w:val="000000"/>
          <w:szCs w:val="24"/>
        </w:rPr>
      </w:pPr>
      <w:r>
        <w:rPr>
          <w:rFonts w:eastAsia="Times New Roman" w:cs="Times New Roman"/>
          <w:color w:val="000000"/>
          <w:szCs w:val="24"/>
        </w:rPr>
        <w:t xml:space="preserve">This limitation of the software – a seemingly rudimentary issue – will be unsurprising to most in Local Government. Acute financial pressures, a lack of investment and capacity, and complex and often restrictive procurement rules can heavily constrain local authorities’ ability </w:t>
      </w:r>
      <w:r>
        <w:rPr>
          <w:rFonts w:eastAsia="Times New Roman" w:cs="Times New Roman"/>
          <w:color w:val="000000"/>
          <w:szCs w:val="24"/>
        </w:rPr>
        <w:lastRenderedPageBreak/>
        <w:t xml:space="preserve">to innovate their software </w:t>
      </w:r>
      <w:r w:rsidR="007156F9">
        <w:rPr>
          <w:rFonts w:eastAsia="Times New Roman" w:cs="Times New Roman"/>
          <w:color w:val="000000"/>
          <w:szCs w:val="24"/>
        </w:rPr>
        <w:t>(</w:t>
      </w:r>
      <w:r>
        <w:rPr>
          <w:rFonts w:eastAsia="Times New Roman" w:cs="Times New Roman"/>
          <w:color w:val="000000"/>
          <w:szCs w:val="24"/>
        </w:rPr>
        <w:t>and hardware</w:t>
      </w:r>
      <w:r w:rsidR="007156F9">
        <w:rPr>
          <w:rFonts w:eastAsia="Times New Roman" w:cs="Times New Roman"/>
          <w:color w:val="000000"/>
          <w:szCs w:val="24"/>
        </w:rPr>
        <w:t>)</w:t>
      </w:r>
      <w:r>
        <w:rPr>
          <w:rFonts w:eastAsia="Times New Roman" w:cs="Times New Roman"/>
          <w:color w:val="000000"/>
          <w:szCs w:val="24"/>
        </w:rPr>
        <w:t>.</w:t>
      </w:r>
      <w:r>
        <w:rPr>
          <w:rStyle w:val="FootnoteReference"/>
          <w:rFonts w:eastAsia="Times New Roman" w:cs="Times New Roman"/>
          <w:color w:val="000000"/>
          <w:szCs w:val="24"/>
        </w:rPr>
        <w:footnoteReference w:id="31"/>
      </w:r>
      <w:r w:rsidR="00A85246">
        <w:rPr>
          <w:rFonts w:eastAsia="Times New Roman" w:cs="Times New Roman"/>
          <w:color w:val="000000"/>
          <w:szCs w:val="24"/>
        </w:rPr>
        <w:t xml:space="preserve"> </w:t>
      </w:r>
      <w:r w:rsidR="00283876">
        <w:rPr>
          <w:rFonts w:eastAsia="Times New Roman" w:cs="Times New Roman"/>
          <w:color w:val="000000"/>
          <w:szCs w:val="24"/>
        </w:rPr>
        <w:t>A total of</w:t>
      </w:r>
      <w:r w:rsidR="000C2280">
        <w:rPr>
          <w:rFonts w:eastAsia="Times New Roman" w:cs="Times New Roman"/>
          <w:color w:val="000000"/>
          <w:szCs w:val="24"/>
        </w:rPr>
        <w:t xml:space="preserve"> </w:t>
      </w:r>
      <w:r w:rsidR="00A85246">
        <w:rPr>
          <w:rFonts w:eastAsia="Times New Roman" w:cs="Times New Roman"/>
          <w:color w:val="000000"/>
          <w:szCs w:val="24"/>
        </w:rPr>
        <w:t xml:space="preserve">296 means-tests are required to deliver the </w:t>
      </w:r>
      <w:r w:rsidR="00DB6F66">
        <w:rPr>
          <w:rFonts w:eastAsia="Times New Roman" w:cs="Times New Roman"/>
          <w:color w:val="000000"/>
          <w:szCs w:val="24"/>
        </w:rPr>
        <w:t>CTRS</w:t>
      </w:r>
      <w:r w:rsidR="00A85246">
        <w:rPr>
          <w:rFonts w:eastAsia="Times New Roman" w:cs="Times New Roman"/>
          <w:color w:val="000000"/>
          <w:szCs w:val="24"/>
        </w:rPr>
        <w:t>, as are the same number of software solutions</w:t>
      </w:r>
      <w:r w:rsidR="00573C3D">
        <w:rPr>
          <w:rFonts w:eastAsia="Times New Roman" w:cs="Times New Roman"/>
          <w:color w:val="000000"/>
          <w:szCs w:val="24"/>
        </w:rPr>
        <w:t>,</w:t>
      </w:r>
      <w:r w:rsidR="00A85246">
        <w:rPr>
          <w:rFonts w:eastAsia="Times New Roman" w:cs="Times New Roman"/>
          <w:color w:val="000000"/>
          <w:szCs w:val="24"/>
        </w:rPr>
        <w:t xml:space="preserve"> with all of the potential for glitches, mistakes and limitations that abound even in far better resourced centralised benefits systems.</w:t>
      </w:r>
      <w:r w:rsidR="00A95FA3">
        <w:rPr>
          <w:rStyle w:val="FootnoteReference"/>
          <w:rFonts w:eastAsia="Times New Roman" w:cs="Times New Roman"/>
          <w:color w:val="000000"/>
          <w:szCs w:val="24"/>
        </w:rPr>
        <w:footnoteReference w:id="32"/>
      </w:r>
    </w:p>
    <w:p w14:paraId="7E66DD60" w14:textId="026AFBFB" w:rsidR="00604C78" w:rsidRPr="00604C78" w:rsidRDefault="00573C3D" w:rsidP="006C0E5F">
      <w:pPr>
        <w:spacing w:line="276" w:lineRule="auto"/>
        <w:jc w:val="both"/>
        <w:rPr>
          <w:rFonts w:eastAsia="Times New Roman" w:cs="Times New Roman"/>
          <w:b/>
          <w:bCs/>
          <w:color w:val="000000"/>
          <w:szCs w:val="24"/>
        </w:rPr>
      </w:pPr>
      <w:r>
        <w:rPr>
          <w:rFonts w:eastAsia="Times New Roman" w:cs="Times New Roman"/>
          <w:b/>
          <w:bCs/>
          <w:color w:val="000000"/>
          <w:szCs w:val="24"/>
        </w:rPr>
        <w:t>The process for adopting the scheme</w:t>
      </w:r>
    </w:p>
    <w:p w14:paraId="0C3E943B" w14:textId="4E3EEF1F" w:rsidR="0021490C" w:rsidRDefault="00A202F9" w:rsidP="006C0E5F">
      <w:pPr>
        <w:spacing w:line="276" w:lineRule="auto"/>
        <w:jc w:val="both"/>
        <w:rPr>
          <w:rFonts w:eastAsia="Times New Roman" w:cs="Times New Roman"/>
          <w:color w:val="000000"/>
          <w:szCs w:val="24"/>
        </w:rPr>
      </w:pPr>
      <w:r>
        <w:rPr>
          <w:rFonts w:eastAsia="Times New Roman" w:cs="Times New Roman"/>
          <w:color w:val="000000"/>
          <w:szCs w:val="24"/>
        </w:rPr>
        <w:t xml:space="preserve">To complete the </w:t>
      </w:r>
      <w:r w:rsidRPr="00A202F9">
        <w:rPr>
          <w:rFonts w:eastAsia="Times New Roman" w:cs="Times New Roman"/>
          <w:color w:val="000000"/>
          <w:szCs w:val="24"/>
        </w:rPr>
        <w:t>triptych</w:t>
      </w:r>
      <w:r>
        <w:rPr>
          <w:rFonts w:eastAsia="Times New Roman" w:cs="Times New Roman"/>
          <w:color w:val="000000"/>
          <w:szCs w:val="24"/>
        </w:rPr>
        <w:t xml:space="preserve"> of problems with Trafford’s scheme, </w:t>
      </w:r>
      <w:r w:rsidR="002E3066">
        <w:rPr>
          <w:rFonts w:eastAsia="Times New Roman" w:cs="Times New Roman"/>
          <w:color w:val="000000"/>
          <w:szCs w:val="24"/>
        </w:rPr>
        <w:t xml:space="preserve">the </w:t>
      </w:r>
      <w:r w:rsidR="001654A3">
        <w:rPr>
          <w:rFonts w:eastAsia="Times New Roman" w:cs="Times New Roman"/>
          <w:color w:val="000000"/>
          <w:szCs w:val="24"/>
        </w:rPr>
        <w:t>c</w:t>
      </w:r>
      <w:r w:rsidR="002E3066">
        <w:rPr>
          <w:rFonts w:eastAsia="Times New Roman" w:cs="Times New Roman"/>
          <w:color w:val="000000"/>
          <w:szCs w:val="24"/>
        </w:rPr>
        <w:t>ourt also held that th</w:t>
      </w:r>
      <w:r w:rsidR="004710C2">
        <w:rPr>
          <w:rFonts w:eastAsia="Times New Roman" w:cs="Times New Roman"/>
          <w:color w:val="000000"/>
          <w:szCs w:val="24"/>
        </w:rPr>
        <w:t>e process for reaching a decision on the new scheme was also unlawful.</w:t>
      </w:r>
      <w:r w:rsidR="0021490C">
        <w:rPr>
          <w:rFonts w:eastAsia="Times New Roman" w:cs="Times New Roman"/>
          <w:color w:val="000000"/>
          <w:szCs w:val="24"/>
        </w:rPr>
        <w:t xml:space="preserve"> The approach </w:t>
      </w:r>
      <w:r w:rsidR="00130510">
        <w:rPr>
          <w:rFonts w:eastAsia="Times New Roman" w:cs="Times New Roman"/>
          <w:color w:val="000000"/>
          <w:szCs w:val="24"/>
        </w:rPr>
        <w:t xml:space="preserve">taken by </w:t>
      </w:r>
      <w:r w:rsidR="0021490C">
        <w:rPr>
          <w:rFonts w:eastAsia="Times New Roman" w:cs="Times New Roman"/>
          <w:color w:val="000000"/>
          <w:szCs w:val="24"/>
        </w:rPr>
        <w:t xml:space="preserve">Trafford to the revision of their scheme </w:t>
      </w:r>
      <w:r w:rsidR="00186E04">
        <w:rPr>
          <w:rFonts w:eastAsia="Times New Roman" w:cs="Times New Roman"/>
          <w:color w:val="000000"/>
          <w:szCs w:val="24"/>
        </w:rPr>
        <w:t>will be familiar to other authorities</w:t>
      </w:r>
      <w:r w:rsidR="0021490C">
        <w:rPr>
          <w:rFonts w:eastAsia="Times New Roman" w:cs="Times New Roman"/>
          <w:color w:val="000000"/>
          <w:szCs w:val="24"/>
        </w:rPr>
        <w:t xml:space="preserve">. </w:t>
      </w:r>
      <w:r w:rsidR="00186E04">
        <w:rPr>
          <w:rFonts w:eastAsia="Times New Roman" w:cs="Times New Roman"/>
          <w:color w:val="000000"/>
          <w:szCs w:val="24"/>
        </w:rPr>
        <w:t xml:space="preserve">The responsibility lay with the council’s Exchequer Services Department: they </w:t>
      </w:r>
      <w:r w:rsidR="00130510">
        <w:rPr>
          <w:rFonts w:eastAsia="Times New Roman" w:cs="Times New Roman"/>
          <w:color w:val="000000"/>
          <w:szCs w:val="24"/>
        </w:rPr>
        <w:t xml:space="preserve">completed </w:t>
      </w:r>
      <w:r w:rsidR="00186E04">
        <w:rPr>
          <w:rFonts w:eastAsia="Times New Roman" w:cs="Times New Roman"/>
          <w:color w:val="000000"/>
          <w:szCs w:val="24"/>
        </w:rPr>
        <w:t>a public consultation, an equality impact assessment, obtained external advice (from a consultancy</w:t>
      </w:r>
      <w:r w:rsidR="007156F9">
        <w:rPr>
          <w:rFonts w:eastAsia="Times New Roman" w:cs="Times New Roman"/>
          <w:color w:val="000000"/>
          <w:szCs w:val="24"/>
        </w:rPr>
        <w:t xml:space="preserve"> used widely by local authorities</w:t>
      </w:r>
      <w:r w:rsidR="00C564DC">
        <w:rPr>
          <w:rFonts w:eastAsia="Times New Roman" w:cs="Times New Roman"/>
          <w:color w:val="000000"/>
          <w:szCs w:val="24"/>
        </w:rPr>
        <w:t xml:space="preserve"> for</w:t>
      </w:r>
      <w:r w:rsidR="007156F9">
        <w:rPr>
          <w:rFonts w:eastAsia="Times New Roman" w:cs="Times New Roman"/>
          <w:color w:val="000000"/>
          <w:szCs w:val="24"/>
        </w:rPr>
        <w:t xml:space="preserve"> CTRS design and development</w:t>
      </w:r>
      <w:r w:rsidR="00BF7FF4">
        <w:rPr>
          <w:rFonts w:eastAsia="Times New Roman" w:cs="Times New Roman"/>
          <w:color w:val="000000"/>
          <w:szCs w:val="24"/>
        </w:rPr>
        <w:t xml:space="preserve"> services</w:t>
      </w:r>
      <w:r w:rsidR="00186E04">
        <w:rPr>
          <w:rFonts w:eastAsia="Times New Roman" w:cs="Times New Roman"/>
          <w:color w:val="000000"/>
          <w:szCs w:val="24"/>
        </w:rPr>
        <w:t xml:space="preserve">) and then drafted the scheme. This was then presented to Trafford’s Executive Committee for consideration and approval at its budget meeting. Once it had approved </w:t>
      </w:r>
      <w:r w:rsidR="00F46FB1">
        <w:rPr>
          <w:rFonts w:eastAsia="Times New Roman" w:cs="Times New Roman"/>
          <w:color w:val="000000"/>
          <w:szCs w:val="24"/>
        </w:rPr>
        <w:t>the scheme</w:t>
      </w:r>
      <w:r w:rsidR="00186E04">
        <w:rPr>
          <w:rFonts w:eastAsia="Times New Roman" w:cs="Times New Roman"/>
          <w:color w:val="000000"/>
          <w:szCs w:val="24"/>
        </w:rPr>
        <w:t xml:space="preserve">, it was then put to the full </w:t>
      </w:r>
      <w:r w:rsidR="001654A3">
        <w:rPr>
          <w:rFonts w:eastAsia="Times New Roman" w:cs="Times New Roman"/>
          <w:color w:val="000000"/>
          <w:szCs w:val="24"/>
        </w:rPr>
        <w:t>c</w:t>
      </w:r>
      <w:r w:rsidR="00186E04">
        <w:rPr>
          <w:rFonts w:eastAsia="Times New Roman" w:cs="Times New Roman"/>
          <w:color w:val="000000"/>
          <w:szCs w:val="24"/>
        </w:rPr>
        <w:t>ouncil at its budget meeting alongside a cornucopia of other issues.</w:t>
      </w:r>
      <w:r w:rsidR="00F46FB1">
        <w:rPr>
          <w:rStyle w:val="FootnoteReference"/>
          <w:rFonts w:asciiTheme="majorBidi" w:hAnsiTheme="majorBidi" w:cstheme="majorBidi"/>
          <w:szCs w:val="24"/>
        </w:rPr>
        <w:footnoteReference w:id="33"/>
      </w:r>
    </w:p>
    <w:p w14:paraId="4F2C8E28" w14:textId="73430D18" w:rsidR="0064265D" w:rsidRDefault="00DC316E" w:rsidP="006C0E5F">
      <w:pPr>
        <w:spacing w:line="276" w:lineRule="auto"/>
        <w:jc w:val="both"/>
        <w:rPr>
          <w:rFonts w:asciiTheme="majorBidi" w:hAnsiTheme="majorBidi" w:cstheme="majorBidi"/>
          <w:szCs w:val="24"/>
        </w:rPr>
      </w:pPr>
      <w:r>
        <w:rPr>
          <w:rFonts w:eastAsia="Times New Roman" w:cs="Times New Roman"/>
          <w:color w:val="000000"/>
          <w:szCs w:val="24"/>
        </w:rPr>
        <w:t>However, the c</w:t>
      </w:r>
      <w:r w:rsidR="002E3066" w:rsidRPr="003459F6">
        <w:rPr>
          <w:rFonts w:asciiTheme="majorBidi" w:hAnsiTheme="majorBidi" w:cstheme="majorBidi"/>
          <w:szCs w:val="24"/>
        </w:rPr>
        <w:t>laimants’</w:t>
      </w:r>
      <w:r w:rsidR="002E3066">
        <w:rPr>
          <w:rFonts w:asciiTheme="majorBidi" w:hAnsiTheme="majorBidi" w:cstheme="majorBidi"/>
          <w:szCs w:val="24"/>
        </w:rPr>
        <w:t xml:space="preserve"> </w:t>
      </w:r>
      <w:r w:rsidR="002E3066" w:rsidRPr="003459F6">
        <w:rPr>
          <w:rFonts w:asciiTheme="majorBidi" w:hAnsiTheme="majorBidi" w:cstheme="majorBidi"/>
          <w:szCs w:val="24"/>
        </w:rPr>
        <w:t>position</w:t>
      </w:r>
      <w:r>
        <w:rPr>
          <w:rFonts w:asciiTheme="majorBidi" w:hAnsiTheme="majorBidi" w:cstheme="majorBidi"/>
          <w:szCs w:val="24"/>
        </w:rPr>
        <w:t xml:space="preserve"> – endorsed by the court </w:t>
      </w:r>
      <w:r w:rsidR="0064265D">
        <w:rPr>
          <w:rFonts w:asciiTheme="majorBidi" w:hAnsiTheme="majorBidi" w:cstheme="majorBidi"/>
          <w:szCs w:val="24"/>
        </w:rPr>
        <w:t>–</w:t>
      </w:r>
      <w:r w:rsidR="002E3066" w:rsidRPr="003459F6">
        <w:rPr>
          <w:rFonts w:asciiTheme="majorBidi" w:hAnsiTheme="majorBidi" w:cstheme="majorBidi"/>
          <w:szCs w:val="24"/>
        </w:rPr>
        <w:t xml:space="preserve"> </w:t>
      </w:r>
      <w:r w:rsidR="0021490C">
        <w:rPr>
          <w:rFonts w:asciiTheme="majorBidi" w:hAnsiTheme="majorBidi" w:cstheme="majorBidi"/>
          <w:szCs w:val="24"/>
        </w:rPr>
        <w:t xml:space="preserve">was that any </w:t>
      </w:r>
      <w:r w:rsidR="00C93A37">
        <w:rPr>
          <w:rFonts w:asciiTheme="majorBidi" w:hAnsiTheme="majorBidi" w:cstheme="majorBidi"/>
          <w:szCs w:val="24"/>
        </w:rPr>
        <w:t>CTRS</w:t>
      </w:r>
      <w:r w:rsidR="0021490C">
        <w:rPr>
          <w:rFonts w:asciiTheme="majorBidi" w:hAnsiTheme="majorBidi" w:cstheme="majorBidi"/>
          <w:szCs w:val="24"/>
        </w:rPr>
        <w:t xml:space="preserve"> needs to be passed by the </w:t>
      </w:r>
      <w:r w:rsidR="0021490C" w:rsidRPr="00396A8B">
        <w:rPr>
          <w:rFonts w:asciiTheme="majorBidi" w:hAnsiTheme="majorBidi" w:cstheme="majorBidi"/>
          <w:i/>
          <w:iCs/>
          <w:szCs w:val="24"/>
        </w:rPr>
        <w:t>full</w:t>
      </w:r>
      <w:r w:rsidR="0021490C">
        <w:rPr>
          <w:rFonts w:asciiTheme="majorBidi" w:hAnsiTheme="majorBidi" w:cstheme="majorBidi"/>
          <w:szCs w:val="24"/>
        </w:rPr>
        <w:t xml:space="preserve"> council; this is in the spirit of </w:t>
      </w:r>
      <w:r w:rsidR="001E1875" w:rsidRPr="001E1875">
        <w:rPr>
          <w:rFonts w:asciiTheme="majorBidi" w:hAnsiTheme="majorBidi" w:cstheme="majorBidi"/>
          <w:szCs w:val="24"/>
        </w:rPr>
        <w:t>s</w:t>
      </w:r>
      <w:r w:rsidR="00A609DC">
        <w:rPr>
          <w:rFonts w:asciiTheme="majorBidi" w:hAnsiTheme="majorBidi" w:cstheme="majorBidi"/>
          <w:szCs w:val="24"/>
        </w:rPr>
        <w:t xml:space="preserve">ection </w:t>
      </w:r>
      <w:r w:rsidR="001E1875" w:rsidRPr="001E1875">
        <w:rPr>
          <w:rFonts w:asciiTheme="majorBidi" w:hAnsiTheme="majorBidi" w:cstheme="majorBidi"/>
          <w:szCs w:val="24"/>
        </w:rPr>
        <w:t>67 of the 1992 Act</w:t>
      </w:r>
      <w:r w:rsidR="001E1875">
        <w:rPr>
          <w:rFonts w:asciiTheme="majorBidi" w:hAnsiTheme="majorBidi" w:cstheme="majorBidi"/>
          <w:szCs w:val="24"/>
        </w:rPr>
        <w:t xml:space="preserve"> </w:t>
      </w:r>
      <w:r w:rsidR="002E3066" w:rsidRPr="003459F6">
        <w:rPr>
          <w:rFonts w:asciiTheme="majorBidi" w:hAnsiTheme="majorBidi" w:cstheme="majorBidi"/>
          <w:szCs w:val="24"/>
        </w:rPr>
        <w:t xml:space="preserve">that the functions mentioned in that section </w:t>
      </w:r>
      <w:r w:rsidR="00CC2119">
        <w:rPr>
          <w:rFonts w:asciiTheme="majorBidi" w:hAnsiTheme="majorBidi" w:cstheme="majorBidi"/>
          <w:szCs w:val="24"/>
        </w:rPr>
        <w:t>“</w:t>
      </w:r>
      <w:r w:rsidR="002E3066" w:rsidRPr="003459F6">
        <w:rPr>
          <w:rFonts w:asciiTheme="majorBidi" w:hAnsiTheme="majorBidi" w:cstheme="majorBidi"/>
          <w:szCs w:val="24"/>
        </w:rPr>
        <w:t>shall be discharged only by the authority</w:t>
      </w:r>
      <w:r w:rsidR="00CC2119">
        <w:rPr>
          <w:rFonts w:asciiTheme="majorBidi" w:hAnsiTheme="majorBidi" w:cstheme="majorBidi"/>
          <w:szCs w:val="24"/>
        </w:rPr>
        <w:t>”.</w:t>
      </w:r>
      <w:r w:rsidR="002E3066" w:rsidRPr="003459F6">
        <w:rPr>
          <w:rFonts w:asciiTheme="majorBidi" w:hAnsiTheme="majorBidi" w:cstheme="majorBidi"/>
          <w:szCs w:val="24"/>
        </w:rPr>
        <w:t xml:space="preserve"> </w:t>
      </w:r>
      <w:r w:rsidR="002E3066">
        <w:rPr>
          <w:rFonts w:asciiTheme="majorBidi" w:hAnsiTheme="majorBidi" w:cstheme="majorBidi"/>
          <w:szCs w:val="24"/>
        </w:rPr>
        <w:t xml:space="preserve">As held in </w:t>
      </w:r>
      <w:r w:rsidR="002E3066" w:rsidRPr="002E3066">
        <w:rPr>
          <w:rFonts w:asciiTheme="majorBidi" w:hAnsiTheme="majorBidi" w:cstheme="majorBidi"/>
          <w:i/>
          <w:iCs/>
          <w:szCs w:val="24"/>
        </w:rPr>
        <w:t>R (Buck) v Doncaster Metropolitan Borough Council</w:t>
      </w:r>
      <w:r w:rsidR="002E3066" w:rsidRPr="00BE624D">
        <w:rPr>
          <w:rStyle w:val="FootnoteReference"/>
          <w:rFonts w:asciiTheme="majorBidi" w:hAnsiTheme="majorBidi" w:cstheme="majorBidi"/>
          <w:szCs w:val="24"/>
        </w:rPr>
        <w:footnoteReference w:id="34"/>
      </w:r>
      <w:r w:rsidR="00BE624D">
        <w:rPr>
          <w:rFonts w:asciiTheme="majorBidi" w:hAnsiTheme="majorBidi" w:cstheme="majorBidi"/>
          <w:i/>
          <w:iCs/>
          <w:szCs w:val="24"/>
        </w:rPr>
        <w:t>,</w:t>
      </w:r>
      <w:r w:rsidR="002E3066">
        <w:rPr>
          <w:rFonts w:asciiTheme="majorBidi" w:hAnsiTheme="majorBidi" w:cstheme="majorBidi"/>
          <w:i/>
          <w:iCs/>
          <w:szCs w:val="24"/>
        </w:rPr>
        <w:t xml:space="preserve"> </w:t>
      </w:r>
      <w:r w:rsidR="002E3066">
        <w:rPr>
          <w:rFonts w:asciiTheme="majorBidi" w:hAnsiTheme="majorBidi" w:cstheme="majorBidi"/>
          <w:szCs w:val="24"/>
        </w:rPr>
        <w:t xml:space="preserve">this includes both the initial adoption of such as scheme and </w:t>
      </w:r>
      <w:r w:rsidR="00114476" w:rsidRPr="00114476">
        <w:rPr>
          <w:rFonts w:asciiTheme="majorBidi" w:hAnsiTheme="majorBidi" w:cstheme="majorBidi"/>
          <w:i/>
          <w:iCs/>
          <w:szCs w:val="24"/>
        </w:rPr>
        <w:t>or revisions</w:t>
      </w:r>
      <w:r w:rsidR="00114476">
        <w:rPr>
          <w:rFonts w:asciiTheme="majorBidi" w:hAnsiTheme="majorBidi" w:cstheme="majorBidi"/>
          <w:szCs w:val="24"/>
        </w:rPr>
        <w:t xml:space="preserve"> to it</w:t>
      </w:r>
      <w:r w:rsidR="002E3066">
        <w:rPr>
          <w:rFonts w:asciiTheme="majorBidi" w:hAnsiTheme="majorBidi" w:cstheme="majorBidi"/>
          <w:szCs w:val="24"/>
        </w:rPr>
        <w:t>.</w:t>
      </w:r>
      <w:r w:rsidR="00A46E38">
        <w:rPr>
          <w:rStyle w:val="FootnoteReference"/>
          <w:rFonts w:asciiTheme="majorBidi" w:hAnsiTheme="majorBidi" w:cstheme="majorBidi"/>
          <w:szCs w:val="24"/>
        </w:rPr>
        <w:footnoteReference w:id="35"/>
      </w:r>
      <w:r w:rsidR="00573C3D">
        <w:rPr>
          <w:rFonts w:asciiTheme="majorBidi" w:hAnsiTheme="majorBidi" w:cstheme="majorBidi"/>
          <w:szCs w:val="24"/>
        </w:rPr>
        <w:t xml:space="preserve"> I</w:t>
      </w:r>
      <w:r w:rsidR="004710C2">
        <w:rPr>
          <w:rFonts w:asciiTheme="majorBidi" w:hAnsiTheme="majorBidi" w:cstheme="majorBidi"/>
          <w:szCs w:val="24"/>
        </w:rPr>
        <w:t xml:space="preserve">n this case, </w:t>
      </w:r>
      <w:r w:rsidR="00114476">
        <w:rPr>
          <w:rFonts w:asciiTheme="majorBidi" w:hAnsiTheme="majorBidi" w:cstheme="majorBidi"/>
          <w:szCs w:val="24"/>
        </w:rPr>
        <w:t xml:space="preserve">lumping the revised </w:t>
      </w:r>
      <w:r w:rsidR="00C93A37">
        <w:rPr>
          <w:rFonts w:asciiTheme="majorBidi" w:hAnsiTheme="majorBidi" w:cstheme="majorBidi"/>
          <w:szCs w:val="24"/>
        </w:rPr>
        <w:t>CTRS</w:t>
      </w:r>
      <w:r w:rsidR="00114476">
        <w:rPr>
          <w:rFonts w:asciiTheme="majorBidi" w:hAnsiTheme="majorBidi" w:cstheme="majorBidi"/>
          <w:szCs w:val="24"/>
        </w:rPr>
        <w:t xml:space="preserve"> into the overall approval of the budget did not satisfy the requirement for full council approval. Indeed, as the court puts it,</w:t>
      </w:r>
      <w:r w:rsidR="00114476" w:rsidRPr="00114476">
        <w:rPr>
          <w:rFonts w:asciiTheme="majorBidi" w:hAnsiTheme="majorBidi" w:cstheme="majorBidi"/>
          <w:szCs w:val="24"/>
        </w:rPr>
        <w:t xml:space="preserve"> </w:t>
      </w:r>
      <w:r w:rsidR="00057A3F">
        <w:rPr>
          <w:rFonts w:asciiTheme="majorBidi" w:hAnsiTheme="majorBidi" w:cstheme="majorBidi"/>
          <w:szCs w:val="24"/>
        </w:rPr>
        <w:t>“</w:t>
      </w:r>
      <w:r w:rsidR="00114476" w:rsidRPr="00114476">
        <w:rPr>
          <w:rFonts w:asciiTheme="majorBidi" w:hAnsiTheme="majorBidi" w:cstheme="majorBidi"/>
          <w:szCs w:val="24"/>
        </w:rPr>
        <w:t>every outward manifestation of this decision-making process is that it was taken by the Executive Committee rather than the Full Council</w:t>
      </w:r>
      <w:r w:rsidR="00057A3F">
        <w:rPr>
          <w:rFonts w:asciiTheme="majorBidi" w:hAnsiTheme="majorBidi" w:cstheme="majorBidi"/>
          <w:szCs w:val="24"/>
        </w:rPr>
        <w:t>”</w:t>
      </w:r>
      <w:r w:rsidR="00114476" w:rsidRPr="00114476">
        <w:rPr>
          <w:rFonts w:asciiTheme="majorBidi" w:hAnsiTheme="majorBidi" w:cstheme="majorBidi"/>
          <w:szCs w:val="24"/>
        </w:rPr>
        <w:t>.</w:t>
      </w:r>
      <w:r w:rsidR="00114476">
        <w:rPr>
          <w:rStyle w:val="FootnoteReference"/>
          <w:rFonts w:asciiTheme="majorBidi" w:hAnsiTheme="majorBidi" w:cstheme="majorBidi"/>
          <w:szCs w:val="24"/>
        </w:rPr>
        <w:footnoteReference w:id="36"/>
      </w:r>
      <w:r w:rsidR="0064265D">
        <w:rPr>
          <w:rFonts w:asciiTheme="majorBidi" w:hAnsiTheme="majorBidi" w:cstheme="majorBidi"/>
          <w:szCs w:val="24"/>
        </w:rPr>
        <w:t xml:space="preserve"> The scheme – in addition to being unlawfully discriminatory </w:t>
      </w:r>
      <w:r w:rsidR="00D33DAB">
        <w:rPr>
          <w:rFonts w:asciiTheme="majorBidi" w:hAnsiTheme="majorBidi" w:cstheme="majorBidi"/>
          <w:szCs w:val="24"/>
        </w:rPr>
        <w:t>and</w:t>
      </w:r>
      <w:r w:rsidR="0064265D">
        <w:rPr>
          <w:rFonts w:asciiTheme="majorBidi" w:hAnsiTheme="majorBidi" w:cstheme="majorBidi"/>
          <w:szCs w:val="24"/>
        </w:rPr>
        <w:t xml:space="preserve"> irrational – was also unlawfully adopted.</w:t>
      </w:r>
    </w:p>
    <w:p w14:paraId="37E7A8A6" w14:textId="25276464" w:rsidR="00573C3D" w:rsidRDefault="00573C3D" w:rsidP="006C0E5F">
      <w:pPr>
        <w:spacing w:line="276" w:lineRule="auto"/>
        <w:jc w:val="both"/>
        <w:rPr>
          <w:rFonts w:asciiTheme="majorBidi" w:hAnsiTheme="majorBidi" w:cstheme="majorBidi"/>
          <w:szCs w:val="24"/>
        </w:rPr>
      </w:pPr>
      <w:r>
        <w:rPr>
          <w:rFonts w:asciiTheme="majorBidi" w:hAnsiTheme="majorBidi" w:cstheme="majorBidi"/>
          <w:szCs w:val="24"/>
        </w:rPr>
        <w:t xml:space="preserve">To make matters worse, the Equality Impact Assessment </w:t>
      </w:r>
      <w:r w:rsidR="00654BE8">
        <w:rPr>
          <w:rFonts w:asciiTheme="majorBidi" w:hAnsiTheme="majorBidi" w:cstheme="majorBidi"/>
          <w:szCs w:val="24"/>
        </w:rPr>
        <w:t>did not address the double-counting flaw in the scheme</w:t>
      </w:r>
      <w:r w:rsidR="00BE71CC">
        <w:rPr>
          <w:rFonts w:asciiTheme="majorBidi" w:hAnsiTheme="majorBidi" w:cstheme="majorBidi"/>
          <w:szCs w:val="24"/>
        </w:rPr>
        <w:t xml:space="preserve"> and it</w:t>
      </w:r>
      <w:r w:rsidR="00654BE8">
        <w:rPr>
          <w:rFonts w:asciiTheme="majorBidi" w:hAnsiTheme="majorBidi" w:cstheme="majorBidi"/>
          <w:szCs w:val="24"/>
        </w:rPr>
        <w:t xml:space="preserve"> was </w:t>
      </w:r>
      <w:r w:rsidR="00BE71CC">
        <w:rPr>
          <w:rFonts w:asciiTheme="majorBidi" w:hAnsiTheme="majorBidi" w:cstheme="majorBidi"/>
          <w:szCs w:val="24"/>
        </w:rPr>
        <w:t>not</w:t>
      </w:r>
      <w:r w:rsidR="00654BE8">
        <w:rPr>
          <w:rFonts w:asciiTheme="majorBidi" w:hAnsiTheme="majorBidi" w:cstheme="majorBidi"/>
          <w:szCs w:val="24"/>
        </w:rPr>
        <w:t xml:space="preserve"> shown to the Executive Committee (let alone the full council)</w:t>
      </w:r>
      <w:r>
        <w:rPr>
          <w:rFonts w:asciiTheme="majorBidi" w:hAnsiTheme="majorBidi" w:cstheme="majorBidi"/>
          <w:szCs w:val="24"/>
        </w:rPr>
        <w:t>.</w:t>
      </w:r>
      <w:r w:rsidR="00386D4B">
        <w:rPr>
          <w:rStyle w:val="FootnoteReference"/>
          <w:rFonts w:asciiTheme="majorBidi" w:hAnsiTheme="majorBidi" w:cstheme="majorBidi"/>
          <w:szCs w:val="24"/>
        </w:rPr>
        <w:footnoteReference w:id="37"/>
      </w:r>
      <w:r w:rsidR="00DF6FBC">
        <w:rPr>
          <w:rFonts w:asciiTheme="majorBidi" w:hAnsiTheme="majorBidi" w:cstheme="majorBidi"/>
          <w:szCs w:val="24"/>
        </w:rPr>
        <w:t xml:space="preserve"> </w:t>
      </w:r>
      <w:r w:rsidR="000D433E">
        <w:rPr>
          <w:rFonts w:asciiTheme="majorBidi" w:hAnsiTheme="majorBidi" w:cstheme="majorBidi"/>
          <w:szCs w:val="24"/>
        </w:rPr>
        <w:t>Indeed, the assessment describes the</w:t>
      </w:r>
      <w:r w:rsidR="000D433E" w:rsidRPr="005F15E1">
        <w:rPr>
          <w:rFonts w:asciiTheme="majorBidi" w:hAnsiTheme="majorBidi" w:cstheme="majorBidi"/>
          <w:szCs w:val="24"/>
        </w:rPr>
        <w:t xml:space="preserve"> potential impact of the scheme on those with a protected characteristic of disability </w:t>
      </w:r>
      <w:r w:rsidR="000D433E">
        <w:rPr>
          <w:rFonts w:asciiTheme="majorBidi" w:hAnsiTheme="majorBidi" w:cstheme="majorBidi"/>
          <w:szCs w:val="24"/>
        </w:rPr>
        <w:t>as</w:t>
      </w:r>
      <w:r w:rsidR="000D433E" w:rsidRPr="005F15E1">
        <w:rPr>
          <w:rFonts w:asciiTheme="majorBidi" w:hAnsiTheme="majorBidi" w:cstheme="majorBidi"/>
          <w:szCs w:val="24"/>
        </w:rPr>
        <w:t xml:space="preserve"> </w:t>
      </w:r>
      <w:r w:rsidR="00057A3F">
        <w:rPr>
          <w:rFonts w:asciiTheme="majorBidi" w:hAnsiTheme="majorBidi" w:cstheme="majorBidi"/>
          <w:szCs w:val="24"/>
        </w:rPr>
        <w:t>“</w:t>
      </w:r>
      <w:r w:rsidR="000D433E" w:rsidRPr="005F15E1">
        <w:rPr>
          <w:rFonts w:asciiTheme="majorBidi" w:hAnsiTheme="majorBidi" w:cstheme="majorBidi"/>
          <w:szCs w:val="24"/>
        </w:rPr>
        <w:t>neutral</w:t>
      </w:r>
      <w:r w:rsidR="00057A3F">
        <w:rPr>
          <w:rFonts w:asciiTheme="majorBidi" w:hAnsiTheme="majorBidi" w:cstheme="majorBidi"/>
          <w:szCs w:val="24"/>
        </w:rPr>
        <w:t>”</w:t>
      </w:r>
      <w:r w:rsidR="000D433E">
        <w:rPr>
          <w:rFonts w:asciiTheme="majorBidi" w:hAnsiTheme="majorBidi" w:cstheme="majorBidi"/>
          <w:szCs w:val="24"/>
        </w:rPr>
        <w:t xml:space="preserve">, stating that </w:t>
      </w:r>
      <w:r w:rsidR="00057A3F">
        <w:rPr>
          <w:rFonts w:asciiTheme="majorBidi" w:hAnsiTheme="majorBidi" w:cstheme="majorBidi"/>
          <w:szCs w:val="24"/>
        </w:rPr>
        <w:t>“</w:t>
      </w:r>
      <w:r w:rsidR="000D433E" w:rsidRPr="005F15E1">
        <w:rPr>
          <w:rFonts w:asciiTheme="majorBidi" w:hAnsiTheme="majorBidi" w:cstheme="majorBidi"/>
          <w:szCs w:val="24"/>
        </w:rPr>
        <w:t>there are protected disability groups in the existing scheme and it is planned to keep those.</w:t>
      </w:r>
      <w:r w:rsidR="00057A3F">
        <w:rPr>
          <w:rFonts w:asciiTheme="majorBidi" w:hAnsiTheme="majorBidi" w:cstheme="majorBidi"/>
          <w:szCs w:val="24"/>
        </w:rPr>
        <w:t>”</w:t>
      </w:r>
      <w:r w:rsidR="000D433E">
        <w:rPr>
          <w:rStyle w:val="FootnoteReference"/>
          <w:rFonts w:asciiTheme="majorBidi" w:hAnsiTheme="majorBidi" w:cstheme="majorBidi"/>
          <w:szCs w:val="24"/>
        </w:rPr>
        <w:footnoteReference w:id="38"/>
      </w:r>
      <w:r w:rsidR="00BE71CC">
        <w:rPr>
          <w:rFonts w:asciiTheme="majorBidi" w:hAnsiTheme="majorBidi" w:cstheme="majorBidi"/>
          <w:szCs w:val="24"/>
        </w:rPr>
        <w:t xml:space="preserve"> The adoption of the CTRS was also, therefore, contrary to the Public Sector Equality Duty under s</w:t>
      </w:r>
      <w:r w:rsidR="00A609DC">
        <w:rPr>
          <w:rFonts w:asciiTheme="majorBidi" w:hAnsiTheme="majorBidi" w:cstheme="majorBidi"/>
          <w:szCs w:val="24"/>
        </w:rPr>
        <w:t xml:space="preserve">ection </w:t>
      </w:r>
      <w:r w:rsidR="00BE71CC">
        <w:rPr>
          <w:rFonts w:asciiTheme="majorBidi" w:hAnsiTheme="majorBidi" w:cstheme="majorBidi"/>
          <w:szCs w:val="24"/>
        </w:rPr>
        <w:t>149</w:t>
      </w:r>
      <w:r w:rsidR="00CC1E2A">
        <w:rPr>
          <w:rFonts w:asciiTheme="majorBidi" w:hAnsiTheme="majorBidi" w:cstheme="majorBidi"/>
          <w:szCs w:val="24"/>
        </w:rPr>
        <w:t xml:space="preserve"> of the</w:t>
      </w:r>
      <w:r w:rsidR="00BE71CC">
        <w:rPr>
          <w:rFonts w:asciiTheme="majorBidi" w:hAnsiTheme="majorBidi" w:cstheme="majorBidi"/>
          <w:szCs w:val="24"/>
        </w:rPr>
        <w:t xml:space="preserve"> Equality Act 2010.</w:t>
      </w:r>
      <w:r w:rsidR="00BE71CC">
        <w:rPr>
          <w:rStyle w:val="FootnoteReference"/>
          <w:rFonts w:asciiTheme="majorBidi" w:hAnsiTheme="majorBidi" w:cstheme="majorBidi"/>
          <w:szCs w:val="24"/>
        </w:rPr>
        <w:footnoteReference w:id="39"/>
      </w:r>
    </w:p>
    <w:p w14:paraId="5E3315FC" w14:textId="77777777" w:rsidR="009443CE" w:rsidRDefault="009443CE" w:rsidP="006C0E5F">
      <w:pPr>
        <w:spacing w:line="276" w:lineRule="auto"/>
        <w:jc w:val="both"/>
        <w:rPr>
          <w:rFonts w:eastAsia="Times New Roman" w:cs="Times New Roman"/>
          <w:b/>
          <w:bCs/>
          <w:color w:val="000000"/>
          <w:szCs w:val="24"/>
        </w:rPr>
      </w:pPr>
    </w:p>
    <w:p w14:paraId="6D406CC7" w14:textId="75DDD9A1" w:rsidR="009A610A" w:rsidRPr="009A610A" w:rsidRDefault="009A610A" w:rsidP="006C0E5F">
      <w:pPr>
        <w:spacing w:line="276" w:lineRule="auto"/>
        <w:jc w:val="both"/>
        <w:rPr>
          <w:rFonts w:eastAsia="Times New Roman" w:cs="Times New Roman"/>
          <w:b/>
          <w:bCs/>
          <w:color w:val="000000"/>
          <w:szCs w:val="24"/>
        </w:rPr>
      </w:pPr>
      <w:r>
        <w:rPr>
          <w:rFonts w:eastAsia="Times New Roman" w:cs="Times New Roman"/>
          <w:b/>
          <w:bCs/>
          <w:color w:val="000000"/>
          <w:szCs w:val="24"/>
        </w:rPr>
        <w:lastRenderedPageBreak/>
        <w:t xml:space="preserve">What </w:t>
      </w:r>
      <w:r>
        <w:rPr>
          <w:rFonts w:eastAsia="Times New Roman" w:cs="Times New Roman"/>
          <w:b/>
          <w:bCs/>
          <w:i/>
          <w:iCs/>
          <w:color w:val="000000"/>
          <w:szCs w:val="24"/>
        </w:rPr>
        <w:t xml:space="preserve">Trafford </w:t>
      </w:r>
      <w:r w:rsidR="009443CE">
        <w:rPr>
          <w:rFonts w:eastAsia="Times New Roman" w:cs="Times New Roman"/>
          <w:b/>
          <w:bCs/>
          <w:color w:val="000000"/>
          <w:szCs w:val="24"/>
        </w:rPr>
        <w:t>tells us</w:t>
      </w:r>
      <w:r>
        <w:rPr>
          <w:rFonts w:eastAsia="Times New Roman" w:cs="Times New Roman"/>
          <w:b/>
          <w:bCs/>
          <w:color w:val="000000"/>
          <w:szCs w:val="24"/>
        </w:rPr>
        <w:t xml:space="preserve"> about local welfare</w:t>
      </w:r>
    </w:p>
    <w:p w14:paraId="3D9BC52B" w14:textId="14BFD2B1" w:rsidR="003F5BAC" w:rsidRDefault="009A610A" w:rsidP="006C0E5F">
      <w:pPr>
        <w:spacing w:line="276" w:lineRule="auto"/>
        <w:jc w:val="both"/>
        <w:rPr>
          <w:rFonts w:eastAsia="Times New Roman" w:cs="Times New Roman"/>
          <w:color w:val="000000"/>
          <w:szCs w:val="24"/>
        </w:rPr>
      </w:pPr>
      <w:r>
        <w:rPr>
          <w:rFonts w:eastAsia="Times New Roman" w:cs="Times New Roman"/>
          <w:color w:val="000000"/>
          <w:szCs w:val="24"/>
        </w:rPr>
        <w:t xml:space="preserve">Accurately and effectively means-testing benefits </w:t>
      </w:r>
      <w:r w:rsidR="00D92BA2">
        <w:rPr>
          <w:rFonts w:eastAsia="Times New Roman" w:cs="Times New Roman"/>
          <w:color w:val="000000"/>
          <w:szCs w:val="24"/>
        </w:rPr>
        <w:t>have proven</w:t>
      </w:r>
      <w:r>
        <w:rPr>
          <w:rFonts w:eastAsia="Times New Roman" w:cs="Times New Roman"/>
          <w:color w:val="000000"/>
          <w:szCs w:val="24"/>
        </w:rPr>
        <w:t xml:space="preserve"> a difficult enough task for civil servants in the Department for Work &amp; Pensions with the resources of a </w:t>
      </w:r>
      <w:proofErr w:type="gramStart"/>
      <w:r>
        <w:rPr>
          <w:rFonts w:eastAsia="Times New Roman" w:cs="Times New Roman"/>
          <w:color w:val="000000"/>
          <w:szCs w:val="24"/>
        </w:rPr>
        <w:t>Government</w:t>
      </w:r>
      <w:proofErr w:type="gramEnd"/>
      <w:r>
        <w:rPr>
          <w:rFonts w:eastAsia="Times New Roman" w:cs="Times New Roman"/>
          <w:color w:val="000000"/>
          <w:szCs w:val="24"/>
        </w:rPr>
        <w:t xml:space="preserve"> department behind them.</w:t>
      </w:r>
      <w:r w:rsidR="00001AF7">
        <w:rPr>
          <w:rFonts w:eastAsia="Times New Roman" w:cs="Times New Roman"/>
          <w:color w:val="000000"/>
          <w:szCs w:val="24"/>
        </w:rPr>
        <w:t xml:space="preserve"> Trafford illustrates the public law problems that result from 296 local authorities grappling with the design and administration of a means-tested scheme under significant resource pressures. </w:t>
      </w:r>
      <w:r w:rsidR="003F5BAC">
        <w:rPr>
          <w:rFonts w:asciiTheme="majorBidi" w:hAnsiTheme="majorBidi" w:cstheme="majorBidi"/>
          <w:szCs w:val="24"/>
        </w:rPr>
        <w:t>If this</w:t>
      </w:r>
      <w:r w:rsidR="00DC309E">
        <w:rPr>
          <w:rFonts w:asciiTheme="majorBidi" w:hAnsiTheme="majorBidi" w:cstheme="majorBidi"/>
          <w:szCs w:val="24"/>
        </w:rPr>
        <w:t xml:space="preserve"> kind of</w:t>
      </w:r>
      <w:r w:rsidR="003F5BAC">
        <w:rPr>
          <w:rFonts w:asciiTheme="majorBidi" w:hAnsiTheme="majorBidi" w:cstheme="majorBidi"/>
          <w:szCs w:val="24"/>
        </w:rPr>
        <w:t xml:space="preserve"> localised </w:t>
      </w:r>
      <w:r w:rsidR="003F5BAC">
        <w:rPr>
          <w:rFonts w:eastAsia="Times New Roman" w:cs="Times New Roman"/>
          <w:color w:val="000000"/>
          <w:szCs w:val="24"/>
        </w:rPr>
        <w:t xml:space="preserve">support is simply firefighting a range of pressures on design and delivery, and elected members – let alone </w:t>
      </w:r>
      <w:proofErr w:type="gramStart"/>
      <w:r w:rsidR="003F5BAC">
        <w:rPr>
          <w:rFonts w:eastAsia="Times New Roman" w:cs="Times New Roman"/>
          <w:color w:val="000000"/>
          <w:szCs w:val="24"/>
        </w:rPr>
        <w:t>local residents</w:t>
      </w:r>
      <w:proofErr w:type="gramEnd"/>
      <w:r w:rsidR="003F5BAC">
        <w:rPr>
          <w:rFonts w:eastAsia="Times New Roman" w:cs="Times New Roman"/>
          <w:color w:val="000000"/>
          <w:szCs w:val="24"/>
        </w:rPr>
        <w:t xml:space="preserve"> – do not have adequate oversight over the decisions being taken, it is worth asking whether centralised entitlements are preferable to localised support where the risks may outweigh the benefits.</w:t>
      </w:r>
    </w:p>
    <w:p w14:paraId="60F11AFF" w14:textId="23B663AC" w:rsidR="00F54B15" w:rsidRDefault="003F5BAC" w:rsidP="006C0E5F">
      <w:pPr>
        <w:spacing w:line="276" w:lineRule="auto"/>
        <w:jc w:val="both"/>
        <w:rPr>
          <w:rFonts w:eastAsia="Times New Roman" w:cs="Times New Roman"/>
          <w:color w:val="000000"/>
          <w:szCs w:val="24"/>
        </w:rPr>
      </w:pPr>
      <w:r>
        <w:rPr>
          <w:rFonts w:eastAsia="Times New Roman" w:cs="Times New Roman"/>
          <w:color w:val="000000"/>
          <w:szCs w:val="24"/>
        </w:rPr>
        <w:t>Th</w:t>
      </w:r>
      <w:r w:rsidR="00DC309E">
        <w:rPr>
          <w:rFonts w:eastAsia="Times New Roman" w:cs="Times New Roman"/>
          <w:color w:val="000000"/>
          <w:szCs w:val="24"/>
        </w:rPr>
        <w:t>ese</w:t>
      </w:r>
      <w:r>
        <w:rPr>
          <w:rFonts w:eastAsia="Times New Roman" w:cs="Times New Roman"/>
          <w:color w:val="000000"/>
          <w:szCs w:val="24"/>
        </w:rPr>
        <w:t xml:space="preserve"> risk</w:t>
      </w:r>
      <w:r w:rsidR="00DC309E">
        <w:rPr>
          <w:rFonts w:eastAsia="Times New Roman" w:cs="Times New Roman"/>
          <w:color w:val="000000"/>
          <w:szCs w:val="24"/>
        </w:rPr>
        <w:t>s</w:t>
      </w:r>
      <w:r>
        <w:rPr>
          <w:rFonts w:eastAsia="Times New Roman" w:cs="Times New Roman"/>
          <w:color w:val="000000"/>
          <w:szCs w:val="24"/>
        </w:rPr>
        <w:t xml:space="preserve"> </w:t>
      </w:r>
      <w:r w:rsidR="00DC309E">
        <w:rPr>
          <w:rFonts w:eastAsia="Times New Roman" w:cs="Times New Roman"/>
          <w:color w:val="000000"/>
          <w:szCs w:val="24"/>
        </w:rPr>
        <w:t>are</w:t>
      </w:r>
      <w:r>
        <w:rPr>
          <w:rFonts w:eastAsia="Times New Roman" w:cs="Times New Roman"/>
          <w:color w:val="000000"/>
          <w:szCs w:val="24"/>
        </w:rPr>
        <w:t xml:space="preserve"> not about different treatment between </w:t>
      </w:r>
      <w:r w:rsidR="00DC309E">
        <w:rPr>
          <w:rFonts w:eastAsia="Times New Roman" w:cs="Times New Roman"/>
          <w:color w:val="000000"/>
          <w:szCs w:val="24"/>
        </w:rPr>
        <w:t>localities</w:t>
      </w:r>
      <w:r>
        <w:rPr>
          <w:rFonts w:eastAsia="Times New Roman" w:cs="Times New Roman"/>
          <w:color w:val="000000"/>
          <w:szCs w:val="24"/>
        </w:rPr>
        <w:t xml:space="preserve"> of the kind often derided as a </w:t>
      </w:r>
      <w:r w:rsidR="00057A3F">
        <w:rPr>
          <w:rFonts w:eastAsia="Times New Roman" w:cs="Times New Roman"/>
          <w:color w:val="000000"/>
          <w:szCs w:val="24"/>
        </w:rPr>
        <w:t>“</w:t>
      </w:r>
      <w:r>
        <w:rPr>
          <w:rFonts w:eastAsia="Times New Roman" w:cs="Times New Roman"/>
          <w:color w:val="000000"/>
          <w:szCs w:val="24"/>
        </w:rPr>
        <w:t>postcode lottery</w:t>
      </w:r>
      <w:r w:rsidR="00057A3F">
        <w:rPr>
          <w:rFonts w:eastAsia="Times New Roman" w:cs="Times New Roman"/>
          <w:color w:val="000000"/>
          <w:szCs w:val="24"/>
        </w:rPr>
        <w:t>.”</w:t>
      </w:r>
      <w:r>
        <w:rPr>
          <w:rFonts w:eastAsia="Times New Roman" w:cs="Times New Roman"/>
          <w:color w:val="000000"/>
          <w:szCs w:val="24"/>
        </w:rPr>
        <w:t xml:space="preserve"> Differences in treatment </w:t>
      </w:r>
      <w:r w:rsidR="000C2C4D">
        <w:rPr>
          <w:rFonts w:eastAsia="Times New Roman" w:cs="Times New Roman"/>
          <w:color w:val="000000"/>
          <w:szCs w:val="24"/>
        </w:rPr>
        <w:t>are</w:t>
      </w:r>
      <w:r>
        <w:rPr>
          <w:rFonts w:eastAsia="Times New Roman" w:cs="Times New Roman"/>
          <w:color w:val="000000"/>
          <w:szCs w:val="24"/>
        </w:rPr>
        <w:t xml:space="preserve"> a feature of devolution, not a bug. But there are public law risks in transferring the design and administration of entitlement-based decision-making to local authorities. Central Government may be ill-suited to the kind of case-by-case discretion that local government has long delivered, but so too may a cash-strapped and under pressure local government struggl</w:t>
      </w:r>
      <w:r w:rsidR="00DC309E">
        <w:rPr>
          <w:rFonts w:eastAsia="Times New Roman" w:cs="Times New Roman"/>
          <w:color w:val="000000"/>
          <w:szCs w:val="24"/>
        </w:rPr>
        <w:t>ing</w:t>
      </w:r>
      <w:r>
        <w:rPr>
          <w:rFonts w:eastAsia="Times New Roman" w:cs="Times New Roman"/>
          <w:color w:val="000000"/>
          <w:szCs w:val="24"/>
        </w:rPr>
        <w:t xml:space="preserve"> to effectively design and administer what are, in practice, means-tested schemes of entitlement.</w:t>
      </w:r>
    </w:p>
    <w:p w14:paraId="10A7078A" w14:textId="2D9F8059" w:rsidR="00001AF7" w:rsidRPr="001B27B7" w:rsidRDefault="00001AF7" w:rsidP="006C0E5F">
      <w:pPr>
        <w:spacing w:line="276" w:lineRule="auto"/>
        <w:jc w:val="both"/>
        <w:rPr>
          <w:rFonts w:eastAsia="Times New Roman" w:cs="Times New Roman"/>
          <w:color w:val="000000"/>
          <w:szCs w:val="24"/>
        </w:rPr>
      </w:pPr>
      <w:r>
        <w:rPr>
          <w:rFonts w:eastAsia="Times New Roman" w:cs="Times New Roman"/>
          <w:color w:val="000000"/>
          <w:szCs w:val="24"/>
        </w:rPr>
        <w:t xml:space="preserve">There are benefits to central Government of pushing these entitlement decisions down to the local level. As in </w:t>
      </w:r>
      <w:r w:rsidR="008054BF" w:rsidRPr="008054BF">
        <w:rPr>
          <w:rFonts w:eastAsia="Times New Roman" w:cs="Times New Roman"/>
          <w:i/>
          <w:iCs/>
          <w:color w:val="000000"/>
          <w:szCs w:val="24"/>
        </w:rPr>
        <w:t>R (on the application of Moseley) v London Borough of Haringey</w:t>
      </w:r>
      <w:r>
        <w:rPr>
          <w:rFonts w:eastAsia="Times New Roman" w:cs="Times New Roman"/>
          <w:color w:val="000000"/>
          <w:szCs w:val="24"/>
        </w:rPr>
        <w:t>,</w:t>
      </w:r>
      <w:r w:rsidR="003C6D58">
        <w:rPr>
          <w:rStyle w:val="FootnoteReference"/>
          <w:rFonts w:eastAsia="Times New Roman" w:cs="Times New Roman"/>
          <w:color w:val="000000"/>
          <w:szCs w:val="24"/>
        </w:rPr>
        <w:footnoteReference w:id="40"/>
      </w:r>
      <w:r>
        <w:rPr>
          <w:rFonts w:eastAsia="Times New Roman" w:cs="Times New Roman"/>
          <w:color w:val="000000"/>
          <w:szCs w:val="24"/>
        </w:rPr>
        <w:t xml:space="preserve"> they can wash their hands of the cuts to resources and lay the blame at local authorities for their design-and-delivery of schemes.</w:t>
      </w:r>
      <w:r w:rsidR="002F3748">
        <w:rPr>
          <w:rStyle w:val="FootnoteReference"/>
          <w:rFonts w:eastAsia="Times New Roman" w:cs="Times New Roman"/>
          <w:color w:val="000000"/>
          <w:szCs w:val="24"/>
        </w:rPr>
        <w:footnoteReference w:id="41"/>
      </w:r>
      <w:r>
        <w:rPr>
          <w:rFonts w:eastAsia="Times New Roman" w:cs="Times New Roman"/>
          <w:color w:val="000000"/>
          <w:szCs w:val="24"/>
        </w:rPr>
        <w:t xml:space="preserve"> Local authorities themselves then provide the provision they can, with ever diminishing resources. Without the considerable barriers to challenging CTRS schemes in the courts, Trafford would likely be but one example of many.</w:t>
      </w:r>
    </w:p>
    <w:p w14:paraId="31CB219A" w14:textId="0121AF4A" w:rsidR="00F360C5" w:rsidRDefault="000A2888" w:rsidP="006C0E5F">
      <w:pPr>
        <w:spacing w:line="276" w:lineRule="auto"/>
        <w:jc w:val="both"/>
        <w:rPr>
          <w:rFonts w:eastAsia="Times New Roman" w:cs="Times New Roman"/>
          <w:color w:val="000000"/>
          <w:szCs w:val="24"/>
        </w:rPr>
      </w:pPr>
      <w:r>
        <w:rPr>
          <w:rFonts w:eastAsia="Times New Roman" w:cs="Times New Roman"/>
          <w:color w:val="000000"/>
          <w:szCs w:val="24"/>
        </w:rPr>
        <w:t>The argument of this case comment is not that local welfare does not have a place in the welfare state. Local authorities have long played a role in the kind of localised welfare decision-making to which they are far better suited than central Government – such as homelessness support, crisis provision</w:t>
      </w:r>
      <w:r w:rsidR="00F45966">
        <w:rPr>
          <w:rFonts w:eastAsia="Times New Roman" w:cs="Times New Roman"/>
          <w:color w:val="000000"/>
          <w:szCs w:val="24"/>
        </w:rPr>
        <w:t xml:space="preserve"> (from payments to white goods), and social care</w:t>
      </w:r>
      <w:r w:rsidR="00261F2E">
        <w:rPr>
          <w:rFonts w:eastAsia="Times New Roman" w:cs="Times New Roman"/>
          <w:color w:val="000000"/>
          <w:szCs w:val="24"/>
        </w:rPr>
        <w:t xml:space="preserve"> – where a deep understanding of both the individual and the locality makes a difference. </w:t>
      </w:r>
      <w:r w:rsidR="006947F5">
        <w:rPr>
          <w:rFonts w:eastAsia="Times New Roman" w:cs="Times New Roman"/>
          <w:color w:val="000000"/>
          <w:szCs w:val="24"/>
        </w:rPr>
        <w:t>The new Crisis and Resilience Fund is the kind of localised provision – albeit with arguments over its underpinning guidance and funding – that is suitable for localised design and delivery.</w:t>
      </w:r>
      <w:r w:rsidR="00731E63">
        <w:rPr>
          <w:rStyle w:val="FootnoteReference"/>
          <w:rFonts w:eastAsia="Times New Roman" w:cs="Times New Roman"/>
          <w:color w:val="000000"/>
          <w:szCs w:val="24"/>
        </w:rPr>
        <w:footnoteReference w:id="42"/>
      </w:r>
    </w:p>
    <w:p w14:paraId="5F6ED242" w14:textId="5F028F41" w:rsidR="006679B8" w:rsidRDefault="00597989" w:rsidP="006C0E5F">
      <w:pPr>
        <w:spacing w:line="276" w:lineRule="auto"/>
        <w:jc w:val="both"/>
        <w:rPr>
          <w:rFonts w:eastAsia="Times New Roman" w:cs="Times New Roman"/>
          <w:color w:val="000000"/>
          <w:szCs w:val="24"/>
        </w:rPr>
      </w:pPr>
      <w:r>
        <w:rPr>
          <w:rFonts w:eastAsia="Times New Roman" w:cs="Times New Roman"/>
          <w:color w:val="000000"/>
          <w:szCs w:val="24"/>
        </w:rPr>
        <w:t xml:space="preserve">However, as demonstrated aptly in Trafford, CTRS is a different creature. </w:t>
      </w:r>
      <w:r w:rsidR="00352550">
        <w:rPr>
          <w:rFonts w:eastAsia="Times New Roman" w:cs="Times New Roman"/>
          <w:color w:val="000000"/>
          <w:szCs w:val="24"/>
        </w:rPr>
        <w:t xml:space="preserve">There are not only concerns about the democratic legitimacy of these schemes, the arbitrary treatment of households, their increasing inability to meet the needs of residents, or their sustainability in the face of a pressing financial crisis in local government. </w:t>
      </w:r>
      <w:r w:rsidR="00492C7E">
        <w:rPr>
          <w:rFonts w:eastAsia="Times New Roman" w:cs="Times New Roman"/>
          <w:color w:val="000000"/>
          <w:szCs w:val="24"/>
        </w:rPr>
        <w:t xml:space="preserve">There are also fundamental concerns that should concern public lawyers: discriminatory treatment in scheme design, irrationality, </w:t>
      </w:r>
      <w:r w:rsidR="00492C7E">
        <w:rPr>
          <w:rFonts w:eastAsia="Times New Roman" w:cs="Times New Roman"/>
          <w:color w:val="000000"/>
          <w:szCs w:val="24"/>
        </w:rPr>
        <w:lastRenderedPageBreak/>
        <w:t xml:space="preserve">and unlawful policy-making processes. </w:t>
      </w:r>
      <w:r w:rsidR="00FF10F9">
        <w:rPr>
          <w:rFonts w:eastAsia="Times New Roman" w:cs="Times New Roman"/>
          <w:color w:val="000000"/>
          <w:szCs w:val="24"/>
        </w:rPr>
        <w:t>For CTRS, the localisation candle is not worth the flame</w:t>
      </w:r>
      <w:r w:rsidR="006E2FC9">
        <w:rPr>
          <w:rFonts w:eastAsia="Times New Roman" w:cs="Times New Roman"/>
          <w:color w:val="000000"/>
          <w:szCs w:val="24"/>
        </w:rPr>
        <w:t>.</w:t>
      </w:r>
      <w:r w:rsidR="00FF10F9">
        <w:rPr>
          <w:rFonts w:eastAsia="Times New Roman" w:cs="Times New Roman"/>
          <w:color w:val="000000"/>
          <w:szCs w:val="24"/>
        </w:rPr>
        <w:t xml:space="preserve"> Trafford is another illustration of why council tax support should return to being a national benefit.</w:t>
      </w:r>
    </w:p>
    <w:sectPr w:rsidR="006679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927EC" w14:textId="77777777" w:rsidR="00530BAD" w:rsidRDefault="00530BAD" w:rsidP="00410380">
      <w:pPr>
        <w:spacing w:after="0" w:line="240" w:lineRule="auto"/>
      </w:pPr>
      <w:r>
        <w:separator/>
      </w:r>
    </w:p>
  </w:endnote>
  <w:endnote w:type="continuationSeparator" w:id="0">
    <w:p w14:paraId="7DEB2674" w14:textId="77777777" w:rsidR="00530BAD" w:rsidRDefault="00530BAD" w:rsidP="0041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00BF5" w14:textId="77777777" w:rsidR="00530BAD" w:rsidRDefault="00530BAD" w:rsidP="00410380">
      <w:pPr>
        <w:spacing w:after="0" w:line="240" w:lineRule="auto"/>
      </w:pPr>
      <w:r>
        <w:separator/>
      </w:r>
    </w:p>
  </w:footnote>
  <w:footnote w:type="continuationSeparator" w:id="0">
    <w:p w14:paraId="27B4A39A" w14:textId="77777777" w:rsidR="00530BAD" w:rsidRDefault="00530BAD" w:rsidP="00410380">
      <w:pPr>
        <w:spacing w:after="0" w:line="240" w:lineRule="auto"/>
      </w:pPr>
      <w:r>
        <w:continuationSeparator/>
      </w:r>
    </w:p>
  </w:footnote>
  <w:footnote w:id="1">
    <w:p w14:paraId="7101092D" w14:textId="4D48ED6A" w:rsidR="00E46FFC" w:rsidRDefault="00E46FFC" w:rsidP="00133956">
      <w:pPr>
        <w:spacing w:after="0"/>
        <w:rPr>
          <w:sz w:val="20"/>
          <w:szCs w:val="20"/>
        </w:rPr>
      </w:pPr>
      <w:r>
        <w:rPr>
          <w:sz w:val="20"/>
          <w:szCs w:val="20"/>
        </w:rPr>
        <w:t>*Senior Lecturer in Law, York Law School, University of York, UK.</w:t>
      </w:r>
    </w:p>
    <w:p w14:paraId="6C76DC09" w14:textId="7EE4447D" w:rsidR="00410380" w:rsidRPr="002944F3" w:rsidRDefault="00410380" w:rsidP="00133956">
      <w:pPr>
        <w:spacing w:after="0"/>
        <w:rPr>
          <w:rFonts w:eastAsia="Times New Roman" w:cs="Times New Roman"/>
          <w:sz w:val="20"/>
          <w:szCs w:val="20"/>
        </w:rPr>
      </w:pPr>
      <w:r w:rsidRPr="002944F3">
        <w:rPr>
          <w:rStyle w:val="FootnoteReference"/>
          <w:sz w:val="20"/>
          <w:szCs w:val="20"/>
        </w:rPr>
        <w:footnoteRef/>
      </w:r>
      <w:r w:rsidRPr="002944F3">
        <w:rPr>
          <w:sz w:val="20"/>
          <w:szCs w:val="20"/>
        </w:rPr>
        <w:t xml:space="preserve"> </w:t>
      </w:r>
      <w:r w:rsidR="00EA033D" w:rsidRPr="00EA033D">
        <w:rPr>
          <w:rFonts w:eastAsia="Times New Roman" w:cs="Times New Roman"/>
          <w:sz w:val="20"/>
          <w:szCs w:val="20"/>
        </w:rPr>
        <w:t xml:space="preserve">Department for Levelling Up, Housing &amp; Communities, "Collection Rates for Council Tax and Non-domestic Rates in England: 2023 to 2024" (2024), </w:t>
      </w:r>
      <w:r w:rsidR="00EA033D" w:rsidRPr="00AF3F4D">
        <w:rPr>
          <w:rFonts w:eastAsia="Times New Roman" w:cs="Times New Roman"/>
          <w:sz w:val="20"/>
          <w:szCs w:val="20"/>
        </w:rPr>
        <w:t>https://www.gov.uk/government/statistics/collection-rates-for-council-tax-and-non-domestic-rates-in-england-2023-to-2024/collection-rates-for-council-tax-and-non-domestic-rates-in-england-2023-to-2024</w:t>
      </w:r>
      <w:r w:rsidR="00EA033D" w:rsidRPr="00EA033D">
        <w:rPr>
          <w:rFonts w:eastAsia="Times New Roman" w:cs="Times New Roman"/>
          <w:sz w:val="20"/>
          <w:szCs w:val="20"/>
        </w:rPr>
        <w:t xml:space="preserve"> [Accessed 2 November 2025]</w:t>
      </w:r>
    </w:p>
  </w:footnote>
  <w:footnote w:id="2">
    <w:p w14:paraId="6A32EAA8" w14:textId="2479C30D" w:rsidR="009C3565" w:rsidRPr="002944F3" w:rsidRDefault="009C3565" w:rsidP="009C3565">
      <w:pPr>
        <w:spacing w:after="0"/>
        <w:rPr>
          <w:rFonts w:eastAsia="Times New Roman" w:cs="Times New Roman"/>
          <w:i/>
          <w:sz w:val="20"/>
          <w:szCs w:val="20"/>
        </w:rPr>
      </w:pPr>
      <w:r w:rsidRPr="002944F3">
        <w:rPr>
          <w:rStyle w:val="FootnoteReference"/>
          <w:sz w:val="20"/>
          <w:szCs w:val="20"/>
        </w:rPr>
        <w:footnoteRef/>
      </w:r>
      <w:r w:rsidRPr="002944F3">
        <w:rPr>
          <w:sz w:val="20"/>
          <w:szCs w:val="20"/>
        </w:rPr>
        <w:t xml:space="preserve"> </w:t>
      </w:r>
      <w:r w:rsidR="00EA033D" w:rsidRPr="00EA033D">
        <w:rPr>
          <w:rFonts w:eastAsia="Times New Roman" w:cs="Times New Roman"/>
          <w:sz w:val="20"/>
          <w:szCs w:val="20"/>
        </w:rPr>
        <w:t xml:space="preserve">Ministry of Housing, Communities and Local Government, "Live Tables on Council Tax" (2024), </w:t>
      </w:r>
      <w:r w:rsidR="00EA033D" w:rsidRPr="00AF3F4D">
        <w:rPr>
          <w:rFonts w:eastAsia="Times New Roman" w:cs="Times New Roman"/>
          <w:sz w:val="20"/>
          <w:szCs w:val="20"/>
        </w:rPr>
        <w:t>https://www.gov.uk/government/statistical-data-sets/live-tables-on-council-tax</w:t>
      </w:r>
      <w:r w:rsidR="00EA033D" w:rsidRPr="00EA033D">
        <w:rPr>
          <w:rFonts w:eastAsia="Times New Roman" w:cs="Times New Roman"/>
          <w:sz w:val="20"/>
          <w:szCs w:val="20"/>
        </w:rPr>
        <w:t xml:space="preserve"> [Accessed 2 November 2025]</w:t>
      </w:r>
    </w:p>
  </w:footnote>
  <w:footnote w:id="3">
    <w:p w14:paraId="089D9FAE" w14:textId="1F0B95D6" w:rsidR="009C3565" w:rsidRPr="002944F3" w:rsidRDefault="009C3565" w:rsidP="00822EAF">
      <w:pPr>
        <w:spacing w:after="0"/>
        <w:rPr>
          <w:rFonts w:eastAsia="Times New Roman" w:cs="Times New Roman"/>
          <w:sz w:val="20"/>
          <w:szCs w:val="20"/>
        </w:rPr>
      </w:pPr>
      <w:r w:rsidRPr="002944F3">
        <w:rPr>
          <w:rStyle w:val="FootnoteReference"/>
          <w:sz w:val="20"/>
          <w:szCs w:val="20"/>
        </w:rPr>
        <w:footnoteRef/>
      </w:r>
      <w:r w:rsidRPr="002944F3">
        <w:rPr>
          <w:sz w:val="20"/>
          <w:szCs w:val="20"/>
        </w:rPr>
        <w:t xml:space="preserve"> </w:t>
      </w:r>
      <w:r w:rsidR="00043440" w:rsidRPr="00043440">
        <w:rPr>
          <w:rFonts w:eastAsia="Times New Roman" w:cs="Times New Roman"/>
          <w:sz w:val="20"/>
          <w:szCs w:val="20"/>
        </w:rPr>
        <w:t>Michael Orton, "Taxation and local taxes" in A. Lymer, M. May and A. Sinfield (eds), Taxation and Social Policy (Bristol: Bristol University Press, 2023), pp.202–218</w:t>
      </w:r>
    </w:p>
  </w:footnote>
  <w:footnote w:id="4">
    <w:p w14:paraId="44A1D698" w14:textId="24731E7B" w:rsidR="00131F19" w:rsidRPr="002944F3" w:rsidRDefault="00131F19">
      <w:pPr>
        <w:pStyle w:val="FootnoteText"/>
      </w:pPr>
      <w:r w:rsidRPr="002944F3">
        <w:rPr>
          <w:rStyle w:val="FootnoteReference"/>
        </w:rPr>
        <w:footnoteRef/>
      </w:r>
      <w:r w:rsidRPr="002944F3">
        <w:t xml:space="preserve"> </w:t>
      </w:r>
      <w:r w:rsidR="00043440" w:rsidRPr="00043440">
        <w:t xml:space="preserve">Ministry of Housing, Communities and Local Government, "Live Tables on Local Government Finance" (2024), </w:t>
      </w:r>
      <w:r w:rsidR="00043440" w:rsidRPr="00AF3F4D">
        <w:t>https://www.gov.uk/government/statistical-data-sets/live-tables-on-local-government-finance#local-council-tax-support</w:t>
      </w:r>
      <w:r w:rsidR="00043440" w:rsidRPr="00043440">
        <w:t xml:space="preserve"> [Accessed 2 November 2025]</w:t>
      </w:r>
    </w:p>
  </w:footnote>
  <w:footnote w:id="5">
    <w:p w14:paraId="1016D547" w14:textId="056D1408" w:rsidR="00F74EA6" w:rsidRPr="002944F3" w:rsidRDefault="00F74EA6" w:rsidP="00F74EA6">
      <w:pPr>
        <w:pStyle w:val="FootnoteText"/>
      </w:pPr>
      <w:r w:rsidRPr="002944F3">
        <w:rPr>
          <w:rStyle w:val="FootnoteReference"/>
        </w:rPr>
        <w:footnoteRef/>
      </w:r>
      <w:r w:rsidRPr="002944F3">
        <w:t xml:space="preserve"> </w:t>
      </w:r>
      <w:r w:rsidR="00043440" w:rsidRPr="00043440">
        <w:t>Alex Clegg, "The Localisation Era: Assessing the Post-2013 Rise of Localised Social Security" (Resolution Foundation, 2025), p.11</w:t>
      </w:r>
    </w:p>
  </w:footnote>
  <w:footnote w:id="6">
    <w:p w14:paraId="521F4DE7" w14:textId="7023E582" w:rsidR="00DF797F" w:rsidRDefault="00DF797F">
      <w:pPr>
        <w:pStyle w:val="FootnoteText"/>
      </w:pPr>
      <w:r>
        <w:rPr>
          <w:rStyle w:val="FootnoteReference"/>
        </w:rPr>
        <w:footnoteRef/>
      </w:r>
      <w:r>
        <w:t xml:space="preserve"> </w:t>
      </w:r>
      <w:r w:rsidRPr="00CB6EA6">
        <w:rPr>
          <w:rFonts w:eastAsia="Times New Roman" w:cs="Times New Roman"/>
          <w:color w:val="000000"/>
          <w:szCs w:val="24"/>
        </w:rPr>
        <w:t>[2025]</w:t>
      </w:r>
      <w:r w:rsidRPr="00DF536E">
        <w:rPr>
          <w:rFonts w:eastAsia="Times New Roman" w:cs="Times New Roman"/>
          <w:color w:val="000000"/>
          <w:szCs w:val="24"/>
        </w:rPr>
        <w:t xml:space="preserve"> EWHC 2380 (Admin)</w:t>
      </w:r>
      <w:r>
        <w:rPr>
          <w:rFonts w:eastAsia="Times New Roman" w:cs="Times New Roman"/>
          <w:color w:val="000000"/>
          <w:szCs w:val="24"/>
        </w:rPr>
        <w:t>.</w:t>
      </w:r>
    </w:p>
  </w:footnote>
  <w:footnote w:id="7">
    <w:p w14:paraId="5EBF8168" w14:textId="0EFA4F37" w:rsidR="002944F3" w:rsidRPr="003D367E" w:rsidRDefault="002944F3">
      <w:pPr>
        <w:pStyle w:val="FootnoteText"/>
      </w:pPr>
      <w:r w:rsidRPr="002944F3">
        <w:rPr>
          <w:rStyle w:val="FootnoteReference"/>
        </w:rPr>
        <w:footnoteRef/>
      </w:r>
      <w:r w:rsidRPr="002944F3">
        <w:t xml:space="preserve"> See </w:t>
      </w:r>
      <w:r w:rsidR="00B62D26" w:rsidRPr="00B62D26">
        <w:rPr>
          <w:rFonts w:asciiTheme="majorBidi" w:hAnsiTheme="majorBidi" w:cstheme="majorBidi"/>
        </w:rPr>
        <w:t>Local Government and Finance Act 1992 Sch.1A</w:t>
      </w:r>
      <w:r w:rsidR="00043440" w:rsidRPr="00043440">
        <w:rPr>
          <w:rFonts w:asciiTheme="majorBidi" w:hAnsiTheme="majorBidi" w:cstheme="majorBidi"/>
        </w:rPr>
        <w:t xml:space="preserve">; Council Tax Reduction Schemes (Prescribed Requirements) (England) Regulations 2012 (SI 2012/2885); </w:t>
      </w:r>
      <w:r w:rsidR="00043440" w:rsidRPr="00043440">
        <w:rPr>
          <w:rFonts w:asciiTheme="majorBidi" w:hAnsiTheme="majorBidi" w:cstheme="majorBidi"/>
          <w:i/>
          <w:iCs/>
        </w:rPr>
        <w:t xml:space="preserve">Trafford </w:t>
      </w:r>
      <w:r w:rsidR="00043440" w:rsidRPr="00043440">
        <w:rPr>
          <w:rFonts w:asciiTheme="majorBidi" w:hAnsiTheme="majorBidi" w:cstheme="majorBidi"/>
        </w:rPr>
        <w:t>at [2]</w:t>
      </w:r>
      <w:r w:rsidR="00043440">
        <w:rPr>
          <w:rFonts w:asciiTheme="majorBidi" w:hAnsiTheme="majorBidi" w:cstheme="majorBidi"/>
        </w:rPr>
        <w:t>.</w:t>
      </w:r>
    </w:p>
  </w:footnote>
  <w:footnote w:id="8">
    <w:p w14:paraId="26D011C8" w14:textId="7B8E6499" w:rsidR="00803F67" w:rsidRDefault="00803F67">
      <w:pPr>
        <w:pStyle w:val="FootnoteText"/>
      </w:pPr>
      <w:r>
        <w:rPr>
          <w:rStyle w:val="FootnoteReference"/>
        </w:rPr>
        <w:footnoteRef/>
      </w:r>
      <w:r>
        <w:t xml:space="preserve"> </w:t>
      </w:r>
      <w:r w:rsidR="00177E3D" w:rsidRPr="00177E3D">
        <w:t xml:space="preserve">Jed Meers, ‘Discretion as blame avoidance: passing the buck to local authorities in ‘welfare reform’’ (2019) 27(1) Journal of Poverty and Social Justice 41, </w:t>
      </w:r>
      <w:r w:rsidR="004E5DC8">
        <w:t>p.</w:t>
      </w:r>
      <w:r w:rsidR="0043154A">
        <w:t xml:space="preserve"> </w:t>
      </w:r>
      <w:r w:rsidR="006D3D57">
        <w:t>47</w:t>
      </w:r>
    </w:p>
  </w:footnote>
  <w:footnote w:id="9">
    <w:p w14:paraId="652D35CD" w14:textId="755A1FE3" w:rsidR="00B15EDE" w:rsidRPr="00CD4BC2" w:rsidRDefault="00B15EDE" w:rsidP="00B15EDE">
      <w:pPr>
        <w:pStyle w:val="FootnoteText"/>
      </w:pPr>
      <w:r>
        <w:rPr>
          <w:rStyle w:val="FootnoteReference"/>
        </w:rPr>
        <w:footnoteRef/>
      </w:r>
      <w:r w:rsidRPr="00CD4BC2">
        <w:t xml:space="preserve"> </w:t>
      </w:r>
      <w:r w:rsidR="007C0E60" w:rsidRPr="00043440">
        <w:t>Alex Clegg, "The Localisation Era: Assessing the Post-2013 Rise of Localised Social Security" (Resolution Foundation, 2025)</w:t>
      </w:r>
      <w:r w:rsidR="007C0E60">
        <w:t>.</w:t>
      </w:r>
    </w:p>
  </w:footnote>
  <w:footnote w:id="10">
    <w:p w14:paraId="76014D28" w14:textId="6E64ED3D" w:rsidR="004E5DC8" w:rsidRDefault="00180394" w:rsidP="004E5DC8">
      <w:pPr>
        <w:pStyle w:val="FootnoteText"/>
      </w:pPr>
      <w:r w:rsidRPr="002944F3">
        <w:rPr>
          <w:rStyle w:val="FootnoteReference"/>
        </w:rPr>
        <w:footnoteRef/>
      </w:r>
      <w:r w:rsidRPr="009B3D86">
        <w:t xml:space="preserve"> </w:t>
      </w:r>
      <w:r w:rsidR="004E5DC8" w:rsidRPr="004E5DC8">
        <w:t>Institute for Fiscal Studies,</w:t>
      </w:r>
      <w:r w:rsidR="004E5DC8">
        <w:t xml:space="preserve"> </w:t>
      </w:r>
      <w:r w:rsidR="00F75DA8">
        <w:t>“</w:t>
      </w:r>
      <w:r w:rsidR="004E5DC8">
        <w:t>The impacts of localised council tax</w:t>
      </w:r>
    </w:p>
    <w:p w14:paraId="5043BB43" w14:textId="16A2A8C5" w:rsidR="00180394" w:rsidRPr="009B3D86" w:rsidRDefault="004E5DC8" w:rsidP="004E5DC8">
      <w:pPr>
        <w:pStyle w:val="FootnoteText"/>
      </w:pPr>
      <w:r>
        <w:t>support schemes</w:t>
      </w:r>
      <w:r w:rsidR="00F75DA8">
        <w:t>”</w:t>
      </w:r>
      <w:r>
        <w:t xml:space="preserve"> (2019)</w:t>
      </w:r>
      <w:r w:rsidRPr="004E5DC8">
        <w:t xml:space="preserve"> </w:t>
      </w:r>
      <w:r w:rsidRPr="00AF3F4D">
        <w:t>https://ifs.org.uk/sites/default/files/output_url_files/R153.pdf</w:t>
      </w:r>
      <w:r w:rsidRPr="004E5DC8">
        <w:t>, p.6 [Accessed 2 November 2025]</w:t>
      </w:r>
    </w:p>
  </w:footnote>
  <w:footnote w:id="11">
    <w:p w14:paraId="11BE6AA4" w14:textId="7359807E" w:rsidR="008E4553" w:rsidRPr="009B3D86" w:rsidRDefault="008E4553">
      <w:pPr>
        <w:pStyle w:val="FootnoteText"/>
      </w:pPr>
      <w:r>
        <w:rPr>
          <w:rStyle w:val="FootnoteReference"/>
        </w:rPr>
        <w:footnoteRef/>
      </w:r>
      <w:r w:rsidRPr="009B3D86">
        <w:t xml:space="preserve"> </w:t>
      </w:r>
      <w:r w:rsidR="00F75DA8" w:rsidRPr="00F75DA8">
        <w:t xml:space="preserve">Policy in Practice, "A Path to Better Council Tax Support Schemes" (2025), </w:t>
      </w:r>
      <w:r w:rsidR="00F75DA8" w:rsidRPr="00AF3F4D">
        <w:t>https://policyinpractice.co.uk/wp-content/uploads/2025/05/Report_A-path-to-better-Council-Tax-Support-schemes_Apr25-.pdf</w:t>
      </w:r>
      <w:r w:rsidR="00F75DA8" w:rsidRPr="00F75DA8">
        <w:t>, p.12 [Accessed 2 November 2025]</w:t>
      </w:r>
    </w:p>
  </w:footnote>
  <w:footnote w:id="12">
    <w:p w14:paraId="637E02C8" w14:textId="54FB51EB" w:rsidR="001140E6" w:rsidRDefault="001140E6">
      <w:pPr>
        <w:pStyle w:val="FootnoteText"/>
      </w:pPr>
      <w:r>
        <w:rPr>
          <w:rStyle w:val="FootnoteReference"/>
        </w:rPr>
        <w:footnoteRef/>
      </w:r>
      <w:r>
        <w:t xml:space="preserve"> </w:t>
      </w:r>
      <w:r w:rsidR="007C0E60" w:rsidRPr="00043440">
        <w:t>Alex Clegg, "The Localisation Era: Assessing the Post-2013 Rise of Localised Social Security" (Resolution Foundation, 2025)</w:t>
      </w:r>
      <w:r w:rsidR="007C0E60">
        <w:t>.</w:t>
      </w:r>
    </w:p>
  </w:footnote>
  <w:footnote w:id="13">
    <w:p w14:paraId="35C44D2B" w14:textId="06327F91" w:rsidR="007045CB" w:rsidRPr="007045CB" w:rsidRDefault="007045CB">
      <w:pPr>
        <w:pStyle w:val="FootnoteText"/>
      </w:pPr>
      <w:r>
        <w:rPr>
          <w:rStyle w:val="FootnoteReference"/>
        </w:rPr>
        <w:footnoteRef/>
      </w:r>
      <w:r>
        <w:t xml:space="preserve"> </w:t>
      </w:r>
      <w:r>
        <w:rPr>
          <w:i/>
          <w:iCs/>
        </w:rPr>
        <w:t xml:space="preserve">Trafford </w:t>
      </w:r>
      <w:r>
        <w:t>at [3].</w:t>
      </w:r>
    </w:p>
  </w:footnote>
  <w:footnote w:id="14">
    <w:p w14:paraId="34790E30" w14:textId="3D770D0A" w:rsidR="00111E07" w:rsidRPr="00111E07" w:rsidRDefault="00111E07">
      <w:pPr>
        <w:pStyle w:val="FootnoteText"/>
      </w:pPr>
      <w:r>
        <w:rPr>
          <w:rStyle w:val="FootnoteReference"/>
        </w:rPr>
        <w:footnoteRef/>
      </w:r>
      <w:r>
        <w:t xml:space="preserve"> </w:t>
      </w:r>
      <w:r w:rsidR="003C5CA4">
        <w:t xml:space="preserve">For a detailed overview of the sheer complexity of </w:t>
      </w:r>
      <w:r w:rsidR="007C0F1F">
        <w:t>this kind of eligibility test</w:t>
      </w:r>
      <w:r w:rsidR="003C5CA4">
        <w:t xml:space="preserve">, </w:t>
      </w:r>
      <w:r w:rsidR="00005BE4">
        <w:t>s</w:t>
      </w:r>
      <w:r>
        <w:t xml:space="preserve">ee </w:t>
      </w:r>
      <w:r w:rsidR="00F75DA8" w:rsidRPr="00F75DA8">
        <w:t>Neville Harris, Law in a Complex State (Oxford: Hart, 2013)</w:t>
      </w:r>
      <w:r w:rsidR="00F75DA8">
        <w:t>.</w:t>
      </w:r>
    </w:p>
  </w:footnote>
  <w:footnote w:id="15">
    <w:p w14:paraId="768F93E2" w14:textId="518BB843" w:rsidR="00E8549C" w:rsidRPr="009B3D86" w:rsidRDefault="00E8549C">
      <w:pPr>
        <w:pStyle w:val="FootnoteText"/>
      </w:pPr>
      <w:r>
        <w:rPr>
          <w:rStyle w:val="FootnoteReference"/>
        </w:rPr>
        <w:footnoteRef/>
      </w:r>
      <w:r w:rsidR="00001A2C" w:rsidRPr="009B3D86">
        <w:t xml:space="preserve"> </w:t>
      </w:r>
      <w:r w:rsidR="00F75DA8" w:rsidRPr="00F75DA8">
        <w:t>Department for Communities and Local Government, "Local Council Tax Support Schemes: Review Report" (2017)</w:t>
      </w:r>
      <w:r w:rsidR="00F75DA8">
        <w:t xml:space="preserve"> </w:t>
      </w:r>
      <w:r w:rsidR="00F75DA8" w:rsidRPr="00AF3F4D">
        <w:t>https://assets.publishing.service.gov.uk/media/5a80ae5b40f0b62302694e71/Local_Council_Tax_support_schemes_-_review_report.pdf</w:t>
      </w:r>
      <w:r w:rsidR="00F75DA8" w:rsidRPr="00F75DA8">
        <w:t>, p.47 [Accessed 2 November 2025]</w:t>
      </w:r>
    </w:p>
  </w:footnote>
  <w:footnote w:id="16">
    <w:p w14:paraId="00AF9765" w14:textId="4F630FE3" w:rsidR="00CE0CBF" w:rsidRPr="009B3D86" w:rsidRDefault="00CE0CBF" w:rsidP="00CE0CBF">
      <w:pPr>
        <w:pStyle w:val="FootnoteText"/>
      </w:pPr>
      <w:r>
        <w:rPr>
          <w:rStyle w:val="FootnoteReference"/>
        </w:rPr>
        <w:footnoteRef/>
      </w:r>
      <w:r w:rsidRPr="009B3D86">
        <w:t xml:space="preserve"> </w:t>
      </w:r>
      <w:r w:rsidR="002F1E61" w:rsidRPr="00F75DA8">
        <w:t xml:space="preserve">Policy in Practice, "A Path to Better Council Tax Support Schemes" (2025), </w:t>
      </w:r>
      <w:r w:rsidR="002F1E61" w:rsidRPr="00AF3F4D">
        <w:t>https://policyinpractice.co.uk/wp-content/uploads/2025/05/Report_A-path-to-better-Council-Tax-Support-schemes_Apr25-.pdf</w:t>
      </w:r>
      <w:r w:rsidR="002F1E61" w:rsidRPr="00F75DA8">
        <w:t>, p.12 [Accessed 2 November 2025]</w:t>
      </w:r>
      <w:r w:rsidR="002C2534" w:rsidRPr="002C2534">
        <w:t>, p.33</w:t>
      </w:r>
    </w:p>
  </w:footnote>
  <w:footnote w:id="17">
    <w:p w14:paraId="186C5905" w14:textId="1B8A855E" w:rsidR="00184C64" w:rsidRPr="009B3D86" w:rsidRDefault="00184C64" w:rsidP="00184C64">
      <w:pPr>
        <w:pStyle w:val="FootnoteText"/>
      </w:pPr>
      <w:r>
        <w:rPr>
          <w:rStyle w:val="FootnoteReference"/>
        </w:rPr>
        <w:footnoteRef/>
      </w:r>
      <w:r w:rsidRPr="009B3D86">
        <w:t xml:space="preserve"> </w:t>
      </w:r>
      <w:r w:rsidR="002F1E61" w:rsidRPr="00F75DA8">
        <w:t xml:space="preserve">Policy in Practice, "A Path to Better Council Tax Support Schemes" (2025), </w:t>
      </w:r>
      <w:r w:rsidR="002F1E61" w:rsidRPr="00AF3F4D">
        <w:t>https://policyinpractice.co.uk/wp-content/uploads/2025/05/Report_A-path-to-better-Council-Tax-Support-schemes_Apr25-.pdf</w:t>
      </w:r>
      <w:r w:rsidR="002F1E61" w:rsidRPr="00F75DA8">
        <w:t>, p.12 [Accessed 2 November 2025]</w:t>
      </w:r>
      <w:r w:rsidR="002F1E61" w:rsidRPr="002C2534">
        <w:t>, p.33</w:t>
      </w:r>
    </w:p>
  </w:footnote>
  <w:footnote w:id="18">
    <w:p w14:paraId="2B182380" w14:textId="2B198722" w:rsidR="00BB0FB8" w:rsidRPr="00BB0FB8" w:rsidRDefault="00BB0FB8">
      <w:pPr>
        <w:pStyle w:val="FootnoteText"/>
      </w:pPr>
      <w:r>
        <w:rPr>
          <w:rStyle w:val="FootnoteReference"/>
        </w:rPr>
        <w:footnoteRef/>
      </w:r>
      <w:r>
        <w:t xml:space="preserve"> </w:t>
      </w:r>
      <w:r>
        <w:rPr>
          <w:i/>
          <w:iCs/>
        </w:rPr>
        <w:t xml:space="preserve">Trafford </w:t>
      </w:r>
      <w:r>
        <w:t>at [13].</w:t>
      </w:r>
    </w:p>
  </w:footnote>
  <w:footnote w:id="19">
    <w:p w14:paraId="72E763C6" w14:textId="6EC7B8FA" w:rsidR="00830B17" w:rsidRPr="00830B17" w:rsidRDefault="00830B17">
      <w:pPr>
        <w:pStyle w:val="FootnoteText"/>
      </w:pPr>
      <w:r>
        <w:rPr>
          <w:rStyle w:val="FootnoteReference"/>
        </w:rPr>
        <w:footnoteRef/>
      </w:r>
      <w:r>
        <w:t xml:space="preserve"> See </w:t>
      </w:r>
      <w:r>
        <w:rPr>
          <w:i/>
          <w:iCs/>
        </w:rPr>
        <w:t xml:space="preserve">Trafford </w:t>
      </w:r>
      <w:r>
        <w:t>at [18]-[19].</w:t>
      </w:r>
    </w:p>
  </w:footnote>
  <w:footnote w:id="20">
    <w:p w14:paraId="13EC390C" w14:textId="4E08AD4C" w:rsidR="00DB5F05" w:rsidRPr="00DB5F05" w:rsidRDefault="00DB5F05">
      <w:pPr>
        <w:pStyle w:val="FootnoteText"/>
      </w:pPr>
      <w:r>
        <w:rPr>
          <w:rStyle w:val="FootnoteReference"/>
        </w:rPr>
        <w:footnoteRef/>
      </w:r>
      <w:r>
        <w:t xml:space="preserve"> </w:t>
      </w:r>
      <w:r w:rsidR="00704604" w:rsidRPr="00AC2620">
        <w:rPr>
          <w:i/>
          <w:iCs/>
        </w:rPr>
        <w:t xml:space="preserve">Trafford </w:t>
      </w:r>
      <w:r w:rsidR="00704604" w:rsidRPr="00AC2620">
        <w:t>at [</w:t>
      </w:r>
      <w:r w:rsidR="00704604">
        <w:t>88</w:t>
      </w:r>
      <w:r w:rsidR="00704604" w:rsidRPr="00AC2620">
        <w:t>].</w:t>
      </w:r>
    </w:p>
  </w:footnote>
  <w:footnote w:id="21">
    <w:p w14:paraId="50F15EE5" w14:textId="2FE11E34" w:rsidR="00AC2620" w:rsidRPr="00AC2620" w:rsidRDefault="00AC2620">
      <w:pPr>
        <w:pStyle w:val="FootnoteText"/>
        <w:rPr>
          <w:b/>
          <w:bCs/>
        </w:rPr>
      </w:pPr>
      <w:r>
        <w:rPr>
          <w:rStyle w:val="FootnoteReference"/>
        </w:rPr>
        <w:footnoteRef/>
      </w:r>
      <w:r>
        <w:t xml:space="preserve"> </w:t>
      </w:r>
      <w:r w:rsidRPr="00AC2620">
        <w:rPr>
          <w:i/>
          <w:iCs/>
        </w:rPr>
        <w:t xml:space="preserve">Trafford </w:t>
      </w:r>
      <w:r w:rsidRPr="00AC2620">
        <w:t>at [67].</w:t>
      </w:r>
    </w:p>
  </w:footnote>
  <w:footnote w:id="22">
    <w:p w14:paraId="6333DC35" w14:textId="7912E8FB" w:rsidR="00F6098D" w:rsidRPr="00F6098D" w:rsidRDefault="00F6098D">
      <w:pPr>
        <w:pStyle w:val="FootnoteText"/>
      </w:pPr>
      <w:r>
        <w:rPr>
          <w:rStyle w:val="FootnoteReference"/>
        </w:rPr>
        <w:footnoteRef/>
      </w:r>
      <w:r>
        <w:t xml:space="preserve"> See </w:t>
      </w:r>
      <w:r>
        <w:rPr>
          <w:i/>
          <w:iCs/>
        </w:rPr>
        <w:t xml:space="preserve">Trafford </w:t>
      </w:r>
      <w:r w:rsidR="006A76CB">
        <w:t xml:space="preserve">at </w:t>
      </w:r>
      <w:r>
        <w:t>[68]-[69].</w:t>
      </w:r>
    </w:p>
  </w:footnote>
  <w:footnote w:id="23">
    <w:p w14:paraId="4CC9FC6B" w14:textId="5512E2EE" w:rsidR="009A34D7" w:rsidRPr="008826C7" w:rsidRDefault="009A34D7" w:rsidP="009A34D7">
      <w:pPr>
        <w:pStyle w:val="FootnoteText"/>
      </w:pPr>
      <w:r>
        <w:rPr>
          <w:rStyle w:val="FootnoteReference"/>
        </w:rPr>
        <w:footnoteRef/>
      </w:r>
      <w:r>
        <w:t xml:space="preserve"> For a helpful analysis of the rationale and drafting of this provision – alongside other changes to the Equality Act 2010 introduced at the same time </w:t>
      </w:r>
      <w:r w:rsidR="00760468">
        <w:t>–</w:t>
      </w:r>
      <w:r>
        <w:t xml:space="preserve"> see </w:t>
      </w:r>
      <w:r w:rsidR="00106568" w:rsidRPr="00106568">
        <w:t xml:space="preserve">James Hand, "The Equality Act 2010 - changes in 2024 including Brexit-related codification" (2024) 24(1-2) </w:t>
      </w:r>
      <w:r w:rsidR="00106568" w:rsidRPr="00106568">
        <w:rPr>
          <w:i/>
          <w:iCs/>
        </w:rPr>
        <w:t>International Journal of Discrimination and the Law</w:t>
      </w:r>
      <w:r w:rsidR="00106568" w:rsidRPr="00106568">
        <w:t xml:space="preserve"> 19, 23–24</w:t>
      </w:r>
    </w:p>
  </w:footnote>
  <w:footnote w:id="24">
    <w:p w14:paraId="1C18D8BA" w14:textId="5F0763BC" w:rsidR="006A76CB" w:rsidRDefault="006A76CB">
      <w:pPr>
        <w:pStyle w:val="FootnoteText"/>
      </w:pPr>
      <w:r>
        <w:rPr>
          <w:rStyle w:val="FootnoteReference"/>
        </w:rPr>
        <w:footnoteRef/>
      </w:r>
      <w:r>
        <w:t xml:space="preserve"> See </w:t>
      </w:r>
      <w:r>
        <w:rPr>
          <w:i/>
          <w:iCs/>
        </w:rPr>
        <w:t xml:space="preserve">Trafford </w:t>
      </w:r>
      <w:r>
        <w:t>at [69].</w:t>
      </w:r>
    </w:p>
  </w:footnote>
  <w:footnote w:id="25">
    <w:p w14:paraId="6C809A15" w14:textId="511F69F7" w:rsidR="00CF6FA7" w:rsidRPr="004843B9" w:rsidRDefault="00CF6FA7" w:rsidP="004843B9">
      <w:pPr>
        <w:pStyle w:val="FootnoteText"/>
      </w:pPr>
      <w:r>
        <w:rPr>
          <w:rStyle w:val="FootnoteReference"/>
        </w:rPr>
        <w:footnoteRef/>
      </w:r>
      <w:r>
        <w:t xml:space="preserve"> See, for instance,</w:t>
      </w:r>
      <w:r w:rsidR="00B46E3F">
        <w:t xml:space="preserve"> </w:t>
      </w:r>
      <w:r w:rsidR="00B46E3F" w:rsidRPr="00B46E3F">
        <w:rPr>
          <w:i/>
          <w:iCs/>
        </w:rPr>
        <w:t>R (Johnson) v Secretary of State for Work and Pensions</w:t>
      </w:r>
      <w:r>
        <w:t xml:space="preserve"> </w:t>
      </w:r>
      <w:r w:rsidR="00B46E3F" w:rsidRPr="00B46E3F">
        <w:t xml:space="preserve">[2020] EWCA </w:t>
      </w:r>
      <w:proofErr w:type="spellStart"/>
      <w:r w:rsidR="00B46E3F" w:rsidRPr="00B46E3F">
        <w:t>Civ</w:t>
      </w:r>
      <w:proofErr w:type="spellEnd"/>
      <w:r w:rsidR="00B46E3F" w:rsidRPr="00B46E3F">
        <w:t xml:space="preserve"> 778, [2020] 1 W</w:t>
      </w:r>
      <w:r w:rsidR="001E1875">
        <w:t>.</w:t>
      </w:r>
      <w:r w:rsidR="00B46E3F" w:rsidRPr="00B46E3F">
        <w:t>L</w:t>
      </w:r>
      <w:r w:rsidR="001E1875">
        <w:t>.</w:t>
      </w:r>
      <w:r w:rsidR="00B46E3F" w:rsidRPr="00B46E3F">
        <w:t>R</w:t>
      </w:r>
      <w:r w:rsidR="001E1875">
        <w:t>.</w:t>
      </w:r>
      <w:r w:rsidR="00B46E3F" w:rsidRPr="00B46E3F">
        <w:t xml:space="preserve"> 5037</w:t>
      </w:r>
      <w:r w:rsidR="00006495">
        <w:t xml:space="preserve">. For analysis see: </w:t>
      </w:r>
      <w:r w:rsidR="002265FD" w:rsidRPr="002265FD">
        <w:t xml:space="preserve">See Robert Thomas and Joe Tomlinson, "Judicial Review of AI in UK Government: Two Emergent Forms of Legal Risk" in Yee-Fui Ng and Matthew Groves (eds), </w:t>
      </w:r>
      <w:r w:rsidR="002265FD" w:rsidRPr="003B65EE">
        <w:rPr>
          <w:i/>
          <w:iCs/>
        </w:rPr>
        <w:t>Automation in Governance: Theory, Practice and Problems</w:t>
      </w:r>
      <w:r w:rsidR="002265FD" w:rsidRPr="002265FD">
        <w:t xml:space="preserve"> (Oxford: Hart, 2025)</w:t>
      </w:r>
    </w:p>
  </w:footnote>
  <w:footnote w:id="26">
    <w:p w14:paraId="094AE25B" w14:textId="2B604714" w:rsidR="002427C8" w:rsidRDefault="002427C8">
      <w:pPr>
        <w:pStyle w:val="FootnoteText"/>
      </w:pPr>
      <w:r>
        <w:rPr>
          <w:rStyle w:val="FootnoteReference"/>
        </w:rPr>
        <w:footnoteRef/>
      </w:r>
      <w:r>
        <w:t xml:space="preserve"> See </w:t>
      </w:r>
      <w:r>
        <w:rPr>
          <w:i/>
          <w:iCs/>
        </w:rPr>
        <w:t xml:space="preserve">Trafford </w:t>
      </w:r>
      <w:r>
        <w:t>at [</w:t>
      </w:r>
      <w:r w:rsidR="00A61235">
        <w:t>2</w:t>
      </w:r>
      <w:r>
        <w:t>0].</w:t>
      </w:r>
    </w:p>
  </w:footnote>
  <w:footnote w:id="27">
    <w:p w14:paraId="50F487FA" w14:textId="317F4948" w:rsidR="007C200D" w:rsidRDefault="007C200D">
      <w:pPr>
        <w:pStyle w:val="FootnoteText"/>
      </w:pPr>
      <w:r>
        <w:rPr>
          <w:rStyle w:val="FootnoteReference"/>
        </w:rPr>
        <w:footnoteRef/>
      </w:r>
      <w:r>
        <w:t xml:space="preserve"> See </w:t>
      </w:r>
      <w:r>
        <w:rPr>
          <w:i/>
          <w:iCs/>
        </w:rPr>
        <w:t xml:space="preserve">Trafford </w:t>
      </w:r>
      <w:r>
        <w:t>at [20].</w:t>
      </w:r>
    </w:p>
  </w:footnote>
  <w:footnote w:id="28">
    <w:p w14:paraId="087CDFEE" w14:textId="617C65FC" w:rsidR="00A61235" w:rsidRDefault="00A61235">
      <w:pPr>
        <w:pStyle w:val="FootnoteText"/>
      </w:pPr>
      <w:r>
        <w:rPr>
          <w:rStyle w:val="FootnoteReference"/>
        </w:rPr>
        <w:footnoteRef/>
      </w:r>
      <w:r>
        <w:t xml:space="preserve"> See </w:t>
      </w:r>
      <w:r>
        <w:rPr>
          <w:i/>
          <w:iCs/>
        </w:rPr>
        <w:t xml:space="preserve">Trafford </w:t>
      </w:r>
      <w:r>
        <w:t>at [20].</w:t>
      </w:r>
    </w:p>
  </w:footnote>
  <w:footnote w:id="29">
    <w:p w14:paraId="5AA75AFC" w14:textId="36E52CF7" w:rsidR="008B7980" w:rsidRDefault="008B7980">
      <w:pPr>
        <w:pStyle w:val="FootnoteText"/>
      </w:pPr>
      <w:r>
        <w:rPr>
          <w:rStyle w:val="FootnoteReference"/>
        </w:rPr>
        <w:footnoteRef/>
      </w:r>
      <w:r>
        <w:t xml:space="preserve"> See </w:t>
      </w:r>
      <w:r>
        <w:rPr>
          <w:i/>
          <w:iCs/>
        </w:rPr>
        <w:t xml:space="preserve">Trafford </w:t>
      </w:r>
      <w:r>
        <w:t>at [79].</w:t>
      </w:r>
    </w:p>
  </w:footnote>
  <w:footnote w:id="30">
    <w:p w14:paraId="76C793D9" w14:textId="5F8D39AB" w:rsidR="008D56E4" w:rsidRDefault="008D56E4">
      <w:pPr>
        <w:pStyle w:val="FootnoteText"/>
      </w:pPr>
      <w:r>
        <w:rPr>
          <w:rStyle w:val="FootnoteReference"/>
        </w:rPr>
        <w:footnoteRef/>
      </w:r>
      <w:r>
        <w:t xml:space="preserve"> See </w:t>
      </w:r>
      <w:r>
        <w:rPr>
          <w:i/>
          <w:iCs/>
        </w:rPr>
        <w:t xml:space="preserve">Trafford </w:t>
      </w:r>
      <w:r>
        <w:t>at [78].</w:t>
      </w:r>
    </w:p>
  </w:footnote>
  <w:footnote w:id="31">
    <w:p w14:paraId="68C82953" w14:textId="52D8346D" w:rsidR="0099138D" w:rsidRPr="0099138D" w:rsidRDefault="0099138D">
      <w:pPr>
        <w:pStyle w:val="FootnoteText"/>
      </w:pPr>
      <w:r>
        <w:rPr>
          <w:rStyle w:val="FootnoteReference"/>
        </w:rPr>
        <w:footnoteRef/>
      </w:r>
      <w:r>
        <w:t xml:space="preserve"> For a more detailed analysis of these issues, see: Hayley Bennett and Jed Meers, ‘</w:t>
      </w:r>
      <w:r w:rsidRPr="0099138D">
        <w:t>Devolving digitalisation: local government, local welfare and the digital welfare state</w:t>
      </w:r>
      <w:r>
        <w:t xml:space="preserve">’ (2025) 47(3) </w:t>
      </w:r>
      <w:r>
        <w:rPr>
          <w:i/>
          <w:iCs/>
        </w:rPr>
        <w:t xml:space="preserve">Journal of Social Welfare and Family Law </w:t>
      </w:r>
      <w:r>
        <w:t>356.</w:t>
      </w:r>
    </w:p>
  </w:footnote>
  <w:footnote w:id="32">
    <w:p w14:paraId="15D1A984" w14:textId="50C23752" w:rsidR="00A95FA3" w:rsidRPr="00371CAE" w:rsidRDefault="00A95FA3">
      <w:pPr>
        <w:pStyle w:val="FootnoteText"/>
      </w:pPr>
      <w:r>
        <w:rPr>
          <w:rStyle w:val="FootnoteReference"/>
        </w:rPr>
        <w:footnoteRef/>
      </w:r>
      <w:r>
        <w:t xml:space="preserve"> See Jen Raso, ‘</w:t>
      </w:r>
      <w:r w:rsidRPr="00A95FA3">
        <w:t>Smooth Operators, Predictable Glitches: The Interface Governance of Benefits and Borders</w:t>
      </w:r>
      <w:r>
        <w:t xml:space="preserve">’ (2023) 38(2) </w:t>
      </w:r>
      <w:r w:rsidRPr="00A95FA3">
        <w:rPr>
          <w:i/>
          <w:iCs/>
        </w:rPr>
        <w:t>Canadian Journal of Law &amp; Society</w:t>
      </w:r>
      <w:r>
        <w:rPr>
          <w:i/>
          <w:iCs/>
        </w:rPr>
        <w:t xml:space="preserve"> </w:t>
      </w:r>
      <w:r w:rsidR="00371CAE">
        <w:t>158.</w:t>
      </w:r>
    </w:p>
  </w:footnote>
  <w:footnote w:id="33">
    <w:p w14:paraId="4E546418" w14:textId="62B3B517" w:rsidR="00F46FB1" w:rsidRDefault="00F46FB1">
      <w:pPr>
        <w:pStyle w:val="FootnoteText"/>
      </w:pPr>
      <w:r>
        <w:rPr>
          <w:rStyle w:val="FootnoteReference"/>
        </w:rPr>
        <w:footnoteRef/>
      </w:r>
      <w:r>
        <w:t xml:space="preserve"> See </w:t>
      </w:r>
      <w:r>
        <w:rPr>
          <w:i/>
          <w:iCs/>
        </w:rPr>
        <w:t xml:space="preserve">Trafford </w:t>
      </w:r>
      <w:r>
        <w:t>at [23].</w:t>
      </w:r>
    </w:p>
  </w:footnote>
  <w:footnote w:id="34">
    <w:p w14:paraId="11B53387" w14:textId="12E16C95" w:rsidR="002E3066" w:rsidRDefault="002E3066">
      <w:pPr>
        <w:pStyle w:val="FootnoteText"/>
      </w:pPr>
      <w:r>
        <w:rPr>
          <w:rStyle w:val="FootnoteReference"/>
        </w:rPr>
        <w:footnoteRef/>
      </w:r>
      <w:r>
        <w:t xml:space="preserve"> </w:t>
      </w:r>
      <w:r w:rsidRPr="003459F6">
        <w:rPr>
          <w:rFonts w:asciiTheme="majorBidi" w:hAnsiTheme="majorBidi" w:cstheme="majorBidi"/>
          <w:szCs w:val="24"/>
        </w:rPr>
        <w:t>[2012] EWHC 2293</w:t>
      </w:r>
      <w:r>
        <w:rPr>
          <w:rFonts w:asciiTheme="majorBidi" w:hAnsiTheme="majorBidi" w:cstheme="majorBidi"/>
          <w:szCs w:val="24"/>
        </w:rPr>
        <w:t>.</w:t>
      </w:r>
    </w:p>
  </w:footnote>
  <w:footnote w:id="35">
    <w:p w14:paraId="58BA81A7" w14:textId="1439ECCE" w:rsidR="00A46E38" w:rsidRPr="00A46E38" w:rsidRDefault="00A46E38">
      <w:pPr>
        <w:pStyle w:val="FootnoteText"/>
      </w:pPr>
      <w:r>
        <w:rPr>
          <w:rStyle w:val="FootnoteReference"/>
        </w:rPr>
        <w:footnoteRef/>
      </w:r>
      <w:r>
        <w:t xml:space="preserve"> </w:t>
      </w:r>
      <w:r w:rsidR="000C6560" w:rsidRPr="000C6560">
        <w:rPr>
          <w:i/>
          <w:iCs/>
        </w:rPr>
        <w:t>R (Buck) v Doncaster Metropolitan Borough Council</w:t>
      </w:r>
      <w:r w:rsidR="000C6560" w:rsidRPr="000C6560">
        <w:t xml:space="preserve"> [2012] EWHC 2293</w:t>
      </w:r>
      <w:r w:rsidR="007F2DC4">
        <w:t xml:space="preserve">; </w:t>
      </w:r>
      <w:r w:rsidR="007F2DC4" w:rsidRPr="007F2DC4">
        <w:t>[2013] P.T.S.R. 316</w:t>
      </w:r>
      <w:r>
        <w:t xml:space="preserve"> [26]-[27] </w:t>
      </w:r>
      <w:r w:rsidR="000C6560">
        <w:t>p</w:t>
      </w:r>
      <w:r>
        <w:t xml:space="preserve">er </w:t>
      </w:r>
      <w:proofErr w:type="spellStart"/>
      <w:r w:rsidRPr="00A46E38">
        <w:t>Hickinbottom</w:t>
      </w:r>
      <w:proofErr w:type="spellEnd"/>
      <w:r>
        <w:t xml:space="preserve"> J.</w:t>
      </w:r>
    </w:p>
  </w:footnote>
  <w:footnote w:id="36">
    <w:p w14:paraId="5D4B69B7" w14:textId="25D6376E" w:rsidR="00114476" w:rsidRDefault="00114476">
      <w:pPr>
        <w:pStyle w:val="FootnoteText"/>
      </w:pPr>
      <w:r>
        <w:rPr>
          <w:rStyle w:val="FootnoteReference"/>
        </w:rPr>
        <w:footnoteRef/>
      </w:r>
      <w:r>
        <w:t xml:space="preserve"> See </w:t>
      </w:r>
      <w:r>
        <w:rPr>
          <w:i/>
          <w:iCs/>
        </w:rPr>
        <w:t xml:space="preserve">Trafford </w:t>
      </w:r>
      <w:r>
        <w:t>at [51].</w:t>
      </w:r>
    </w:p>
  </w:footnote>
  <w:footnote w:id="37">
    <w:p w14:paraId="4A339D4C" w14:textId="296863B7" w:rsidR="00386D4B" w:rsidRDefault="00386D4B">
      <w:pPr>
        <w:pStyle w:val="FootnoteText"/>
      </w:pPr>
      <w:r>
        <w:rPr>
          <w:rStyle w:val="FootnoteReference"/>
        </w:rPr>
        <w:footnoteRef/>
      </w:r>
      <w:r>
        <w:t xml:space="preserve"> See </w:t>
      </w:r>
      <w:r>
        <w:rPr>
          <w:i/>
          <w:iCs/>
        </w:rPr>
        <w:t xml:space="preserve">Trafford </w:t>
      </w:r>
      <w:r>
        <w:t>at [84].</w:t>
      </w:r>
    </w:p>
  </w:footnote>
  <w:footnote w:id="38">
    <w:p w14:paraId="1077116A" w14:textId="55B1B70D" w:rsidR="000D433E" w:rsidRDefault="000D433E">
      <w:pPr>
        <w:pStyle w:val="FootnoteText"/>
      </w:pPr>
      <w:r>
        <w:rPr>
          <w:rStyle w:val="FootnoteReference"/>
        </w:rPr>
        <w:footnoteRef/>
      </w:r>
      <w:r>
        <w:t xml:space="preserve"> See </w:t>
      </w:r>
      <w:r>
        <w:rPr>
          <w:i/>
          <w:iCs/>
        </w:rPr>
        <w:t xml:space="preserve">Trafford </w:t>
      </w:r>
      <w:r>
        <w:t>at [66].</w:t>
      </w:r>
    </w:p>
  </w:footnote>
  <w:footnote w:id="39">
    <w:p w14:paraId="51189CDA" w14:textId="5EB7C96C" w:rsidR="00BE71CC" w:rsidRDefault="00BE71CC">
      <w:pPr>
        <w:pStyle w:val="FootnoteText"/>
      </w:pPr>
      <w:r>
        <w:rPr>
          <w:rStyle w:val="FootnoteReference"/>
        </w:rPr>
        <w:footnoteRef/>
      </w:r>
      <w:r>
        <w:t xml:space="preserve"> See </w:t>
      </w:r>
      <w:r>
        <w:rPr>
          <w:i/>
          <w:iCs/>
        </w:rPr>
        <w:t xml:space="preserve">Trafford </w:t>
      </w:r>
      <w:r>
        <w:t>at [84].</w:t>
      </w:r>
    </w:p>
  </w:footnote>
  <w:footnote w:id="40">
    <w:p w14:paraId="5B0BB3D7" w14:textId="1D20BFCE" w:rsidR="003C6D58" w:rsidRDefault="003C6D58">
      <w:pPr>
        <w:pStyle w:val="FootnoteText"/>
      </w:pPr>
      <w:r>
        <w:rPr>
          <w:rStyle w:val="FootnoteReference"/>
        </w:rPr>
        <w:footnoteRef/>
      </w:r>
      <w:r>
        <w:t xml:space="preserve"> </w:t>
      </w:r>
      <w:r w:rsidRPr="003C6D58">
        <w:t>[2014] UKSC 56; [2014] 1 W.L.R. 3947</w:t>
      </w:r>
      <w:r>
        <w:t>.</w:t>
      </w:r>
    </w:p>
  </w:footnote>
  <w:footnote w:id="41">
    <w:p w14:paraId="0001F046" w14:textId="1C3109C6" w:rsidR="002F3748" w:rsidRPr="002F3748" w:rsidRDefault="002F3748">
      <w:pPr>
        <w:pStyle w:val="FootnoteText"/>
      </w:pPr>
      <w:r>
        <w:rPr>
          <w:rStyle w:val="FootnoteReference"/>
        </w:rPr>
        <w:footnoteRef/>
      </w:r>
      <w:r>
        <w:t xml:space="preserve"> This case dealt with the Haringey LBC’s consultation process for the introduction of a CTRS scheme. For an analysis in the context of the argument made in this case comment, see: Jed Meers, ‘</w:t>
      </w:r>
      <w:r w:rsidRPr="002F3748">
        <w:t>Discretion as blame avoidance: passing the buck to local authorities in ‘welfare reform’</w:t>
      </w:r>
      <w:r>
        <w:t xml:space="preserve">’ (2019) 27(1) </w:t>
      </w:r>
      <w:r>
        <w:rPr>
          <w:i/>
          <w:iCs/>
        </w:rPr>
        <w:t xml:space="preserve">Journal of Poverty and Social Justice </w:t>
      </w:r>
      <w:r>
        <w:t>41, 50-51.</w:t>
      </w:r>
    </w:p>
  </w:footnote>
  <w:footnote w:id="42">
    <w:p w14:paraId="044E59C4" w14:textId="39F05A67" w:rsidR="00731E63" w:rsidRDefault="00731E63">
      <w:pPr>
        <w:pStyle w:val="FootnoteText"/>
      </w:pPr>
      <w:r>
        <w:rPr>
          <w:rStyle w:val="FootnoteReference"/>
        </w:rPr>
        <w:footnoteRef/>
      </w:r>
      <w:r>
        <w:t xml:space="preserve"> </w:t>
      </w:r>
      <w:r w:rsidRPr="00731E63">
        <w:t xml:space="preserve">Local Government Association, 'Councils in England React to Plans for New Local Crisis and Resilience Fund' (3 November 2025) </w:t>
      </w:r>
      <w:hyperlink r:id="rId1" w:history="1">
        <w:r w:rsidRPr="00731E63">
          <w:rPr>
            <w:rStyle w:val="Hyperlink"/>
          </w:rPr>
          <w:t>https://www.local.gov.uk/about/news/councils-england-react-plans-new-local-crisis-and-resilience-fund</w:t>
        </w:r>
      </w:hyperlink>
      <w:r w:rsidRPr="00731E63">
        <w:t xml:space="preserve"> accessed 23 November 2025</w:t>
      </w:r>
      <w:r w:rsidR="00E06D7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0A4F"/>
    <w:multiLevelType w:val="hybridMultilevel"/>
    <w:tmpl w:val="801AD1BC"/>
    <w:lvl w:ilvl="0" w:tplc="3922439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F67247"/>
    <w:multiLevelType w:val="hybridMultilevel"/>
    <w:tmpl w:val="9AC87DF8"/>
    <w:lvl w:ilvl="0" w:tplc="A8845446">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B6221C"/>
    <w:multiLevelType w:val="hybridMultilevel"/>
    <w:tmpl w:val="11540790"/>
    <w:lvl w:ilvl="0" w:tplc="75A2395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60120">
    <w:abstractNumId w:val="1"/>
  </w:num>
  <w:num w:numId="2" w16cid:durableId="859860235">
    <w:abstractNumId w:val="0"/>
  </w:num>
  <w:num w:numId="3" w16cid:durableId="1866022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FEA"/>
    <w:rsid w:val="00001A2C"/>
    <w:rsid w:val="00001AF7"/>
    <w:rsid w:val="00005BE4"/>
    <w:rsid w:val="00006495"/>
    <w:rsid w:val="00006C44"/>
    <w:rsid w:val="00010620"/>
    <w:rsid w:val="000106C5"/>
    <w:rsid w:val="00011013"/>
    <w:rsid w:val="0001604B"/>
    <w:rsid w:val="00017E1E"/>
    <w:rsid w:val="00021F21"/>
    <w:rsid w:val="000239A1"/>
    <w:rsid w:val="0002466E"/>
    <w:rsid w:val="0003101E"/>
    <w:rsid w:val="00031E72"/>
    <w:rsid w:val="00040048"/>
    <w:rsid w:val="000408CB"/>
    <w:rsid w:val="00043440"/>
    <w:rsid w:val="00043AAA"/>
    <w:rsid w:val="00044061"/>
    <w:rsid w:val="000440B6"/>
    <w:rsid w:val="000441CC"/>
    <w:rsid w:val="00051827"/>
    <w:rsid w:val="000529CA"/>
    <w:rsid w:val="00056B19"/>
    <w:rsid w:val="00056C72"/>
    <w:rsid w:val="00057A3F"/>
    <w:rsid w:val="000646FB"/>
    <w:rsid w:val="00065250"/>
    <w:rsid w:val="0006555F"/>
    <w:rsid w:val="000677B0"/>
    <w:rsid w:val="0007380C"/>
    <w:rsid w:val="000754DE"/>
    <w:rsid w:val="00080B88"/>
    <w:rsid w:val="00081690"/>
    <w:rsid w:val="000905CD"/>
    <w:rsid w:val="00092B69"/>
    <w:rsid w:val="0009322A"/>
    <w:rsid w:val="00094A4A"/>
    <w:rsid w:val="00094C2C"/>
    <w:rsid w:val="00096F4D"/>
    <w:rsid w:val="000972D0"/>
    <w:rsid w:val="000978AA"/>
    <w:rsid w:val="000A2888"/>
    <w:rsid w:val="000A6679"/>
    <w:rsid w:val="000A6920"/>
    <w:rsid w:val="000A7CBC"/>
    <w:rsid w:val="000B0202"/>
    <w:rsid w:val="000B1809"/>
    <w:rsid w:val="000B6C97"/>
    <w:rsid w:val="000C2280"/>
    <w:rsid w:val="000C2C4D"/>
    <w:rsid w:val="000C2D19"/>
    <w:rsid w:val="000C572D"/>
    <w:rsid w:val="000C651B"/>
    <w:rsid w:val="000C6560"/>
    <w:rsid w:val="000C70BF"/>
    <w:rsid w:val="000D4123"/>
    <w:rsid w:val="000D433E"/>
    <w:rsid w:val="000D7CD0"/>
    <w:rsid w:val="000E0A50"/>
    <w:rsid w:val="000E53C9"/>
    <w:rsid w:val="000E5658"/>
    <w:rsid w:val="000F0397"/>
    <w:rsid w:val="00106568"/>
    <w:rsid w:val="001074D9"/>
    <w:rsid w:val="00111E07"/>
    <w:rsid w:val="00112F4A"/>
    <w:rsid w:val="00113230"/>
    <w:rsid w:val="001140E6"/>
    <w:rsid w:val="00114476"/>
    <w:rsid w:val="001155F4"/>
    <w:rsid w:val="00115B42"/>
    <w:rsid w:val="001163E0"/>
    <w:rsid w:val="00122580"/>
    <w:rsid w:val="0012658F"/>
    <w:rsid w:val="00130510"/>
    <w:rsid w:val="00131BCC"/>
    <w:rsid w:val="00131F19"/>
    <w:rsid w:val="00133956"/>
    <w:rsid w:val="0013405B"/>
    <w:rsid w:val="00141CE6"/>
    <w:rsid w:val="00142BFA"/>
    <w:rsid w:val="00144B66"/>
    <w:rsid w:val="0014730A"/>
    <w:rsid w:val="00152044"/>
    <w:rsid w:val="001613A2"/>
    <w:rsid w:val="00161817"/>
    <w:rsid w:val="001626A1"/>
    <w:rsid w:val="001654A3"/>
    <w:rsid w:val="00177E38"/>
    <w:rsid w:val="00177E3D"/>
    <w:rsid w:val="00180394"/>
    <w:rsid w:val="001807D7"/>
    <w:rsid w:val="00180C85"/>
    <w:rsid w:val="001830ED"/>
    <w:rsid w:val="00184C64"/>
    <w:rsid w:val="00186E04"/>
    <w:rsid w:val="00191C54"/>
    <w:rsid w:val="001957F5"/>
    <w:rsid w:val="001961F6"/>
    <w:rsid w:val="001A2BE9"/>
    <w:rsid w:val="001A405C"/>
    <w:rsid w:val="001A5DA6"/>
    <w:rsid w:val="001A6DCB"/>
    <w:rsid w:val="001B27B7"/>
    <w:rsid w:val="001B46F8"/>
    <w:rsid w:val="001C14DF"/>
    <w:rsid w:val="001C2737"/>
    <w:rsid w:val="001C3DE0"/>
    <w:rsid w:val="001D30C9"/>
    <w:rsid w:val="001D4EE9"/>
    <w:rsid w:val="001D6B6C"/>
    <w:rsid w:val="001E1875"/>
    <w:rsid w:val="001E273F"/>
    <w:rsid w:val="001E3782"/>
    <w:rsid w:val="001E6D31"/>
    <w:rsid w:val="001F1ACE"/>
    <w:rsid w:val="001F5244"/>
    <w:rsid w:val="001F7388"/>
    <w:rsid w:val="001F7B3C"/>
    <w:rsid w:val="0020218D"/>
    <w:rsid w:val="00202F13"/>
    <w:rsid w:val="002032FE"/>
    <w:rsid w:val="002107C1"/>
    <w:rsid w:val="00210C38"/>
    <w:rsid w:val="0021490C"/>
    <w:rsid w:val="002155F8"/>
    <w:rsid w:val="0021710B"/>
    <w:rsid w:val="002265FD"/>
    <w:rsid w:val="002267F1"/>
    <w:rsid w:val="00230FF0"/>
    <w:rsid w:val="00235D68"/>
    <w:rsid w:val="00236C57"/>
    <w:rsid w:val="002427C8"/>
    <w:rsid w:val="00256026"/>
    <w:rsid w:val="0025664B"/>
    <w:rsid w:val="00261015"/>
    <w:rsid w:val="00261F2E"/>
    <w:rsid w:val="00267848"/>
    <w:rsid w:val="00267C99"/>
    <w:rsid w:val="00273AFE"/>
    <w:rsid w:val="00282060"/>
    <w:rsid w:val="00283876"/>
    <w:rsid w:val="00285325"/>
    <w:rsid w:val="00287C6B"/>
    <w:rsid w:val="00291CDF"/>
    <w:rsid w:val="0029247F"/>
    <w:rsid w:val="002944F3"/>
    <w:rsid w:val="0029596C"/>
    <w:rsid w:val="002979A4"/>
    <w:rsid w:val="002A187E"/>
    <w:rsid w:val="002A2B6E"/>
    <w:rsid w:val="002A3526"/>
    <w:rsid w:val="002A5C56"/>
    <w:rsid w:val="002B0EE7"/>
    <w:rsid w:val="002B4C30"/>
    <w:rsid w:val="002C1209"/>
    <w:rsid w:val="002C2534"/>
    <w:rsid w:val="002D22AE"/>
    <w:rsid w:val="002D28FA"/>
    <w:rsid w:val="002D300C"/>
    <w:rsid w:val="002D6077"/>
    <w:rsid w:val="002D71FE"/>
    <w:rsid w:val="002E1964"/>
    <w:rsid w:val="002E2423"/>
    <w:rsid w:val="002E3066"/>
    <w:rsid w:val="002E3560"/>
    <w:rsid w:val="002E4BCC"/>
    <w:rsid w:val="002E7813"/>
    <w:rsid w:val="002F1E61"/>
    <w:rsid w:val="002F31F9"/>
    <w:rsid w:val="002F3748"/>
    <w:rsid w:val="002F473C"/>
    <w:rsid w:val="002F5BD2"/>
    <w:rsid w:val="00300318"/>
    <w:rsid w:val="00300C11"/>
    <w:rsid w:val="00303DB9"/>
    <w:rsid w:val="00305C0A"/>
    <w:rsid w:val="0031561D"/>
    <w:rsid w:val="00324AAB"/>
    <w:rsid w:val="00326034"/>
    <w:rsid w:val="00331394"/>
    <w:rsid w:val="00331962"/>
    <w:rsid w:val="003328EA"/>
    <w:rsid w:val="00335626"/>
    <w:rsid w:val="00340C21"/>
    <w:rsid w:val="00341F78"/>
    <w:rsid w:val="0034441A"/>
    <w:rsid w:val="003459F6"/>
    <w:rsid w:val="0035015B"/>
    <w:rsid w:val="00352550"/>
    <w:rsid w:val="00357F1E"/>
    <w:rsid w:val="00361794"/>
    <w:rsid w:val="0036254C"/>
    <w:rsid w:val="003641D3"/>
    <w:rsid w:val="003659A3"/>
    <w:rsid w:val="00371CAE"/>
    <w:rsid w:val="003721C7"/>
    <w:rsid w:val="00372296"/>
    <w:rsid w:val="00376AF0"/>
    <w:rsid w:val="00381E1E"/>
    <w:rsid w:val="00386D4B"/>
    <w:rsid w:val="003915B7"/>
    <w:rsid w:val="00396A8B"/>
    <w:rsid w:val="003A50E5"/>
    <w:rsid w:val="003A5FE9"/>
    <w:rsid w:val="003B0518"/>
    <w:rsid w:val="003B65EE"/>
    <w:rsid w:val="003B6CC3"/>
    <w:rsid w:val="003B6CE2"/>
    <w:rsid w:val="003C0066"/>
    <w:rsid w:val="003C3442"/>
    <w:rsid w:val="003C5CA4"/>
    <w:rsid w:val="003C6D58"/>
    <w:rsid w:val="003D2BBA"/>
    <w:rsid w:val="003D367E"/>
    <w:rsid w:val="003D48C2"/>
    <w:rsid w:val="003D66D8"/>
    <w:rsid w:val="003D684B"/>
    <w:rsid w:val="003E0164"/>
    <w:rsid w:val="003E4B48"/>
    <w:rsid w:val="003E7245"/>
    <w:rsid w:val="003F112F"/>
    <w:rsid w:val="003F1D44"/>
    <w:rsid w:val="003F5BAC"/>
    <w:rsid w:val="003F73B9"/>
    <w:rsid w:val="00400C56"/>
    <w:rsid w:val="0040109C"/>
    <w:rsid w:val="00401537"/>
    <w:rsid w:val="004023F7"/>
    <w:rsid w:val="00402635"/>
    <w:rsid w:val="0040685E"/>
    <w:rsid w:val="00410380"/>
    <w:rsid w:val="0041734F"/>
    <w:rsid w:val="0042278B"/>
    <w:rsid w:val="0042407A"/>
    <w:rsid w:val="0043154A"/>
    <w:rsid w:val="00431E50"/>
    <w:rsid w:val="004368B3"/>
    <w:rsid w:val="00440944"/>
    <w:rsid w:val="00440C9B"/>
    <w:rsid w:val="004415B9"/>
    <w:rsid w:val="00441FFB"/>
    <w:rsid w:val="004448A4"/>
    <w:rsid w:val="004526EA"/>
    <w:rsid w:val="00457F37"/>
    <w:rsid w:val="00460B22"/>
    <w:rsid w:val="00461107"/>
    <w:rsid w:val="00462AF6"/>
    <w:rsid w:val="004643B7"/>
    <w:rsid w:val="0046564D"/>
    <w:rsid w:val="00466473"/>
    <w:rsid w:val="0046707D"/>
    <w:rsid w:val="004710C2"/>
    <w:rsid w:val="00473AC4"/>
    <w:rsid w:val="00480625"/>
    <w:rsid w:val="004806FE"/>
    <w:rsid w:val="00480BEB"/>
    <w:rsid w:val="004824F5"/>
    <w:rsid w:val="00482722"/>
    <w:rsid w:val="004843B9"/>
    <w:rsid w:val="00487245"/>
    <w:rsid w:val="00492C7E"/>
    <w:rsid w:val="004937DE"/>
    <w:rsid w:val="004943D8"/>
    <w:rsid w:val="004951B8"/>
    <w:rsid w:val="00496877"/>
    <w:rsid w:val="004A6464"/>
    <w:rsid w:val="004A6CC1"/>
    <w:rsid w:val="004B164D"/>
    <w:rsid w:val="004B3C53"/>
    <w:rsid w:val="004B550E"/>
    <w:rsid w:val="004C36E4"/>
    <w:rsid w:val="004C6DD0"/>
    <w:rsid w:val="004D2E7F"/>
    <w:rsid w:val="004D65F6"/>
    <w:rsid w:val="004D6BD0"/>
    <w:rsid w:val="004E0AC9"/>
    <w:rsid w:val="004E2DF6"/>
    <w:rsid w:val="004E42C5"/>
    <w:rsid w:val="004E4429"/>
    <w:rsid w:val="004E5DC8"/>
    <w:rsid w:val="004E667F"/>
    <w:rsid w:val="004E7AB1"/>
    <w:rsid w:val="004F0FF6"/>
    <w:rsid w:val="004F316C"/>
    <w:rsid w:val="004F4867"/>
    <w:rsid w:val="004F70F6"/>
    <w:rsid w:val="005051DB"/>
    <w:rsid w:val="005064F7"/>
    <w:rsid w:val="00510BCC"/>
    <w:rsid w:val="00514A2A"/>
    <w:rsid w:val="00515C9E"/>
    <w:rsid w:val="00515E05"/>
    <w:rsid w:val="00530BA3"/>
    <w:rsid w:val="00530BAD"/>
    <w:rsid w:val="00532D42"/>
    <w:rsid w:val="00536CD6"/>
    <w:rsid w:val="00544346"/>
    <w:rsid w:val="00550733"/>
    <w:rsid w:val="00553B2F"/>
    <w:rsid w:val="005541F2"/>
    <w:rsid w:val="00554E42"/>
    <w:rsid w:val="00555D05"/>
    <w:rsid w:val="00557A59"/>
    <w:rsid w:val="00560384"/>
    <w:rsid w:val="00562253"/>
    <w:rsid w:val="00562725"/>
    <w:rsid w:val="00567972"/>
    <w:rsid w:val="00570882"/>
    <w:rsid w:val="00572C3A"/>
    <w:rsid w:val="005738C9"/>
    <w:rsid w:val="00573C3D"/>
    <w:rsid w:val="0057439E"/>
    <w:rsid w:val="00580D3B"/>
    <w:rsid w:val="005833DA"/>
    <w:rsid w:val="0058433E"/>
    <w:rsid w:val="00591C59"/>
    <w:rsid w:val="00594CA7"/>
    <w:rsid w:val="0059644E"/>
    <w:rsid w:val="0059667D"/>
    <w:rsid w:val="00597989"/>
    <w:rsid w:val="005A267C"/>
    <w:rsid w:val="005A4803"/>
    <w:rsid w:val="005A730B"/>
    <w:rsid w:val="005A7815"/>
    <w:rsid w:val="005B71E7"/>
    <w:rsid w:val="005C0C5C"/>
    <w:rsid w:val="005C293C"/>
    <w:rsid w:val="005C4240"/>
    <w:rsid w:val="005C5DBE"/>
    <w:rsid w:val="005D25AA"/>
    <w:rsid w:val="005D32C6"/>
    <w:rsid w:val="005D6D95"/>
    <w:rsid w:val="005E17BA"/>
    <w:rsid w:val="005E5B36"/>
    <w:rsid w:val="005E6EE9"/>
    <w:rsid w:val="005F15E1"/>
    <w:rsid w:val="005F1C71"/>
    <w:rsid w:val="005F25F9"/>
    <w:rsid w:val="005F347C"/>
    <w:rsid w:val="005F34FB"/>
    <w:rsid w:val="005F5408"/>
    <w:rsid w:val="0060366F"/>
    <w:rsid w:val="00604C78"/>
    <w:rsid w:val="00612180"/>
    <w:rsid w:val="00616059"/>
    <w:rsid w:val="0062422D"/>
    <w:rsid w:val="00636789"/>
    <w:rsid w:val="0064265D"/>
    <w:rsid w:val="00643A73"/>
    <w:rsid w:val="00647365"/>
    <w:rsid w:val="00653A5B"/>
    <w:rsid w:val="00654BE8"/>
    <w:rsid w:val="00657B05"/>
    <w:rsid w:val="006679B8"/>
    <w:rsid w:val="00675B6F"/>
    <w:rsid w:val="00675F00"/>
    <w:rsid w:val="006778D9"/>
    <w:rsid w:val="00683714"/>
    <w:rsid w:val="00683B25"/>
    <w:rsid w:val="00692C26"/>
    <w:rsid w:val="006947F5"/>
    <w:rsid w:val="006A25C6"/>
    <w:rsid w:val="006A76CB"/>
    <w:rsid w:val="006C0879"/>
    <w:rsid w:val="006C0E5F"/>
    <w:rsid w:val="006C664A"/>
    <w:rsid w:val="006C678F"/>
    <w:rsid w:val="006D3D57"/>
    <w:rsid w:val="006D5CCD"/>
    <w:rsid w:val="006E1706"/>
    <w:rsid w:val="006E2FC9"/>
    <w:rsid w:val="007045CB"/>
    <w:rsid w:val="00704604"/>
    <w:rsid w:val="00711A05"/>
    <w:rsid w:val="007156F9"/>
    <w:rsid w:val="00716D77"/>
    <w:rsid w:val="007200C8"/>
    <w:rsid w:val="00724428"/>
    <w:rsid w:val="00727B8B"/>
    <w:rsid w:val="00730108"/>
    <w:rsid w:val="007303DD"/>
    <w:rsid w:val="00731E63"/>
    <w:rsid w:val="00744F00"/>
    <w:rsid w:val="00745FAD"/>
    <w:rsid w:val="00754EBE"/>
    <w:rsid w:val="00756CE7"/>
    <w:rsid w:val="00760468"/>
    <w:rsid w:val="0076070F"/>
    <w:rsid w:val="00761EBC"/>
    <w:rsid w:val="00767655"/>
    <w:rsid w:val="007679F1"/>
    <w:rsid w:val="00771B3C"/>
    <w:rsid w:val="00775D9A"/>
    <w:rsid w:val="00784407"/>
    <w:rsid w:val="00787F91"/>
    <w:rsid w:val="007904F8"/>
    <w:rsid w:val="00792ACB"/>
    <w:rsid w:val="00793786"/>
    <w:rsid w:val="007975B3"/>
    <w:rsid w:val="007A3561"/>
    <w:rsid w:val="007A42DB"/>
    <w:rsid w:val="007A62EB"/>
    <w:rsid w:val="007B10B3"/>
    <w:rsid w:val="007B643C"/>
    <w:rsid w:val="007C0A27"/>
    <w:rsid w:val="007C0E60"/>
    <w:rsid w:val="007C0F1F"/>
    <w:rsid w:val="007C200D"/>
    <w:rsid w:val="007C30FE"/>
    <w:rsid w:val="007C69A3"/>
    <w:rsid w:val="007D0B14"/>
    <w:rsid w:val="007D4F33"/>
    <w:rsid w:val="007E1EF0"/>
    <w:rsid w:val="007E438C"/>
    <w:rsid w:val="007E4837"/>
    <w:rsid w:val="007F017E"/>
    <w:rsid w:val="007F218B"/>
    <w:rsid w:val="007F2DC4"/>
    <w:rsid w:val="007F73CE"/>
    <w:rsid w:val="00801AD1"/>
    <w:rsid w:val="00803F67"/>
    <w:rsid w:val="008054BF"/>
    <w:rsid w:val="008069EB"/>
    <w:rsid w:val="00817737"/>
    <w:rsid w:val="00821C02"/>
    <w:rsid w:val="00821C88"/>
    <w:rsid w:val="0082277D"/>
    <w:rsid w:val="008228CA"/>
    <w:rsid w:val="00822E2A"/>
    <w:rsid w:val="00822EAF"/>
    <w:rsid w:val="00823526"/>
    <w:rsid w:val="008251B7"/>
    <w:rsid w:val="008266E4"/>
    <w:rsid w:val="00827362"/>
    <w:rsid w:val="00830B17"/>
    <w:rsid w:val="00833926"/>
    <w:rsid w:val="008351DD"/>
    <w:rsid w:val="00836EA9"/>
    <w:rsid w:val="008374DD"/>
    <w:rsid w:val="00843573"/>
    <w:rsid w:val="00845B56"/>
    <w:rsid w:val="00845B98"/>
    <w:rsid w:val="00847C09"/>
    <w:rsid w:val="00854868"/>
    <w:rsid w:val="00855073"/>
    <w:rsid w:val="0086329A"/>
    <w:rsid w:val="00875B60"/>
    <w:rsid w:val="008765A9"/>
    <w:rsid w:val="00876DBE"/>
    <w:rsid w:val="008826C7"/>
    <w:rsid w:val="0088447D"/>
    <w:rsid w:val="008921F0"/>
    <w:rsid w:val="00892657"/>
    <w:rsid w:val="00893694"/>
    <w:rsid w:val="008938A6"/>
    <w:rsid w:val="0089459F"/>
    <w:rsid w:val="008954D2"/>
    <w:rsid w:val="008A0296"/>
    <w:rsid w:val="008A1466"/>
    <w:rsid w:val="008A1590"/>
    <w:rsid w:val="008B2A86"/>
    <w:rsid w:val="008B309F"/>
    <w:rsid w:val="008B6103"/>
    <w:rsid w:val="008B78C7"/>
    <w:rsid w:val="008B7980"/>
    <w:rsid w:val="008B7AE0"/>
    <w:rsid w:val="008C0D6D"/>
    <w:rsid w:val="008C120D"/>
    <w:rsid w:val="008C3DDC"/>
    <w:rsid w:val="008C52F7"/>
    <w:rsid w:val="008C7B6D"/>
    <w:rsid w:val="008D1901"/>
    <w:rsid w:val="008D485D"/>
    <w:rsid w:val="008D56E4"/>
    <w:rsid w:val="008D596E"/>
    <w:rsid w:val="008D6A55"/>
    <w:rsid w:val="008E06B6"/>
    <w:rsid w:val="008E363F"/>
    <w:rsid w:val="008E4553"/>
    <w:rsid w:val="008F1F90"/>
    <w:rsid w:val="008F22EF"/>
    <w:rsid w:val="008F6216"/>
    <w:rsid w:val="00900647"/>
    <w:rsid w:val="00901959"/>
    <w:rsid w:val="00916268"/>
    <w:rsid w:val="009170ED"/>
    <w:rsid w:val="00917B25"/>
    <w:rsid w:val="009203D2"/>
    <w:rsid w:val="00921BBA"/>
    <w:rsid w:val="00923161"/>
    <w:rsid w:val="00923787"/>
    <w:rsid w:val="009417F3"/>
    <w:rsid w:val="009443CE"/>
    <w:rsid w:val="0094541C"/>
    <w:rsid w:val="00947777"/>
    <w:rsid w:val="009502B3"/>
    <w:rsid w:val="00950D41"/>
    <w:rsid w:val="00951A7D"/>
    <w:rsid w:val="009533FF"/>
    <w:rsid w:val="009602F0"/>
    <w:rsid w:val="00964B66"/>
    <w:rsid w:val="0096521B"/>
    <w:rsid w:val="00965CB1"/>
    <w:rsid w:val="00967127"/>
    <w:rsid w:val="009730F4"/>
    <w:rsid w:val="00977EA9"/>
    <w:rsid w:val="00981010"/>
    <w:rsid w:val="0098216D"/>
    <w:rsid w:val="0098551C"/>
    <w:rsid w:val="0098709F"/>
    <w:rsid w:val="00990620"/>
    <w:rsid w:val="0099138D"/>
    <w:rsid w:val="00993454"/>
    <w:rsid w:val="009A2B6F"/>
    <w:rsid w:val="009A34D7"/>
    <w:rsid w:val="009A5D66"/>
    <w:rsid w:val="009A610A"/>
    <w:rsid w:val="009B04D3"/>
    <w:rsid w:val="009B0CD4"/>
    <w:rsid w:val="009B1E23"/>
    <w:rsid w:val="009B3D86"/>
    <w:rsid w:val="009B6BD6"/>
    <w:rsid w:val="009C3565"/>
    <w:rsid w:val="009C449A"/>
    <w:rsid w:val="009C4D7C"/>
    <w:rsid w:val="009C592A"/>
    <w:rsid w:val="009C7FDA"/>
    <w:rsid w:val="009D27D1"/>
    <w:rsid w:val="009D7E39"/>
    <w:rsid w:val="009E1116"/>
    <w:rsid w:val="009E30EE"/>
    <w:rsid w:val="009E749A"/>
    <w:rsid w:val="009F6AA3"/>
    <w:rsid w:val="00A019D3"/>
    <w:rsid w:val="00A02467"/>
    <w:rsid w:val="00A0285F"/>
    <w:rsid w:val="00A06B58"/>
    <w:rsid w:val="00A10687"/>
    <w:rsid w:val="00A11688"/>
    <w:rsid w:val="00A11BE5"/>
    <w:rsid w:val="00A131D9"/>
    <w:rsid w:val="00A136A8"/>
    <w:rsid w:val="00A202F9"/>
    <w:rsid w:val="00A26282"/>
    <w:rsid w:val="00A26918"/>
    <w:rsid w:val="00A2763F"/>
    <w:rsid w:val="00A37FF8"/>
    <w:rsid w:val="00A432EB"/>
    <w:rsid w:val="00A43494"/>
    <w:rsid w:val="00A45447"/>
    <w:rsid w:val="00A45E3B"/>
    <w:rsid w:val="00A46E38"/>
    <w:rsid w:val="00A52C45"/>
    <w:rsid w:val="00A55194"/>
    <w:rsid w:val="00A609DC"/>
    <w:rsid w:val="00A61235"/>
    <w:rsid w:val="00A74747"/>
    <w:rsid w:val="00A81ED7"/>
    <w:rsid w:val="00A85246"/>
    <w:rsid w:val="00A8593B"/>
    <w:rsid w:val="00A8765B"/>
    <w:rsid w:val="00A8765E"/>
    <w:rsid w:val="00A9089D"/>
    <w:rsid w:val="00A92310"/>
    <w:rsid w:val="00A95FA3"/>
    <w:rsid w:val="00AA46FA"/>
    <w:rsid w:val="00AA5B56"/>
    <w:rsid w:val="00AA7729"/>
    <w:rsid w:val="00AB339D"/>
    <w:rsid w:val="00AB3A2C"/>
    <w:rsid w:val="00AC098F"/>
    <w:rsid w:val="00AC0AC4"/>
    <w:rsid w:val="00AC2620"/>
    <w:rsid w:val="00AC3C96"/>
    <w:rsid w:val="00AC3D3D"/>
    <w:rsid w:val="00AD536B"/>
    <w:rsid w:val="00AE501E"/>
    <w:rsid w:val="00AF1A3D"/>
    <w:rsid w:val="00AF1CF4"/>
    <w:rsid w:val="00AF2483"/>
    <w:rsid w:val="00AF3F4D"/>
    <w:rsid w:val="00AF4274"/>
    <w:rsid w:val="00AF5733"/>
    <w:rsid w:val="00AF7268"/>
    <w:rsid w:val="00B037D5"/>
    <w:rsid w:val="00B03971"/>
    <w:rsid w:val="00B044CB"/>
    <w:rsid w:val="00B0764B"/>
    <w:rsid w:val="00B1346D"/>
    <w:rsid w:val="00B15EDE"/>
    <w:rsid w:val="00B22BEF"/>
    <w:rsid w:val="00B465A9"/>
    <w:rsid w:val="00B46E3F"/>
    <w:rsid w:val="00B5358C"/>
    <w:rsid w:val="00B60292"/>
    <w:rsid w:val="00B62D26"/>
    <w:rsid w:val="00B67499"/>
    <w:rsid w:val="00B73A5A"/>
    <w:rsid w:val="00B74739"/>
    <w:rsid w:val="00B75CBE"/>
    <w:rsid w:val="00B832C5"/>
    <w:rsid w:val="00B84E6E"/>
    <w:rsid w:val="00B90F8E"/>
    <w:rsid w:val="00B961B5"/>
    <w:rsid w:val="00BA47DE"/>
    <w:rsid w:val="00BA7B6B"/>
    <w:rsid w:val="00BB0FB8"/>
    <w:rsid w:val="00BC2672"/>
    <w:rsid w:val="00BC4DC7"/>
    <w:rsid w:val="00BD0888"/>
    <w:rsid w:val="00BD2D77"/>
    <w:rsid w:val="00BD39EE"/>
    <w:rsid w:val="00BD7F28"/>
    <w:rsid w:val="00BE0675"/>
    <w:rsid w:val="00BE0C7A"/>
    <w:rsid w:val="00BE1D5D"/>
    <w:rsid w:val="00BE1F5E"/>
    <w:rsid w:val="00BE55A0"/>
    <w:rsid w:val="00BE624D"/>
    <w:rsid w:val="00BE71CC"/>
    <w:rsid w:val="00BF499D"/>
    <w:rsid w:val="00BF7181"/>
    <w:rsid w:val="00BF7C87"/>
    <w:rsid w:val="00BF7FF4"/>
    <w:rsid w:val="00C00D8E"/>
    <w:rsid w:val="00C01AEB"/>
    <w:rsid w:val="00C066B7"/>
    <w:rsid w:val="00C127E2"/>
    <w:rsid w:val="00C26892"/>
    <w:rsid w:val="00C275F2"/>
    <w:rsid w:val="00C31326"/>
    <w:rsid w:val="00C34D7E"/>
    <w:rsid w:val="00C35437"/>
    <w:rsid w:val="00C35C20"/>
    <w:rsid w:val="00C35D2A"/>
    <w:rsid w:val="00C364C6"/>
    <w:rsid w:val="00C41A18"/>
    <w:rsid w:val="00C424D9"/>
    <w:rsid w:val="00C42DE8"/>
    <w:rsid w:val="00C44245"/>
    <w:rsid w:val="00C465B5"/>
    <w:rsid w:val="00C53600"/>
    <w:rsid w:val="00C53D36"/>
    <w:rsid w:val="00C54031"/>
    <w:rsid w:val="00C55664"/>
    <w:rsid w:val="00C564DC"/>
    <w:rsid w:val="00C5777D"/>
    <w:rsid w:val="00C60A6F"/>
    <w:rsid w:val="00C70079"/>
    <w:rsid w:val="00C72276"/>
    <w:rsid w:val="00C747E7"/>
    <w:rsid w:val="00C74A13"/>
    <w:rsid w:val="00C76CDE"/>
    <w:rsid w:val="00C87DA3"/>
    <w:rsid w:val="00C87E7E"/>
    <w:rsid w:val="00C90D92"/>
    <w:rsid w:val="00C90ECC"/>
    <w:rsid w:val="00C92F01"/>
    <w:rsid w:val="00C93A37"/>
    <w:rsid w:val="00C943C2"/>
    <w:rsid w:val="00C96430"/>
    <w:rsid w:val="00C9685C"/>
    <w:rsid w:val="00C976D8"/>
    <w:rsid w:val="00CA74D0"/>
    <w:rsid w:val="00CB1CB8"/>
    <w:rsid w:val="00CB2335"/>
    <w:rsid w:val="00CB3766"/>
    <w:rsid w:val="00CB3D32"/>
    <w:rsid w:val="00CB619E"/>
    <w:rsid w:val="00CB6EA6"/>
    <w:rsid w:val="00CC1AC7"/>
    <w:rsid w:val="00CC1E2A"/>
    <w:rsid w:val="00CC2119"/>
    <w:rsid w:val="00CC2CB8"/>
    <w:rsid w:val="00CC3DE1"/>
    <w:rsid w:val="00CD1396"/>
    <w:rsid w:val="00CD4445"/>
    <w:rsid w:val="00CD4BC2"/>
    <w:rsid w:val="00CD7809"/>
    <w:rsid w:val="00CE0CBF"/>
    <w:rsid w:val="00CE4E9D"/>
    <w:rsid w:val="00CF6FA7"/>
    <w:rsid w:val="00D03824"/>
    <w:rsid w:val="00D03F04"/>
    <w:rsid w:val="00D13444"/>
    <w:rsid w:val="00D141F2"/>
    <w:rsid w:val="00D16B87"/>
    <w:rsid w:val="00D204AD"/>
    <w:rsid w:val="00D22EA6"/>
    <w:rsid w:val="00D231C2"/>
    <w:rsid w:val="00D24EBA"/>
    <w:rsid w:val="00D263B2"/>
    <w:rsid w:val="00D27656"/>
    <w:rsid w:val="00D33C30"/>
    <w:rsid w:val="00D33D03"/>
    <w:rsid w:val="00D33DAB"/>
    <w:rsid w:val="00D36DD5"/>
    <w:rsid w:val="00D40E6B"/>
    <w:rsid w:val="00D452F5"/>
    <w:rsid w:val="00D47BE6"/>
    <w:rsid w:val="00D50787"/>
    <w:rsid w:val="00D564E8"/>
    <w:rsid w:val="00D5689B"/>
    <w:rsid w:val="00D64C0E"/>
    <w:rsid w:val="00D6772B"/>
    <w:rsid w:val="00D679A8"/>
    <w:rsid w:val="00D70C14"/>
    <w:rsid w:val="00D71435"/>
    <w:rsid w:val="00D71880"/>
    <w:rsid w:val="00D730C8"/>
    <w:rsid w:val="00D7316B"/>
    <w:rsid w:val="00D748EF"/>
    <w:rsid w:val="00D7629A"/>
    <w:rsid w:val="00D80339"/>
    <w:rsid w:val="00D81774"/>
    <w:rsid w:val="00D82AC2"/>
    <w:rsid w:val="00D84FD1"/>
    <w:rsid w:val="00D86E92"/>
    <w:rsid w:val="00D879C7"/>
    <w:rsid w:val="00D926F8"/>
    <w:rsid w:val="00D92BA2"/>
    <w:rsid w:val="00D97B61"/>
    <w:rsid w:val="00DA4B59"/>
    <w:rsid w:val="00DA5C80"/>
    <w:rsid w:val="00DB0C34"/>
    <w:rsid w:val="00DB0C86"/>
    <w:rsid w:val="00DB5F05"/>
    <w:rsid w:val="00DB6F66"/>
    <w:rsid w:val="00DC149E"/>
    <w:rsid w:val="00DC2002"/>
    <w:rsid w:val="00DC309E"/>
    <w:rsid w:val="00DC316E"/>
    <w:rsid w:val="00DC6031"/>
    <w:rsid w:val="00DC6E1A"/>
    <w:rsid w:val="00DC7453"/>
    <w:rsid w:val="00DC7569"/>
    <w:rsid w:val="00DD7467"/>
    <w:rsid w:val="00DE0325"/>
    <w:rsid w:val="00DE0FEA"/>
    <w:rsid w:val="00DE4B3C"/>
    <w:rsid w:val="00DE4BDE"/>
    <w:rsid w:val="00DE5F99"/>
    <w:rsid w:val="00DE63BF"/>
    <w:rsid w:val="00DE7441"/>
    <w:rsid w:val="00DE7A74"/>
    <w:rsid w:val="00DF536E"/>
    <w:rsid w:val="00DF6FBC"/>
    <w:rsid w:val="00DF797F"/>
    <w:rsid w:val="00DF7EB9"/>
    <w:rsid w:val="00E06D7E"/>
    <w:rsid w:val="00E07466"/>
    <w:rsid w:val="00E13B31"/>
    <w:rsid w:val="00E1570E"/>
    <w:rsid w:val="00E16748"/>
    <w:rsid w:val="00E22000"/>
    <w:rsid w:val="00E221B3"/>
    <w:rsid w:val="00E34236"/>
    <w:rsid w:val="00E4075A"/>
    <w:rsid w:val="00E42AE6"/>
    <w:rsid w:val="00E438F8"/>
    <w:rsid w:val="00E46FFC"/>
    <w:rsid w:val="00E51F85"/>
    <w:rsid w:val="00E60CEA"/>
    <w:rsid w:val="00E678AB"/>
    <w:rsid w:val="00E71F4F"/>
    <w:rsid w:val="00E77AD3"/>
    <w:rsid w:val="00E8204D"/>
    <w:rsid w:val="00E8549C"/>
    <w:rsid w:val="00E91FAF"/>
    <w:rsid w:val="00EA033D"/>
    <w:rsid w:val="00EA265D"/>
    <w:rsid w:val="00EA470F"/>
    <w:rsid w:val="00EA66F4"/>
    <w:rsid w:val="00EA6F08"/>
    <w:rsid w:val="00EB44AF"/>
    <w:rsid w:val="00EC065A"/>
    <w:rsid w:val="00EC3D75"/>
    <w:rsid w:val="00EC4048"/>
    <w:rsid w:val="00EC4BA5"/>
    <w:rsid w:val="00EC65C9"/>
    <w:rsid w:val="00EC6F5D"/>
    <w:rsid w:val="00ED0B37"/>
    <w:rsid w:val="00ED68D3"/>
    <w:rsid w:val="00EE07EE"/>
    <w:rsid w:val="00EE1572"/>
    <w:rsid w:val="00EE5E04"/>
    <w:rsid w:val="00EF100C"/>
    <w:rsid w:val="00EF26E3"/>
    <w:rsid w:val="00EF5740"/>
    <w:rsid w:val="00F024C1"/>
    <w:rsid w:val="00F0792F"/>
    <w:rsid w:val="00F14A37"/>
    <w:rsid w:val="00F26D66"/>
    <w:rsid w:val="00F33CEB"/>
    <w:rsid w:val="00F360C5"/>
    <w:rsid w:val="00F36F63"/>
    <w:rsid w:val="00F44562"/>
    <w:rsid w:val="00F45966"/>
    <w:rsid w:val="00F46FB1"/>
    <w:rsid w:val="00F53291"/>
    <w:rsid w:val="00F53B0F"/>
    <w:rsid w:val="00F54B15"/>
    <w:rsid w:val="00F54B18"/>
    <w:rsid w:val="00F554DC"/>
    <w:rsid w:val="00F5583E"/>
    <w:rsid w:val="00F5672D"/>
    <w:rsid w:val="00F5792D"/>
    <w:rsid w:val="00F5794E"/>
    <w:rsid w:val="00F6096E"/>
    <w:rsid w:val="00F6098D"/>
    <w:rsid w:val="00F74EA6"/>
    <w:rsid w:val="00F75350"/>
    <w:rsid w:val="00F75859"/>
    <w:rsid w:val="00F75DA8"/>
    <w:rsid w:val="00F825BE"/>
    <w:rsid w:val="00F864A8"/>
    <w:rsid w:val="00F87417"/>
    <w:rsid w:val="00F879A5"/>
    <w:rsid w:val="00F87E72"/>
    <w:rsid w:val="00F90462"/>
    <w:rsid w:val="00F93160"/>
    <w:rsid w:val="00F955C9"/>
    <w:rsid w:val="00F967AC"/>
    <w:rsid w:val="00FA10A3"/>
    <w:rsid w:val="00FA36D2"/>
    <w:rsid w:val="00FA4D19"/>
    <w:rsid w:val="00FA53BA"/>
    <w:rsid w:val="00FA67E8"/>
    <w:rsid w:val="00FA73ED"/>
    <w:rsid w:val="00FB79DA"/>
    <w:rsid w:val="00FC14D7"/>
    <w:rsid w:val="00FC5F75"/>
    <w:rsid w:val="00FD5389"/>
    <w:rsid w:val="00FF0FAE"/>
    <w:rsid w:val="00FF10F9"/>
    <w:rsid w:val="00FF54EA"/>
    <w:rsid w:val="00FF6F23"/>
    <w:rsid w:val="00FF6F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940A"/>
  <w15:chartTrackingRefBased/>
  <w15:docId w15:val="{D4185CD1-5A7C-46F5-9D6D-6C007FB4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45"/>
    <w:rPr>
      <w:rFonts w:ascii="Times New Roman" w:hAnsi="Times New Roman"/>
      <w:kern w:val="0"/>
      <w:sz w:val="24"/>
      <w14:ligatures w14:val="none"/>
    </w:rPr>
  </w:style>
  <w:style w:type="paragraph" w:styleId="Heading1">
    <w:name w:val="heading 1"/>
    <w:basedOn w:val="Normal"/>
    <w:next w:val="Normal"/>
    <w:link w:val="Heading1Char"/>
    <w:uiPriority w:val="9"/>
    <w:qFormat/>
    <w:rsid w:val="00DE0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F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F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F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F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FEA"/>
    <w:rPr>
      <w:rFonts w:eastAsiaTheme="majorEastAsia" w:cstheme="majorBidi"/>
      <w:color w:val="272727" w:themeColor="text1" w:themeTint="D8"/>
    </w:rPr>
  </w:style>
  <w:style w:type="paragraph" w:styleId="Title">
    <w:name w:val="Title"/>
    <w:basedOn w:val="Normal"/>
    <w:next w:val="Normal"/>
    <w:link w:val="TitleChar"/>
    <w:uiPriority w:val="10"/>
    <w:qFormat/>
    <w:rsid w:val="00DE0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FEA"/>
    <w:pPr>
      <w:spacing w:before="160"/>
      <w:jc w:val="center"/>
    </w:pPr>
    <w:rPr>
      <w:i/>
      <w:iCs/>
      <w:color w:val="404040" w:themeColor="text1" w:themeTint="BF"/>
    </w:rPr>
  </w:style>
  <w:style w:type="character" w:customStyle="1" w:styleId="QuoteChar">
    <w:name w:val="Quote Char"/>
    <w:basedOn w:val="DefaultParagraphFont"/>
    <w:link w:val="Quote"/>
    <w:uiPriority w:val="29"/>
    <w:rsid w:val="00DE0FEA"/>
    <w:rPr>
      <w:i/>
      <w:iCs/>
      <w:color w:val="404040" w:themeColor="text1" w:themeTint="BF"/>
    </w:rPr>
  </w:style>
  <w:style w:type="paragraph" w:styleId="ListParagraph">
    <w:name w:val="List Paragraph"/>
    <w:basedOn w:val="Normal"/>
    <w:uiPriority w:val="34"/>
    <w:qFormat/>
    <w:rsid w:val="00DE0FEA"/>
    <w:pPr>
      <w:ind w:left="720"/>
      <w:contextualSpacing/>
    </w:pPr>
  </w:style>
  <w:style w:type="character" w:styleId="IntenseEmphasis">
    <w:name w:val="Intense Emphasis"/>
    <w:basedOn w:val="DefaultParagraphFont"/>
    <w:uiPriority w:val="21"/>
    <w:qFormat/>
    <w:rsid w:val="00DE0FEA"/>
    <w:rPr>
      <w:i/>
      <w:iCs/>
      <w:color w:val="0F4761" w:themeColor="accent1" w:themeShade="BF"/>
    </w:rPr>
  </w:style>
  <w:style w:type="paragraph" w:styleId="IntenseQuote">
    <w:name w:val="Intense Quote"/>
    <w:basedOn w:val="Normal"/>
    <w:next w:val="Normal"/>
    <w:link w:val="IntenseQuoteChar"/>
    <w:uiPriority w:val="30"/>
    <w:qFormat/>
    <w:rsid w:val="00DE0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FEA"/>
    <w:rPr>
      <w:i/>
      <w:iCs/>
      <w:color w:val="0F4761" w:themeColor="accent1" w:themeShade="BF"/>
    </w:rPr>
  </w:style>
  <w:style w:type="character" w:styleId="IntenseReference">
    <w:name w:val="Intense Reference"/>
    <w:basedOn w:val="DefaultParagraphFont"/>
    <w:uiPriority w:val="32"/>
    <w:qFormat/>
    <w:rsid w:val="00DE0FEA"/>
    <w:rPr>
      <w:b/>
      <w:bCs/>
      <w:smallCaps/>
      <w:color w:val="0F4761" w:themeColor="accent1" w:themeShade="BF"/>
      <w:spacing w:val="5"/>
    </w:rPr>
  </w:style>
  <w:style w:type="paragraph" w:styleId="FootnoteText">
    <w:name w:val="footnote text"/>
    <w:basedOn w:val="Normal"/>
    <w:link w:val="FootnoteTextChar"/>
    <w:uiPriority w:val="99"/>
    <w:semiHidden/>
    <w:unhideWhenUsed/>
    <w:rsid w:val="004103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0380"/>
    <w:rPr>
      <w:rFonts w:ascii="Times New Roman" w:hAnsi="Times New Roman"/>
      <w:kern w:val="0"/>
      <w:sz w:val="20"/>
      <w:szCs w:val="20"/>
      <w14:ligatures w14:val="none"/>
    </w:rPr>
  </w:style>
  <w:style w:type="character" w:styleId="FootnoteReference">
    <w:name w:val="footnote reference"/>
    <w:basedOn w:val="DefaultParagraphFont"/>
    <w:uiPriority w:val="99"/>
    <w:semiHidden/>
    <w:unhideWhenUsed/>
    <w:rsid w:val="00410380"/>
    <w:rPr>
      <w:vertAlign w:val="superscript"/>
    </w:rPr>
  </w:style>
  <w:style w:type="character" w:styleId="Hyperlink">
    <w:name w:val="Hyperlink"/>
    <w:basedOn w:val="DefaultParagraphFont"/>
    <w:uiPriority w:val="99"/>
    <w:unhideWhenUsed/>
    <w:rsid w:val="00E22000"/>
    <w:rPr>
      <w:color w:val="467886" w:themeColor="hyperlink"/>
      <w:u w:val="single"/>
    </w:rPr>
  </w:style>
  <w:style w:type="character" w:styleId="UnresolvedMention">
    <w:name w:val="Unresolved Mention"/>
    <w:basedOn w:val="DefaultParagraphFont"/>
    <w:uiPriority w:val="99"/>
    <w:semiHidden/>
    <w:unhideWhenUsed/>
    <w:rsid w:val="00E22000"/>
    <w:rPr>
      <w:color w:val="605E5C"/>
      <w:shd w:val="clear" w:color="auto" w:fill="E1DFDD"/>
    </w:rPr>
  </w:style>
  <w:style w:type="table" w:styleId="TableGrid">
    <w:name w:val="Table Grid"/>
    <w:basedOn w:val="TableNormal"/>
    <w:uiPriority w:val="39"/>
    <w:rsid w:val="004F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E5D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ocal.gov.uk/about/news/councils-england-react-plans-new-local-crisis-and-resilience-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78E9F-9CEE-4A77-A43C-AB66F8D17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3082</Words>
  <Characters>17574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 Meers</dc:creator>
  <cp:keywords/>
  <dc:description/>
  <cp:lastModifiedBy>Jed Meers</cp:lastModifiedBy>
  <cp:revision>4</cp:revision>
  <cp:lastPrinted>2025-11-02T15:47:00Z</cp:lastPrinted>
  <dcterms:created xsi:type="dcterms:W3CDTF">2025-11-23T11:36:00Z</dcterms:created>
  <dcterms:modified xsi:type="dcterms:W3CDTF">2025-11-23T11:43:00Z</dcterms:modified>
</cp:coreProperties>
</file>